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281575823"/>
        <w:docPartObj>
          <w:docPartGallery w:val="Cover Pages"/>
          <w:docPartUnique/>
        </w:docPartObj>
      </w:sdtPr>
      <w:sdtEndPr>
        <w:rPr>
          <w:b/>
          <w:bCs/>
        </w:rPr>
      </w:sdtEndPr>
      <w:sdtContent>
        <w:p w14:paraId="4C305141" w14:textId="309C34D6" w:rsidR="00792822" w:rsidRPr="003022FF" w:rsidRDefault="00792822" w:rsidP="00BD07DC">
          <w:pPr>
            <w:rPr>
              <w:rFonts w:ascii="Times New Roman" w:hAnsi="Times New Roman" w:cs="Times New Roman"/>
            </w:rPr>
          </w:pPr>
        </w:p>
        <w:p w14:paraId="196D0A1D" w14:textId="69A0E7E3" w:rsidR="00120276" w:rsidRPr="003022FF" w:rsidRDefault="00000000" w:rsidP="00BD07DC">
          <w:pPr>
            <w:jc w:val="center"/>
            <w:rPr>
              <w:rFonts w:ascii="Times New Roman" w:hAnsi="Times New Roman" w:cs="Times New Roman"/>
              <w:b/>
              <w:bCs/>
            </w:rPr>
          </w:pPr>
          <w:sdt>
            <w:sdtPr>
              <w:rPr>
                <w:rFonts w:ascii="Times New Roman" w:hAnsi="Times New Roman" w:cs="Times New Roman"/>
                <w:b/>
                <w:bC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3B3802">
                <w:rPr>
                  <w:rFonts w:ascii="Times New Roman" w:hAnsi="Times New Roman" w:cs="Times New Roman"/>
                  <w:b/>
                  <w:bCs/>
                </w:rPr>
                <w:t>The reassembly of faunal communities and species interactions in regenerating tropical forests and their potential applications to restoration initiatives</w:t>
              </w:r>
            </w:sdtContent>
          </w:sdt>
        </w:p>
      </w:sdtContent>
    </w:sdt>
    <w:p w14:paraId="0729B9EE" w14:textId="77777777" w:rsidR="00120276" w:rsidRPr="00B066C6" w:rsidRDefault="00120276" w:rsidP="00BD07DC">
      <w:pPr>
        <w:jc w:val="center"/>
        <w:rPr>
          <w:rFonts w:ascii="Times New Roman" w:hAnsi="Times New Roman" w:cs="Times New Roman"/>
          <w:b/>
          <w:bCs/>
          <w:sz w:val="48"/>
          <w:szCs w:val="48"/>
        </w:rPr>
      </w:pPr>
    </w:p>
    <w:p w14:paraId="66CE8632" w14:textId="77777777" w:rsidR="00120276" w:rsidRDefault="00120276" w:rsidP="00BD07DC">
      <w:pPr>
        <w:jc w:val="center"/>
        <w:rPr>
          <w:rFonts w:ascii="Times New Roman" w:hAnsi="Times New Roman" w:cs="Times New Roman"/>
          <w:b/>
          <w:bCs/>
        </w:rPr>
      </w:pPr>
    </w:p>
    <w:p w14:paraId="04E86B0A" w14:textId="77777777" w:rsidR="003B0213" w:rsidRDefault="003B0213" w:rsidP="00BD07DC">
      <w:pPr>
        <w:jc w:val="center"/>
        <w:rPr>
          <w:rFonts w:ascii="Times New Roman" w:hAnsi="Times New Roman" w:cs="Times New Roman"/>
          <w:b/>
          <w:bCs/>
        </w:rPr>
      </w:pPr>
    </w:p>
    <w:p w14:paraId="4E978CC1" w14:textId="77777777" w:rsidR="003B0213" w:rsidRDefault="003B0213" w:rsidP="00BD07DC">
      <w:pPr>
        <w:jc w:val="center"/>
        <w:rPr>
          <w:rFonts w:ascii="Times New Roman" w:hAnsi="Times New Roman" w:cs="Times New Roman"/>
          <w:b/>
          <w:bCs/>
        </w:rPr>
      </w:pPr>
    </w:p>
    <w:p w14:paraId="360395B0" w14:textId="77777777" w:rsidR="003B0213" w:rsidRPr="00B066C6" w:rsidRDefault="003B0213" w:rsidP="00BD07DC">
      <w:pPr>
        <w:jc w:val="center"/>
        <w:rPr>
          <w:rFonts w:ascii="Times New Roman" w:hAnsi="Times New Roman" w:cs="Times New Roman"/>
          <w:b/>
          <w:bCs/>
        </w:rPr>
      </w:pPr>
    </w:p>
    <w:p w14:paraId="1BFF28D9" w14:textId="4B46DFCE" w:rsidR="00120276" w:rsidRPr="00B066C6" w:rsidRDefault="00120276" w:rsidP="00BD07DC">
      <w:pPr>
        <w:jc w:val="center"/>
        <w:rPr>
          <w:rFonts w:ascii="Times New Roman" w:hAnsi="Times New Roman" w:cs="Times New Roman"/>
        </w:rPr>
      </w:pPr>
      <w:r w:rsidRPr="00B066C6">
        <w:rPr>
          <w:rFonts w:ascii="Times New Roman" w:hAnsi="Times New Roman" w:cs="Times New Roman"/>
        </w:rPr>
        <w:t xml:space="preserve">A </w:t>
      </w:r>
      <w:r w:rsidR="3B8A2A8B" w:rsidRPr="00B066C6">
        <w:rPr>
          <w:rFonts w:ascii="Times New Roman" w:hAnsi="Times New Roman" w:cs="Times New Roman"/>
        </w:rPr>
        <w:t xml:space="preserve">Dissertation </w:t>
      </w:r>
      <w:r w:rsidRPr="00B066C6">
        <w:rPr>
          <w:rFonts w:ascii="Times New Roman" w:hAnsi="Times New Roman" w:cs="Times New Roman"/>
        </w:rPr>
        <w:t>Presented for the</w:t>
      </w:r>
    </w:p>
    <w:p w14:paraId="3428CC91" w14:textId="77777777" w:rsidR="00792822" w:rsidRPr="00B066C6" w:rsidRDefault="00120276" w:rsidP="00BD07DC">
      <w:pPr>
        <w:jc w:val="center"/>
        <w:rPr>
          <w:rFonts w:ascii="Times New Roman" w:hAnsi="Times New Roman" w:cs="Times New Roman"/>
        </w:rPr>
      </w:pPr>
      <w:r w:rsidRPr="00B066C6">
        <w:rPr>
          <w:rFonts w:ascii="Times New Roman" w:hAnsi="Times New Roman" w:cs="Times New Roman"/>
        </w:rPr>
        <w:t>Doctoral of Philosophy</w:t>
      </w:r>
      <w:r w:rsidR="00792822" w:rsidRPr="00B066C6">
        <w:rPr>
          <w:rFonts w:ascii="Times New Roman" w:hAnsi="Times New Roman" w:cs="Times New Roman"/>
        </w:rPr>
        <w:t xml:space="preserve"> </w:t>
      </w:r>
    </w:p>
    <w:p w14:paraId="662457D1" w14:textId="583CEBA4" w:rsidR="00120276" w:rsidRPr="00B066C6" w:rsidRDefault="00120276" w:rsidP="00BD07DC">
      <w:pPr>
        <w:jc w:val="center"/>
        <w:rPr>
          <w:rFonts w:ascii="Times New Roman" w:hAnsi="Times New Roman" w:cs="Times New Roman"/>
        </w:rPr>
      </w:pPr>
      <w:r w:rsidRPr="00B066C6">
        <w:rPr>
          <w:rFonts w:ascii="Times New Roman" w:hAnsi="Times New Roman" w:cs="Times New Roman"/>
        </w:rPr>
        <w:t>Degree</w:t>
      </w:r>
    </w:p>
    <w:p w14:paraId="79B9CF18" w14:textId="77777777" w:rsidR="00120276" w:rsidRPr="00B066C6" w:rsidRDefault="00120276" w:rsidP="00BD07DC">
      <w:pPr>
        <w:jc w:val="center"/>
        <w:rPr>
          <w:rFonts w:ascii="Times New Roman" w:hAnsi="Times New Roman" w:cs="Times New Roman"/>
        </w:rPr>
      </w:pPr>
      <w:r w:rsidRPr="00B066C6">
        <w:rPr>
          <w:rFonts w:ascii="Times New Roman" w:hAnsi="Times New Roman" w:cs="Times New Roman"/>
        </w:rPr>
        <w:t>The University of Tennessee, Knoxville</w:t>
      </w:r>
    </w:p>
    <w:p w14:paraId="684AC76C" w14:textId="77777777" w:rsidR="00120276" w:rsidRPr="00B066C6" w:rsidRDefault="00120276" w:rsidP="00BD07DC">
      <w:pPr>
        <w:jc w:val="center"/>
        <w:rPr>
          <w:rFonts w:ascii="Times New Roman" w:hAnsi="Times New Roman" w:cs="Times New Roman"/>
          <w:b/>
          <w:bCs/>
        </w:rPr>
      </w:pPr>
    </w:p>
    <w:p w14:paraId="17D1763E" w14:textId="77777777" w:rsidR="00120276" w:rsidRPr="00B066C6" w:rsidRDefault="00120276" w:rsidP="00BD07DC">
      <w:pPr>
        <w:jc w:val="center"/>
        <w:rPr>
          <w:rFonts w:ascii="Times New Roman" w:hAnsi="Times New Roman" w:cs="Times New Roman"/>
          <w:b/>
          <w:bCs/>
        </w:rPr>
      </w:pPr>
    </w:p>
    <w:p w14:paraId="59B1F39A" w14:textId="77777777" w:rsidR="00120276" w:rsidRPr="00B066C6" w:rsidRDefault="00120276" w:rsidP="00BD07DC">
      <w:pPr>
        <w:jc w:val="center"/>
        <w:rPr>
          <w:rFonts w:ascii="Times New Roman" w:hAnsi="Times New Roman" w:cs="Times New Roman"/>
          <w:b/>
          <w:bCs/>
        </w:rPr>
      </w:pPr>
    </w:p>
    <w:p w14:paraId="1ADB34F0" w14:textId="77777777" w:rsidR="00120276" w:rsidRPr="00B066C6" w:rsidRDefault="00120276" w:rsidP="00BD07DC">
      <w:pPr>
        <w:jc w:val="center"/>
        <w:rPr>
          <w:rFonts w:ascii="Times New Roman" w:hAnsi="Times New Roman" w:cs="Times New Roman"/>
          <w:b/>
          <w:bCs/>
        </w:rPr>
      </w:pPr>
    </w:p>
    <w:p w14:paraId="013BD24B" w14:textId="77777777" w:rsidR="003B0213" w:rsidRPr="00B066C6" w:rsidRDefault="003B0213" w:rsidP="00BD07DC">
      <w:pPr>
        <w:jc w:val="center"/>
        <w:rPr>
          <w:rFonts w:ascii="Times New Roman" w:hAnsi="Times New Roman" w:cs="Times New Roman"/>
          <w:b/>
          <w:bCs/>
        </w:rPr>
      </w:pPr>
    </w:p>
    <w:p w14:paraId="11F5EBEF" w14:textId="3791CCE6" w:rsidR="00120276" w:rsidRPr="00B066C6" w:rsidRDefault="00120276" w:rsidP="00BD07DC">
      <w:pPr>
        <w:jc w:val="center"/>
        <w:rPr>
          <w:rFonts w:ascii="Times New Roman" w:hAnsi="Times New Roman" w:cs="Times New Roman"/>
        </w:rPr>
      </w:pPr>
      <w:r w:rsidRPr="00B066C6">
        <w:rPr>
          <w:rFonts w:ascii="Times New Roman" w:hAnsi="Times New Roman" w:cs="Times New Roman"/>
        </w:rPr>
        <w:t xml:space="preserve">Nicole </w:t>
      </w:r>
      <w:r w:rsidR="5ACD396E" w:rsidRPr="4AFB4035">
        <w:rPr>
          <w:rFonts w:ascii="Times New Roman" w:hAnsi="Times New Roman" w:cs="Times New Roman"/>
        </w:rPr>
        <w:t>Marie</w:t>
      </w:r>
      <w:r w:rsidR="4CFC05D2" w:rsidRPr="4AFB4035">
        <w:rPr>
          <w:rFonts w:ascii="Times New Roman" w:hAnsi="Times New Roman" w:cs="Times New Roman"/>
        </w:rPr>
        <w:t xml:space="preserve"> </w:t>
      </w:r>
      <w:r w:rsidRPr="00B066C6">
        <w:rPr>
          <w:rFonts w:ascii="Times New Roman" w:hAnsi="Times New Roman" w:cs="Times New Roman"/>
        </w:rPr>
        <w:t xml:space="preserve">Lussier </w:t>
      </w:r>
    </w:p>
    <w:p w14:paraId="2F79F4E7" w14:textId="4CC43549" w:rsidR="00120276" w:rsidRPr="004F4816" w:rsidRDefault="007F49DC" w:rsidP="004F4816">
      <w:pPr>
        <w:jc w:val="center"/>
        <w:rPr>
          <w:rFonts w:ascii="Times New Roman" w:hAnsi="Times New Roman" w:cs="Times New Roman"/>
        </w:rPr>
      </w:pPr>
      <w:r w:rsidRPr="00B066C6">
        <w:rPr>
          <w:rFonts w:ascii="Times New Roman" w:hAnsi="Times New Roman" w:cs="Times New Roman"/>
        </w:rPr>
        <w:t>May 2025</w:t>
      </w:r>
      <w:r w:rsidR="00120276" w:rsidRPr="00B066C6">
        <w:rPr>
          <w:rFonts w:ascii="Times New Roman" w:hAnsi="Times New Roman" w:cs="Times New Roman"/>
          <w:b/>
          <w:bCs/>
        </w:rPr>
        <w:br w:type="page"/>
      </w:r>
    </w:p>
    <w:p w14:paraId="7DE04BB7" w14:textId="2A38C203" w:rsidR="000D1D4B" w:rsidRPr="00B066C6" w:rsidRDefault="000D1D4B" w:rsidP="006262A7">
      <w:pPr>
        <w:spacing w:before="0" w:after="0"/>
        <w:rPr>
          <w:rFonts w:ascii="Times New Roman" w:hAnsi="Times New Roman" w:cs="Times New Roman"/>
        </w:rPr>
      </w:pPr>
      <w:r w:rsidRPr="00B066C6">
        <w:rPr>
          <w:rFonts w:ascii="Times New Roman" w:hAnsi="Times New Roman" w:cs="Times New Roman"/>
        </w:rPr>
        <w:lastRenderedPageBreak/>
        <w:t>Copyright © 202</w:t>
      </w:r>
      <w:r w:rsidR="003022FF">
        <w:rPr>
          <w:rFonts w:ascii="Times New Roman" w:hAnsi="Times New Roman" w:cs="Times New Roman"/>
        </w:rPr>
        <w:t>5</w:t>
      </w:r>
      <w:r w:rsidRPr="00B066C6">
        <w:rPr>
          <w:rFonts w:ascii="Times New Roman" w:hAnsi="Times New Roman" w:cs="Times New Roman"/>
        </w:rPr>
        <w:t xml:space="preserve"> by Nicole M. Lussier </w:t>
      </w:r>
    </w:p>
    <w:p w14:paraId="617AA4C3" w14:textId="7675B8FD" w:rsidR="000D1D4B" w:rsidRPr="00B066C6" w:rsidRDefault="000D1D4B" w:rsidP="006262A7">
      <w:pPr>
        <w:spacing w:before="0" w:after="0"/>
        <w:rPr>
          <w:rFonts w:ascii="Times New Roman" w:hAnsi="Times New Roman" w:cs="Times New Roman"/>
        </w:rPr>
      </w:pPr>
      <w:r w:rsidRPr="00B066C6">
        <w:rPr>
          <w:rFonts w:ascii="Times New Roman" w:hAnsi="Times New Roman" w:cs="Times New Roman"/>
        </w:rPr>
        <w:t>All rights reserved.</w:t>
      </w:r>
      <w:r w:rsidRPr="00B066C6">
        <w:rPr>
          <w:rFonts w:ascii="Times New Roman" w:hAnsi="Times New Roman" w:cs="Times New Roman"/>
          <w:b/>
          <w:bCs/>
        </w:rPr>
        <w:t xml:space="preserve"> </w:t>
      </w:r>
    </w:p>
    <w:p w14:paraId="696A8AD1" w14:textId="77777777" w:rsidR="003022FF" w:rsidRDefault="003022FF">
      <w:pPr>
        <w:rPr>
          <w:rFonts w:ascii="Times New Roman" w:hAnsi="Times New Roman" w:cs="Times New Roman"/>
          <w:b/>
          <w:bCs/>
        </w:rPr>
      </w:pPr>
      <w:r>
        <w:rPr>
          <w:rFonts w:ascii="Times New Roman" w:hAnsi="Times New Roman" w:cs="Times New Roman"/>
          <w:b/>
          <w:bCs/>
        </w:rPr>
        <w:br w:type="page"/>
      </w:r>
    </w:p>
    <w:p w14:paraId="7DCE3554" w14:textId="268F7AE6" w:rsidR="00842A7E" w:rsidRPr="00B066C6" w:rsidRDefault="003022FF" w:rsidP="006262A7">
      <w:pPr>
        <w:spacing w:before="0" w:after="0"/>
        <w:jc w:val="center"/>
        <w:rPr>
          <w:rFonts w:ascii="Times New Roman" w:eastAsiaTheme="majorEastAsia" w:hAnsi="Times New Roman" w:cs="Times New Roman"/>
          <w:b/>
          <w:bCs/>
        </w:rPr>
      </w:pPr>
      <w:r w:rsidRPr="00B066C6">
        <w:rPr>
          <w:rFonts w:ascii="Times New Roman" w:hAnsi="Times New Roman" w:cs="Times New Roman"/>
          <w:b/>
          <w:bCs/>
        </w:rPr>
        <w:lastRenderedPageBreak/>
        <w:t>D</w:t>
      </w:r>
      <w:r>
        <w:rPr>
          <w:rFonts w:ascii="Times New Roman" w:hAnsi="Times New Roman" w:cs="Times New Roman"/>
          <w:b/>
          <w:bCs/>
        </w:rPr>
        <w:t>edication</w:t>
      </w:r>
    </w:p>
    <w:p w14:paraId="49D4850A" w14:textId="2B59E1FF" w:rsidR="00842A7E" w:rsidRPr="00B066C6" w:rsidRDefault="00842A7E" w:rsidP="006262A7">
      <w:pPr>
        <w:spacing w:before="0" w:after="0"/>
        <w:jc w:val="center"/>
        <w:rPr>
          <w:rFonts w:ascii="Times New Roman" w:eastAsiaTheme="majorEastAsia" w:hAnsi="Times New Roman" w:cs="Times New Roman"/>
        </w:rPr>
      </w:pPr>
      <w:r w:rsidRPr="00B066C6">
        <w:rPr>
          <w:rFonts w:ascii="Times New Roman" w:eastAsiaTheme="majorEastAsia" w:hAnsi="Times New Roman" w:cs="Times New Roman"/>
        </w:rPr>
        <w:t xml:space="preserve">I dedicate this dissertation to mi </w:t>
      </w:r>
      <w:proofErr w:type="spellStart"/>
      <w:r w:rsidRPr="00B066C6">
        <w:rPr>
          <w:rFonts w:ascii="Times New Roman" w:eastAsiaTheme="majorEastAsia" w:hAnsi="Times New Roman" w:cs="Times New Roman"/>
        </w:rPr>
        <w:t>equipo</w:t>
      </w:r>
      <w:proofErr w:type="spellEnd"/>
      <w:r w:rsidRPr="00B066C6">
        <w:rPr>
          <w:rFonts w:ascii="Times New Roman" w:eastAsiaTheme="majorEastAsia" w:hAnsi="Times New Roman" w:cs="Times New Roman"/>
        </w:rPr>
        <w:t xml:space="preserve"> de </w:t>
      </w:r>
      <w:proofErr w:type="spellStart"/>
      <w:r w:rsidRPr="00B066C6">
        <w:rPr>
          <w:rFonts w:ascii="Times New Roman" w:eastAsiaTheme="majorEastAsia" w:hAnsi="Times New Roman" w:cs="Times New Roman"/>
        </w:rPr>
        <w:t>sueños</w:t>
      </w:r>
      <w:proofErr w:type="spellEnd"/>
      <w:r w:rsidRPr="00B066C6">
        <w:rPr>
          <w:rFonts w:ascii="Times New Roman" w:eastAsiaTheme="majorEastAsia" w:hAnsi="Times New Roman" w:cs="Times New Roman"/>
        </w:rPr>
        <w:t xml:space="preserve"> </w:t>
      </w:r>
      <w:r w:rsidR="003F600A" w:rsidRPr="00B066C6">
        <w:rPr>
          <w:rFonts w:ascii="Times New Roman" w:eastAsiaTheme="majorEastAsia" w:hAnsi="Times New Roman" w:cs="Times New Roman"/>
        </w:rPr>
        <w:t>and mi familia de FCAT</w:t>
      </w:r>
      <w:r w:rsidR="00153A0D" w:rsidRPr="00B066C6">
        <w:rPr>
          <w:rFonts w:ascii="Times New Roman" w:eastAsiaTheme="majorEastAsia" w:hAnsi="Times New Roman" w:cs="Times New Roman"/>
        </w:rPr>
        <w:t xml:space="preserve">, </w:t>
      </w:r>
      <w:proofErr w:type="spellStart"/>
      <w:r w:rsidR="00B53951" w:rsidRPr="00B066C6">
        <w:rPr>
          <w:rFonts w:ascii="Times New Roman" w:eastAsiaTheme="majorEastAsia" w:hAnsi="Times New Roman" w:cs="Times New Roman"/>
        </w:rPr>
        <w:t>Rohar</w:t>
      </w:r>
      <w:proofErr w:type="spellEnd"/>
      <w:r w:rsidR="00D26A12">
        <w:rPr>
          <w:rFonts w:ascii="Times New Roman" w:eastAsiaTheme="majorEastAsia" w:hAnsi="Times New Roman" w:cs="Times New Roman"/>
        </w:rPr>
        <w:t xml:space="preserve">, </w:t>
      </w:r>
      <w:r w:rsidR="00EC6E3E" w:rsidRPr="00B066C6">
        <w:rPr>
          <w:rFonts w:ascii="Times New Roman" w:eastAsiaTheme="majorEastAsia" w:hAnsi="Times New Roman" w:cs="Times New Roman"/>
        </w:rPr>
        <w:t>y Sorrell</w:t>
      </w:r>
      <w:r w:rsidR="003F600A" w:rsidRPr="00B066C6">
        <w:rPr>
          <w:rFonts w:ascii="Times New Roman" w:eastAsiaTheme="majorEastAsia" w:hAnsi="Times New Roman" w:cs="Times New Roman"/>
        </w:rPr>
        <w:t>.</w:t>
      </w:r>
    </w:p>
    <w:p w14:paraId="22CF5254" w14:textId="77777777" w:rsidR="00842A7E" w:rsidRPr="00B066C6" w:rsidRDefault="00842A7E" w:rsidP="006262A7">
      <w:pPr>
        <w:spacing w:before="0" w:after="0"/>
        <w:rPr>
          <w:rFonts w:ascii="Times New Roman" w:eastAsiaTheme="majorEastAsia" w:hAnsi="Times New Roman" w:cs="Times New Roman"/>
          <w:b/>
          <w:bCs/>
        </w:rPr>
      </w:pPr>
      <w:r w:rsidRPr="00B066C6">
        <w:rPr>
          <w:rFonts w:ascii="Times New Roman" w:hAnsi="Times New Roman" w:cs="Times New Roman"/>
          <w:b/>
          <w:bCs/>
        </w:rPr>
        <w:br w:type="page"/>
      </w:r>
    </w:p>
    <w:p w14:paraId="74B5002E" w14:textId="7308EFD3" w:rsidR="00120276" w:rsidRPr="00B066C6" w:rsidRDefault="005D12B4" w:rsidP="003022FF">
      <w:pPr>
        <w:pStyle w:val="Heading1"/>
        <w:spacing w:before="0" w:after="0"/>
        <w:jc w:val="center"/>
        <w:rPr>
          <w:rFonts w:ascii="Times New Roman" w:hAnsi="Times New Roman" w:cs="Times New Roman"/>
          <w:b/>
          <w:bCs/>
          <w:color w:val="auto"/>
          <w:sz w:val="24"/>
          <w:szCs w:val="24"/>
        </w:rPr>
      </w:pPr>
      <w:bookmarkStart w:id="0" w:name="_Toc191917512"/>
      <w:bookmarkStart w:id="1" w:name="_Toc191917869"/>
      <w:bookmarkStart w:id="2" w:name="_Toc191917954"/>
      <w:bookmarkStart w:id="3" w:name="_Toc191918044"/>
      <w:bookmarkStart w:id="4" w:name="_Toc191918373"/>
      <w:bookmarkStart w:id="5" w:name="_Toc193725612"/>
      <w:bookmarkStart w:id="6" w:name="_Toc194137051"/>
      <w:bookmarkStart w:id="7" w:name="_Toc195189596"/>
      <w:bookmarkStart w:id="8" w:name="_Toc190955116"/>
      <w:bookmarkStart w:id="9" w:name="_Toc191550318"/>
      <w:bookmarkStart w:id="10" w:name="_Toc191550496"/>
      <w:bookmarkStart w:id="11" w:name="_Toc191551938"/>
      <w:bookmarkStart w:id="12" w:name="_Toc191552020"/>
      <w:bookmarkStart w:id="13" w:name="_Toc191825614"/>
      <w:bookmarkStart w:id="14" w:name="_Toc191894989"/>
      <w:r w:rsidRPr="00B066C6">
        <w:rPr>
          <w:rFonts w:ascii="Times New Roman" w:hAnsi="Times New Roman" w:cs="Times New Roman"/>
          <w:b/>
          <w:bCs/>
          <w:color w:val="auto"/>
          <w:sz w:val="24"/>
          <w:szCs w:val="24"/>
        </w:rPr>
        <w:lastRenderedPageBreak/>
        <w:t>A</w:t>
      </w:r>
      <w:r>
        <w:rPr>
          <w:rFonts w:ascii="Times New Roman" w:hAnsi="Times New Roman" w:cs="Times New Roman"/>
          <w:b/>
          <w:bCs/>
          <w:color w:val="auto"/>
          <w:sz w:val="24"/>
          <w:szCs w:val="24"/>
        </w:rPr>
        <w:t>cknowledgements</w:t>
      </w:r>
      <w:bookmarkEnd w:id="0"/>
      <w:bookmarkEnd w:id="1"/>
      <w:bookmarkEnd w:id="2"/>
      <w:bookmarkEnd w:id="3"/>
      <w:bookmarkEnd w:id="4"/>
      <w:bookmarkEnd w:id="5"/>
      <w:bookmarkEnd w:id="6"/>
      <w:bookmarkEnd w:id="7"/>
      <w:r>
        <w:rPr>
          <w:rFonts w:ascii="Times New Roman" w:hAnsi="Times New Roman" w:cs="Times New Roman"/>
          <w:b/>
          <w:bCs/>
          <w:color w:val="auto"/>
          <w:sz w:val="24"/>
          <w:szCs w:val="24"/>
        </w:rPr>
        <w:t xml:space="preserve"> </w:t>
      </w:r>
      <w:bookmarkEnd w:id="8"/>
      <w:bookmarkEnd w:id="9"/>
      <w:bookmarkEnd w:id="10"/>
      <w:bookmarkEnd w:id="11"/>
      <w:bookmarkEnd w:id="12"/>
      <w:bookmarkEnd w:id="13"/>
      <w:bookmarkEnd w:id="14"/>
    </w:p>
    <w:p w14:paraId="649FF513" w14:textId="2F74444F" w:rsidR="00BB3C06" w:rsidRPr="00B066C6" w:rsidRDefault="003E6AA4" w:rsidP="003022FF">
      <w:pPr>
        <w:pStyle w:val="NormalWeb"/>
        <w:spacing w:before="0" w:beforeAutospacing="0" w:after="0" w:afterAutospacing="0" w:line="360" w:lineRule="auto"/>
        <w:ind w:firstLine="720"/>
      </w:pPr>
      <w:r w:rsidRPr="00B066C6">
        <w:t>I owe a great deal of gratitude to my advisor</w:t>
      </w:r>
      <w:r w:rsidR="00E97378" w:rsidRPr="00B066C6">
        <w:t>, Dr. Charlie Kwit,</w:t>
      </w:r>
      <w:r w:rsidRPr="00B066C6">
        <w:t xml:space="preserve"> and committee member</w:t>
      </w:r>
      <w:r w:rsidR="00E97378" w:rsidRPr="00B066C6">
        <w:t xml:space="preserve">s Dr. Leighton Reid, Dr. Kimberly Sheldon, Dr. Katie Greenberg, and Dr. Laura Russo </w:t>
      </w:r>
      <w:r w:rsidRPr="00B066C6">
        <w:t xml:space="preserve">for their invaluable guidance, constructive feedback, and support throughout this journey. </w:t>
      </w:r>
      <w:r w:rsidR="00BB3C06" w:rsidRPr="00B066C6">
        <w:t>I am especially grateful to Dr. Kwit for believing in my ability to carry out my own research</w:t>
      </w:r>
      <w:r w:rsidR="00581243">
        <w:t xml:space="preserve"> and </w:t>
      </w:r>
      <w:r w:rsidR="00A773C7" w:rsidRPr="00B066C6">
        <w:t>bringing an</w:t>
      </w:r>
      <w:r w:rsidR="00BB3C06" w:rsidRPr="00B066C6">
        <w:t xml:space="preserve"> entirely</w:t>
      </w:r>
      <w:r w:rsidR="00A773C7" w:rsidRPr="00B066C6">
        <w:t xml:space="preserve"> new</w:t>
      </w:r>
      <w:r w:rsidR="00BB3C06" w:rsidRPr="00B066C6">
        <w:t xml:space="preserve"> </w:t>
      </w:r>
      <w:r w:rsidR="00A773C7" w:rsidRPr="00B066C6">
        <w:t>system</w:t>
      </w:r>
      <w:r w:rsidR="00BB3C06" w:rsidRPr="00B066C6">
        <w:t xml:space="preserve"> to </w:t>
      </w:r>
      <w:r w:rsidR="00A773C7" w:rsidRPr="00B066C6">
        <w:t>his lab</w:t>
      </w:r>
      <w:r w:rsidR="00BB3C06" w:rsidRPr="00B066C6">
        <w:t xml:space="preserve">, and for granting me the autonomy to explore my own interests and questions while always providing </w:t>
      </w:r>
      <w:r w:rsidR="008B3BE3" w:rsidRPr="00B066C6">
        <w:t xml:space="preserve">unwavering </w:t>
      </w:r>
      <w:r w:rsidR="00BB3C06" w:rsidRPr="00B066C6">
        <w:t xml:space="preserve">support. </w:t>
      </w:r>
      <w:r w:rsidR="00F7766E" w:rsidRPr="00B066C6">
        <w:t xml:space="preserve">I am also extremely grateful to </w:t>
      </w:r>
      <w:r w:rsidR="00E340BE" w:rsidRPr="00B066C6">
        <w:t>all</w:t>
      </w:r>
      <w:r w:rsidR="00F7766E" w:rsidRPr="00B066C6">
        <w:t xml:space="preserve"> my collaborators, especially Dr. Jordan Karubian for allowing me to be a part of the FCAT </w:t>
      </w:r>
      <w:r w:rsidR="00D16BCE" w:rsidRPr="00B066C6">
        <w:t>community</w:t>
      </w:r>
      <w:r w:rsidR="00C60347" w:rsidRPr="00B066C6">
        <w:t xml:space="preserve">, </w:t>
      </w:r>
      <w:r w:rsidR="00D16BCE" w:rsidRPr="00B066C6">
        <w:t xml:space="preserve">for welcoming myself and my students with open arms, and for continuing to provide mentorship and support throughout this process. </w:t>
      </w:r>
      <w:r w:rsidR="00DF6B72" w:rsidRPr="00B066C6">
        <w:t xml:space="preserve">Further, thank you to the mentor who inspired me to pursue </w:t>
      </w:r>
      <w:r w:rsidR="00855C70" w:rsidRPr="00B066C6">
        <w:t xml:space="preserve">my doctorate in the first place, Dr. Jessie Knowlton. Without your guidance, support, and commitment to my education I would not be where I am today. I am forever grateful that you took a chance on me and invited me to accompany you during your field work in Ecuador, and that even years after I have graduated from Wheaton you continue to show </w:t>
      </w:r>
      <w:r w:rsidR="00986D0E">
        <w:t>up for me as a mentor and a friend</w:t>
      </w:r>
      <w:r w:rsidR="00855C70" w:rsidRPr="00B066C6">
        <w:t xml:space="preserve">. I hope one day I can embody that same support for my own students. </w:t>
      </w:r>
    </w:p>
    <w:p w14:paraId="6C0CD03B" w14:textId="77777777" w:rsidR="00860547" w:rsidRPr="000426A0" w:rsidRDefault="005915FB" w:rsidP="00860547">
      <w:pPr>
        <w:pStyle w:val="NormalWeb"/>
        <w:spacing w:before="0" w:beforeAutospacing="0" w:after="0" w:afterAutospacing="0" w:line="360" w:lineRule="auto"/>
        <w:ind w:firstLine="720"/>
        <w:rPr>
          <w:lang w:val="es-EC"/>
        </w:rPr>
      </w:pPr>
      <w:r>
        <w:t>The</w:t>
      </w:r>
      <w:r w:rsidR="003E6AA4" w:rsidRPr="00B066C6">
        <w:t xml:space="preserve"> FCAT family has been an integral part of this research. I am grateful for everyone who has been a part of </w:t>
      </w:r>
      <w:proofErr w:type="spellStart"/>
      <w:r w:rsidR="003E6AA4" w:rsidRPr="00B066C6">
        <w:t>equipo</w:t>
      </w:r>
      <w:proofErr w:type="spellEnd"/>
      <w:r w:rsidR="003E6AA4" w:rsidRPr="00B066C6">
        <w:t xml:space="preserve"> de </w:t>
      </w:r>
      <w:proofErr w:type="spellStart"/>
      <w:r w:rsidR="003E6AA4" w:rsidRPr="00B066C6">
        <w:t>sueños</w:t>
      </w:r>
      <w:proofErr w:type="spellEnd"/>
      <w:r w:rsidR="003E6AA4" w:rsidRPr="00B066C6">
        <w:t>, whether it was for a</w:t>
      </w:r>
      <w:r>
        <w:t xml:space="preserve"> single</w:t>
      </w:r>
      <w:r w:rsidR="003E6AA4" w:rsidRPr="00B066C6">
        <w:t xml:space="preserve"> day or for the two summers </w:t>
      </w:r>
      <w:r>
        <w:t xml:space="preserve">I </w:t>
      </w:r>
      <w:r w:rsidR="003E6AA4" w:rsidRPr="00B066C6">
        <w:t xml:space="preserve">spent at FCAT. Thank you to my </w:t>
      </w:r>
      <w:r w:rsidR="00BA6447" w:rsidRPr="00B066C6">
        <w:t xml:space="preserve">mi gran amigo, Gregory Paladines, who was the backbone of our field work team. </w:t>
      </w:r>
      <w:r w:rsidR="003A6BE7" w:rsidRPr="00B066C6">
        <w:t>T</w:t>
      </w:r>
      <w:r w:rsidR="009A6787">
        <w:t>hank you to</w:t>
      </w:r>
      <w:r w:rsidR="003A6BE7" w:rsidRPr="00B066C6">
        <w:t xml:space="preserve"> Gloria Loor, Darwin Zambrano, and Medardo Qui</w:t>
      </w:r>
      <w:r w:rsidR="00B412AC" w:rsidRPr="00B066C6">
        <w:t xml:space="preserve">ñonez </w:t>
      </w:r>
      <w:r w:rsidR="00DF3DC7" w:rsidRPr="00B066C6">
        <w:t>who spent countless hours helping me set up cameras, net for birds, and look for fruit in the forest – even when it was downpouring</w:t>
      </w:r>
      <w:r w:rsidR="001C31CF" w:rsidRPr="00B066C6">
        <w:t xml:space="preserve"> for hours on end. Thank you to </w:t>
      </w:r>
      <w:r w:rsidR="00661250" w:rsidRPr="00B066C6">
        <w:t xml:space="preserve">Luis Carrasco and Fernando Castillo for acting as mentors and friends during my field seasons and beyond, and for helping train myself and my team. And finally, thank you to Karla Zambrano and Eli Vásquez for </w:t>
      </w:r>
      <w:r w:rsidR="009A6787" w:rsidRPr="00B066C6">
        <w:t>all</w:t>
      </w:r>
      <w:r w:rsidR="00661250" w:rsidRPr="00B066C6">
        <w:t xml:space="preserve"> the hard work and planning </w:t>
      </w:r>
      <w:r w:rsidR="00463F22" w:rsidRPr="00B066C6">
        <w:t xml:space="preserve">that goes into making these field seasons possible. </w:t>
      </w:r>
      <w:r w:rsidR="00860547" w:rsidRPr="000426A0">
        <w:rPr>
          <w:lang w:val="es-EC"/>
        </w:rPr>
        <w:t>FCAT tiene un lugar especial en mi corazón y siempre estaré agradecida con las increíbles personas que hicieron posible este trabajo.</w:t>
      </w:r>
    </w:p>
    <w:p w14:paraId="2D93E3E2" w14:textId="429D5F2B" w:rsidR="007C27ED" w:rsidRDefault="00D16BCE" w:rsidP="003022FF">
      <w:pPr>
        <w:pStyle w:val="NormalWeb"/>
        <w:spacing w:before="0" w:beforeAutospacing="0" w:after="0" w:afterAutospacing="0" w:line="360" w:lineRule="auto"/>
        <w:ind w:firstLine="720"/>
      </w:pPr>
      <w:r w:rsidRPr="00B066C6">
        <w:rPr>
          <w:rStyle w:val="Strong"/>
          <w:rFonts w:eastAsiaTheme="majorEastAsia"/>
          <w:b w:val="0"/>
          <w:bCs w:val="0"/>
        </w:rPr>
        <w:t>F</w:t>
      </w:r>
      <w:r w:rsidRPr="00B066C6">
        <w:t xml:space="preserve">ieldwork for this project would not have been possible without the immense help provided by collaborators, field assistants, and undergraduate students from the University of Tennessee, Tulane University, and Wheaton College. </w:t>
      </w:r>
      <w:r w:rsidRPr="00B066C6">
        <w:rPr>
          <w:rStyle w:val="Strong"/>
          <w:rFonts w:eastAsiaTheme="majorEastAsia"/>
          <w:b w:val="0"/>
          <w:bCs w:val="0"/>
        </w:rPr>
        <w:t>I</w:t>
      </w:r>
      <w:r w:rsidRPr="00B066C6">
        <w:t xml:space="preserve">mmense appreciation goes to my undergraduate research assistants, including Erin Ortega, John </w:t>
      </w:r>
      <w:r w:rsidR="00E77EEE">
        <w:t>Huston</w:t>
      </w:r>
      <w:r w:rsidRPr="00B066C6">
        <w:t xml:space="preserve">, Maggie Millar, Charlie </w:t>
      </w:r>
      <w:r w:rsidRPr="00B066C6">
        <w:lastRenderedPageBreak/>
        <w:t xml:space="preserve">Darmstadt, Lily Benson, Annalisa </w:t>
      </w:r>
      <w:proofErr w:type="spellStart"/>
      <w:r w:rsidRPr="00B066C6">
        <w:t>Tehela</w:t>
      </w:r>
      <w:proofErr w:type="spellEnd"/>
      <w:r w:rsidRPr="00B066C6">
        <w:t xml:space="preserve">, Jacob Woodlief, Colton Adams, Taylor Mathes, and Courtney Velasquez. </w:t>
      </w:r>
      <w:r w:rsidRPr="00B066C6">
        <w:rPr>
          <w:rStyle w:val="Strong"/>
          <w:rFonts w:eastAsiaTheme="majorEastAsia"/>
          <w:b w:val="0"/>
          <w:bCs w:val="0"/>
        </w:rPr>
        <w:t>W</w:t>
      </w:r>
      <w:r w:rsidRPr="00B066C6">
        <w:t>ithout their help, whether in the field, lab, or data analysis, I could not have done this without them. Boundless appreciation also goes to my field assistants and graduate student collaborators, Rachel Crafford and Judith Santano</w:t>
      </w:r>
      <w:r w:rsidR="00D272C7" w:rsidRPr="00B066C6">
        <w:t xml:space="preserve"> - I</w:t>
      </w:r>
      <w:r w:rsidR="00144892" w:rsidRPr="00B066C6">
        <w:t xml:space="preserve"> could not have done this without your help. </w:t>
      </w:r>
    </w:p>
    <w:p w14:paraId="557DCCBB" w14:textId="77777777" w:rsidR="007C27ED" w:rsidRDefault="00144892" w:rsidP="003022FF">
      <w:pPr>
        <w:pStyle w:val="NormalWeb"/>
        <w:spacing w:before="0" w:beforeAutospacing="0" w:after="0" w:afterAutospacing="0" w:line="360" w:lineRule="auto"/>
        <w:ind w:firstLine="720"/>
      </w:pPr>
      <w:r w:rsidRPr="00B066C6">
        <w:rPr>
          <w:rStyle w:val="Strong"/>
          <w:rFonts w:eastAsiaTheme="majorEastAsia"/>
          <w:b w:val="0"/>
          <w:bCs w:val="0"/>
        </w:rPr>
        <w:t>I would also like to thank my husband, partner, and best friend Austin Conte</w:t>
      </w:r>
      <w:r w:rsidRPr="00B066C6">
        <w:t xml:space="preserve">. </w:t>
      </w:r>
      <w:r w:rsidR="00F47C8B" w:rsidRPr="00B066C6">
        <w:t>Your</w:t>
      </w:r>
      <w:r w:rsidRPr="00B066C6">
        <w:t xml:space="preserve"> support during the long months I spent away, willingness to listen to my endless research presentations, and</w:t>
      </w:r>
      <w:r w:rsidR="00126FB4" w:rsidRPr="00B066C6">
        <w:t xml:space="preserve"> </w:t>
      </w:r>
      <w:r w:rsidR="00F2289F" w:rsidRPr="00B066C6">
        <w:t>stability</w:t>
      </w:r>
      <w:r w:rsidR="009D51C7" w:rsidRPr="00B066C6">
        <w:t xml:space="preserve"> when this process </w:t>
      </w:r>
      <w:r w:rsidR="00F47C8B" w:rsidRPr="00B066C6">
        <w:t>became</w:t>
      </w:r>
      <w:r w:rsidR="009D51C7" w:rsidRPr="00B066C6">
        <w:t xml:space="preserve"> too stressful</w:t>
      </w:r>
      <w:r w:rsidRPr="00B066C6">
        <w:t xml:space="preserve"> </w:t>
      </w:r>
      <w:r w:rsidR="00F2289F" w:rsidRPr="00B066C6">
        <w:t>has</w:t>
      </w:r>
      <w:r w:rsidRPr="00B066C6">
        <w:t xml:space="preserve"> been </w:t>
      </w:r>
      <w:r w:rsidR="00F2289F" w:rsidRPr="00B066C6">
        <w:t>the anchoring I needed to push through</w:t>
      </w:r>
      <w:r w:rsidRPr="00B066C6">
        <w:t>.</w:t>
      </w:r>
      <w:r w:rsidR="00B20831" w:rsidRPr="00B066C6">
        <w:t xml:space="preserve"> I have loved this journey of our life together, and appreciate all you, Ryder, Rowan, and Reina have done to support me along the way. T</w:t>
      </w:r>
      <w:r w:rsidRPr="00B066C6">
        <w:t>o my incredible family</w:t>
      </w:r>
      <w:r w:rsidR="00B20831" w:rsidRPr="00B066C6">
        <w:t>, mom, dad, Jakob, Nathan, and Jessica, y</w:t>
      </w:r>
      <w:r w:rsidRPr="00B066C6">
        <w:t>our unwavering love and belief in me have been my foundation</w:t>
      </w:r>
      <w:r w:rsidR="00426513" w:rsidRPr="00B066C6">
        <w:t>, even though</w:t>
      </w:r>
      <w:r w:rsidR="009E51BE">
        <w:t xml:space="preserve"> after five years</w:t>
      </w:r>
      <w:r w:rsidR="00426513" w:rsidRPr="00B066C6">
        <w:t xml:space="preserve"> </w:t>
      </w:r>
      <w:r w:rsidR="009E51BE">
        <w:t>you still all collectively think my research is solely on</w:t>
      </w:r>
      <w:r w:rsidR="00426513" w:rsidRPr="00B066C6">
        <w:t xml:space="preserve"> “bird poop”</w:t>
      </w:r>
      <w:r w:rsidRPr="00B066C6">
        <w:t xml:space="preserve">. </w:t>
      </w:r>
      <w:r w:rsidR="00B20831" w:rsidRPr="00B066C6">
        <w:t>You</w:t>
      </w:r>
      <w:r w:rsidR="00426513" w:rsidRPr="00B066C6">
        <w:t>, and the rest of my incredible extended family,</w:t>
      </w:r>
      <w:r w:rsidRPr="00B066C6">
        <w:t xml:space="preserve"> have </w:t>
      </w:r>
      <w:r w:rsidR="00B20831" w:rsidRPr="00B066C6">
        <w:t xml:space="preserve">all </w:t>
      </w:r>
      <w:r w:rsidRPr="00B066C6">
        <w:t>offered endless encouragement, understanding, and patience, especially during the most challenging moments of this journey.</w:t>
      </w:r>
    </w:p>
    <w:p w14:paraId="5FFCB429" w14:textId="49261844" w:rsidR="0033781D" w:rsidRPr="00B066C6" w:rsidRDefault="009E51BE" w:rsidP="003022FF">
      <w:pPr>
        <w:pStyle w:val="NormalWeb"/>
        <w:spacing w:before="0" w:beforeAutospacing="0" w:after="0" w:afterAutospacing="0" w:line="360" w:lineRule="auto"/>
        <w:ind w:firstLine="720"/>
      </w:pPr>
      <w:r>
        <w:t xml:space="preserve">Finally, </w:t>
      </w:r>
      <w:r w:rsidR="006E009B" w:rsidRPr="00B066C6">
        <w:t xml:space="preserve">I would like to thank everyone in my Knoxville family, especially Brian and Mariah Washington and the soon-to-be Kaleigh and Chris Cotter, who have been a constant source of joy and support. Also, to my EEB Besties and cohort mates, Rebecca Smith and Hope Ferguson, who have been my academic and personal lifelines. Their encouragement, shared struggles, and late-night pep talks have made this journey far more bearable. I would also like to thank other folks from my cohort and department, including Morgan Fleming, Maryrose Weatherton, </w:t>
      </w:r>
      <w:r w:rsidR="00D54D2E" w:rsidRPr="00B066C6">
        <w:t xml:space="preserve">and so many others who have offered friendship, advice, and solidarity throughout this process. </w:t>
      </w:r>
      <w:r w:rsidR="0033781D" w:rsidRPr="00B066C6">
        <w:rPr>
          <w:rStyle w:val="Strong"/>
          <w:rFonts w:eastAsiaTheme="majorEastAsia"/>
          <w:b w:val="0"/>
          <w:bCs w:val="0"/>
        </w:rPr>
        <w:t>L</w:t>
      </w:r>
      <w:r w:rsidR="0033781D" w:rsidRPr="00B066C6">
        <w:t xml:space="preserve">ooking back, this journey has been shaped by an incredible community of people, and I am profoundly grateful for </w:t>
      </w:r>
      <w:r w:rsidR="00A04783" w:rsidRPr="00B066C6">
        <w:t>every</w:t>
      </w:r>
      <w:r w:rsidR="0033781D" w:rsidRPr="00B066C6">
        <w:t xml:space="preserve"> one of them. This dissertation is as much a product of their support as it is my own work, and I am deeply thankful for the role they have all played in it.</w:t>
      </w:r>
    </w:p>
    <w:p w14:paraId="4C110B94" w14:textId="722387E1" w:rsidR="00554CF7" w:rsidRPr="00B066C6" w:rsidRDefault="00554CF7" w:rsidP="00BD07DC">
      <w:pPr>
        <w:rPr>
          <w:rFonts w:ascii="Times New Roman" w:hAnsi="Times New Roman" w:cs="Times New Roman"/>
          <w:b/>
          <w:bCs/>
        </w:rPr>
      </w:pPr>
    </w:p>
    <w:p w14:paraId="40502C24" w14:textId="77777777" w:rsidR="007C27ED" w:rsidRDefault="007C27ED">
      <w:pPr>
        <w:rPr>
          <w:rFonts w:ascii="Times New Roman" w:eastAsiaTheme="majorEastAsia" w:hAnsi="Times New Roman" w:cs="Times New Roman"/>
          <w:b/>
          <w:bCs/>
        </w:rPr>
      </w:pPr>
      <w:bookmarkStart w:id="15" w:name="_Toc190955117"/>
      <w:bookmarkStart w:id="16" w:name="_Toc191550319"/>
      <w:bookmarkStart w:id="17" w:name="_Toc191550497"/>
      <w:bookmarkStart w:id="18" w:name="_Toc191551939"/>
      <w:bookmarkStart w:id="19" w:name="_Toc191552021"/>
      <w:r>
        <w:rPr>
          <w:rFonts w:ascii="Times New Roman" w:hAnsi="Times New Roman" w:cs="Times New Roman"/>
          <w:b/>
          <w:bCs/>
        </w:rPr>
        <w:br w:type="page"/>
      </w:r>
    </w:p>
    <w:p w14:paraId="28F8D12F" w14:textId="56240E94" w:rsidR="000144F7" w:rsidRPr="00B066C6" w:rsidRDefault="00120276" w:rsidP="003022FF">
      <w:pPr>
        <w:pStyle w:val="Heading1"/>
        <w:spacing w:before="0" w:after="0"/>
        <w:jc w:val="center"/>
        <w:rPr>
          <w:rFonts w:ascii="Times New Roman" w:hAnsi="Times New Roman" w:cs="Times New Roman"/>
          <w:b/>
          <w:bCs/>
          <w:color w:val="auto"/>
          <w:sz w:val="24"/>
          <w:szCs w:val="24"/>
        </w:rPr>
      </w:pPr>
      <w:bookmarkStart w:id="20" w:name="_Toc191825615"/>
      <w:bookmarkStart w:id="21" w:name="_Toc191894990"/>
      <w:bookmarkStart w:id="22" w:name="_Toc191917513"/>
      <w:bookmarkStart w:id="23" w:name="_Toc191917870"/>
      <w:bookmarkStart w:id="24" w:name="_Toc191917955"/>
      <w:bookmarkStart w:id="25" w:name="_Toc191918045"/>
      <w:bookmarkStart w:id="26" w:name="_Toc191918374"/>
      <w:bookmarkStart w:id="27" w:name="_Toc193725613"/>
      <w:bookmarkStart w:id="28" w:name="_Toc194137052"/>
      <w:bookmarkStart w:id="29" w:name="_Toc195189597"/>
      <w:r w:rsidRPr="00B066C6">
        <w:rPr>
          <w:rFonts w:ascii="Times New Roman" w:hAnsi="Times New Roman" w:cs="Times New Roman"/>
          <w:b/>
          <w:bCs/>
          <w:color w:val="auto"/>
          <w:sz w:val="24"/>
          <w:szCs w:val="24"/>
        </w:rPr>
        <w:lastRenderedPageBreak/>
        <w:t>A</w:t>
      </w:r>
      <w:bookmarkEnd w:id="15"/>
      <w:bookmarkEnd w:id="16"/>
      <w:bookmarkEnd w:id="17"/>
      <w:r w:rsidR="007A1AA9">
        <w:rPr>
          <w:rFonts w:ascii="Times New Roman" w:hAnsi="Times New Roman" w:cs="Times New Roman"/>
          <w:b/>
          <w:bCs/>
          <w:color w:val="auto"/>
          <w:sz w:val="24"/>
          <w:szCs w:val="24"/>
        </w:rPr>
        <w:t>bstract</w:t>
      </w:r>
      <w:bookmarkEnd w:id="18"/>
      <w:bookmarkEnd w:id="19"/>
      <w:bookmarkEnd w:id="20"/>
      <w:bookmarkEnd w:id="21"/>
      <w:bookmarkEnd w:id="22"/>
      <w:bookmarkEnd w:id="23"/>
      <w:bookmarkEnd w:id="24"/>
      <w:bookmarkEnd w:id="25"/>
      <w:bookmarkEnd w:id="26"/>
      <w:bookmarkEnd w:id="27"/>
      <w:bookmarkEnd w:id="28"/>
      <w:bookmarkEnd w:id="29"/>
    </w:p>
    <w:p w14:paraId="3BAE7832" w14:textId="2C7F6A65" w:rsidR="00120276" w:rsidRPr="00E16949" w:rsidRDefault="008D7B89" w:rsidP="003022FF">
      <w:pPr>
        <w:pStyle w:val="NormalWeb"/>
        <w:spacing w:before="0" w:beforeAutospacing="0" w:after="0" w:afterAutospacing="0" w:line="360" w:lineRule="auto"/>
        <w:ind w:firstLine="720"/>
      </w:pPr>
      <w:r w:rsidRPr="00B066C6">
        <w:t xml:space="preserve">As deforestation and biodiversity loss </w:t>
      </w:r>
      <w:r w:rsidR="00EC5A39">
        <w:t>continue to damage tropical forests around the globe</w:t>
      </w:r>
      <w:r w:rsidRPr="00B066C6">
        <w:t xml:space="preserve">, </w:t>
      </w:r>
      <w:r w:rsidR="00EC5A39">
        <w:t>these ecosystems</w:t>
      </w:r>
      <w:r w:rsidRPr="00B066C6">
        <w:t xml:space="preserve"> become less capable of maintaining organismal communities and ecological functions essential to their persistence. Ecosystem resilience, or the ability </w:t>
      </w:r>
      <w:r w:rsidR="009D460F">
        <w:t>for</w:t>
      </w:r>
      <w:r w:rsidRPr="00B066C6">
        <w:t xml:space="preserve"> forests to </w:t>
      </w:r>
      <w:r w:rsidR="00BD5569">
        <w:t>retain</w:t>
      </w:r>
      <w:r w:rsidR="00FC6469">
        <w:t xml:space="preserve"> or reestablish</w:t>
      </w:r>
      <w:r w:rsidR="00BD5569">
        <w:t xml:space="preserve"> </w:t>
      </w:r>
      <w:r w:rsidR="00FC6469">
        <w:t>their</w:t>
      </w:r>
      <w:r w:rsidR="00BD5569">
        <w:t xml:space="preserve"> structure, functions, and interactions</w:t>
      </w:r>
      <w:r w:rsidRPr="00B066C6">
        <w:t xml:space="preserve"> after a disturbance, depends on </w:t>
      </w:r>
      <w:r w:rsidR="006E081A">
        <w:t>remnant</w:t>
      </w:r>
      <w:r w:rsidRPr="00B066C6">
        <w:t xml:space="preserve"> </w:t>
      </w:r>
      <w:r w:rsidR="006E081A">
        <w:t>bio</w:t>
      </w:r>
      <w:r w:rsidRPr="00B066C6">
        <w:t>diversity</w:t>
      </w:r>
      <w:r w:rsidR="00973280">
        <w:t xml:space="preserve"> and </w:t>
      </w:r>
      <w:r w:rsidR="006E081A">
        <w:t>species</w:t>
      </w:r>
      <w:r w:rsidR="006A506E">
        <w:t xml:space="preserve"> </w:t>
      </w:r>
      <w:r w:rsidRPr="00B066C6">
        <w:t xml:space="preserve">functional </w:t>
      </w:r>
      <w:r w:rsidR="006A506E">
        <w:t>roles within the ecosystem</w:t>
      </w:r>
      <w:r w:rsidRPr="00B066C6">
        <w:t xml:space="preserve">. Therefore, restoring functional communities and </w:t>
      </w:r>
      <w:r w:rsidR="00942919">
        <w:t xml:space="preserve">strengthening </w:t>
      </w:r>
      <w:r w:rsidRPr="00B066C6">
        <w:t xml:space="preserve">ecological interactions is </w:t>
      </w:r>
      <w:r w:rsidR="007827E4">
        <w:t>essential for promoting tropical forest regeneration and ensuring the long-term persistence of tropical ecosystems.</w:t>
      </w:r>
      <w:r w:rsidRPr="00B066C6">
        <w:t xml:space="preserve"> </w:t>
      </w:r>
      <w:r w:rsidR="00E16949" w:rsidRPr="00B066C6">
        <w:t xml:space="preserve">In this </w:t>
      </w:r>
      <w:r w:rsidR="00E16949">
        <w:t>dissertation</w:t>
      </w:r>
      <w:r w:rsidR="00E16949" w:rsidRPr="00B066C6">
        <w:t xml:space="preserve">, </w:t>
      </w:r>
      <w:r w:rsidR="00E16949">
        <w:t>we explore the dynamics of</w:t>
      </w:r>
      <w:r w:rsidR="002716FC">
        <w:t xml:space="preserve"> assessing</w:t>
      </w:r>
      <w:r w:rsidR="00E16949">
        <w:t xml:space="preserve"> </w:t>
      </w:r>
      <w:r w:rsidR="002716FC">
        <w:t xml:space="preserve">faunal </w:t>
      </w:r>
      <w:r w:rsidR="00E16949">
        <w:t>community assembly and interaction recovery in regenerating tropical forests</w:t>
      </w:r>
      <w:r w:rsidR="00510F09">
        <w:t xml:space="preserve"> </w:t>
      </w:r>
      <w:r w:rsidR="00E16949">
        <w:t xml:space="preserve">and their implications for </w:t>
      </w:r>
      <w:r w:rsidR="006E081A">
        <w:t xml:space="preserve">forest </w:t>
      </w:r>
      <w:r w:rsidR="00E16949">
        <w:t>restoratio</w:t>
      </w:r>
      <w:r w:rsidR="006E081A">
        <w:t>n</w:t>
      </w:r>
      <w:r w:rsidR="00E16949">
        <w:t xml:space="preserve">. First, we conducted a systematic review of </w:t>
      </w:r>
      <w:r w:rsidR="00917C2A">
        <w:t xml:space="preserve">studies utilizing </w:t>
      </w:r>
      <w:r w:rsidR="00E16949">
        <w:t xml:space="preserve">seed dispersal networks in conservation and restoration, identifying </w:t>
      </w:r>
      <w:r w:rsidR="00510F09">
        <w:t>major</w:t>
      </w:r>
      <w:r w:rsidR="00917C2A">
        <w:t xml:space="preserve"> findings, </w:t>
      </w:r>
      <w:r w:rsidR="00E16949">
        <w:t>methodological biases</w:t>
      </w:r>
      <w:r w:rsidR="00917C2A">
        <w:t xml:space="preserve">, </w:t>
      </w:r>
      <w:r w:rsidR="00E16949">
        <w:t>and suggesti</w:t>
      </w:r>
      <w:r w:rsidR="00917C2A">
        <w:t>ons for</w:t>
      </w:r>
      <w:r w:rsidR="00133009">
        <w:t xml:space="preserve"> </w:t>
      </w:r>
      <w:r w:rsidR="00E16949">
        <w:t>future research</w:t>
      </w:r>
      <w:r w:rsidR="00133009">
        <w:t xml:space="preserve"> directions</w:t>
      </w:r>
      <w:r w:rsidR="00E16949">
        <w:t xml:space="preserve">. </w:t>
      </w:r>
      <w:r w:rsidR="00133009">
        <w:t>In this review, we</w:t>
      </w:r>
      <w:r w:rsidR="00E16949">
        <w:t xml:space="preserve"> highlight the importance of targeting species-rich, generalist interactions in early stages of forest regeneration while promoting stable</w:t>
      </w:r>
      <w:r w:rsidR="00066DA3">
        <w:t xml:space="preserve"> and</w:t>
      </w:r>
      <w:r w:rsidR="00E16949">
        <w:t xml:space="preserve"> resilient </w:t>
      </w:r>
      <w:r w:rsidR="00A75D6F">
        <w:t xml:space="preserve">interaction </w:t>
      </w:r>
      <w:r w:rsidR="00E16949">
        <w:t xml:space="preserve">networks </w:t>
      </w:r>
      <w:r w:rsidR="006E081A">
        <w:t>as forests mature</w:t>
      </w:r>
      <w:r w:rsidR="00E16949">
        <w:t xml:space="preserve">. Second, we </w:t>
      </w:r>
      <w:r w:rsidR="006E081A">
        <w:t>used functional diversity measures to test their applicability in assessing understory bird community responses to forest regeneration</w:t>
      </w:r>
      <w:r w:rsidR="00161299">
        <w:t xml:space="preserve"> in the Chocó Rainforest of Northwest Ecuador</w:t>
      </w:r>
      <w:r w:rsidR="00E16949">
        <w:t xml:space="preserve">. </w:t>
      </w:r>
      <w:r w:rsidR="00427C55">
        <w:t xml:space="preserve">We found that not all functional diversity indices are indicative of community responses to forest regeneration, as only </w:t>
      </w:r>
      <w:r w:rsidR="0007205C" w:rsidRPr="004028E8">
        <w:rPr>
          <w:rStyle w:val="normaltextrun"/>
          <w:color w:val="000000" w:themeColor="text1"/>
        </w:rPr>
        <w:t>functional dispersion, functional divergence, and Rao’s quadratic entropy were associated with closed-canopy habitats and later stages of</w:t>
      </w:r>
      <w:r w:rsidR="0007205C">
        <w:rPr>
          <w:rStyle w:val="normaltextrun"/>
          <w:color w:val="000000" w:themeColor="text1"/>
        </w:rPr>
        <w:t xml:space="preserve"> </w:t>
      </w:r>
      <w:r w:rsidR="0007205C" w:rsidRPr="004028E8">
        <w:rPr>
          <w:rStyle w:val="normaltextrun"/>
          <w:color w:val="000000" w:themeColor="text1"/>
        </w:rPr>
        <w:t>regeneration</w:t>
      </w:r>
      <w:r w:rsidR="0007205C">
        <w:rPr>
          <w:rStyle w:val="normaltextrun"/>
          <w:color w:val="000000" w:themeColor="text1"/>
        </w:rPr>
        <w:t xml:space="preserve">. Furthermore, we found that </w:t>
      </w:r>
      <w:r w:rsidR="0012223B">
        <w:rPr>
          <w:rStyle w:val="normaltextrun"/>
          <w:color w:val="000000" w:themeColor="text1"/>
        </w:rPr>
        <w:t xml:space="preserve">sampling for functional diversity requires less effort than traditional taxonomic surveys, which </w:t>
      </w:r>
      <w:r w:rsidR="0094372C">
        <w:rPr>
          <w:rStyle w:val="normaltextrun"/>
          <w:color w:val="000000" w:themeColor="text1"/>
        </w:rPr>
        <w:t>could</w:t>
      </w:r>
      <w:r w:rsidR="0012223B">
        <w:rPr>
          <w:rStyle w:val="normaltextrun"/>
          <w:color w:val="000000" w:themeColor="text1"/>
        </w:rPr>
        <w:t xml:space="preserve"> be useful when utilizing these tools in restoration assessments. </w:t>
      </w:r>
      <w:r w:rsidR="00E16949">
        <w:t xml:space="preserve">Lastly, we used ecological network analysis to investigate </w:t>
      </w:r>
      <w:r w:rsidR="0012223B">
        <w:t xml:space="preserve">the reassembly of </w:t>
      </w:r>
      <w:r w:rsidR="00E16949">
        <w:t xml:space="preserve">seed dispersal interactions </w:t>
      </w:r>
      <w:r w:rsidR="00161299">
        <w:t>across regenerating forests.</w:t>
      </w:r>
      <w:r w:rsidR="00E16949">
        <w:t xml:space="preserve"> Seed dispersal networks transitioned from loosely connected, generalist systems in early succession</w:t>
      </w:r>
      <w:r w:rsidR="00161299">
        <w:t xml:space="preserve">al habitats </w:t>
      </w:r>
      <w:r w:rsidR="00E16949">
        <w:t>to more specialized</w:t>
      </w:r>
      <w:r w:rsidR="0012223B">
        <w:t xml:space="preserve">, modular, and nested </w:t>
      </w:r>
      <w:r w:rsidR="00E16949">
        <w:t>networks in later stages</w:t>
      </w:r>
      <w:r w:rsidR="0033663B">
        <w:t xml:space="preserve"> of </w:t>
      </w:r>
      <w:r w:rsidR="001C706A">
        <w:t>forest succession</w:t>
      </w:r>
      <w:r w:rsidR="00E16949">
        <w:t>.</w:t>
      </w:r>
      <w:r w:rsidR="00DA6F65" w:rsidRPr="008D7640">
        <w:rPr>
          <w:color w:val="000000" w:themeColor="text1"/>
        </w:rPr>
        <w:t xml:space="preserve"> </w:t>
      </w:r>
      <w:r w:rsidR="00494EB9">
        <w:rPr>
          <w:color w:val="000000" w:themeColor="text1"/>
        </w:rPr>
        <w:t>E</w:t>
      </w:r>
      <w:r w:rsidR="00DA6F65" w:rsidRPr="008D7640">
        <w:rPr>
          <w:color w:val="000000" w:themeColor="text1"/>
        </w:rPr>
        <w:t xml:space="preserve">arly stages of regeneration that promote a high number of diverse interactions </w:t>
      </w:r>
      <w:r w:rsidR="00DA6F65" w:rsidRPr="008D7640">
        <w:rPr>
          <w:rFonts w:eastAsiaTheme="majorEastAsia"/>
          <w:color w:val="000000" w:themeColor="text1"/>
        </w:rPr>
        <w:t xml:space="preserve">may be pivotal in shaping successional trajectories for stable ecosystems. </w:t>
      </w:r>
      <w:r w:rsidR="00E16949" w:rsidRPr="00B066C6">
        <w:t xml:space="preserve">Together, our findings </w:t>
      </w:r>
      <w:r w:rsidR="00DA6F65">
        <w:t xml:space="preserve">have implications for tropical forest restoration </w:t>
      </w:r>
      <w:r w:rsidR="006426B6">
        <w:t>by</w:t>
      </w:r>
      <w:r w:rsidR="001C706A">
        <w:t xml:space="preserve"> </w:t>
      </w:r>
      <w:r w:rsidR="00E16949" w:rsidRPr="00B066C6">
        <w:t>emphasiz</w:t>
      </w:r>
      <w:r w:rsidR="001C706A">
        <w:t>ing</w:t>
      </w:r>
      <w:r w:rsidR="00E16949" w:rsidRPr="00B066C6">
        <w:t xml:space="preserve"> </w:t>
      </w:r>
      <w:r w:rsidR="000D47B0">
        <w:t>elucidating the</w:t>
      </w:r>
      <w:r w:rsidR="00D70A93">
        <w:t xml:space="preserve"> importance of</w:t>
      </w:r>
      <w:r w:rsidR="00E16949" w:rsidRPr="00B066C6">
        <w:t xml:space="preserve"> </w:t>
      </w:r>
      <w:r w:rsidR="00DA6F65">
        <w:t xml:space="preserve">select </w:t>
      </w:r>
      <w:r w:rsidR="00E16949" w:rsidRPr="00B066C6">
        <w:t xml:space="preserve">functional </w:t>
      </w:r>
      <w:r w:rsidR="00DA6F65">
        <w:t>measures</w:t>
      </w:r>
      <w:r w:rsidR="00E16949" w:rsidRPr="00B066C6">
        <w:t xml:space="preserve"> and </w:t>
      </w:r>
      <w:r w:rsidR="00DA6F65">
        <w:t xml:space="preserve">assessing </w:t>
      </w:r>
      <w:r w:rsidR="00E16949" w:rsidRPr="00B066C6">
        <w:t>species interaction</w:t>
      </w:r>
      <w:r w:rsidR="00DA6F65">
        <w:t xml:space="preserve"> recovery </w:t>
      </w:r>
      <w:r w:rsidR="00D70A93">
        <w:t>to</w:t>
      </w:r>
      <w:r w:rsidR="00E16949">
        <w:t xml:space="preserve"> </w:t>
      </w:r>
      <w:r w:rsidR="00D70A93">
        <w:t>achieve</w:t>
      </w:r>
      <w:r w:rsidR="00E16949" w:rsidRPr="00B066C6">
        <w:t xml:space="preserve"> long-term ecological resilience</w:t>
      </w:r>
      <w:r w:rsidR="00D70A93">
        <w:t xml:space="preserve"> for </w:t>
      </w:r>
      <w:r w:rsidR="00D70A93" w:rsidRPr="00B066C6">
        <w:t xml:space="preserve">regenerating </w:t>
      </w:r>
      <w:r w:rsidR="00D70A93">
        <w:t>tropical f</w:t>
      </w:r>
      <w:r w:rsidR="00D70A93" w:rsidRPr="00B066C6">
        <w:t>orests</w:t>
      </w:r>
      <w:r w:rsidR="00E16949">
        <w:t>.</w:t>
      </w:r>
      <w:r w:rsidR="00120276" w:rsidRPr="00B066C6">
        <w:rPr>
          <w:b/>
          <w:bCs/>
        </w:rPr>
        <w:br w:type="page"/>
      </w:r>
    </w:p>
    <w:bookmarkStart w:id="30" w:name="_Toc191550498" w:displacedByCustomXml="next"/>
    <w:bookmarkStart w:id="31" w:name="_Toc191550320" w:displacedByCustomXml="next"/>
    <w:bookmarkStart w:id="32" w:name="_Toc190955118" w:displacedByCustomXml="next"/>
    <w:bookmarkStart w:id="33" w:name="_Toc191918375" w:displacedByCustomXml="next"/>
    <w:bookmarkStart w:id="34" w:name="_Toc191918046" w:displacedByCustomXml="next"/>
    <w:bookmarkStart w:id="35" w:name="_Toc191917956" w:displacedByCustomXml="next"/>
    <w:bookmarkStart w:id="36" w:name="_Toc191917871" w:displacedByCustomXml="next"/>
    <w:bookmarkStart w:id="37" w:name="_Toc191917514" w:displacedByCustomXml="next"/>
    <w:bookmarkStart w:id="38" w:name="_Toc191894991" w:displacedByCustomXml="next"/>
    <w:bookmarkStart w:id="39" w:name="_Toc191551940" w:displacedByCustomXml="next"/>
    <w:bookmarkStart w:id="40" w:name="_Toc191552022" w:displacedByCustomXml="next"/>
    <w:bookmarkStart w:id="41" w:name="_Toc191825616" w:displacedByCustomXml="next"/>
    <w:bookmarkStart w:id="42" w:name="_Toc193725614" w:displacedByCustomXml="next"/>
    <w:bookmarkStart w:id="43" w:name="_Toc194137053" w:displacedByCustomXml="next"/>
    <w:bookmarkStart w:id="44" w:name="_Toc195189598" w:displacedByCustomXml="next"/>
    <w:sdt>
      <w:sdtPr>
        <w:rPr>
          <w:rFonts w:ascii="Times New Roman" w:eastAsiaTheme="minorEastAsia" w:hAnsi="Times New Roman" w:cs="Times New Roman"/>
          <w:b w:val="0"/>
          <w:bCs w:val="0"/>
          <w:color w:val="auto"/>
          <w:kern w:val="2"/>
          <w:sz w:val="24"/>
          <w:szCs w:val="24"/>
          <w14:ligatures w14:val="standardContextual"/>
        </w:rPr>
        <w:id w:val="-946071414"/>
        <w:docPartObj>
          <w:docPartGallery w:val="Table of Contents"/>
          <w:docPartUnique/>
        </w:docPartObj>
      </w:sdtPr>
      <w:sdtContent>
        <w:bookmarkEnd w:id="32" w:displacedByCustomXml="prev"/>
        <w:bookmarkEnd w:id="31" w:displacedByCustomXml="prev"/>
        <w:bookmarkEnd w:id="30" w:displacedByCustomXml="prev"/>
        <w:p w14:paraId="4A9760CC" w14:textId="77777777" w:rsidR="006262A7" w:rsidRPr="006262A7" w:rsidRDefault="007A1AA9" w:rsidP="006262A7">
          <w:pPr>
            <w:pStyle w:val="TOCHeading"/>
            <w:spacing w:before="0" w:line="360" w:lineRule="auto"/>
            <w:jc w:val="center"/>
            <w:outlineLvl w:val="0"/>
            <w:rPr>
              <w:rFonts w:ascii="Times New Roman" w:hAnsi="Times New Roman" w:cs="Times New Roman"/>
              <w:noProof/>
              <w:sz w:val="24"/>
              <w:szCs w:val="24"/>
            </w:rPr>
          </w:pPr>
          <w:r w:rsidRPr="006262A7">
            <w:rPr>
              <w:rFonts w:ascii="Times New Roman" w:hAnsi="Times New Roman" w:cs="Times New Roman"/>
              <w:color w:val="auto"/>
              <w:sz w:val="24"/>
              <w:szCs w:val="24"/>
            </w:rPr>
            <w:t>Table of Contents</w:t>
          </w:r>
          <w:bookmarkEnd w:id="44"/>
          <w:bookmarkEnd w:id="43"/>
          <w:bookmarkEnd w:id="42"/>
          <w:bookmarkEnd w:id="41"/>
          <w:bookmarkEnd w:id="40"/>
          <w:bookmarkEnd w:id="39"/>
          <w:bookmarkEnd w:id="38"/>
          <w:bookmarkEnd w:id="37"/>
          <w:bookmarkEnd w:id="36"/>
          <w:bookmarkEnd w:id="35"/>
          <w:bookmarkEnd w:id="34"/>
          <w:bookmarkEnd w:id="33"/>
          <w:r w:rsidR="00C831ED" w:rsidRPr="006262A7">
            <w:rPr>
              <w:rFonts w:ascii="Times New Roman" w:hAnsi="Times New Roman" w:cs="Times New Roman"/>
              <w:color w:val="000000" w:themeColor="text1"/>
              <w:sz w:val="24"/>
              <w:szCs w:val="24"/>
            </w:rPr>
            <w:fldChar w:fldCharType="begin"/>
          </w:r>
          <w:r w:rsidR="00C831ED" w:rsidRPr="006262A7">
            <w:rPr>
              <w:rFonts w:ascii="Times New Roman" w:hAnsi="Times New Roman" w:cs="Times New Roman"/>
              <w:color w:val="000000" w:themeColor="text1"/>
              <w:sz w:val="24"/>
              <w:szCs w:val="24"/>
            </w:rPr>
            <w:instrText xml:space="preserve"> TOC \o "1-3" \h \z \u </w:instrText>
          </w:r>
          <w:r w:rsidR="00C831ED" w:rsidRPr="006262A7">
            <w:rPr>
              <w:rFonts w:ascii="Times New Roman" w:hAnsi="Times New Roman" w:cs="Times New Roman"/>
              <w:color w:val="000000" w:themeColor="text1"/>
              <w:sz w:val="24"/>
              <w:szCs w:val="24"/>
            </w:rPr>
            <w:fldChar w:fldCharType="separate"/>
          </w:r>
        </w:p>
        <w:p w14:paraId="51D38CEE" w14:textId="5BF6F07C" w:rsidR="006262A7" w:rsidRPr="006262A7" w:rsidRDefault="006262A7" w:rsidP="006262A7">
          <w:pPr>
            <w:pStyle w:val="TOC1"/>
            <w:tabs>
              <w:tab w:val="right" w:leader="dot" w:pos="9350"/>
            </w:tabs>
            <w:spacing w:before="0" w:after="0"/>
            <w:rPr>
              <w:rFonts w:ascii="Times New Roman" w:eastAsiaTheme="minorEastAsia" w:hAnsi="Times New Roman" w:cs="Times New Roman"/>
              <w:b w:val="0"/>
              <w:bCs w:val="0"/>
              <w:noProof/>
              <w:sz w:val="24"/>
              <w:szCs w:val="24"/>
            </w:rPr>
          </w:pPr>
          <w:hyperlink w:anchor="_Toc195189599" w:history="1">
            <w:r w:rsidRPr="006262A7">
              <w:rPr>
                <w:rStyle w:val="Hyperlink"/>
                <w:rFonts w:ascii="Times New Roman" w:hAnsi="Times New Roman" w:cs="Times New Roman"/>
                <w:b w:val="0"/>
                <w:bCs w:val="0"/>
                <w:noProof/>
                <w:sz w:val="24"/>
                <w:szCs w:val="24"/>
              </w:rPr>
              <w:t>Introduction</w:t>
            </w:r>
            <w:r w:rsidRPr="006262A7">
              <w:rPr>
                <w:rFonts w:ascii="Times New Roman" w:hAnsi="Times New Roman" w:cs="Times New Roman"/>
                <w:b w:val="0"/>
                <w:bCs w:val="0"/>
                <w:noProof/>
                <w:webHidden/>
                <w:sz w:val="24"/>
                <w:szCs w:val="24"/>
              </w:rPr>
              <w:tab/>
            </w:r>
            <w:r w:rsidRPr="006262A7">
              <w:rPr>
                <w:rFonts w:ascii="Times New Roman" w:hAnsi="Times New Roman" w:cs="Times New Roman"/>
                <w:b w:val="0"/>
                <w:bCs w:val="0"/>
                <w:noProof/>
                <w:webHidden/>
                <w:sz w:val="24"/>
                <w:szCs w:val="24"/>
              </w:rPr>
              <w:fldChar w:fldCharType="begin"/>
            </w:r>
            <w:r w:rsidRPr="006262A7">
              <w:rPr>
                <w:rFonts w:ascii="Times New Roman" w:hAnsi="Times New Roman" w:cs="Times New Roman"/>
                <w:b w:val="0"/>
                <w:bCs w:val="0"/>
                <w:noProof/>
                <w:webHidden/>
                <w:sz w:val="24"/>
                <w:szCs w:val="24"/>
              </w:rPr>
              <w:instrText xml:space="preserve"> PAGEREF _Toc195189599 \h </w:instrText>
            </w:r>
            <w:r w:rsidRPr="006262A7">
              <w:rPr>
                <w:rFonts w:ascii="Times New Roman" w:hAnsi="Times New Roman" w:cs="Times New Roman"/>
                <w:b w:val="0"/>
                <w:bCs w:val="0"/>
                <w:noProof/>
                <w:webHidden/>
                <w:sz w:val="24"/>
                <w:szCs w:val="24"/>
              </w:rPr>
            </w:r>
            <w:r w:rsidRPr="006262A7">
              <w:rPr>
                <w:rFonts w:ascii="Times New Roman" w:hAnsi="Times New Roman" w:cs="Times New Roman"/>
                <w:b w:val="0"/>
                <w:bCs w:val="0"/>
                <w:noProof/>
                <w:webHidden/>
                <w:sz w:val="24"/>
                <w:szCs w:val="24"/>
              </w:rPr>
              <w:fldChar w:fldCharType="separate"/>
            </w:r>
            <w:r w:rsidRPr="006262A7">
              <w:rPr>
                <w:rFonts w:ascii="Times New Roman" w:hAnsi="Times New Roman" w:cs="Times New Roman"/>
                <w:b w:val="0"/>
                <w:bCs w:val="0"/>
                <w:noProof/>
                <w:webHidden/>
                <w:sz w:val="24"/>
                <w:szCs w:val="24"/>
              </w:rPr>
              <w:t>1</w:t>
            </w:r>
            <w:r w:rsidRPr="006262A7">
              <w:rPr>
                <w:rFonts w:ascii="Times New Roman" w:hAnsi="Times New Roman" w:cs="Times New Roman"/>
                <w:b w:val="0"/>
                <w:bCs w:val="0"/>
                <w:noProof/>
                <w:webHidden/>
                <w:sz w:val="24"/>
                <w:szCs w:val="24"/>
              </w:rPr>
              <w:fldChar w:fldCharType="end"/>
            </w:r>
          </w:hyperlink>
        </w:p>
        <w:p w14:paraId="3BD272CF" w14:textId="080FE41C"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0" w:history="1">
            <w:r w:rsidRPr="006262A7">
              <w:rPr>
                <w:rStyle w:val="Hyperlink"/>
                <w:rFonts w:ascii="Times New Roman" w:hAnsi="Times New Roman" w:cs="Times New Roman"/>
                <w:i w:val="0"/>
                <w:iCs w:val="0"/>
                <w:noProof/>
                <w:sz w:val="24"/>
                <w:szCs w:val="24"/>
              </w:rPr>
              <w:t>Patterns in Tropical Forest Succession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_Toc195189600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2</w:t>
            </w:r>
            <w:r w:rsidRPr="006262A7">
              <w:rPr>
                <w:rFonts w:ascii="Times New Roman" w:hAnsi="Times New Roman" w:cs="Times New Roman"/>
                <w:i w:val="0"/>
                <w:iCs w:val="0"/>
                <w:noProof/>
                <w:webHidden/>
                <w:sz w:val="24"/>
                <w:szCs w:val="24"/>
              </w:rPr>
              <w:fldChar w:fldCharType="end"/>
            </w:r>
          </w:hyperlink>
        </w:p>
        <w:p w14:paraId="138B3BB4" w14:textId="5E4BC128"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1" w:history="1">
            <w:r w:rsidRPr="006262A7">
              <w:rPr>
                <w:rStyle w:val="Hyperlink"/>
                <w:rFonts w:ascii="Times New Roman" w:hAnsi="Times New Roman" w:cs="Times New Roman"/>
                <w:i w:val="0"/>
                <w:iCs w:val="0"/>
                <w:noProof/>
                <w:sz w:val="24"/>
                <w:szCs w:val="24"/>
              </w:rPr>
              <w:t>Faunal community recovery during tropical forest succession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_Toc195189601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5</w:t>
            </w:r>
            <w:r w:rsidRPr="006262A7">
              <w:rPr>
                <w:rFonts w:ascii="Times New Roman" w:hAnsi="Times New Roman" w:cs="Times New Roman"/>
                <w:i w:val="0"/>
                <w:iCs w:val="0"/>
                <w:noProof/>
                <w:webHidden/>
                <w:sz w:val="24"/>
                <w:szCs w:val="24"/>
              </w:rPr>
              <w:fldChar w:fldCharType="end"/>
            </w:r>
          </w:hyperlink>
        </w:p>
        <w:p w14:paraId="5F7E2D53" w14:textId="625D392F"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2" w:history="1">
            <w:r w:rsidRPr="006262A7">
              <w:rPr>
                <w:rStyle w:val="Hyperlink"/>
                <w:rFonts w:ascii="Times New Roman" w:hAnsi="Times New Roman" w:cs="Times New Roman"/>
                <w:i w:val="0"/>
                <w:iCs w:val="0"/>
                <w:noProof/>
                <w:sz w:val="24"/>
                <w:szCs w:val="24"/>
              </w:rPr>
              <w:t>Animal-mediated Seed Dispersal is a Critical Ecosystem Function for Regeneration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_Toc195189602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7</w:t>
            </w:r>
            <w:r w:rsidRPr="006262A7">
              <w:rPr>
                <w:rFonts w:ascii="Times New Roman" w:hAnsi="Times New Roman" w:cs="Times New Roman"/>
                <w:i w:val="0"/>
                <w:iCs w:val="0"/>
                <w:noProof/>
                <w:webHidden/>
                <w:sz w:val="24"/>
                <w:szCs w:val="24"/>
              </w:rPr>
              <w:fldChar w:fldCharType="end"/>
            </w:r>
          </w:hyperlink>
        </w:p>
        <w:p w14:paraId="069DA731" w14:textId="1108732A"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3" w:history="1">
            <w:r w:rsidRPr="006262A7">
              <w:rPr>
                <w:rStyle w:val="Hyperlink"/>
                <w:rFonts w:ascii="Times New Roman" w:hAnsi="Times New Roman" w:cs="Times New Roman"/>
                <w:i w:val="0"/>
                <w:iCs w:val="0"/>
                <w:noProof/>
                <w:sz w:val="24"/>
                <w:szCs w:val="24"/>
              </w:rPr>
              <w:t>Measuring Seed Dispersal Interactions via Ecological Networks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_Toc195189603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10</w:t>
            </w:r>
            <w:r w:rsidRPr="006262A7">
              <w:rPr>
                <w:rFonts w:ascii="Times New Roman" w:hAnsi="Times New Roman" w:cs="Times New Roman"/>
                <w:i w:val="0"/>
                <w:iCs w:val="0"/>
                <w:noProof/>
                <w:webHidden/>
                <w:sz w:val="24"/>
                <w:szCs w:val="24"/>
              </w:rPr>
              <w:fldChar w:fldCharType="end"/>
            </w:r>
          </w:hyperlink>
        </w:p>
        <w:p w14:paraId="6923B4B3" w14:textId="182D9E2B"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4" w:history="1">
            <w:r w:rsidRPr="006262A7">
              <w:rPr>
                <w:rStyle w:val="Hyperlink"/>
                <w:rFonts w:ascii="Times New Roman" w:hAnsi="Times New Roman" w:cs="Times New Roman"/>
                <w:i w:val="0"/>
                <w:iCs w:val="0"/>
                <w:noProof/>
                <w:sz w:val="24"/>
                <w:szCs w:val="24"/>
              </w:rPr>
              <w:t>Tropical Forest Restoration Strategies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_Toc195189604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12</w:t>
            </w:r>
            <w:r w:rsidRPr="006262A7">
              <w:rPr>
                <w:rFonts w:ascii="Times New Roman" w:hAnsi="Times New Roman" w:cs="Times New Roman"/>
                <w:i w:val="0"/>
                <w:iCs w:val="0"/>
                <w:noProof/>
                <w:webHidden/>
                <w:sz w:val="24"/>
                <w:szCs w:val="24"/>
              </w:rPr>
              <w:fldChar w:fldCharType="end"/>
            </w:r>
          </w:hyperlink>
        </w:p>
        <w:p w14:paraId="19D8362F" w14:textId="38B8C2E8"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5" w:history="1">
            <w:r w:rsidRPr="006262A7">
              <w:rPr>
                <w:rStyle w:val="Hyperlink"/>
                <w:rFonts w:ascii="Times New Roman" w:hAnsi="Times New Roman" w:cs="Times New Roman"/>
                <w:i w:val="0"/>
                <w:iCs w:val="0"/>
                <w:noProof/>
                <w:sz w:val="24"/>
                <w:szCs w:val="24"/>
              </w:rPr>
              <w:t>References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_Toc195189605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16</w:t>
            </w:r>
            <w:r w:rsidRPr="006262A7">
              <w:rPr>
                <w:rFonts w:ascii="Times New Roman" w:hAnsi="Times New Roman" w:cs="Times New Roman"/>
                <w:i w:val="0"/>
                <w:iCs w:val="0"/>
                <w:noProof/>
                <w:webHidden/>
                <w:sz w:val="24"/>
                <w:szCs w:val="24"/>
              </w:rPr>
              <w:fldChar w:fldCharType="end"/>
            </w:r>
          </w:hyperlink>
        </w:p>
        <w:p w14:paraId="16A365EB" w14:textId="4B979F1C" w:rsidR="006262A7" w:rsidRPr="006262A7" w:rsidRDefault="006262A7" w:rsidP="006262A7">
          <w:pPr>
            <w:pStyle w:val="TOC1"/>
            <w:tabs>
              <w:tab w:val="right" w:leader="dot" w:pos="9350"/>
            </w:tabs>
            <w:spacing w:before="0" w:after="0"/>
            <w:rPr>
              <w:rFonts w:ascii="Times New Roman" w:eastAsiaTheme="minorEastAsia" w:hAnsi="Times New Roman" w:cs="Times New Roman"/>
              <w:b w:val="0"/>
              <w:bCs w:val="0"/>
              <w:noProof/>
              <w:sz w:val="24"/>
              <w:szCs w:val="24"/>
            </w:rPr>
          </w:pPr>
          <w:hyperlink w:anchor="_Toc195189606" w:history="1">
            <w:r w:rsidRPr="006262A7">
              <w:rPr>
                <w:rStyle w:val="Hyperlink"/>
                <w:rFonts w:ascii="Times New Roman" w:hAnsi="Times New Roman" w:cs="Times New Roman"/>
                <w:b w:val="0"/>
                <w:bCs w:val="0"/>
                <w:noProof/>
                <w:sz w:val="24"/>
                <w:szCs w:val="24"/>
                <w:shd w:val="clear" w:color="auto" w:fill="FFFFFF"/>
              </w:rPr>
              <w:t>Chapter 1: Seeding Success - Integrating seed dispersal networks in tropical forest restoration</w:t>
            </w:r>
            <w:r w:rsidRPr="006262A7">
              <w:rPr>
                <w:rFonts w:ascii="Times New Roman" w:hAnsi="Times New Roman" w:cs="Times New Roman"/>
                <w:b w:val="0"/>
                <w:bCs w:val="0"/>
                <w:noProof/>
                <w:webHidden/>
                <w:sz w:val="24"/>
                <w:szCs w:val="24"/>
              </w:rPr>
              <w:tab/>
            </w:r>
            <w:r w:rsidRPr="006262A7">
              <w:rPr>
                <w:rFonts w:ascii="Times New Roman" w:hAnsi="Times New Roman" w:cs="Times New Roman"/>
                <w:b w:val="0"/>
                <w:bCs w:val="0"/>
                <w:noProof/>
                <w:webHidden/>
                <w:sz w:val="24"/>
                <w:szCs w:val="24"/>
              </w:rPr>
              <w:fldChar w:fldCharType="begin"/>
            </w:r>
            <w:r w:rsidRPr="006262A7">
              <w:rPr>
                <w:rFonts w:ascii="Times New Roman" w:hAnsi="Times New Roman" w:cs="Times New Roman"/>
                <w:b w:val="0"/>
                <w:bCs w:val="0"/>
                <w:noProof/>
                <w:webHidden/>
                <w:sz w:val="24"/>
                <w:szCs w:val="24"/>
              </w:rPr>
              <w:instrText xml:space="preserve"> PAGEREF _Toc195189606 \h </w:instrText>
            </w:r>
            <w:r w:rsidRPr="006262A7">
              <w:rPr>
                <w:rFonts w:ascii="Times New Roman" w:hAnsi="Times New Roman" w:cs="Times New Roman"/>
                <w:b w:val="0"/>
                <w:bCs w:val="0"/>
                <w:noProof/>
                <w:webHidden/>
                <w:sz w:val="24"/>
                <w:szCs w:val="24"/>
              </w:rPr>
            </w:r>
            <w:r w:rsidRPr="006262A7">
              <w:rPr>
                <w:rFonts w:ascii="Times New Roman" w:hAnsi="Times New Roman" w:cs="Times New Roman"/>
                <w:b w:val="0"/>
                <w:bCs w:val="0"/>
                <w:noProof/>
                <w:webHidden/>
                <w:sz w:val="24"/>
                <w:szCs w:val="24"/>
              </w:rPr>
              <w:fldChar w:fldCharType="separate"/>
            </w:r>
            <w:r w:rsidRPr="006262A7">
              <w:rPr>
                <w:rFonts w:ascii="Times New Roman" w:hAnsi="Times New Roman" w:cs="Times New Roman"/>
                <w:b w:val="0"/>
                <w:bCs w:val="0"/>
                <w:noProof/>
                <w:webHidden/>
                <w:sz w:val="24"/>
                <w:szCs w:val="24"/>
              </w:rPr>
              <w:t>27</w:t>
            </w:r>
            <w:r w:rsidRPr="006262A7">
              <w:rPr>
                <w:rFonts w:ascii="Times New Roman" w:hAnsi="Times New Roman" w:cs="Times New Roman"/>
                <w:b w:val="0"/>
                <w:bCs w:val="0"/>
                <w:noProof/>
                <w:webHidden/>
                <w:sz w:val="24"/>
                <w:szCs w:val="24"/>
              </w:rPr>
              <w:fldChar w:fldCharType="end"/>
            </w:r>
          </w:hyperlink>
        </w:p>
        <w:p w14:paraId="1589AEBB" w14:textId="3808C2B8"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7" w:history="1">
            <w:r w:rsidRPr="006262A7">
              <w:rPr>
                <w:rStyle w:val="Hyperlink"/>
                <w:rFonts w:ascii="Times New Roman" w:hAnsi="Times New Roman" w:cs="Times New Roman"/>
                <w:i w:val="0"/>
                <w:iCs w:val="0"/>
                <w:noProof/>
                <w:sz w:val="24"/>
                <w:szCs w:val="24"/>
              </w:rPr>
              <w:t>Abstract</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_Toc195189607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28</w:t>
            </w:r>
            <w:r w:rsidRPr="006262A7">
              <w:rPr>
                <w:rFonts w:ascii="Times New Roman" w:hAnsi="Times New Roman" w:cs="Times New Roman"/>
                <w:i w:val="0"/>
                <w:iCs w:val="0"/>
                <w:noProof/>
                <w:webHidden/>
                <w:sz w:val="24"/>
                <w:szCs w:val="24"/>
              </w:rPr>
              <w:fldChar w:fldCharType="end"/>
            </w:r>
          </w:hyperlink>
        </w:p>
        <w:p w14:paraId="5E0104EA" w14:textId="405045A8"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08" w:history="1">
            <w:r w:rsidRPr="006262A7">
              <w:rPr>
                <w:rStyle w:val="Hyperlink"/>
                <w:rFonts w:ascii="Times New Roman" w:hAnsi="Times New Roman" w:cs="Times New Roman"/>
                <w:i w:val="0"/>
                <w:iCs w:val="0"/>
                <w:noProof/>
                <w:sz w:val="24"/>
                <w:szCs w:val="24"/>
              </w:rPr>
              <w:t>Introduction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_Toc195189608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28</w:t>
            </w:r>
            <w:r w:rsidRPr="006262A7">
              <w:rPr>
                <w:rFonts w:ascii="Times New Roman" w:hAnsi="Times New Roman" w:cs="Times New Roman"/>
                <w:i w:val="0"/>
                <w:iCs w:val="0"/>
                <w:noProof/>
                <w:webHidden/>
                <w:sz w:val="24"/>
                <w:szCs w:val="24"/>
              </w:rPr>
              <w:fldChar w:fldCharType="end"/>
            </w:r>
          </w:hyperlink>
        </w:p>
        <w:p w14:paraId="68265BB3" w14:textId="432D08C9"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09" w:history="1">
            <w:r w:rsidRPr="006262A7">
              <w:rPr>
                <w:rStyle w:val="Hyperlink"/>
                <w:rFonts w:ascii="Times New Roman" w:hAnsi="Times New Roman" w:cs="Times New Roman"/>
                <w:noProof/>
                <w:sz w:val="24"/>
                <w:szCs w:val="24"/>
              </w:rPr>
              <w:t>Literature Survey and Database</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_Toc195189609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34</w:t>
            </w:r>
            <w:r w:rsidRPr="006262A7">
              <w:rPr>
                <w:rFonts w:ascii="Times New Roman" w:hAnsi="Times New Roman" w:cs="Times New Roman"/>
                <w:noProof/>
                <w:webHidden/>
                <w:sz w:val="24"/>
                <w:szCs w:val="24"/>
              </w:rPr>
              <w:fldChar w:fldCharType="end"/>
            </w:r>
          </w:hyperlink>
        </w:p>
        <w:p w14:paraId="2298C1F0" w14:textId="5D677EB1"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0" w:history="1">
            <w:r w:rsidRPr="006262A7">
              <w:rPr>
                <w:rStyle w:val="Hyperlink"/>
                <w:rFonts w:ascii="Times New Roman" w:hAnsi="Times New Roman" w:cs="Times New Roman"/>
                <w:noProof/>
                <w:sz w:val="24"/>
                <w:szCs w:val="24"/>
              </w:rPr>
              <w:t>Statistical Analysis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_Toc195189610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36</w:t>
            </w:r>
            <w:r w:rsidRPr="006262A7">
              <w:rPr>
                <w:rFonts w:ascii="Times New Roman" w:hAnsi="Times New Roman" w:cs="Times New Roman"/>
                <w:noProof/>
                <w:webHidden/>
                <w:sz w:val="24"/>
                <w:szCs w:val="24"/>
              </w:rPr>
              <w:fldChar w:fldCharType="end"/>
            </w:r>
          </w:hyperlink>
        </w:p>
        <w:p w14:paraId="5954DAD8" w14:textId="28122B91"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11" w:history="1">
            <w:r w:rsidRPr="006262A7">
              <w:rPr>
                <w:rStyle w:val="Hyperlink"/>
                <w:rFonts w:ascii="Times New Roman" w:hAnsi="Times New Roman" w:cs="Times New Roman"/>
                <w:i w:val="0"/>
                <w:iCs w:val="0"/>
                <w:noProof/>
                <w:sz w:val="24"/>
                <w:szCs w:val="24"/>
                <w:highlight w:val="white"/>
              </w:rPr>
              <w:t>Results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_Toc195189611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36</w:t>
            </w:r>
            <w:r w:rsidRPr="006262A7">
              <w:rPr>
                <w:rFonts w:ascii="Times New Roman" w:hAnsi="Times New Roman" w:cs="Times New Roman"/>
                <w:i w:val="0"/>
                <w:iCs w:val="0"/>
                <w:noProof/>
                <w:webHidden/>
                <w:sz w:val="24"/>
                <w:szCs w:val="24"/>
              </w:rPr>
              <w:fldChar w:fldCharType="end"/>
            </w:r>
          </w:hyperlink>
        </w:p>
        <w:p w14:paraId="275C7553" w14:textId="7FBD088F"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2" w:history="1">
            <w:r w:rsidRPr="006262A7">
              <w:rPr>
                <w:rStyle w:val="Hyperlink"/>
                <w:rFonts w:ascii="Times New Roman" w:hAnsi="Times New Roman" w:cs="Times New Roman"/>
                <w:noProof/>
                <w:sz w:val="24"/>
                <w:szCs w:val="24"/>
              </w:rPr>
              <w:t>Literature Survey</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_Toc195189612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36</w:t>
            </w:r>
            <w:r w:rsidRPr="006262A7">
              <w:rPr>
                <w:rFonts w:ascii="Times New Roman" w:hAnsi="Times New Roman" w:cs="Times New Roman"/>
                <w:noProof/>
                <w:webHidden/>
                <w:sz w:val="24"/>
                <w:szCs w:val="24"/>
              </w:rPr>
              <w:fldChar w:fldCharType="end"/>
            </w:r>
          </w:hyperlink>
        </w:p>
        <w:p w14:paraId="210DB75D" w14:textId="564AE8C1"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3" w:history="1">
            <w:r w:rsidRPr="006262A7">
              <w:rPr>
                <w:rStyle w:val="Hyperlink"/>
                <w:rFonts w:ascii="Times New Roman" w:hAnsi="Times New Roman" w:cs="Times New Roman"/>
                <w:noProof/>
                <w:sz w:val="24"/>
                <w:szCs w:val="24"/>
              </w:rPr>
              <w:t>Network measures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_Toc195189613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37</w:t>
            </w:r>
            <w:r w:rsidRPr="006262A7">
              <w:rPr>
                <w:rFonts w:ascii="Times New Roman" w:hAnsi="Times New Roman" w:cs="Times New Roman"/>
                <w:noProof/>
                <w:webHidden/>
                <w:sz w:val="24"/>
                <w:szCs w:val="24"/>
              </w:rPr>
              <w:fldChar w:fldCharType="end"/>
            </w:r>
          </w:hyperlink>
        </w:p>
        <w:p w14:paraId="264025D5" w14:textId="07E2B5BD"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14" w:history="1">
            <w:r w:rsidRPr="006262A7">
              <w:rPr>
                <w:rStyle w:val="Hyperlink"/>
                <w:rFonts w:ascii="Times New Roman" w:hAnsi="Times New Roman" w:cs="Times New Roman"/>
                <w:i w:val="0"/>
                <w:iCs w:val="0"/>
                <w:noProof/>
                <w:sz w:val="24"/>
                <w:szCs w:val="24"/>
              </w:rPr>
              <w:t>Discussion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_Toc195189614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40</w:t>
            </w:r>
            <w:r w:rsidRPr="006262A7">
              <w:rPr>
                <w:rFonts w:ascii="Times New Roman" w:hAnsi="Times New Roman" w:cs="Times New Roman"/>
                <w:i w:val="0"/>
                <w:iCs w:val="0"/>
                <w:noProof/>
                <w:webHidden/>
                <w:sz w:val="24"/>
                <w:szCs w:val="24"/>
              </w:rPr>
              <w:fldChar w:fldCharType="end"/>
            </w:r>
          </w:hyperlink>
        </w:p>
        <w:p w14:paraId="05F814F4" w14:textId="1FA4F2B7"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5" w:history="1">
            <w:r w:rsidRPr="006262A7">
              <w:rPr>
                <w:rStyle w:val="Hyperlink"/>
                <w:rFonts w:ascii="Times New Roman" w:hAnsi="Times New Roman" w:cs="Times New Roman"/>
                <w:noProof/>
                <w:sz w:val="24"/>
                <w:szCs w:val="24"/>
              </w:rPr>
              <w:t>Sampling for seed dispersal interactions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_Toc195189615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40</w:t>
            </w:r>
            <w:r w:rsidRPr="006262A7">
              <w:rPr>
                <w:rFonts w:ascii="Times New Roman" w:hAnsi="Times New Roman" w:cs="Times New Roman"/>
                <w:noProof/>
                <w:webHidden/>
                <w:sz w:val="24"/>
                <w:szCs w:val="24"/>
              </w:rPr>
              <w:fldChar w:fldCharType="end"/>
            </w:r>
          </w:hyperlink>
        </w:p>
        <w:p w14:paraId="19488D70" w14:textId="70D3F000"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6" w:history="1">
            <w:r w:rsidRPr="006262A7">
              <w:rPr>
                <w:rStyle w:val="Hyperlink"/>
                <w:rFonts w:ascii="Times New Roman" w:hAnsi="Times New Roman" w:cs="Times New Roman"/>
                <w:noProof/>
                <w:sz w:val="24"/>
                <w:szCs w:val="24"/>
              </w:rPr>
              <w:t>Network-level metrics and their potential applications for forest restoration</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_Toc195189616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45</w:t>
            </w:r>
            <w:r w:rsidRPr="006262A7">
              <w:rPr>
                <w:rFonts w:ascii="Times New Roman" w:hAnsi="Times New Roman" w:cs="Times New Roman"/>
                <w:noProof/>
                <w:webHidden/>
                <w:sz w:val="24"/>
                <w:szCs w:val="24"/>
              </w:rPr>
              <w:fldChar w:fldCharType="end"/>
            </w:r>
          </w:hyperlink>
        </w:p>
        <w:p w14:paraId="0F66CF64" w14:textId="68CC0067"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7" w:history="1">
            <w:r w:rsidRPr="006262A7">
              <w:rPr>
                <w:rStyle w:val="Hyperlink"/>
                <w:rFonts w:ascii="Times New Roman" w:hAnsi="Times New Roman" w:cs="Times New Roman"/>
                <w:noProof/>
                <w:sz w:val="24"/>
                <w:szCs w:val="24"/>
                <w:highlight w:val="white"/>
              </w:rPr>
              <w:t>Identifying important species-level metrics and functional traits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_Toc195189617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48</w:t>
            </w:r>
            <w:r w:rsidRPr="006262A7">
              <w:rPr>
                <w:rFonts w:ascii="Times New Roman" w:hAnsi="Times New Roman" w:cs="Times New Roman"/>
                <w:noProof/>
                <w:webHidden/>
                <w:sz w:val="24"/>
                <w:szCs w:val="24"/>
              </w:rPr>
              <w:fldChar w:fldCharType="end"/>
            </w:r>
          </w:hyperlink>
        </w:p>
        <w:p w14:paraId="762EF0AA" w14:textId="0A68882C"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8" w:history="1">
            <w:r w:rsidRPr="006262A7">
              <w:rPr>
                <w:rStyle w:val="Hyperlink"/>
                <w:rFonts w:ascii="Times New Roman" w:hAnsi="Times New Roman" w:cs="Times New Roman"/>
                <w:noProof/>
                <w:sz w:val="24"/>
                <w:szCs w:val="24"/>
                <w:highlight w:val="white"/>
              </w:rPr>
              <w:t>Pitfalls and challenges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_Toc195189618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51</w:t>
            </w:r>
            <w:r w:rsidRPr="006262A7">
              <w:rPr>
                <w:rFonts w:ascii="Times New Roman" w:hAnsi="Times New Roman" w:cs="Times New Roman"/>
                <w:noProof/>
                <w:webHidden/>
                <w:sz w:val="24"/>
                <w:szCs w:val="24"/>
              </w:rPr>
              <w:fldChar w:fldCharType="end"/>
            </w:r>
          </w:hyperlink>
        </w:p>
        <w:p w14:paraId="01D39296" w14:textId="6DD95BD1"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19" w:history="1">
            <w:r w:rsidRPr="006262A7">
              <w:rPr>
                <w:rStyle w:val="Hyperlink"/>
                <w:rFonts w:ascii="Times New Roman" w:hAnsi="Times New Roman" w:cs="Times New Roman"/>
                <w:noProof/>
                <w:sz w:val="24"/>
                <w:szCs w:val="24"/>
                <w:highlight w:val="white"/>
              </w:rPr>
              <w:t>How seed dispersal is integrated in restoration practices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_Toc195189619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53</w:t>
            </w:r>
            <w:r w:rsidRPr="006262A7">
              <w:rPr>
                <w:rFonts w:ascii="Times New Roman" w:hAnsi="Times New Roman" w:cs="Times New Roman"/>
                <w:noProof/>
                <w:webHidden/>
                <w:sz w:val="24"/>
                <w:szCs w:val="24"/>
              </w:rPr>
              <w:fldChar w:fldCharType="end"/>
            </w:r>
          </w:hyperlink>
        </w:p>
        <w:p w14:paraId="2CAB3C77" w14:textId="1DBCDE19"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20" w:history="1">
            <w:r w:rsidRPr="006262A7">
              <w:rPr>
                <w:rStyle w:val="Hyperlink"/>
                <w:rFonts w:ascii="Times New Roman" w:hAnsi="Times New Roman" w:cs="Times New Roman"/>
                <w:noProof/>
                <w:sz w:val="24"/>
                <w:szCs w:val="24"/>
              </w:rPr>
              <w:t>Looking forward: addressing knowledge gaps and future directions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_Toc195189620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54</w:t>
            </w:r>
            <w:r w:rsidRPr="006262A7">
              <w:rPr>
                <w:rFonts w:ascii="Times New Roman" w:hAnsi="Times New Roman" w:cs="Times New Roman"/>
                <w:noProof/>
                <w:webHidden/>
                <w:sz w:val="24"/>
                <w:szCs w:val="24"/>
              </w:rPr>
              <w:fldChar w:fldCharType="end"/>
            </w:r>
          </w:hyperlink>
        </w:p>
        <w:p w14:paraId="403B6F02" w14:textId="5EE4A24F"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21" w:history="1">
            <w:r w:rsidRPr="006262A7">
              <w:rPr>
                <w:rStyle w:val="Hyperlink"/>
                <w:rFonts w:ascii="Times New Roman" w:hAnsi="Times New Roman" w:cs="Times New Roman"/>
                <w:i w:val="0"/>
                <w:iCs w:val="0"/>
                <w:noProof/>
                <w:sz w:val="24"/>
                <w:szCs w:val="24"/>
              </w:rPr>
              <w:t>References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_Toc195189621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57</w:t>
            </w:r>
            <w:r w:rsidRPr="006262A7">
              <w:rPr>
                <w:rFonts w:ascii="Times New Roman" w:hAnsi="Times New Roman" w:cs="Times New Roman"/>
                <w:i w:val="0"/>
                <w:iCs w:val="0"/>
                <w:noProof/>
                <w:webHidden/>
                <w:sz w:val="24"/>
                <w:szCs w:val="24"/>
              </w:rPr>
              <w:fldChar w:fldCharType="end"/>
            </w:r>
          </w:hyperlink>
        </w:p>
        <w:p w14:paraId="431E7F09" w14:textId="51AE3AF8"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22" w:history="1">
            <w:r w:rsidRPr="006262A7">
              <w:rPr>
                <w:rStyle w:val="Hyperlink"/>
                <w:rFonts w:ascii="Times New Roman" w:hAnsi="Times New Roman" w:cs="Times New Roman"/>
                <w:i w:val="0"/>
                <w:iCs w:val="0"/>
                <w:noProof/>
                <w:sz w:val="24"/>
                <w:szCs w:val="24"/>
              </w:rPr>
              <w:t>Appendix</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_Toc195189622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72</w:t>
            </w:r>
            <w:r w:rsidRPr="006262A7">
              <w:rPr>
                <w:rFonts w:ascii="Times New Roman" w:hAnsi="Times New Roman" w:cs="Times New Roman"/>
                <w:i w:val="0"/>
                <w:iCs w:val="0"/>
                <w:noProof/>
                <w:webHidden/>
                <w:sz w:val="24"/>
                <w:szCs w:val="24"/>
              </w:rPr>
              <w:fldChar w:fldCharType="end"/>
            </w:r>
          </w:hyperlink>
        </w:p>
        <w:p w14:paraId="03FC57E9" w14:textId="3C73A82A" w:rsidR="006262A7" w:rsidRPr="006262A7" w:rsidRDefault="006262A7" w:rsidP="006262A7">
          <w:pPr>
            <w:pStyle w:val="TOC1"/>
            <w:tabs>
              <w:tab w:val="right" w:leader="dot" w:pos="9350"/>
            </w:tabs>
            <w:spacing w:before="0" w:after="0"/>
            <w:rPr>
              <w:rFonts w:ascii="Times New Roman" w:eastAsiaTheme="minorEastAsia" w:hAnsi="Times New Roman" w:cs="Times New Roman"/>
              <w:b w:val="0"/>
              <w:bCs w:val="0"/>
              <w:noProof/>
              <w:sz w:val="24"/>
              <w:szCs w:val="24"/>
            </w:rPr>
          </w:pPr>
          <w:hyperlink w:anchor="_Toc195189623" w:history="1">
            <w:r w:rsidRPr="006262A7">
              <w:rPr>
                <w:rStyle w:val="Hyperlink"/>
                <w:rFonts w:ascii="Times New Roman" w:hAnsi="Times New Roman" w:cs="Times New Roman"/>
                <w:b w:val="0"/>
                <w:bCs w:val="0"/>
                <w:noProof/>
                <w:sz w:val="24"/>
                <w:szCs w:val="24"/>
              </w:rPr>
              <w:t>Chapter 2: Evaluating functional diversity indices as indicators of bird community responses to tropical forest regeneration in northwest Ecuador</w:t>
            </w:r>
            <w:r w:rsidRPr="006262A7">
              <w:rPr>
                <w:rFonts w:ascii="Times New Roman" w:hAnsi="Times New Roman" w:cs="Times New Roman"/>
                <w:b w:val="0"/>
                <w:bCs w:val="0"/>
                <w:noProof/>
                <w:webHidden/>
                <w:sz w:val="24"/>
                <w:szCs w:val="24"/>
              </w:rPr>
              <w:tab/>
            </w:r>
            <w:r w:rsidRPr="006262A7">
              <w:rPr>
                <w:rFonts w:ascii="Times New Roman" w:hAnsi="Times New Roman" w:cs="Times New Roman"/>
                <w:b w:val="0"/>
                <w:bCs w:val="0"/>
                <w:noProof/>
                <w:webHidden/>
                <w:sz w:val="24"/>
                <w:szCs w:val="24"/>
              </w:rPr>
              <w:fldChar w:fldCharType="begin"/>
            </w:r>
            <w:r w:rsidRPr="006262A7">
              <w:rPr>
                <w:rFonts w:ascii="Times New Roman" w:hAnsi="Times New Roman" w:cs="Times New Roman"/>
                <w:b w:val="0"/>
                <w:bCs w:val="0"/>
                <w:noProof/>
                <w:webHidden/>
                <w:sz w:val="24"/>
                <w:szCs w:val="24"/>
              </w:rPr>
              <w:instrText xml:space="preserve"> PAGEREF _Toc195189623 \h </w:instrText>
            </w:r>
            <w:r w:rsidRPr="006262A7">
              <w:rPr>
                <w:rFonts w:ascii="Times New Roman" w:hAnsi="Times New Roman" w:cs="Times New Roman"/>
                <w:b w:val="0"/>
                <w:bCs w:val="0"/>
                <w:noProof/>
                <w:webHidden/>
                <w:sz w:val="24"/>
                <w:szCs w:val="24"/>
              </w:rPr>
            </w:r>
            <w:r w:rsidRPr="006262A7">
              <w:rPr>
                <w:rFonts w:ascii="Times New Roman" w:hAnsi="Times New Roman" w:cs="Times New Roman"/>
                <w:b w:val="0"/>
                <w:bCs w:val="0"/>
                <w:noProof/>
                <w:webHidden/>
                <w:sz w:val="24"/>
                <w:szCs w:val="24"/>
              </w:rPr>
              <w:fldChar w:fldCharType="separate"/>
            </w:r>
            <w:r w:rsidRPr="006262A7">
              <w:rPr>
                <w:rFonts w:ascii="Times New Roman" w:hAnsi="Times New Roman" w:cs="Times New Roman"/>
                <w:b w:val="0"/>
                <w:bCs w:val="0"/>
                <w:noProof/>
                <w:webHidden/>
                <w:sz w:val="24"/>
                <w:szCs w:val="24"/>
              </w:rPr>
              <w:t>73</w:t>
            </w:r>
            <w:r w:rsidRPr="006262A7">
              <w:rPr>
                <w:rFonts w:ascii="Times New Roman" w:hAnsi="Times New Roman" w:cs="Times New Roman"/>
                <w:b w:val="0"/>
                <w:bCs w:val="0"/>
                <w:noProof/>
                <w:webHidden/>
                <w:sz w:val="24"/>
                <w:szCs w:val="24"/>
              </w:rPr>
              <w:fldChar w:fldCharType="end"/>
            </w:r>
          </w:hyperlink>
        </w:p>
        <w:p w14:paraId="02C53EBE" w14:textId="70A68D76"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24" w:history="1">
            <w:r w:rsidRPr="006262A7">
              <w:rPr>
                <w:rStyle w:val="Hyperlink"/>
                <w:rFonts w:ascii="Times New Roman" w:hAnsi="Times New Roman" w:cs="Times New Roman"/>
                <w:i w:val="0"/>
                <w:iCs w:val="0"/>
                <w:noProof/>
                <w:sz w:val="24"/>
                <w:szCs w:val="24"/>
              </w:rPr>
              <w:t>Abstract</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_Toc195189624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75</w:t>
            </w:r>
            <w:r w:rsidRPr="006262A7">
              <w:rPr>
                <w:rFonts w:ascii="Times New Roman" w:hAnsi="Times New Roman" w:cs="Times New Roman"/>
                <w:i w:val="0"/>
                <w:iCs w:val="0"/>
                <w:noProof/>
                <w:webHidden/>
                <w:sz w:val="24"/>
                <w:szCs w:val="24"/>
              </w:rPr>
              <w:fldChar w:fldCharType="end"/>
            </w:r>
          </w:hyperlink>
        </w:p>
        <w:p w14:paraId="6404C23B" w14:textId="3F83788F"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25" w:history="1">
            <w:r w:rsidRPr="006262A7">
              <w:rPr>
                <w:rStyle w:val="Hyperlink"/>
                <w:rFonts w:ascii="Times New Roman" w:hAnsi="Times New Roman" w:cs="Times New Roman"/>
                <w:i w:val="0"/>
                <w:iCs w:val="0"/>
                <w:noProof/>
                <w:sz w:val="24"/>
                <w:szCs w:val="24"/>
              </w:rPr>
              <w:t>Introduction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_Toc195189625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76</w:t>
            </w:r>
            <w:r w:rsidRPr="006262A7">
              <w:rPr>
                <w:rFonts w:ascii="Times New Roman" w:hAnsi="Times New Roman" w:cs="Times New Roman"/>
                <w:i w:val="0"/>
                <w:iCs w:val="0"/>
                <w:noProof/>
                <w:webHidden/>
                <w:sz w:val="24"/>
                <w:szCs w:val="24"/>
              </w:rPr>
              <w:fldChar w:fldCharType="end"/>
            </w:r>
          </w:hyperlink>
        </w:p>
        <w:p w14:paraId="259C4F05" w14:textId="441ED1E1"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26" w:history="1">
            <w:r w:rsidRPr="006262A7">
              <w:rPr>
                <w:rStyle w:val="Hyperlink"/>
                <w:rFonts w:ascii="Times New Roman" w:hAnsi="Times New Roman" w:cs="Times New Roman"/>
                <w:i w:val="0"/>
                <w:iCs w:val="0"/>
                <w:noProof/>
                <w:sz w:val="24"/>
                <w:szCs w:val="24"/>
              </w:rPr>
              <w:t>Methods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_Toc195189626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78</w:t>
            </w:r>
            <w:r w:rsidRPr="006262A7">
              <w:rPr>
                <w:rFonts w:ascii="Times New Roman" w:hAnsi="Times New Roman" w:cs="Times New Roman"/>
                <w:i w:val="0"/>
                <w:iCs w:val="0"/>
                <w:noProof/>
                <w:webHidden/>
                <w:sz w:val="24"/>
                <w:szCs w:val="24"/>
              </w:rPr>
              <w:fldChar w:fldCharType="end"/>
            </w:r>
          </w:hyperlink>
        </w:p>
        <w:p w14:paraId="7890276A" w14:textId="4C8B795B"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27" w:history="1">
            <w:r w:rsidRPr="006262A7">
              <w:rPr>
                <w:rStyle w:val="Hyperlink"/>
                <w:rFonts w:ascii="Times New Roman" w:eastAsia="Calibri" w:hAnsi="Times New Roman" w:cs="Times New Roman"/>
                <w:noProof/>
                <w:sz w:val="24"/>
                <w:szCs w:val="24"/>
              </w:rPr>
              <w:t>Study site</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_Toc195189627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78</w:t>
            </w:r>
            <w:r w:rsidRPr="006262A7">
              <w:rPr>
                <w:rFonts w:ascii="Times New Roman" w:hAnsi="Times New Roman" w:cs="Times New Roman"/>
                <w:noProof/>
                <w:webHidden/>
                <w:sz w:val="24"/>
                <w:szCs w:val="24"/>
              </w:rPr>
              <w:fldChar w:fldCharType="end"/>
            </w:r>
          </w:hyperlink>
        </w:p>
        <w:p w14:paraId="4D44FAFA" w14:textId="54850621"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28" w:history="1">
            <w:r w:rsidRPr="006262A7">
              <w:rPr>
                <w:rStyle w:val="Hyperlink"/>
                <w:rFonts w:ascii="Times New Roman" w:eastAsia="Calibri" w:hAnsi="Times New Roman" w:cs="Times New Roman"/>
                <w:noProof/>
                <w:sz w:val="24"/>
                <w:szCs w:val="24"/>
              </w:rPr>
              <w:t>Sampling for bird communities and functional traits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_Toc195189628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79</w:t>
            </w:r>
            <w:r w:rsidRPr="006262A7">
              <w:rPr>
                <w:rFonts w:ascii="Times New Roman" w:hAnsi="Times New Roman" w:cs="Times New Roman"/>
                <w:noProof/>
                <w:webHidden/>
                <w:sz w:val="24"/>
                <w:szCs w:val="24"/>
              </w:rPr>
              <w:fldChar w:fldCharType="end"/>
            </w:r>
          </w:hyperlink>
        </w:p>
        <w:p w14:paraId="6A5D3131" w14:textId="351017A8"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29" w:history="1">
            <w:r w:rsidRPr="006262A7">
              <w:rPr>
                <w:rStyle w:val="Hyperlink"/>
                <w:rFonts w:ascii="Times New Roman" w:eastAsia="Calibri" w:hAnsi="Times New Roman" w:cs="Times New Roman"/>
                <w:noProof/>
                <w:sz w:val="24"/>
                <w:szCs w:val="24"/>
              </w:rPr>
              <w:t>Statistical analyses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_Toc195189629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82</w:t>
            </w:r>
            <w:r w:rsidRPr="006262A7">
              <w:rPr>
                <w:rFonts w:ascii="Times New Roman" w:hAnsi="Times New Roman" w:cs="Times New Roman"/>
                <w:noProof/>
                <w:webHidden/>
                <w:sz w:val="24"/>
                <w:szCs w:val="24"/>
              </w:rPr>
              <w:fldChar w:fldCharType="end"/>
            </w:r>
          </w:hyperlink>
        </w:p>
        <w:p w14:paraId="143525FB" w14:textId="05142778"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30" w:history="1">
            <w:r w:rsidRPr="006262A7">
              <w:rPr>
                <w:rStyle w:val="Hyperlink"/>
                <w:rFonts w:ascii="Times New Roman" w:eastAsia="Calibri" w:hAnsi="Times New Roman" w:cs="Times New Roman"/>
                <w:i w:val="0"/>
                <w:iCs w:val="0"/>
                <w:noProof/>
                <w:sz w:val="24"/>
                <w:szCs w:val="24"/>
              </w:rPr>
              <w:t>Results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_Toc195189630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84</w:t>
            </w:r>
            <w:r w:rsidRPr="006262A7">
              <w:rPr>
                <w:rFonts w:ascii="Times New Roman" w:hAnsi="Times New Roman" w:cs="Times New Roman"/>
                <w:i w:val="0"/>
                <w:iCs w:val="0"/>
                <w:noProof/>
                <w:webHidden/>
                <w:sz w:val="24"/>
                <w:szCs w:val="24"/>
              </w:rPr>
              <w:fldChar w:fldCharType="end"/>
            </w:r>
          </w:hyperlink>
        </w:p>
        <w:p w14:paraId="55FEC75A" w14:textId="6A6CAF8B"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31" w:history="1">
            <w:r w:rsidRPr="006262A7">
              <w:rPr>
                <w:rStyle w:val="Hyperlink"/>
                <w:rFonts w:ascii="Times New Roman" w:hAnsi="Times New Roman" w:cs="Times New Roman"/>
                <w:i w:val="0"/>
                <w:iCs w:val="0"/>
                <w:noProof/>
                <w:sz w:val="24"/>
                <w:szCs w:val="24"/>
              </w:rPr>
              <w:t>Discussion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_Toc195189631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94</w:t>
            </w:r>
            <w:r w:rsidRPr="006262A7">
              <w:rPr>
                <w:rFonts w:ascii="Times New Roman" w:hAnsi="Times New Roman" w:cs="Times New Roman"/>
                <w:i w:val="0"/>
                <w:iCs w:val="0"/>
                <w:noProof/>
                <w:webHidden/>
                <w:sz w:val="24"/>
                <w:szCs w:val="24"/>
              </w:rPr>
              <w:fldChar w:fldCharType="end"/>
            </w:r>
          </w:hyperlink>
        </w:p>
        <w:p w14:paraId="2A32B83D" w14:textId="7899FEE7"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32" w:history="1">
            <w:r w:rsidRPr="006262A7">
              <w:rPr>
                <w:rStyle w:val="Hyperlink"/>
                <w:rFonts w:ascii="Times New Roman" w:hAnsi="Times New Roman" w:cs="Times New Roman"/>
                <w:i w:val="0"/>
                <w:iCs w:val="0"/>
                <w:noProof/>
                <w:sz w:val="24"/>
                <w:szCs w:val="24"/>
              </w:rPr>
              <w:t>References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_Toc195189632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99</w:t>
            </w:r>
            <w:r w:rsidRPr="006262A7">
              <w:rPr>
                <w:rFonts w:ascii="Times New Roman" w:hAnsi="Times New Roman" w:cs="Times New Roman"/>
                <w:i w:val="0"/>
                <w:iCs w:val="0"/>
                <w:noProof/>
                <w:webHidden/>
                <w:sz w:val="24"/>
                <w:szCs w:val="24"/>
              </w:rPr>
              <w:fldChar w:fldCharType="end"/>
            </w:r>
          </w:hyperlink>
        </w:p>
        <w:p w14:paraId="76D2CF41" w14:textId="034D24AB"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33" w:history="1">
            <w:r w:rsidRPr="006262A7">
              <w:rPr>
                <w:rStyle w:val="Hyperlink"/>
                <w:rFonts w:ascii="Times New Roman" w:hAnsi="Times New Roman" w:cs="Times New Roman"/>
                <w:i w:val="0"/>
                <w:iCs w:val="0"/>
                <w:noProof/>
                <w:sz w:val="24"/>
                <w:szCs w:val="24"/>
              </w:rPr>
              <w:t>Appendix</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_Toc195189633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106</w:t>
            </w:r>
            <w:r w:rsidRPr="006262A7">
              <w:rPr>
                <w:rFonts w:ascii="Times New Roman" w:hAnsi="Times New Roman" w:cs="Times New Roman"/>
                <w:i w:val="0"/>
                <w:iCs w:val="0"/>
                <w:noProof/>
                <w:webHidden/>
                <w:sz w:val="24"/>
                <w:szCs w:val="24"/>
              </w:rPr>
              <w:fldChar w:fldCharType="end"/>
            </w:r>
          </w:hyperlink>
        </w:p>
        <w:p w14:paraId="1065DB50" w14:textId="65BAB824" w:rsidR="006262A7" w:rsidRPr="006262A7" w:rsidRDefault="006262A7" w:rsidP="006262A7">
          <w:pPr>
            <w:pStyle w:val="TOC1"/>
            <w:tabs>
              <w:tab w:val="right" w:leader="dot" w:pos="9350"/>
            </w:tabs>
            <w:spacing w:before="0" w:after="0"/>
            <w:rPr>
              <w:rFonts w:ascii="Times New Roman" w:eastAsiaTheme="minorEastAsia" w:hAnsi="Times New Roman" w:cs="Times New Roman"/>
              <w:b w:val="0"/>
              <w:bCs w:val="0"/>
              <w:noProof/>
              <w:sz w:val="24"/>
              <w:szCs w:val="24"/>
            </w:rPr>
          </w:pPr>
          <w:hyperlink w:anchor="_Toc195189634" w:history="1">
            <w:r w:rsidRPr="006262A7">
              <w:rPr>
                <w:rStyle w:val="Hyperlink"/>
                <w:rFonts w:ascii="Times New Roman" w:hAnsi="Times New Roman" w:cs="Times New Roman"/>
                <w:b w:val="0"/>
                <w:bCs w:val="0"/>
                <w:noProof/>
                <w:sz w:val="24"/>
                <w:szCs w:val="24"/>
              </w:rPr>
              <w:t xml:space="preserve">Chapter 3: Seed dispersal networks </w:t>
            </w:r>
            <w:r w:rsidR="00F61F26">
              <w:rPr>
                <w:rStyle w:val="Hyperlink"/>
                <w:rFonts w:ascii="Times New Roman" w:hAnsi="Times New Roman" w:cs="Times New Roman"/>
                <w:b w:val="0"/>
                <w:bCs w:val="0"/>
                <w:noProof/>
                <w:sz w:val="24"/>
                <w:szCs w:val="24"/>
              </w:rPr>
              <w:t xml:space="preserve">resturucture to </w:t>
            </w:r>
            <w:r w:rsidRPr="006262A7">
              <w:rPr>
                <w:rStyle w:val="Hyperlink"/>
                <w:rFonts w:ascii="Times New Roman" w:hAnsi="Times New Roman" w:cs="Times New Roman"/>
                <w:b w:val="0"/>
                <w:bCs w:val="0"/>
                <w:noProof/>
                <w:sz w:val="24"/>
                <w:szCs w:val="24"/>
              </w:rPr>
              <w:t>become more</w:t>
            </w:r>
            <w:r w:rsidR="00F61F26">
              <w:rPr>
                <w:rStyle w:val="Hyperlink"/>
                <w:rFonts w:ascii="Times New Roman" w:hAnsi="Times New Roman" w:cs="Times New Roman"/>
                <w:b w:val="0"/>
                <w:bCs w:val="0"/>
                <w:noProof/>
                <w:sz w:val="24"/>
                <w:szCs w:val="24"/>
              </w:rPr>
              <w:t xml:space="preserve"> specalized</w:t>
            </w:r>
            <w:r w:rsidRPr="006262A7">
              <w:rPr>
                <w:rStyle w:val="Hyperlink"/>
                <w:rFonts w:ascii="Times New Roman" w:hAnsi="Times New Roman" w:cs="Times New Roman"/>
                <w:b w:val="0"/>
                <w:bCs w:val="0"/>
                <w:noProof/>
                <w:sz w:val="24"/>
                <w:szCs w:val="24"/>
              </w:rPr>
              <w:t xml:space="preserve"> </w:t>
            </w:r>
            <w:r w:rsidR="00C4277D">
              <w:rPr>
                <w:rStyle w:val="Hyperlink"/>
                <w:rFonts w:ascii="Times New Roman" w:hAnsi="Times New Roman" w:cs="Times New Roman"/>
                <w:b w:val="0"/>
                <w:bCs w:val="0"/>
                <w:noProof/>
                <w:sz w:val="24"/>
                <w:szCs w:val="24"/>
              </w:rPr>
              <w:t>across</w:t>
            </w:r>
            <w:r w:rsidRPr="006262A7">
              <w:rPr>
                <w:rStyle w:val="Hyperlink"/>
                <w:rFonts w:ascii="Times New Roman" w:hAnsi="Times New Roman" w:cs="Times New Roman"/>
                <w:b w:val="0"/>
                <w:bCs w:val="0"/>
                <w:noProof/>
                <w:sz w:val="24"/>
                <w:szCs w:val="24"/>
              </w:rPr>
              <w:t xml:space="preserve"> tropical forest regeneration, northwest Ecuador</w:t>
            </w:r>
            <w:r w:rsidRPr="006262A7">
              <w:rPr>
                <w:rFonts w:ascii="Times New Roman" w:hAnsi="Times New Roman" w:cs="Times New Roman"/>
                <w:b w:val="0"/>
                <w:bCs w:val="0"/>
                <w:noProof/>
                <w:webHidden/>
                <w:sz w:val="24"/>
                <w:szCs w:val="24"/>
              </w:rPr>
              <w:tab/>
            </w:r>
            <w:r w:rsidRPr="006262A7">
              <w:rPr>
                <w:rFonts w:ascii="Times New Roman" w:hAnsi="Times New Roman" w:cs="Times New Roman"/>
                <w:b w:val="0"/>
                <w:bCs w:val="0"/>
                <w:noProof/>
                <w:webHidden/>
                <w:sz w:val="24"/>
                <w:szCs w:val="24"/>
              </w:rPr>
              <w:fldChar w:fldCharType="begin"/>
            </w:r>
            <w:r w:rsidRPr="006262A7">
              <w:rPr>
                <w:rFonts w:ascii="Times New Roman" w:hAnsi="Times New Roman" w:cs="Times New Roman"/>
                <w:b w:val="0"/>
                <w:bCs w:val="0"/>
                <w:noProof/>
                <w:webHidden/>
                <w:sz w:val="24"/>
                <w:szCs w:val="24"/>
              </w:rPr>
              <w:instrText xml:space="preserve"> PAGEREF _Toc195189634 \h </w:instrText>
            </w:r>
            <w:r w:rsidRPr="006262A7">
              <w:rPr>
                <w:rFonts w:ascii="Times New Roman" w:hAnsi="Times New Roman" w:cs="Times New Roman"/>
                <w:b w:val="0"/>
                <w:bCs w:val="0"/>
                <w:noProof/>
                <w:webHidden/>
                <w:sz w:val="24"/>
                <w:szCs w:val="24"/>
              </w:rPr>
            </w:r>
            <w:r w:rsidRPr="006262A7">
              <w:rPr>
                <w:rFonts w:ascii="Times New Roman" w:hAnsi="Times New Roman" w:cs="Times New Roman"/>
                <w:b w:val="0"/>
                <w:bCs w:val="0"/>
                <w:noProof/>
                <w:webHidden/>
                <w:sz w:val="24"/>
                <w:szCs w:val="24"/>
              </w:rPr>
              <w:fldChar w:fldCharType="separate"/>
            </w:r>
            <w:r w:rsidRPr="006262A7">
              <w:rPr>
                <w:rFonts w:ascii="Times New Roman" w:hAnsi="Times New Roman" w:cs="Times New Roman"/>
                <w:b w:val="0"/>
                <w:bCs w:val="0"/>
                <w:noProof/>
                <w:webHidden/>
                <w:sz w:val="24"/>
                <w:szCs w:val="24"/>
              </w:rPr>
              <w:t>115</w:t>
            </w:r>
            <w:r w:rsidRPr="006262A7">
              <w:rPr>
                <w:rFonts w:ascii="Times New Roman" w:hAnsi="Times New Roman" w:cs="Times New Roman"/>
                <w:b w:val="0"/>
                <w:bCs w:val="0"/>
                <w:noProof/>
                <w:webHidden/>
                <w:sz w:val="24"/>
                <w:szCs w:val="24"/>
              </w:rPr>
              <w:fldChar w:fldCharType="end"/>
            </w:r>
          </w:hyperlink>
        </w:p>
        <w:p w14:paraId="2E9B58B7" w14:textId="014A9C1A"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35" w:history="1">
            <w:r w:rsidRPr="006262A7">
              <w:rPr>
                <w:rStyle w:val="Hyperlink"/>
                <w:rFonts w:ascii="Times New Roman" w:hAnsi="Times New Roman" w:cs="Times New Roman"/>
                <w:i w:val="0"/>
                <w:iCs w:val="0"/>
                <w:noProof/>
                <w:sz w:val="24"/>
                <w:szCs w:val="24"/>
              </w:rPr>
              <w:t>Abstract</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_Toc195189635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117</w:t>
            </w:r>
            <w:r w:rsidRPr="006262A7">
              <w:rPr>
                <w:rFonts w:ascii="Times New Roman" w:hAnsi="Times New Roman" w:cs="Times New Roman"/>
                <w:i w:val="0"/>
                <w:iCs w:val="0"/>
                <w:noProof/>
                <w:webHidden/>
                <w:sz w:val="24"/>
                <w:szCs w:val="24"/>
              </w:rPr>
              <w:fldChar w:fldCharType="end"/>
            </w:r>
          </w:hyperlink>
        </w:p>
        <w:p w14:paraId="18A7375B" w14:textId="654C2608"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36" w:history="1">
            <w:r w:rsidRPr="006262A7">
              <w:rPr>
                <w:rStyle w:val="Hyperlink"/>
                <w:rFonts w:ascii="Times New Roman" w:hAnsi="Times New Roman" w:cs="Times New Roman"/>
                <w:i w:val="0"/>
                <w:iCs w:val="0"/>
                <w:noProof/>
                <w:sz w:val="24"/>
                <w:szCs w:val="24"/>
              </w:rPr>
              <w:t>Introduction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_Toc195189636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117</w:t>
            </w:r>
            <w:r w:rsidRPr="006262A7">
              <w:rPr>
                <w:rFonts w:ascii="Times New Roman" w:hAnsi="Times New Roman" w:cs="Times New Roman"/>
                <w:i w:val="0"/>
                <w:iCs w:val="0"/>
                <w:noProof/>
                <w:webHidden/>
                <w:sz w:val="24"/>
                <w:szCs w:val="24"/>
              </w:rPr>
              <w:fldChar w:fldCharType="end"/>
            </w:r>
          </w:hyperlink>
        </w:p>
        <w:p w14:paraId="62034D7D" w14:textId="72DB4B27"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37" w:history="1">
            <w:r w:rsidRPr="006262A7">
              <w:rPr>
                <w:rStyle w:val="Hyperlink"/>
                <w:rFonts w:ascii="Times New Roman" w:hAnsi="Times New Roman" w:cs="Times New Roman"/>
                <w:i w:val="0"/>
                <w:iCs w:val="0"/>
                <w:noProof/>
                <w:sz w:val="24"/>
                <w:szCs w:val="24"/>
              </w:rPr>
              <w:t>Methods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_Toc195189637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120</w:t>
            </w:r>
            <w:r w:rsidRPr="006262A7">
              <w:rPr>
                <w:rFonts w:ascii="Times New Roman" w:hAnsi="Times New Roman" w:cs="Times New Roman"/>
                <w:i w:val="0"/>
                <w:iCs w:val="0"/>
                <w:noProof/>
                <w:webHidden/>
                <w:sz w:val="24"/>
                <w:szCs w:val="24"/>
              </w:rPr>
              <w:fldChar w:fldCharType="end"/>
            </w:r>
          </w:hyperlink>
        </w:p>
        <w:p w14:paraId="33C08D6D" w14:textId="33320CFA"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38" w:history="1">
            <w:r w:rsidRPr="006262A7">
              <w:rPr>
                <w:rStyle w:val="Hyperlink"/>
                <w:rFonts w:ascii="Times New Roman" w:hAnsi="Times New Roman" w:cs="Times New Roman"/>
                <w:noProof/>
                <w:sz w:val="24"/>
                <w:szCs w:val="24"/>
              </w:rPr>
              <w:t>Study site</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_Toc195189638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120</w:t>
            </w:r>
            <w:r w:rsidRPr="006262A7">
              <w:rPr>
                <w:rFonts w:ascii="Times New Roman" w:hAnsi="Times New Roman" w:cs="Times New Roman"/>
                <w:noProof/>
                <w:webHidden/>
                <w:sz w:val="24"/>
                <w:szCs w:val="24"/>
              </w:rPr>
              <w:fldChar w:fldCharType="end"/>
            </w:r>
          </w:hyperlink>
        </w:p>
        <w:p w14:paraId="7CFE6057" w14:textId="34DF9F18"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39" w:history="1">
            <w:r w:rsidRPr="006262A7">
              <w:rPr>
                <w:rStyle w:val="Hyperlink"/>
                <w:rFonts w:ascii="Times New Roman" w:hAnsi="Times New Roman" w:cs="Times New Roman"/>
                <w:noProof/>
                <w:sz w:val="24"/>
                <w:szCs w:val="24"/>
              </w:rPr>
              <w:t>Surveying for fruit frugivore interactions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_Toc195189639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120</w:t>
            </w:r>
            <w:r w:rsidRPr="006262A7">
              <w:rPr>
                <w:rFonts w:ascii="Times New Roman" w:hAnsi="Times New Roman" w:cs="Times New Roman"/>
                <w:noProof/>
                <w:webHidden/>
                <w:sz w:val="24"/>
                <w:szCs w:val="24"/>
              </w:rPr>
              <w:fldChar w:fldCharType="end"/>
            </w:r>
          </w:hyperlink>
        </w:p>
        <w:p w14:paraId="45C2F054" w14:textId="493C3F0C" w:rsidR="006262A7" w:rsidRPr="006262A7" w:rsidRDefault="006262A7" w:rsidP="006262A7">
          <w:pPr>
            <w:pStyle w:val="TOC3"/>
            <w:spacing w:before="0" w:line="360" w:lineRule="auto"/>
            <w:rPr>
              <w:rFonts w:ascii="Times New Roman" w:eastAsiaTheme="minorEastAsia" w:hAnsi="Times New Roman" w:cs="Times New Roman"/>
              <w:noProof/>
              <w:sz w:val="24"/>
              <w:szCs w:val="24"/>
            </w:rPr>
          </w:pPr>
          <w:hyperlink w:anchor="_Toc195189640" w:history="1">
            <w:r w:rsidRPr="006262A7">
              <w:rPr>
                <w:rStyle w:val="Hyperlink"/>
                <w:rFonts w:ascii="Times New Roman" w:hAnsi="Times New Roman" w:cs="Times New Roman"/>
                <w:noProof/>
                <w:sz w:val="24"/>
                <w:szCs w:val="24"/>
              </w:rPr>
              <w:t xml:space="preserve">Statistical </w:t>
            </w:r>
            <w:r w:rsidR="00C4277D">
              <w:rPr>
                <w:rStyle w:val="Hyperlink"/>
                <w:rFonts w:ascii="Times New Roman" w:hAnsi="Times New Roman" w:cs="Times New Roman"/>
                <w:noProof/>
                <w:sz w:val="24"/>
                <w:szCs w:val="24"/>
              </w:rPr>
              <w:t>a</w:t>
            </w:r>
            <w:r w:rsidRPr="006262A7">
              <w:rPr>
                <w:rStyle w:val="Hyperlink"/>
                <w:rFonts w:ascii="Times New Roman" w:hAnsi="Times New Roman" w:cs="Times New Roman"/>
                <w:noProof/>
                <w:sz w:val="24"/>
                <w:szCs w:val="24"/>
              </w:rPr>
              <w:t>nalyses</w:t>
            </w:r>
            <w:r w:rsidRPr="006262A7">
              <w:rPr>
                <w:rFonts w:ascii="Times New Roman" w:hAnsi="Times New Roman" w:cs="Times New Roman"/>
                <w:noProof/>
                <w:webHidden/>
                <w:sz w:val="24"/>
                <w:szCs w:val="24"/>
              </w:rPr>
              <w:tab/>
            </w:r>
            <w:r w:rsidRPr="006262A7">
              <w:rPr>
                <w:rFonts w:ascii="Times New Roman" w:hAnsi="Times New Roman" w:cs="Times New Roman"/>
                <w:noProof/>
                <w:webHidden/>
                <w:sz w:val="24"/>
                <w:szCs w:val="24"/>
              </w:rPr>
              <w:fldChar w:fldCharType="begin"/>
            </w:r>
            <w:r w:rsidRPr="006262A7">
              <w:rPr>
                <w:rFonts w:ascii="Times New Roman" w:hAnsi="Times New Roman" w:cs="Times New Roman"/>
                <w:noProof/>
                <w:webHidden/>
                <w:sz w:val="24"/>
                <w:szCs w:val="24"/>
              </w:rPr>
              <w:instrText xml:space="preserve"> PAGEREF _Toc195189640 \h </w:instrText>
            </w:r>
            <w:r w:rsidRPr="006262A7">
              <w:rPr>
                <w:rFonts w:ascii="Times New Roman" w:hAnsi="Times New Roman" w:cs="Times New Roman"/>
                <w:noProof/>
                <w:webHidden/>
                <w:sz w:val="24"/>
                <w:szCs w:val="24"/>
              </w:rPr>
            </w:r>
            <w:r w:rsidRPr="006262A7">
              <w:rPr>
                <w:rFonts w:ascii="Times New Roman" w:hAnsi="Times New Roman" w:cs="Times New Roman"/>
                <w:noProof/>
                <w:webHidden/>
                <w:sz w:val="24"/>
                <w:szCs w:val="24"/>
              </w:rPr>
              <w:fldChar w:fldCharType="separate"/>
            </w:r>
            <w:r w:rsidRPr="006262A7">
              <w:rPr>
                <w:rFonts w:ascii="Times New Roman" w:hAnsi="Times New Roman" w:cs="Times New Roman"/>
                <w:noProof/>
                <w:webHidden/>
                <w:sz w:val="24"/>
                <w:szCs w:val="24"/>
              </w:rPr>
              <w:t>122</w:t>
            </w:r>
            <w:r w:rsidRPr="006262A7">
              <w:rPr>
                <w:rFonts w:ascii="Times New Roman" w:hAnsi="Times New Roman" w:cs="Times New Roman"/>
                <w:noProof/>
                <w:webHidden/>
                <w:sz w:val="24"/>
                <w:szCs w:val="24"/>
              </w:rPr>
              <w:fldChar w:fldCharType="end"/>
            </w:r>
          </w:hyperlink>
        </w:p>
        <w:p w14:paraId="628A909E" w14:textId="0B31EAFE"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41" w:history="1">
            <w:r w:rsidRPr="006262A7">
              <w:rPr>
                <w:rStyle w:val="Hyperlink"/>
                <w:rFonts w:ascii="Times New Roman" w:hAnsi="Times New Roman" w:cs="Times New Roman"/>
                <w:i w:val="0"/>
                <w:iCs w:val="0"/>
                <w:noProof/>
                <w:sz w:val="24"/>
                <w:szCs w:val="24"/>
              </w:rPr>
              <w:t>Results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_Toc195189641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124</w:t>
            </w:r>
            <w:r w:rsidRPr="006262A7">
              <w:rPr>
                <w:rFonts w:ascii="Times New Roman" w:hAnsi="Times New Roman" w:cs="Times New Roman"/>
                <w:i w:val="0"/>
                <w:iCs w:val="0"/>
                <w:noProof/>
                <w:webHidden/>
                <w:sz w:val="24"/>
                <w:szCs w:val="24"/>
              </w:rPr>
              <w:fldChar w:fldCharType="end"/>
            </w:r>
          </w:hyperlink>
        </w:p>
        <w:p w14:paraId="78DAEFE3" w14:textId="57500882"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42" w:history="1">
            <w:r w:rsidRPr="006262A7">
              <w:rPr>
                <w:rStyle w:val="Hyperlink"/>
                <w:rFonts w:ascii="Times New Roman" w:hAnsi="Times New Roman" w:cs="Times New Roman"/>
                <w:i w:val="0"/>
                <w:iCs w:val="0"/>
                <w:noProof/>
                <w:sz w:val="24"/>
                <w:szCs w:val="24"/>
              </w:rPr>
              <w:t>Discussion</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_Toc195189642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130</w:t>
            </w:r>
            <w:r w:rsidRPr="006262A7">
              <w:rPr>
                <w:rFonts w:ascii="Times New Roman" w:hAnsi="Times New Roman" w:cs="Times New Roman"/>
                <w:i w:val="0"/>
                <w:iCs w:val="0"/>
                <w:noProof/>
                <w:webHidden/>
                <w:sz w:val="24"/>
                <w:szCs w:val="24"/>
              </w:rPr>
              <w:fldChar w:fldCharType="end"/>
            </w:r>
          </w:hyperlink>
        </w:p>
        <w:p w14:paraId="0231C64A" w14:textId="6CE0D6A2" w:rsidR="006262A7" w:rsidRPr="006262A7" w:rsidRDefault="006262A7" w:rsidP="006262A7">
          <w:pPr>
            <w:pStyle w:val="TOC1"/>
            <w:tabs>
              <w:tab w:val="right" w:leader="dot" w:pos="9350"/>
            </w:tabs>
            <w:spacing w:before="0" w:after="0"/>
            <w:rPr>
              <w:rFonts w:ascii="Times New Roman" w:eastAsiaTheme="minorEastAsia" w:hAnsi="Times New Roman" w:cs="Times New Roman"/>
              <w:b w:val="0"/>
              <w:bCs w:val="0"/>
              <w:noProof/>
              <w:sz w:val="24"/>
              <w:szCs w:val="24"/>
            </w:rPr>
          </w:pPr>
          <w:hyperlink w:anchor="_Toc195189643" w:history="1">
            <w:r w:rsidRPr="006262A7">
              <w:rPr>
                <w:rStyle w:val="Hyperlink"/>
                <w:rFonts w:ascii="Times New Roman" w:hAnsi="Times New Roman" w:cs="Times New Roman"/>
                <w:b w:val="0"/>
                <w:bCs w:val="0"/>
                <w:noProof/>
                <w:sz w:val="24"/>
                <w:szCs w:val="24"/>
              </w:rPr>
              <w:t>Conclusion</w:t>
            </w:r>
            <w:r w:rsidRPr="006262A7">
              <w:rPr>
                <w:rFonts w:ascii="Times New Roman" w:hAnsi="Times New Roman" w:cs="Times New Roman"/>
                <w:b w:val="0"/>
                <w:bCs w:val="0"/>
                <w:noProof/>
                <w:webHidden/>
                <w:sz w:val="24"/>
                <w:szCs w:val="24"/>
              </w:rPr>
              <w:tab/>
            </w:r>
            <w:r w:rsidRPr="006262A7">
              <w:rPr>
                <w:rFonts w:ascii="Times New Roman" w:hAnsi="Times New Roman" w:cs="Times New Roman"/>
                <w:b w:val="0"/>
                <w:bCs w:val="0"/>
                <w:noProof/>
                <w:webHidden/>
                <w:sz w:val="24"/>
                <w:szCs w:val="24"/>
              </w:rPr>
              <w:fldChar w:fldCharType="begin"/>
            </w:r>
            <w:r w:rsidRPr="006262A7">
              <w:rPr>
                <w:rFonts w:ascii="Times New Roman" w:hAnsi="Times New Roman" w:cs="Times New Roman"/>
                <w:b w:val="0"/>
                <w:bCs w:val="0"/>
                <w:noProof/>
                <w:webHidden/>
                <w:sz w:val="24"/>
                <w:szCs w:val="24"/>
              </w:rPr>
              <w:instrText xml:space="preserve"> PAGEREF _Toc195189643 \h </w:instrText>
            </w:r>
            <w:r w:rsidRPr="006262A7">
              <w:rPr>
                <w:rFonts w:ascii="Times New Roman" w:hAnsi="Times New Roman" w:cs="Times New Roman"/>
                <w:b w:val="0"/>
                <w:bCs w:val="0"/>
                <w:noProof/>
                <w:webHidden/>
                <w:sz w:val="24"/>
                <w:szCs w:val="24"/>
              </w:rPr>
            </w:r>
            <w:r w:rsidRPr="006262A7">
              <w:rPr>
                <w:rFonts w:ascii="Times New Roman" w:hAnsi="Times New Roman" w:cs="Times New Roman"/>
                <w:b w:val="0"/>
                <w:bCs w:val="0"/>
                <w:noProof/>
                <w:webHidden/>
                <w:sz w:val="24"/>
                <w:szCs w:val="24"/>
              </w:rPr>
              <w:fldChar w:fldCharType="separate"/>
            </w:r>
            <w:r w:rsidRPr="006262A7">
              <w:rPr>
                <w:rFonts w:ascii="Times New Roman" w:hAnsi="Times New Roman" w:cs="Times New Roman"/>
                <w:b w:val="0"/>
                <w:bCs w:val="0"/>
                <w:noProof/>
                <w:webHidden/>
                <w:sz w:val="24"/>
                <w:szCs w:val="24"/>
              </w:rPr>
              <w:t>146</w:t>
            </w:r>
            <w:r w:rsidRPr="006262A7">
              <w:rPr>
                <w:rFonts w:ascii="Times New Roman" w:hAnsi="Times New Roman" w:cs="Times New Roman"/>
                <w:b w:val="0"/>
                <w:bCs w:val="0"/>
                <w:noProof/>
                <w:webHidden/>
                <w:sz w:val="24"/>
                <w:szCs w:val="24"/>
              </w:rPr>
              <w:fldChar w:fldCharType="end"/>
            </w:r>
          </w:hyperlink>
        </w:p>
        <w:p w14:paraId="4A90AADF" w14:textId="3E1B21DA"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44" w:history="1">
            <w:r w:rsidRPr="006262A7">
              <w:rPr>
                <w:rStyle w:val="Hyperlink"/>
                <w:rFonts w:ascii="Times New Roman" w:hAnsi="Times New Roman" w:cs="Times New Roman"/>
                <w:i w:val="0"/>
                <w:iCs w:val="0"/>
                <w:noProof/>
                <w:sz w:val="24"/>
                <w:szCs w:val="24"/>
              </w:rPr>
              <w:t>Major Findings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_Toc195189644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146</w:t>
            </w:r>
            <w:r w:rsidRPr="006262A7">
              <w:rPr>
                <w:rFonts w:ascii="Times New Roman" w:hAnsi="Times New Roman" w:cs="Times New Roman"/>
                <w:i w:val="0"/>
                <w:iCs w:val="0"/>
                <w:noProof/>
                <w:webHidden/>
                <w:sz w:val="24"/>
                <w:szCs w:val="24"/>
              </w:rPr>
              <w:fldChar w:fldCharType="end"/>
            </w:r>
          </w:hyperlink>
        </w:p>
        <w:p w14:paraId="2AF80A60" w14:textId="2ACD90CF"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45" w:history="1">
            <w:r w:rsidRPr="006262A7">
              <w:rPr>
                <w:rStyle w:val="Hyperlink"/>
                <w:rFonts w:ascii="Times New Roman" w:hAnsi="Times New Roman" w:cs="Times New Roman"/>
                <w:i w:val="0"/>
                <w:iCs w:val="0"/>
                <w:noProof/>
                <w:sz w:val="24"/>
                <w:szCs w:val="24"/>
              </w:rPr>
              <w:t>Limitations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_Toc195189645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148</w:t>
            </w:r>
            <w:r w:rsidRPr="006262A7">
              <w:rPr>
                <w:rFonts w:ascii="Times New Roman" w:hAnsi="Times New Roman" w:cs="Times New Roman"/>
                <w:i w:val="0"/>
                <w:iCs w:val="0"/>
                <w:noProof/>
                <w:webHidden/>
                <w:sz w:val="24"/>
                <w:szCs w:val="24"/>
              </w:rPr>
              <w:fldChar w:fldCharType="end"/>
            </w:r>
          </w:hyperlink>
        </w:p>
        <w:p w14:paraId="08B2DBCC" w14:textId="59E2AE0C" w:rsidR="006262A7" w:rsidRPr="006262A7" w:rsidRDefault="006262A7" w:rsidP="006262A7">
          <w:pPr>
            <w:pStyle w:val="TOC2"/>
            <w:tabs>
              <w:tab w:val="right" w:leader="dot" w:pos="9350"/>
            </w:tabs>
            <w:spacing w:before="0"/>
            <w:rPr>
              <w:rFonts w:ascii="Times New Roman" w:eastAsiaTheme="minorEastAsia" w:hAnsi="Times New Roman" w:cs="Times New Roman"/>
              <w:i w:val="0"/>
              <w:iCs w:val="0"/>
              <w:noProof/>
              <w:sz w:val="24"/>
              <w:szCs w:val="24"/>
            </w:rPr>
          </w:pPr>
          <w:hyperlink w:anchor="_Toc195189646" w:history="1">
            <w:r w:rsidRPr="006262A7">
              <w:rPr>
                <w:rStyle w:val="Hyperlink"/>
                <w:rFonts w:ascii="Times New Roman" w:hAnsi="Times New Roman" w:cs="Times New Roman"/>
                <w:i w:val="0"/>
                <w:iCs w:val="0"/>
                <w:noProof/>
                <w:sz w:val="24"/>
                <w:szCs w:val="24"/>
              </w:rPr>
              <w:t>Future work</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_Toc195189646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149</w:t>
            </w:r>
            <w:r w:rsidRPr="006262A7">
              <w:rPr>
                <w:rFonts w:ascii="Times New Roman" w:hAnsi="Times New Roman" w:cs="Times New Roman"/>
                <w:i w:val="0"/>
                <w:iCs w:val="0"/>
                <w:noProof/>
                <w:webHidden/>
                <w:sz w:val="24"/>
                <w:szCs w:val="24"/>
              </w:rPr>
              <w:fldChar w:fldCharType="end"/>
            </w:r>
          </w:hyperlink>
        </w:p>
        <w:p w14:paraId="50A6C932" w14:textId="564F9C85" w:rsidR="006262A7" w:rsidRPr="006262A7" w:rsidRDefault="006262A7" w:rsidP="006262A7">
          <w:pPr>
            <w:pStyle w:val="TOC1"/>
            <w:tabs>
              <w:tab w:val="right" w:leader="dot" w:pos="9350"/>
            </w:tabs>
            <w:spacing w:before="0" w:after="0"/>
            <w:rPr>
              <w:rFonts w:ascii="Times New Roman" w:eastAsiaTheme="minorEastAsia" w:hAnsi="Times New Roman" w:cs="Times New Roman"/>
              <w:b w:val="0"/>
              <w:bCs w:val="0"/>
              <w:noProof/>
              <w:sz w:val="24"/>
              <w:szCs w:val="24"/>
            </w:rPr>
          </w:pPr>
          <w:hyperlink w:anchor="_Toc195189647" w:history="1">
            <w:r w:rsidRPr="006262A7">
              <w:rPr>
                <w:rStyle w:val="Hyperlink"/>
                <w:rFonts w:ascii="Times New Roman" w:hAnsi="Times New Roman" w:cs="Times New Roman"/>
                <w:b w:val="0"/>
                <w:bCs w:val="0"/>
                <w:noProof/>
                <w:sz w:val="24"/>
                <w:szCs w:val="24"/>
              </w:rPr>
              <w:t>Vita</w:t>
            </w:r>
            <w:r w:rsidRPr="006262A7">
              <w:rPr>
                <w:rFonts w:ascii="Times New Roman" w:hAnsi="Times New Roman" w:cs="Times New Roman"/>
                <w:b w:val="0"/>
                <w:bCs w:val="0"/>
                <w:noProof/>
                <w:webHidden/>
                <w:sz w:val="24"/>
                <w:szCs w:val="24"/>
              </w:rPr>
              <w:tab/>
            </w:r>
            <w:r w:rsidRPr="006262A7">
              <w:rPr>
                <w:rFonts w:ascii="Times New Roman" w:hAnsi="Times New Roman" w:cs="Times New Roman"/>
                <w:b w:val="0"/>
                <w:bCs w:val="0"/>
                <w:noProof/>
                <w:webHidden/>
                <w:sz w:val="24"/>
                <w:szCs w:val="24"/>
              </w:rPr>
              <w:fldChar w:fldCharType="begin"/>
            </w:r>
            <w:r w:rsidRPr="006262A7">
              <w:rPr>
                <w:rFonts w:ascii="Times New Roman" w:hAnsi="Times New Roman" w:cs="Times New Roman"/>
                <w:b w:val="0"/>
                <w:bCs w:val="0"/>
                <w:noProof/>
                <w:webHidden/>
                <w:sz w:val="24"/>
                <w:szCs w:val="24"/>
              </w:rPr>
              <w:instrText xml:space="preserve"> PAGEREF _Toc195189647 \h </w:instrText>
            </w:r>
            <w:r w:rsidRPr="006262A7">
              <w:rPr>
                <w:rFonts w:ascii="Times New Roman" w:hAnsi="Times New Roman" w:cs="Times New Roman"/>
                <w:b w:val="0"/>
                <w:bCs w:val="0"/>
                <w:noProof/>
                <w:webHidden/>
                <w:sz w:val="24"/>
                <w:szCs w:val="24"/>
              </w:rPr>
            </w:r>
            <w:r w:rsidRPr="006262A7">
              <w:rPr>
                <w:rFonts w:ascii="Times New Roman" w:hAnsi="Times New Roman" w:cs="Times New Roman"/>
                <w:b w:val="0"/>
                <w:bCs w:val="0"/>
                <w:noProof/>
                <w:webHidden/>
                <w:sz w:val="24"/>
                <w:szCs w:val="24"/>
              </w:rPr>
              <w:fldChar w:fldCharType="separate"/>
            </w:r>
            <w:r w:rsidRPr="006262A7">
              <w:rPr>
                <w:rFonts w:ascii="Times New Roman" w:hAnsi="Times New Roman" w:cs="Times New Roman"/>
                <w:b w:val="0"/>
                <w:bCs w:val="0"/>
                <w:noProof/>
                <w:webHidden/>
                <w:sz w:val="24"/>
                <w:szCs w:val="24"/>
              </w:rPr>
              <w:t>151</w:t>
            </w:r>
            <w:r w:rsidRPr="006262A7">
              <w:rPr>
                <w:rFonts w:ascii="Times New Roman" w:hAnsi="Times New Roman" w:cs="Times New Roman"/>
                <w:b w:val="0"/>
                <w:bCs w:val="0"/>
                <w:noProof/>
                <w:webHidden/>
                <w:sz w:val="24"/>
                <w:szCs w:val="24"/>
              </w:rPr>
              <w:fldChar w:fldCharType="end"/>
            </w:r>
          </w:hyperlink>
        </w:p>
        <w:p w14:paraId="2A85F845" w14:textId="5D2579B8" w:rsidR="00120276" w:rsidRPr="005240A1" w:rsidRDefault="00C831ED" w:rsidP="006262A7">
          <w:pPr>
            <w:spacing w:before="0" w:after="0"/>
            <w:rPr>
              <w:rFonts w:ascii="Times New Roman" w:hAnsi="Times New Roman" w:cs="Times New Roman"/>
            </w:rPr>
          </w:pPr>
          <w:r w:rsidRPr="006262A7">
            <w:rPr>
              <w:rFonts w:ascii="Times New Roman" w:hAnsi="Times New Roman" w:cs="Times New Roman"/>
              <w:noProof/>
              <w:color w:val="000000" w:themeColor="text1"/>
            </w:rPr>
            <w:fldChar w:fldCharType="end"/>
          </w:r>
        </w:p>
      </w:sdtContent>
    </w:sdt>
    <w:p w14:paraId="70924A54" w14:textId="77777777" w:rsidR="00120276" w:rsidRPr="00B066C6" w:rsidRDefault="00120276" w:rsidP="00BD07DC">
      <w:pPr>
        <w:rPr>
          <w:rFonts w:ascii="Times New Roman" w:hAnsi="Times New Roman" w:cs="Times New Roman"/>
          <w:b/>
          <w:bCs/>
        </w:rPr>
      </w:pPr>
    </w:p>
    <w:p w14:paraId="0B81666F" w14:textId="77777777" w:rsidR="00765353" w:rsidRPr="00B066C6" w:rsidRDefault="00765353" w:rsidP="00BD07DC">
      <w:pPr>
        <w:spacing w:before="240"/>
        <w:rPr>
          <w:rFonts w:ascii="Times New Roman" w:hAnsi="Times New Roman" w:cs="Times New Roman"/>
          <w:b/>
          <w:bCs/>
        </w:rPr>
      </w:pPr>
    </w:p>
    <w:p w14:paraId="5D354B26" w14:textId="77777777" w:rsidR="00656D85" w:rsidRDefault="00656D85" w:rsidP="00A04783">
      <w:pPr>
        <w:spacing w:before="240" w:line="240" w:lineRule="auto"/>
        <w:rPr>
          <w:rFonts w:ascii="Times New Roman" w:hAnsi="Times New Roman" w:cs="Times New Roman"/>
          <w:b/>
          <w:bCs/>
        </w:rPr>
      </w:pPr>
    </w:p>
    <w:p w14:paraId="72941230" w14:textId="77777777" w:rsidR="00751DDC" w:rsidRDefault="00751DDC">
      <w:pPr>
        <w:rPr>
          <w:rFonts w:ascii="Times New Roman" w:hAnsi="Times New Roman" w:cs="Times New Roman"/>
          <w:b/>
          <w:bCs/>
        </w:rPr>
      </w:pPr>
      <w:r>
        <w:rPr>
          <w:rFonts w:ascii="Times New Roman" w:hAnsi="Times New Roman" w:cs="Times New Roman"/>
          <w:b/>
          <w:bCs/>
        </w:rPr>
        <w:br w:type="page"/>
      </w:r>
    </w:p>
    <w:p w14:paraId="21C3AD2C" w14:textId="71022892" w:rsidR="00B53EBD" w:rsidRPr="003022FF" w:rsidRDefault="007A1AA9" w:rsidP="003022FF">
      <w:pPr>
        <w:spacing w:before="0" w:after="0"/>
        <w:jc w:val="center"/>
        <w:rPr>
          <w:rFonts w:ascii="Times New Roman" w:hAnsi="Times New Roman" w:cs="Times New Roman"/>
          <w:b/>
          <w:bCs/>
        </w:rPr>
      </w:pPr>
      <w:r w:rsidRPr="003022FF">
        <w:rPr>
          <w:rFonts w:ascii="Times New Roman" w:hAnsi="Times New Roman" w:cs="Times New Roman"/>
          <w:b/>
          <w:bCs/>
        </w:rPr>
        <w:lastRenderedPageBreak/>
        <w:t>List of Tables</w:t>
      </w:r>
    </w:p>
    <w:p w14:paraId="667E3920" w14:textId="07471BB5"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r w:rsidRPr="006262A7">
        <w:rPr>
          <w:rFonts w:ascii="Times New Roman" w:hAnsi="Times New Roman" w:cs="Times New Roman"/>
          <w:i w:val="0"/>
          <w:iCs w:val="0"/>
          <w:color w:val="000000" w:themeColor="text1"/>
          <w:sz w:val="24"/>
          <w:szCs w:val="24"/>
        </w:rPr>
        <w:fldChar w:fldCharType="begin"/>
      </w:r>
      <w:r w:rsidRPr="006262A7">
        <w:rPr>
          <w:rFonts w:ascii="Times New Roman" w:hAnsi="Times New Roman" w:cs="Times New Roman"/>
          <w:i w:val="0"/>
          <w:iCs w:val="0"/>
          <w:color w:val="000000" w:themeColor="text1"/>
          <w:sz w:val="24"/>
          <w:szCs w:val="24"/>
        </w:rPr>
        <w:instrText xml:space="preserve"> TOC \h \z \c "Table" </w:instrText>
      </w:r>
      <w:r w:rsidRPr="006262A7">
        <w:rPr>
          <w:rFonts w:ascii="Times New Roman" w:hAnsi="Times New Roman" w:cs="Times New Roman"/>
          <w:i w:val="0"/>
          <w:iCs w:val="0"/>
          <w:color w:val="000000" w:themeColor="text1"/>
          <w:sz w:val="24"/>
          <w:szCs w:val="24"/>
        </w:rPr>
        <w:fldChar w:fldCharType="separate"/>
      </w:r>
      <w:hyperlink w:anchor="_Toc195189684" w:history="1">
        <w:r w:rsidRPr="006262A7">
          <w:rPr>
            <w:rStyle w:val="Hyperlink"/>
            <w:rFonts w:ascii="Times New Roman" w:hAnsi="Times New Roman" w:cs="Times New Roman"/>
            <w:i w:val="0"/>
            <w:iCs w:val="0"/>
            <w:noProof/>
            <w:sz w:val="24"/>
            <w:szCs w:val="24"/>
          </w:rPr>
          <w:t>Table 1: Glossary of metrics commonly used to describe seed dispersal networks with the name of the metric and its acronym, the type of metric (species-level or SL, network-level or NL), the scale of which the metric is measured, a description of the metric, its ecological significance to restoration and conservation, and citations of definitions of the metric.</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_Toc195189684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31</w:t>
        </w:r>
        <w:r w:rsidRPr="006262A7">
          <w:rPr>
            <w:rFonts w:ascii="Times New Roman" w:hAnsi="Times New Roman" w:cs="Times New Roman"/>
            <w:i w:val="0"/>
            <w:iCs w:val="0"/>
            <w:noProof/>
            <w:webHidden/>
            <w:sz w:val="24"/>
            <w:szCs w:val="24"/>
          </w:rPr>
          <w:fldChar w:fldCharType="end"/>
        </w:r>
      </w:hyperlink>
    </w:p>
    <w:p w14:paraId="13625DEA" w14:textId="1C518906"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85" w:history="1">
        <w:r w:rsidRPr="006262A7">
          <w:rPr>
            <w:rStyle w:val="Hyperlink"/>
            <w:rFonts w:ascii="Times New Roman" w:hAnsi="Times New Roman" w:cs="Times New Roman"/>
            <w:i w:val="0"/>
            <w:iCs w:val="0"/>
            <w:noProof/>
            <w:sz w:val="24"/>
            <w:szCs w:val="24"/>
          </w:rPr>
          <w:t>Table 1 Continued.</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_Toc195189685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32</w:t>
        </w:r>
        <w:r w:rsidRPr="006262A7">
          <w:rPr>
            <w:rFonts w:ascii="Times New Roman" w:hAnsi="Times New Roman" w:cs="Times New Roman"/>
            <w:i w:val="0"/>
            <w:iCs w:val="0"/>
            <w:noProof/>
            <w:webHidden/>
            <w:sz w:val="24"/>
            <w:szCs w:val="24"/>
          </w:rPr>
          <w:fldChar w:fldCharType="end"/>
        </w:r>
      </w:hyperlink>
    </w:p>
    <w:p w14:paraId="3FB992F4" w14:textId="50C999E3"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86" w:history="1">
        <w:r w:rsidRPr="006262A7">
          <w:rPr>
            <w:rStyle w:val="Hyperlink"/>
            <w:rFonts w:ascii="Times New Roman" w:hAnsi="Times New Roman" w:cs="Times New Roman"/>
            <w:i w:val="0"/>
            <w:iCs w:val="0"/>
            <w:noProof/>
            <w:sz w:val="24"/>
            <w:szCs w:val="24"/>
          </w:rPr>
          <w:t>Table 1 Continued.</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_Toc195189686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33</w:t>
        </w:r>
        <w:r w:rsidRPr="006262A7">
          <w:rPr>
            <w:rFonts w:ascii="Times New Roman" w:hAnsi="Times New Roman" w:cs="Times New Roman"/>
            <w:i w:val="0"/>
            <w:iCs w:val="0"/>
            <w:noProof/>
            <w:webHidden/>
            <w:sz w:val="24"/>
            <w:szCs w:val="24"/>
          </w:rPr>
          <w:fldChar w:fldCharType="end"/>
        </w:r>
      </w:hyperlink>
    </w:p>
    <w:p w14:paraId="4D477647" w14:textId="73A6B58B"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87" w:history="1">
        <w:r w:rsidRPr="006262A7">
          <w:rPr>
            <w:rStyle w:val="Hyperlink"/>
            <w:rFonts w:ascii="Times New Roman" w:hAnsi="Times New Roman" w:cs="Times New Roman"/>
            <w:i w:val="0"/>
            <w:iCs w:val="0"/>
            <w:noProof/>
            <w:sz w:val="24"/>
            <w:szCs w:val="24"/>
          </w:rPr>
          <w:t>Table 2: Network metrics used to describe seed dispersal networks in the literature with the range and mean of measures reported from networks gathered for review.</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_Toc195189687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39</w:t>
        </w:r>
        <w:r w:rsidRPr="006262A7">
          <w:rPr>
            <w:rFonts w:ascii="Times New Roman" w:hAnsi="Times New Roman" w:cs="Times New Roman"/>
            <w:i w:val="0"/>
            <w:iCs w:val="0"/>
            <w:noProof/>
            <w:webHidden/>
            <w:sz w:val="24"/>
            <w:szCs w:val="24"/>
          </w:rPr>
          <w:fldChar w:fldCharType="end"/>
        </w:r>
      </w:hyperlink>
    </w:p>
    <w:p w14:paraId="49916140" w14:textId="2688A457"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88" w:history="1">
        <w:r w:rsidRPr="006262A7">
          <w:rPr>
            <w:rStyle w:val="Hyperlink"/>
            <w:rFonts w:ascii="Times New Roman" w:hAnsi="Times New Roman" w:cs="Times New Roman"/>
            <w:i w:val="0"/>
            <w:iCs w:val="0"/>
            <w:noProof/>
            <w:sz w:val="24"/>
            <w:szCs w:val="24"/>
          </w:rPr>
          <w:t>Table 3: Summary of results from comparisons of Kruskal-Wallis tests among network parameters including equation used, Kruskal-Wallis chi-squared, degrees of freedom (df), and p-values. Method type represents the type of sampling methods used when sampling for interactions and is either phytocentric (plant-centric), zoocentric (animal-centric), or a combination of the two types.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_Toc195189688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42</w:t>
        </w:r>
        <w:r w:rsidRPr="006262A7">
          <w:rPr>
            <w:rFonts w:ascii="Times New Roman" w:hAnsi="Times New Roman" w:cs="Times New Roman"/>
            <w:i w:val="0"/>
            <w:iCs w:val="0"/>
            <w:noProof/>
            <w:webHidden/>
            <w:sz w:val="24"/>
            <w:szCs w:val="24"/>
          </w:rPr>
          <w:fldChar w:fldCharType="end"/>
        </w:r>
      </w:hyperlink>
    </w:p>
    <w:p w14:paraId="694CBDD2" w14:textId="55119DA9"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89" w:history="1">
        <w:r w:rsidRPr="006262A7">
          <w:rPr>
            <w:rStyle w:val="Hyperlink"/>
            <w:rFonts w:ascii="Times New Roman" w:hAnsi="Times New Roman" w:cs="Times New Roman"/>
            <w:i w:val="0"/>
            <w:iCs w:val="0"/>
            <w:noProof/>
            <w:sz w:val="24"/>
            <w:szCs w:val="24"/>
          </w:rPr>
          <w:t xml:space="preserve">Table 4: Vegetation indices calculated from LiDAR data captured by drone within the FCAT Reserve. This included canopy height (m), canopy cover (%), canopy openness (%), and elevation (m-asl). “Stage” represents the four habiats: </w:t>
        </w:r>
        <w:r w:rsidRPr="006262A7">
          <w:rPr>
            <w:rStyle w:val="Hyperlink"/>
            <w:rFonts w:ascii="Times New Roman" w:hAnsi="Times New Roman" w:cs="Times New Roman"/>
            <w:i w:val="0"/>
            <w:iCs w:val="0"/>
            <w:noProof/>
            <w:sz w:val="24"/>
            <w:szCs w:val="24"/>
            <w:shd w:val="clear" w:color="auto" w:fill="FFFFFF"/>
          </w:rPr>
          <w:t>highly impacted early successional habitat (HIE), low impact early successional habitat (LIE), mid-successional secondary forest (SEC), and old growth Chocó Rainforest (OG).</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_Toc195189689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87</w:t>
        </w:r>
        <w:r w:rsidRPr="006262A7">
          <w:rPr>
            <w:rFonts w:ascii="Times New Roman" w:hAnsi="Times New Roman" w:cs="Times New Roman"/>
            <w:i w:val="0"/>
            <w:iCs w:val="0"/>
            <w:noProof/>
            <w:webHidden/>
            <w:sz w:val="24"/>
            <w:szCs w:val="24"/>
          </w:rPr>
          <w:fldChar w:fldCharType="end"/>
        </w:r>
      </w:hyperlink>
    </w:p>
    <w:p w14:paraId="401B1EDF" w14:textId="67E2B056"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0" w:history="1">
        <w:r w:rsidRPr="006262A7">
          <w:rPr>
            <w:rStyle w:val="Hyperlink"/>
            <w:rFonts w:ascii="Times New Roman" w:hAnsi="Times New Roman" w:cs="Times New Roman"/>
            <w:i w:val="0"/>
            <w:iCs w:val="0"/>
            <w:noProof/>
            <w:sz w:val="24"/>
            <w:szCs w:val="24"/>
          </w:rPr>
          <w:t>Table 5: Type III Wald chi-square tests assessing the effects of canopy cover, canopy height, elevation, and their interaction on taxonomic and functional diversity metrics. Generalized least squares (GLS) regression was used to account for spatial dependence in model residuals, with a Gaussian spatial correlation structure applied. Significant relationships (p &lt; 0.05) are highlighted in bold with an asterisk (*).</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_Toc195189690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89</w:t>
        </w:r>
        <w:r w:rsidRPr="006262A7">
          <w:rPr>
            <w:rFonts w:ascii="Times New Roman" w:hAnsi="Times New Roman" w:cs="Times New Roman"/>
            <w:i w:val="0"/>
            <w:iCs w:val="0"/>
            <w:noProof/>
            <w:webHidden/>
            <w:sz w:val="24"/>
            <w:szCs w:val="24"/>
          </w:rPr>
          <w:fldChar w:fldCharType="end"/>
        </w:r>
      </w:hyperlink>
    </w:p>
    <w:p w14:paraId="6B7C14F8" w14:textId="3DD8B220"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1" w:history="1">
        <w:r w:rsidRPr="006262A7">
          <w:rPr>
            <w:rStyle w:val="Hyperlink"/>
            <w:rFonts w:ascii="Times New Roman" w:hAnsi="Times New Roman" w:cs="Times New Roman"/>
            <w:i w:val="0"/>
            <w:iCs w:val="0"/>
            <w:noProof/>
            <w:sz w:val="24"/>
            <w:szCs w:val="24"/>
          </w:rPr>
          <w:t xml:space="preserve">Table 6: Summary of network-level metrics across four forest regeneration stages </w:t>
        </w:r>
        <w:r w:rsidRPr="006262A7">
          <w:rPr>
            <w:rStyle w:val="Hyperlink"/>
            <w:rFonts w:ascii="Times New Roman" w:eastAsiaTheme="majorEastAsia" w:hAnsi="Times New Roman" w:cs="Times New Roman"/>
            <w:i w:val="0"/>
            <w:iCs w:val="0"/>
            <w:noProof/>
            <w:sz w:val="24"/>
            <w:szCs w:val="24"/>
          </w:rPr>
          <w:t>(PA = highly impacted pasture, ES = low impact early successional vegetation, SEC = secondary forest, and OG = old growth Chocó Rainforest)</w:t>
        </w:r>
        <w:r w:rsidRPr="006262A7">
          <w:rPr>
            <w:rStyle w:val="Hyperlink"/>
            <w:rFonts w:ascii="Times New Roman" w:hAnsi="Times New Roman" w:cs="Times New Roman"/>
            <w:i w:val="0"/>
            <w:iCs w:val="0"/>
            <w:noProof/>
            <w:sz w:val="24"/>
            <w:szCs w:val="24"/>
          </w:rPr>
          <w:t xml:space="preserve">. The table presents </w:t>
        </w:r>
        <w:r w:rsidRPr="006262A7">
          <w:rPr>
            <w:rStyle w:val="Hyperlink"/>
            <w:rFonts w:ascii="Times New Roman" w:eastAsiaTheme="majorEastAsia" w:hAnsi="Times New Roman" w:cs="Times New Roman"/>
            <w:i w:val="0"/>
            <w:iCs w:val="0"/>
            <w:noProof/>
            <w:sz w:val="24"/>
            <w:szCs w:val="24"/>
          </w:rPr>
          <w:t>observed values</w:t>
        </w:r>
        <w:r w:rsidRPr="006262A7">
          <w:rPr>
            <w:rStyle w:val="Hyperlink"/>
            <w:rFonts w:ascii="Times New Roman" w:hAnsi="Times New Roman" w:cs="Times New Roman"/>
            <w:i w:val="0"/>
            <w:iCs w:val="0"/>
            <w:noProof/>
            <w:sz w:val="24"/>
            <w:szCs w:val="24"/>
          </w:rPr>
          <w:t xml:space="preserve">, </w:t>
        </w:r>
        <w:r w:rsidRPr="006262A7">
          <w:rPr>
            <w:rStyle w:val="Hyperlink"/>
            <w:rFonts w:ascii="Times New Roman" w:eastAsiaTheme="majorEastAsia" w:hAnsi="Times New Roman" w:cs="Times New Roman"/>
            <w:i w:val="0"/>
            <w:iCs w:val="0"/>
            <w:noProof/>
            <w:sz w:val="24"/>
            <w:szCs w:val="24"/>
          </w:rPr>
          <w:t>null model means</w:t>
        </w:r>
        <w:r w:rsidRPr="006262A7">
          <w:rPr>
            <w:rStyle w:val="Hyperlink"/>
            <w:rFonts w:ascii="Times New Roman" w:hAnsi="Times New Roman" w:cs="Times New Roman"/>
            <w:i w:val="0"/>
            <w:iCs w:val="0"/>
            <w:noProof/>
            <w:sz w:val="24"/>
            <w:szCs w:val="24"/>
          </w:rPr>
          <w:t xml:space="preserve"> and </w:t>
        </w:r>
        <w:r w:rsidRPr="006262A7">
          <w:rPr>
            <w:rStyle w:val="Hyperlink"/>
            <w:rFonts w:ascii="Times New Roman" w:eastAsiaTheme="majorEastAsia" w:hAnsi="Times New Roman" w:cs="Times New Roman"/>
            <w:i w:val="0"/>
            <w:iCs w:val="0"/>
            <w:noProof/>
            <w:sz w:val="24"/>
            <w:szCs w:val="24"/>
          </w:rPr>
          <w:t>standard deviations (SD)</w:t>
        </w:r>
        <w:r w:rsidRPr="006262A7">
          <w:rPr>
            <w:rStyle w:val="Hyperlink"/>
            <w:rFonts w:ascii="Times New Roman" w:hAnsi="Times New Roman" w:cs="Times New Roman"/>
            <w:i w:val="0"/>
            <w:iCs w:val="0"/>
            <w:noProof/>
            <w:sz w:val="24"/>
            <w:szCs w:val="24"/>
          </w:rPr>
          <w:t xml:space="preserve"> for n</w:t>
        </w:r>
        <w:r w:rsidRPr="006262A7">
          <w:rPr>
            <w:rStyle w:val="Hyperlink"/>
            <w:rFonts w:ascii="Times New Roman" w:eastAsiaTheme="majorEastAsia" w:hAnsi="Times New Roman" w:cs="Times New Roman"/>
            <w:i w:val="0"/>
            <w:iCs w:val="0"/>
            <w:noProof/>
            <w:sz w:val="24"/>
            <w:szCs w:val="24"/>
          </w:rPr>
          <w:t>estedness, specialization, connectance, and modularity</w:t>
        </w:r>
        <w:r w:rsidRPr="006262A7">
          <w:rPr>
            <w:rStyle w:val="Hyperlink"/>
            <w:rFonts w:ascii="Times New Roman" w:hAnsi="Times New Roman" w:cs="Times New Roman"/>
            <w:i w:val="0"/>
            <w:iCs w:val="0"/>
            <w:noProof/>
            <w:sz w:val="24"/>
            <w:szCs w:val="24"/>
          </w:rPr>
          <w:t xml:space="preserve">. </w:t>
        </w:r>
        <w:r w:rsidRPr="006262A7">
          <w:rPr>
            <w:rStyle w:val="Hyperlink"/>
            <w:rFonts w:ascii="Times New Roman" w:eastAsiaTheme="majorEastAsia" w:hAnsi="Times New Roman" w:cs="Times New Roman"/>
            <w:i w:val="0"/>
            <w:iCs w:val="0"/>
            <w:noProof/>
            <w:sz w:val="24"/>
            <w:szCs w:val="24"/>
          </w:rPr>
          <w:t>Z-scores and p-values</w:t>
        </w:r>
        <w:r w:rsidRPr="006262A7">
          <w:rPr>
            <w:rStyle w:val="Hyperlink"/>
            <w:rFonts w:ascii="Times New Roman" w:hAnsi="Times New Roman" w:cs="Times New Roman"/>
            <w:i w:val="0"/>
            <w:iCs w:val="0"/>
            <w:noProof/>
            <w:sz w:val="24"/>
            <w:szCs w:val="24"/>
          </w:rPr>
          <w:t xml:space="preserve"> indicate whether observed values significantly differ from null expectations (</w:t>
        </w:r>
        <w:r w:rsidRPr="006262A7">
          <w:rPr>
            <w:rStyle w:val="Hyperlink"/>
            <w:rFonts w:ascii="Times New Roman" w:eastAsiaTheme="majorEastAsia" w:hAnsi="Times New Roman" w:cs="Times New Roman"/>
            <w:i w:val="0"/>
            <w:iCs w:val="0"/>
            <w:noProof/>
            <w:sz w:val="24"/>
            <w:szCs w:val="24"/>
          </w:rPr>
          <w:t>p &lt; 0.05</w:t>
        </w:r>
        <w:r w:rsidRPr="006262A7">
          <w:rPr>
            <w:rStyle w:val="Hyperlink"/>
            <w:rFonts w:ascii="Times New Roman" w:hAnsi="Times New Roman" w:cs="Times New Roman"/>
            <w:i w:val="0"/>
            <w:iCs w:val="0"/>
            <w:noProof/>
            <w:sz w:val="24"/>
            <w:szCs w:val="24"/>
          </w:rPr>
          <w:t>). Significant results are denoted with an asterisk (*)</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_Toc195189691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129</w:t>
        </w:r>
        <w:r w:rsidRPr="006262A7">
          <w:rPr>
            <w:rFonts w:ascii="Times New Roman" w:hAnsi="Times New Roman" w:cs="Times New Roman"/>
            <w:i w:val="0"/>
            <w:iCs w:val="0"/>
            <w:noProof/>
            <w:webHidden/>
            <w:sz w:val="24"/>
            <w:szCs w:val="24"/>
          </w:rPr>
          <w:fldChar w:fldCharType="end"/>
        </w:r>
      </w:hyperlink>
    </w:p>
    <w:p w14:paraId="570B42B4" w14:textId="77777777" w:rsidR="006262A7" w:rsidRPr="006262A7" w:rsidRDefault="006262A7" w:rsidP="006262A7">
      <w:pPr>
        <w:spacing w:before="0" w:after="0"/>
        <w:rPr>
          <w:rFonts w:ascii="Times New Roman" w:hAnsi="Times New Roman" w:cs="Times New Roman"/>
          <w:noProof/>
        </w:rPr>
      </w:pPr>
      <w:r w:rsidRPr="006262A7">
        <w:rPr>
          <w:rFonts w:ascii="Times New Roman" w:hAnsi="Times New Roman" w:cs="Times New Roman"/>
          <w:color w:val="000000" w:themeColor="text1"/>
        </w:rPr>
        <w:fldChar w:fldCharType="end"/>
      </w:r>
      <w:r w:rsidRPr="006262A7">
        <w:rPr>
          <w:rFonts w:ascii="Times New Roman" w:hAnsi="Times New Roman" w:cs="Times New Roman"/>
          <w:color w:val="000000" w:themeColor="text1"/>
        </w:rPr>
        <w:fldChar w:fldCharType="begin"/>
      </w:r>
      <w:r w:rsidRPr="006262A7">
        <w:rPr>
          <w:rFonts w:ascii="Times New Roman" w:hAnsi="Times New Roman" w:cs="Times New Roman"/>
          <w:color w:val="000000" w:themeColor="text1"/>
        </w:rPr>
        <w:instrText xml:space="preserve"> TOC \h \z \c "Supplementary Table" </w:instrText>
      </w:r>
      <w:r w:rsidRPr="006262A7">
        <w:rPr>
          <w:rFonts w:ascii="Times New Roman" w:hAnsi="Times New Roman" w:cs="Times New Roman"/>
          <w:color w:val="000000" w:themeColor="text1"/>
        </w:rPr>
        <w:fldChar w:fldCharType="separate"/>
      </w:r>
    </w:p>
    <w:p w14:paraId="660AE55B" w14:textId="46F8B6BC"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2" w:history="1">
        <w:r w:rsidRPr="006262A7">
          <w:rPr>
            <w:rStyle w:val="Hyperlink"/>
            <w:rFonts w:ascii="Times New Roman" w:hAnsi="Times New Roman" w:cs="Times New Roman"/>
            <w:i w:val="0"/>
            <w:iCs w:val="0"/>
            <w:noProof/>
            <w:sz w:val="24"/>
            <w:szCs w:val="24"/>
          </w:rPr>
          <w:t xml:space="preserve">Supplementary Table 1: </w:t>
        </w:r>
        <w:r w:rsidRPr="006262A7">
          <w:rPr>
            <w:rStyle w:val="Hyperlink"/>
            <w:rFonts w:ascii="Times New Roman" w:eastAsia="Calibri" w:hAnsi="Times New Roman" w:cs="Times New Roman"/>
            <w:i w:val="0"/>
            <w:iCs w:val="0"/>
            <w:noProof/>
            <w:sz w:val="24"/>
            <w:szCs w:val="24"/>
          </w:rPr>
          <w:t>Description of each functional trait obtained for each bird species, including its variable type, measurement metric, and functional importance.</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_Toc195189692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106</w:t>
        </w:r>
        <w:r w:rsidRPr="006262A7">
          <w:rPr>
            <w:rFonts w:ascii="Times New Roman" w:hAnsi="Times New Roman" w:cs="Times New Roman"/>
            <w:i w:val="0"/>
            <w:iCs w:val="0"/>
            <w:noProof/>
            <w:webHidden/>
            <w:sz w:val="24"/>
            <w:szCs w:val="24"/>
          </w:rPr>
          <w:fldChar w:fldCharType="end"/>
        </w:r>
      </w:hyperlink>
    </w:p>
    <w:p w14:paraId="4B0DB876" w14:textId="4ECA0B74"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3" w:history="1">
        <w:r w:rsidRPr="006262A7">
          <w:rPr>
            <w:rStyle w:val="Hyperlink"/>
            <w:rFonts w:ascii="Times New Roman" w:hAnsi="Times New Roman" w:cs="Times New Roman"/>
            <w:i w:val="0"/>
            <w:iCs w:val="0"/>
            <w:noProof/>
            <w:sz w:val="24"/>
            <w:szCs w:val="24"/>
          </w:rPr>
          <w:t>Supplementary Table 2: Bird community data for species surveyed across the entire FCAT reserve. Species codes represent 4-digit codes based of each species common name. Trait data, including trophic niches, habitat associations, and morphological traits for each species were collected using an open access data set provided by Tobias et al., 2022. Morphological traits include average mass (g), beak length (mm), beak width (mm), wing length (mm), and tail length (mm). Abundance represents the total number of individuals observed during the study.</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_Toc195189693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107</w:t>
        </w:r>
        <w:r w:rsidRPr="006262A7">
          <w:rPr>
            <w:rFonts w:ascii="Times New Roman" w:hAnsi="Times New Roman" w:cs="Times New Roman"/>
            <w:i w:val="0"/>
            <w:iCs w:val="0"/>
            <w:noProof/>
            <w:webHidden/>
            <w:sz w:val="24"/>
            <w:szCs w:val="24"/>
          </w:rPr>
          <w:fldChar w:fldCharType="end"/>
        </w:r>
      </w:hyperlink>
    </w:p>
    <w:p w14:paraId="686A6FFD" w14:textId="3A7FAE61"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4" w:history="1">
        <w:r w:rsidRPr="006262A7">
          <w:rPr>
            <w:rStyle w:val="Hyperlink"/>
            <w:rFonts w:ascii="Times New Roman" w:hAnsi="Times New Roman" w:cs="Times New Roman"/>
            <w:i w:val="0"/>
            <w:iCs w:val="0"/>
            <w:noProof/>
            <w:sz w:val="24"/>
            <w:szCs w:val="24"/>
          </w:rPr>
          <w:t>Supplementary Table 3: Type II Wald chi-square tests assessing diversity indices as a function of regeneration stage (HIE, LIE, SEC, OG). Generalized least squares (GLS) regression was used to account for spatial dependence in model residuals, with a Gaussian spatial correlation structure applied. Significant relationships (p &lt; 0.05) are highlighted in bold.</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_Toc195189694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114</w:t>
        </w:r>
        <w:r w:rsidRPr="006262A7">
          <w:rPr>
            <w:rFonts w:ascii="Times New Roman" w:hAnsi="Times New Roman" w:cs="Times New Roman"/>
            <w:i w:val="0"/>
            <w:iCs w:val="0"/>
            <w:noProof/>
            <w:webHidden/>
            <w:sz w:val="24"/>
            <w:szCs w:val="24"/>
          </w:rPr>
          <w:fldChar w:fldCharType="end"/>
        </w:r>
      </w:hyperlink>
    </w:p>
    <w:p w14:paraId="5657370B" w14:textId="76BC65A3"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5" w:history="1">
        <w:r w:rsidRPr="006262A7">
          <w:rPr>
            <w:rStyle w:val="Hyperlink"/>
            <w:rFonts w:ascii="Times New Roman" w:hAnsi="Times New Roman" w:cs="Times New Roman"/>
            <w:i w:val="0"/>
            <w:iCs w:val="0"/>
            <w:noProof/>
            <w:sz w:val="24"/>
            <w:szCs w:val="24"/>
          </w:rPr>
          <w:t>Supplementary Table 4: Disperser species captured within mist-nets with realized interactions included in network analysis.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_Toc195189695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143</w:t>
        </w:r>
        <w:r w:rsidRPr="006262A7">
          <w:rPr>
            <w:rFonts w:ascii="Times New Roman" w:hAnsi="Times New Roman" w:cs="Times New Roman"/>
            <w:i w:val="0"/>
            <w:iCs w:val="0"/>
            <w:noProof/>
            <w:webHidden/>
            <w:sz w:val="24"/>
            <w:szCs w:val="24"/>
          </w:rPr>
          <w:fldChar w:fldCharType="end"/>
        </w:r>
      </w:hyperlink>
    </w:p>
    <w:p w14:paraId="6AE77DAE" w14:textId="064AC528"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6" w:history="1">
        <w:r w:rsidRPr="006262A7">
          <w:rPr>
            <w:rStyle w:val="Hyperlink"/>
            <w:rFonts w:ascii="Times New Roman" w:hAnsi="Times New Roman" w:cs="Times New Roman"/>
            <w:i w:val="0"/>
            <w:iCs w:val="0"/>
            <w:noProof/>
            <w:sz w:val="24"/>
            <w:szCs w:val="24"/>
          </w:rPr>
          <w:t>Supplementary Table 4 Continued.</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_Toc195189696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144</w:t>
        </w:r>
        <w:r w:rsidRPr="006262A7">
          <w:rPr>
            <w:rFonts w:ascii="Times New Roman" w:hAnsi="Times New Roman" w:cs="Times New Roman"/>
            <w:i w:val="0"/>
            <w:iCs w:val="0"/>
            <w:noProof/>
            <w:webHidden/>
            <w:sz w:val="24"/>
            <w:szCs w:val="24"/>
          </w:rPr>
          <w:fldChar w:fldCharType="end"/>
        </w:r>
      </w:hyperlink>
    </w:p>
    <w:p w14:paraId="4DCD7080" w14:textId="3A893ABA" w:rsidR="006262A7" w:rsidRPr="006262A7" w:rsidRDefault="006262A7" w:rsidP="006262A7">
      <w:pPr>
        <w:pStyle w:val="TableofFigures"/>
        <w:tabs>
          <w:tab w:val="right" w:leader="dot" w:pos="9350"/>
        </w:tabs>
        <w:spacing w:before="0"/>
        <w:rPr>
          <w:rFonts w:ascii="Times New Roman" w:eastAsiaTheme="minorEastAsia" w:hAnsi="Times New Roman" w:cs="Times New Roman"/>
          <w:i w:val="0"/>
          <w:iCs w:val="0"/>
          <w:noProof/>
          <w:sz w:val="24"/>
          <w:szCs w:val="24"/>
        </w:rPr>
      </w:pPr>
      <w:hyperlink w:anchor="_Toc195189697" w:history="1">
        <w:r w:rsidRPr="006262A7">
          <w:rPr>
            <w:rStyle w:val="Hyperlink"/>
            <w:rFonts w:ascii="Times New Roman" w:hAnsi="Times New Roman" w:cs="Times New Roman"/>
            <w:i w:val="0"/>
            <w:iCs w:val="0"/>
            <w:noProof/>
            <w:sz w:val="24"/>
            <w:szCs w:val="24"/>
          </w:rPr>
          <w:t>Supplementary Table 5: Disperser species observed on camera traps with realized interactions included in network analysis.</w:t>
        </w:r>
        <w:r w:rsidRPr="006262A7">
          <w:rPr>
            <w:rFonts w:ascii="Times New Roman" w:hAnsi="Times New Roman" w:cs="Times New Roman"/>
            <w:i w:val="0"/>
            <w:iCs w:val="0"/>
            <w:noProof/>
            <w:webHidden/>
            <w:sz w:val="24"/>
            <w:szCs w:val="24"/>
          </w:rPr>
          <w:tab/>
        </w:r>
        <w:r w:rsidRPr="006262A7">
          <w:rPr>
            <w:rFonts w:ascii="Times New Roman" w:hAnsi="Times New Roman" w:cs="Times New Roman"/>
            <w:i w:val="0"/>
            <w:iCs w:val="0"/>
            <w:noProof/>
            <w:webHidden/>
            <w:sz w:val="24"/>
            <w:szCs w:val="24"/>
          </w:rPr>
          <w:fldChar w:fldCharType="begin"/>
        </w:r>
        <w:r w:rsidRPr="006262A7">
          <w:rPr>
            <w:rFonts w:ascii="Times New Roman" w:hAnsi="Times New Roman" w:cs="Times New Roman"/>
            <w:i w:val="0"/>
            <w:iCs w:val="0"/>
            <w:noProof/>
            <w:webHidden/>
            <w:sz w:val="24"/>
            <w:szCs w:val="24"/>
          </w:rPr>
          <w:instrText xml:space="preserve"> PAGEREF _Toc195189697 \h </w:instrText>
        </w:r>
        <w:r w:rsidRPr="006262A7">
          <w:rPr>
            <w:rFonts w:ascii="Times New Roman" w:hAnsi="Times New Roman" w:cs="Times New Roman"/>
            <w:i w:val="0"/>
            <w:iCs w:val="0"/>
            <w:noProof/>
            <w:webHidden/>
            <w:sz w:val="24"/>
            <w:szCs w:val="24"/>
          </w:rPr>
        </w:r>
        <w:r w:rsidRPr="006262A7">
          <w:rPr>
            <w:rFonts w:ascii="Times New Roman" w:hAnsi="Times New Roman" w:cs="Times New Roman"/>
            <w:i w:val="0"/>
            <w:iCs w:val="0"/>
            <w:noProof/>
            <w:webHidden/>
            <w:sz w:val="24"/>
            <w:szCs w:val="24"/>
          </w:rPr>
          <w:fldChar w:fldCharType="separate"/>
        </w:r>
        <w:r w:rsidRPr="006262A7">
          <w:rPr>
            <w:rFonts w:ascii="Times New Roman" w:hAnsi="Times New Roman" w:cs="Times New Roman"/>
            <w:i w:val="0"/>
            <w:iCs w:val="0"/>
            <w:noProof/>
            <w:webHidden/>
            <w:sz w:val="24"/>
            <w:szCs w:val="24"/>
          </w:rPr>
          <w:t>145</w:t>
        </w:r>
        <w:r w:rsidRPr="006262A7">
          <w:rPr>
            <w:rFonts w:ascii="Times New Roman" w:hAnsi="Times New Roman" w:cs="Times New Roman"/>
            <w:i w:val="0"/>
            <w:iCs w:val="0"/>
            <w:noProof/>
            <w:webHidden/>
            <w:sz w:val="24"/>
            <w:szCs w:val="24"/>
          </w:rPr>
          <w:fldChar w:fldCharType="end"/>
        </w:r>
      </w:hyperlink>
    </w:p>
    <w:p w14:paraId="30FFD8E2" w14:textId="6CB0D5E9" w:rsidR="00120276" w:rsidRPr="00CA32CB" w:rsidRDefault="006262A7" w:rsidP="006262A7">
      <w:pPr>
        <w:spacing w:before="0" w:after="0"/>
        <w:rPr>
          <w:rFonts w:ascii="Times New Roman" w:hAnsi="Times New Roman" w:cs="Times New Roman"/>
          <w:color w:val="000000" w:themeColor="text1"/>
        </w:rPr>
      </w:pPr>
      <w:r w:rsidRPr="006262A7">
        <w:rPr>
          <w:rFonts w:ascii="Times New Roman" w:hAnsi="Times New Roman" w:cs="Times New Roman"/>
          <w:color w:val="000000" w:themeColor="text1"/>
        </w:rPr>
        <w:fldChar w:fldCharType="end"/>
      </w:r>
      <w:r w:rsidR="00120276" w:rsidRPr="00CA32CB">
        <w:rPr>
          <w:rFonts w:ascii="Times New Roman" w:hAnsi="Times New Roman" w:cs="Times New Roman"/>
          <w:color w:val="000000" w:themeColor="text1"/>
        </w:rPr>
        <w:br w:type="page"/>
      </w:r>
    </w:p>
    <w:p w14:paraId="20C75730" w14:textId="270E7109" w:rsidR="006262A7" w:rsidRPr="003022FF" w:rsidRDefault="00120276" w:rsidP="006F75B9">
      <w:pPr>
        <w:spacing w:before="0" w:after="0"/>
        <w:jc w:val="center"/>
        <w:rPr>
          <w:rFonts w:ascii="Times New Roman" w:hAnsi="Times New Roman" w:cs="Times New Roman"/>
          <w:b/>
          <w:bCs/>
        </w:rPr>
      </w:pPr>
      <w:r w:rsidRPr="003022FF">
        <w:rPr>
          <w:rFonts w:ascii="Times New Roman" w:hAnsi="Times New Roman" w:cs="Times New Roman"/>
          <w:b/>
          <w:bCs/>
        </w:rPr>
        <w:lastRenderedPageBreak/>
        <w:t>L</w:t>
      </w:r>
      <w:r w:rsidR="007A1AA9" w:rsidRPr="003022FF">
        <w:rPr>
          <w:rFonts w:ascii="Times New Roman" w:hAnsi="Times New Roman" w:cs="Times New Roman"/>
          <w:b/>
          <w:bCs/>
        </w:rPr>
        <w:t>ist of Figures</w:t>
      </w:r>
      <w:r w:rsidR="00CE409A" w:rsidRPr="003022FF">
        <w:rPr>
          <w:rFonts w:ascii="Times New Roman" w:hAnsi="Times New Roman" w:cs="Times New Roman"/>
          <w:b/>
          <w:bCs/>
        </w:rPr>
        <w:t xml:space="preserve"> </w:t>
      </w:r>
    </w:p>
    <w:p w14:paraId="51E0240E" w14:textId="16ADA2E8"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r w:rsidRPr="006F75B9">
        <w:rPr>
          <w:rFonts w:ascii="Times New Roman" w:hAnsi="Times New Roman" w:cs="Times New Roman"/>
          <w:i w:val="0"/>
          <w:iCs w:val="0"/>
          <w:color w:val="000000" w:themeColor="text1"/>
          <w:sz w:val="24"/>
          <w:szCs w:val="24"/>
        </w:rPr>
        <w:fldChar w:fldCharType="begin"/>
      </w:r>
      <w:r w:rsidRPr="006F75B9">
        <w:rPr>
          <w:rFonts w:ascii="Times New Roman" w:hAnsi="Times New Roman" w:cs="Times New Roman"/>
          <w:i w:val="0"/>
          <w:iCs w:val="0"/>
          <w:color w:val="000000" w:themeColor="text1"/>
          <w:sz w:val="24"/>
          <w:szCs w:val="24"/>
        </w:rPr>
        <w:instrText xml:space="preserve"> TOC \h \z \c "Figure" </w:instrText>
      </w:r>
      <w:r w:rsidRPr="006F75B9">
        <w:rPr>
          <w:rFonts w:ascii="Times New Roman" w:hAnsi="Times New Roman" w:cs="Times New Roman"/>
          <w:i w:val="0"/>
          <w:iCs w:val="0"/>
          <w:color w:val="000000" w:themeColor="text1"/>
          <w:sz w:val="24"/>
          <w:szCs w:val="24"/>
        </w:rPr>
        <w:fldChar w:fldCharType="separate"/>
      </w:r>
      <w:hyperlink w:anchor="_Toc195189738" w:history="1">
        <w:r w:rsidRPr="006F75B9">
          <w:rPr>
            <w:rStyle w:val="Hyperlink"/>
            <w:rFonts w:ascii="Times New Roman" w:hAnsi="Times New Roman" w:cs="Times New Roman"/>
            <w:i w:val="0"/>
            <w:iCs w:val="0"/>
            <w:noProof/>
            <w:color w:val="000000" w:themeColor="text1"/>
            <w:sz w:val="24"/>
            <w:szCs w:val="24"/>
          </w:rPr>
          <w:t>Figure 1: Geographic distribution of studies included in our review, with delineations for the Equator and Tropics of Cancer and Capricorn. Color represents the number of studies conducted in each country. Most studies were conducted in Brazil (n=26).</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_Toc195189738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38</w:t>
        </w:r>
        <w:r w:rsidRPr="006F75B9">
          <w:rPr>
            <w:rFonts w:ascii="Times New Roman" w:hAnsi="Times New Roman" w:cs="Times New Roman"/>
            <w:i w:val="0"/>
            <w:iCs w:val="0"/>
            <w:noProof/>
            <w:webHidden/>
            <w:color w:val="000000" w:themeColor="text1"/>
            <w:sz w:val="24"/>
            <w:szCs w:val="24"/>
          </w:rPr>
          <w:fldChar w:fldCharType="end"/>
        </w:r>
      </w:hyperlink>
    </w:p>
    <w:p w14:paraId="1ED3FE63" w14:textId="590E1E81"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39" w:history="1">
        <w:r w:rsidRPr="006F75B9">
          <w:rPr>
            <w:rStyle w:val="Hyperlink"/>
            <w:rFonts w:ascii="Times New Roman" w:hAnsi="Times New Roman" w:cs="Times New Roman"/>
            <w:i w:val="0"/>
            <w:iCs w:val="0"/>
            <w:noProof/>
            <w:color w:val="000000" w:themeColor="text1"/>
            <w:sz w:val="24"/>
            <w:szCs w:val="24"/>
          </w:rPr>
          <w:t>Figure 2: T</w:t>
        </w:r>
        <w:r w:rsidRPr="006F75B9">
          <w:rPr>
            <w:rStyle w:val="Hyperlink"/>
            <w:rFonts w:ascii="Times New Roman" w:eastAsia="Arial" w:hAnsi="Times New Roman" w:cs="Times New Roman"/>
            <w:i w:val="0"/>
            <w:iCs w:val="0"/>
            <w:noProof/>
            <w:color w:val="000000" w:themeColor="text1"/>
            <w:sz w:val="24"/>
            <w:szCs w:val="24"/>
          </w:rPr>
          <w:t>he effects of sampling methods (mixed, phytocentric approaches, or zoocentric approaches) on seed dispersal network metrics including A) network richness or size, B) network-level specialization (H</w:t>
        </w:r>
        <w:r w:rsidRPr="006F75B9">
          <w:rPr>
            <w:rStyle w:val="Hyperlink"/>
            <w:rFonts w:ascii="Times New Roman" w:eastAsia="Arial" w:hAnsi="Times New Roman" w:cs="Times New Roman"/>
            <w:i w:val="0"/>
            <w:iCs w:val="0"/>
            <w:noProof/>
            <w:color w:val="000000" w:themeColor="text1"/>
            <w:sz w:val="24"/>
            <w:szCs w:val="24"/>
            <w:vertAlign w:val="superscript"/>
          </w:rPr>
          <w:t>2</w:t>
        </w:r>
        <w:r w:rsidRPr="006F75B9">
          <w:rPr>
            <w:rStyle w:val="Hyperlink"/>
            <w:rFonts w:ascii="Times New Roman" w:eastAsia="Arial" w:hAnsi="Times New Roman" w:cs="Times New Roman"/>
            <w:i w:val="0"/>
            <w:iCs w:val="0"/>
            <w:noProof/>
            <w:color w:val="000000" w:themeColor="text1"/>
            <w:sz w:val="24"/>
            <w:szCs w:val="24"/>
          </w:rPr>
          <w:t>), and C) weighted nestedness (WNODF).</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_Toc195189739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41</w:t>
        </w:r>
        <w:r w:rsidRPr="006F75B9">
          <w:rPr>
            <w:rFonts w:ascii="Times New Roman" w:hAnsi="Times New Roman" w:cs="Times New Roman"/>
            <w:i w:val="0"/>
            <w:iCs w:val="0"/>
            <w:noProof/>
            <w:webHidden/>
            <w:color w:val="000000" w:themeColor="text1"/>
            <w:sz w:val="24"/>
            <w:szCs w:val="24"/>
          </w:rPr>
          <w:fldChar w:fldCharType="end"/>
        </w:r>
      </w:hyperlink>
    </w:p>
    <w:p w14:paraId="45D2D283" w14:textId="29B1FCA5"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0" w:history="1">
        <w:r w:rsidRPr="006F75B9">
          <w:rPr>
            <w:rStyle w:val="Hyperlink"/>
            <w:rFonts w:ascii="Times New Roman" w:hAnsi="Times New Roman" w:cs="Times New Roman"/>
            <w:i w:val="0"/>
            <w:iCs w:val="0"/>
            <w:noProof/>
            <w:color w:val="000000" w:themeColor="text1"/>
            <w:sz w:val="24"/>
            <w:szCs w:val="24"/>
          </w:rPr>
          <w:t xml:space="preserve">Figure 3: </w:t>
        </w:r>
        <w:r w:rsidRPr="006F75B9">
          <w:rPr>
            <w:rStyle w:val="Hyperlink"/>
            <w:rFonts w:ascii="Times New Roman" w:eastAsia="Calibri" w:hAnsi="Times New Roman" w:cs="Times New Roman"/>
            <w:i w:val="0"/>
            <w:iCs w:val="0"/>
            <w:noProof/>
            <w:color w:val="000000" w:themeColor="text1"/>
            <w:sz w:val="24"/>
            <w:szCs w:val="24"/>
          </w:rPr>
          <w:t xml:space="preserve">Sampling localities for avian communities within the FCAT reserve. Sampling took place in 20 plots among four habitat categories: </w:t>
        </w:r>
        <w:r w:rsidRPr="006F75B9">
          <w:rPr>
            <w:rStyle w:val="Hyperlink"/>
            <w:rFonts w:ascii="Times New Roman" w:hAnsi="Times New Roman" w:cs="Times New Roman"/>
            <w:i w:val="0"/>
            <w:iCs w:val="0"/>
            <w:noProof/>
            <w:color w:val="000000" w:themeColor="text1"/>
            <w:sz w:val="24"/>
            <w:szCs w:val="24"/>
            <w:shd w:val="clear" w:color="auto" w:fill="FFFFFF"/>
          </w:rPr>
          <w:t>highly impacted early successional habitat (HIE, red squares), low impact early successional habitat (LIE, yellow squares), mid-successional secondary forest (SEC, blue squares), and old growth Chocó Rainforest (OG, purple squares).</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_Toc195189740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80</w:t>
        </w:r>
        <w:r w:rsidRPr="006F75B9">
          <w:rPr>
            <w:rFonts w:ascii="Times New Roman" w:hAnsi="Times New Roman" w:cs="Times New Roman"/>
            <w:i w:val="0"/>
            <w:iCs w:val="0"/>
            <w:noProof/>
            <w:webHidden/>
            <w:color w:val="000000" w:themeColor="text1"/>
            <w:sz w:val="24"/>
            <w:szCs w:val="24"/>
          </w:rPr>
          <w:fldChar w:fldCharType="end"/>
        </w:r>
      </w:hyperlink>
    </w:p>
    <w:p w14:paraId="43E2CE6C" w14:textId="4F5B21EF"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1" w:history="1">
        <w:r w:rsidRPr="006F75B9">
          <w:rPr>
            <w:rStyle w:val="Hyperlink"/>
            <w:rFonts w:ascii="Times New Roman" w:hAnsi="Times New Roman" w:cs="Times New Roman"/>
            <w:i w:val="0"/>
            <w:iCs w:val="0"/>
            <w:noProof/>
            <w:color w:val="000000" w:themeColor="text1"/>
            <w:sz w:val="24"/>
            <w:szCs w:val="24"/>
          </w:rPr>
          <w:t xml:space="preserve">Figure 4: </w:t>
        </w:r>
        <w:r w:rsidRPr="006F75B9">
          <w:rPr>
            <w:rStyle w:val="Hyperlink"/>
            <w:rFonts w:ascii="Times New Roman" w:eastAsiaTheme="majorEastAsia" w:hAnsi="Times New Roman" w:cs="Times New Roman"/>
            <w:i w:val="0"/>
            <w:iCs w:val="0"/>
            <w:noProof/>
            <w:color w:val="000000" w:themeColor="text1"/>
            <w:sz w:val="24"/>
            <w:szCs w:val="24"/>
          </w:rPr>
          <w:t>Redundancy Analysis (RDA) biplot of bird community composition</w:t>
        </w:r>
        <w:r w:rsidRPr="006F75B9">
          <w:rPr>
            <w:rStyle w:val="Hyperlink"/>
            <w:rFonts w:ascii="Times New Roman" w:hAnsi="Times New Roman" w:cs="Times New Roman"/>
            <w:i w:val="0"/>
            <w:iCs w:val="0"/>
            <w:noProof/>
            <w:color w:val="000000" w:themeColor="text1"/>
            <w:sz w:val="24"/>
            <w:szCs w:val="24"/>
          </w:rPr>
          <w:t xml:space="preserve"> constrained by selected environmental variables (canopy cover, canopy height, and elevation), and grouped by regeneration stage (</w:t>
        </w:r>
        <w:r w:rsidRPr="006F75B9">
          <w:rPr>
            <w:rStyle w:val="Hyperlink"/>
            <w:rFonts w:ascii="Times New Roman" w:hAnsi="Times New Roman" w:cs="Times New Roman"/>
            <w:i w:val="0"/>
            <w:iCs w:val="0"/>
            <w:noProof/>
            <w:color w:val="000000" w:themeColor="text1"/>
            <w:sz w:val="24"/>
            <w:szCs w:val="24"/>
            <w:shd w:val="clear" w:color="auto" w:fill="FFFFFF"/>
          </w:rPr>
          <w:t>highly impacted early successional habitat (HIE, blue), low impact early successional habitat (LIE, green), mid-successional secondary forest (SEC, orange), and old growth Chocó Rainforest (OG, purple)</w:t>
        </w:r>
        <w:r w:rsidRPr="006F75B9">
          <w:rPr>
            <w:rStyle w:val="Hyperlink"/>
            <w:rFonts w:ascii="Times New Roman" w:hAnsi="Times New Roman" w:cs="Times New Roman"/>
            <w:i w:val="0"/>
            <w:iCs w:val="0"/>
            <w:noProof/>
            <w:color w:val="000000" w:themeColor="text1"/>
            <w:sz w:val="24"/>
            <w:szCs w:val="24"/>
          </w:rPr>
          <w:t>. Points in the plot represent communities or individual plots and blue arrows represent environmental variables. The x-axis (RDA1) explains 28.6% of the variation in bird community composition. The y-axis (RDA2) explains 6.8% of the variation. The direction and length of the arrows indicate the strength and direction of the relationship between each environmental variable and the ordination axes. Samples located in the same direction as an arrow are positively associated with that environmental variable.</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_Toc195189741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86</w:t>
        </w:r>
        <w:r w:rsidRPr="006F75B9">
          <w:rPr>
            <w:rFonts w:ascii="Times New Roman" w:hAnsi="Times New Roman" w:cs="Times New Roman"/>
            <w:i w:val="0"/>
            <w:iCs w:val="0"/>
            <w:noProof/>
            <w:webHidden/>
            <w:color w:val="000000" w:themeColor="text1"/>
            <w:sz w:val="24"/>
            <w:szCs w:val="24"/>
          </w:rPr>
          <w:fldChar w:fldCharType="end"/>
        </w:r>
      </w:hyperlink>
    </w:p>
    <w:p w14:paraId="6F15CF1C" w14:textId="6A5E3B8A"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2" w:history="1">
        <w:r w:rsidRPr="006F75B9">
          <w:rPr>
            <w:rStyle w:val="Hyperlink"/>
            <w:rFonts w:ascii="Times New Roman" w:hAnsi="Times New Roman" w:cs="Times New Roman"/>
            <w:i w:val="0"/>
            <w:iCs w:val="0"/>
            <w:noProof/>
            <w:color w:val="000000" w:themeColor="text1"/>
            <w:sz w:val="24"/>
            <w:szCs w:val="24"/>
          </w:rPr>
          <w:t xml:space="preserve">Figure 5: Differences in Hill numbers (Q0 = species richness, Q1 = exponential of Shannon Entropy, Q2 = Inverse Simpson Index) and functional diversity metrics (FRic = functional richness, FDiv = functional divergence, FDis = functional dispersion, and RaoQ = Rao’s Quadratic Entropy) across a regenerating forest gradient. Plots include </w:t>
        </w:r>
        <w:r w:rsidRPr="006F75B9">
          <w:rPr>
            <w:rStyle w:val="Hyperlink"/>
            <w:rFonts w:ascii="Times New Roman" w:hAnsi="Times New Roman" w:cs="Times New Roman"/>
            <w:i w:val="0"/>
            <w:iCs w:val="0"/>
            <w:noProof/>
            <w:color w:val="000000" w:themeColor="text1"/>
            <w:sz w:val="24"/>
            <w:szCs w:val="24"/>
            <w:shd w:val="clear" w:color="auto" w:fill="FFFFFF"/>
          </w:rPr>
          <w:t>highly impacted early successional habitat (HIE, blue), low impact early successional habitat (LIE, green), mid-successional secondary forest (SEC, orange), and old growth Chocó Rainforest (OG, purple).</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_Toc195189742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91</w:t>
        </w:r>
        <w:r w:rsidRPr="006F75B9">
          <w:rPr>
            <w:rFonts w:ascii="Times New Roman" w:hAnsi="Times New Roman" w:cs="Times New Roman"/>
            <w:i w:val="0"/>
            <w:iCs w:val="0"/>
            <w:noProof/>
            <w:webHidden/>
            <w:color w:val="000000" w:themeColor="text1"/>
            <w:sz w:val="24"/>
            <w:szCs w:val="24"/>
          </w:rPr>
          <w:fldChar w:fldCharType="end"/>
        </w:r>
      </w:hyperlink>
    </w:p>
    <w:p w14:paraId="32B7691F" w14:textId="3C4EF099"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3" w:history="1">
        <w:r w:rsidRPr="006F75B9">
          <w:rPr>
            <w:rStyle w:val="Hyperlink"/>
            <w:rFonts w:ascii="Times New Roman" w:hAnsi="Times New Roman" w:cs="Times New Roman"/>
            <w:i w:val="0"/>
            <w:iCs w:val="0"/>
            <w:noProof/>
            <w:color w:val="000000" w:themeColor="text1"/>
            <w:sz w:val="24"/>
            <w:szCs w:val="24"/>
          </w:rPr>
          <w:t xml:space="preserve">Figure 6: Redundancy Analysis (RDA) biplot illustrating the relationships between functional diversity indices, morphological traits, and community composition. Regeneration plots are represented by </w:t>
        </w:r>
        <w:r w:rsidRPr="006F75B9">
          <w:rPr>
            <w:rStyle w:val="Hyperlink"/>
            <w:rFonts w:ascii="Times New Roman" w:eastAsiaTheme="majorEastAsia" w:hAnsi="Times New Roman" w:cs="Times New Roman"/>
            <w:i w:val="0"/>
            <w:iCs w:val="0"/>
            <w:noProof/>
            <w:color w:val="000000" w:themeColor="text1"/>
            <w:sz w:val="24"/>
            <w:szCs w:val="24"/>
          </w:rPr>
          <w:t>green circles</w:t>
        </w:r>
        <w:r w:rsidRPr="006F75B9">
          <w:rPr>
            <w:rStyle w:val="Hyperlink"/>
            <w:rFonts w:ascii="Times New Roman" w:hAnsi="Times New Roman" w:cs="Times New Roman"/>
            <w:i w:val="0"/>
            <w:iCs w:val="0"/>
            <w:noProof/>
            <w:color w:val="000000" w:themeColor="text1"/>
            <w:sz w:val="24"/>
            <w:szCs w:val="24"/>
          </w:rPr>
          <w:t xml:space="preserve">, while individual bird species are represented by </w:t>
        </w:r>
        <w:r w:rsidRPr="006F75B9">
          <w:rPr>
            <w:rStyle w:val="Hyperlink"/>
            <w:rFonts w:ascii="Times New Roman" w:eastAsiaTheme="majorEastAsia" w:hAnsi="Times New Roman" w:cs="Times New Roman"/>
            <w:i w:val="0"/>
            <w:iCs w:val="0"/>
            <w:noProof/>
            <w:color w:val="000000" w:themeColor="text1"/>
            <w:sz w:val="24"/>
            <w:szCs w:val="24"/>
          </w:rPr>
          <w:t>red triangles</w:t>
        </w:r>
        <w:r w:rsidRPr="006F75B9">
          <w:rPr>
            <w:rStyle w:val="Hyperlink"/>
            <w:rFonts w:ascii="Times New Roman" w:hAnsi="Times New Roman" w:cs="Times New Roman"/>
            <w:i w:val="0"/>
            <w:iCs w:val="0"/>
            <w:noProof/>
            <w:color w:val="000000" w:themeColor="text1"/>
            <w:sz w:val="24"/>
            <w:szCs w:val="24"/>
          </w:rPr>
          <w:t xml:space="preserve">. Arrows represent exploratory vectors, with </w:t>
        </w:r>
        <w:r w:rsidRPr="006F75B9">
          <w:rPr>
            <w:rStyle w:val="Hyperlink"/>
            <w:rFonts w:ascii="Times New Roman" w:eastAsiaTheme="majorEastAsia" w:hAnsi="Times New Roman" w:cs="Times New Roman"/>
            <w:i w:val="0"/>
            <w:iCs w:val="0"/>
            <w:noProof/>
            <w:color w:val="000000" w:themeColor="text1"/>
            <w:sz w:val="24"/>
            <w:szCs w:val="24"/>
          </w:rPr>
          <w:t>blue arrows</w:t>
        </w:r>
        <w:r w:rsidRPr="006F75B9">
          <w:rPr>
            <w:rStyle w:val="Hyperlink"/>
            <w:rFonts w:ascii="Times New Roman" w:hAnsi="Times New Roman" w:cs="Times New Roman"/>
            <w:i w:val="0"/>
            <w:iCs w:val="0"/>
            <w:noProof/>
            <w:color w:val="000000" w:themeColor="text1"/>
            <w:sz w:val="24"/>
            <w:szCs w:val="24"/>
          </w:rPr>
          <w:t xml:space="preserve"> indicating variables that significantly (p </w:t>
        </w:r>
        <w:r w:rsidRPr="006F75B9">
          <w:rPr>
            <w:rStyle w:val="Hyperlink"/>
            <w:rFonts w:ascii="Times New Roman" w:hAnsi="Times New Roman" w:cs="Times New Roman"/>
            <w:i w:val="0"/>
            <w:iCs w:val="0"/>
            <w:noProof/>
            <w:color w:val="000000" w:themeColor="text1"/>
            <w:sz w:val="24"/>
            <w:szCs w:val="24"/>
          </w:rPr>
          <w:lastRenderedPageBreak/>
          <w:t xml:space="preserve">&lt; 0.05) explain variation in community composition, and </w:t>
        </w:r>
        <w:r w:rsidRPr="006F75B9">
          <w:rPr>
            <w:rStyle w:val="Hyperlink"/>
            <w:rFonts w:ascii="Times New Roman" w:eastAsiaTheme="majorEastAsia" w:hAnsi="Times New Roman" w:cs="Times New Roman"/>
            <w:i w:val="0"/>
            <w:iCs w:val="0"/>
            <w:noProof/>
            <w:color w:val="000000" w:themeColor="text1"/>
            <w:sz w:val="24"/>
            <w:szCs w:val="24"/>
          </w:rPr>
          <w:t>gray arrows</w:t>
        </w:r>
        <w:r w:rsidRPr="006F75B9">
          <w:rPr>
            <w:rStyle w:val="Hyperlink"/>
            <w:rFonts w:ascii="Times New Roman" w:hAnsi="Times New Roman" w:cs="Times New Roman"/>
            <w:i w:val="0"/>
            <w:iCs w:val="0"/>
            <w:noProof/>
            <w:color w:val="000000" w:themeColor="text1"/>
            <w:sz w:val="24"/>
            <w:szCs w:val="24"/>
          </w:rPr>
          <w:t xml:space="preserve"> representing non-significant predictors. The x-axis (RDA1) explains </w:t>
        </w:r>
        <w:r w:rsidRPr="006F75B9">
          <w:rPr>
            <w:rStyle w:val="Hyperlink"/>
            <w:rFonts w:ascii="Times New Roman" w:eastAsiaTheme="majorEastAsia" w:hAnsi="Times New Roman" w:cs="Times New Roman"/>
            <w:i w:val="0"/>
            <w:iCs w:val="0"/>
            <w:noProof/>
            <w:color w:val="000000" w:themeColor="text1"/>
            <w:sz w:val="24"/>
            <w:szCs w:val="24"/>
          </w:rPr>
          <w:t>44.61%</w:t>
        </w:r>
        <w:r w:rsidRPr="006F75B9">
          <w:rPr>
            <w:rStyle w:val="Hyperlink"/>
            <w:rFonts w:ascii="Times New Roman" w:hAnsi="Times New Roman" w:cs="Times New Roman"/>
            <w:i w:val="0"/>
            <w:iCs w:val="0"/>
            <w:noProof/>
            <w:color w:val="000000" w:themeColor="text1"/>
            <w:sz w:val="24"/>
            <w:szCs w:val="24"/>
          </w:rPr>
          <w:t xml:space="preserve"> of the constrained variation, while the y-axis (RDA2) explains </w:t>
        </w:r>
        <w:r w:rsidRPr="006F75B9">
          <w:rPr>
            <w:rStyle w:val="Hyperlink"/>
            <w:rFonts w:ascii="Times New Roman" w:eastAsiaTheme="majorEastAsia" w:hAnsi="Times New Roman" w:cs="Times New Roman"/>
            <w:i w:val="0"/>
            <w:iCs w:val="0"/>
            <w:noProof/>
            <w:color w:val="000000" w:themeColor="text1"/>
            <w:sz w:val="24"/>
            <w:szCs w:val="24"/>
          </w:rPr>
          <w:t>10.77%</w:t>
        </w:r>
        <w:r w:rsidRPr="006F75B9">
          <w:rPr>
            <w:rStyle w:val="Hyperlink"/>
            <w:rFonts w:ascii="Times New Roman" w:hAnsi="Times New Roman" w:cs="Times New Roman"/>
            <w:i w:val="0"/>
            <w:iCs w:val="0"/>
            <w:noProof/>
            <w:color w:val="000000" w:themeColor="text1"/>
            <w:sz w:val="24"/>
            <w:szCs w:val="24"/>
          </w:rPr>
          <w:t>. Functional diversity indices (FDis: Functional Dispersion, FDiv: Functional Divergence, FRic: Functional Richness, RaoQ: Rao’s Quadratic Entropy) and morphological traits were used as explanatory variables. Sites and species positioned closer together share more similar trait compositions. The direction and length of arrows indicate the strength and influence of each predictor on community structure.</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_Toc195189743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92</w:t>
        </w:r>
        <w:r w:rsidRPr="006F75B9">
          <w:rPr>
            <w:rFonts w:ascii="Times New Roman" w:hAnsi="Times New Roman" w:cs="Times New Roman"/>
            <w:i w:val="0"/>
            <w:iCs w:val="0"/>
            <w:noProof/>
            <w:webHidden/>
            <w:color w:val="000000" w:themeColor="text1"/>
            <w:sz w:val="24"/>
            <w:szCs w:val="24"/>
          </w:rPr>
          <w:fldChar w:fldCharType="end"/>
        </w:r>
      </w:hyperlink>
    </w:p>
    <w:p w14:paraId="41489F28" w14:textId="6267A9B9"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4" w:history="1">
        <w:r w:rsidRPr="006F75B9">
          <w:rPr>
            <w:rStyle w:val="Hyperlink"/>
            <w:rFonts w:ascii="Times New Roman" w:hAnsi="Times New Roman" w:cs="Times New Roman"/>
            <w:i w:val="0"/>
            <w:iCs w:val="0"/>
            <w:noProof/>
            <w:color w:val="000000" w:themeColor="text1"/>
            <w:sz w:val="24"/>
            <w:szCs w:val="24"/>
          </w:rPr>
          <w:t>Figure 7: Pearson correlation matrix illustrating the relationships between functional diversity indices (</w:t>
        </w:r>
        <w:r w:rsidRPr="006F75B9">
          <w:rPr>
            <w:rStyle w:val="Hyperlink"/>
            <w:rFonts w:ascii="Times New Roman" w:eastAsiaTheme="majorEastAsia" w:hAnsi="Times New Roman" w:cs="Times New Roman"/>
            <w:i w:val="0"/>
            <w:iCs w:val="0"/>
            <w:noProof/>
            <w:color w:val="000000" w:themeColor="text1"/>
            <w:sz w:val="24"/>
            <w:szCs w:val="24"/>
          </w:rPr>
          <w:t>FDis: Functional Dispersion, FDiv: Functional Divergence, FRic: Functional Richness, RaoQ: Rao’s Quadratic Entropy</w:t>
        </w:r>
        <w:r w:rsidRPr="006F75B9">
          <w:rPr>
            <w:rStyle w:val="Hyperlink"/>
            <w:rFonts w:ascii="Times New Roman" w:hAnsi="Times New Roman" w:cs="Times New Roman"/>
            <w:i w:val="0"/>
            <w:iCs w:val="0"/>
            <w:noProof/>
            <w:color w:val="000000" w:themeColor="text1"/>
            <w:sz w:val="24"/>
            <w:szCs w:val="24"/>
          </w:rPr>
          <w:t>) and morphological traits (</w:t>
        </w:r>
        <w:r w:rsidRPr="006F75B9">
          <w:rPr>
            <w:rStyle w:val="Hyperlink"/>
            <w:rFonts w:ascii="Times New Roman" w:eastAsiaTheme="majorEastAsia" w:hAnsi="Times New Roman" w:cs="Times New Roman"/>
            <w:i w:val="0"/>
            <w:iCs w:val="0"/>
            <w:noProof/>
            <w:color w:val="000000" w:themeColor="text1"/>
            <w:sz w:val="24"/>
            <w:szCs w:val="24"/>
          </w:rPr>
          <w:t>Wing Length, Beak Length, Mass, Beak Width, Tarsus, Tail Length</w:t>
        </w:r>
        <w:r w:rsidRPr="006F75B9">
          <w:rPr>
            <w:rStyle w:val="Hyperlink"/>
            <w:rFonts w:ascii="Times New Roman" w:hAnsi="Times New Roman" w:cs="Times New Roman"/>
            <w:i w:val="0"/>
            <w:iCs w:val="0"/>
            <w:noProof/>
            <w:color w:val="000000" w:themeColor="text1"/>
            <w:sz w:val="24"/>
            <w:szCs w:val="24"/>
          </w:rPr>
          <w:t xml:space="preserve">). The </w:t>
        </w:r>
        <w:r w:rsidRPr="006F75B9">
          <w:rPr>
            <w:rStyle w:val="Hyperlink"/>
            <w:rFonts w:ascii="Times New Roman" w:eastAsiaTheme="majorEastAsia" w:hAnsi="Times New Roman" w:cs="Times New Roman"/>
            <w:i w:val="0"/>
            <w:iCs w:val="0"/>
            <w:noProof/>
            <w:color w:val="000000" w:themeColor="text1"/>
            <w:sz w:val="24"/>
            <w:szCs w:val="24"/>
          </w:rPr>
          <w:t>color intensity</w:t>
        </w:r>
        <w:r w:rsidRPr="006F75B9">
          <w:rPr>
            <w:rStyle w:val="Hyperlink"/>
            <w:rFonts w:ascii="Times New Roman" w:hAnsi="Times New Roman" w:cs="Times New Roman"/>
            <w:i w:val="0"/>
            <w:iCs w:val="0"/>
            <w:noProof/>
            <w:color w:val="000000" w:themeColor="text1"/>
            <w:sz w:val="24"/>
            <w:szCs w:val="24"/>
          </w:rPr>
          <w:t xml:space="preserve"> and </w:t>
        </w:r>
        <w:r w:rsidRPr="006F75B9">
          <w:rPr>
            <w:rStyle w:val="Hyperlink"/>
            <w:rFonts w:ascii="Times New Roman" w:eastAsiaTheme="majorEastAsia" w:hAnsi="Times New Roman" w:cs="Times New Roman"/>
            <w:i w:val="0"/>
            <w:iCs w:val="0"/>
            <w:noProof/>
            <w:color w:val="000000" w:themeColor="text1"/>
            <w:sz w:val="24"/>
            <w:szCs w:val="24"/>
          </w:rPr>
          <w:t>shading</w:t>
        </w:r>
        <w:r w:rsidRPr="006F75B9">
          <w:rPr>
            <w:rStyle w:val="Hyperlink"/>
            <w:rFonts w:ascii="Times New Roman" w:hAnsi="Times New Roman" w:cs="Times New Roman"/>
            <w:i w:val="0"/>
            <w:iCs w:val="0"/>
            <w:noProof/>
            <w:color w:val="000000" w:themeColor="text1"/>
            <w:sz w:val="24"/>
            <w:szCs w:val="24"/>
          </w:rPr>
          <w:t xml:space="preserve"> represent the strength and direction of the correlations, with </w:t>
        </w:r>
        <w:r w:rsidRPr="006F75B9">
          <w:rPr>
            <w:rStyle w:val="Hyperlink"/>
            <w:rFonts w:ascii="Times New Roman" w:eastAsiaTheme="majorEastAsia" w:hAnsi="Times New Roman" w:cs="Times New Roman"/>
            <w:i w:val="0"/>
            <w:iCs w:val="0"/>
            <w:noProof/>
            <w:color w:val="000000" w:themeColor="text1"/>
            <w:sz w:val="24"/>
            <w:szCs w:val="24"/>
          </w:rPr>
          <w:t>warmer colors (red)</w:t>
        </w:r>
        <w:r w:rsidRPr="006F75B9">
          <w:rPr>
            <w:rStyle w:val="Hyperlink"/>
            <w:rFonts w:ascii="Times New Roman" w:hAnsi="Times New Roman" w:cs="Times New Roman"/>
            <w:i w:val="0"/>
            <w:iCs w:val="0"/>
            <w:noProof/>
            <w:color w:val="000000" w:themeColor="text1"/>
            <w:sz w:val="24"/>
            <w:szCs w:val="24"/>
          </w:rPr>
          <w:t xml:space="preserve"> indicating strong positive correlations and </w:t>
        </w:r>
        <w:r w:rsidRPr="006F75B9">
          <w:rPr>
            <w:rStyle w:val="Hyperlink"/>
            <w:rFonts w:ascii="Times New Roman" w:eastAsiaTheme="majorEastAsia" w:hAnsi="Times New Roman" w:cs="Times New Roman"/>
            <w:i w:val="0"/>
            <w:iCs w:val="0"/>
            <w:noProof/>
            <w:color w:val="000000" w:themeColor="text1"/>
            <w:sz w:val="24"/>
            <w:szCs w:val="24"/>
          </w:rPr>
          <w:t>cooler colors (blue)</w:t>
        </w:r>
        <w:r w:rsidRPr="006F75B9">
          <w:rPr>
            <w:rStyle w:val="Hyperlink"/>
            <w:rFonts w:ascii="Times New Roman" w:hAnsi="Times New Roman" w:cs="Times New Roman"/>
            <w:i w:val="0"/>
            <w:iCs w:val="0"/>
            <w:noProof/>
            <w:color w:val="000000" w:themeColor="text1"/>
            <w:sz w:val="24"/>
            <w:szCs w:val="24"/>
          </w:rPr>
          <w:t xml:space="preserve"> representing strong negative correlations. Correlation coefficients are displayed within the matrix, with significant relationships highlighted.</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_Toc195189744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93</w:t>
        </w:r>
        <w:r w:rsidRPr="006F75B9">
          <w:rPr>
            <w:rFonts w:ascii="Times New Roman" w:hAnsi="Times New Roman" w:cs="Times New Roman"/>
            <w:i w:val="0"/>
            <w:iCs w:val="0"/>
            <w:noProof/>
            <w:webHidden/>
            <w:color w:val="000000" w:themeColor="text1"/>
            <w:sz w:val="24"/>
            <w:szCs w:val="24"/>
          </w:rPr>
          <w:fldChar w:fldCharType="end"/>
        </w:r>
      </w:hyperlink>
    </w:p>
    <w:p w14:paraId="1A0E93A8" w14:textId="47F6D67D"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5" w:history="1">
        <w:r w:rsidRPr="006F75B9">
          <w:rPr>
            <w:rStyle w:val="Hyperlink"/>
            <w:rFonts w:ascii="Times New Roman" w:hAnsi="Times New Roman" w:cs="Times New Roman"/>
            <w:i w:val="0"/>
            <w:iCs w:val="0"/>
            <w:noProof/>
            <w:color w:val="000000" w:themeColor="text1"/>
            <w:sz w:val="24"/>
            <w:szCs w:val="24"/>
          </w:rPr>
          <w:t xml:space="preserve">Figure 8: Quantitative seed dispersal network for the </w:t>
        </w:r>
        <w:r w:rsidRPr="006F75B9">
          <w:rPr>
            <w:rStyle w:val="Hyperlink"/>
            <w:rFonts w:ascii="Times New Roman" w:eastAsiaTheme="majorEastAsia" w:hAnsi="Times New Roman" w:cs="Times New Roman"/>
            <w:i w:val="0"/>
            <w:iCs w:val="0"/>
            <w:noProof/>
            <w:color w:val="000000" w:themeColor="text1"/>
            <w:sz w:val="24"/>
            <w:szCs w:val="24"/>
          </w:rPr>
          <w:t>FCAT system (A)</w:t>
        </w:r>
        <w:r w:rsidRPr="006F75B9">
          <w:rPr>
            <w:rStyle w:val="Hyperlink"/>
            <w:rFonts w:ascii="Times New Roman" w:hAnsi="Times New Roman" w:cs="Times New Roman"/>
            <w:i w:val="0"/>
            <w:iCs w:val="0"/>
            <w:noProof/>
            <w:color w:val="000000" w:themeColor="text1"/>
            <w:sz w:val="24"/>
            <w:szCs w:val="24"/>
          </w:rPr>
          <w:t xml:space="preserve">, with four subnetworks (B) representing each of the four sampled stages of </w:t>
        </w:r>
        <w:r w:rsidRPr="006F75B9">
          <w:rPr>
            <w:rStyle w:val="Hyperlink"/>
            <w:rFonts w:ascii="Times New Roman" w:eastAsiaTheme="majorEastAsia" w:hAnsi="Times New Roman" w:cs="Times New Roman"/>
            <w:i w:val="0"/>
            <w:iCs w:val="0"/>
            <w:noProof/>
            <w:color w:val="000000" w:themeColor="text1"/>
            <w:sz w:val="24"/>
            <w:szCs w:val="24"/>
          </w:rPr>
          <w:t>forest regeneration (PA = highly impacted pasture, ES = low impact early successional vegetation, SEC = secondary forest, and OG = old growth Chocó Rainforest)</w:t>
        </w:r>
        <w:r w:rsidRPr="006F75B9">
          <w:rPr>
            <w:rStyle w:val="Hyperlink"/>
            <w:rFonts w:ascii="Times New Roman" w:hAnsi="Times New Roman" w:cs="Times New Roman"/>
            <w:i w:val="0"/>
            <w:iCs w:val="0"/>
            <w:noProof/>
            <w:color w:val="000000" w:themeColor="text1"/>
            <w:sz w:val="24"/>
            <w:szCs w:val="24"/>
          </w:rPr>
          <w:t>. Each node (rectangle) represents a species, and the width of each node represents its relative abundance in that network. C</w:t>
        </w:r>
        <w:r w:rsidRPr="006F75B9">
          <w:rPr>
            <w:rStyle w:val="Hyperlink"/>
            <w:rFonts w:ascii="Times New Roman" w:eastAsiaTheme="majorEastAsia" w:hAnsi="Times New Roman" w:cs="Times New Roman"/>
            <w:i w:val="0"/>
            <w:iCs w:val="0"/>
            <w:noProof/>
            <w:color w:val="000000" w:themeColor="text1"/>
            <w:sz w:val="24"/>
            <w:szCs w:val="24"/>
          </w:rPr>
          <w:t>olored nodes represent dispersers</w:t>
        </w:r>
        <w:r w:rsidRPr="006F75B9">
          <w:rPr>
            <w:rStyle w:val="Hyperlink"/>
            <w:rFonts w:ascii="Times New Roman" w:hAnsi="Times New Roman" w:cs="Times New Roman"/>
            <w:i w:val="0"/>
            <w:iCs w:val="0"/>
            <w:noProof/>
            <w:color w:val="000000" w:themeColor="text1"/>
            <w:sz w:val="24"/>
            <w:szCs w:val="24"/>
          </w:rPr>
          <w:t xml:space="preserve">: </w:t>
        </w:r>
        <w:r w:rsidRPr="006F75B9">
          <w:rPr>
            <w:rStyle w:val="Hyperlink"/>
            <w:rFonts w:ascii="Times New Roman" w:eastAsiaTheme="majorEastAsia" w:hAnsi="Times New Roman" w:cs="Times New Roman"/>
            <w:i w:val="0"/>
            <w:iCs w:val="0"/>
            <w:noProof/>
            <w:color w:val="000000" w:themeColor="text1"/>
            <w:sz w:val="24"/>
            <w:szCs w:val="24"/>
          </w:rPr>
          <w:t>birds = blue, bats = orange, and other mammals = green</w:t>
        </w:r>
        <w:r w:rsidRPr="006F75B9">
          <w:rPr>
            <w:rStyle w:val="Hyperlink"/>
            <w:rFonts w:ascii="Times New Roman" w:hAnsi="Times New Roman" w:cs="Times New Roman"/>
            <w:i w:val="0"/>
            <w:iCs w:val="0"/>
            <w:noProof/>
            <w:color w:val="000000" w:themeColor="text1"/>
            <w:sz w:val="24"/>
            <w:szCs w:val="24"/>
          </w:rPr>
          <w:t xml:space="preserve">. </w:t>
        </w:r>
        <w:r w:rsidRPr="006F75B9">
          <w:rPr>
            <w:rStyle w:val="Hyperlink"/>
            <w:rFonts w:ascii="Times New Roman" w:eastAsiaTheme="majorEastAsia" w:hAnsi="Times New Roman" w:cs="Times New Roman"/>
            <w:i w:val="0"/>
            <w:iCs w:val="0"/>
            <w:noProof/>
            <w:color w:val="000000" w:themeColor="text1"/>
            <w:sz w:val="24"/>
            <w:szCs w:val="24"/>
          </w:rPr>
          <w:t>Black nodes</w:t>
        </w:r>
        <w:r w:rsidRPr="006F75B9">
          <w:rPr>
            <w:rStyle w:val="Hyperlink"/>
            <w:rFonts w:ascii="Times New Roman" w:hAnsi="Times New Roman" w:cs="Times New Roman"/>
            <w:i w:val="0"/>
            <w:iCs w:val="0"/>
            <w:noProof/>
            <w:color w:val="000000" w:themeColor="text1"/>
            <w:sz w:val="24"/>
            <w:szCs w:val="24"/>
          </w:rPr>
          <w:t xml:space="preserve"> represent </w:t>
        </w:r>
        <w:r w:rsidRPr="006F75B9">
          <w:rPr>
            <w:rStyle w:val="Hyperlink"/>
            <w:rFonts w:ascii="Times New Roman" w:eastAsiaTheme="majorEastAsia" w:hAnsi="Times New Roman" w:cs="Times New Roman"/>
            <w:i w:val="0"/>
            <w:iCs w:val="0"/>
            <w:noProof/>
            <w:color w:val="000000" w:themeColor="text1"/>
            <w:sz w:val="24"/>
            <w:szCs w:val="24"/>
          </w:rPr>
          <w:t>fruiting plant species</w:t>
        </w:r>
        <w:r w:rsidRPr="006F75B9">
          <w:rPr>
            <w:rStyle w:val="Hyperlink"/>
            <w:rFonts w:ascii="Times New Roman" w:hAnsi="Times New Roman" w:cs="Times New Roman"/>
            <w:i w:val="0"/>
            <w:iCs w:val="0"/>
            <w:noProof/>
            <w:color w:val="000000" w:themeColor="text1"/>
            <w:sz w:val="24"/>
            <w:szCs w:val="24"/>
          </w:rPr>
          <w:t xml:space="preserve">. </w:t>
        </w:r>
        <w:r w:rsidRPr="006F75B9">
          <w:rPr>
            <w:rStyle w:val="Hyperlink"/>
            <w:rFonts w:ascii="Times New Roman" w:eastAsiaTheme="majorEastAsia" w:hAnsi="Times New Roman" w:cs="Times New Roman"/>
            <w:i w:val="0"/>
            <w:iCs w:val="0"/>
            <w:noProof/>
            <w:color w:val="000000" w:themeColor="text1"/>
            <w:sz w:val="24"/>
            <w:szCs w:val="24"/>
          </w:rPr>
          <w:t>Edges (lines connecting each species) represent weighted interactions</w:t>
        </w:r>
        <w:r w:rsidRPr="006F75B9">
          <w:rPr>
            <w:rStyle w:val="Hyperlink"/>
            <w:rFonts w:ascii="Times New Roman" w:hAnsi="Times New Roman" w:cs="Times New Roman"/>
            <w:i w:val="0"/>
            <w:iCs w:val="0"/>
            <w:noProof/>
            <w:color w:val="000000" w:themeColor="text1"/>
            <w:sz w:val="24"/>
            <w:szCs w:val="24"/>
          </w:rPr>
          <w:t xml:space="preserve">, where thicker edges indicate </w:t>
        </w:r>
        <w:r w:rsidRPr="006F75B9">
          <w:rPr>
            <w:rStyle w:val="Hyperlink"/>
            <w:rFonts w:ascii="Times New Roman" w:eastAsiaTheme="majorEastAsia" w:hAnsi="Times New Roman" w:cs="Times New Roman"/>
            <w:i w:val="0"/>
            <w:iCs w:val="0"/>
            <w:noProof/>
            <w:color w:val="000000" w:themeColor="text1"/>
            <w:sz w:val="24"/>
            <w:szCs w:val="24"/>
          </w:rPr>
          <w:t>stronger dispersal relationships</w:t>
        </w:r>
        <w:r w:rsidRPr="006F75B9">
          <w:rPr>
            <w:rStyle w:val="Hyperlink"/>
            <w:rFonts w:ascii="Times New Roman" w:hAnsi="Times New Roman" w:cs="Times New Roman"/>
            <w:i w:val="0"/>
            <w:iCs w:val="0"/>
            <w:noProof/>
            <w:color w:val="000000" w:themeColor="text1"/>
            <w:sz w:val="24"/>
            <w:szCs w:val="24"/>
          </w:rPr>
          <w:t xml:space="preserve"> between plants and their dispersers.</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_Toc195189745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126</w:t>
        </w:r>
        <w:r w:rsidRPr="006F75B9">
          <w:rPr>
            <w:rFonts w:ascii="Times New Roman" w:hAnsi="Times New Roman" w:cs="Times New Roman"/>
            <w:i w:val="0"/>
            <w:iCs w:val="0"/>
            <w:noProof/>
            <w:webHidden/>
            <w:color w:val="000000" w:themeColor="text1"/>
            <w:sz w:val="24"/>
            <w:szCs w:val="24"/>
          </w:rPr>
          <w:fldChar w:fldCharType="end"/>
        </w:r>
      </w:hyperlink>
    </w:p>
    <w:p w14:paraId="3C434A81" w14:textId="79A4A202"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6" w:history="1">
        <w:r w:rsidRPr="006F75B9">
          <w:rPr>
            <w:rStyle w:val="Hyperlink"/>
            <w:rFonts w:ascii="Times New Roman" w:hAnsi="Times New Roman" w:cs="Times New Roman"/>
            <w:i w:val="0"/>
            <w:iCs w:val="0"/>
            <w:noProof/>
            <w:color w:val="000000" w:themeColor="text1"/>
            <w:sz w:val="24"/>
            <w:szCs w:val="24"/>
          </w:rPr>
          <w:t xml:space="preserve">Figure 9:  Interaction frequency (A), interaction diversity (B), and the effective number of interactions (C) across four stages of forest regeneration </w:t>
        </w:r>
        <w:r w:rsidRPr="006F75B9">
          <w:rPr>
            <w:rStyle w:val="Hyperlink"/>
            <w:rFonts w:ascii="Times New Roman" w:eastAsiaTheme="majorEastAsia" w:hAnsi="Times New Roman" w:cs="Times New Roman"/>
            <w:i w:val="0"/>
            <w:iCs w:val="0"/>
            <w:noProof/>
            <w:color w:val="000000" w:themeColor="text1"/>
            <w:sz w:val="24"/>
            <w:szCs w:val="24"/>
          </w:rPr>
          <w:t>(PA = highly impacted pasture, ES = low impact early successional vegetation, SEC = secondary forest, and OG = old growth Chocó Rainforest)</w:t>
        </w:r>
        <w:r w:rsidRPr="006F75B9">
          <w:rPr>
            <w:rStyle w:val="Hyperlink"/>
            <w:rFonts w:ascii="Times New Roman" w:hAnsi="Times New Roman" w:cs="Times New Roman"/>
            <w:i w:val="0"/>
            <w:iCs w:val="0"/>
            <w:noProof/>
            <w:color w:val="000000" w:themeColor="text1"/>
            <w:sz w:val="24"/>
            <w:szCs w:val="24"/>
          </w:rPr>
          <w:t>. Asterisks (*) represent significant differences (</w:t>
        </w:r>
        <w:r w:rsidRPr="006F75B9">
          <w:rPr>
            <w:rStyle w:val="Hyperlink"/>
            <w:rFonts w:ascii="Times New Roman" w:eastAsiaTheme="majorEastAsia" w:hAnsi="Times New Roman" w:cs="Times New Roman"/>
            <w:i w:val="0"/>
            <w:iCs w:val="0"/>
            <w:noProof/>
            <w:color w:val="000000" w:themeColor="text1"/>
            <w:sz w:val="24"/>
            <w:szCs w:val="24"/>
          </w:rPr>
          <w:t>p</w:t>
        </w:r>
        <w:r w:rsidRPr="006F75B9">
          <w:rPr>
            <w:rStyle w:val="Hyperlink"/>
            <w:rFonts w:ascii="Times New Roman" w:hAnsi="Times New Roman" w:cs="Times New Roman"/>
            <w:i w:val="0"/>
            <w:iCs w:val="0"/>
            <w:noProof/>
            <w:color w:val="000000" w:themeColor="text1"/>
            <w:sz w:val="24"/>
            <w:szCs w:val="24"/>
          </w:rPr>
          <w:t> &lt; 0.05) from old growth forests (OG).</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_Toc195189746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127</w:t>
        </w:r>
        <w:r w:rsidRPr="006F75B9">
          <w:rPr>
            <w:rFonts w:ascii="Times New Roman" w:hAnsi="Times New Roman" w:cs="Times New Roman"/>
            <w:i w:val="0"/>
            <w:iCs w:val="0"/>
            <w:noProof/>
            <w:webHidden/>
            <w:color w:val="000000" w:themeColor="text1"/>
            <w:sz w:val="24"/>
            <w:szCs w:val="24"/>
          </w:rPr>
          <w:fldChar w:fldCharType="end"/>
        </w:r>
      </w:hyperlink>
    </w:p>
    <w:p w14:paraId="7C8E12B9" w14:textId="34F6B602" w:rsidR="006262A7" w:rsidRPr="006F75B9" w:rsidRDefault="006262A7"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747" w:history="1">
        <w:r w:rsidRPr="006F75B9">
          <w:rPr>
            <w:rStyle w:val="Hyperlink"/>
            <w:rFonts w:ascii="Times New Roman" w:hAnsi="Times New Roman" w:cs="Times New Roman"/>
            <w:i w:val="0"/>
            <w:iCs w:val="0"/>
            <w:noProof/>
            <w:color w:val="000000" w:themeColor="text1"/>
            <w:sz w:val="24"/>
            <w:szCs w:val="24"/>
          </w:rPr>
          <w:t xml:space="preserve">Figure 10: </w:t>
        </w:r>
        <w:r w:rsidRPr="006F75B9">
          <w:rPr>
            <w:rStyle w:val="Hyperlink"/>
            <w:rFonts w:ascii="Times New Roman" w:hAnsi="Times New Roman" w:cs="Times New Roman"/>
            <w:i w:val="0"/>
            <w:iCs w:val="0"/>
            <w:noProof/>
            <w:color w:val="000000" w:themeColor="text1"/>
            <w:kern w:val="24"/>
            <w:sz w:val="24"/>
            <w:szCs w:val="24"/>
          </w:rPr>
          <w:t xml:space="preserve">The </w:t>
        </w:r>
        <w:r w:rsidRPr="006F75B9">
          <w:rPr>
            <w:rStyle w:val="Hyperlink"/>
            <w:rFonts w:ascii="Times New Roman" w:hAnsi="Times New Roman" w:cs="Times New Roman"/>
            <w:i w:val="0"/>
            <w:iCs w:val="0"/>
            <w:noProof/>
            <w:color w:val="000000" w:themeColor="text1"/>
            <w:sz w:val="24"/>
            <w:szCs w:val="24"/>
          </w:rPr>
          <w:t>proportion of shared links across habitats (‘edge overlap’) between each regeneration stage. The widths of the grey lines between each stage are proportional to the correlation of shared links between each pair. Higher values represent a higher proportion of shared links between networks.</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_Toc195189747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128</w:t>
        </w:r>
        <w:r w:rsidRPr="006F75B9">
          <w:rPr>
            <w:rFonts w:ascii="Times New Roman" w:hAnsi="Times New Roman" w:cs="Times New Roman"/>
            <w:i w:val="0"/>
            <w:iCs w:val="0"/>
            <w:noProof/>
            <w:webHidden/>
            <w:color w:val="000000" w:themeColor="text1"/>
            <w:sz w:val="24"/>
            <w:szCs w:val="24"/>
          </w:rPr>
          <w:fldChar w:fldCharType="end"/>
        </w:r>
      </w:hyperlink>
    </w:p>
    <w:p w14:paraId="41B5B4DC" w14:textId="77777777" w:rsidR="006F75B9" w:rsidRPr="006F75B9" w:rsidRDefault="006262A7" w:rsidP="006F75B9">
      <w:pPr>
        <w:spacing w:before="0" w:after="0"/>
        <w:rPr>
          <w:rFonts w:ascii="Times New Roman" w:hAnsi="Times New Roman" w:cs="Times New Roman"/>
          <w:noProof/>
          <w:color w:val="000000" w:themeColor="text1"/>
        </w:rPr>
      </w:pPr>
      <w:r w:rsidRPr="006F75B9">
        <w:rPr>
          <w:rFonts w:ascii="Times New Roman" w:hAnsi="Times New Roman" w:cs="Times New Roman"/>
          <w:color w:val="000000" w:themeColor="text1"/>
        </w:rPr>
        <w:lastRenderedPageBreak/>
        <w:fldChar w:fldCharType="end"/>
      </w:r>
      <w:r w:rsidR="006F75B9" w:rsidRPr="006F75B9">
        <w:rPr>
          <w:rFonts w:ascii="Times New Roman" w:hAnsi="Times New Roman" w:cs="Times New Roman"/>
          <w:color w:val="000000" w:themeColor="text1"/>
        </w:rPr>
        <w:fldChar w:fldCharType="begin"/>
      </w:r>
      <w:r w:rsidR="006F75B9" w:rsidRPr="006F75B9">
        <w:rPr>
          <w:rFonts w:ascii="Times New Roman" w:hAnsi="Times New Roman" w:cs="Times New Roman"/>
          <w:color w:val="000000" w:themeColor="text1"/>
        </w:rPr>
        <w:instrText xml:space="preserve"> TOC \h \z \c "Supplementary Figure" </w:instrText>
      </w:r>
      <w:r w:rsidR="006F75B9" w:rsidRPr="006F75B9">
        <w:rPr>
          <w:rFonts w:ascii="Times New Roman" w:hAnsi="Times New Roman" w:cs="Times New Roman"/>
          <w:color w:val="000000" w:themeColor="text1"/>
        </w:rPr>
        <w:fldChar w:fldCharType="separate"/>
      </w:r>
    </w:p>
    <w:p w14:paraId="72E8231A" w14:textId="3E4C9C75" w:rsidR="006F75B9" w:rsidRPr="006F75B9" w:rsidRDefault="006F75B9"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831" w:history="1">
        <w:r w:rsidRPr="006F75B9">
          <w:rPr>
            <w:rStyle w:val="Hyperlink"/>
            <w:rFonts w:ascii="Times New Roman" w:hAnsi="Times New Roman" w:cs="Times New Roman"/>
            <w:i w:val="0"/>
            <w:iCs w:val="0"/>
            <w:noProof/>
            <w:color w:val="000000" w:themeColor="text1"/>
            <w:sz w:val="24"/>
            <w:szCs w:val="24"/>
          </w:rPr>
          <w:t>Supplementary Figure 1: Selection process used to identify studies on seed dispersal networks in tropical ecosystems. Articles were compiled from multiple databases and sources, then screened based on relevance to seed dispersal networks, geographic focus on the tropics, and methodological criteria. From an initial pool of 2,916 studies, 77 met all inclusion criteria and were retained for full analysis.</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_Toc195189831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72</w:t>
        </w:r>
        <w:r w:rsidRPr="006F75B9">
          <w:rPr>
            <w:rFonts w:ascii="Times New Roman" w:hAnsi="Times New Roman" w:cs="Times New Roman"/>
            <w:i w:val="0"/>
            <w:iCs w:val="0"/>
            <w:noProof/>
            <w:webHidden/>
            <w:color w:val="000000" w:themeColor="text1"/>
            <w:sz w:val="24"/>
            <w:szCs w:val="24"/>
          </w:rPr>
          <w:fldChar w:fldCharType="end"/>
        </w:r>
      </w:hyperlink>
    </w:p>
    <w:p w14:paraId="4E978BB7" w14:textId="59E03EA1" w:rsidR="006F75B9" w:rsidRPr="006F75B9" w:rsidRDefault="006F75B9"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832" w:history="1">
        <w:r w:rsidRPr="006F75B9">
          <w:rPr>
            <w:rStyle w:val="Hyperlink"/>
            <w:rFonts w:ascii="Times New Roman" w:hAnsi="Times New Roman" w:cs="Times New Roman"/>
            <w:i w:val="0"/>
            <w:iCs w:val="0"/>
            <w:noProof/>
            <w:color w:val="000000" w:themeColor="text1"/>
            <w:sz w:val="24"/>
            <w:szCs w:val="24"/>
          </w:rPr>
          <w:t>Supplementary Figure 2: Examples of forest structure within each stage of forest regeneration sampled, including A) highly impacted early successional vegetation, B) low impact early successional vegetation, C) secondary forest, D) old growth Chocó Rainforest.</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_Toc195189832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112</w:t>
        </w:r>
        <w:r w:rsidRPr="006F75B9">
          <w:rPr>
            <w:rFonts w:ascii="Times New Roman" w:hAnsi="Times New Roman" w:cs="Times New Roman"/>
            <w:i w:val="0"/>
            <w:iCs w:val="0"/>
            <w:noProof/>
            <w:webHidden/>
            <w:color w:val="000000" w:themeColor="text1"/>
            <w:sz w:val="24"/>
            <w:szCs w:val="24"/>
          </w:rPr>
          <w:fldChar w:fldCharType="end"/>
        </w:r>
      </w:hyperlink>
    </w:p>
    <w:p w14:paraId="26D7BB48" w14:textId="597CBF0F" w:rsidR="006F75B9" w:rsidRPr="006F75B9" w:rsidRDefault="006F75B9"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833" w:history="1">
        <w:r w:rsidRPr="006F75B9">
          <w:rPr>
            <w:rStyle w:val="Hyperlink"/>
            <w:rFonts w:ascii="Times New Roman" w:hAnsi="Times New Roman" w:cs="Times New Roman"/>
            <w:i w:val="0"/>
            <w:iCs w:val="0"/>
            <w:noProof/>
            <w:color w:val="000000" w:themeColor="text1"/>
            <w:sz w:val="24"/>
            <w:szCs w:val="24"/>
          </w:rPr>
          <w:t>Supplementary Figure 3</w:t>
        </w:r>
        <w:r w:rsidRPr="006F75B9">
          <w:rPr>
            <w:rStyle w:val="Hyperlink"/>
            <w:rFonts w:ascii="Times New Roman" w:eastAsiaTheme="majorEastAsia" w:hAnsi="Times New Roman" w:cs="Times New Roman"/>
            <w:i w:val="0"/>
            <w:iCs w:val="0"/>
            <w:noProof/>
            <w:color w:val="000000" w:themeColor="text1"/>
            <w:sz w:val="24"/>
            <w:szCs w:val="24"/>
          </w:rPr>
          <w:t xml:space="preserve">: </w:t>
        </w:r>
        <w:r w:rsidRPr="006F75B9">
          <w:rPr>
            <w:rStyle w:val="Hyperlink"/>
            <w:rFonts w:ascii="Times New Roman" w:hAnsi="Times New Roman" w:cs="Times New Roman"/>
            <w:i w:val="0"/>
            <w:iCs w:val="0"/>
            <w:noProof/>
            <w:color w:val="000000" w:themeColor="text1"/>
            <w:sz w:val="24"/>
            <w:szCs w:val="24"/>
          </w:rPr>
          <w:t>Sampling completeness curves across four habitat types, representing different stages of regeneration and old-growth forest. The curves are color-coded: purple for 2 years of regeneration, blue for 10 years, pink for 25 years, and green for old-growth forest. A) Displays the overall sample coverage between sites where all plots within each habitat type are aggregated together, while B) examines the hill numbers/species diversity within each plot, where q = 0 (species richness), q = 1 (Shannon Diversity), and q = 2 (inverse Simpson).</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_Toc195189833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113</w:t>
        </w:r>
        <w:r w:rsidRPr="006F75B9">
          <w:rPr>
            <w:rFonts w:ascii="Times New Roman" w:hAnsi="Times New Roman" w:cs="Times New Roman"/>
            <w:i w:val="0"/>
            <w:iCs w:val="0"/>
            <w:noProof/>
            <w:webHidden/>
            <w:color w:val="000000" w:themeColor="text1"/>
            <w:sz w:val="24"/>
            <w:szCs w:val="24"/>
          </w:rPr>
          <w:fldChar w:fldCharType="end"/>
        </w:r>
      </w:hyperlink>
    </w:p>
    <w:p w14:paraId="3D387DCB" w14:textId="30068D1B" w:rsidR="006F75B9" w:rsidRPr="006F75B9" w:rsidRDefault="006F75B9" w:rsidP="006F75B9">
      <w:pPr>
        <w:pStyle w:val="TableofFigures"/>
        <w:tabs>
          <w:tab w:val="right" w:leader="dot" w:pos="9350"/>
        </w:tabs>
        <w:spacing w:before="0"/>
        <w:rPr>
          <w:rFonts w:ascii="Times New Roman" w:eastAsiaTheme="minorEastAsia" w:hAnsi="Times New Roman" w:cs="Times New Roman"/>
          <w:i w:val="0"/>
          <w:iCs w:val="0"/>
          <w:noProof/>
          <w:color w:val="000000" w:themeColor="text1"/>
          <w:sz w:val="24"/>
          <w:szCs w:val="24"/>
        </w:rPr>
      </w:pPr>
      <w:hyperlink w:anchor="_Toc195189834" w:history="1">
        <w:r w:rsidRPr="006F75B9">
          <w:rPr>
            <w:rStyle w:val="Hyperlink"/>
            <w:rFonts w:ascii="Times New Roman" w:hAnsi="Times New Roman" w:cs="Times New Roman"/>
            <w:i w:val="0"/>
            <w:iCs w:val="0"/>
            <w:noProof/>
            <w:color w:val="000000" w:themeColor="text1"/>
            <w:sz w:val="24"/>
            <w:szCs w:val="24"/>
          </w:rPr>
          <w:t>Supplementary Figure 4: Results of Tukey pairwise comparisons between stages of forest regeneration for varying network-level measures represented by p-values.</w:t>
        </w:r>
        <w:r w:rsidRPr="006F75B9">
          <w:rPr>
            <w:rFonts w:ascii="Times New Roman" w:hAnsi="Times New Roman" w:cs="Times New Roman"/>
            <w:i w:val="0"/>
            <w:iCs w:val="0"/>
            <w:noProof/>
            <w:webHidden/>
            <w:color w:val="000000" w:themeColor="text1"/>
            <w:sz w:val="24"/>
            <w:szCs w:val="24"/>
          </w:rPr>
          <w:tab/>
        </w:r>
        <w:r w:rsidRPr="006F75B9">
          <w:rPr>
            <w:rFonts w:ascii="Times New Roman" w:hAnsi="Times New Roman" w:cs="Times New Roman"/>
            <w:i w:val="0"/>
            <w:iCs w:val="0"/>
            <w:noProof/>
            <w:webHidden/>
            <w:color w:val="000000" w:themeColor="text1"/>
            <w:sz w:val="24"/>
            <w:szCs w:val="24"/>
          </w:rPr>
          <w:fldChar w:fldCharType="begin"/>
        </w:r>
        <w:r w:rsidRPr="006F75B9">
          <w:rPr>
            <w:rFonts w:ascii="Times New Roman" w:hAnsi="Times New Roman" w:cs="Times New Roman"/>
            <w:i w:val="0"/>
            <w:iCs w:val="0"/>
            <w:noProof/>
            <w:webHidden/>
            <w:color w:val="000000" w:themeColor="text1"/>
            <w:sz w:val="24"/>
            <w:szCs w:val="24"/>
          </w:rPr>
          <w:instrText xml:space="preserve"> PAGEREF _Toc195189834 \h </w:instrText>
        </w:r>
        <w:r w:rsidRPr="006F75B9">
          <w:rPr>
            <w:rFonts w:ascii="Times New Roman" w:hAnsi="Times New Roman" w:cs="Times New Roman"/>
            <w:i w:val="0"/>
            <w:iCs w:val="0"/>
            <w:noProof/>
            <w:webHidden/>
            <w:color w:val="000000" w:themeColor="text1"/>
            <w:sz w:val="24"/>
            <w:szCs w:val="24"/>
          </w:rPr>
        </w:r>
        <w:r w:rsidRPr="006F75B9">
          <w:rPr>
            <w:rFonts w:ascii="Times New Roman" w:hAnsi="Times New Roman" w:cs="Times New Roman"/>
            <w:i w:val="0"/>
            <w:iCs w:val="0"/>
            <w:noProof/>
            <w:webHidden/>
            <w:color w:val="000000" w:themeColor="text1"/>
            <w:sz w:val="24"/>
            <w:szCs w:val="24"/>
          </w:rPr>
          <w:fldChar w:fldCharType="separate"/>
        </w:r>
        <w:r w:rsidRPr="006F75B9">
          <w:rPr>
            <w:rFonts w:ascii="Times New Roman" w:hAnsi="Times New Roman" w:cs="Times New Roman"/>
            <w:i w:val="0"/>
            <w:iCs w:val="0"/>
            <w:noProof/>
            <w:webHidden/>
            <w:color w:val="000000" w:themeColor="text1"/>
            <w:sz w:val="24"/>
            <w:szCs w:val="24"/>
          </w:rPr>
          <w:t>142</w:t>
        </w:r>
        <w:r w:rsidRPr="006F75B9">
          <w:rPr>
            <w:rFonts w:ascii="Times New Roman" w:hAnsi="Times New Roman" w:cs="Times New Roman"/>
            <w:i w:val="0"/>
            <w:iCs w:val="0"/>
            <w:noProof/>
            <w:webHidden/>
            <w:color w:val="000000" w:themeColor="text1"/>
            <w:sz w:val="24"/>
            <w:szCs w:val="24"/>
          </w:rPr>
          <w:fldChar w:fldCharType="end"/>
        </w:r>
      </w:hyperlink>
    </w:p>
    <w:p w14:paraId="412BE812" w14:textId="28222A18" w:rsidR="005F51FB" w:rsidRPr="006F75B9" w:rsidRDefault="006F75B9" w:rsidP="006F75B9">
      <w:pPr>
        <w:spacing w:before="0" w:after="0"/>
        <w:rPr>
          <w:rFonts w:ascii="Times New Roman" w:hAnsi="Times New Roman" w:cs="Times New Roman"/>
          <w:color w:val="000000" w:themeColor="text1"/>
        </w:rPr>
        <w:sectPr w:rsidR="005F51FB" w:rsidRPr="006F75B9" w:rsidSect="003B3802">
          <w:headerReference w:type="even" r:id="rId8"/>
          <w:headerReference w:type="default" r:id="rId9"/>
          <w:headerReference w:type="first" r:id="rId10"/>
          <w:pgSz w:w="12240" w:h="15840"/>
          <w:pgMar w:top="1440" w:right="1440" w:bottom="1440" w:left="1440" w:header="709" w:footer="709" w:gutter="0"/>
          <w:pgNumType w:fmt="lowerRoman" w:start="1"/>
          <w:cols w:space="708"/>
          <w:titlePg/>
          <w:docGrid w:linePitch="360"/>
        </w:sectPr>
      </w:pPr>
      <w:r w:rsidRPr="006F75B9">
        <w:rPr>
          <w:rFonts w:ascii="Times New Roman" w:hAnsi="Times New Roman" w:cs="Times New Roman"/>
          <w:color w:val="000000" w:themeColor="text1"/>
        </w:rPr>
        <w:fldChar w:fldCharType="end"/>
      </w:r>
      <w:r w:rsidR="00E36404" w:rsidRPr="006F75B9">
        <w:rPr>
          <w:rFonts w:ascii="Times New Roman" w:hAnsi="Times New Roman" w:cs="Times New Roman"/>
          <w:color w:val="000000" w:themeColor="text1"/>
        </w:rPr>
        <w:t xml:space="preserve"> </w:t>
      </w:r>
    </w:p>
    <w:p w14:paraId="1F58E5EB" w14:textId="38721725" w:rsidR="00E07AFC" w:rsidRPr="00751DDC" w:rsidRDefault="00E07AFC" w:rsidP="00D77075">
      <w:pPr>
        <w:pStyle w:val="Heading1"/>
        <w:spacing w:before="0" w:after="0"/>
        <w:rPr>
          <w:rFonts w:ascii="Times New Roman" w:hAnsi="Times New Roman" w:cs="Times New Roman"/>
          <w:b/>
          <w:bCs/>
          <w:color w:val="000000" w:themeColor="text1"/>
          <w:sz w:val="24"/>
          <w:szCs w:val="24"/>
        </w:rPr>
      </w:pPr>
      <w:bookmarkStart w:id="45" w:name="_INTRODUCTION"/>
      <w:bookmarkStart w:id="46" w:name="_Toc195189599"/>
      <w:bookmarkEnd w:id="45"/>
      <w:r w:rsidRPr="00751DDC">
        <w:rPr>
          <w:rFonts w:ascii="Times New Roman" w:hAnsi="Times New Roman" w:cs="Times New Roman"/>
          <w:b/>
          <w:bCs/>
          <w:color w:val="000000" w:themeColor="text1"/>
          <w:sz w:val="24"/>
          <w:szCs w:val="24"/>
        </w:rPr>
        <w:lastRenderedPageBreak/>
        <w:t>I</w:t>
      </w:r>
      <w:r w:rsidR="007A1AA9">
        <w:rPr>
          <w:rFonts w:ascii="Times New Roman" w:hAnsi="Times New Roman" w:cs="Times New Roman"/>
          <w:b/>
          <w:bCs/>
          <w:color w:val="000000" w:themeColor="text1"/>
          <w:sz w:val="24"/>
          <w:szCs w:val="24"/>
        </w:rPr>
        <w:t>ntroduction</w:t>
      </w:r>
      <w:bookmarkEnd w:id="46"/>
      <w:r w:rsidRPr="00751DDC">
        <w:rPr>
          <w:rFonts w:ascii="Times New Roman" w:hAnsi="Times New Roman" w:cs="Times New Roman"/>
          <w:b/>
          <w:bCs/>
          <w:color w:val="000000" w:themeColor="text1"/>
          <w:sz w:val="24"/>
          <w:szCs w:val="24"/>
        </w:rPr>
        <w:t> </w:t>
      </w:r>
      <w:r w:rsidR="000B20F2" w:rsidRPr="00751DDC">
        <w:rPr>
          <w:rFonts w:ascii="Times New Roman" w:hAnsi="Times New Roman" w:cs="Times New Roman"/>
          <w:b/>
          <w:bCs/>
          <w:color w:val="000000" w:themeColor="text1"/>
          <w:sz w:val="24"/>
          <w:szCs w:val="24"/>
        </w:rPr>
        <w:tab/>
      </w:r>
    </w:p>
    <w:p w14:paraId="26441104" w14:textId="116CC88B" w:rsidR="00CA0809" w:rsidRDefault="00CA0809" w:rsidP="00D77075">
      <w:pPr>
        <w:pStyle w:val="NormalWeb"/>
        <w:spacing w:before="0" w:beforeAutospacing="0" w:after="0" w:afterAutospacing="0" w:line="360" w:lineRule="auto"/>
        <w:ind w:firstLine="720"/>
      </w:pPr>
      <w:r w:rsidRPr="00B066C6">
        <w:t xml:space="preserve">Tropical forests are among the most biodiverse and ecologically significant ecosystems on Earth, serving as critical carbon sinks </w:t>
      </w:r>
      <w:r w:rsidRPr="00B066C6">
        <w:fldChar w:fldCharType="begin"/>
      </w:r>
      <w:r w:rsidRPr="00B066C6">
        <w:instrText xml:space="preserve"> ADDIN ZOTERO_ITEM CSL_CITATION {"citationID":"cXD8OaJh","properties":{"formattedCitation":"(Soepadmo, 1993)","plainCitation":"(Soepadmo, 1993)","noteIndex":0},"citationItems":[{"id":247,"uris":["http://zotero.org/users/12345038/items/9J6ULUTZ"],"itemData":{"id":247,"type":"article-journal","container-title":"Chemosphere","DOI":"10.1016/0045-6535(93)90066-E","ISSN":"00456535","issue":"6","journalAbbreviation":"Chemosphere","language":"en","page":"1025-1039","source":"DOI.org (Crossref)","title":"Tropical rain forests as carbon sinks","volume":"27","author":[{"family":"Soepadmo","given":"E."}],"issued":{"date-parts":[["1993",9]]}}}],"schema":"https://github.com/citation-style-language/schema/raw/master/csl-citation.json"} </w:instrText>
      </w:r>
      <w:r w:rsidRPr="00B066C6">
        <w:fldChar w:fldCharType="separate"/>
      </w:r>
      <w:r w:rsidRPr="00B066C6">
        <w:rPr>
          <w:noProof/>
        </w:rPr>
        <w:t>(Soepadmo, 1993)</w:t>
      </w:r>
      <w:r w:rsidRPr="00B066C6">
        <w:fldChar w:fldCharType="end"/>
      </w:r>
      <w:r w:rsidRPr="00B066C6">
        <w:t xml:space="preserve"> and supporting two-thirds of all known species </w:t>
      </w:r>
      <w:r w:rsidRPr="00B066C6">
        <w:fldChar w:fldCharType="begin"/>
      </w:r>
      <w:r w:rsidRPr="00B066C6">
        <w:instrText xml:space="preserve"> ADDIN ZOTERO_ITEM CSL_CITATION {"citationID":"gegrYeSE","properties":{"formattedCitation":"(Olson &amp; Dinerstein, 2002)","plainCitation":"(Olson &amp; Dinerstein, 2002)","noteIndex":0},"citationItems":[{"id":245,"uris":["http://zotero.org/users/12345038/items/RHT6VRXZ"],"itemData":{"id":245,"type":"article-journal","abstract":"A global strategy to conserve biodiversity must aim to protect representative examples of all of the world's ecosystems, as well as those areas that contain exceptional concentrations of species and endemics. Although lacking the richness of tropical forests, deserts, tropical lakes, and subpolar seas all contain distinct species, communities, and ecological phenomena. We analyzed global patterns of biodiversity to identify a set of the Earth's terrestrial, freshwater, and marine ecoregions that harbor exceptional biodiversity and are representative of its ecosystems. We placed each of the Earth's ecoregions within a system of 30 biomes and biogeographic realms to facilitate a representation analysis. Biodiversity features were compared among ecoregions to assess their irreplaceability or distinctiveness. These features included species richness, endemic species, unusual higher taxa, unusual ecological or evolutionary phenomena, and the global rarity of habitats. This process yielded 238 ecoregions the Global 200 comprised of 142 terrestrial, 53 freshwater, and 43 marine priority ecoregions. Effective conservation in this set of ecoregions would help conserve the most outstanding and representative habitats for biodiversity on this planet.","container-title":"Annals of the Missouri Botanical Garden","DOI":"10.2307/3298564","ISSN":"00266493","issue":"2","journalAbbreviation":"Annals of the Missouri Botanical Garden","language":"en","page":"199","source":"DOI.org (Crossref)","title":"The Global 200: Priority Ecoregions for Global Conservation","title-short":"The Global 200","volume":"89","author":[{"family":"Olson","given":"David M."},{"family":"Dinerstein","given":"Eric"}],"issued":{"date-parts":[["2002"]]}}}],"schema":"https://github.com/citation-style-language/schema/raw/master/csl-citation.json"} </w:instrText>
      </w:r>
      <w:r w:rsidRPr="00B066C6">
        <w:fldChar w:fldCharType="separate"/>
      </w:r>
      <w:r w:rsidRPr="00B066C6">
        <w:rPr>
          <w:noProof/>
        </w:rPr>
        <w:t>(Olson &amp; Dinerstein, 2002)</w:t>
      </w:r>
      <w:r w:rsidRPr="00B066C6">
        <w:fldChar w:fldCharType="end"/>
      </w:r>
      <w:r w:rsidRPr="00B066C6">
        <w:t>. Despite their global importance, these forests are increasingly threatened by deforestation, fragmentation, and biodiversity</w:t>
      </w:r>
      <w:r>
        <w:t xml:space="preserve"> loss. </w:t>
      </w:r>
      <w:r w:rsidRPr="00B066C6">
        <w:t xml:space="preserve">Over two-thirds of all tropical rainforests have experienced some level of human disturbance </w:t>
      </w:r>
      <w:r w:rsidRPr="00B066C6">
        <w:fldChar w:fldCharType="begin"/>
      </w:r>
      <w:r w:rsidRPr="00B066C6">
        <w:instrText xml:space="preserve"> ADDIN ZOTERO_ITEM CSL_CITATION {"citationID":"po2Z2GYm","properties":{"formattedCitation":"(Edwards et al., 2019)","plainCitation":"(Edwards et al., 2019)","noteIndex":0},"citationItems":[{"id":249,"uris":["http://zotero.org/users/12345038/items/CJGG3DFI"],"itemData":{"id":249,"type":"article-journal","container-title":"Current Biology","DOI":"10.1016/j.cub.2019.08.026","ISSN":"09609822","issue":"19","journalAbbreviation":"Current Biology","language":"en","page":"R1008-R1020","source":"DOI.org (Crossref)","title":"Conservation of Tropical Forests in the Anthropocene","volume":"29","author":[{"family":"Edwards","given":"David P."},{"family":"Socolar","given":"Jacob B."},{"family":"Mills","given":"Simon C."},{"family":"Burivalova","given":"Zuzana"},{"family":"Koh","given":"Lian Pin"},{"family":"Wilcove","given":"David S."}],"issued":{"date-parts":[["2019",10]]}}}],"schema":"https://github.com/citation-style-language/schema/raw/master/csl-citation.json"} </w:instrText>
      </w:r>
      <w:r w:rsidRPr="00B066C6">
        <w:fldChar w:fldCharType="separate"/>
      </w:r>
      <w:r w:rsidRPr="00B066C6">
        <w:rPr>
          <w:noProof/>
        </w:rPr>
        <w:t>(Edwards et al., 2019)</w:t>
      </w:r>
      <w:r w:rsidRPr="00B066C6">
        <w:fldChar w:fldCharType="end"/>
      </w:r>
      <w:r>
        <w:t xml:space="preserve"> </w:t>
      </w:r>
      <w:r w:rsidRPr="00B066C6">
        <w:t>leading to disruptions in</w:t>
      </w:r>
      <w:r>
        <w:t xml:space="preserve"> communities,</w:t>
      </w:r>
      <w:r w:rsidRPr="00B066C6">
        <w:t xml:space="preserve"> species interactions</w:t>
      </w:r>
      <w:r>
        <w:t>,</w:t>
      </w:r>
      <w:r w:rsidRPr="00B066C6">
        <w:t xml:space="preserve"> and ecological functions essential for ecosystem resilience and </w:t>
      </w:r>
      <w:r>
        <w:t xml:space="preserve">forest </w:t>
      </w:r>
      <w:r w:rsidRPr="00B066C6">
        <w:t xml:space="preserve">regeneration. </w:t>
      </w:r>
      <w:r>
        <w:t>A defining characteristic of tropical forests are the faunal communities that sustain complex species interactions that contribute to ecological functions</w:t>
      </w:r>
      <w:r w:rsidR="000312B8">
        <w:t xml:space="preserve">, such as </w:t>
      </w:r>
      <w:r w:rsidRPr="00B066C6">
        <w:t>pollination</w:t>
      </w:r>
      <w:r w:rsidR="000312B8">
        <w:t xml:space="preserve"> and</w:t>
      </w:r>
      <w:r w:rsidRPr="00B066C6">
        <w:t xml:space="preserve"> seed dispersal </w:t>
      </w:r>
      <w:r w:rsidRPr="00B066C6">
        <w:fldChar w:fldCharType="begin"/>
      </w:r>
      <w:r>
        <w:instrText xml:space="preserve"> ADDIN ZOTERO_ITEM CSL_CITATION {"citationID":"Tl4Cqij0","properties":{"formattedCitation":"(Brockerhoff et al., 2017)","plainCitation":"(Brockerhoff et al., 2017)","noteIndex":0},"citationItems":[{"id":258,"uris":["http://zotero.org/users/local/0R4uToEG/items/DL9H3SQZ","http://zotero.org/users/12345038/items/DL9H3SQZ"],"itemData":{"id":258,"type":"article-journal","container-title":"Biodiversity and Conservation","DOI":"10.1007/s10531-017-1453-2","ISSN":"0960-3115, 1572-9710","issue":"13","journalAbbreviation":"Biodivers Conserv","language":"en","page":"3005-3035","source":"DOI.org (Crossref)","title":"Forest biodiversity, ecosystem functioning and the provision of ecosystem services","volume":"26","author":[{"family":"Brockerhoff","given":"Eckehard G."},{"family":"Barbaro","given":"Luc"},{"family":"Castagneyrol","given":"Bastien"},{"family":"Forrester","given":"David I."},{"family":"Gardiner","given":"Barry"},{"family":"González-Olabarria","given":"José Ramón"},{"family":"Lyver","given":"Phil O’B."},{"family":"Meurisse","given":"Nicolas"},{"family":"Oxbrough","given":"Anne"},{"family":"Taki","given":"Hisatomo"},{"family":"Thompson","given":"Ian D."},{"family":"Plas","given":"Fons","non-dropping-particle":"van der"},{"family":"Jactel","given":"Hervé"}],"issued":{"date-parts":[["2017",12]]}}}],"schema":"https://github.com/citation-style-language/schema/raw/master/csl-citation.json"} </w:instrText>
      </w:r>
      <w:r w:rsidRPr="00B066C6">
        <w:fldChar w:fldCharType="separate"/>
      </w:r>
      <w:r w:rsidRPr="00B066C6">
        <w:rPr>
          <w:noProof/>
        </w:rPr>
        <w:t>(Brockerhoff et al., 2017)</w:t>
      </w:r>
      <w:r w:rsidRPr="00B066C6">
        <w:fldChar w:fldCharType="end"/>
      </w:r>
      <w:r w:rsidRPr="00B066C6">
        <w:t>.</w:t>
      </w:r>
      <w:r>
        <w:t xml:space="preserve"> When these</w:t>
      </w:r>
      <w:r w:rsidRPr="00B066C6">
        <w:t xml:space="preserve"> </w:t>
      </w:r>
      <w:r w:rsidR="000312B8">
        <w:t xml:space="preserve">mutualistic </w:t>
      </w:r>
      <w:r w:rsidRPr="00B066C6">
        <w:t xml:space="preserve">interactions </w:t>
      </w:r>
      <w:r>
        <w:t xml:space="preserve">are disturbed, it can alter an ecosystems resiliency or </w:t>
      </w:r>
      <w:r w:rsidRPr="00B066C6">
        <w:t xml:space="preserve">ability </w:t>
      </w:r>
      <w:r>
        <w:t>to</w:t>
      </w:r>
      <w:r w:rsidRPr="00B066C6">
        <w:t xml:space="preserve"> recover and reestablish</w:t>
      </w:r>
      <w:r>
        <w:t xml:space="preserve"> functions </w:t>
      </w:r>
      <w:r w:rsidRPr="00B066C6">
        <w:t xml:space="preserve">after a disturbance </w:t>
      </w:r>
      <w:r w:rsidRPr="00B066C6">
        <w:fldChar w:fldCharType="begin"/>
      </w:r>
      <w:r w:rsidRPr="00B066C6">
        <w:instrText xml:space="preserve"> ADDIN ZOTERO_ITEM CSL_CITATION {"citationID":"cUvQywrz","properties":{"formattedCitation":"(Lundberg &amp; Moberg, 2003; Neuschulz et al., 2016)","plainCitation":"(Lundberg &amp; Moberg, 2003; Neuschulz et al., 2016)","noteIndex":0},"citationItems":[{"id":1694,"uris":["http://zotero.org/users/12345038/items/2F3HI3KJ"],"itemData":{"id":1694,"type":"article-journal","container-title":"Ecosystems","DOI":"10.1007/s10021-002-0150-4","ISSN":"1432-9840","issue":"1","journalAbbreviation":"Ecosystems","language":"en","license":"http://www.springer.com/tdm","page":"0087-0098","source":"DOI.org (Crossref)","title":"Mobile Link Organisms and Ecosystem Functioning: Implications for Ecosystem Resilience and Management","title-short":"Mobile Link Organisms and Ecosystem Functioning","volume":"6","author":[{"family":"Lundberg","given":"Jakob"},{"family":"Moberg","given":"Fredrik"}],"issued":{"date-parts":[["2003",1]]}}},{"id":94,"uris":["http://zotero.org/users/12345038/items/237ZYJT8"],"itemData":{"id":94,"type":"article-journal","container-title":"Scientific Reports","DOI":"10.1038/srep29839","ISSN":"2045-2322","issue":"1","journalAbbreviation":"Sci Rep","language":"en","page":"29839","source":"DOI.org (Crossref)","title":"Pollination and seed dispersal are the most threatened processes of plant regeneration","volume":"6","author":[{"family":"Neuschulz","given":"Eike Lena"},{"family":"Mueller","given":"Thomas"},{"family":"Schleuning","given":"Matthias"},{"family":"Böhning-Gaese","given":"Katrin"}],"issued":{"date-parts":[["2016",7]]}}}],"schema":"https://github.com/citation-style-language/schema/raw/master/csl-citation.json"} </w:instrText>
      </w:r>
      <w:r w:rsidRPr="00B066C6">
        <w:fldChar w:fldCharType="separate"/>
      </w:r>
      <w:r w:rsidRPr="00B066C6">
        <w:rPr>
          <w:noProof/>
        </w:rPr>
        <w:t>(Lundberg &amp; Moberg, 2003; Neuschulz et al., 2016)</w:t>
      </w:r>
      <w:r w:rsidRPr="00B066C6">
        <w:fldChar w:fldCharType="end"/>
      </w:r>
      <w:r w:rsidRPr="00B066C6">
        <w:t>.</w:t>
      </w:r>
      <w:r>
        <w:t xml:space="preserve"> </w:t>
      </w:r>
      <w:r w:rsidR="000312B8">
        <w:t>Ecological</w:t>
      </w:r>
      <w:r>
        <w:t xml:space="preserve"> restoration </w:t>
      </w:r>
      <w:r w:rsidR="000312B8">
        <w:t xml:space="preserve">offers a potential solution to overcome tropical forest loss, where </w:t>
      </w:r>
      <w:r>
        <w:t xml:space="preserve">efforts </w:t>
      </w:r>
      <w:r w:rsidR="000312B8">
        <w:t>that</w:t>
      </w:r>
      <w:r>
        <w:t xml:space="preserve"> </w:t>
      </w:r>
      <w:r w:rsidR="000312B8">
        <w:t>focus on prioritizing</w:t>
      </w:r>
      <w:r>
        <w:t xml:space="preserve"> the preservation of key </w:t>
      </w:r>
      <w:r w:rsidR="000312B8">
        <w:t>faunal</w:t>
      </w:r>
      <w:r>
        <w:t xml:space="preserve"> groups</w:t>
      </w:r>
      <w:r w:rsidR="000312B8">
        <w:t xml:space="preserve"> that sustain critical</w:t>
      </w:r>
      <w:r>
        <w:t xml:space="preserve"> species interactions </w:t>
      </w:r>
      <w:r w:rsidR="000312B8">
        <w:t>can</w:t>
      </w:r>
      <w:r>
        <w:t xml:space="preserve"> </w:t>
      </w:r>
      <w:r w:rsidR="000312B8">
        <w:t>enhance</w:t>
      </w:r>
      <w:r>
        <w:t xml:space="preserve"> forest regeneration</w:t>
      </w:r>
      <w:r w:rsidR="000312B8">
        <w:t xml:space="preserve">, resiliency, </w:t>
      </w:r>
      <w:r>
        <w:t xml:space="preserve">and </w:t>
      </w:r>
      <w:r w:rsidR="000312B8">
        <w:t>the functional recovery of these ecosystems</w:t>
      </w:r>
      <w:r>
        <w:t xml:space="preserve">. </w:t>
      </w:r>
    </w:p>
    <w:p w14:paraId="1C4D9A3A" w14:textId="618B3CDB" w:rsidR="00CA0809" w:rsidRDefault="00CA0809" w:rsidP="00D77075">
      <w:pPr>
        <w:pStyle w:val="NormalWeb"/>
        <w:spacing w:before="0" w:beforeAutospacing="0" w:after="0" w:afterAutospacing="0" w:line="360" w:lineRule="auto"/>
        <w:ind w:firstLine="720"/>
      </w:pPr>
      <w:r>
        <w:t xml:space="preserve">Studies assessing </w:t>
      </w:r>
      <w:r w:rsidR="000312B8">
        <w:t>the</w:t>
      </w:r>
      <w:r>
        <w:t xml:space="preserve"> recovery </w:t>
      </w:r>
      <w:r w:rsidR="000312B8">
        <w:t>of faunal communities with</w:t>
      </w:r>
      <w:r>
        <w:t xml:space="preserve">in regenerating tropical forests often rely on </w:t>
      </w:r>
      <w:r w:rsidRPr="00B066C6">
        <w:t>taxonomic diversity measures</w:t>
      </w:r>
      <w:r>
        <w:t>,</w:t>
      </w:r>
      <w:r w:rsidRPr="00B066C6">
        <w:t xml:space="preserve"> such as species richness</w:t>
      </w:r>
      <w:r w:rsidR="000312B8">
        <w:t>. However,</w:t>
      </w:r>
      <w:r>
        <w:t xml:space="preserve"> these measures do</w:t>
      </w:r>
      <w:r w:rsidRPr="00B066C6">
        <w:t xml:space="preserve"> not</w:t>
      </w:r>
      <w:r w:rsidR="000312B8">
        <w:t xml:space="preserve"> account for</w:t>
      </w:r>
      <w:r w:rsidRPr="00B066C6">
        <w:t xml:space="preserve"> the recovery of </w:t>
      </w:r>
      <w:r w:rsidR="000312B8">
        <w:t>certain f</w:t>
      </w:r>
      <w:r>
        <w:t xml:space="preserve">unctional </w:t>
      </w:r>
      <w:r w:rsidR="000312B8">
        <w:t>roles within a community</w:t>
      </w:r>
      <w:r>
        <w:t xml:space="preserve"> or give any insight into the </w:t>
      </w:r>
      <w:r w:rsidR="000312B8">
        <w:t>recovery</w:t>
      </w:r>
      <w:r>
        <w:t xml:space="preserve"> of species interactions</w:t>
      </w:r>
      <w:r w:rsidR="000312B8">
        <w:t xml:space="preserve"> within regenerating forests</w:t>
      </w:r>
      <w:r w:rsidRPr="00B066C6">
        <w:t xml:space="preserve"> </w:t>
      </w:r>
      <w:r w:rsidRPr="00B066C6">
        <w:fldChar w:fldCharType="begin"/>
      </w:r>
      <w:r>
        <w:instrText xml:space="preserve"> ADDIN ZOTERO_ITEM CSL_CITATION {"citationID":"EkHXcd8z","properties":{"formattedCitation":"(Acevedo\\uc0\\u8208{}Charry &amp; Aide, 2019a)","plainCitation":"(Acevedo‐Charry &amp; Aide, 2019a)","dontUpdate":true,"noteIndex":0},"citationItems":[{"id":84,"uris":["http://zotero.org/users/12345038/items/83XIVVNE"],"itemData":{"id":84,"type":"article-journal","container-title":"Oikos","DOI":"10.1111/oik.06252","ISSN":"0030-1299, 1600-0706","issue":"8","journalAbbreviation":"Oikos","language":"en","page":"1065-1078","source":"DOI.org (Crossref)","title":"Recovery of amphibian, reptile, bird and mammal diversity during secondary forest succession in the tropics","volume":"128","author":[{"family":"Acevedo‐Charry","given":"Orlando"},{"family":"Aide","given":"T. Mitchell"}],"issued":{"date-parts":[["2019",8]]}}}],"schema":"https://github.com/citation-style-language/schema/raw/master/csl-citation.json"} </w:instrText>
      </w:r>
      <w:r w:rsidRPr="00B066C6">
        <w:fldChar w:fldCharType="separate"/>
      </w:r>
      <w:r w:rsidRPr="007C39EB">
        <w:t>(Acevedo‐Charry &amp; Aide, 2019)</w:t>
      </w:r>
      <w:r w:rsidRPr="00B066C6">
        <w:fldChar w:fldCharType="end"/>
      </w:r>
      <w:r w:rsidRPr="00B066C6">
        <w:t xml:space="preserve">. </w:t>
      </w:r>
      <w:r w:rsidR="000312B8">
        <w:t>Instead, f</w:t>
      </w:r>
      <w:r w:rsidRPr="00B066C6">
        <w:t>unctional diversity</w:t>
      </w:r>
      <w:r>
        <w:t xml:space="preserve"> measures</w:t>
      </w:r>
      <w:r w:rsidRPr="00B066C6">
        <w:t>, which</w:t>
      </w:r>
      <w:r>
        <w:t xml:space="preserve"> consider species functional traits relative to their</w:t>
      </w:r>
      <w:r w:rsidRPr="00B066C6">
        <w:t xml:space="preserve"> ecological roles, provide a more comprehensive framework for evaluating </w:t>
      </w:r>
      <w:r w:rsidR="000312B8">
        <w:t xml:space="preserve">both floral and faunal </w:t>
      </w:r>
      <w:r>
        <w:t>community</w:t>
      </w:r>
      <w:r w:rsidRPr="00B066C6">
        <w:t xml:space="preserve"> recovery </w:t>
      </w:r>
      <w:r w:rsidRPr="00B066C6">
        <w:fldChar w:fldCharType="begin"/>
      </w:r>
      <w:r w:rsidRPr="00B066C6">
        <w:instrText xml:space="preserve"> ADDIN ZOTERO_ITEM CSL_CITATION {"citationID":"OHEFmVxu","properties":{"formattedCitation":"(Cadotte et al., 2011)","plainCitation":"(Cadotte et al., 2011)","noteIndex":0},"citationItems":[{"id":1450,"uris":["http://zotero.org/users/12345038/items/GZJ8ZA5T"],"itemData":{"id":1450,"type":"article-journal","abstract":"Summary\n            \n              1.\n               The goal of conservation and restoration activities is to maintain biological diversity and the ecosystem services that this diversity provides. These activities traditionally focus on the measures of species diversity that include only information on the presence and abundance of species. Yet how diversity influences ecosystem function depends on the traits and niches filled by species.\n            \n            \n              2.\n               Biological diversity can be quantified in ways that account for functional and phenotypic differences. A number of such measures of functional diversity (FD) have been created, quantifying the distribution of traits in a community or the relative magnitude of species similarities and differences. We review FD measures and why they are intuitively useful for understanding ecological patterns and are important for management.\n            \n            \n              3.\n               In order for FD to be meaningful and worth measuring, it must be correlated with ecosystem function, and it should provide information above and beyond what species richness or diversity can explain. We review these two propositions, examining whether the strength of the correlation between FD and species richness varies across differing environmental gradients and whether FD offers greater explanatory power of ecosystem function than species richness.\n            \n            \n              4.\n               Previous research shows that the relationship between FD and richness is complex and context dependent. Different functional traits can show individual responses to different gradients, meaning that important changes in diversity can occur with minimal change in richness. Further, FD can explain variation in ecosystem function even when richness does not.\n            \n            \n              5.\n               \n              Synthesis and applications\n              . FD measures those aspects of diversity that potentially affect community assembly and function. Given this explanatory power, FD should be incorporated into conservation and restoration decision‐making, especially for those efforts attempting to reconstruct or preserve healthy, functioning ecosystems.","container-title":"Journal of Applied Ecology","DOI":"10.1111/j.1365-2664.2011.02048.x","ISSN":"0021-8901, 1365-2664","issue":"5","journalAbbreviation":"Journal of Applied Ecology","language":"en","page":"1079-1087","source":"DOI.org (Crossref)","title":"Beyond species: functional diversity and the maintenance of ecological processes and services","title-short":"Beyond species","volume":"48","author":[{"family":"Cadotte","given":"Marc W."},{"family":"Carscadden","given":"Kelly"},{"family":"Mirotchnick","given":"Nicholas"}],"issued":{"date-parts":[["2011",10]]}}}],"schema":"https://github.com/citation-style-language/schema/raw/master/csl-citation.json"} </w:instrText>
      </w:r>
      <w:r w:rsidRPr="00B066C6">
        <w:fldChar w:fldCharType="separate"/>
      </w:r>
      <w:r w:rsidRPr="00B066C6">
        <w:rPr>
          <w:noProof/>
        </w:rPr>
        <w:t>(Cadotte et al., 2011)</w:t>
      </w:r>
      <w:r w:rsidRPr="00B066C6">
        <w:fldChar w:fldCharType="end"/>
      </w:r>
      <w:r w:rsidRPr="00B066C6">
        <w:t xml:space="preserve">. </w:t>
      </w:r>
      <w:r w:rsidR="000312B8">
        <w:t xml:space="preserve">In addition to functional diversity indices, understanding how </w:t>
      </w:r>
      <w:r w:rsidRPr="00B066C6">
        <w:t>interaction</w:t>
      </w:r>
      <w:r w:rsidR="000312B8">
        <w:t xml:space="preserve">s amongst species reassemble </w:t>
      </w:r>
      <w:r>
        <w:t>in regenerating forests</w:t>
      </w:r>
      <w:r w:rsidRPr="00B066C6">
        <w:t xml:space="preserve"> may also be </w:t>
      </w:r>
      <w:r w:rsidR="000312B8">
        <w:t xml:space="preserve">a </w:t>
      </w:r>
      <w:r w:rsidRPr="00B066C6">
        <w:t xml:space="preserve">more </w:t>
      </w:r>
      <w:r w:rsidR="000312B8">
        <w:t>informative</w:t>
      </w:r>
      <w:r w:rsidRPr="00B066C6">
        <w:t xml:space="preserve"> </w:t>
      </w:r>
      <w:r w:rsidR="000312B8">
        <w:t>way to</w:t>
      </w:r>
      <w:r w:rsidRPr="00B066C6">
        <w:t xml:space="preserve"> understand</w:t>
      </w:r>
      <w:r w:rsidR="000312B8">
        <w:t xml:space="preserve"> t</w:t>
      </w:r>
      <w:r w:rsidRPr="00B066C6">
        <w:t>he recovery of ecosystem functions</w:t>
      </w:r>
      <w:r>
        <w:t xml:space="preserve"> </w:t>
      </w:r>
      <w:r w:rsidRPr="00B066C6">
        <w:fldChar w:fldCharType="begin"/>
      </w:r>
      <w:r w:rsidRPr="00B066C6">
        <w:instrText xml:space="preserve"> ADDIN ZOTERO_ITEM CSL_CITATION {"citationID":"owQPFkob","properties":{"formattedCitation":"(Derh\\uc0\\u233{} et al., 2018; Genes &amp; Dirzo, 2022; Howe, 2016)","plainCitation":"(Derhé et al., 2018; Genes &amp; Dirzo, 2022; Howe, 2016)","noteIndex":0},"citationItems":[{"id":1498,"uris":["http://zotero.org/users/12345038/items/HQEXVCW8"],"itemData":{"id":1498,"type":"article-journal","container-title":"Restoration Ecology","language":"en","title":"Recovery of mammal diversity in tropical forests: a functional approach to measuring restoration","author":[{"family":"Derhé","given":"M.A."},{"family":"Murphy","given":"H.T."},{"family":"Preece","given":"N.D."},{"family":"Lawes","given":"M.J."},{"family":"Menéndez","given":"R."}],"issued":{"date-parts":[["2018",7,26]]}}},{"id":622,"uris":["http://zotero.org/users/12345038/items/VYU9NEW8"],"itemData":{"id":622,"type":"article-journal","abstract":"Ecosystem restoration is one of the most promising strategies for conservation in the Anthropocene. Within ecosystems, plant-animal interactions are critical to their functioning, biodiversity and to restoration success. However, there is no systematic assessment of such interactions across restoration efforts. We reviewed 127 articles that examined habitat restoration and trophic rewilding to synthesize knowledge on restoration of four key plant-animal interactions: seed dispersal, herbivory, pollination, and seed predation. We conducted a metaanalysis using a subset of 56 studies, which compared restored systems with degraded or reference systems. We addressed four questions: (i) To what extent are interactions recovered in restored sites compared to degraded and reference sites? (ii) Which management practices enhance interaction restoration? (iii) Which interactions and animal taxa were most frequently studied? and (iv) Is interaction restoration being studied in areas deemed critical for conservation? Seed dispersal was the most studied interaction, followed by herbivory, pollination, and seed predation. Mammals were the most studied group, followed by birds, insects, and reptiles. Importantly, occurrence of seed dispersal and pollination was more frequent in restored than degraded sites. While several studies were conducted in critical conservation sites, some biodiversity hotspots, particularly in Southeast Asia, have been understudied. Future research should focus on understudied interactions (e.g., seed predation) and taxa (e.g., insects and reptiles), so this information can be incorporated into practice. Considering the available studies, we find that both habitat restoration and trophic rewilding are effective in bringing seed dispersal and pollination to a better state than in degraded areas.","container-title":"Biological Conservation","DOI":"10.1016/j.biocon.2021.109393","ISSN":"00063207","journalAbbreviation":"Biological Conservation","language":"en","page":"109393","source":"DOI.org (Crossref)","title":"Restoration of plant-animal interactions in terrestrial ecosystems","volume":"265","author":[{"family":"Genes","given":"Luísa"},{"family":"Dirzo","given":"Rodolfo"}],"issued":{"date-parts":[["2022",1]]}}},{"id":81,"uris":["http://zotero.org/users/12345038/items/X5RS4I7S"],"itemData":{"id":81,"type":"article-journal","abstract":"Dispersal syndromes and networks must be used cautiously in conserving and restoring seed-dispersal processes. In many tropical forests most tree and shrub species require dispersal by animals for local persistence and for migration in response to environmental change. The most important errors to avoid in practical use of both dispersal syndromes (suites of fruit and seed characteristics that attract different dispersal agents) and network modules (groups of interacting dispersal agents and plants bearing fruits or seeds that they eat) are: (1) assuming that use of fruit resources by fruit-eating animals implies effective seed dispersal; (2) assuming that superficially similar fruits imply equally effective dispersal by similar animals, and (3) assuming that fruit resources at issue support animal populations. This essay explores strengths and weaknesses of uses of dispersal syndromes and disperser networks modules in conservation and restoration. Examples include some that are consistent with expectations from syndrome categorization and some that are not. An unappreciated weakness in using either dispersal syndromes or network modules is that contingent foraging by animals in highly disturbed habitats, now comprising 60%–70% of tropical land biomes, may not resemble foraging choices or consequences in protected closed forests, where most research on tropical seed dispersal is done. General prescriptions for the future include maintaining or creating habitat heterogeneity in largely deforested landscapes where remnant closed forests still exist, and active restoration in landscapes where little heterogeneity remains. In both cases, adaptations of multiple frame-work tree approaches have the best chance of preserving or enhancing populations of animal-dispersed trees and their seed vectors, and in opening migration paths in response to climate change.","container-title":"Global Ecology and Conservation","DOI":"10.1016/j.gecco.2016.03.002","ISSN":"23519894","journalAbbreviation":"Global Ecology and Conservation","language":"en","page":"152-178","source":"DOI.org (Crossref)","title":"Making dispersal syndromes and networks useful in tropical conservation and restoration","volume":"6","author":[{"family":"Howe","given":"Henry F."}],"issued":{"date-parts":[["2016",4]]}}}],"schema":"https://github.com/citation-style-language/schema/raw/master/csl-citation.json"} </w:instrText>
      </w:r>
      <w:r w:rsidRPr="00B066C6">
        <w:fldChar w:fldCharType="separate"/>
      </w:r>
      <w:r w:rsidRPr="00B066C6">
        <w:t>(Derhé et al., 2018; Genes &amp; Dirzo, 2022; Howe, 2016)</w:t>
      </w:r>
      <w:r w:rsidRPr="00B066C6">
        <w:fldChar w:fldCharType="end"/>
      </w:r>
      <w:r w:rsidRPr="00B066C6">
        <w:t>.</w:t>
      </w:r>
      <w:r>
        <w:t xml:space="preserve"> Understanding how to apply these measures in assessing community responses to tropical forest regeneration will be essential for developing effective restoration strategies that promote long-term ecosystem stability and resilience. </w:t>
      </w:r>
      <w:r w:rsidRPr="00B066C6">
        <w:t>Th</w:t>
      </w:r>
      <w:r>
        <w:t>erefore,</w:t>
      </w:r>
      <w:r w:rsidRPr="00B066C6">
        <w:t xml:space="preserve"> </w:t>
      </w:r>
      <w:r>
        <w:t xml:space="preserve">this </w:t>
      </w:r>
      <w:r w:rsidR="000312B8">
        <w:t>dissertation</w:t>
      </w:r>
      <w:r>
        <w:t xml:space="preserve"> </w:t>
      </w:r>
      <w:r w:rsidRPr="00B066C6">
        <w:t xml:space="preserve">aims to </w:t>
      </w:r>
      <w:r>
        <w:t xml:space="preserve">elucidate the recovery of faunal communities and species interactions across regenerating tropical forests and highlight the potential applications for </w:t>
      </w:r>
      <w:r>
        <w:lastRenderedPageBreak/>
        <w:t xml:space="preserve">utilizing functional diversity and species interaction measures to inform more effective and efficient assessments for tropical </w:t>
      </w:r>
      <w:r w:rsidR="000312B8">
        <w:t xml:space="preserve">forest </w:t>
      </w:r>
      <w:r>
        <w:t>restoration initiatives</w:t>
      </w:r>
      <w:r w:rsidRPr="00B066C6">
        <w:t xml:space="preserve">. </w:t>
      </w:r>
    </w:p>
    <w:p w14:paraId="68225964" w14:textId="36A86A9C" w:rsidR="00CA0809" w:rsidRPr="00B066C6" w:rsidRDefault="000312B8" w:rsidP="00D77075">
      <w:pPr>
        <w:pStyle w:val="NormalWeb"/>
        <w:spacing w:before="0" w:beforeAutospacing="0" w:after="0" w:afterAutospacing="0" w:line="360" w:lineRule="auto"/>
        <w:ind w:firstLine="720"/>
      </w:pPr>
      <w:r>
        <w:t>In this dissertation</w:t>
      </w:r>
      <w:r w:rsidR="00CA0809">
        <w:t>,</w:t>
      </w:r>
      <w:r w:rsidR="00CA0809" w:rsidRPr="00B066C6">
        <w:t xml:space="preserve"> </w:t>
      </w:r>
      <w:r>
        <w:t>I</w:t>
      </w:r>
      <w:r w:rsidR="00CA0809" w:rsidRPr="00B066C6">
        <w:t xml:space="preserve"> investigate</w:t>
      </w:r>
      <w:r>
        <w:t>: 1) B</w:t>
      </w:r>
      <w:r w:rsidR="00CA0809" w:rsidRPr="00B066C6">
        <w:t>roader trends in network-based strategies to inform restoration</w:t>
      </w:r>
      <w:r w:rsidR="00CA0809">
        <w:t xml:space="preserve">, </w:t>
      </w:r>
      <w:r>
        <w:t>2) T</w:t>
      </w:r>
      <w:r w:rsidR="00CA0809" w:rsidRPr="00B066C6">
        <w:t xml:space="preserve">he relationship </w:t>
      </w:r>
      <w:r w:rsidR="00CA0809">
        <w:t>between varying</w:t>
      </w:r>
      <w:r w:rsidR="00CA0809" w:rsidRPr="00B066C6">
        <w:t xml:space="preserve"> diversity</w:t>
      </w:r>
      <w:r w:rsidR="00CA0809">
        <w:t xml:space="preserve"> measures in assessing faunal community recovery, and </w:t>
      </w:r>
      <w:r>
        <w:t>3) E</w:t>
      </w:r>
      <w:r w:rsidR="00CA0809">
        <w:t xml:space="preserve">xamine </w:t>
      </w:r>
      <w:r w:rsidR="00CA0809" w:rsidRPr="00B066C6">
        <w:t>the structural dynamics of seed dispersal network</w:t>
      </w:r>
      <w:r w:rsidR="00CA0809">
        <w:t>s across regenerating tropical forests</w:t>
      </w:r>
      <w:r w:rsidR="00CA0809" w:rsidRPr="00B066C6">
        <w:t>.</w:t>
      </w:r>
      <w:r w:rsidR="00CA0809">
        <w:t xml:space="preserve"> </w:t>
      </w:r>
      <w:r>
        <w:t>C</w:t>
      </w:r>
      <w:r w:rsidR="00CA0809" w:rsidRPr="00B066C6">
        <w:t xml:space="preserve">hapter one of this </w:t>
      </w:r>
      <w:r w:rsidR="00CA0809">
        <w:t>research</w:t>
      </w:r>
      <w:r w:rsidR="00CA0809" w:rsidRPr="00B066C6">
        <w:t xml:space="preserve"> synthesizes existing </w:t>
      </w:r>
      <w:r w:rsidR="00CA0809">
        <w:t>literature</w:t>
      </w:r>
      <w:r w:rsidR="00CA0809" w:rsidRPr="00B066C6">
        <w:t xml:space="preserve"> on seed dispersal networks in </w:t>
      </w:r>
      <w:r w:rsidR="00CA0809">
        <w:t xml:space="preserve">relation to </w:t>
      </w:r>
      <w:r w:rsidR="00CA0809" w:rsidRPr="00B066C6">
        <w:t xml:space="preserve">tropical forest </w:t>
      </w:r>
      <w:r w:rsidR="00CA0809">
        <w:t xml:space="preserve">conservation and </w:t>
      </w:r>
      <w:r w:rsidR="00CA0809" w:rsidRPr="00B066C6">
        <w:t>restoration, identifying key trends, challenges, and opportunities for applying network theory to conservation and restoration efforts. Chapter two</w:t>
      </w:r>
      <w:r w:rsidR="00CA0809">
        <w:t xml:space="preserve"> examines the extent to which functional and taxonomic diversity measures elucidate avian community responses to regenerating tropical forests. </w:t>
      </w:r>
      <w:r w:rsidR="00CA0809" w:rsidRPr="00B066C6">
        <w:t xml:space="preserve">Finally, </w:t>
      </w:r>
      <w:r w:rsidR="00CA0809">
        <w:t>c</w:t>
      </w:r>
      <w:r w:rsidR="00CA0809" w:rsidRPr="00B066C6">
        <w:t>hapter three explores how seed dispersal</w:t>
      </w:r>
      <w:r w:rsidR="00CA0809">
        <w:t xml:space="preserve"> networks</w:t>
      </w:r>
      <w:r w:rsidR="00CA0809" w:rsidRPr="00B066C6">
        <w:t xml:space="preserve"> reassemble across </w:t>
      </w:r>
      <w:r>
        <w:t xml:space="preserve">a </w:t>
      </w:r>
      <w:r w:rsidR="00CA0809">
        <w:t xml:space="preserve">regenerating tropical </w:t>
      </w:r>
      <w:r>
        <w:t>forest gradient</w:t>
      </w:r>
      <w:r w:rsidR="00CA0809" w:rsidRPr="00B066C6">
        <w:t xml:space="preserve">. By integrating taxonomic and functional diversity assessments with </w:t>
      </w:r>
      <w:r>
        <w:t>ecological</w:t>
      </w:r>
      <w:r w:rsidR="00CA0809">
        <w:t xml:space="preserve"> network</w:t>
      </w:r>
      <w:r w:rsidR="00CA0809" w:rsidRPr="00B066C6">
        <w:t xml:space="preserve"> analyses, this study provides critical insights into optimizing </w:t>
      </w:r>
      <w:r>
        <w:t>efficient and reliable</w:t>
      </w:r>
      <w:r w:rsidR="00CA0809" w:rsidRPr="00B066C6">
        <w:t xml:space="preserve"> </w:t>
      </w:r>
      <w:r w:rsidR="00732DF5">
        <w:t xml:space="preserve">methodologies to inform </w:t>
      </w:r>
      <w:r w:rsidR="00CA0809" w:rsidRPr="00B066C6">
        <w:t>restoration</w:t>
      </w:r>
      <w:r w:rsidR="00732DF5">
        <w:t xml:space="preserve"> patterns and</w:t>
      </w:r>
      <w:r w:rsidR="00CA0809" w:rsidRPr="00B066C6">
        <w:t xml:space="preserve"> strategies</w:t>
      </w:r>
      <w:r w:rsidR="00732DF5">
        <w:t xml:space="preserve"> to facilitate</w:t>
      </w:r>
      <w:r w:rsidR="00CA0809" w:rsidRPr="00B066C6">
        <w:t xml:space="preserve"> </w:t>
      </w:r>
      <w:r w:rsidR="00732DF5">
        <w:t xml:space="preserve">the functional recovery of </w:t>
      </w:r>
      <w:r w:rsidR="00CA0809" w:rsidRPr="00B066C6">
        <w:t>tropical forest ecosystems.</w:t>
      </w:r>
    </w:p>
    <w:p w14:paraId="03498034" w14:textId="7F7748D3" w:rsidR="008A3541" w:rsidRPr="00B066C6" w:rsidRDefault="00E871BF" w:rsidP="00D77075">
      <w:pPr>
        <w:pStyle w:val="Heading2"/>
        <w:spacing w:before="0" w:after="0"/>
        <w:rPr>
          <w:rFonts w:ascii="Times New Roman" w:hAnsi="Times New Roman" w:cs="Times New Roman"/>
          <w:b/>
          <w:bCs/>
          <w:color w:val="auto"/>
          <w:sz w:val="24"/>
          <w:szCs w:val="24"/>
        </w:rPr>
      </w:pPr>
      <w:hyperlink w:anchor="_INTRODUCTION" w:history="1">
        <w:bookmarkStart w:id="47" w:name="_Toc195189600"/>
        <w:r>
          <w:rPr>
            <w:rStyle w:val="Hyperlink"/>
            <w:rFonts w:ascii="Times New Roman" w:hAnsi="Times New Roman" w:cs="Times New Roman"/>
            <w:b/>
            <w:bCs/>
            <w:color w:val="auto"/>
            <w:sz w:val="24"/>
            <w:szCs w:val="24"/>
            <w:u w:val="none"/>
          </w:rPr>
          <w:t xml:space="preserve">Patterns </w:t>
        </w:r>
        <w:r w:rsidR="00F54285">
          <w:rPr>
            <w:rStyle w:val="Hyperlink"/>
            <w:rFonts w:ascii="Times New Roman" w:hAnsi="Times New Roman" w:cs="Times New Roman"/>
            <w:b/>
            <w:bCs/>
            <w:color w:val="auto"/>
            <w:sz w:val="24"/>
            <w:szCs w:val="24"/>
            <w:u w:val="none"/>
          </w:rPr>
          <w:t>in</w:t>
        </w:r>
        <w:r>
          <w:rPr>
            <w:rStyle w:val="Hyperlink"/>
            <w:rFonts w:ascii="Times New Roman" w:hAnsi="Times New Roman" w:cs="Times New Roman"/>
            <w:b/>
            <w:bCs/>
            <w:color w:val="auto"/>
            <w:sz w:val="24"/>
            <w:szCs w:val="24"/>
            <w:u w:val="none"/>
          </w:rPr>
          <w:t xml:space="preserve"> T</w:t>
        </w:r>
        <w:r w:rsidR="008A3541" w:rsidRPr="00B066C6">
          <w:rPr>
            <w:rStyle w:val="Hyperlink"/>
            <w:rFonts w:ascii="Times New Roman" w:hAnsi="Times New Roman" w:cs="Times New Roman"/>
            <w:b/>
            <w:bCs/>
            <w:color w:val="auto"/>
            <w:sz w:val="24"/>
            <w:szCs w:val="24"/>
            <w:u w:val="none"/>
          </w:rPr>
          <w:t>ropical Forest Succession</w:t>
        </w:r>
        <w:bookmarkEnd w:id="47"/>
      </w:hyperlink>
      <w:r w:rsidR="008A3541" w:rsidRPr="00B066C6">
        <w:rPr>
          <w:rFonts w:ascii="Times New Roman" w:hAnsi="Times New Roman" w:cs="Times New Roman"/>
          <w:b/>
          <w:bCs/>
          <w:color w:val="auto"/>
          <w:sz w:val="24"/>
          <w:szCs w:val="24"/>
        </w:rPr>
        <w:t xml:space="preserve"> </w:t>
      </w:r>
    </w:p>
    <w:p w14:paraId="4AE2C396" w14:textId="62D60603" w:rsidR="00F80F1A" w:rsidRDefault="00F80F1A" w:rsidP="00D77075">
      <w:pPr>
        <w:spacing w:before="0" w:after="0"/>
        <w:ind w:firstLine="720"/>
        <w:rPr>
          <w:rFonts w:ascii="Times New Roman" w:hAnsi="Times New Roman" w:cs="Times New Roman"/>
        </w:rPr>
      </w:pPr>
      <w:r w:rsidRPr="00B066C6">
        <w:rPr>
          <w:rFonts w:ascii="Times New Roman" w:hAnsi="Times New Roman" w:cs="Times New Roman"/>
        </w:rPr>
        <w:t xml:space="preserve">Today’s tropical forests represent a mosaic of complex </w:t>
      </w:r>
      <w:r>
        <w:rPr>
          <w:rFonts w:ascii="Times New Roman" w:hAnsi="Times New Roman" w:cs="Times New Roman"/>
        </w:rPr>
        <w:t xml:space="preserve">life </w:t>
      </w:r>
      <w:r w:rsidRPr="00B066C6">
        <w:rPr>
          <w:rFonts w:ascii="Times New Roman" w:hAnsi="Times New Roman" w:cs="Times New Roman"/>
        </w:rPr>
        <w:t>history reflecting cycles o</w:t>
      </w:r>
      <w:r>
        <w:rPr>
          <w:rFonts w:ascii="Times New Roman" w:hAnsi="Times New Roman" w:cs="Times New Roman"/>
        </w:rPr>
        <w:t>f</w:t>
      </w:r>
      <w:r w:rsidRPr="00B066C6">
        <w:rPr>
          <w:rFonts w:ascii="Times New Roman" w:hAnsi="Times New Roman" w:cs="Times New Roman"/>
        </w:rPr>
        <w:t xml:space="preserve"> exploitation, abandonment,</w:t>
      </w:r>
      <w:r>
        <w:rPr>
          <w:rFonts w:ascii="Times New Roman" w:hAnsi="Times New Roman" w:cs="Times New Roman"/>
        </w:rPr>
        <w:t xml:space="preserve"> </w:t>
      </w:r>
      <w:r w:rsidRPr="00B066C6">
        <w:rPr>
          <w:rFonts w:ascii="Times New Roman" w:hAnsi="Times New Roman" w:cs="Times New Roman"/>
        </w:rPr>
        <w:t xml:space="preserve">colonization, </w:t>
      </w:r>
      <w:r>
        <w:rPr>
          <w:rFonts w:ascii="Times New Roman" w:hAnsi="Times New Roman" w:cs="Times New Roman"/>
        </w:rPr>
        <w:t xml:space="preserve">and regeneration </w:t>
      </w:r>
      <w:r w:rsidRPr="00B066C6">
        <w:rPr>
          <w:rFonts w:ascii="Times New Roman" w:hAnsi="Times New Roman" w:cs="Times New Roman"/>
        </w:rPr>
        <w:fldChar w:fldCharType="begin"/>
      </w:r>
      <w:r>
        <w:rPr>
          <w:rFonts w:ascii="Times New Roman" w:hAnsi="Times New Roman" w:cs="Times New Roman"/>
        </w:rPr>
        <w:instrText xml:space="preserve"> ADDIN ZOTERO_ITEM CSL_CITATION {"citationID":"xcNnkkH6","properties":{"formattedCitation":"(Chazdon, 2013b)","plainCitation":"(Chazdon, 2013b)","dontUpdate":true,"noteIndex":0},"citationItems":[{"id":496,"uris":["http://zotero.org/users/12345038/items/JUKHGUW5"],"itemData":{"id":496,"type":"chapter","container-title":"Encyclopedia of Biodiversity","ISBN":"978-0-12-384720-1","language":"en","note":"DOI: 10.1016/B978-0-12-384719-5.00377-4","page":"277-286","publisher":"Elsevier","source":"DOI.org (Crossref)","title":"Tropical Forest Regeneration","URL":"https://linkinghub.elsevier.com/retrieve/pii/B9780123847195003774","author":[{"family":"Chazdon","given":"Robin L."}],"accessed":{"date-parts":[["2023",1,17]]},"issued":{"date-parts":[["2013"]]}}}],"schema":"https://github.com/citation-style-language/schema/raw/master/csl-citation.json"} </w:instrText>
      </w:r>
      <w:r w:rsidRPr="00B066C6">
        <w:rPr>
          <w:rFonts w:ascii="Times New Roman" w:hAnsi="Times New Roman" w:cs="Times New Roman"/>
        </w:rPr>
        <w:fldChar w:fldCharType="separate"/>
      </w:r>
      <w:r>
        <w:rPr>
          <w:rFonts w:ascii="Times New Roman" w:hAnsi="Times New Roman" w:cs="Times New Roman"/>
          <w:noProof/>
        </w:rPr>
        <w:t>(Chazdon, 2013)</w:t>
      </w:r>
      <w:r w:rsidRPr="00B066C6">
        <w:rPr>
          <w:rFonts w:ascii="Times New Roman" w:hAnsi="Times New Roman" w:cs="Times New Roman"/>
        </w:rPr>
        <w:fldChar w:fldCharType="end"/>
      </w:r>
      <w:r w:rsidRPr="00B066C6">
        <w:rPr>
          <w:rFonts w:ascii="Times New Roman" w:hAnsi="Times New Roman" w:cs="Times New Roman"/>
        </w:rPr>
        <w:t xml:space="preserve">. Prior land use vastly shapes successional pathways within tropical forests, </w:t>
      </w:r>
      <w:r>
        <w:rPr>
          <w:rFonts w:ascii="Times New Roman" w:hAnsi="Times New Roman" w:cs="Times New Roman"/>
        </w:rPr>
        <w:t>where variations in</w:t>
      </w:r>
      <w:r w:rsidRPr="00B066C6">
        <w:rPr>
          <w:rFonts w:ascii="Times New Roman" w:hAnsi="Times New Roman" w:cs="Times New Roman"/>
        </w:rPr>
        <w:t xml:space="preserve"> the intensity, frequency, and type of disturbance </w:t>
      </w:r>
      <w:r>
        <w:rPr>
          <w:rFonts w:ascii="Times New Roman" w:hAnsi="Times New Roman" w:cs="Times New Roman"/>
        </w:rPr>
        <w:t>can drastically alter successional trajectories</w:t>
      </w:r>
      <w:r w:rsidRPr="00B066C6">
        <w:rPr>
          <w:rFonts w:ascii="Times New Roman" w:hAnsi="Times New Roman" w:cs="Times New Roman"/>
        </w:rPr>
        <w:t xml:space="preserve">. For thousands of years, the development and spread of agriculture from early human settlements impacted the structure and composition of tropical forests across the world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{"citationID":"XU6OpKBT","properties":{"formattedCitation":"(Woods et al., 2009)","plainCitation":"(Woods et al., 2009)","noteIndex":0},"citationItems":[{"id":1732,"uris":["http://zotero.org/users/12345038/items/MQWQN8BT"],"itemData":{"id":1732,"type":"book","event-place":"Dordrecht","ISBN":"978-1-4020-9030-1","language":"en","license":"http://www.springer.com/tdm","note":"DOI: 10.1007/978-1-4020-9031-8","publisher":"Springer Netherlands","publisher-place":"Dordrecht","source":"DOI.org (Crossref)","title":"Amazonian Dark Earths: Wim Sombroek's Vision","title-short":"Amazonian Dark Earths","URL":"http://link.springer.com/10.1007/978-1-4020-9031-8","editor":[{"family":"Woods","given":"William I."},{"family":"Teixeira","given":"Wenceslau G."},{"family":"Lehmann","given":"Johannes"},{"family":"Steiner","given":"Christoph"},{"family":"WinklerPrins","given":"Antoinette"},{"family":"Rebellato","given":"Lilian"}],"accessed":{"date-parts":[["2025",2,10]]},"issued":{"date-parts":[["2009"]]}}}],"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(Woods et al., 2009)</w:t>
      </w:r>
      <w:r w:rsidRPr="00B066C6">
        <w:rPr>
          <w:rFonts w:ascii="Times New Roman" w:hAnsi="Times New Roman" w:cs="Times New Roman"/>
        </w:rPr>
        <w:fldChar w:fldCharType="end"/>
      </w:r>
      <w:r w:rsidR="00065F05">
        <w:rPr>
          <w:rFonts w:ascii="Times New Roman" w:hAnsi="Times New Roman" w:cs="Times New Roman"/>
        </w:rPr>
        <w:t xml:space="preserve"> where now,</w:t>
      </w:r>
      <w:r w:rsidRPr="00B066C6">
        <w:rPr>
          <w:rFonts w:ascii="Times New Roman" w:hAnsi="Times New Roman" w:cs="Times New Roman"/>
        </w:rPr>
        <w:t xml:space="preserve"> varying successional trajectories can be observed within a </w:t>
      </w:r>
      <w:r>
        <w:rPr>
          <w:rFonts w:ascii="Times New Roman" w:hAnsi="Times New Roman" w:cs="Times New Roman"/>
        </w:rPr>
        <w:t>single</w:t>
      </w:r>
      <w:r w:rsidRPr="00B066C6">
        <w:rPr>
          <w:rFonts w:ascii="Times New Roman" w:hAnsi="Times New Roman" w:cs="Times New Roman"/>
        </w:rPr>
        <w:t xml:space="preserve"> tropical ecosystem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{"citationID":"PDemlUin","properties":{"formattedCitation":"(Mesquita et al., 2001)","plainCitation":"(Mesquita et al., 2001)","noteIndex":0},"citationItems":[{"id":1735,"uris":["http://zotero.org/users/12345038/items/NXKLY3LH"],"itemData":{"id":1735,"type":"article-journal","abstract":"Summary\n            \n              \n                \n                  \n                     Successional pathways were evaluated in two Amazonian secondary forest communities with different land‐use histories. Sites which had been clearcut without subsequent use were dominated after 6–10 years by the pioneer genus\n                    Cecropia\n                    (Moraceae), whereas those used for pasture before abandonment were dominated by the pioneer genus\n                    Vismia\n                    (Clusiaceae).\n                  \n                \n                \n                  \n                     There were 58 plant families and 300 species identified in\n                    Cecropia\n                    stands but only 43 families and 147 species were identified in\n                    Vismia\n                    stands. There were 77 species in common (Sorensen similarity = 0.34).\n                  \n                \n                \n                  \n                     Differences in species number and composition of recruiting individuals between stand types were significant and were a function of the dominant pioneer genus, stem density, distance from primary forest, and land‐use history. Regeneration under\n                    Vismia\n                    canopy was dominated by small\n                    Vismia\n                    individuals (25% of plants &lt; 2 cm basal diameter), whereas regeneration under\n                    Cecropia\n                    canopy was more diverse and did not include a single young\n                    Cecropia\n                    .\n                  \n                \n                \n                  \n                     The number of regenerating plants in both secondary stand types dropped off sharply with distance (5, 25, 50, and 100 m) from primary forest, suggesting that seed dispersal was limiting plant recruitment. Species richness also declined with distance and could be explained by the decline in plant density. Species richness in\n                    Cecropia\n                    stands increased linearly with plant density, but in\n                    Vismia\n                    stands the richness increase with density was a decelerating function.\n                  \n                \n                \n                   For the central Amazon, secondary succession involves a more rapid return of primary forest species if deforestation is not followed by use as pasture before abandonment.","container-title":"Journal of Ecology","DOI":"10.1046/j.1365-2745.2001.00583.x","ISSN":"0022-0477, 1365-2745","issue":"4","journalAbbreviation":"Journal of Ecology","language":"en","license":"http://onlinelibrary.wiley.com/termsAndConditions#vor","page":"528-537","source":"DOI.org (Crossref)","title":"Alternative successional pathways in the Amazon Basin","volume":"89","author":[{"family":"Mesquita","given":"Rita C.G."},{"family":"Ickes","given":"Kalan"},{"family":"Ganade","given":"Gislene"},{"family":"Williamson","given":"G. Bruce"}],"issued":{"date-parts":[["2001",8]]}}}],"schema":"https://github.com/citation-style-language/schema/raw/master/csl-citation.json"}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(Mesquita et al., 2001)</w:t>
      </w:r>
      <w:r w:rsidRPr="00B066C6">
        <w:rPr>
          <w:rFonts w:ascii="Times New Roman" w:hAnsi="Times New Roman" w:cs="Times New Roman"/>
        </w:rPr>
        <w:fldChar w:fldCharType="end"/>
      </w:r>
      <w:r w:rsidRPr="00B066C6">
        <w:rPr>
          <w:rFonts w:ascii="Times New Roman" w:hAnsi="Times New Roman" w:cs="Times New Roman"/>
        </w:rPr>
        <w:t xml:space="preserve">. </w:t>
      </w:r>
      <w:r w:rsidR="00065F05">
        <w:rPr>
          <w:rFonts w:ascii="Times New Roman" w:hAnsi="Times New Roman" w:cs="Times New Roman"/>
        </w:rPr>
        <w:t>Throughout the tropics, m</w:t>
      </w:r>
      <w:r>
        <w:rPr>
          <w:rFonts w:ascii="Times New Roman" w:hAnsi="Times New Roman" w:cs="Times New Roman"/>
        </w:rPr>
        <w:t>any</w:t>
      </w:r>
      <w:r w:rsidRPr="00B066C6">
        <w:rPr>
          <w:rFonts w:ascii="Times New Roman" w:hAnsi="Times New Roman" w:cs="Times New Roman"/>
        </w:rPr>
        <w:t xml:space="preserve"> </w:t>
      </w:r>
      <w:r>
        <w:rPr>
          <w:rFonts w:ascii="Times New Roman" w:hAnsi="Times New Roman" w:cs="Times New Roman"/>
        </w:rPr>
        <w:t xml:space="preserve">abandoned agricultural sites and previously disturbed forests are </w:t>
      </w:r>
      <w:r w:rsidR="00065F05">
        <w:rPr>
          <w:rFonts w:ascii="Times New Roman" w:hAnsi="Times New Roman" w:cs="Times New Roman"/>
        </w:rPr>
        <w:t xml:space="preserve">now </w:t>
      </w:r>
      <w:r w:rsidRPr="00B066C6">
        <w:rPr>
          <w:rFonts w:ascii="Times New Roman" w:hAnsi="Times New Roman" w:cs="Times New Roman"/>
        </w:rPr>
        <w:t xml:space="preserve">in late stages of secondary succession, sometimes referred to as primary forests, </w:t>
      </w:r>
      <w:r>
        <w:rPr>
          <w:rFonts w:ascii="Times New Roman" w:hAnsi="Times New Roman" w:cs="Times New Roman"/>
        </w:rPr>
        <w:t>yet</w:t>
      </w:r>
      <w:r w:rsidRPr="00B066C6">
        <w:rPr>
          <w:rFonts w:ascii="Times New Roman" w:hAnsi="Times New Roman" w:cs="Times New Roman"/>
        </w:rPr>
        <w:t xml:space="preserve"> still undergo</w:t>
      </w:r>
      <w:r>
        <w:rPr>
          <w:rFonts w:ascii="Times New Roman" w:hAnsi="Times New Roman" w:cs="Times New Roman"/>
        </w:rPr>
        <w:t xml:space="preserve"> </w:t>
      </w:r>
      <w:r w:rsidRPr="00B066C6">
        <w:rPr>
          <w:rFonts w:ascii="Times New Roman" w:hAnsi="Times New Roman" w:cs="Times New Roman"/>
        </w:rPr>
        <w:t xml:space="preserve">gradual changes in composition and structure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{"citationID":"xvV6h9my","properties":{"formattedCitation":"(Bush &amp; Colinvaux, 1994)","plainCitation":"(Bush &amp; Colinvaux, 1994)","noteIndex":0},"citationItems":[{"id":1733,"uris":["http://zotero.org/users/12345038/items/2PUAVSFD"],"itemData":{"id":1733,"type":"article-journal","abstract":"The first paleoecological data from the Darien of Panama, a remote region rich in endemic species and purported to be one of the last untouched neotropical wilderness, demonstrate a 4000—yr history of human disturbance. Unstable climate is recorded as changes in precipitation inferred from the diatom record, but a more important source of disturbance has been human activity. Pollen, and phytoliths of Zea mays, and charcoal from grass fires confirm historical and archaeological judgments that the region has a long history of human settlement.The data are consistent with depopulation and abandonment of most agriculture following the Spanish conquest, showing that the local modern forest has developed in recent centuries. Four millennia of disturbance that preceded the decline of human populations may have had a profound effect upon the modern forest associations. The apparently pristine forests appear to have regrown in just 350 yr, probably from populations fragmented by previous agricultural disturbance. However, the modern richness of the Darien forests suggests that local biodiversity was maintained throughout 4000 yr of indigenous agriculture.","container-title":"Ecology","DOI":"10.2307/1939635","ISSN":"0012-9658, 1939-9170","issue":"6","journalAbbreviation":"Ecology","language":"en","license":"http://onlinelibrary.wiley.com/termsAndConditions#vor","page":"1761-1768","source":"DOI.org (Crossref)","title":"Tropical Forest Disturbance: Paleoecological Records from Darien, Panama","title-short":"Tropical Forest Disturbance","volume":"75","author":[{"family":"Bush","given":"Mark B."},{"family":"Colinvaux","given":"Paul A."}],"issued":{"date-parts":[["1994",9]]}}}],"schema":"https://github.com/citation-style-language/schema/raw/master/csl-citation.json"}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(Bush &amp; Colinvaux, 1994)</w:t>
      </w:r>
      <w:r w:rsidRPr="00B066C6">
        <w:rPr>
          <w:rFonts w:ascii="Times New Roman" w:hAnsi="Times New Roman" w:cs="Times New Roman"/>
        </w:rPr>
        <w:fldChar w:fldCharType="end"/>
      </w:r>
      <w:r w:rsidRPr="00B066C6">
        <w:rPr>
          <w:rFonts w:ascii="Times New Roman" w:hAnsi="Times New Roman" w:cs="Times New Roman"/>
        </w:rPr>
        <w:t xml:space="preserve">. Even in these late stages of tropical forest succession, disturbances still occur and </w:t>
      </w:r>
      <w:r>
        <w:rPr>
          <w:rFonts w:ascii="Times New Roman" w:hAnsi="Times New Roman" w:cs="Times New Roman"/>
        </w:rPr>
        <w:t xml:space="preserve">cause </w:t>
      </w:r>
      <w:r w:rsidRPr="00B066C6">
        <w:rPr>
          <w:rFonts w:ascii="Times New Roman" w:hAnsi="Times New Roman" w:cs="Times New Roman"/>
        </w:rPr>
        <w:t>changes to plant</w:t>
      </w:r>
      <w:r>
        <w:rPr>
          <w:rFonts w:ascii="Times New Roman" w:hAnsi="Times New Roman" w:cs="Times New Roman"/>
        </w:rPr>
        <w:t xml:space="preserve"> communities, </w:t>
      </w:r>
      <w:r w:rsidRPr="00B066C6">
        <w:rPr>
          <w:rFonts w:ascii="Times New Roman" w:hAnsi="Times New Roman" w:cs="Times New Roman"/>
        </w:rPr>
        <w:t xml:space="preserve">animal communities, </w:t>
      </w:r>
      <w:r>
        <w:rPr>
          <w:rFonts w:ascii="Times New Roman" w:hAnsi="Times New Roman" w:cs="Times New Roman"/>
        </w:rPr>
        <w:t>and</w:t>
      </w:r>
      <w:r w:rsidRPr="00B066C6">
        <w:rPr>
          <w:rFonts w:ascii="Times New Roman" w:hAnsi="Times New Roman" w:cs="Times New Roman"/>
        </w:rPr>
        <w:t xml:space="preserve"> structural components of the forest</w:t>
      </w:r>
      <w:r>
        <w:rPr>
          <w:rFonts w:ascii="Times New Roman" w:hAnsi="Times New Roman" w:cs="Times New Roman"/>
        </w:rPr>
        <w:t xml:space="preserve"> </w:t>
      </w:r>
      <w:r w:rsidRPr="00B066C6">
        <w:rPr>
          <w:rFonts w:ascii="Times New Roman" w:hAnsi="Times New Roman" w:cs="Times New Roman"/>
        </w:rPr>
        <w:fldChar w:fldCharType="begin"/>
      </w:r>
      <w:r>
        <w:rPr>
          <w:rFonts w:ascii="Times New Roman" w:hAnsi="Times New Roman" w:cs="Times New Roman"/>
        </w:rPr>
        <w:instrText xml:space="preserve"> ADDIN ZOTERO_ITEM CSL_CITATION {"citationID":"7QzdDrD3","properties":{"formattedCitation":"(Chazdon, 2013b)","plainCitation":"(Chazdon, 2013b)","dontUpdate":true,"noteIndex":0},"citationItems":[{"id":496,"uris":["http://zotero.org/users/12345038/items/JUKHGUW5"],"itemData":{"id":496,"type":"chapter","container-title":"Encyclopedia of Biodiversity","ISBN":"978-0-12-384720-1","language":"en","note":"DOI: 10.1016/B978-0-12-384719-5.00377-4","page":"277-286","publisher":"Elsevier","source":"DOI.org (Crossref)","title":"Tropical Forest Regeneration","URL":"https://linkinghub.elsevier.com/retrieve/pii/B9780123847195003774","author":[{"family":"Chazdon","given":"Robin L."}],"accessed":{"date-parts":[["2023",1,17]]},"issued":{"date-parts":[["2013"]]}}}],"schema":"https://github.com/citation-style-language/schema/raw/master/csl-citation.json"} </w:instrText>
      </w:r>
      <w:r w:rsidRPr="00B066C6">
        <w:rPr>
          <w:rFonts w:ascii="Times New Roman" w:hAnsi="Times New Roman" w:cs="Times New Roman"/>
        </w:rPr>
        <w:fldChar w:fldCharType="separate"/>
      </w:r>
      <w:r>
        <w:rPr>
          <w:rFonts w:ascii="Times New Roman" w:hAnsi="Times New Roman" w:cs="Times New Roman"/>
          <w:noProof/>
        </w:rPr>
        <w:t>(Chazdon, 2013)</w:t>
      </w:r>
      <w:r w:rsidRPr="00B066C6">
        <w:rPr>
          <w:rFonts w:ascii="Times New Roman" w:hAnsi="Times New Roman" w:cs="Times New Roman"/>
        </w:rPr>
        <w:fldChar w:fldCharType="end"/>
      </w:r>
      <w:r w:rsidRPr="00B066C6">
        <w:rPr>
          <w:rFonts w:ascii="Times New Roman" w:hAnsi="Times New Roman" w:cs="Times New Roman"/>
        </w:rPr>
        <w:t xml:space="preserve">. </w:t>
      </w:r>
      <w:r w:rsidR="00065F05">
        <w:rPr>
          <w:rFonts w:ascii="Times New Roman" w:hAnsi="Times New Roman" w:cs="Times New Roman"/>
        </w:rPr>
        <w:t>This lack of predictability and compounding factors in determining rates and patterns of succession often makes it difficult to characterize varying stages of tropical forest succession.</w:t>
      </w:r>
    </w:p>
    <w:p w14:paraId="7876276F" w14:textId="5FB8EA3D" w:rsidR="00F80F1A" w:rsidRDefault="00065F05" w:rsidP="00D77075">
      <w:pPr>
        <w:spacing w:before="0" w:after="0"/>
        <w:ind w:firstLine="720"/>
        <w:rPr>
          <w:rFonts w:ascii="Times New Roman" w:hAnsi="Times New Roman" w:cs="Times New Roman"/>
        </w:rPr>
      </w:pPr>
      <w:r>
        <w:rPr>
          <w:rFonts w:ascii="Times New Roman" w:hAnsi="Times New Roman" w:cs="Times New Roman"/>
        </w:rPr>
        <w:lastRenderedPageBreak/>
        <w:t>R</w:t>
      </w:r>
      <w:r w:rsidR="00F80F1A">
        <w:rPr>
          <w:rFonts w:ascii="Times New Roman" w:hAnsi="Times New Roman" w:cs="Times New Roman"/>
        </w:rPr>
        <w:t>elay and initial floristics models</w:t>
      </w:r>
      <w:r>
        <w:rPr>
          <w:rFonts w:ascii="Times New Roman" w:hAnsi="Times New Roman" w:cs="Times New Roman"/>
        </w:rPr>
        <w:t xml:space="preserve"> are sometimes used to explain patterns of vegetation assembly across forest succession</w:t>
      </w:r>
      <w:r w:rsidR="00F80F1A">
        <w:rPr>
          <w:rFonts w:ascii="Times New Roman" w:hAnsi="Times New Roman" w:cs="Times New Roman"/>
        </w:rPr>
        <w:t>.</w:t>
      </w:r>
      <w:r w:rsidR="00F80F1A" w:rsidRPr="007C27ED">
        <w:rPr>
          <w:rFonts w:ascii="Times New Roman" w:hAnsi="Times New Roman" w:cs="Times New Roman"/>
        </w:rPr>
        <w:t xml:space="preserve"> </w:t>
      </w:r>
      <w:r w:rsidR="007F15DD">
        <w:rPr>
          <w:rFonts w:ascii="Times New Roman" w:hAnsi="Times New Roman" w:cs="Times New Roman"/>
        </w:rPr>
        <w:t>Temperate</w:t>
      </w:r>
      <w:r w:rsidR="00F80F1A" w:rsidRPr="007C27ED">
        <w:rPr>
          <w:rFonts w:ascii="Times New Roman" w:hAnsi="Times New Roman" w:cs="Times New Roman"/>
        </w:rPr>
        <w:t xml:space="preserve"> forests</w:t>
      </w:r>
      <w:r w:rsidR="00F80F1A">
        <w:rPr>
          <w:rFonts w:ascii="Times New Roman" w:hAnsi="Times New Roman" w:cs="Times New Roman"/>
        </w:rPr>
        <w:t xml:space="preserve"> typically </w:t>
      </w:r>
      <w:r w:rsidR="00F80F1A" w:rsidRPr="007C27ED">
        <w:rPr>
          <w:rFonts w:ascii="Times New Roman" w:hAnsi="Times New Roman" w:cs="Times New Roman"/>
        </w:rPr>
        <w:t>follow a relay floristics model of succession</w:t>
      </w:r>
      <w:r>
        <w:rPr>
          <w:rFonts w:ascii="Times New Roman" w:hAnsi="Times New Roman" w:cs="Times New Roman"/>
        </w:rPr>
        <w:t xml:space="preserve">, which </w:t>
      </w:r>
      <w:r w:rsidR="00F80F1A" w:rsidRPr="007C27ED">
        <w:rPr>
          <w:rFonts w:ascii="Times New Roman" w:hAnsi="Times New Roman" w:cs="Times New Roman"/>
        </w:rPr>
        <w:t>begin</w:t>
      </w:r>
      <w:r>
        <w:rPr>
          <w:rFonts w:ascii="Times New Roman" w:hAnsi="Times New Roman" w:cs="Times New Roman"/>
        </w:rPr>
        <w:t>s</w:t>
      </w:r>
      <w:r w:rsidR="00F80F1A" w:rsidRPr="007C27ED">
        <w:rPr>
          <w:rFonts w:ascii="Times New Roman" w:hAnsi="Times New Roman" w:cs="Times New Roman"/>
        </w:rPr>
        <w:t xml:space="preserve"> with an initial stage of the establishment of fast-growing, shade-intolerant pioneer species, and the emergence of shade-tolerant seedlings </w:t>
      </w:r>
      <w:r w:rsidR="00F80F1A" w:rsidRPr="007C27ED">
        <w:rPr>
          <w:rFonts w:ascii="Times New Roman" w:hAnsi="Times New Roman" w:cs="Times New Roman"/>
        </w:rPr>
        <w:fldChar w:fldCharType="begin"/>
      </w:r>
      <w:r w:rsidR="00F80F1A" w:rsidRPr="007C27ED">
        <w:rPr>
          <w:rFonts w:ascii="Times New Roman" w:hAnsi="Times New Roman" w:cs="Times New Roman"/>
        </w:rPr>
        <w:instrText xml:space="preserve"> ADDIN ZOTERO_ITEM CSL_CITATION {"citationID":"DQdIdyWr","properties":{"formattedCitation":"(Egler, 1954)","plainCitation":"(Egler, 1954)","noteIndex":0},"citationItems":[{"id":760,"uris":["http://zotero.org/users/12345038/items/EB68ZIUC"],"itemData":{"id":760,"type":"article-journal","container-title":"Vegetatio Acta Geobotanica","DOI":"10.1007/BF00275587","ISSN":"0042-3106, 1573-5052","issue":"6","journalAbbreviation":"Vegetatio Acta Geobot","language":"en","page":"412-417","source":"DOI.org (Crossref)","title":"Vegetation science concepts I. Initial floristic composition, a factor in old-field vegetation development with 2 figs.","volume":"4","author":[{"family":"Egler","given":"Frank E."}],"issued":{"date-parts":[["1954"]]}}}],"schema":"https://github.com/citation-style-language/schema/raw/master/csl-citation.json"} </w:instrText>
      </w:r>
      <w:r w:rsidR="00F80F1A" w:rsidRPr="007C27ED">
        <w:rPr>
          <w:rFonts w:ascii="Times New Roman" w:hAnsi="Times New Roman" w:cs="Times New Roman"/>
        </w:rPr>
        <w:fldChar w:fldCharType="separate"/>
      </w:r>
      <w:r w:rsidR="00F80F1A" w:rsidRPr="007C27ED">
        <w:rPr>
          <w:rFonts w:ascii="Times New Roman" w:hAnsi="Times New Roman" w:cs="Times New Roman"/>
          <w:noProof/>
        </w:rPr>
        <w:t>(Egler, 1954)</w:t>
      </w:r>
      <w:r w:rsidR="00F80F1A" w:rsidRPr="007C27ED">
        <w:rPr>
          <w:rFonts w:ascii="Times New Roman" w:hAnsi="Times New Roman" w:cs="Times New Roman"/>
        </w:rPr>
        <w:fldChar w:fldCharType="end"/>
      </w:r>
      <w:r w:rsidR="00F80F1A" w:rsidRPr="007C27ED">
        <w:rPr>
          <w:rFonts w:ascii="Times New Roman" w:hAnsi="Times New Roman" w:cs="Times New Roman"/>
        </w:rPr>
        <w:t>. As vegetation continues to grow and canopies begin to develop and close, shade intolerant trees, shrubs, and lianas are replaced by shade-tolerant species within the understory and subcanopy. These long-lived pioneer species become dominant</w:t>
      </w:r>
      <w:r w:rsidR="00F80F1A">
        <w:rPr>
          <w:rFonts w:ascii="Times New Roman" w:hAnsi="Times New Roman" w:cs="Times New Roman"/>
        </w:rPr>
        <w:t xml:space="preserve"> </w:t>
      </w:r>
      <w:r w:rsidR="00F80F1A" w:rsidRPr="007C27ED">
        <w:rPr>
          <w:rFonts w:ascii="Times New Roman" w:hAnsi="Times New Roman" w:cs="Times New Roman"/>
        </w:rPr>
        <w:t xml:space="preserve">until there is a shift in community composition as these species begin to die and new cohorts of trees utilize the increased light availability to establish. After the last remaining pioneer species die out, the forest begins to transition to </w:t>
      </w:r>
      <w:r>
        <w:rPr>
          <w:rFonts w:ascii="Times New Roman" w:hAnsi="Times New Roman" w:cs="Times New Roman"/>
        </w:rPr>
        <w:t>mature forest</w:t>
      </w:r>
      <w:r w:rsidR="00F80F1A" w:rsidRPr="007C27ED">
        <w:rPr>
          <w:rFonts w:ascii="Times New Roman" w:hAnsi="Times New Roman" w:cs="Times New Roman"/>
        </w:rPr>
        <w:t xml:space="preserve"> stages characterized by high structural complexity, increased diversity, and high species richness and abundance </w:t>
      </w:r>
      <w:r w:rsidR="00F80F1A" w:rsidRPr="007C27ED">
        <w:rPr>
          <w:rFonts w:ascii="Times New Roman" w:hAnsi="Times New Roman" w:cs="Times New Roman"/>
        </w:rPr>
        <w:fldChar w:fldCharType="begin"/>
      </w:r>
      <w:r w:rsidR="00F80F1A">
        <w:rPr>
          <w:rFonts w:ascii="Times New Roman" w:hAnsi="Times New Roman" w:cs="Times New Roman"/>
        </w:rPr>
        <w:instrText xml:space="preserve"> ADDIN ZOTERO_ITEM CSL_CITATION {"citationID":"t4j1pvcN","properties":{"formattedCitation":"(Chazdon, 2013)","plainCitation":"(Chazdon, 2013)","noteIndex":0},"citationItems":[{"id":496,"uris":["http://zotero.org/users/12345038/items/JUKHGUW5"],"itemData":{"id":496,"type":"chapter","container-title":"Encyclopedia of Biodiversity","ISBN":"978-0-12-384720-1","language":"en","note":"DOI: 10.1016/B978-0-12-384719-5.00377-4","page":"277-286","publisher":"Elsevier","source":"DOI.org (Crossref)","title":"Tropical Forest Regeneration","URL":"https://linkinghub.elsevier.com/retrieve/pii/B9780123847195003774","author":[{"family":"Chazdon","given":"Robin L."}],"accessed":{"date-parts":[["2023",1,17]]},"issued":{"date-parts":[["2013"]]}}}],"schema":"https://github.com/citation-style-language/schema/raw/master/csl-citation.json"} </w:instrText>
      </w:r>
      <w:r w:rsidR="00F80F1A" w:rsidRPr="007C27ED">
        <w:rPr>
          <w:rFonts w:ascii="Times New Roman" w:hAnsi="Times New Roman" w:cs="Times New Roman"/>
        </w:rPr>
        <w:fldChar w:fldCharType="separate"/>
      </w:r>
      <w:r w:rsidR="00F80F1A">
        <w:rPr>
          <w:rFonts w:ascii="Times New Roman" w:hAnsi="Times New Roman" w:cs="Times New Roman"/>
          <w:noProof/>
        </w:rPr>
        <w:t>(Chazdon, 2013)</w:t>
      </w:r>
      <w:r w:rsidR="00F80F1A" w:rsidRPr="007C27ED">
        <w:rPr>
          <w:rFonts w:ascii="Times New Roman" w:hAnsi="Times New Roman" w:cs="Times New Roman"/>
        </w:rPr>
        <w:fldChar w:fldCharType="end"/>
      </w:r>
      <w:r w:rsidR="00F80F1A" w:rsidRPr="007C27ED">
        <w:rPr>
          <w:rFonts w:ascii="Times New Roman" w:hAnsi="Times New Roman" w:cs="Times New Roman"/>
        </w:rPr>
        <w:t xml:space="preserve">. Succession in tropical forests can follow a similar structure, but </w:t>
      </w:r>
      <w:r w:rsidR="00F80F1A">
        <w:rPr>
          <w:rFonts w:ascii="Times New Roman" w:hAnsi="Times New Roman" w:cs="Times New Roman"/>
        </w:rPr>
        <w:t>sometimes</w:t>
      </w:r>
      <w:r w:rsidR="00F80F1A" w:rsidRPr="007C27ED">
        <w:rPr>
          <w:rFonts w:ascii="Times New Roman" w:hAnsi="Times New Roman" w:cs="Times New Roman"/>
        </w:rPr>
        <w:t xml:space="preserve"> also exhibit</w:t>
      </w:r>
      <w:r w:rsidR="00F80F1A">
        <w:rPr>
          <w:rFonts w:ascii="Times New Roman" w:hAnsi="Times New Roman" w:cs="Times New Roman"/>
        </w:rPr>
        <w:t>s</w:t>
      </w:r>
      <w:r w:rsidR="00F80F1A" w:rsidRPr="007C27ED">
        <w:rPr>
          <w:rFonts w:ascii="Times New Roman" w:hAnsi="Times New Roman" w:cs="Times New Roman"/>
        </w:rPr>
        <w:t xml:space="preserve"> characteristics of an </w:t>
      </w:r>
      <w:r w:rsidR="00F80F1A" w:rsidRPr="007C27ED">
        <w:rPr>
          <w:rFonts w:ascii="Times New Roman" w:eastAsiaTheme="majorEastAsia" w:hAnsi="Times New Roman" w:cs="Times New Roman"/>
        </w:rPr>
        <w:t>initial floristics model</w:t>
      </w:r>
      <w:r w:rsidR="00F80F1A" w:rsidRPr="007C27ED">
        <w:rPr>
          <w:rFonts w:ascii="Times New Roman" w:hAnsi="Times New Roman" w:cs="Times New Roman"/>
        </w:rPr>
        <w:t xml:space="preserve">, where both pioneer and late-successional species establish simultaneously, but their dominance shifts over time </w:t>
      </w:r>
      <w:r w:rsidR="00F80F1A" w:rsidRPr="007C27ED">
        <w:rPr>
          <w:rFonts w:ascii="Times New Roman" w:hAnsi="Times New Roman" w:cs="Times New Roman"/>
        </w:rPr>
        <w:fldChar w:fldCharType="begin"/>
      </w:r>
      <w:r w:rsidR="00F80F1A" w:rsidRPr="007C27ED">
        <w:rPr>
          <w:rFonts w:ascii="Times New Roman" w:hAnsi="Times New Roman" w:cs="Times New Roman"/>
        </w:rPr>
        <w:instrText xml:space="preserve"> ADDIN ZOTERO_ITEM CSL_CITATION {"citationID":"YygJYYm4","properties":{"formattedCitation":"(Egler, 1954)","plainCitation":"(Egler, 1954)","noteIndex":0},"citationItems":[{"id":760,"uris":["http://zotero.org/users/12345038/items/EB68ZIUC"],"itemData":{"id":760,"type":"article-journal","container-title":"Vegetatio Acta Geobotanica","DOI":"10.1007/BF00275587","ISSN":"0042-3106, 1573-5052","issue":"6","journalAbbreviation":"Vegetatio Acta Geobot","language":"en","page":"412-417","source":"DOI.org (Crossref)","title":"Vegetation science concepts I. Initial floristic composition, a factor in old-field vegetation development with 2 figs.","volume":"4","author":[{"family":"Egler","given":"Frank E."}],"issued":{"date-parts":[["1954"]]}}}],"schema":"https://github.com/citation-style-language/schema/raw/master/csl-citation.json"} </w:instrText>
      </w:r>
      <w:r w:rsidR="00F80F1A" w:rsidRPr="007C27ED">
        <w:rPr>
          <w:rFonts w:ascii="Times New Roman" w:hAnsi="Times New Roman" w:cs="Times New Roman"/>
        </w:rPr>
        <w:fldChar w:fldCharType="separate"/>
      </w:r>
      <w:r w:rsidR="00F80F1A" w:rsidRPr="007C27ED">
        <w:rPr>
          <w:rFonts w:ascii="Times New Roman" w:hAnsi="Times New Roman" w:cs="Times New Roman"/>
          <w:noProof/>
        </w:rPr>
        <w:t>(Egler, 1954)</w:t>
      </w:r>
      <w:r w:rsidR="00F80F1A" w:rsidRPr="007C27ED">
        <w:rPr>
          <w:rFonts w:ascii="Times New Roman" w:hAnsi="Times New Roman" w:cs="Times New Roman"/>
        </w:rPr>
        <w:fldChar w:fldCharType="end"/>
      </w:r>
      <w:r w:rsidR="00F80F1A" w:rsidRPr="007C27ED">
        <w:rPr>
          <w:rFonts w:ascii="Times New Roman" w:hAnsi="Times New Roman" w:cs="Times New Roman"/>
        </w:rPr>
        <w:t>.</w:t>
      </w:r>
      <w:r w:rsidR="00F80F1A">
        <w:rPr>
          <w:rFonts w:ascii="Times New Roman" w:hAnsi="Times New Roman" w:cs="Times New Roman"/>
        </w:rPr>
        <w:t xml:space="preserve"> Successional processes are </w:t>
      </w:r>
      <w:r w:rsidR="00F80F1A" w:rsidRPr="007C27ED">
        <w:rPr>
          <w:rFonts w:ascii="Times New Roman" w:hAnsi="Times New Roman" w:cs="Times New Roman"/>
        </w:rPr>
        <w:t xml:space="preserve">not uniform across landscapes, as factors such as soil conditions, seed disperser presence, and canopy structure can influence successional pathways </w:t>
      </w:r>
      <w:r w:rsidR="00F80F1A" w:rsidRPr="007C27ED">
        <w:rPr>
          <w:rFonts w:ascii="Times New Roman" w:hAnsi="Times New Roman" w:cs="Times New Roman"/>
        </w:rPr>
        <w:fldChar w:fldCharType="begin"/>
      </w:r>
      <w:r w:rsidR="00F80F1A" w:rsidRPr="007C27ED">
        <w:rPr>
          <w:rFonts w:ascii="Times New Roman" w:hAnsi="Times New Roman" w:cs="Times New Roman"/>
        </w:rPr>
        <w:instrText xml:space="preserve"> ADDIN ZOTERO_ITEM CSL_CITATION {"citationID":"4UBmbjNS","properties":{"formattedCitation":"(Poorter et al., 2023)","plainCitation":"(Poorter et al., 2023)","noteIndex":0},"citationItems":[{"id":1737,"uris":["http://zotero.org/users/12345038/items/UKJKT7NI"],"itemData":{"id":1737,"type":"article-journal","abstract":"ABSTRACT\n            Succession is a fundamental concept in ecology because it indicates how species populations, communities, and ecosystems change over time on new substrate or after a disturbance. A mechanistic understanding of succession is needed to predict how ecosystems will respond to land‐use change and to design effective ecosystem restoration strategies. Yet, despite a century of conceptual advances a comprehensive successional theory is lacking. Here we provide an overview of 19 successional theories (‘models’) and their key points, group them based on conceptual similarity, explain conceptual development in successional ideas and provide suggestions how to move forward.\n            \n              Four groups of models can be recognised. The first group (\n              patch &amp; plants\n              ) focuses on plants at the patch level and consists of three subgroups that originated in the early 20th century. One subgroup focuses on the processes (dispersal, establishment, and performance) that operate sequentially during succession. Another subgroup emphasises individualistic species responses during succession, and how this is driven by species traits. A last subgroup focuses on how vegetation structure and underlying demographic processes change during succession. A second group of models (\n              ecosystems\n              ) provides a more holistic view of succession by considering the ecosystem, its biota, interactions, diversity, and ecosystem structure and processes. The third group (\n              landscape\n              ) considers a larger spatial scale and includes the effect of the surrounding landscape matrix on succession as the distance to neighbouring vegetation patches determines the potential for seed dispersal, and the quality of the neighbouring patches determines the abundance and composition of seed sources and biotic dispersal vectors. A fourth group (\n              socio‐ecological systems\n              ) includes the human component by focusing on socio‐ecological systems where management practices have long‐lasting legacies on successional pathways and where regrowing vegetations deliver a range of ecosystem services to local and global stakeholders.\n            \n            \n              The four groups of models differ in spatial scale (patch, landscape) or organisational level (plant species, ecosystem, socio‐ecological system), increase in scale and scope, and reflect the increasingly broader perspective on succession over time. They coincide approximately with four periods that reflect the prevailing view of succession of that time, although all views still coexist. The four successional views are:\n              succession of plants\n              (from 1910 onwards) where succession was seen through the lens of species replacement;\n              succession of communities and ecosystems\n              (from 1965 onwards) when there was a more holistic view of succession;\n              succession in landscapes\n              (from 2000 onwards) when it was realised that the structure and composition of landscapes strongly impact successional pathways, and increased remote‐sensing technology allowed for a better quantification of the landscape context; and\n              succession with people\n              (from 2015 onwards) when it was realised that people and societal drivers have strong effects on successional pathways, that ecosystem processes and services are important for human well‐being, and that restoration is most successful when it is done by and for local people.\n            \n            Our review suggests that the hierarchical successional framework of Pickett is the best starting point to move forward as this framework already includes several factors, and because it is flexible, enabling application to different systems. The framework focuses mainly on species replacement and could be improved by focusing on succession occurring at different hierarchical scales (population, community, ecosystem, socio‐ecological system), and by integrating it with more recent developments and other successional models: by considering different spatial scales (landscape, region), temporal scales (ecosystem processes occurring over centuries, and evolution), and by taking the effects of the surrounding landscape (landscape integrity and composition, the disperser community) and societal factors (previous and current land‐use intensity) into account. Such a new, comprehensive framework could be tested using a combination of empirical research, experiments, process‐based modelling and novel tools. Applying the framework to seres across broadscale environmental and disturbance gradients allows a better insight into what successional processes matter and under what conditions.","container-title":"Biological Reviews","DOI":"10.1111/brv.12995","ISSN":"1464-7931, 1469-185X","issue":"6","journalAbbreviation":"Biological Reviews","language":"en","page":"2049-2077","source":"DOI.org (Crossref)","title":"Successional theories","volume":"98","author":[{"family":"Poorter","given":"Lourens"},{"family":"Amissah","given":"Lucy"},{"family":"Bongers","given":"Frans"},{"family":"Hordijk","given":"Iris"},{"family":"Kok","given":"Jazz"},{"family":"Laurance","given":"Susan G. W."},{"family":"Lohbeck","given":"Madelon"},{"family":"Martínez‐Ramos","given":"Miguel"},{"family":"Matsuo","given":"Tomonari"},{"family":"Meave","given":"Jorge A."},{"family":"Muñoz","given":"Rodrigo"},{"family":"Peña‐Claros","given":"Marielos"},{"family":"Van Der Sande","given":"Masha T."}],"issued":{"date-parts":[["2023",12]]}}}],"schema":"https://github.com/citation-style-language/schema/raw/master/csl-citation.json"} </w:instrText>
      </w:r>
      <w:r w:rsidR="00F80F1A" w:rsidRPr="007C27ED">
        <w:rPr>
          <w:rFonts w:ascii="Times New Roman" w:hAnsi="Times New Roman" w:cs="Times New Roman"/>
        </w:rPr>
        <w:fldChar w:fldCharType="separate"/>
      </w:r>
      <w:r w:rsidR="00F80F1A" w:rsidRPr="007C27ED">
        <w:rPr>
          <w:rFonts w:ascii="Times New Roman" w:hAnsi="Times New Roman" w:cs="Times New Roman"/>
          <w:noProof/>
        </w:rPr>
        <w:t>(Poorter et al., 2023)</w:t>
      </w:r>
      <w:r w:rsidR="00F80F1A" w:rsidRPr="007C27ED">
        <w:rPr>
          <w:rFonts w:ascii="Times New Roman" w:hAnsi="Times New Roman" w:cs="Times New Roman"/>
        </w:rPr>
        <w:fldChar w:fldCharType="end"/>
      </w:r>
      <w:r w:rsidR="00F80F1A" w:rsidRPr="007C27ED">
        <w:rPr>
          <w:rFonts w:ascii="Times New Roman" w:hAnsi="Times New Roman" w:cs="Times New Roman"/>
        </w:rPr>
        <w:t xml:space="preserve">. In some cases, degraded areas may remain trapped in an arrested successional state due to seed dispersal limitations, highlighting the importance of reestablishing animal-plant interactions to facilitate forest recovery </w:t>
      </w:r>
      <w:r w:rsidR="00F80F1A" w:rsidRPr="007C27ED">
        <w:rPr>
          <w:rFonts w:ascii="Times New Roman" w:hAnsi="Times New Roman" w:cs="Times New Roman"/>
        </w:rPr>
        <w:fldChar w:fldCharType="begin"/>
      </w:r>
      <w:r w:rsidR="00F80F1A" w:rsidRPr="007C27ED">
        <w:rPr>
          <w:rFonts w:ascii="Times New Roman" w:hAnsi="Times New Roman" w:cs="Times New Roman"/>
        </w:rPr>
        <w:instrText xml:space="preserve"> ADDIN ZOTERO_ITEM CSL_CITATION {"citationID":"GSCan4gm","properties":{"formattedCitation":"(Reyer et al., 2015)","plainCitation":"(Reyer et al., 2015)","noteIndex":0},"citationItems":[{"id":1739,"uris":["http://zotero.org/users/12345038/items/LTWZVFC3"],"itemData":{"id":1739,"type":"article-journal","abstract":"Summary\n            \n              \n                \n                  Anthropogenic global change compromises forest resilience, with profound impacts to ecosystem functions and services. This synthesis paper reflects on the current understanding of forest resilience and potential tipping points under environmental change and explores challenges to assessing responses using experiments, observations and models.\n                \n                \n                  Forests are changing over a wide range of spatio‐temporal scales, but it is often unclear whether these changes reduce resilience or represent a tipping point. Tipping points may arise from interactions across scales, as processes such as climate change, land‐use change, invasive species or deforestation gradually erode resilience and increase vulnerability to extreme events. Studies covering interactions across different spatio‐temporal scales are needed to further our understanding.\n                \n                \n                  \n                    Combinations of experiments, observations and process‐based models could improve our ability to project forest resilience and tipping points under global change. We discuss uncertainties in changing\n                    CO\n                    2\n                    concentration and quantifying tree mortality as examples.\n                  \n                \n                \n                  \n                    Synthesis\n                    . As forests change at various scales, it is increasingly important to understand whether and how such changes lead to reduced resilience and potential tipping points. Understanding the mechanisms underlying forest resilience and tipping points would help in assessing risks to ecosystems and presents opportunities for ecosystem restoration and sustainable forest management.","container-title":"Journal of Ecology","DOI":"10.1111/1365-2745.12337","ISSN":"0022-0477, 1365-2745","issue":"1","journalAbbreviation":"Journal of Ecology","language":"en","license":"http://onlinelibrary.wiley.com/termsAndConditions#vor","page":"5-15","source":"DOI.org (Crossref)","title":"Forest resilience and tipping points at different spatio‐temporal scales: approaches and challenges","title-short":"Forest resilience and tipping points at different spatio‐temporal scales","volume":"103","author":[{"family":"Reyer","given":"Christopher P. O."},{"family":"Brouwers","given":"Niels"},{"family":"Rammig","given":"Anja"},{"family":"Brook","given":"Barry W."},{"family":"Epila","given":"Jackie"},{"family":"Grant","given":"Robert F."},{"family":"Holmgren","given":"Milena"},{"family":"Langerwisch","given":"Fanny"},{"family":"Leuzinger","given":"Sebastian"},{"family":"Lucht","given":"Wolfgang"},{"family":"Medlyn","given":"Belinda"},{"family":"Pfeifer","given":"Marion"},{"family":"Steinkamp","given":"Jörg"},{"family":"Vanderwel","given":"Mark C."},{"family":"Verbeeck","given":"Hans"},{"family":"Villela","given":"Dora M."}],"editor":[{"family":"Coomes","given":"David"}],"issued":{"date-parts":[["2015",1]]}}}],"schema":"https://github.com/citation-style-language/schema/raw/master/csl-citation.json"} </w:instrText>
      </w:r>
      <w:r w:rsidR="00F80F1A" w:rsidRPr="007C27ED">
        <w:rPr>
          <w:rFonts w:ascii="Times New Roman" w:hAnsi="Times New Roman" w:cs="Times New Roman"/>
        </w:rPr>
        <w:fldChar w:fldCharType="separate"/>
      </w:r>
      <w:r w:rsidR="00F80F1A" w:rsidRPr="007C27ED">
        <w:rPr>
          <w:rFonts w:ascii="Times New Roman" w:hAnsi="Times New Roman" w:cs="Times New Roman"/>
          <w:noProof/>
        </w:rPr>
        <w:t>(Reyer et al., 2015)</w:t>
      </w:r>
      <w:r w:rsidR="00F80F1A" w:rsidRPr="007C27ED">
        <w:rPr>
          <w:rFonts w:ascii="Times New Roman" w:hAnsi="Times New Roman" w:cs="Times New Roman"/>
        </w:rPr>
        <w:fldChar w:fldCharType="end"/>
      </w:r>
      <w:r w:rsidR="00F80F1A" w:rsidRPr="007C27ED">
        <w:rPr>
          <w:rFonts w:ascii="Times New Roman" w:hAnsi="Times New Roman" w:cs="Times New Roman"/>
        </w:rPr>
        <w:t xml:space="preserve">. Furthermore, forest dynamics are ever changing and do not halt when reaching later stages of forest succession, but rather shift towards localized disturbances that do not alter entire assemblages, unlike early stages of forest succession </w:t>
      </w:r>
      <w:r w:rsidR="00F80F1A" w:rsidRPr="007C27ED">
        <w:rPr>
          <w:rFonts w:ascii="Times New Roman" w:hAnsi="Times New Roman" w:cs="Times New Roman"/>
        </w:rPr>
        <w:fldChar w:fldCharType="begin"/>
      </w:r>
      <w:r w:rsidR="00F80F1A" w:rsidRPr="007C27ED">
        <w:rPr>
          <w:rFonts w:ascii="Times New Roman" w:hAnsi="Times New Roman" w:cs="Times New Roman"/>
        </w:rPr>
        <w:instrText xml:space="preserve"> ADDIN ZOTERO_ITEM CSL_CITATION {"citationID":"yLw9V7kZ","properties":{"formattedCitation":"(Wright, 2005)","plainCitation":"(Wright, 2005)","noteIndex":0},"citationItems":[{"id":1734,"uris":["http://zotero.org/users/12345038/items/8SA4DCQH"],"itemData":{"id":1734,"type":"article-journal","container-title":"Trends in Ecology &amp; Evolution","DOI":"10.1016/j.tree.2005.07.009","ISSN":"01695347","issue":"10","journalAbbreviation":"Trends in Ecology &amp; Evolution","language":"en","license":"https://www.elsevier.com/tdm/userlicense/1.0/","page":"553-560","source":"DOI.org (Crossref)","title":"Tropical forests in a changing environment","volume":"20","author":[{"family":"Wright","given":"S. Joseph"}],"issued":{"date-parts":[["2005",10]]}}}],"schema":"https://github.com/citation-style-language/schema/raw/master/csl-citation.json"} </w:instrText>
      </w:r>
      <w:r w:rsidR="00F80F1A" w:rsidRPr="007C27ED">
        <w:rPr>
          <w:rFonts w:ascii="Times New Roman" w:hAnsi="Times New Roman" w:cs="Times New Roman"/>
        </w:rPr>
        <w:fldChar w:fldCharType="separate"/>
      </w:r>
      <w:r w:rsidR="00F80F1A" w:rsidRPr="007C27ED">
        <w:rPr>
          <w:rFonts w:ascii="Times New Roman" w:hAnsi="Times New Roman" w:cs="Times New Roman"/>
          <w:noProof/>
        </w:rPr>
        <w:t>(Wright, 2005)</w:t>
      </w:r>
      <w:r w:rsidR="00F80F1A" w:rsidRPr="007C27ED">
        <w:rPr>
          <w:rFonts w:ascii="Times New Roman" w:hAnsi="Times New Roman" w:cs="Times New Roman"/>
        </w:rPr>
        <w:fldChar w:fldCharType="end"/>
      </w:r>
      <w:r w:rsidR="00F80F1A" w:rsidRPr="007C27ED">
        <w:rPr>
          <w:rFonts w:ascii="Times New Roman" w:hAnsi="Times New Roman" w:cs="Times New Roman"/>
        </w:rPr>
        <w:t xml:space="preserve">. </w:t>
      </w:r>
    </w:p>
    <w:p w14:paraId="1D7407A2" w14:textId="77777777" w:rsidR="00D83E90" w:rsidRDefault="00F80F1A" w:rsidP="00D83E90">
      <w:pPr>
        <w:spacing w:before="0" w:after="0"/>
        <w:ind w:firstLine="720"/>
        <w:rPr>
          <w:rFonts w:ascii="Times New Roman" w:hAnsi="Times New Roman" w:cs="Times New Roman"/>
        </w:rPr>
      </w:pPr>
      <w:r>
        <w:rPr>
          <w:rFonts w:ascii="Times New Roman" w:hAnsi="Times New Roman" w:cs="Times New Roman"/>
        </w:rPr>
        <w:t>A</w:t>
      </w:r>
      <w:r w:rsidR="00065F05">
        <w:rPr>
          <w:rFonts w:ascii="Times New Roman" w:hAnsi="Times New Roman" w:cs="Times New Roman"/>
        </w:rPr>
        <w:t xml:space="preserve">nother </w:t>
      </w:r>
      <w:r>
        <w:rPr>
          <w:rFonts w:ascii="Times New Roman" w:hAnsi="Times New Roman" w:cs="Times New Roman"/>
        </w:rPr>
        <w:t xml:space="preserve">conceptual framework explores the dynamics between deterministic and stochastic factors influencing community assembly. </w:t>
      </w:r>
      <w:r w:rsidRPr="000848B6">
        <w:rPr>
          <w:rFonts w:ascii="Times New Roman" w:hAnsi="Times New Roman" w:cs="Times New Roman"/>
        </w:rPr>
        <w:t xml:space="preserve">If deterministic forces shape successional trajectories, successional communities within the same climate should ultimately converge toward a similar species composition over time, regardless of their initial differences </w:t>
      </w:r>
      <w:r>
        <w:rPr>
          <w:rFonts w:ascii="Times New Roman" w:hAnsi="Times New Roman" w:cs="Times New Roman"/>
        </w:rPr>
        <w:fldChar w:fldCharType="begin"/>
      </w:r>
      <w:r>
        <w:rPr>
          <w:rFonts w:ascii="Times New Roman" w:hAnsi="Times New Roman" w:cs="Times New Roman"/>
        </w:rPr>
        <w:instrText xml:space="preserve"> ADDIN ZOTERO_ITEM CSL_CITATION {"citationID":"9NNOmrIs","properties":{"formattedCitation":"(F. E. 1874-1945 Clements, 1979)","plainCitation":"(F. E. 1874-1945 Clements, 1979)","noteIndex":0},"citationItems":[{"id":1784,"uris":["http://zotero.org/users/12345038/items/VSKDAKK4"],"itemData":{"id":1784,"type":"book","event-place":"Michigan","language":"eng","publisher":"Carnegie Institution of Washington, 1916","publisher-place":"Michigan","title":"Plant succession : an analysis of the development of vegetation / by Frederic E. Clements","author":[{"family":"Clements","given":"Frederic E. 1874-1945"}],"issued":{"date-parts":[["1979"]]}}}],"schema":"https://github.com/citation-style-language/schema/raw/master/csl-citation.json"}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(Clements, 1979)</w:t>
      </w:r>
      <w:r>
        <w:rPr>
          <w:rFonts w:ascii="Times New Roman" w:hAnsi="Times New Roman" w:cs="Times New Roman"/>
        </w:rPr>
        <w:fldChar w:fldCharType="end"/>
      </w:r>
      <w:r>
        <w:rPr>
          <w:rFonts w:ascii="Times New Roman" w:hAnsi="Times New Roman" w:cs="Times New Roman"/>
        </w:rPr>
        <w:t xml:space="preserve">. This framework also suggests that mature forests should exhibit stable and consistent species compositions </w:t>
      </w:r>
      <w:r>
        <w:rPr>
          <w:rFonts w:ascii="Times New Roman" w:hAnsi="Times New Roman" w:cs="Times New Roman"/>
        </w:rPr>
        <w:fldChar w:fldCharType="begin"/>
      </w:r>
      <w:r>
        <w:rPr>
          <w:rFonts w:ascii="Times New Roman" w:hAnsi="Times New Roman" w:cs="Times New Roman"/>
        </w:rPr>
        <w:instrText xml:space="preserve"> ADDIN ZOTERO_ITEM CSL_CITATION {"citationID":"o3sgSAvy","properties":{"formattedCitation":"(F. E. Clements, 1936)","plainCitation":"(F. E. Clements, 1936)","noteIndex":0},"citationItems":[{"id":1782,"uris":["http://zotero.org/users/12345038/items/FG3DV3KC"],"itemData":{"id":1782,"type":"article-journal","container-title":"The Journal of Ecology","DOI":"10.2307/2256278","ISSN":"00220477","issue":"1","journalAbbreviation":"The Journal of Ecology","page":"252","source":"DOI.org (Crossref)","title":"Nature and Structure of the Climax","volume":"24","author":[{"family":"Clements","given":"Frederic E."}],"issued":{"date-parts":[["1936",2]]}}}],"schema":"https://github.com/citation-style-language/schema/raw/master/csl-citation.json"}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(Clements, 1936)</w:t>
      </w:r>
      <w:r>
        <w:rPr>
          <w:rFonts w:ascii="Times New Roman" w:hAnsi="Times New Roman" w:cs="Times New Roman"/>
        </w:rPr>
        <w:fldChar w:fldCharType="end"/>
      </w:r>
      <w:r>
        <w:rPr>
          <w:rFonts w:ascii="Times New Roman" w:hAnsi="Times New Roman" w:cs="Times New Roman"/>
        </w:rPr>
        <w:t xml:space="preserve">. However, environmental variation and stochasticity can cause divergence in communities during succession rather than convergence towards similar species composition </w:t>
      </w:r>
      <w:r>
        <w:rPr>
          <w:rFonts w:ascii="Times New Roman" w:hAnsi="Times New Roman" w:cs="Times New Roman"/>
        </w:rPr>
        <w:fldChar w:fldCharType="begin"/>
      </w:r>
      <w:r>
        <w:rPr>
          <w:rFonts w:ascii="Times New Roman" w:hAnsi="Times New Roman" w:cs="Times New Roman"/>
        </w:rPr>
        <w:instrText xml:space="preserve"> ADDIN ZOTERO_ITEM CSL_CITATION {"citationID":"PjNlbreO","properties":{"formattedCitation":"(Arroyo-Rodr\\uc0\\u237{}guez et al., 2017; Chazdon, 2013)","plainCitation":"(Arroyo-Rodríguez et al., 2017; Chazdon, 2013)","noteIndex":0},"citationItems":[{"id":1721,"uris":["http://zotero.org/users/12345038/items/9DUH5LIY"],"itemData":{"id":1721,"type":"article-journal","container-title":"Biological Reviews","DOI":"10.1111/brv.12231","ISSN":"14647931","issue":"1","journalAbbreviation":"Biol Rev","language":"en","license":"http://doi.wiley.com/10.1002/tdm_license_1","page":"326-340","source":"DOI.org (Crossref)","title":"Multiple successional pathways in human-modified tropical landscapes: new insights from forest succession, forest fragmentation and landscape ecology research: Multiple successional pathways","title-short":"Multiple successional pathways in human-modified tropical landscapes","volume":"92","author":[{"family":"Arroyo-Rodríguez","given":"Víctor"},{"family":"Melo","given":"Felipe P. L."},{"family":"Martínez-Ramos","given":"Miguel"},{"family":"Bongers","given":"Frans"},{"family":"Chazdon","given":"Robin L."},{"family":"Meave","given":"Jorge A."},{"family":"Norden","given":"Natalia"},{"family":"Santos","given":"Bráulio A."},{"family":"Leal","given":"Inara R."},{"family":"Tabarelli","given":"Marcelo"}],"issued":{"date-parts":[["2017",2]]}}},{"id":496,"uris":["http://zotero.org/users/12345038/items/JUKHGUW5"],"itemData":{"id":496,"type":"chapter","container-title":"Encyclopedia of Biodiversity","ISBN":"978-0-12-384720-1","language":"en","note":"DOI: 10.1016/B978-0-12-384719-5.00377-4","page":"277-286","publisher":"Elsevier","source":"DOI.org (Crossref)","title":"Tropical Forest Regeneration","URL":"https://linkinghub.elsevier.com/retrieve/pii/B9780123847195003774","author":[{"family":"Chazdon","given":"Robin L."}],"accessed":{"date-parts":[["2023",1,17]]},"issued":{"date-parts":[["2013"]]}}}],"schema":"https://github.com/citation-style-language/schema/raw/master/csl-citation.json"} </w:instrText>
      </w:r>
      <w:r>
        <w:rPr>
          <w:rFonts w:ascii="Times New Roman" w:hAnsi="Times New Roman" w:cs="Times New Roman"/>
        </w:rPr>
        <w:fldChar w:fldCharType="separate"/>
      </w:r>
      <w:r w:rsidRPr="00DA1951">
        <w:rPr>
          <w:rFonts w:ascii="Times New Roman" w:hAnsi="Times New Roman" w:cs="Times New Roman"/>
          <w:kern w:val="0"/>
        </w:rPr>
        <w:t>(Arroyo-Rodríguez et al., 2017; Chazdon, 2013)</w:t>
      </w:r>
      <w:r>
        <w:rPr>
          <w:rFonts w:ascii="Times New Roman" w:hAnsi="Times New Roman" w:cs="Times New Roman"/>
        </w:rPr>
        <w:fldChar w:fldCharType="end"/>
      </w:r>
      <w:r>
        <w:rPr>
          <w:rFonts w:ascii="Times New Roman" w:hAnsi="Times New Roman" w:cs="Times New Roman"/>
        </w:rPr>
        <w:t xml:space="preserve">. </w:t>
      </w:r>
    </w:p>
    <w:p w14:paraId="22EB67E9" w14:textId="04FBB73C" w:rsidR="00D83E90" w:rsidRDefault="00065F05" w:rsidP="00D83E90">
      <w:pPr>
        <w:spacing w:before="0" w:after="0"/>
        <w:ind w:firstLine="720"/>
        <w:rPr>
          <w:rFonts w:ascii="Times New Roman" w:hAnsi="Times New Roman" w:cs="Times New Roman"/>
        </w:rPr>
      </w:pPr>
      <w:r>
        <w:rPr>
          <w:rFonts w:ascii="Times New Roman" w:hAnsi="Times New Roman" w:cs="Times New Roman"/>
        </w:rPr>
        <w:t>Lastly, another</w:t>
      </w:r>
      <w:r w:rsidR="00F80F1A">
        <w:rPr>
          <w:rFonts w:ascii="Times New Roman" w:hAnsi="Times New Roman" w:cs="Times New Roman"/>
        </w:rPr>
        <w:t xml:space="preserve"> </w:t>
      </w:r>
      <w:r>
        <w:rPr>
          <w:rFonts w:ascii="Times New Roman" w:hAnsi="Times New Roman" w:cs="Times New Roman"/>
        </w:rPr>
        <w:t>conceptual</w:t>
      </w:r>
      <w:r w:rsidR="00F80F1A">
        <w:rPr>
          <w:rFonts w:ascii="Times New Roman" w:hAnsi="Times New Roman" w:cs="Times New Roman"/>
        </w:rPr>
        <w:t xml:space="preserve"> framework of tropical forest succession focuses </w:t>
      </w:r>
      <w:r>
        <w:rPr>
          <w:rFonts w:ascii="Times New Roman" w:hAnsi="Times New Roman" w:cs="Times New Roman"/>
        </w:rPr>
        <w:t>more on</w:t>
      </w:r>
      <w:r w:rsidR="00F80F1A">
        <w:rPr>
          <w:rFonts w:ascii="Times New Roman" w:hAnsi="Times New Roman" w:cs="Times New Roman"/>
        </w:rPr>
        <w:t xml:space="preserve"> species life-history strategies including arrival time, growth rate, and longevity couples with </w:t>
      </w:r>
      <w:r w:rsidR="00F80F1A">
        <w:rPr>
          <w:rFonts w:ascii="Times New Roman" w:hAnsi="Times New Roman" w:cs="Times New Roman"/>
        </w:rPr>
        <w:lastRenderedPageBreak/>
        <w:t xml:space="preserve">species interactions that facilitate dispersal and recruitment </w:t>
      </w:r>
      <w:r w:rsidR="00F80F1A">
        <w:rPr>
          <w:rFonts w:ascii="Times New Roman" w:hAnsi="Times New Roman" w:cs="Times New Roman"/>
        </w:rPr>
        <w:fldChar w:fldCharType="begin"/>
      </w:r>
      <w:r w:rsidR="00F80F1A">
        <w:rPr>
          <w:rFonts w:ascii="Times New Roman" w:hAnsi="Times New Roman" w:cs="Times New Roman"/>
        </w:rPr>
        <w:instrText xml:space="preserve"> ADDIN ZOTERO_ITEM CSL_CITATION {"citationID":"4N6tdQ9t","properties":{"formattedCitation":"(Connell &amp; Slatyer, 1977)","plainCitation":"(Connell &amp; Slatyer, 1977)","noteIndex":0},"citationItems":[{"id":753,"uris":["http://zotero.org/users/12345038/items/9TY2LBIH"],"itemData":{"id":753,"type":"article-journal","container-title":"The American Naturalist","DOI":"10.1086/283241","ISSN":"0003-0147, 1537-5323","issue":"982","journalAbbreviation":"The American Naturalist","language":"en","page":"1119-1144","source":"DOI.org (Crossref)","title":"Mechanisms of Succession in Natural Communities and Their Role in Community Stability and Organization","volume":"111","author":[{"family":"Connell","given":"Joseph H."},{"family":"Slatyer","given":"Ralph O."}],"issued":{"date-parts":[["1977",11]]}}}],"schema":"https://github.com/citation-style-language/schema/raw/master/csl-citation.json"} </w:instrText>
      </w:r>
      <w:r w:rsidR="00F80F1A">
        <w:rPr>
          <w:rFonts w:ascii="Times New Roman" w:hAnsi="Times New Roman" w:cs="Times New Roman"/>
        </w:rPr>
        <w:fldChar w:fldCharType="separate"/>
      </w:r>
      <w:r w:rsidR="00F80F1A">
        <w:rPr>
          <w:rFonts w:ascii="Times New Roman" w:hAnsi="Times New Roman" w:cs="Times New Roman"/>
          <w:noProof/>
        </w:rPr>
        <w:t>(Connell &amp; Slatyer, 1977)</w:t>
      </w:r>
      <w:r w:rsidR="00F80F1A">
        <w:rPr>
          <w:rFonts w:ascii="Times New Roman" w:hAnsi="Times New Roman" w:cs="Times New Roman"/>
        </w:rPr>
        <w:fldChar w:fldCharType="end"/>
      </w:r>
      <w:r w:rsidR="00F80F1A">
        <w:rPr>
          <w:rFonts w:ascii="Times New Roman" w:hAnsi="Times New Roman" w:cs="Times New Roman"/>
        </w:rPr>
        <w:t xml:space="preserve">. </w:t>
      </w:r>
      <w:r w:rsidR="00D83E90" w:rsidRPr="00D83E90">
        <w:rPr>
          <w:rFonts w:ascii="Times New Roman" w:hAnsi="Times New Roman" w:cs="Times New Roman"/>
        </w:rPr>
        <w:t>Dispersal plays a key role in enabling species to colonize new habitats and establish populations in previously unoccupied areas. Both the rate and mode of dispersal can shape the pace and trajectory of ecological succession, as species vary in their timing and abundance of arrival</w:t>
      </w:r>
      <w:r w:rsidR="00D83E90">
        <w:rPr>
          <w:rFonts w:ascii="Times New Roman" w:hAnsi="Times New Roman" w:cs="Times New Roman"/>
        </w:rPr>
        <w:t xml:space="preserve"> (Dent &amp; Estrada-Villegas, 2021). Dispersal is often the limiting factor shaping plant community assembly in early stages of forest succession, where filtering becomes the dominate factor shaping community assembly in later stages of succession (Dent &amp; Estrada-Villegas, 2021). Filtering refers to the processes that determine which species can survive and reproduce within a particular environment. This can be shaped by a species </w:t>
      </w:r>
      <w:r>
        <w:rPr>
          <w:rFonts w:ascii="Times New Roman" w:hAnsi="Times New Roman" w:cs="Times New Roman"/>
        </w:rPr>
        <w:t xml:space="preserve">niche or life history </w:t>
      </w:r>
      <w:r w:rsidR="00F80F1A">
        <w:rPr>
          <w:rFonts w:ascii="Times New Roman" w:hAnsi="Times New Roman" w:cs="Times New Roman"/>
        </w:rPr>
        <w:t>strategies</w:t>
      </w:r>
      <w:r w:rsidR="00D83E90">
        <w:rPr>
          <w:rFonts w:ascii="Times New Roman" w:hAnsi="Times New Roman" w:cs="Times New Roman"/>
        </w:rPr>
        <w:t xml:space="preserve"> which </w:t>
      </w:r>
      <w:r w:rsidR="00F80F1A">
        <w:rPr>
          <w:rFonts w:ascii="Times New Roman" w:hAnsi="Times New Roman" w:cs="Times New Roman"/>
        </w:rPr>
        <w:t xml:space="preserve">determine </w:t>
      </w:r>
      <w:r>
        <w:rPr>
          <w:rFonts w:ascii="Times New Roman" w:hAnsi="Times New Roman" w:cs="Times New Roman"/>
        </w:rPr>
        <w:t>its</w:t>
      </w:r>
      <w:r w:rsidR="00F80F1A">
        <w:rPr>
          <w:rFonts w:ascii="Times New Roman" w:hAnsi="Times New Roman" w:cs="Times New Roman"/>
        </w:rPr>
        <w:t xml:space="preserve"> establishment </w:t>
      </w:r>
      <w:r>
        <w:rPr>
          <w:rFonts w:ascii="Times New Roman" w:hAnsi="Times New Roman" w:cs="Times New Roman"/>
        </w:rPr>
        <w:t>within</w:t>
      </w:r>
      <w:r w:rsidR="00F80F1A">
        <w:rPr>
          <w:rFonts w:ascii="Times New Roman" w:hAnsi="Times New Roman" w:cs="Times New Roman"/>
        </w:rPr>
        <w:t xml:space="preserve"> early and late stag</w:t>
      </w:r>
      <w:r>
        <w:rPr>
          <w:rFonts w:ascii="Times New Roman" w:hAnsi="Times New Roman" w:cs="Times New Roman"/>
        </w:rPr>
        <w:t>es of forest succession</w:t>
      </w:r>
      <w:r w:rsidR="00D83E90">
        <w:rPr>
          <w:rFonts w:ascii="Times New Roman" w:hAnsi="Times New Roman" w:cs="Times New Roman"/>
        </w:rPr>
        <w:t xml:space="preserve"> </w:t>
      </w:r>
      <w:r w:rsidR="00F80F1A">
        <w:rPr>
          <w:rFonts w:ascii="Times New Roman" w:hAnsi="Times New Roman" w:cs="Times New Roman"/>
        </w:rPr>
        <w:fldChar w:fldCharType="begin"/>
      </w:r>
      <w:r w:rsidR="00F80F1A">
        <w:rPr>
          <w:rFonts w:ascii="Times New Roman" w:hAnsi="Times New Roman" w:cs="Times New Roman"/>
        </w:rPr>
        <w:instrText xml:space="preserve"> ADDIN ZOTERO_ITEM CSL_CITATION {"citationID":"0ZgcShAM","properties":{"formattedCitation":"(Connell &amp; Slatyer, 1977; Howe &amp; Smallwood, 1982)","plainCitation":"(Connell &amp; Slatyer, 1977; Howe &amp; Smallwood, 1982)","noteIndex":0},"citationItems":[{"id":753,"uris":["http://zotero.org/users/12345038/items/9TY2LBIH"],"itemData":{"id":753,"type":"article-journal","container-title":"The American Naturalist","DOI":"10.1086/283241","ISSN":"0003-0147, 1537-5323","issue":"982","journalAbbreviation":"The American Naturalist","language":"en","page":"1119-1144","source":"DOI.org (Crossref)","title":"Mechanisms of Succession in Natural Communities and Their Role in Community Stability and Organization","volume":"111","author":[{"family":"Connell","given":"Joseph H."},{"family":"Slatyer","given":"Ralph O."}],"issued":{"date-parts":[["1977",11]]}}},{"id":262,"uris":["http://zotero.org/users/local/0R4uToEG/items/PS9Z9RSL","http://zotero.org/users/12345038/items/PS9Z9RSL"],"itemData":{"id":262,"type":"article-journal","container-title":"Annual Review of Ecology and Systematics","DOI":"10.1146/annurev.es.13.110182.001221","ISSN":"0066-4162","issue":"1","journalAbbreviation":"Annu. Rev. Ecol. Syst.","language":"en","page":"201-228","source":"DOI.org (Crossref)","title":"Ecology of Seed Dispersal","volume":"13","author":[{"family":"Howe","given":"H F"},{"family":"Smallwood","given":"J"}],"issued":{"date-parts":[["1982",11]]}}}],"schema":"https://github.com/citation-style-language/schema/raw/master/csl-citation.json"} </w:instrText>
      </w:r>
      <w:r w:rsidR="00F80F1A">
        <w:rPr>
          <w:rFonts w:ascii="Times New Roman" w:hAnsi="Times New Roman" w:cs="Times New Roman"/>
        </w:rPr>
        <w:fldChar w:fldCharType="separate"/>
      </w:r>
      <w:r w:rsidR="00F80F1A">
        <w:rPr>
          <w:rFonts w:ascii="Times New Roman" w:hAnsi="Times New Roman" w:cs="Times New Roman"/>
          <w:noProof/>
        </w:rPr>
        <w:t>(Connell &amp; Slatyer, 1977; Howe &amp; Smallwood, 1982)</w:t>
      </w:r>
      <w:r w:rsidR="00F80F1A">
        <w:rPr>
          <w:rFonts w:ascii="Times New Roman" w:hAnsi="Times New Roman" w:cs="Times New Roman"/>
        </w:rPr>
        <w:fldChar w:fldCharType="end"/>
      </w:r>
      <w:r w:rsidR="00F80F1A">
        <w:rPr>
          <w:rFonts w:ascii="Times New Roman" w:hAnsi="Times New Roman" w:cs="Times New Roman"/>
        </w:rPr>
        <w:t>.</w:t>
      </w:r>
      <w:r w:rsidR="00D83E90">
        <w:rPr>
          <w:rFonts w:ascii="Times New Roman" w:hAnsi="Times New Roman" w:cs="Times New Roman"/>
        </w:rPr>
        <w:t xml:space="preserve"> Filtering can lead to the establishment of species while preventing others from persisting, shaping community assembly across stages of forest succession. </w:t>
      </w:r>
      <w:r w:rsidR="00D83E90" w:rsidRPr="00D83E90">
        <w:rPr>
          <w:rFonts w:ascii="Times New Roman" w:hAnsi="Times New Roman" w:cs="Times New Roman"/>
        </w:rPr>
        <w:t xml:space="preserve">Environmental filtering operates through multiple </w:t>
      </w:r>
      <w:r w:rsidR="007C5502" w:rsidRPr="00D83E90">
        <w:rPr>
          <w:rFonts w:ascii="Times New Roman" w:hAnsi="Times New Roman" w:cs="Times New Roman"/>
        </w:rPr>
        <w:t>mechanisms</w:t>
      </w:r>
      <w:r w:rsidR="007C5502">
        <w:rPr>
          <w:rFonts w:ascii="Times New Roman" w:hAnsi="Times New Roman" w:cs="Times New Roman"/>
        </w:rPr>
        <w:t xml:space="preserve">: tolerance, facilitation, and inhibition (Conell &amp; Slayter 1977). Tolerance is where </w:t>
      </w:r>
      <w:r w:rsidR="00D83E90" w:rsidRPr="00D83E90">
        <w:rPr>
          <w:rFonts w:ascii="Times New Roman" w:hAnsi="Times New Roman" w:cs="Times New Roman"/>
        </w:rPr>
        <w:t>species with high tolerance to environmental conditions are more likely to establish</w:t>
      </w:r>
      <w:r w:rsidR="007C5502">
        <w:rPr>
          <w:rFonts w:ascii="Times New Roman" w:hAnsi="Times New Roman" w:cs="Times New Roman"/>
        </w:rPr>
        <w:t>. Facilitation refers to</w:t>
      </w:r>
      <w:r w:rsidR="00D83E90" w:rsidRPr="00D83E90">
        <w:rPr>
          <w:rFonts w:ascii="Times New Roman" w:hAnsi="Times New Roman" w:cs="Times New Roman"/>
        </w:rPr>
        <w:t xml:space="preserve"> early </w:t>
      </w:r>
      <w:r w:rsidR="007C5502" w:rsidRPr="00D83E90">
        <w:rPr>
          <w:rFonts w:ascii="Times New Roman" w:hAnsi="Times New Roman" w:cs="Times New Roman"/>
        </w:rPr>
        <w:t>colonizer</w:t>
      </w:r>
      <w:r w:rsidR="007C5502">
        <w:rPr>
          <w:rFonts w:ascii="Times New Roman" w:hAnsi="Times New Roman" w:cs="Times New Roman"/>
        </w:rPr>
        <w:t>’s</w:t>
      </w:r>
      <w:r w:rsidR="00D83E90" w:rsidRPr="00D83E90">
        <w:rPr>
          <w:rFonts w:ascii="Times New Roman" w:hAnsi="Times New Roman" w:cs="Times New Roman"/>
        </w:rPr>
        <w:t xml:space="preserve"> </w:t>
      </w:r>
      <w:r w:rsidR="007C5502">
        <w:rPr>
          <w:rFonts w:ascii="Times New Roman" w:hAnsi="Times New Roman" w:cs="Times New Roman"/>
        </w:rPr>
        <w:t xml:space="preserve">ability </w:t>
      </w:r>
      <w:r w:rsidR="00D83E90" w:rsidRPr="00D83E90">
        <w:rPr>
          <w:rFonts w:ascii="Times New Roman" w:hAnsi="Times New Roman" w:cs="Times New Roman"/>
        </w:rPr>
        <w:t>modify the environment to aid other species</w:t>
      </w:r>
      <w:r w:rsidR="007C5502">
        <w:rPr>
          <w:rFonts w:ascii="Times New Roman" w:hAnsi="Times New Roman" w:cs="Times New Roman"/>
        </w:rPr>
        <w:t xml:space="preserve"> that eventually replace early colonizers. Finally, inhibition is where </w:t>
      </w:r>
      <w:r w:rsidR="00D83E90" w:rsidRPr="00D83E90">
        <w:rPr>
          <w:rFonts w:ascii="Times New Roman" w:hAnsi="Times New Roman" w:cs="Times New Roman"/>
        </w:rPr>
        <w:t xml:space="preserve">some species prevent others from establishing through </w:t>
      </w:r>
      <w:r w:rsidR="00D83E90">
        <w:rPr>
          <w:rFonts w:ascii="Times New Roman" w:hAnsi="Times New Roman" w:cs="Times New Roman"/>
        </w:rPr>
        <w:t>competition</w:t>
      </w:r>
      <w:r w:rsidR="007C5502">
        <w:rPr>
          <w:rFonts w:ascii="Times New Roman" w:hAnsi="Times New Roman" w:cs="Times New Roman"/>
        </w:rPr>
        <w:t xml:space="preserve"> </w:t>
      </w:r>
      <w:r w:rsidR="00D83E90">
        <w:rPr>
          <w:rFonts w:ascii="Times New Roman" w:hAnsi="Times New Roman" w:cs="Times New Roman"/>
        </w:rPr>
        <w:t xml:space="preserve">(Conell &amp; Slayter 1977). </w:t>
      </w:r>
      <w:r w:rsidR="007C5502">
        <w:rPr>
          <w:rFonts w:ascii="Times New Roman" w:hAnsi="Times New Roman" w:cs="Times New Roman"/>
        </w:rPr>
        <w:t xml:space="preserve">The interplay between filtering and dispersal can cause variations in successional trajectories and outcomes and greatly shapes community assembly dynamics. </w:t>
      </w:r>
    </w:p>
    <w:p w14:paraId="3FB7D14C" w14:textId="189130F2" w:rsidR="00F80F1A" w:rsidRDefault="00F80F1A" w:rsidP="00D77075">
      <w:pPr>
        <w:spacing w:before="0" w:after="0"/>
        <w:ind w:firstLine="720"/>
        <w:rPr>
          <w:rFonts w:ascii="Times New Roman" w:hAnsi="Times New Roman" w:cs="Times New Roman"/>
        </w:rPr>
      </w:pPr>
      <w:r w:rsidRPr="00B066C6">
        <w:rPr>
          <w:rFonts w:ascii="Times New Roman" w:hAnsi="Times New Roman" w:cs="Times New Roman"/>
        </w:rPr>
        <w:t xml:space="preserve">In the Chocó Rainforest ecosystem, some </w:t>
      </w:r>
      <w:r>
        <w:rPr>
          <w:rFonts w:ascii="Times New Roman" w:hAnsi="Times New Roman" w:cs="Times New Roman"/>
        </w:rPr>
        <w:t xml:space="preserve">regenerating forests </w:t>
      </w:r>
      <w:r w:rsidRPr="00B066C6">
        <w:rPr>
          <w:rFonts w:ascii="Times New Roman" w:hAnsi="Times New Roman" w:cs="Times New Roman"/>
        </w:rPr>
        <w:t xml:space="preserve">can be described as having a relay floristics model. In abandoned </w:t>
      </w:r>
      <w:r>
        <w:rPr>
          <w:rFonts w:ascii="Times New Roman" w:hAnsi="Times New Roman" w:cs="Times New Roman"/>
        </w:rPr>
        <w:t>agricultural lands</w:t>
      </w:r>
      <w:r w:rsidRPr="00B066C6">
        <w:rPr>
          <w:rFonts w:ascii="Times New Roman" w:hAnsi="Times New Roman" w:cs="Times New Roman"/>
        </w:rPr>
        <w:t xml:space="preserve">, seedlings and sprouts of secondary and old-growth forests are absent </w:t>
      </w:r>
      <w:r>
        <w:rPr>
          <w:rFonts w:ascii="Times New Roman" w:hAnsi="Times New Roman" w:cs="Times New Roman"/>
        </w:rPr>
        <w:t xml:space="preserve">in initial stages of regeneration </w:t>
      </w:r>
      <w:r w:rsidRPr="00B066C6">
        <w:rPr>
          <w:rFonts w:ascii="Times New Roman" w:hAnsi="Times New Roman" w:cs="Times New Roman"/>
        </w:rPr>
        <w:t xml:space="preserve">and introduced to the area through dispersal agents at later stages of regrowth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{"citationID":"Z7dg3r0s","properties":{"formattedCitation":"(Connell &amp; Slatyer, 1977; Egler, 1954)","plainCitation":"(Connell &amp; Slatyer, 1977; Egler, 1954)","noteIndex":0},"citationItems":[{"id":753,"uris":["http://zotero.org/users/12345038/items/9TY2LBIH"],"itemData":{"id":753,"type":"article-journal","container-title":"The American Naturalist","DOI":"10.1086/283241","ISSN":"0003-0147, 1537-5323","issue":"982","journalAbbreviation":"The American Naturalist","language":"en","page":"1119-1144","source":"DOI.org (Crossref)","title":"Mechanisms of Succession in Natural Communities and Their Role in Community Stability and Organization","volume":"111","author":[{"family":"Connell","given":"Joseph H."},{"family":"Slatyer","given":"Ralph O."}],"issued":{"date-parts":[["1977",11]]}}},{"id":760,"uris":["http://zotero.org/users/12345038/items/EB68ZIUC"],"itemData":{"id":760,"type":"article-journal","container-title":"Vegetatio Acta Geobotanica","DOI":"10.1007/BF00275587","ISSN":"0042-3106, 1573-5052","issue":"6","journalAbbreviation":"Vegetatio Acta Geobot","language":"en","page":"412-417","source":"DOI.org (Crossref)","title":"Vegetation science concepts I. Initial floristic composition, a factor in old-field vegetation development with 2 figs.","volume":"4","author":[{"family":"Egler","given":"Frank E."}],"issued":{"date-parts":[["1954"]]}}}],"schema":"https://github.com/citation-style-language/schema/raw/master/csl-citation.json"}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(Connell &amp; Slatyer, 1977; Egler, 1954)</w:t>
      </w:r>
      <w:r w:rsidRPr="00B066C6">
        <w:rPr>
          <w:rFonts w:ascii="Times New Roman" w:hAnsi="Times New Roman" w:cs="Times New Roman"/>
        </w:rPr>
        <w:fldChar w:fldCharType="end"/>
      </w:r>
      <w:r w:rsidRPr="00B066C6">
        <w:rPr>
          <w:rFonts w:ascii="Times New Roman" w:hAnsi="Times New Roman" w:cs="Times New Roman"/>
        </w:rPr>
        <w:t xml:space="preserve">. </w:t>
      </w:r>
      <w:r>
        <w:rPr>
          <w:rFonts w:ascii="Times New Roman" w:hAnsi="Times New Roman" w:cs="Times New Roman"/>
        </w:rPr>
        <w:t>However, some</w:t>
      </w:r>
      <w:r w:rsidRPr="00B066C6">
        <w:rPr>
          <w:rFonts w:ascii="Times New Roman" w:hAnsi="Times New Roman" w:cs="Times New Roman"/>
        </w:rPr>
        <w:t xml:space="preserve"> </w:t>
      </w:r>
      <w:r w:rsidR="00746C4C">
        <w:rPr>
          <w:rFonts w:ascii="Times New Roman" w:hAnsi="Times New Roman" w:cs="Times New Roman"/>
        </w:rPr>
        <w:t>disturbed tropical forests</w:t>
      </w:r>
      <w:r w:rsidRPr="00B066C6">
        <w:rPr>
          <w:rFonts w:ascii="Times New Roman" w:hAnsi="Times New Roman" w:cs="Times New Roman"/>
        </w:rPr>
        <w:t xml:space="preserve"> </w:t>
      </w:r>
      <w:r>
        <w:rPr>
          <w:rFonts w:ascii="Times New Roman" w:hAnsi="Times New Roman" w:cs="Times New Roman"/>
        </w:rPr>
        <w:t>system</w:t>
      </w:r>
      <w:r w:rsidR="00746C4C">
        <w:rPr>
          <w:rFonts w:ascii="Times New Roman" w:hAnsi="Times New Roman" w:cs="Times New Roman"/>
        </w:rPr>
        <w:t>s</w:t>
      </w:r>
      <w:r w:rsidRPr="00B066C6">
        <w:rPr>
          <w:rFonts w:ascii="Times New Roman" w:hAnsi="Times New Roman" w:cs="Times New Roman"/>
        </w:rPr>
        <w:t xml:space="preserve"> consist of patches of forests in different stages of </w:t>
      </w:r>
      <w:r>
        <w:rPr>
          <w:rFonts w:ascii="Times New Roman" w:hAnsi="Times New Roman" w:cs="Times New Roman"/>
        </w:rPr>
        <w:t>succession</w:t>
      </w:r>
      <w:r w:rsidRPr="00B066C6">
        <w:rPr>
          <w:rFonts w:ascii="Times New Roman" w:hAnsi="Times New Roman" w:cs="Times New Roman"/>
        </w:rPr>
        <w:t xml:space="preserve">, including open gap phases, regrowth, and closed canopy phases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{"citationID":"dL8wdwBE","properties":{"formattedCitation":"(Brokaw &amp; Scheiner, 1989)","plainCitation":"(Brokaw &amp; Scheiner, 1989)","noteIndex":0},"citationItems":[{"id":756,"uris":["http://zotero.org/users/12345038/items/5YY83BDZ"],"itemData":{"id":756,"type":"article-journal","container-title":"Ecology","DOI":"10.2307/1940196","ISSN":"00129658","issue":"3","language":"en","page":"538-541","source":"DOI.org (Crossref)","title":"Species Composition in Gaps and Structure of a Tropical Forest","volume":"70","author":[{"family":"Brokaw","given":"Nicholas V. L."},{"family":"Scheiner","given":"Samuel M."}],"issued":{"date-parts":[["1989",6]]}}}],"schema":"https://github.com/citation-style-language/schema/raw/master/csl-citation.json"}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(Brokaw &amp; Scheiner, 1989)</w:t>
      </w:r>
      <w:r w:rsidRPr="00B066C6">
        <w:rPr>
          <w:rFonts w:ascii="Times New Roman" w:hAnsi="Times New Roman" w:cs="Times New Roman"/>
        </w:rPr>
        <w:fldChar w:fldCharType="end"/>
      </w:r>
      <w:r w:rsidRPr="00B066C6">
        <w:rPr>
          <w:rFonts w:ascii="Times New Roman" w:hAnsi="Times New Roman" w:cs="Times New Roman"/>
        </w:rPr>
        <w:t>.</w:t>
      </w:r>
      <w:r w:rsidR="00746C4C">
        <w:rPr>
          <w:rFonts w:ascii="Times New Roman" w:hAnsi="Times New Roman" w:cs="Times New Roman"/>
        </w:rPr>
        <w:t xml:space="preserve"> For example, one region of the Chocó Rainforest in Northwest Ecuador, forest structure (tree height, basal area, light availability, and vegetation heterogeneity) reached similar stages to old growth forests after 30-116 years of natural regeneration </w:t>
      </w:r>
      <w:r w:rsidR="00746C4C">
        <w:rPr>
          <w:rFonts w:ascii="Times New Roman" w:hAnsi="Times New Roman" w:cs="Times New Roman"/>
        </w:rPr>
        <w:fldChar w:fldCharType="begin"/>
      </w:r>
      <w:r w:rsidR="00746C4C">
        <w:rPr>
          <w:rFonts w:ascii="Times New Roman" w:hAnsi="Times New Roman" w:cs="Times New Roman"/>
        </w:rPr>
        <w:instrText xml:space="preserve"> ADDIN ZOTERO_ITEM CSL_CITATION {"citationID":"whJYRwyr","properties":{"formattedCitation":"(Escobar et al., 2024)","plainCitation":"(Escobar et al., 2024)","noteIndex":0},"citationItems":[{"id":1769,"uris":["http://zotero.org/users/12345038/items/89L4KRCB"],"itemData":{"id":1769,"type":"article","abstract":"Abstract\n          \n            From hunting and foraging to clearing land for agriculture, humans modify forest biodiversity, landscapes, and climate. Forests constantly undergo disturbance–recovery dynamics and understanding them is a major objective of ecologists and conservationists. Chronosequences are a useful tool for understanding global restoration efforts. They represent a space-for-time substitution approach suited for the quantification of the\n            resistance\n            of ecosystem properties to withstand disturbance and the\n            resilience\n            of these properties until reaching pre-disturbance levels. Here we introduce a newly established chronosequence with 62 plots (50 </w:instrText>
      </w:r>
      <w:r w:rsidR="00746C4C">
        <w:rPr>
          <w:rFonts w:ascii="Cambria Math" w:hAnsi="Cambria Math" w:cs="Cambria Math"/>
        </w:rPr>
        <w:instrText>⍰</w:instrText>
      </w:r>
      <w:r w:rsidR="00746C4C">
        <w:rPr>
          <w:rFonts w:ascii="Times New Roman" w:hAnsi="Times New Roman" w:cs="Times New Roman"/>
        </w:rPr>
        <w:instrText xml:space="preserve"> 50 m) in active cacao plantations and pastures, early and late regeneration, and mature old-growth forests, across a 200 km2 area in the extremely wet Chocó rainforest. Our chronosequence covers by far the largest total area of plots compared to others in the Neotropics. Plots ranged from 159–615 masl in a forested landscape with 74 ± 2.8 % forest cover within a 1-km radius including substantial old-growth forest cover. Land-use legacy and regeneration time were not confounded by elevation. We tested how six forest structure variables (maximum tree height and DBH, basal area, number of stems, vertical vegetation heterogeneity, and light availability), aboveground biomass (AGB), and rarefied tree species richness change along our chronosequence. Forest structure variables, AGB, and tree species richness increased with regeneration time and are predicted to reach similar levels to those in old-growth forests after ca. 30–116, 202, and 108 yrs, respectively. Compared to previous work in the Neotropics, old-growth forests in Canandé accumulate high AGB that takes one of the largest time spans reported until total recovery. Our chronosequence comprises one of the largest tree species pools, covers the largest total area of regenerating and old-growth forests, and has higher forest cover than other Neotropical chronosequences. Hence, our chronosequence can be used to determine the time for recovery and stability (resistance and resilience) of different taxa and ecosystem functions, including species interaction networks. This integrative effort will ultimately help to understand how one of the most diverse forests on the planet recovers from large-scale disturbances.","DOI":"10.1101/2024.03.21.586145","language":"en","publisher":"Ecology","source":"DOI.org (Crossref)","title":"Reassembly of a tropical rainforest ecosystem: A new chronosequence in the Ecuadorian Chocó tested with the recovery of tree attributes","title-short":"Reassembly of a tropical rainforest ecosystem","URL":"http://biorxiv.org/lookup/doi/10.1101/2024.03.21.586145","author":[{"family":"Escobar","given":"Sebastián"},{"family":"Newell","given":"Felicity L."},{"family":"Endara","given":"María-José"},{"family":"Guevara-Andino","given":"Juan E."},{"family":"Landim","given":"Anna R."},{"family":"Neuschulz","given":"Eike Lena"},{"family":"Nußer","given":"Ronja"},{"family":"Müller","given":"Jörg"},{"family":"Pedersen","given":"Karen M."},{"family":"Schleuning","given":"Matthias"},{"family":"Tremlett","given":"Constance J."},{"family":"Villa-Galaviz","given":"Edith"},{"family":"Schaefer","given":"H. Martin"},{"family":"Donoso","given":"David A"},{"family":"Blüthgen","given":"Nico"}],"accessed":{"date-parts":[["2025",2,24]]},"issued":{"date-parts":[["2024",3,25]]}}}],"schema":"https://github.com/citation-style-language/schema/raw/master/csl-citation.json"} </w:instrText>
      </w:r>
      <w:r w:rsidR="00746C4C">
        <w:rPr>
          <w:rFonts w:ascii="Times New Roman" w:hAnsi="Times New Roman" w:cs="Times New Roman"/>
        </w:rPr>
        <w:fldChar w:fldCharType="separate"/>
      </w:r>
      <w:r w:rsidR="00746C4C">
        <w:rPr>
          <w:rFonts w:ascii="Times New Roman" w:hAnsi="Times New Roman" w:cs="Times New Roman"/>
          <w:noProof/>
        </w:rPr>
        <w:t>(Escobar et al., 2024)</w:t>
      </w:r>
      <w:r w:rsidR="00746C4C">
        <w:rPr>
          <w:rFonts w:ascii="Times New Roman" w:hAnsi="Times New Roman" w:cs="Times New Roman"/>
        </w:rPr>
        <w:fldChar w:fldCharType="end"/>
      </w:r>
      <w:r w:rsidR="00746C4C">
        <w:rPr>
          <w:rFonts w:ascii="Times New Roman" w:hAnsi="Times New Roman" w:cs="Times New Roman"/>
        </w:rPr>
        <w:t xml:space="preserve">. However, above ground biomass and tree species richness took longer to recover (100-200 years) </w:t>
      </w:r>
      <w:r w:rsidR="00746C4C">
        <w:rPr>
          <w:rFonts w:ascii="Times New Roman" w:hAnsi="Times New Roman" w:cs="Times New Roman"/>
        </w:rPr>
        <w:fldChar w:fldCharType="begin"/>
      </w:r>
      <w:r w:rsidR="00746C4C">
        <w:rPr>
          <w:rFonts w:ascii="Times New Roman" w:hAnsi="Times New Roman" w:cs="Times New Roman"/>
        </w:rPr>
        <w:instrText xml:space="preserve"> ADDIN ZOTERO_ITEM CSL_CITATION {"citationID":"GX4Xxm4M","properties":{"formattedCitation":"(Escobar et al., 2024)","plainCitation":"(Escobar et al., 2024)","noteIndex":0},"citationItems":[{"id":1769,"uris":["http://zotero.org/users/12345038/items/89L4KRCB"],"itemData":{"id":1769,"type":"article","abstract":"Abstract\n          \n            From hunting and foraging to clearing land for agriculture, humans modify forest biodiversity, landscapes, and climate. Forests constantly undergo disturbance–recovery dynamics and understanding them is a major objective of ecologists and conservationists. Chronosequences are a useful tool for understanding global restoration efforts. They represent a space-for-time substitution approach suited for the quantification of the\n            resistance\n            of ecosystem properties to withstand disturbance and the\n            resilience\n            of these properties until reaching pre-disturbance levels. Here we introduce a newly established chronosequence with 62 plots (50 </w:instrText>
      </w:r>
      <w:r w:rsidR="00746C4C">
        <w:rPr>
          <w:rFonts w:ascii="Cambria Math" w:hAnsi="Cambria Math" w:cs="Cambria Math"/>
        </w:rPr>
        <w:instrText>⍰</w:instrText>
      </w:r>
      <w:r w:rsidR="00746C4C">
        <w:rPr>
          <w:rFonts w:ascii="Times New Roman" w:hAnsi="Times New Roman" w:cs="Times New Roman"/>
        </w:rPr>
        <w:instrText xml:space="preserve"> 50 m) in active cacao plantations and pastures, early and late regeneration, and mature old-growth forests, across a 200 km2 area in the extremely wet Chocó rainforest. Our chronosequence covers by far the largest total area of plots compared to others in the Neotropics. Plots ranged from 159–615 masl in a forested landscape with 74 ± 2.8 % forest cover within a 1-km radius including substantial old-growth forest cover. Land-use legacy and regeneration time were not confounded by elevation. We tested how six forest structure variables (maximum tree height and DBH, basal area, number of stems, vertical vegetation heterogeneity, and light availability), aboveground biomass (AGB), and rarefied tree species richness change along our chronosequence. Forest structure variables, AGB, and tree species richness increased with regeneration time and are predicted to reach similar levels to those in old-growth forests after ca. 30–116, 202, and 108 yrs, respectively. Compared to previous work in the Neotropics, old-growth forests in Canandé accumulate high AGB that takes one of the largest time spans reported until total recovery. Our chronosequence comprises one of the largest tree species pools, covers the largest total area of regenerating and old-growth forests, and has higher forest cover than other Neotropical chronosequences. Hence, our chronosequence can be used to determine the time for recovery and stability (resistance and resilience) of different taxa and ecosystem functions, including species interaction networks. This integrative effort will ultimately help to understand how one of the most diverse forests on the planet recovers from large-scale disturbances.","DOI":"10.1101/2024.03.21.586145","language":"en","publisher":"Ecology","source":"DOI.org (Crossref)","title":"Reassembly of a tropical rainforest ecosystem: A new chronosequence in the Ecuadorian Chocó tested with the recovery of tree attributes","title-short":"Reassembly of a tropical rainforest ecosystem","URL":"http://biorxiv.org/lookup/doi/10.1101/2024.03.21.586145","author":[{"family":"Escobar","given":"Sebastián"},{"family":"Newell","given":"Felicity L."},{"family":"Endara","given":"María-José"},{"family":"Guevara-Andino","given":"Juan E."},{"family":"Landim","given":"Anna R."},{"family":"Neuschulz","given":"Eike Lena"},{"family":"Nußer","given":"Ronja"},{"family":"Müller","given":"Jörg"},{"family":"Pedersen","given":"Karen M."},{"family":"Schleuning","given":"Matthias"},{"family":"Tremlett","given":"Constance J."},{"family":"Villa-Galaviz","given":"Edith"},{"family":"Schaefer","given":"H. Martin"},{"family":"Donoso","given":"David A"},{"family":"Blüthgen","given":"Nico"}],"accessed":{"date-parts":[["2025",2,24]]},"issued":{"date-parts":[["2024",3,25]]}}}],"schema":"https://github.com/citation-style-language/schema/raw/master/csl-citation.json"} </w:instrText>
      </w:r>
      <w:r w:rsidR="00746C4C">
        <w:rPr>
          <w:rFonts w:ascii="Times New Roman" w:hAnsi="Times New Roman" w:cs="Times New Roman"/>
        </w:rPr>
        <w:fldChar w:fldCharType="separate"/>
      </w:r>
      <w:r w:rsidR="00746C4C">
        <w:rPr>
          <w:rFonts w:ascii="Times New Roman" w:hAnsi="Times New Roman" w:cs="Times New Roman"/>
          <w:noProof/>
        </w:rPr>
        <w:t>(Escobar et al., 2024)</w:t>
      </w:r>
      <w:r w:rsidR="00746C4C">
        <w:rPr>
          <w:rFonts w:ascii="Times New Roman" w:hAnsi="Times New Roman" w:cs="Times New Roman"/>
        </w:rPr>
        <w:fldChar w:fldCharType="end"/>
      </w:r>
      <w:r w:rsidR="00746C4C">
        <w:rPr>
          <w:rFonts w:ascii="Times New Roman" w:hAnsi="Times New Roman" w:cs="Times New Roman"/>
        </w:rPr>
        <w:t xml:space="preserve">. In some areas, disturbed patches can also harbor high levels of remnant </w:t>
      </w:r>
      <w:r w:rsidR="00746C4C">
        <w:rPr>
          <w:rFonts w:ascii="Times New Roman" w:hAnsi="Times New Roman" w:cs="Times New Roman"/>
        </w:rPr>
        <w:lastRenderedPageBreak/>
        <w:t>forest vegetation and would therefore</w:t>
      </w:r>
      <w:r>
        <w:rPr>
          <w:rFonts w:ascii="Times New Roman" w:hAnsi="Times New Roman" w:cs="Times New Roman"/>
        </w:rPr>
        <w:t xml:space="preserve"> follow an initial floristics pattern where </w:t>
      </w:r>
      <w:r w:rsidRPr="00B066C6">
        <w:rPr>
          <w:rFonts w:ascii="Times New Roman" w:hAnsi="Times New Roman" w:cs="Times New Roman"/>
        </w:rPr>
        <w:t xml:space="preserve">both fast-growing pioneer species </w:t>
      </w:r>
      <w:r w:rsidR="00746C4C">
        <w:rPr>
          <w:rFonts w:ascii="Times New Roman" w:hAnsi="Times New Roman" w:cs="Times New Roman"/>
        </w:rPr>
        <w:t>and</w:t>
      </w:r>
      <w:r w:rsidRPr="00B066C6">
        <w:rPr>
          <w:rFonts w:ascii="Times New Roman" w:hAnsi="Times New Roman" w:cs="Times New Roman"/>
        </w:rPr>
        <w:t xml:space="preserve"> slow-growing species </w:t>
      </w:r>
      <w:r w:rsidR="00746C4C">
        <w:rPr>
          <w:rFonts w:ascii="Times New Roman" w:hAnsi="Times New Roman" w:cs="Times New Roman"/>
        </w:rPr>
        <w:t xml:space="preserve">are </w:t>
      </w:r>
      <w:r w:rsidRPr="00B066C6">
        <w:rPr>
          <w:rFonts w:ascii="Times New Roman" w:hAnsi="Times New Roman" w:cs="Times New Roman"/>
        </w:rPr>
        <w:t xml:space="preserve">present </w:t>
      </w:r>
      <w:r w:rsidR="00746C4C">
        <w:rPr>
          <w:rFonts w:ascii="Times New Roman" w:hAnsi="Times New Roman" w:cs="Times New Roman"/>
        </w:rPr>
        <w:t>in early stages of succession</w:t>
      </w:r>
      <w:r w:rsidRPr="00B066C6">
        <w:rPr>
          <w:rFonts w:ascii="Times New Roman" w:hAnsi="Times New Roman" w:cs="Times New Roman"/>
        </w:rPr>
        <w:t xml:space="preserve">, and the composition of these </w:t>
      </w:r>
      <w:r w:rsidR="00746C4C">
        <w:rPr>
          <w:rFonts w:ascii="Times New Roman" w:hAnsi="Times New Roman" w:cs="Times New Roman"/>
        </w:rPr>
        <w:t>communities</w:t>
      </w:r>
      <w:r w:rsidRPr="00B066C6">
        <w:rPr>
          <w:rFonts w:ascii="Times New Roman" w:hAnsi="Times New Roman" w:cs="Times New Roman"/>
        </w:rPr>
        <w:t xml:space="preserve"> change</w:t>
      </w:r>
      <w:r w:rsidR="00746C4C">
        <w:rPr>
          <w:rFonts w:ascii="Times New Roman" w:hAnsi="Times New Roman" w:cs="Times New Roman"/>
        </w:rPr>
        <w:t>s</w:t>
      </w:r>
      <w:r w:rsidRPr="00B066C6">
        <w:rPr>
          <w:rFonts w:ascii="Times New Roman" w:hAnsi="Times New Roman" w:cs="Times New Roman"/>
        </w:rPr>
        <w:t xml:space="preserve"> as the slow-growing species eventually outcompete the fast-growing species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{"citationID":"vO731ygT","properties":{"formattedCitation":"(Arroyo-Rodr\\uc0\\u237{}guez et al., 2017)","plainCitation":"(Arroyo-Rodríguez et al., 2017)","noteIndex":0},"citationItems":[{"id":1721,"uris":["http://zotero.org/users/12345038/items/9DUH5LIY"],"itemData":{"id":1721,"type":"article-journal","container-title":"Biological Reviews","DOI":"10.1111/brv.12231","ISSN":"14647931","issue":"1","journalAbbreviation":"Biol Rev","language":"en","license":"http://doi.wiley.com/10.1002/tdm_license_1","page":"326-340","source":"DOI.org (Crossref)","title":"Multiple successional pathways in human-modified tropical landscapes: new insights from forest succession, forest fragmentation and landscape ecology research: Multiple successional pathways","title-short":"Multiple successional pathways in human-modified tropical landscapes","volume":"92","author":[{"family":"Arroyo-Rodríguez","given":"Víctor"},{"family":"Melo","given":"Felipe P. L."},{"family":"Martínez-Ramos","given":"Miguel"},{"family":"Bongers","given":"Frans"},{"family":"Chazdon","given":"Robin L."},{"family":"Meave","given":"Jorge A."},{"family":"Norden","given":"Natalia"},{"family":"Santos","given":"Bráulio A."},{"family":"Leal","given":"Inara R."},{"family":"Tabarelli","given":"Marcelo"}],"issued":{"date-parts":[["2017",2]]}}}],"schema":"https://github.com/citation-style-language/schema/raw/master/csl-citation.json"}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kern w:val="0"/>
        </w:rPr>
        <w:t>(Arroyo-Rodríguez et al., 2017)</w:t>
      </w:r>
      <w:r w:rsidRPr="00B066C6">
        <w:rPr>
          <w:rFonts w:ascii="Times New Roman" w:hAnsi="Times New Roman" w:cs="Times New Roman"/>
        </w:rPr>
        <w:fldChar w:fldCharType="end"/>
      </w:r>
      <w:r w:rsidR="00746C4C">
        <w:rPr>
          <w:rFonts w:ascii="Times New Roman" w:hAnsi="Times New Roman" w:cs="Times New Roman"/>
        </w:rPr>
        <w:t>. Therefore, categorizing succession within the Chocó remains difficult as</w:t>
      </w:r>
      <w:r w:rsidRPr="00B066C6">
        <w:rPr>
          <w:rFonts w:ascii="Times New Roman" w:hAnsi="Times New Roman" w:cs="Times New Roman"/>
        </w:rPr>
        <w:t xml:space="preserve"> </w:t>
      </w:r>
      <w:r>
        <w:rPr>
          <w:rFonts w:ascii="Times New Roman" w:hAnsi="Times New Roman" w:cs="Times New Roman"/>
        </w:rPr>
        <w:t>regenerating areas within this system</w:t>
      </w:r>
      <w:r w:rsidRPr="00B066C6">
        <w:rPr>
          <w:rFonts w:ascii="Times New Roman" w:hAnsi="Times New Roman" w:cs="Times New Roman"/>
        </w:rPr>
        <w:t xml:space="preserve"> tend to contain patche</w:t>
      </w:r>
      <w:r>
        <w:rPr>
          <w:rFonts w:ascii="Times New Roman" w:hAnsi="Times New Roman" w:cs="Times New Roman"/>
        </w:rPr>
        <w:t xml:space="preserve">s of </w:t>
      </w:r>
      <w:r w:rsidRPr="00B066C6">
        <w:rPr>
          <w:rFonts w:ascii="Times New Roman" w:hAnsi="Times New Roman" w:cs="Times New Roman"/>
        </w:rPr>
        <w:t>different floristic compositions</w:t>
      </w:r>
      <w:r w:rsidR="00746C4C">
        <w:rPr>
          <w:rFonts w:ascii="Times New Roman" w:hAnsi="Times New Roman" w:cs="Times New Roman"/>
        </w:rPr>
        <w:t xml:space="preserve"> and varying successional trajectories</w:t>
      </w:r>
      <w:r w:rsidRPr="00B066C6">
        <w:rPr>
          <w:rFonts w:ascii="Times New Roman" w:hAnsi="Times New Roman" w:cs="Times New Roman"/>
        </w:rPr>
        <w:t xml:space="preserve">. </w:t>
      </w:r>
      <w:r w:rsidRPr="001E35B3">
        <w:rPr>
          <w:rFonts w:ascii="Times New Roman" w:hAnsi="Times New Roman" w:cs="Times New Roman"/>
        </w:rPr>
        <w:t xml:space="preserve">These variations in </w:t>
      </w:r>
      <w:r>
        <w:rPr>
          <w:rFonts w:ascii="Times New Roman" w:hAnsi="Times New Roman" w:cs="Times New Roman"/>
        </w:rPr>
        <w:t>successional</w:t>
      </w:r>
      <w:r w:rsidRPr="001E35B3">
        <w:rPr>
          <w:rFonts w:ascii="Times New Roman" w:hAnsi="Times New Roman" w:cs="Times New Roman"/>
        </w:rPr>
        <w:t xml:space="preserve"> trajectories highlight the complexity of forest recovery in the Chocó Rainforest, emphasizing the need to consider both structural and compositional changes over time when assessing ecosystem resilience and restoration potential.</w:t>
      </w:r>
    </w:p>
    <w:p w14:paraId="4006EFE5" w14:textId="471FF3FA" w:rsidR="001E7DDD" w:rsidRPr="00B066C6" w:rsidRDefault="00826FEF" w:rsidP="00D77075">
      <w:pPr>
        <w:pStyle w:val="Heading2"/>
        <w:spacing w:before="0" w:after="0"/>
        <w:rPr>
          <w:rFonts w:ascii="Times New Roman" w:hAnsi="Times New Roman" w:cs="Times New Roman"/>
          <w:b/>
          <w:bCs/>
          <w:color w:val="auto"/>
          <w:sz w:val="24"/>
          <w:szCs w:val="24"/>
        </w:rPr>
      </w:pPr>
      <w:bookmarkStart w:id="48" w:name="_Toc195189601"/>
      <w:r w:rsidRPr="00893D9C">
        <w:rPr>
          <w:rFonts w:ascii="Times New Roman" w:hAnsi="Times New Roman" w:cs="Times New Roman"/>
          <w:b/>
          <w:bCs/>
          <w:color w:val="auto"/>
          <w:sz w:val="24"/>
          <w:szCs w:val="24"/>
        </w:rPr>
        <w:t>Faunal</w:t>
      </w:r>
      <w:r w:rsidR="00EB4627" w:rsidRPr="00893D9C">
        <w:rPr>
          <w:rFonts w:ascii="Times New Roman" w:hAnsi="Times New Roman" w:cs="Times New Roman"/>
          <w:b/>
          <w:bCs/>
          <w:color w:val="auto"/>
          <w:sz w:val="24"/>
          <w:szCs w:val="24"/>
        </w:rPr>
        <w:t xml:space="preserve"> community </w:t>
      </w:r>
      <w:r w:rsidR="002A05A0" w:rsidRPr="00893D9C">
        <w:rPr>
          <w:rFonts w:ascii="Times New Roman" w:hAnsi="Times New Roman" w:cs="Times New Roman"/>
          <w:b/>
          <w:bCs/>
          <w:color w:val="auto"/>
          <w:sz w:val="24"/>
          <w:szCs w:val="24"/>
        </w:rPr>
        <w:t>recovery</w:t>
      </w:r>
      <w:r w:rsidRPr="00893D9C">
        <w:rPr>
          <w:rFonts w:ascii="Times New Roman" w:hAnsi="Times New Roman" w:cs="Times New Roman"/>
          <w:b/>
          <w:bCs/>
          <w:color w:val="auto"/>
          <w:sz w:val="24"/>
          <w:szCs w:val="24"/>
        </w:rPr>
        <w:t xml:space="preserve"> </w:t>
      </w:r>
      <w:r w:rsidR="002A05A0" w:rsidRPr="00893D9C">
        <w:rPr>
          <w:rFonts w:ascii="Times New Roman" w:hAnsi="Times New Roman" w:cs="Times New Roman"/>
          <w:b/>
          <w:bCs/>
          <w:color w:val="auto"/>
          <w:sz w:val="24"/>
          <w:szCs w:val="24"/>
        </w:rPr>
        <w:t>during</w:t>
      </w:r>
      <w:r w:rsidRPr="00893D9C">
        <w:rPr>
          <w:rFonts w:ascii="Times New Roman" w:hAnsi="Times New Roman" w:cs="Times New Roman"/>
          <w:b/>
          <w:bCs/>
          <w:color w:val="auto"/>
          <w:sz w:val="24"/>
          <w:szCs w:val="24"/>
        </w:rPr>
        <w:t xml:space="preserve"> tropical forest </w:t>
      </w:r>
      <w:r w:rsidR="002A05A0" w:rsidRPr="00893D9C">
        <w:rPr>
          <w:rFonts w:ascii="Times New Roman" w:hAnsi="Times New Roman" w:cs="Times New Roman"/>
          <w:b/>
          <w:bCs/>
          <w:color w:val="auto"/>
          <w:sz w:val="24"/>
          <w:szCs w:val="24"/>
        </w:rPr>
        <w:t>succession</w:t>
      </w:r>
      <w:bookmarkEnd w:id="48"/>
    </w:p>
    <w:p w14:paraId="022261A4" w14:textId="24ED38B5" w:rsidR="0042238C" w:rsidRDefault="0042238C" w:rsidP="00D77075">
      <w:pPr>
        <w:pStyle w:val="NormalWeb"/>
        <w:spacing w:before="0" w:beforeAutospacing="0" w:after="0" w:afterAutospacing="0" w:line="360" w:lineRule="auto"/>
        <w:ind w:firstLine="720"/>
      </w:pPr>
      <w:r w:rsidRPr="00B066C6">
        <w:t xml:space="preserve">Faunal communities play a crucial role in the successional dynamics of tropical forests, influencing seed dispersal, pollination, herbivory, and nutrient cycling </w:t>
      </w:r>
      <w:r w:rsidRPr="00B066C6">
        <w:fldChar w:fldCharType="begin"/>
      </w:r>
      <w:r>
        <w:instrText xml:space="preserve"> ADDIN ZOTERO_ITEM CSL_CITATION {"citationID":"PT9ylLp7","properties":{"formattedCitation":"(Bello et al., 2024; Mendes et al., 2022; Wunderle, 1997a)","plainCitation":"(Bello et al., 2024; Mendes et al., 2022; Wunderle, 1997a)","dontUpdate":true,"noteIndex":0},"citationItems":[{"id":1562,"uris":["http://zotero.org/users/12345038/items/85WKPAWJ"],"itemData":{"id":1562,"type":"article-journal","container-title":"Nat. Clim. Chang","language":"en","page":"636–643","title":"Frugivores enhance potential carbon recovery in fragmented landscapes","volume":"14","author":[{"family":"Bello","given":"C."},{"family":"Crowther","given":"T.W."},{"family":"Ramos","given":"D.L."}],"issued":{"date-parts":[["2024"]]}}},{"id":928,"uris":["http://zotero.org/users/12345038/items/P3AR2W2M"],"itemData":{"id":928,"type":"article-journal","container-title":"OECOLOGIA","DOI":"10.1007/s00442-021-05070-y","ISSN":"0029-8549","issue":"1","page":"279-293","title":"The impact of habitat loss on pollination services for a threatened dune endemic plant","volume":"198","author":[{"family":"Mendes","given":"Sara Beatriz"},{"family":"Timoteo","given":"Sergio"},{"family":"Loureiro","given":"Joao"},{"family":"Castro","given":"Silvia"}],"issued":{"date-parts":[["2022",1]]}}},{"id":516,"uris":["http://zotero.org/users/12345038/items/XZJVX952"],"itemData":{"id":516,"type":"article-journal","container-title":"Forest Ecology and Management","DOI":"10.1016/S0378-1127(97)00208-9","ISSN":"03781127","issue":"1-2","journalAbbreviation":"Forest Ecology and Management","language":"en","page":"223-235","source":"DOI.org (Crossref)","title":"The role of animal seed dispersal in accelerating native forest regeneration on degraded tropical lands","volume":"99","author":[{"family":"Wunderle","given":"Joseph M"}],"issued":{"date-parts":[["1997",12]]}}}],"schema":"https://github.com/citation-style-language/schema/raw/master/csl-citation.json"} </w:instrText>
      </w:r>
      <w:r w:rsidRPr="00B066C6">
        <w:fldChar w:fldCharType="separate"/>
      </w:r>
      <w:r>
        <w:rPr>
          <w:noProof/>
        </w:rPr>
        <w:t>(Bello et al., 2024; Mendes et al., 2022; Wunderle, 1997)</w:t>
      </w:r>
      <w:r w:rsidRPr="00B066C6">
        <w:fldChar w:fldCharType="end"/>
      </w:r>
      <w:r w:rsidRPr="00B066C6">
        <w:t xml:space="preserve">. As forests regenerate, the recovery of animal communities is often non-linear and influenced by habitat complexity, resource availability, and the dispersal </w:t>
      </w:r>
      <w:r w:rsidR="00746C4C">
        <w:t>capabilities</w:t>
      </w:r>
      <w:r w:rsidRPr="00B066C6">
        <w:t xml:space="preserve"> of different species </w:t>
      </w:r>
      <w:r w:rsidRPr="00B066C6">
        <w:fldChar w:fldCharType="begin"/>
      </w:r>
      <w:r>
        <w:instrText xml:space="preserve"> ADDIN ZOTERO_ITEM CSL_CITATION {"citationID":"cDlGhn3y","properties":{"formattedCitation":"(Acevedo\\uc0\\u8208{}Charry &amp; Aide, 2019a)","plainCitation":"(Acevedo‐Charry &amp; Aide, 2019a)","dontUpdate":true,"noteIndex":0},"citationItems":[{"id":84,"uris":["http://zotero.org/users/12345038/items/83XIVVNE"],"itemData":{"id":84,"type":"article-journal","container-title":"Oikos","DOI":"10.1111/oik.06252","ISSN":"0030-1299, 1600-0706","issue":"8","journalAbbreviation":"Oikos","language":"en","page":"1065-1078","source":"DOI.org (Crossref)","title":"Recovery of amphibian, reptile, bird and mammal diversity during secondary forest succession in the tropics","volume":"128","author":[{"family":"Acevedo‐Charry","given":"Orlando"},{"family":"Aide","given":"T. Mitchell"}],"issued":{"date-parts":[["2019",8]]}}}],"schema":"https://github.com/citation-style-language/schema/raw/master/csl-citation.json"} </w:instrText>
      </w:r>
      <w:r w:rsidRPr="00B066C6">
        <w:fldChar w:fldCharType="separate"/>
      </w:r>
      <w:r w:rsidRPr="007C39EB">
        <w:t>(Acevedo‐Charry &amp; Aide, 2019)</w:t>
      </w:r>
      <w:r w:rsidRPr="00B066C6">
        <w:fldChar w:fldCharType="end"/>
      </w:r>
      <w:r w:rsidRPr="00B066C6">
        <w:t xml:space="preserve">. Ecological succession theory would predict that since patterns in vegetation communities change along a successional gradient, so too would patterns in resource utilization and feeding strategies </w:t>
      </w:r>
      <w:r w:rsidRPr="00B066C6">
        <w:fldChar w:fldCharType="begin"/>
      </w:r>
      <w:r w:rsidRPr="00B066C6">
        <w:instrText xml:space="preserve"> ADDIN ZOTERO_ITEM CSL_CITATION {"citationID":"FKaUcjir","properties":{"formattedCitation":"(Odum, 1969)","plainCitation":"(Odum, 1969)","noteIndex":0},"citationItems":[{"id":698,"uris":["http://zotero.org/users/12345038/items/YFTMBULF"],"itemData":{"id":698,"type":"article-journal","container-title":"Science","issue":"3877","language":"en","page":"262-270","source":"Zotero","title":"The Strategy of Ecosystem Development","volume":"164","author":[{"family":"Odum","given":"Eugene"}],"issued":{"date-parts":[["1969"]]}}}],"schema":"https://github.com/citation-style-language/schema/raw/master/csl-citation.json"} </w:instrText>
      </w:r>
      <w:r w:rsidRPr="00B066C6">
        <w:fldChar w:fldCharType="separate"/>
      </w:r>
      <w:r w:rsidRPr="00B066C6">
        <w:rPr>
          <w:noProof/>
        </w:rPr>
        <w:t>(Odum, 1969)</w:t>
      </w:r>
      <w:r w:rsidRPr="00B066C6">
        <w:fldChar w:fldCharType="end"/>
      </w:r>
      <w:r w:rsidRPr="00B066C6">
        <w:t>. In the early stages of succession, generalist and disturbance-tolerant species</w:t>
      </w:r>
      <w:r w:rsidR="00746C4C">
        <w:t xml:space="preserve"> often</w:t>
      </w:r>
      <w:r w:rsidRPr="00B066C6">
        <w:t xml:space="preserve"> dominate due to their ability to exploit open habitats with abundant pioneer vegetation and high-light environments </w:t>
      </w:r>
      <w:r w:rsidRPr="00B066C6">
        <w:fldChar w:fldCharType="begin"/>
      </w:r>
      <w:r w:rsidRPr="00B066C6">
        <w:instrText xml:space="preserve"> ADDIN ZOTERO_ITEM CSL_CITATION {"citationID":"O4mDQ1Pk","properties":{"formattedCitation":"(Da Silva et al., 1996; Finegan, 1996)","plainCitation":"(Da Silva et al., 1996; Finegan, 1996)","noteIndex":0},"citationItems":[{"id":1742,"uris":["http://zotero.org/users/12345038/items/G75GMUWJ"],"itemData":{"id":1742,"type":"article-journal","abstract":"From towers constructed at the interface between second‐growth forest and an active and an abandoned pasture, we observed inter‐habitat movements of fruit‐eating birds in eastern Amazônia. The abandoned pasture was composed of grasses and forbs with a scattering of shrubs and small trees. The active pasture contained a low, uniform bed of grass. A total of 47 frugivorous bird species was recorded in the second‐growth forest. We observed that 18 of these species frequented the adjacent abandoned pasture but only 3 were found in the adjacent active pasture. Fruit‐eating birds flying from second‐growth forest typically spent only a few minutes in the abandoned pasture, and their movements were generally restricted to a pasture belt of 1–80 m along the border with the second‐growth forest. Most inter‐habitat movement occurred during the rainy season, which coincided with a peak in fruit availability in the abandoned pasture. Just three bird species,\n              Ramphocelus carbo, Tachyphonus rufus\n              , and\n              Thraupis episcopus\n              , accounted for an estimated 70% of the total movement of frugivores between the second‐growth forest and the abandoned pasture. All three species spent most of their time in the abandoned pasture foraging on shrubs and trees but exhibited differences in their preference for specific habitat elements and in their seed‐defecation habits. An understanding of bird behaviors in altered landscapes provides important information to planners and policy makers concerned with protecting regional biodiversity and maintaining landscape integrity. This research provides a rationale for placing limits on the size of clearings in the Brazilian Amazon.\n            \n          , \n            \n              Desde torres construídas en la interface, entre un bosque de crecimiento secundario y una pastura abandonada, observamos movimientos entre hábitats de las aves frugívoras en la Amazonía oriental. La pastura abandonada se encontraba compuesta de pastos y forbias, con arbustos y árboles pequeños esparcidos. La pastura activa contenía una cubierta de pasto baja y uniforme. Un total de 47 especies de aves frugívoras fue registrado en el bosque de crecimiento secundario. Observamos que 18 de estas especies frecuentaron la pastura adyacente abandonada, pero solo 3 se encontraron en la pastura adyacente activa. Las aves frugívoras que volaban del bosque secundario, se quedaban, en la mayoría de los casos, por sólo unos pocos minutos en la pastura abandonada y sus movimientos se encontraron generalmente restringidos a un cinturón de pasturas de 1–80 m de ancho a lo largo del borde con el bosque secundario. La mayoría del movimiento entre hábitats ocurrió durante la estación lluviosa, que coincidió con el pico de disponibilidad de frutas en la pastura abandonada. Solo tres especies de aves,\n              Ramphocelus carbo, Tachyphonus rufus\n              y\n              Thraupis episcopus\n              , fueron responsables del 70% del total de los movimientos de frugívoros entre el bosque de crecimiento secundario y la pastura abandonanda. Las tres especies ocuparon la mayor parte de su tiempo en la pastura abandonada alimentándose en arbustos y árboles, pero exhibieron diferencias en su preferencia por los elementos específicos del hábitat y en sus hábitos de defecación de semillas. Una comprensión del comportamiento de las aves en paisajes alterados provee importante información para los planificadores y aquellas personas involucradas en la toma de decisiones en relación con la protección de la biodiversidad regional y el mantenimiento de la integridad del paisaje. Esta investigación provee una justificación para la imposición de límites en el tamaño de los clareos de la Amazonía brasileña.","container-title":"Conservation Biology","DOI":"10.1046/j.1523-1739.1996.10020491.x","ISSN":"0888-8892, 1523-1739","issue":"2","journalAbbreviation":"Conservation Biology","language":"en","page":"491-503","source":"DOI.org (Crossref)","title":"Plant Succession, Landscape Management, and the Ecology of Frugivorous Birds in Abandoned Amazonian Pastures","volume":"10","author":[{"family":"Da Silva","given":"José Maria Cardoso"},{"family":"Uhl","given":"Christopher"},{"family":"Murray","given":"Gregory"}],"issued":{"date-parts":[["1996",4]]}}},{"id":70,"uris":["http://zotero.org/users/12345038/items/CA5KMXR9"],"itemData":{"id":70,"type":"article-journal","container-title":"Trends in Ecology &amp; Evolution","DOI":"10.1016/0169-5347(96)81090-1","ISSN":"01695347","issue":"3","journalAbbreviation":"Trends in Ecology &amp; Evolution","language":"en","page":"119-124","source":"DOI.org (Crossref)","title":"Pattern and process in neotropical secondary rain forests: the first 100 years of succession","title-short":"Pattern and process in neotropical secondary rain forests","volume":"11","author":[{"family":"Finegan","given":"Bryan"}],"issued":{"date-parts":[["1996",3]]}}}],"schema":"https://github.com/citation-style-language/schema/raw/master/csl-citation.json"} </w:instrText>
      </w:r>
      <w:r w:rsidRPr="00B066C6">
        <w:fldChar w:fldCharType="separate"/>
      </w:r>
      <w:r w:rsidRPr="00B066C6">
        <w:rPr>
          <w:noProof/>
        </w:rPr>
        <w:t>(Da Silva et al., 1996; Finegan, 1996)</w:t>
      </w:r>
      <w:r w:rsidRPr="00B066C6">
        <w:fldChar w:fldCharType="end"/>
      </w:r>
      <w:r w:rsidRPr="00B066C6">
        <w:t xml:space="preserve">. Many of these species are adapted to degraded landscapes and can rapidly colonize regenerating areas </w:t>
      </w:r>
      <w:r w:rsidRPr="00B066C6">
        <w:fldChar w:fldCharType="begin"/>
      </w:r>
      <w:r w:rsidRPr="00B066C6">
        <w:instrText xml:space="preserve"> ADDIN ZOTERO_ITEM CSL_CITATION {"citationID":"ozG4NGps","properties":{"formattedCitation":"(Helms et al., 2018; Mehlhop &amp; Lynch, 1986)","plainCitation":"(Helms et al., 2018; Mehlhop &amp; Lynch, 1986)","noteIndex":0},"citationItems":[{"id":602,"uris":["http://zotero.org/users/12345038/items/SLL44EY8"],"itemData":{"id":602,"type":"article-journal","abstract":"The island of Borneo suffers from one of the highest deforestation rates in the world, primarily due to agriculture, logging, and other human activities. This habitat loss may be partly mitigated by reforestation programs in degraded landscapes, especially anthropogenic grasslands that have little conservation or economic value. By monitoring native bird communities, we evaluated the success of two small (&lt;20 ha) community reforestation projects in Gunung Palung National Park in Indonesian Borneo. Birds responded rapidly following reforestation, with species richness doubling over 7 years at one site, and increasing by 29% in just 3 years at the other. Final tallies (63–70 species per site) were comparable to those obtained in older secondary forests elsewhere in Borneo. Anthropogenic fire is the primary threat to reforestation success, but intensive fire prevention allows bird communities to recover from temporary setbacks. Absence of fire was thus the most important factor in recovery, and we detected no effect of replanted area on bird species richness. Our results suggest that by engaging local communities and ensuring long-term maintenance, even small reforestation sites in Borneo can provide immediate benefits for native biodiversity.","container-title":"Tropical Conservation Science","DOI":"10.1177/1940082918769460","ISSN":"1940-0829, 1940-0829","journalAbbreviation":"Tropical Conservation Science","language":"en","page":"194008291876946","source":"DOI.org (Crossref)","title":"Rapid Response of Bird Communities to Small-Scale Reforestation in Indonesian Borneo","volume":"11","author":[{"family":"Helms","given":"Jackson A."},{"family":"Woerner","given":"Christopher R."},{"family":"Fawzi","given":"Nurul I."},{"family":"MacDonald","given":"Andrew"},{"literal":"Juliansyah"},{"family":"Pohnan","given":"Erica"},{"family":"Webb","given":"Kinari"}],"issued":{"date-parts":[["2018",1]]}}},{"id":604,"uris":["http://zotero.org/users/12345038/items/VQ3NC85Q"],"itemData":{"id":604,"type":"article-journal","abstract":"Bird occurrences were studied over four breeding seasons in a series of habitats representing a transition from recently abandoned pasture to mature har wood forest. Principal component analysis (PCA) of vegetation data gathered at 59 mist-net sites yielded a habitat ordination reflecting the successional gradient. The capture rates of most breeding bird species in mist nets were monotonic functions of the vegetation scores of mist-net sites on the dominant PCA axis. Species with the highest maximum abundance activity in early successional habitats (e.g., yellowbreasted chat, white-eyed vireo) tended to make less use of the entire successional gradient than did species primarily associated with mature forest. Total mist-net capture rates increased from early successional habitat to mature forest. After adjustment by rarefaction to compensate for differences in sample size, bird species richness was highest in forest of intermediate age. Several measures of dominance increased with succession due to the very high abundance of a few species, combined with the occurrences of many rare species in more mature habitats. Areas of high capture rates for particular species did not correspond with the locations of singing males of those species, suggesting that habitat suitable for singing perches may differ substantially from habitat used for feeding and other activities.","container-title":"American Midland Naturalist","DOI":"10.2307/2425730","ISSN":"00030031","issue":"2","journalAbbreviation":"American Midland Naturalist","language":"en","page":"225","source":"DOI.org (Crossref)","title":"Bird/Habitat Relationships Along a Successional Gradient in the Maryland Coastal Plain","volume":"116","author":[{"family":"Mehlhop","given":"Patricia"},{"family":"Lynch","given":"James F."}],"issued":{"date-parts":[["1986",10]]}}}],"schema":"https://github.com/citation-style-language/schema/raw/master/csl-citation.json"} </w:instrText>
      </w:r>
      <w:r w:rsidRPr="00B066C6">
        <w:fldChar w:fldCharType="separate"/>
      </w:r>
      <w:r w:rsidRPr="00B066C6">
        <w:rPr>
          <w:noProof/>
        </w:rPr>
        <w:t>(Helms et al., 2018; Mehlhop &amp; Lynch, 1986)</w:t>
      </w:r>
      <w:r w:rsidRPr="00B066C6">
        <w:fldChar w:fldCharType="end"/>
      </w:r>
      <w:r w:rsidRPr="00B066C6">
        <w:t>. However, early successional forests often lack structural complexity and key microhabitats required by specialist species, limiting the recovery of fauna that depend on mature forest conditions.</w:t>
      </w:r>
    </w:p>
    <w:p w14:paraId="7C088540" w14:textId="77777777" w:rsidR="0042238C" w:rsidRDefault="0042238C" w:rsidP="00D77075">
      <w:pPr>
        <w:pStyle w:val="NormalWeb"/>
        <w:spacing w:before="0" w:beforeAutospacing="0" w:after="0" w:afterAutospacing="0" w:line="360" w:lineRule="auto"/>
        <w:ind w:firstLine="720"/>
      </w:pPr>
      <w:r w:rsidRPr="00B066C6">
        <w:t xml:space="preserve">As succession progresses, increasing canopy cover, tree height, and habitat heterogeneity support more functionally diverse faunal communities </w:t>
      </w:r>
      <w:r w:rsidRPr="00B066C6">
        <w:fldChar w:fldCharType="begin"/>
      </w:r>
      <w:r>
        <w:instrText xml:space="preserve"> ADDIN ZOTERO_ITEM CSL_CITATION {"citationID":"ZatXaSXz","properties":{"formattedCitation":"(Acevedo\\uc0\\u8208{}Charry &amp; Aide, 2019a; Chazdon et al., 2009; Edwards et al., 2017)","plainCitation":"(Acevedo‐Charry &amp; Aide, 2019a; Chazdon et al., 2009; Edwards et al., 2017)","dontUpdate":true,"noteIndex":0},"citationItems":[{"id":84,"uris":["http://zotero.org/users/12345038/items/83XIVVNE"],"itemData":{"id":84,"type":"article-journal","container-title":"Oikos","DOI":"10.1111/oik.06252","ISSN":"0030-1299, 1600-0706","issue":"8","journalAbbreviation":"Oikos","language":"en","page":"1065-1078","source":"DOI.org (Crossref)","title":"Recovery of amphibian, reptile, bird and mammal diversity during secondary forest succession in the tropics","volume":"128","author":[{"family":"Acevedo‐Charry","given":"Orlando"},{"family":"Aide","given":"T. Mitchell"}],"issued":{"date-parts":[["2019",8]]}}},{"id":584,"uris":["http://zotero.org/users/12345038/items/Q3WV2TGH"],"itemData":{"id":584,"type":"article-journal","abstract":"In the wake of widespread loss of old-growth forests throughout the tropics, secondary forests will likely play a growing role in the conservation of forest biodiversity. We considered a complex hierarchy of factors that interact in space and time to determine the conservation potential of tropical secondary forests. Beyond the characteristics of local forest patches, spatial and temporal landscape dynamics influence the establishment, species composition, and persistence of secondary forests. Prospects for conservation of oldgrowth species in secondary forests are maximized in regions where the ratio of secondary to old-growth forest area is relatively low, older secondary forests have persisted, anthropogenic disturbance after abandonment is relatively low, seed-dispersing fauna are present, and old-growth forests are close to abandoned sites. The conservation value of a secondary forest is expected to increase over time, as species arriving from remaining old-growth forest patches accumulate. Many studies are poorly replicated, which limits robust assessments of the number and abundance of old-growth species present in secondary forests. Older secondary forests are not often studied and few long-term studies are conducted in secondary forests. Available data indicate that both old-growth and second-growth forests are important to the persistence of forest species in tropical, human-modified landscapes.","container-title":"Conservation Biology","DOI":"10.1111/j.1523-1739.2009.01338.x","ISSN":"08888892, 15231739","issue":"6","language":"en","page":"1406-1417","source":"DOI.org (Crossref)","title":"The Potential for Species Conservation in Tropical Secondary Forests","volume":"23","author":[{"family":"Chazdon","given":"Robin L."},{"family":"Peres","given":"Carlos A."},{"family":"Dent","given":"Daisy"},{"family":"Sheil","given":"Douglas"},{"family":"Lugo","given":"Ariel E."},{"family":"Lamb","given":"David"},{"family":"Stork","given":"Nigel E."},{"family":"Miller","given":"Scott E."}],"issued":{"date-parts":[["2009",12]]}}},{"id":612,"uris":["http://zotero.org/users/12345038/items/Y96T9D8S"],"itemData":{"id":612,"type":"article-journal","abstract":"Secondary forests are promoted as having pivotal roles in reversing the tropical extinction crisis. While secondary forests recover carbon and species over time, a key question is whether phylogenetic diversity—the total evolutionary history across all species within a community—also recovers. Conserving phylogenetic diversity protects unique phenotypic and ecological traits, and beneﬁts ecosystem functioning and stability. We examined the extent to which avian phylogenetic diversity recovers in secondary forests in the Colombian Chocó-Andes. sesPD, a measure of phylogenetic richness corrected for species richness, recovered to old-growth forest levels after ~30 years, while sesMPD, a measure of the phylogenetic distance between individuals in a community, recovered to old-growth levels even within young secondary forest. Mean evolutionary distinctiveness also recovered rapidly in secondary forest communities. Our results suggest that secondary forests can play a vital role in conserving distinct evolutionary lineages and high levels of evolutionary history. Focusing conservation and carbon-based payments for ecosystem services on secondary forest recovery and their subsequent protection thus represent a good use of scarce conservation resources.","container-title":"Biological Conservation","DOI":"10.1016/j.biocon.2017.03.006","ISSN":"00063207","journalAbbreviation":"Biological Conservation","language":"en","page":"432-439","source":"DOI.org (Crossref)","title":"Tropical secondary forest regeneration conserves high levels of avian phylogenetic diversity","volume":"209","author":[{"family":"Edwards","given":"David P."},{"family":"Massam","given":"Michael R."},{"family":"Haugaasen","given":"Torbjørn"},{"family":"Gilroy","given":"James J."}],"issued":{"date-parts":[["2017",5]]}}}],"schema":"https://github.com/citation-style-language/schema/raw/master/csl-citation.json"} </w:instrText>
      </w:r>
      <w:r w:rsidRPr="00B066C6">
        <w:fldChar w:fldCharType="separate"/>
      </w:r>
      <w:r w:rsidRPr="007C39EB">
        <w:t>(Acevedo‐Charry &amp; Aide, 2019; Chazdon et al., 2009; Edwards et al., 2017)</w:t>
      </w:r>
      <w:r w:rsidRPr="00B066C6">
        <w:fldChar w:fldCharType="end"/>
      </w:r>
      <w:r w:rsidRPr="00B066C6">
        <w:t xml:space="preserve">. The composition of faunal communities also shifts with succession, as pioneer-associated species gradually decline and are replaced by more specialized taxa associated with mature forest conditions. Secondary forests begin to harbor a greater diversity of frugivores, insectivores, and canopy-dwelling species as food resources, such as fleshy fruits, become more abundant. However, even in later successional stages, faunal recovery </w:t>
      </w:r>
      <w:r w:rsidRPr="00B066C6">
        <w:lastRenderedPageBreak/>
        <w:t xml:space="preserve">can be incomplete if key species, such as large-bodied frugivores or insectivores sensitive to fragmentation, fail to recolonize areas due to lasting anthropogenic pressures </w:t>
      </w:r>
      <w:r w:rsidRPr="00B066C6">
        <w:fldChar w:fldCharType="begin"/>
      </w:r>
      <w:r w:rsidRPr="00B066C6">
        <w:instrText xml:space="preserve"> ADDIN ZOTERO_ITEM CSL_CITATION {"citationID":"N0MMeMNR","properties":{"formattedCitation":"(Chanthorn et al., 2019)","plainCitation":"(Chanthorn et al., 2019)","noteIndex":0},"citationItems":[{"id":902,"uris":["http://zotero.org/users/12345038/items/TND93L8F"],"itemData":{"id":902,"type":"article-journal","container-title":"SCIENTIFIC REPORTS","DOI":"10.1038/s41598-019-46399-y","ISSN":"2045-2322","title":"Defaunation of large-bodied frugivores reduces carbon storage in a tropical forest of Southeast Asia","volume":"9","author":[{"family":"Chanthorn","given":"Wirong"},{"family":"Hartig","given":"Florian"},{"family":"Brockelman","given":"Warren Y."},{"family":"Srisang","given":"Wacharapong"},{"family":"Nathalang","given":"Anuttara"},{"family":"Santon","given":"Jantima"}],"issued":{"date-parts":[["2019",7,10]]}}}],"schema":"https://github.com/citation-style-language/schema/raw/master/csl-citation.json"} </w:instrText>
      </w:r>
      <w:r w:rsidRPr="00B066C6">
        <w:fldChar w:fldCharType="separate"/>
      </w:r>
      <w:r w:rsidRPr="00B066C6">
        <w:rPr>
          <w:noProof/>
        </w:rPr>
        <w:t>(Chanthorn et al., 2019)</w:t>
      </w:r>
      <w:r w:rsidRPr="00B066C6">
        <w:fldChar w:fldCharType="end"/>
      </w:r>
      <w:r w:rsidRPr="00B066C6">
        <w:t xml:space="preserve">. </w:t>
      </w:r>
    </w:p>
    <w:p w14:paraId="6DECDCB0" w14:textId="496D1568" w:rsidR="0042238C" w:rsidRDefault="0042238C" w:rsidP="00D77075">
      <w:pPr>
        <w:pStyle w:val="NormalWeb"/>
        <w:spacing w:before="0" w:beforeAutospacing="0" w:after="0" w:afterAutospacing="0" w:line="360" w:lineRule="auto"/>
        <w:ind w:firstLine="720"/>
      </w:pPr>
      <w:r>
        <w:t xml:space="preserve">As faunal communities shift with succession, the growing presence of functionally diverse species becomes increasingly influential in shaping ecosystem processes and facilitating forest recovery. </w:t>
      </w:r>
      <w:r w:rsidRPr="00B066C6">
        <w:t xml:space="preserve">Birds </w:t>
      </w:r>
      <w:r w:rsidR="00746C4C">
        <w:t xml:space="preserve">in particular </w:t>
      </w:r>
      <w:r w:rsidRPr="00B066C6">
        <w:t xml:space="preserve">are an incredibly important taxa for tropical forest regeneration as they perform several ecological roles such as pollination </w:t>
      </w:r>
      <w:r w:rsidRPr="00B066C6">
        <w:fldChar w:fldCharType="begin"/>
      </w:r>
      <w:r w:rsidRPr="00B066C6">
        <w:instrText xml:space="preserve"> ADDIN ZOTERO_ITEM CSL_CITATION {"citationID":"VHyU2EUT","properties":{"formattedCitation":"(Ramsey, 1988)","plainCitation":"(Ramsey, 1988)","noteIndex":0},"citationItems":[{"id":590,"uris":["http://zotero.org/users/12345038/items/XN7WPR25"],"itemData":{"id":590,"type":"article-journal","abstract":"The effectiveness of nectarivorous birds, introduced honey bees and staphylinid beetles as pollinators of Banksia menziesii was assessed. Staphylinids removed substantial amounts of pollen but did not deposit any onto stigmata. Abundance of beetles on inflorescences was related to the mean number of florets opening per day. Honey bees collecting pollen were more likely to effect pollination than those collecting nectar which only contacted stigmata when arriving or leaving an inflorescence. Nectar-foraging birds probed between florets 10.2__0.8 (__SE) times, contacting 8 16 stigmata during each probe. Bees visited inflorescences ten times more frequently than birds although they deposited only 25% of the pollen that birds did on stigmata. Fruit set was ten times greater on inflorescences visited by birds than on inflorescences visited by bees. Bees were capable of removing as much pollen as birds but, because of direct pollen transfer to birds when florets opened during foraging, actual removal was probably much less. Selection for floret opening during nectar foraging by birds may have resulted from pollen removal by non-pollinating animals, such as staphylinids.","container-title":"Oecologia","DOI":"10.1007/BF00379609","ISSN":"0029-8549, 1432-1939","issue":"1","journalAbbreviation":"Oecologia","language":"en","page":"119-124","source":"DOI.org (Crossref)","title":"Differences in pollinator effectiveness of birds and insects visiting Banksia menziesii (Proteaceae)","volume":"76","author":[{"family":"Ramsey","given":"M. W."}],"issued":{"date-parts":[["1988",6]]}}}],"schema":"https://github.com/citation-style-language/schema/raw/master/csl-citation.json"} </w:instrText>
      </w:r>
      <w:r w:rsidRPr="00B066C6">
        <w:fldChar w:fldCharType="separate"/>
      </w:r>
      <w:r w:rsidRPr="00B066C6">
        <w:rPr>
          <w:noProof/>
        </w:rPr>
        <w:t>(Ramsey, 1988)</w:t>
      </w:r>
      <w:r w:rsidRPr="00B066C6">
        <w:fldChar w:fldCharType="end"/>
      </w:r>
      <w:r w:rsidRPr="00B066C6">
        <w:t xml:space="preserve">, insect control </w:t>
      </w:r>
      <w:r w:rsidRPr="00B066C6">
        <w:fldChar w:fldCharType="begin"/>
      </w:r>
      <w:r w:rsidRPr="00B066C6">
        <w:instrText xml:space="preserve"> ADDIN ZOTERO_ITEM CSL_CITATION {"citationID":"55kAhu0S","properties":{"formattedCitation":"(Cooper, 2005)","plainCitation":"(Cooper, 2005)","noteIndex":0},"citationItems":[{"id":592,"uris":["http://zotero.org/users/12345038/items/PRYDPCTU"],"itemData":{"id":592,"type":"article-journal","abstract":"Abstract\n            The following critiques express the opinions of the individual evaluators regarding the strengths, weaknesses, and value of the books they review. As such, the appraisals are subjective assessments and do not necessarily reflect the opinions of the editors or any official policy of the American Ornithologists' Union.","container-title":"The Auk","DOI":"10.1093/auk/122.3.1019","ISSN":"1938-4254, 0004-8038","issue":"3","language":"en","page":"1019-1020","source":"DOI.org (Crossref)","title":"Insect and Bird Interactions","volume":"122","author":[{"family":"Cooper","given":"Robert J."}],"issued":{"date-parts":[["2005",7,1]]}}}],"schema":"https://github.com/citation-style-language/schema/raw/master/csl-citation.json"} </w:instrText>
      </w:r>
      <w:r w:rsidRPr="00B066C6">
        <w:fldChar w:fldCharType="separate"/>
      </w:r>
      <w:r w:rsidRPr="00B066C6">
        <w:rPr>
          <w:noProof/>
        </w:rPr>
        <w:t>(Cooper, 2005)</w:t>
      </w:r>
      <w:r w:rsidRPr="00B066C6">
        <w:fldChar w:fldCharType="end"/>
      </w:r>
      <w:r w:rsidRPr="00B066C6">
        <w:t xml:space="preserve">, and seed dispersal </w:t>
      </w:r>
      <w:r w:rsidRPr="00B066C6">
        <w:fldChar w:fldCharType="begin"/>
      </w:r>
      <w:r w:rsidRPr="00B066C6">
        <w:instrText xml:space="preserve"> ADDIN ZOTERO_ITEM CSL_CITATION {"citationID":"bXKEDP1H","properties":{"formattedCitation":"(Lee, 2018)","plainCitation":"(Lee, 2018)","noteIndex":0},"citationItems":[{"id":690,"uris":["http://zotero.org/users/12345038/items/CPLCCCRJ"],"itemData":{"id":690,"type":"article-journal","container-title":"Ostrich","DOI":"10.2989/00306525.2018.1465788","ISSN":"0030-6525, 1727-947X","issue":"2","journalAbbreviation":"Ostrich","language":"en","page":"203-204","source":"DOI.org (Crossref)","title":"Why Birds Matter: Avian Ecological Function and Ecosystem Services","title-short":"Why Birds Matter","volume":"89","author":[{"family":"Lee","given":"Alan TK"}],"issued":{"date-parts":[["2018",4,3]]}}}],"schema":"https://github.com/citation-style-language/schema/raw/master/csl-citation.json"} </w:instrText>
      </w:r>
      <w:r w:rsidRPr="00B066C6">
        <w:fldChar w:fldCharType="separate"/>
      </w:r>
      <w:r w:rsidRPr="00B066C6">
        <w:rPr>
          <w:noProof/>
        </w:rPr>
        <w:t>(Lee, 2018)</w:t>
      </w:r>
      <w:r w:rsidRPr="00B066C6">
        <w:fldChar w:fldCharType="end"/>
      </w:r>
      <w:r w:rsidRPr="00B066C6">
        <w:t xml:space="preserve">. </w:t>
      </w:r>
      <w:r>
        <w:t xml:space="preserve">These contributions enhance ecosystem resilience, enabling forests to recover and sustain essential functions after disturbances. </w:t>
      </w:r>
      <w:r w:rsidRPr="00B066C6">
        <w:t xml:space="preserve">Changes in bird community composition and functional roles across forest succession have been extensively studied, with early research highlighting shifts in dietary guilds and trophic niches across successional stages </w:t>
      </w:r>
      <w:r w:rsidRPr="00B066C6">
        <w:fldChar w:fldCharType="begin"/>
      </w:r>
      <w:r w:rsidRPr="00B066C6">
        <w:instrText xml:space="preserve"> ADDIN ZOTERO_ITEM CSL_CITATION {"citationID":"uGO42bCU","properties":{"formattedCitation":"(May, 1982)","plainCitation":"(May, 1982)","noteIndex":0},"citationItems":[{"id":694,"uris":["http://zotero.org/users/12345038/items/BNZAM3BW"],"itemData":{"id":694,"type":"article-journal","abstract":"Structure of breeding bird communities was compared among four habitat types representative of stages present in most old-field successions in the eastern deciduous forest formation of North America. The successional catagories, defined by vegetational structure, were designated herbaceous (type A habitats), herb, shrub and sapling (type B), young forest (type C), and older forest (type D). Density of breeding birds was lowest in A habitats, rose sharply in B habitats and reached a maximum in D habitats. Species richness and number of feeding guild showed similar patterns. Mean number of species per guilds was highest in D habitats. Generalist feeding guilds were predominant in type A and B habitats, primarily due to the importance of the graminivore-insectivore guild. Specialist guilds increased in importance with succession due to addition of several insectivorous guilds in later successional stages. Patterns of occurrence of individual feeding guilds are analyzed and discussed with respect to changes in vegetational structure. Variance in community structure was generally highest in A habitats and lowest in D habitats; this is discussed in relation to the evolution of\" saturated\", coadapted communities.","container-title":"Oecologia","DOI":"10.1007/BF00384489","ISSN":"0029-8549, 1432-1939","issue":"2","journalAbbreviation":"Oecologia","language":"en","page":"208-216","source":"DOI.org (Crossref)","title":"Secondary succession and breeding bird community structure: Patterns of resource utilization","title-short":"Secondary succession and breeding bird community structure","volume":"55","author":[{"family":"May","given":"P. G."}],"issued":{"date-parts":[["1982",11]]}}}],"schema":"https://github.com/citation-style-language/schema/raw/master/csl-citation.json"} </w:instrText>
      </w:r>
      <w:r w:rsidRPr="00B066C6">
        <w:fldChar w:fldCharType="separate"/>
      </w:r>
      <w:r w:rsidRPr="00B066C6">
        <w:rPr>
          <w:noProof/>
        </w:rPr>
        <w:t>(May, 1982)</w:t>
      </w:r>
      <w:r w:rsidRPr="00B066C6">
        <w:fldChar w:fldCharType="end"/>
      </w:r>
      <w:r w:rsidRPr="00B066C6">
        <w:t xml:space="preserve">. </w:t>
      </w:r>
      <w:r>
        <w:t>The</w:t>
      </w:r>
      <w:r w:rsidRPr="00B066C6">
        <w:t xml:space="preserve"> recovery of bird communities is likely to vary </w:t>
      </w:r>
      <w:r>
        <w:t>between ecosystems</w:t>
      </w:r>
      <w:r w:rsidRPr="00B066C6">
        <w:t xml:space="preserve"> due to differences in natural history, physiology, behavior, landscape, and biogeographic variables </w:t>
      </w:r>
      <w:r w:rsidRPr="00B066C6">
        <w:fldChar w:fldCharType="begin"/>
      </w:r>
      <w:r w:rsidRPr="00B066C6">
        <w:instrText xml:space="preserve"> ADDIN ZOTERO_ITEM CSL_CITATION {"citationID":"yibjVzwd","properties":{"formattedCitation":"(Stratford &amp; Stouffer, 2015)","plainCitation":"(Stratford &amp; Stouffer, 2015)","noteIndex":0},"citationItems":[{"id":608,"uris":["http://zotero.org/users/12345038/items/B3Y2DC9K"],"itemData":{"id":608,"type":"article-journal","abstract":"Many insectivorous birds of the tropical rainforest understory, particularly terrestrial species, are prone to local extinctions in fragmented forests. We evaluated the hypothesis that vegetation structural changes in rainforest fragments reduce the availability of microhabitats used by terrestrial insectivores. Near Manaus, Brazil, we compared the vegetation in forest fragments to the vegetation in a continuous forest site where nine species of terrestrial insectivores were observed foraging. Our focal species included those that are extinction prone in fragments (Myrmornis torquata [Wing-banded Antbird], Grallaria varia [Variegated Antbird], Hylopezus macularius [Spotted Antpitta]), a fragmentation-tolerant species (Myrmothera campanisona [Thrush-like Antpitta]), and species that have and intermediate response (Myrmeciza ferruginea [Ferruginous-backed Antbird], Formicarius colma [Rufous-capped Anttrush], Formicarius analis [Black-faced Antthrush], Conopophaga aurita [Chestnut-belted Gnateater], and Corythopis torquata [Ringed Antpipit]). To quantify vegetation, we measured sixteen habitat variables in 8m radius plots where birds were observed foraging as well as random points in continuous forest and forest fragments of 1-, 10-, and 100-ha. Four principal components were produced from a principal component analysis and we selected a variable (leaf litter depth, plant cover 3–10 m, density of plants 1–2 m, and plant cover &gt;20 m) from each principal component for our fragment vs continuous forest comparisons. Using Markov chain Monte Carlo (MCMC) simulation, we estimated the probabilities that the density of plants 1–2 m, proportion of plant cover 3–10 m, and leaf litter depth increased with decreasing fragment area and also exceeded the values associated with fragmentation-sensitive species. We also tested the prediction that plant cover &gt;20 m decreased in forest fragments and that those sites became more open than typical sites used by our focal species. Our predictions were strongly supported: decreasing fragment size was correlated with increasing density of tall plants, increasing mid-story vegetation cover, decreased canopy cover, and increasing leaf litter depth. Even if our focal species are able to disperse to small forest fragments, our results suggest that they may not ﬁnd enough appropriate habitat. Ó 2015 Elsevier Ltd. All rights reserved.","container-title":"Biological Conservation","DOI":"10.1016/j.biocon.2015.01.017","ISSN":"00063207","journalAbbreviation":"Biological Conservation","language":"en","page":"109-115","source":"DOI.org (Crossref)","title":"Forest fragmentation alters microhabitat availability for Neotropical terrestrial insectivorous birds","volume":"188","author":[{"family":"Stratford","given":"Jeffrey A."},{"family":"Stouffer","given":"Philip C."}],"issued":{"date-parts":[["2015",8]]}}}],"schema":"https://github.com/citation-style-language/schema/raw/master/csl-citation.json"} </w:instrText>
      </w:r>
      <w:r w:rsidRPr="00B066C6">
        <w:fldChar w:fldCharType="separate"/>
      </w:r>
      <w:r w:rsidRPr="00B066C6">
        <w:rPr>
          <w:noProof/>
        </w:rPr>
        <w:t>(Stratford &amp; Stouffer, 2015)</w:t>
      </w:r>
      <w:r w:rsidRPr="00B066C6">
        <w:fldChar w:fldCharType="end"/>
      </w:r>
    </w:p>
    <w:p w14:paraId="6249B873" w14:textId="77777777" w:rsidR="00860547" w:rsidRDefault="00860547" w:rsidP="00860547">
      <w:pPr>
        <w:pStyle w:val="NormalWeb"/>
        <w:spacing w:before="0" w:beforeAutospacing="0" w:after="0" w:afterAutospacing="0" w:line="360" w:lineRule="auto"/>
        <w:ind w:firstLine="720"/>
      </w:pPr>
      <w:r w:rsidRPr="00B066C6">
        <w:t>In the early stages of forest regeneration, generalist species dominate, taking advantage of the open habitat and the abundance of pioneer plant species. These species often include granivores and insectivores that exploit the high availability of seeds from herbaceous vegetation and the increased insect populations associated with early-successional growth</w:t>
      </w:r>
      <w:r>
        <w:t xml:space="preserve"> </w:t>
      </w:r>
      <w:r>
        <w:fldChar w:fldCharType="begin"/>
      </w:r>
      <w:r>
        <w:instrText xml:space="preserve"> ADDIN ZOTERO_ITEM CSL_CITATION {"citationID":"648EJnq9","properties":{"formattedCitation":"(Da Silva et al., 1996; Gon\\uc0\\u231{}alves Da Silva et al., 2020; Robinson &amp; Terborgh, 1997)","plainCitation":"(Da Silva et al., 1996; Gonçalves Da Silva et al., 2020; Robinson &amp; Terborgh, 1997)","noteIndex":0},"citationItems":[{"id":1742,"uris":["http://zotero.org/users/12345038/items/G75GMUWJ"],"itemData":{"id":1742,"type":"article-journal","abstract":"From towers constructed at the interface between second‐growth forest and an active and an abandoned pasture, we observed inter‐habitat movements of fruit‐eating birds in eastern Amazônia. The abandoned pasture was composed of grasses and forbs with a scattering of shrubs and small trees. The active pasture contained a low, uniform bed of grass. A total of 47 frugivorous bird species was recorded in the second‐growth forest. We observed that 18 of these species frequented the adjacent abandoned pasture but only 3 were found in the adjacent active pasture. Fruit‐eating birds flying from second‐growth forest typically spent only a few minutes in the abandoned pasture, and their movements were generally restricted to a pasture belt of 1–80 m along the border with the second‐growth forest. Most inter‐habitat movement occurred during the rainy season, which coincided with a peak in fruit availability in the abandoned pasture. Just three bird species,\n              Ramphocelus carbo, Tachyphonus rufus\n              , and\n              Thraupis episcopus\n              , accounted for an estimated 70% of the total movement of frugivores between the second‐growth forest and the abandoned pasture. All three species spent most of their time in the abandoned pasture foraging on shrubs and trees but exhibited differences in their preference for specific habitat elements and in their seed‐defecation habits. An understanding of bird behaviors in altered landscapes provides important information to planners and policy makers concerned with protecting regional biodiversity and maintaining landscape integrity. This research provides a rationale for placing limits on the size of clearings in the Brazilian Amazon.\n            \n          , \n            \n              Desde torres construídas en la interface, entre un bosque de crecimiento secundario y una pastura abandonada, observamos movimientos entre hábitats de las aves frugívoras en la Amazonía oriental. La pastura abandonada se encontraba compuesta de pastos y forbias, con arbustos y árboles pequeños esparcidos. La pastura activa contenía una cubierta de pasto baja y uniforme. Un total de 47 especies de aves frugívoras fue registrado en el bosque de crecimiento secundario. Observamos que 18 de estas especies frecuentaron la pastura adyacente abandonada, pero solo 3 se encontraron en la pastura adyacente activa. Las aves frugívoras que volaban del bosque secundario, se quedaban, en la mayoría de los casos, por sólo unos pocos minutos en la pastura abandonada y sus movimientos se encontraron generalmente restringidos a un cinturón de pasturas de 1–80 m de ancho a lo largo del borde con el bosque secundario. La mayoría del movimiento entre hábitats ocurrió durante la estación lluviosa, que coincidió con el pico de disponibilidad de frutas en la pastura abandonada. Solo tres especies de aves,\n              Ramphocelus carbo, Tachyphonus rufus\n              y\n              Thraupis episcopus\n              , fueron responsables del 70% del total de los movimientos de frugívoros entre el bosque de crecimiento secundario y la pastura abandonanda. Las tres especies ocuparon la mayor parte de su tiempo en la pastura abandonada alimentándose en arbustos y árboles, pero exhibieron diferencias en su preferencia por los elementos específicos del hábitat y en sus hábitos de defecación de semillas. Una comprensión del comportamiento de las aves en paisajes alterados provee importante información para los planificadores y aquellas personas involucradas en la toma de decisiones en relación con la protección de la biodiversidad regional y el mantenimiento de la integridad del paisaje. Esta investigación provee una justificación para la imposición de límites en el tamaño de los clareos de la Amazonía brasileña.","container-title":"Conservation Biology","DOI":"10.1046/j.1523-1739.1996.10020491.x","ISSN":"0888-8892, 1523-1739","issue":"2","journalAbbreviation":"Conservation Biology","language":"en","page":"491-503","source":"DOI.org (Crossref)","title":"Plant Succession, Landscape Management, and the Ecology of Frugivorous Birds in Abandoned Amazonian Pastures","volume":"10","author":[{"family":"Da Silva","given":"José Maria</w:instrText>
      </w:r>
      <w:r w:rsidRPr="000426A0">
        <w:rPr>
          <w:lang w:val="es-EC"/>
        </w:rPr>
        <w:instrText xml:space="preserve"> Cardoso"},{"family":"Uhl","given":"Christopher"},{"family":"Murray","given":"Gregory"}],"issued":{"date-parts":[["1996",4]]}}},{"id":1621,"uris":["http://zotero.org/users/12345038/items/KMDK64F3"],"itemData":{"id":1621,"type":"article-journal","container-title":"Studies on Neotropical Fauna and Environment","DOI":"10.1080/01650521.2020.1743550","ISSN":"0165-0521, 1744-5140","issue":"3","journalAbbreviation":"Studies on Neotropical Fauna and Environment","language":"en","page":"203-215","source":"DOI.org (Crossref)","title":"Fruit and flower availability affect bird assemblages across two successional stages in the Atlantic Forest","volume":"55","author":[{"family":"Gonçalves Da Silva","given":"Bruna"},{"family":"Koch","given":"Ingrid"},{"family":"Piratelli","given":"Augusto João"}],"issued":{"date-parts":[["2020",9,1]]}}},{"id":484,"uris":["http://zotero.org/users/12345038/items/E276CRWC"],"itemData":{"id":484,"type":"article-journal","container-title":"Ornithological Monographs","DOI":"10.2307/40157559","ISSN":"00786594, 19412282","issue":"48","journalAbbreviation":"Ornithological Monographs","language":"en","page":"641-672","source":"DOI.org (Crossref)","title":"Bird Community Dynamics along Primary Successional Gradients of an Amazonian Whitewater River","author":[{"family":"Robinson","given":"Scott K."},{"family":"Terborgh","given":"John"}],"issued":{"date-parts":[["1997",1]]}}}],"schema":"https://github.com/citation-style-language/schema/raw/master/csl-citation.json"} </w:instrText>
      </w:r>
      <w:r>
        <w:fldChar w:fldCharType="separate"/>
      </w:r>
      <w:r w:rsidRPr="000426A0">
        <w:rPr>
          <w:lang w:val="es-EC"/>
        </w:rPr>
        <w:t>(Da Silva et al., 1996; Gonçalves Da Silva et al., 2020; Robinson &amp; Terborgh, 1997)</w:t>
      </w:r>
      <w:r>
        <w:fldChar w:fldCharType="end"/>
      </w:r>
      <w:r w:rsidRPr="000426A0">
        <w:rPr>
          <w:lang w:val="es-EC"/>
        </w:rPr>
        <w:t xml:space="preserve">. </w:t>
      </w:r>
      <w:r w:rsidRPr="00B066C6">
        <w:t xml:space="preserve">As succession progresses </w:t>
      </w:r>
      <w:r>
        <w:t>a</w:t>
      </w:r>
      <w:r w:rsidRPr="00B066C6">
        <w:t>nd structural complexity increases</w:t>
      </w:r>
      <w:r>
        <w:t xml:space="preserve"> in older forest systems</w:t>
      </w:r>
      <w:r w:rsidRPr="00B066C6">
        <w:t xml:space="preserve">, </w:t>
      </w:r>
      <w:r>
        <w:t>avian</w:t>
      </w:r>
      <w:r w:rsidRPr="00B066C6">
        <w:t xml:space="preserve"> communit</w:t>
      </w:r>
      <w:r>
        <w:t>ies</w:t>
      </w:r>
      <w:r w:rsidRPr="00B066C6">
        <w:t xml:space="preserve"> </w:t>
      </w:r>
      <w:r>
        <w:t>develop</w:t>
      </w:r>
      <w:r w:rsidRPr="00B066C6">
        <w:t xml:space="preserve"> a higher proportion of frugivores and omnivores, which play a critical role in seed dispersal and facilitat</w:t>
      </w:r>
      <w:r>
        <w:t>ing</w:t>
      </w:r>
      <w:r w:rsidRPr="00B066C6">
        <w:t xml:space="preserve"> the recruitment of late-successional plant species </w:t>
      </w:r>
      <w:r w:rsidRPr="00B066C6">
        <w:fldChar w:fldCharType="begin"/>
      </w:r>
      <w:r>
        <w:instrText xml:space="preserve"> ADDIN ZOTERO_ITEM CSL_CITATION {"citationID":"131rJc9s","properties":{"formattedCitation":"(Acevedo\\uc0\\u8208{}Charry &amp; Aide, 2019; Carlo &amp; Morales, 2016; May, 1982)","plainCitation":"(Acevedo‐Charry &amp; Aide, 2019; Carlo &amp; Morales, 2016; May, 1982)","noteIndex":0},"citationItems":[{"id":84,"uris":["http://zotero.org/users/12345038/items/83XIVVNE"],"itemData":{"id":84,"type":"article-journal","container-title":"Oikos","DOI":"10.1111/oik.06252","ISSN":"0030-1299, 1600-0706","issue":"8","journalAbbreviation":"Oikos","language":"en","page":"1065-1078","source":"DOI.org (Crossref)","title":"Recovery of amphibian, reptile, bird and mammal diversity during secondary forest succession in the tropics","volume":"128","author":[{"family":"Acevedo‐Charry","given":"Orlando"},{"family":"Aide","given":"T. Mitchell"}],"issued":{"date-parts":[["2019",8]]}}},{"id":921,"uris":["http://zotero.org/users/12345038/items/CN7IZS9W"],"itemData":{"id":921,"type":"article-journal","container-title":"ECOLOGY","DOI":"10.1890/15-2147.1","ISSN":"0012-9658","issue":"7","page":"1819-1831","title":"Generalist birds promote tropical forest regeneration and increase plant diversity via rare-biased seed dispersal","volume":"97","author":[{"family":"Carlo","given":"Tomas A."},{"family":"Morales","given":"Juan M."}],"issued":{"date-parts":[["2016",7]]}}},{"id":694,"uris":["http://zotero.org/users/12345038/items/BNZAM3BW"],"itemData":{"id":694,"type":"article-journal","abstract":"Structure of breeding bird communities was compared among four habitat types representative of stages present in most old-field successions in the eastern deciduous forest formation of North America. The successional catagories, defined by vegetational structure, were designated herbaceous (type A habitats), herb, shrub and sapling (type B), young forest (type C), and older forest (type D). Density of breeding birds was lowest in A habitats, rose sharply in B habitats and reached a maximum in D habitats. Species richness and number of feeding guild showed similar patterns. Mean number of species per guilds was highest in D habitats. Generalist feeding guilds were predominant in type A and B habitats, primarily due to the importance of the graminivore-insectivore guild. Specialist guilds increased in importance with succession due to addition of several insectivorous guilds in later successional stages. Patterns of occurrence of individual feeding guilds are analyzed and discussed with respect to changes in vegetational structure. Variance in community structure was generally highest in A habitats and lowest in D habitats; this is discussed in relation to the evolution of\" saturated\", coadapted communities.","container-title":"Oecologia","DOI":"10.1007/BF00384489","ISSN":"0029-8549, 1432-1939","issue":"2","journalAbbreviation":"Oecologia","language":"en","page":"208-216","source":"DOI.org (Crossref)","title":"Secondary succession and breeding bird community structure: Patterns of resource utilization","title-short":"Secondary succession and breeding bird community structure","volume":"55","author":[{"family":"May","given":"P. G."}],"issued":{"date-parts":[["1982",11]]}}}],"schema":"https://github.com/citation-style-language/schema/raw/master/csl-citation.json"} </w:instrText>
      </w:r>
      <w:r w:rsidRPr="00B066C6">
        <w:fldChar w:fldCharType="separate"/>
      </w:r>
      <w:r w:rsidRPr="00697759">
        <w:t>(Acevedo‐Charry &amp; Aide, 2019; Carlo &amp; Morales, 2016; May, 1982)</w:t>
      </w:r>
      <w:r w:rsidRPr="00B066C6">
        <w:fldChar w:fldCharType="end"/>
      </w:r>
      <w:r w:rsidRPr="00B066C6">
        <w:t xml:space="preserve">. Increased canopy cover, stratification, and microhabitat diversity in mid-to-late successional forests allow for the recolonization of specialized species that depend on complex vertical forest structures, such as canopy frugivores and insectivorous understory specialists </w:t>
      </w:r>
      <w:r w:rsidRPr="00B066C6">
        <w:fldChar w:fldCharType="begin"/>
      </w:r>
      <w:r w:rsidRPr="00B066C6">
        <w:instrText xml:space="preserve"> ADDIN ZOTERO_ITEM CSL_CITATION {"citationID":"aAAa3oO1","properties":{"formattedCitation":"(Bregman et al., 2014; Coddington et al., 2023; Cook et al., 2020)","plainCitation":"(Bregman et al., 2014; Coddington et al., 2023; Cook et al., 2020)","noteIndex":0},"citationItems":[{"id":251,"uris":["http://zotero.org/users/12345038/items/VZXID57P"],"itemData":{"id":251,"type":"article-journal","abstract":"The fragmentation of forests is a dominant human impact worldwide with major implications for the conservation and management of ecosystems. Although many studies have assessed the effects of fragmentation on biodiversity at local scales, our understanding of the ecological implications for different functional groups of organisms remains limited, particularly at global scales. Here, we use linear mixed models to explore patterns of occurrence and ecological function of 2844 bird species at 293 localities spanning ﬁve continents. We show that sensitivity to fragmentation varies according to functional group and body mass, with the prevalence of insectivores and large frugivores declining in relation to fragment size, particularly under 100 ha. However, the most severe effects were restricted to the tropics, whereas fragmentation had no signiﬁcant impact on the basic ecological structure of temperate bird communities. We conclude that land-use change in tropical systems is likely to disrupt biotic processes, including seed dispersal and the control of insect herbivores. Our ﬁndings highlight the importance of latitude in mediating the impacts of habitat loss, and offer general guidelines for the minimum size of fragments required to prevent the collapse of key ecosystem processes in sensitive regions.","container-title":"Biological Conservation","DOI":"10.1016/j.biocon.2013.11.024","ISSN":"00063207","journalAbbreviation":"Biological Conservation","language":"en","page":"372-383","source":"DOI.org (Crossref)","title":"Global patterns and predictors of bird species responses to forest fragmentation: Implications for ecosystem function and conservation","title-short":"Global patterns and predictors of bird species responses to forest fragmentation","volume":"169","author":[{"family":"Bregman","given":"Tom P."},{"family":"Sekercioglu","given":"Cagan H."},{"family":"Tobias","given":"Joseph A."}],"issued":{"date-parts":[["2014",1]]}}},{"id":1441,"uris":["http://zotero.org/users/12345038/items/MI35IZZK"],"itemData":{"id":1441,"type":"article-journal","abstract":"Secondary forest has the potential to act as an important habitat for biodiversity and restoring ecological benefits. Functional diversity, which includes morphological and behavioral traits that mediate species interactions with the surrounding environment, relates to the resilience of ecosystems. To assess the relationship between habitat structural differences in primary and secondary forest and the resultant differences in functional diversity of avian species, we followed 11 mixed-­species flocks at the Biological Dynamics of Forest Fragments Project, near Manaus, Brazil. We used remote sensing LiDAR to assess which three-­dimensional forest structural features are most closely associated with variation in species richness and functional diversity in secondary and primary tropical forest flocks. The species richness of flocks in primary forest increased in areas with higher elevation and higher leaf area density in the understory and subcanopy but was not correlated with habitat structure in secondary forest. Functional diversity increased at lower elevations and with a denser subcanopy in both primary forest and secondary forest but only increased with greater understory leaf area density in primary forest. Together, these results indicate that a dense subcanopy and understory can be important for mixed-­species flocks and that flock richness and functional diversity can be predicted by vegetation structure.","container-title":"Biotropica","DOI":"10.1111/btp.13201","ISSN":"0006-3606, 1744-7429","issue":"2","journalAbbreviation":"Biotropica","language":"en","page":"467-479","source":"DOI.org (Crossref)","title":"Forest structure predicts species richness and functional diversity in Amazonian mixed‐species bird flocks","volume":"55","author":[{"family":"Coddington","given":"Charles P. J."},{"family":"Cooper","given":"W. Justin"},{"family":"Mokross","given":"Karl"},{"family":"Luther","given":"David A."}],"issued":{"date-parts":[["2023",3]]}}},{"id":9,"uris":["http://zotero.org/users/12345038/items/6IF7US8S"],"itemData":{"id":9,"type":"article-journal","abstract":"Context Tropical forest loss and fragmentation and the associated loss in species diversity are increasing in both magnitude and scope. Much attention has been paid to how attributes of forest fragments, such as area and forest structure, impact the diversity and functional composition of vertebrate communities, while more recent work has begun to consider the importance of landscape-level variables, such as surrounding tree cover. Yet, the relative impacts of these factors on species diversity and functional composition remain unclear, particularly among under-studied taxonomic groups.","container-title":"Landscape Ecology","DOI":"10.1007/s10980-020-01123-4","ISSN":"0921-2973, 1572-9761","issue":"12","journalAbbreviation":"Landscape Ecol","language":"en","page":"2825-2841","source":"DOI.org (Crossref)","title":"Environmental correlates of richness, community composition, and functional traits of terrestrial birds and mammals in a fragmented tropical landscape","volume":"35","author":[{"family":"Cook","given":"Rachel N."},{"family":"Ramirez-Parada","given":"Tadeo"},{"family":"Browne","given":"Luke"},{"family":"Ellis","given":"Mike"},{"family":"Karubian","given":"Jordan"}],"issued":{"date-parts":[["2020",12]]}}}],"schema":"https://github.com/citation-style-language/schema/raw/master/csl-citation.json"} </w:instrText>
      </w:r>
      <w:r w:rsidRPr="00B066C6">
        <w:fldChar w:fldCharType="separate"/>
      </w:r>
      <w:r w:rsidRPr="00B066C6">
        <w:rPr>
          <w:noProof/>
        </w:rPr>
        <w:t>(Bregman et al., 2014; Coddington et al., 2023; Cook et al., 2020)</w:t>
      </w:r>
      <w:r w:rsidRPr="00B066C6">
        <w:fldChar w:fldCharType="end"/>
      </w:r>
      <w:r w:rsidRPr="00B066C6">
        <w:t>. The arrival and persistence of these functionally important species contribute to long-term forest stability by enhancing plant diversity and promoting natural regeneration.</w:t>
      </w:r>
    </w:p>
    <w:p w14:paraId="21415B9F" w14:textId="26E687F2" w:rsidR="0042238C" w:rsidRPr="00B066C6" w:rsidRDefault="0042238C" w:rsidP="00D77075">
      <w:pPr>
        <w:pStyle w:val="NormalWeb"/>
        <w:spacing w:before="0" w:beforeAutospacing="0" w:after="0" w:afterAutospacing="0" w:line="360" w:lineRule="auto"/>
        <w:ind w:firstLine="720"/>
      </w:pPr>
      <w:r w:rsidRPr="00B066C6">
        <w:t xml:space="preserve">Mammals also play a crucial role in tropical forest regeneration, influencing ecological processes such as seed dispersal, herbivory, and predation. Many medium-bodied and large-bodied mammals </w:t>
      </w:r>
      <w:r w:rsidR="006A6B21">
        <w:t>often a</w:t>
      </w:r>
      <w:r w:rsidRPr="00B066C6">
        <w:t xml:space="preserve">ct as keystone species, shaping forest structure through their foraging </w:t>
      </w:r>
      <w:r w:rsidRPr="00B066C6">
        <w:lastRenderedPageBreak/>
        <w:t xml:space="preserve">and movement patterns </w:t>
      </w:r>
      <w:r w:rsidRPr="00B066C6">
        <w:fldChar w:fldCharType="begin"/>
      </w:r>
      <w:r w:rsidRPr="00B066C6">
        <w:instrText xml:space="preserve"> ADDIN ZOTERO_ITEM CSL_CITATION {"citationID":"CtOlfdu6","properties":{"formattedCitation":"(Stoner et al., 2007)","plainCitation":"(Stoner et al., 2007)","noteIndex":0},"citationItems":[{"id":1743,"uris":["http://zotero.org/users/12345038/items/84RIGYKH"],"itemData":{"id":1743,"type":"article-journal","abstract":"ABSTRACT\n            Mammal populations are increasingly hunted, yet the consequences of their disappearance from tropical forests have only recently been explored. Here, we summarize current research on the role of mammals in seed dispersal and postdispersal processes, such as seed predation and secondary dispersal, in different tropical regions. We evaluate how mammal features influence seedshadows and ultimately forest regeneration. Finally, we discuss the potential effect of changes in seedshadows caused by the elimination of many medium‐ and large‐sized mammals. The complex role that mammals play in creating and modifying seedshadows in tropical forests cannot be easily quantified, and in this review we emphasize the variation that exists both within and among mammal taxa and across continents. To bridge this gap in information, we suggest that more studies should evaluate the relative importance of the disappearance of both seed dispersers and seed predators for particular plant species so that we may begin to understand the balance between these two influences. We also suggest that future studies identify ecological redundancy in nonhunted vertebrates within any particular community to evaluate compensatory behavior that may help ameliorate some of the negative effects of hunting of large and medium mammals.\n          , \n            RESUMEN\n            La caza afecta de manera creciente a las poblaciones de mamíferos. Sin embargo, las consecuencias de las desapariciones de estas poblaciones, de los bosques tropicales, han sido solamente exploradas recientemente. El objetivo que perseguimos con este artículo es el de realizar un compendio de las investigaciones recientes que han abordado el papel que juegan los mamíferos en la dispersión de semillas y en los procesos postdispersión, como la depredación de semillas y la dispersión secundaria, en las regiones tropicales. Nosotros evaluamos como los atributos de los mamíferos influencian la “sombra de semillas” y por ende la regeneración de los bosques. Finalmente, discutimos el efecto potencial de los cambios en la sombra de semillas, causado por la eliminación un gran número de especies de mamíferos de mediano y gran tamaño. No se puede cuantificar fácilmente el complejo papel que juegan los mamíferos en la creación y modificación de las sombras de semillas en los bosques tropicales. En esta revisión se enfatiza en la variación que existe tanto dentro como entre los taxa de mamíferos, así como entre los continentes. Con el objetivo de cubrir los vacíos que existe en la información científica, sugerimos que deben realizarse más estudios que evalúen la importancia relativa de la desaparición de tanto los dispersores, como los depredadores de semillas, para determinadas especies de plantas, de manera tal que podamos empezar a entender el balance que existe entre estos dos factores. Nosotros, también sugerimos que los futuros estudios deben identificar la redundancia ecológica en los vertebrados que no son cazados, de cualquier comunidad, con el objetivo de evaluar las conductas compensatorias que pueden ayudar a prevenir algunos de los efectos negativos de la caza de mamíferos de mediano y gran tamaño.","container-title":"Biotropica","DOI":"10.1111/j.1744-7429.2007.00292.x","ISSN":"0006-3606, 1744-7429","issue":"3","journalAbbreviation":"Biotropica","language":"en","page":"316-327","source":"DOI.org (Crossref)","title":"The Role of Mammals in Creating and Modifying Seedshadows in Tropical Forests and Some Possible Consequences of Their Elimination","volume":"39","author":[{"family":"Stoner","given":"Kathryn E."},{"family":"Riba‐Hernández","given":"Pablo"},{"family":"Vulinec","given":"Kevina"},{"family":"Lambert","given":"Joanna E."}],"issued":{"date-parts":[["2007",5]]}}}],"schema":"https://github.com/citation-style-language/schema/raw/master/csl-citation.json"} </w:instrText>
      </w:r>
      <w:r w:rsidRPr="00B066C6">
        <w:fldChar w:fldCharType="separate"/>
      </w:r>
      <w:r w:rsidRPr="00B066C6">
        <w:rPr>
          <w:noProof/>
        </w:rPr>
        <w:t>(Stoner et al., 2007)</w:t>
      </w:r>
      <w:r w:rsidRPr="00B066C6">
        <w:fldChar w:fldCharType="end"/>
      </w:r>
      <w:r w:rsidRPr="00B066C6">
        <w:t xml:space="preserve">. Smaller mammals, such as frugivorous bats, also play an important role in shaping forest succession </w:t>
      </w:r>
      <w:r w:rsidRPr="00B066C6">
        <w:fldChar w:fldCharType="begin"/>
      </w:r>
      <w:r w:rsidRPr="00B066C6">
        <w:instrText xml:space="preserve"> ADDIN ZOTERO_ITEM CSL_CITATION {"citationID":"yGaKrGvi","properties":{"formattedCitation":"(De La Pe\\uc0\\u241{}a-Domene et al., 2014; Muscarella &amp; Fleming, 2007)","plainCitation":"(De La Peña-Domene et al., 2014; Muscarella &amp; Fleming, 2007)","noteIndex":0},"citationItems":[{"id":1725,"uris":["http://zotero.org/users/12345038/items/B8GYIYEJ"],"itemData":{"id":1725,"type":"article-journal","container-title":"PLoS ONE","DOI":"10.1371/journal.pone.0104656","ISSN":"1932-6203","issue":"8","journalAbbreviation":"PLoS ONE","language":"en","page":"e104656","source":"DOI.org (Crossref)","title":"Roles of Birds and Bats in Early Tropical-Forest Restoration","volume":"9","author":[{"family":"De La Peña-Domene","given":"Marinés"},{"family":"Martínez-Garza","given":"Cristina"},{"family":"Palmas-Pérez","given":"Sebastián"},{"family":"Rivas-Alonso","given":"Edith"},{"family":"Howe","given":"Henry F."}],"editor":[{"family":"Fenton","given":"Brock"}],"issued":{"date-parts":[["2014",8,13]]}}},{"id":642,"uris":["http://zotero.org/users/12345038/items/9NA2ZHX5"],"itemData":{"id":642,"type":"article-journal","abstract":"Discussion of successional change has traditionally focused on plants. The role of animals in producing and responding to successional change has received far less attention. Dispersal of plant propagules by animals is a fundamental part of successional change in the tropics. Here we review the role played by frugivorous bats in successional change in tropical forests. We explore the similarities and differences of this ecological service provided by New and Old World seed-dispersing bats and conclude with a discussion of their current economic and conservation implications. Our review suggests that frugivorous New World phyllostomid bats play a more important role in early plant succession than their Old World pteropodid counterparts. We propose that phyllostomid bats have shared a long evolutionary history with small-seeded early successional shrubs and treelets while pteropodid bats are principally dispersers of the seeds of later successional canopy fruits. When species of figs (Ficus) are involved in the early stages of primary succession (e.g. in the river meander system in Amazonia and on Krakatau, Indonesia), both groups of bats are important contributors of propagules. Because they disperse and sometimes pollinate canopy trees, pteropodid bats have a considerable impact on the economic value of Old World tropical forests; phyllostomid bats appear to make a more modest direct contribution to the economic value of New World tropical forests. Nonetheless, because they critically influence forest regeneration, phyllostomid bats make an important indirect contribution to the economic value of these forests. Overall, fruiteating bats play important roles in forest regeneration throughout the tropics, making their conservation highly desirable.","container-title":"Biological Reviews","DOI":"10.1111/j.1469-185X.2007.00026.x","ISSN":"1464-7931, 1469-185X","issue":"4","journalAbbreviation":"Biological Reviews","language":"en","page":"573-590","source":"DOI.org (Crossref)","title":"The Role of Frugivorous Bats in Tropical Forest Succession","volume":"82","author":[{"family":"Muscarella","given":"Robert"},{"family":"Fleming","given":"Theodore H."}],"issued":{"date-parts":[["2007",11]]}}}],"schema":"https://github.com/citation-style-language/schema/raw/master/csl-citation.json"} </w:instrText>
      </w:r>
      <w:r w:rsidRPr="00B066C6">
        <w:fldChar w:fldCharType="separate"/>
      </w:r>
      <w:r w:rsidRPr="00B066C6">
        <w:t>(De La Peña-Domene et al., 2014; Muscarella &amp; Fleming, 2007)</w:t>
      </w:r>
      <w:r w:rsidRPr="00B066C6">
        <w:fldChar w:fldCharType="end"/>
      </w:r>
      <w:r w:rsidRPr="00B066C6">
        <w:t xml:space="preserve">. </w:t>
      </w:r>
      <w:r w:rsidR="006A6B21">
        <w:t>L</w:t>
      </w:r>
      <w:r w:rsidRPr="00B066C6">
        <w:t xml:space="preserve">ike birds, mammal communities undergo significant shifts during forest succession, with changes in species composition, functional roles, and abundance occurring as forests regenerate. </w:t>
      </w:r>
      <w:r w:rsidR="006A6B21">
        <w:t xml:space="preserve">One study found that tropical rainforests have the capacity to recover functionally diverse mammal communities in a relatively short successional timeframe (10-17 years after disturbance) </w:t>
      </w:r>
      <w:r w:rsidR="006A6B21">
        <w:fldChar w:fldCharType="begin"/>
      </w:r>
      <w:r w:rsidR="006A6B21">
        <w:instrText xml:space="preserve"> ADDIN ZOTERO_ITEM CSL_CITATION {"citationID":"2O1Gm6hO","properties":{"formattedCitation":"(Derh\\uc0\\u233{} et al., 2018)","plainCitation":"(Derhé et al., 2018)","noteIndex":0},"citationItems":[{"id":1498,"uris":["http://zotero.org/users/12345038/items/HQEXVCW8"],"itemData":{"id":1498,"type":"article-journal","container-title":"Restoration Ecology","language":"en","title":"Recovery of mammal diversity in tropical forests: a functional approach to measuring restoration","author":[{"family":"Derhé","given":"M.A."},{"family":"Murphy","given":"H.T."},{"family":"Preece","given":"N.D."},{"family":"Lawes","given":"M.J."},{"family":"Menéndez","given":"R."}],"issued":{"date-parts":[["2018",7,26]]}}}],"schema":"https://github.com/citation-style-language/schema/raw/master/csl-citation.json"} </w:instrText>
      </w:r>
      <w:r w:rsidR="006A6B21">
        <w:fldChar w:fldCharType="separate"/>
      </w:r>
      <w:r w:rsidR="006A6B21" w:rsidRPr="008F4B86">
        <w:t>(Derhé et al., 2018)</w:t>
      </w:r>
      <w:r w:rsidR="006A6B21">
        <w:fldChar w:fldCharType="end"/>
      </w:r>
      <w:r w:rsidR="006A6B21">
        <w:t xml:space="preserve">. They also found that mean body mass of mammalian species increased with forest age, suggesting that regenerating sites can act as buffers of population decline to large-bodied mammals, which are the most at risk to extinction from anthropogenic disturbances </w:t>
      </w:r>
      <w:r w:rsidR="006A6B21">
        <w:fldChar w:fldCharType="begin"/>
      </w:r>
      <w:r w:rsidR="006A6B21">
        <w:instrText xml:space="preserve"> ADDIN ZOTERO_ITEM CSL_CITATION {"citationID":"HWgqX0po","properties":{"formattedCitation":"(Cardillo et al., 2005; Derh\\uc0\\u233{} et al., 2018; Hoffmann et al., 2011)","plainCitation":"(Cardillo et al., 2005; Derhé et al., 2018; Hoffmann et al., 2011)","noteIndex":0},"citationItems":[{"id":1771,"uris":["http://zotero.org/users/12345038/items/IRYHEE2C"],"itemData":{"id":1771,"type":"article-journal","abstract":"Many large animal species have a high risk of extinction. This is usually thought to result simply from the way that species traits associated with vulnerability, such as low reproductive rates, scale with body size. In a broad-scale analysis of extinction risk in mammals, we find two additional patterns in the size selectivity of extinction risk. First, impacts of both intrinsic and environmental factors increase sharply above a threshold body mass around 3 kilograms. Second, whereas extinction risk in smaller species is driven by environmental factors, in larger species it is driven by a combination of environmental factors and intrinsic traits. Thus, the disadvantages of large size are greater than generally recognized, and future loss of large mammal biodiversity could be far more rapid than expected.","container-title":"Science","DOI":"10.1126/science.1116030","ISSN":"0036-8075, 1095-9203","issue":"5738","journalAbbreviation":"Science","language":"en","page":"1239-1241","source":"DOI.org (Crossref)","title":"Multiple Causes of High Extinction Risk in Large Mammal Species","volume":"309","author":[{"family":"Cardillo","given":"Marcel"},{"family":"Mace","given":"Georgina M."},{"family":"Jones","given":"Kate E."},{"family":"Bielby","given":"Jon"},{"family":"Bininda-Emonds","given":"Olaf R. P."},{"family":"Sechrest","given":"Wes"},{"family":"Orme","given":"C. David L."},{"family":"Purvis","given":"Andy"}],"issued":{"date-parts":[["2005",8,19]]}}},{"id":1773,"uris":["http://zotero.org/users/12345038/items/XM7G3UE8"],"itemData":{"id":1773,"type":"article-journal","abstract":"A recent complete assessment of the conservation status of 5487 mammal species demonstrated that at least one-fifth are at risk of extinction in the wild. We retrospectively identified genuine changes in extinction risk for mammals between 1996 and 2008 to calculate changes in the International Union for Conservation of Nature (IUCN) Red List Index (RLI). Species-level trends in the conservation status of mammalian diversity reveal that extinction risk in large-bodied species is increasing, and that the rate of deterioration has been most accelerated in the Indomalayan and Australasian realms. Expanding agriculture and hunting have been the main drivers of increased extinction risk in mammals. Site-based protection and management, legislation, and captive-breeding and reintroduction programmes have led to improvements in 24 species. We contextualize these changes, and explain why both deteriorations and improvements may be under-reported. Although this study highlights where conservation actions are leading to improvements, it fails to account for instances where conservation has prevented further deteriorations in the status of the world's mammals. The continued utility of the RLI is dependent on sustained investment to ensure repeated assessments of mammals over time and to facilitate future calculations of the RLI and measurement against global targets.","container-title":"Philosophical Transactions of the Royal Society B: Biological Sciences","DOI":"10.1098/rstb.2011.0116","ISSN":"0962-8436, 1471-2970","issue":"1578","journalAbbreviation":"Phil. Trans. R. Soc. B","language":"en","page":"2598-2610","source":"DOI.org (Crossref)","title":"The changing fates of the world's mammals","volume":"366","author":[{"family":"Hoffmann","given":"Michael"},{"family":"Belant","given":"Jerrold L."},{"family":"Chanson","given":"Janice S."},{"family":"Cox","given":"Neil A."},{"family":"Lamoreux","given":"John"},{"family":"Rodrigues","given":"Ana S. L."},{"family":"Schipper","given":"Jan"},{"family":"Stuart","given":"Simon N."}],"issued":{"date-parts":[["2011",9,27]]}}},{"id":1498,"uris":["http://zotero.org/users/12345038/items/HQEXVCW8"],"itemData":{"id":1498,"type":"article-journal","container-title":"Restoration Ecology","language":"en","title":"Recovery of mammal diversity in tropical forests: a functional approach to measuring restoration","author":[{"family":"Derhé","given":"M.A."},{"family":"Murphy","given":"H.T."},{"family":"Preece","given":"N.D."},{"family":"Lawes","given":"M.J."},{"family":"Menéndez","given":"R."}],"issued":{"date-parts":[["2018",7,26]]}}}],"schema":"https://github.com/citation-style-language/schema/raw/master/csl-citation.json"} </w:instrText>
      </w:r>
      <w:r w:rsidR="006A6B21">
        <w:fldChar w:fldCharType="separate"/>
      </w:r>
      <w:r w:rsidR="006A6B21" w:rsidRPr="00CD609A">
        <w:t>(Cardillo et al., 2005; Derhé et al., 2018; Hoffmann et al., 2011)</w:t>
      </w:r>
      <w:r w:rsidR="006A6B21">
        <w:fldChar w:fldCharType="end"/>
      </w:r>
      <w:r w:rsidR="006A6B21">
        <w:t xml:space="preserve">. </w:t>
      </w:r>
      <w:r w:rsidRPr="00B066C6">
        <w:t xml:space="preserve">However, mammalian recovery is often more complex due to larger home ranges, slower reproductive rates, and increased sensitivity to habitat fragmentation and hunting pressure </w:t>
      </w:r>
      <w:r w:rsidRPr="00B066C6">
        <w:fldChar w:fldCharType="begin"/>
      </w:r>
      <w:r>
        <w:instrText xml:space="preserve"> ADDIN ZOTERO_ITEM CSL_CITATION {"citationID":"3zitp7DA","properties":{"formattedCitation":"(Acevedo\\uc0\\u8208{}Charry &amp; Aide, 2019a)","plainCitation":"(Acevedo‐Charry &amp; Aide, 2019a)","dontUpdate":true,"noteIndex":0},"citationItems":[{"id":84,"uris":["http://zotero.org/users/12345038/items/83XIVVNE"],"itemData":{"id":84,"type":"article-journal","container-title":"Oikos","DOI":"10.1111/oik.06252","ISSN":"0030-1299, 1600-0706","issue":"8","journalAbbreviation":"Oikos","language":"en","page":"1065-1078","source":"DOI.org (Crossref)","title":"Recovery of amphibian, reptile, bird and mammal diversity during secondary forest succession in the tropics","volume":"128","author":[{"family":"Acevedo‐Charry","given":"Orlando"},{"family":"Aide","given":"T. Mitchell"}],"issued":{"date-parts":[["2019",8]]}}}],"schema":"https://github.com/citation-style-language/schema/raw/master/csl-citation.json"} </w:instrText>
      </w:r>
      <w:r w:rsidRPr="00B066C6">
        <w:fldChar w:fldCharType="separate"/>
      </w:r>
      <w:r w:rsidRPr="007C39EB">
        <w:t>(Acevedo‐Charry &amp; Aide, 2019)</w:t>
      </w:r>
      <w:r w:rsidRPr="00B066C6">
        <w:fldChar w:fldCharType="end"/>
      </w:r>
      <w:r w:rsidRPr="00B066C6">
        <w:t>.</w:t>
      </w:r>
      <w:r>
        <w:t xml:space="preserve"> </w:t>
      </w:r>
    </w:p>
    <w:p w14:paraId="6364A871" w14:textId="2FA91184" w:rsidR="0042238C" w:rsidRPr="00B066C6" w:rsidRDefault="0042238C" w:rsidP="00D77075">
      <w:pPr>
        <w:pStyle w:val="NormalWeb"/>
        <w:spacing w:before="0" w:beforeAutospacing="0" w:after="0" w:afterAutospacing="0" w:line="360" w:lineRule="auto"/>
        <w:ind w:firstLine="720"/>
      </w:pPr>
      <w:r w:rsidRPr="00B066C6">
        <w:t xml:space="preserve">Understanding how faunal communities recover in regenerating tropical forests is crucial for conservation and restoration efforts. The presence of key functional groups, particularly large-bodied frugivores, should be a priority in restoration planning, as their absence may limit the dispersal of late-successional tree species. By examining shifts in faunal community composition and functional diversity across forest regeneration stages, </w:t>
      </w:r>
      <w:r w:rsidR="00081300">
        <w:t>we</w:t>
      </w:r>
      <w:r w:rsidRPr="00B066C6">
        <w:t xml:space="preserve"> can gain insights into how to optimize conservation strategies and ensure the </w:t>
      </w:r>
      <w:r w:rsidR="00081300">
        <w:t>functional recovery</w:t>
      </w:r>
      <w:r w:rsidRPr="00B066C6">
        <w:t xml:space="preserve"> of tropical ecosystems.</w:t>
      </w:r>
    </w:p>
    <w:p w14:paraId="3B98F5F2" w14:textId="682B0CDD" w:rsidR="00D2099C" w:rsidRPr="00CD609A" w:rsidRDefault="00197628" w:rsidP="00D77075">
      <w:pPr>
        <w:pStyle w:val="Heading2"/>
        <w:spacing w:before="0" w:after="0"/>
        <w:rPr>
          <w:rFonts w:ascii="Times New Roman" w:hAnsi="Times New Roman" w:cs="Times New Roman"/>
          <w:b/>
          <w:bCs/>
          <w:color w:val="auto"/>
          <w:sz w:val="24"/>
          <w:szCs w:val="24"/>
        </w:rPr>
      </w:pPr>
      <w:bookmarkStart w:id="49" w:name="_Toc195189602"/>
      <w:r w:rsidRPr="00B066C6">
        <w:rPr>
          <w:rFonts w:ascii="Times New Roman" w:hAnsi="Times New Roman" w:cs="Times New Roman"/>
          <w:b/>
          <w:bCs/>
          <w:color w:val="auto"/>
          <w:sz w:val="24"/>
          <w:szCs w:val="24"/>
        </w:rPr>
        <w:t xml:space="preserve">Animal-mediated </w:t>
      </w:r>
      <w:r w:rsidR="00E612F5" w:rsidRPr="00B066C6">
        <w:rPr>
          <w:rFonts w:ascii="Times New Roman" w:hAnsi="Times New Roman" w:cs="Times New Roman"/>
          <w:b/>
          <w:bCs/>
          <w:color w:val="auto"/>
          <w:sz w:val="24"/>
          <w:szCs w:val="24"/>
        </w:rPr>
        <w:t>S</w:t>
      </w:r>
      <w:r w:rsidRPr="00B066C6">
        <w:rPr>
          <w:rFonts w:ascii="Times New Roman" w:hAnsi="Times New Roman" w:cs="Times New Roman"/>
          <w:b/>
          <w:bCs/>
          <w:color w:val="auto"/>
          <w:sz w:val="24"/>
          <w:szCs w:val="24"/>
        </w:rPr>
        <w:t xml:space="preserve">eed </w:t>
      </w:r>
      <w:r w:rsidR="00E612F5" w:rsidRPr="00B066C6">
        <w:rPr>
          <w:rFonts w:ascii="Times New Roman" w:hAnsi="Times New Roman" w:cs="Times New Roman"/>
          <w:b/>
          <w:bCs/>
          <w:color w:val="auto"/>
          <w:sz w:val="24"/>
          <w:szCs w:val="24"/>
        </w:rPr>
        <w:t>D</w:t>
      </w:r>
      <w:r w:rsidRPr="00B066C6">
        <w:rPr>
          <w:rFonts w:ascii="Times New Roman" w:hAnsi="Times New Roman" w:cs="Times New Roman"/>
          <w:b/>
          <w:bCs/>
          <w:color w:val="auto"/>
          <w:sz w:val="24"/>
          <w:szCs w:val="24"/>
        </w:rPr>
        <w:t xml:space="preserve">ispersal </w:t>
      </w:r>
      <w:r w:rsidR="00E612F5" w:rsidRPr="00B066C6">
        <w:rPr>
          <w:rFonts w:ascii="Times New Roman" w:hAnsi="Times New Roman" w:cs="Times New Roman"/>
          <w:b/>
          <w:bCs/>
          <w:color w:val="auto"/>
          <w:sz w:val="24"/>
          <w:szCs w:val="24"/>
        </w:rPr>
        <w:t>is a</w:t>
      </w:r>
      <w:r w:rsidRPr="00B066C6">
        <w:rPr>
          <w:rFonts w:ascii="Times New Roman" w:hAnsi="Times New Roman" w:cs="Times New Roman"/>
          <w:b/>
          <w:bCs/>
          <w:color w:val="auto"/>
          <w:sz w:val="24"/>
          <w:szCs w:val="24"/>
        </w:rPr>
        <w:t xml:space="preserve"> </w:t>
      </w:r>
      <w:r w:rsidR="00E612F5" w:rsidRPr="00B066C6">
        <w:rPr>
          <w:rFonts w:ascii="Times New Roman" w:hAnsi="Times New Roman" w:cs="Times New Roman"/>
          <w:b/>
          <w:bCs/>
          <w:color w:val="auto"/>
          <w:sz w:val="24"/>
          <w:szCs w:val="24"/>
        </w:rPr>
        <w:t>C</w:t>
      </w:r>
      <w:r w:rsidRPr="00B066C6">
        <w:rPr>
          <w:rFonts w:ascii="Times New Roman" w:hAnsi="Times New Roman" w:cs="Times New Roman"/>
          <w:b/>
          <w:bCs/>
          <w:color w:val="auto"/>
          <w:sz w:val="24"/>
          <w:szCs w:val="24"/>
        </w:rPr>
        <w:t xml:space="preserve">ritical </w:t>
      </w:r>
      <w:r w:rsidR="00E612F5" w:rsidRPr="00B066C6">
        <w:rPr>
          <w:rFonts w:ascii="Times New Roman" w:hAnsi="Times New Roman" w:cs="Times New Roman"/>
          <w:b/>
          <w:bCs/>
          <w:color w:val="auto"/>
          <w:sz w:val="24"/>
          <w:szCs w:val="24"/>
        </w:rPr>
        <w:t>E</w:t>
      </w:r>
      <w:r w:rsidRPr="00B066C6">
        <w:rPr>
          <w:rFonts w:ascii="Times New Roman" w:hAnsi="Times New Roman" w:cs="Times New Roman"/>
          <w:b/>
          <w:bCs/>
          <w:color w:val="auto"/>
          <w:sz w:val="24"/>
          <w:szCs w:val="24"/>
        </w:rPr>
        <w:t xml:space="preserve">cosystem </w:t>
      </w:r>
      <w:r w:rsidR="00E612F5" w:rsidRPr="00B066C6">
        <w:rPr>
          <w:rFonts w:ascii="Times New Roman" w:hAnsi="Times New Roman" w:cs="Times New Roman"/>
          <w:b/>
          <w:bCs/>
          <w:color w:val="auto"/>
          <w:sz w:val="24"/>
          <w:szCs w:val="24"/>
        </w:rPr>
        <w:t>F</w:t>
      </w:r>
      <w:r w:rsidRPr="00B066C6">
        <w:rPr>
          <w:rFonts w:ascii="Times New Roman" w:hAnsi="Times New Roman" w:cs="Times New Roman"/>
          <w:b/>
          <w:bCs/>
          <w:color w:val="auto"/>
          <w:sz w:val="24"/>
          <w:szCs w:val="24"/>
        </w:rPr>
        <w:t>unction</w:t>
      </w:r>
      <w:r w:rsidR="00E612F5" w:rsidRPr="00B066C6">
        <w:rPr>
          <w:rFonts w:ascii="Times New Roman" w:hAnsi="Times New Roman" w:cs="Times New Roman"/>
          <w:b/>
          <w:bCs/>
          <w:color w:val="auto"/>
          <w:sz w:val="24"/>
          <w:szCs w:val="24"/>
        </w:rPr>
        <w:t xml:space="preserve"> for Regeneration</w:t>
      </w:r>
      <w:bookmarkEnd w:id="49"/>
    </w:p>
    <w:p w14:paraId="750D625E" w14:textId="41A60281" w:rsidR="0029479F" w:rsidRPr="00B066C6" w:rsidRDefault="0029479F" w:rsidP="00D77075">
      <w:pPr>
        <w:pStyle w:val="NormalWeb"/>
        <w:spacing w:before="0" w:beforeAutospacing="0" w:after="0" w:afterAutospacing="0" w:line="360" w:lineRule="auto"/>
        <w:ind w:firstLine="720"/>
      </w:pPr>
      <w:r w:rsidRPr="00B066C6">
        <w:t xml:space="preserve">Ecosystem functions encompass the physicochemical and biological processes that sustain terrestrial life, including biomass production, carbon sequestration, pollination, and seed dispersal </w:t>
      </w:r>
      <w:r w:rsidRPr="00B066C6">
        <w:fldChar w:fldCharType="begin"/>
      </w:r>
      <w:r>
        <w:instrText xml:space="preserve"> ADDIN ZOTERO_ITEM CSL_CITATION {"citationID":"mfoQuvfh","properties":{"formattedCitation":"(Brockerhoff et al., 2017)","plainCitation":"(Brockerhoff et al., 2017)","noteIndex":0},"citationItems":[{"id":258,"uris":["http://zotero.org/users/local/0R4uToEG/items/DL9H3SQZ","http://zotero.org/users/12345038/items/DL9H3SQZ"],"itemData":{"id":258,"type":"article-journal","container-title":"Biodiversity and Conservation","DOI":"10.1007/s10531-017-1453-2","ISSN":"0960-3115, 1572-9710","issue":"13","journalAbbreviation":"Biodivers Conserv","language":"en","page":"3005-3035","source":"DOI.org (Crossref)","title":"Forest biodiversity, ecosystem functioning and the provision of ecosystem services","volume":"26","author":[{"family":"Brockerhoff","given":"Eckehard G."},{"family":"Barbaro","given":"Luc"},{"family":"Castagneyrol","given":"Bastien"},{"family":"Forrester","given":"David I."},{"family":"Gardiner","given":"Barry"},{"family":"González-Olabarria","given":"José Ramón"},{"family":"Lyver","given":"Phil O’B."},{"family":"Meurisse","given":"Nicolas"},{"family":"Oxbrough","given":"Anne"},{"family":"Taki","given":"Hisatomo"},{"family":"Thompson","given":"Ian D."},{"family":"Plas","given":"Fons","non-dropping-particle":"van der"},{"family":"Jactel","given":"Hervé"}],"issued":{"date-parts":[["2017",12]]}}}],"schema":"https://github.com/citation-style-language/schema/raw/master/csl-citation.json"} </w:instrText>
      </w:r>
      <w:r w:rsidRPr="00B066C6">
        <w:fldChar w:fldCharType="separate"/>
      </w:r>
      <w:r w:rsidRPr="00B066C6">
        <w:rPr>
          <w:noProof/>
        </w:rPr>
        <w:t>(Brockerhoff et al., 2017)</w:t>
      </w:r>
      <w:r w:rsidRPr="00B066C6">
        <w:fldChar w:fldCharType="end"/>
      </w:r>
      <w:r w:rsidRPr="00B066C6">
        <w:t xml:space="preserve">. Among these, seed dispersal is a fundamental process essential for maintaining plant species diversity and forest regeneration </w:t>
      </w:r>
      <w:r w:rsidRPr="00B066C6">
        <w:fldChar w:fldCharType="begin"/>
      </w:r>
      <w:r>
        <w:instrText xml:space="preserve"> ADDIN ZOTERO_ITEM CSL_CITATION {"citationID":"tTINGmQv","properties":{"formattedCitation":"(Howe &amp; Smallwood, 1982; Janzen, 1970)","plainCitation":"(Howe &amp; Smallwood, 1982; Janzen, 1970)","noteIndex":0},"citationItems":[{"id":262,"uris":["http://zotero.org/users/local/0R4uToEG/items/PS9Z9RSL","http://zotero.org/users/12345038/items/PS9Z9RSL"],"itemData":{"id":262,"type":"article-journal","container-title":"Annual Review of Ecology and Systematics","DOI":"10.1146/annurev.es.13.110182.001221","ISSN":"0066-4162","issue":"1","journalAbbreviation":"Annu. Rev. Ecol. Syst.","language":"en","page":"201-228","source":"DOI.org (Crossref)","title":"Ecology of Seed Dispersal","volume":"13","author":[{"family":"Howe","given":"H F"},{"family":"Smallwood","given":"J"}],"issued":{"date-parts":[["1982",11]]}}},{"id":702,"uris":["http://zotero.org/users/12345038/items/CKJV2KAM"],"itemData":{"id":702,"type":"article-journal","container-title":"The American Naturalist","DOI":"10.1086/282687","ISSN":"0003-0147, 1537-5323","issue":"940","journalAbbreviation":"The American Naturalist","language":"en","page":"501-528","source":"DOI.org (Crossref)","title":"Herbivores and the Number of Tree Species in Tropical Forests","volume":"104","author":[{"family":"Janzen","given":"Daniel H."}],"issued":{"date-parts":[["1970",11]]}}}],"schema":"https://github.com/citation-style-language/schema/raw/master/csl-citation.json"} </w:instrText>
      </w:r>
      <w:r w:rsidRPr="00B066C6">
        <w:fldChar w:fldCharType="separate"/>
      </w:r>
      <w:r w:rsidRPr="00B066C6">
        <w:rPr>
          <w:noProof/>
        </w:rPr>
        <w:t>(Howe &amp; Smallwood, 1982; Janzen, 1970)</w:t>
      </w:r>
      <w:r w:rsidRPr="00B066C6">
        <w:fldChar w:fldCharType="end"/>
      </w:r>
      <w:r w:rsidRPr="00B066C6">
        <w:t xml:space="preserve">. Seeds rely almost entirely on external factors for transport, thus their successful dispersal depends on overcoming three key limitations: (1) seed limitation, where plants produce too few fruits to attract frugivores; (2) dispersal limitation, where animals fail to transport seeds to suitable recruitment sites; and (3) recruitment limitation, where seeds arrive at potential sites but fail to germinate and establish </w:t>
      </w:r>
      <w:r w:rsidRPr="00B066C6">
        <w:fldChar w:fldCharType="begin"/>
      </w:r>
      <w:r>
        <w:instrText xml:space="preserve"> ADDIN ZOTERO_ITEM CSL_CITATION {"citationID":"9CZvoJDl","properties":{"formattedCitation":"(Howe &amp; Smallwood, 1982)","plainCitation":"(Howe &amp; Smallwood, 1982)","noteIndex":0},"citationItems":[{"id":262,"uris":["http://zotero.org/users/local/0R4uToEG/items/PS9Z9RSL","http://zotero.org/users/12345038/items/PS9Z9RSL"],"itemData":{"id":262,"type":"article-journal","container-title":"Annual Review of Ecology and Systematics","DOI":"10.1146/annurev.es.13.110182.001221","ISSN":"0066-4162","issue":"1","journalAbbreviation":"Annu. Rev. Ecol. Syst.","language":"en","page":"201-228","source":"DOI.org (Crossref)","title":"Ecology of Seed Dispersal","volume":"13","author":[{"family":"Howe","given":"H F"},{"family":"Smallwood","given":"J"}],"issued":{"date-parts":[["1982",11]]}}}],"schema":"https://github.com/citation-style-language/schema/raw/master/csl-citation.json"} </w:instrText>
      </w:r>
      <w:r w:rsidRPr="00B066C6">
        <w:fldChar w:fldCharType="separate"/>
      </w:r>
      <w:r w:rsidRPr="00B066C6">
        <w:rPr>
          <w:noProof/>
        </w:rPr>
        <w:t>(Howe &amp; Smallwood, 1982)</w:t>
      </w:r>
      <w:r w:rsidRPr="00B066C6">
        <w:fldChar w:fldCharType="end"/>
      </w:r>
      <w:r w:rsidRPr="00B066C6">
        <w:t xml:space="preserve">. Seed dispersal is facilitated by various biotic and abiotic vectors, including wind, water, gravity, and animals. </w:t>
      </w:r>
      <w:r w:rsidRPr="00B066C6">
        <w:lastRenderedPageBreak/>
        <w:t>Among these, animals that consume fruits (frugivores) and disperse seeds play a particularly vital role</w:t>
      </w:r>
      <w:r w:rsidR="00141E25">
        <w:t xml:space="preserve"> in tropical forest ecosystems </w:t>
      </w:r>
      <w:r w:rsidR="00141E25" w:rsidRPr="00B066C6">
        <w:t>(Howe &amp; Smallwood, 1982)</w:t>
      </w:r>
      <w:r w:rsidRPr="00B066C6">
        <w:t xml:space="preserve">. Zoochory, or animal-mediated seed dispersal, represents a coevolved mutualistic relationship in which plants produce fleshy, nutritious fruits to attract animals that, in turn, disperse seeds away from the parent plant (Howe &amp; Smallwood, 1982). By transporting seeds over long distances, frugivores help overcome dispersal limitations and enhance seed dispersal effectiveness </w:t>
      </w:r>
      <w:r w:rsidRPr="00B066C6">
        <w:fldChar w:fldCharType="begin"/>
      </w:r>
      <w:r w:rsidRPr="00B066C6">
        <w:instrText xml:space="preserve"> ADDIN ZOTERO_ITEM CSL_CITATION {"citationID":"7ZNjtkEl","properties":{"formattedCitation":"(Schupp et al., 2010)","plainCitation":"(Schupp et al., 2010)","noteIndex":0},"citationItems":[{"id":35,"uris":["http://zotero.org/users/12345038/items/5SS2UGE5"],"itemData":{"id":35,"type":"article-journal","container-title":"New Phytologist","DOI":"10.1111/j.1469-8137.2010.03402.x","ISSN":"0028-646X, 1469-8137","issue":"2","journalAbbreviation":"New Phytologist","language":"en","page":"333-353","source":"DOI.org (Crossref)","title":"Seed dispersal effectiveness revisited: a conceptual review","title-short":"Seed dispersal effectiveness revisited","volume":"188","author":[{"family":"Schupp","given":"Eugene W."},{"family":"Jordano","given":"Pedro"},{"family":"Gómez","given":"José María"}],"issued":{"date-parts":[["2010",10]]}}}],"schema":"https://github.com/citation-style-language/schema/raw/master/csl-citation.json"} </w:instrText>
      </w:r>
      <w:r w:rsidRPr="00B066C6">
        <w:fldChar w:fldCharType="separate"/>
      </w:r>
      <w:r w:rsidRPr="00B066C6">
        <w:rPr>
          <w:noProof/>
        </w:rPr>
        <w:t>(Schupp et al., 2010)</w:t>
      </w:r>
      <w:r w:rsidRPr="00B066C6">
        <w:fldChar w:fldCharType="end"/>
      </w:r>
      <w:r w:rsidRPr="00B066C6">
        <w:t>. In some tropical forests, over 85% of plant species depend on zoochory for regeneration (Howe &amp; Smallwood, 1982), underscoring the critical role of animal-mediated seed dispersal in maintaining ecosystem</w:t>
      </w:r>
      <w:r w:rsidR="00141E25">
        <w:t xml:space="preserve"> </w:t>
      </w:r>
      <w:r w:rsidRPr="00B066C6">
        <w:t>resilience,</w:t>
      </w:r>
      <w:r w:rsidR="00141E25">
        <w:t xml:space="preserve"> regeneration,</w:t>
      </w:r>
      <w:r w:rsidRPr="00B066C6">
        <w:t xml:space="preserve"> and </w:t>
      </w:r>
      <w:r w:rsidR="00141E25">
        <w:t>recovery</w:t>
      </w:r>
      <w:r w:rsidRPr="00B066C6">
        <w:t xml:space="preserve"> (Wunderle, 1997).</w:t>
      </w:r>
      <w:r w:rsidRPr="00CD609A">
        <w:t xml:space="preserve"> </w:t>
      </w:r>
    </w:p>
    <w:p w14:paraId="1D83ADCE" w14:textId="19836C01" w:rsidR="0029479F" w:rsidRPr="00B066C6" w:rsidRDefault="0029479F" w:rsidP="00D77075">
      <w:pPr>
        <w:spacing w:before="0" w:after="0"/>
        <w:ind w:firstLine="720"/>
        <w:rPr>
          <w:rFonts w:ascii="Times New Roman" w:hAnsi="Times New Roman" w:cs="Times New Roman"/>
        </w:rPr>
      </w:pPr>
      <w:r w:rsidRPr="00B066C6">
        <w:rPr>
          <w:rFonts w:ascii="Times New Roman" w:hAnsi="Times New Roman" w:cs="Times New Roman"/>
        </w:rPr>
        <w:t xml:space="preserve">In tropical systems, birds and mammals are </w:t>
      </w:r>
      <w:r w:rsidR="00141E25">
        <w:rPr>
          <w:rFonts w:ascii="Times New Roman" w:hAnsi="Times New Roman" w:cs="Times New Roman"/>
        </w:rPr>
        <w:t>often referred to as the</w:t>
      </w:r>
      <w:r w:rsidRPr="00B066C6">
        <w:rPr>
          <w:rFonts w:ascii="Times New Roman" w:hAnsi="Times New Roman" w:cs="Times New Roman"/>
        </w:rPr>
        <w:t xml:space="preserve"> most important seed dispersers, </w:t>
      </w:r>
      <w:r w:rsidR="00141E25">
        <w:rPr>
          <w:rFonts w:ascii="Times New Roman" w:hAnsi="Times New Roman" w:cs="Times New Roman"/>
        </w:rPr>
        <w:t>where</w:t>
      </w:r>
      <w:r w:rsidRPr="00B066C6">
        <w:rPr>
          <w:rFonts w:ascii="Times New Roman" w:hAnsi="Times New Roman" w:cs="Times New Roman"/>
        </w:rPr>
        <w:t xml:space="preserve"> their movements influenc</w:t>
      </w:r>
      <w:r w:rsidR="00141E25">
        <w:rPr>
          <w:rFonts w:ascii="Times New Roman" w:hAnsi="Times New Roman" w:cs="Times New Roman"/>
        </w:rPr>
        <w:t>e</w:t>
      </w:r>
      <w:r w:rsidRPr="00B066C6">
        <w:rPr>
          <w:rFonts w:ascii="Times New Roman" w:hAnsi="Times New Roman" w:cs="Times New Roman"/>
        </w:rPr>
        <w:t xml:space="preserve"> plant recruitment, genetic diversity, and community composition. Given the increasing pressures of habitat loss and climate change, seed dispersal is a crucial life-history stage for plants, shaping their future ranges and </w:t>
      </w:r>
      <w:r w:rsidR="00141E25">
        <w:rPr>
          <w:rFonts w:ascii="Times New Roman" w:hAnsi="Times New Roman" w:cs="Times New Roman"/>
        </w:rPr>
        <w:t xml:space="preserve">population </w:t>
      </w:r>
      <w:r w:rsidRPr="00B066C6">
        <w:rPr>
          <w:rFonts w:ascii="Times New Roman" w:hAnsi="Times New Roman" w:cs="Times New Roman"/>
        </w:rPr>
        <w:t xml:space="preserve">persistence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{"citationID":"3G8KFsLw","properties":{"formattedCitation":"(Wang &amp; Smith, 2002)","plainCitation":"(Wang &amp; Smith, 2002)","noteIndex":0},"citationItems":[{"id":700,"uris":["http://zotero.org/users/12345038/items/ZEPW39EN"],"itemData":{"id":700,"type":"article-journal","container-title":"Trends in Ecology &amp; Evolution","DOI":"10.1016/S0169-5347(02)02541-7","ISSN":"01695347","issue":"8","journalAbbreviation":"Trends in Ecology &amp; Evolution","language":"en","page":"379-386","source":"DOI.org (Crossref)","title":"Closing the seed dispersal loop","volume":"17","author":[{"family":"Wang","given":"Benjamin C."},{"family":"Smith","given":"Thomas B."}],"issued":{"date-parts":[["2002",8]]}}}],"schema":"https://github.com/citation-style-language/schema/raw/master/csl-citation.json"}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(Wang &amp; Smith, 2002)</w:t>
      </w:r>
      <w:r w:rsidRPr="00B066C6">
        <w:rPr>
          <w:rFonts w:ascii="Times New Roman" w:hAnsi="Times New Roman" w:cs="Times New Roman"/>
        </w:rPr>
        <w:fldChar w:fldCharType="end"/>
      </w:r>
      <w:r w:rsidRPr="00B066C6">
        <w:rPr>
          <w:rFonts w:ascii="Times New Roman" w:hAnsi="Times New Roman" w:cs="Times New Roman"/>
        </w:rPr>
        <w:t xml:space="preserve">. By dispersing seeds across landscapes, frugivorous animals increase the probability that seeds reach favorable sites where they can germinate and establish (Howe &amp; Smallwood, 1982). The locations where animals deposit seeds have both ecological and evolutionary consequences, influencing plant dispersal patterns, recruitment success, and population stability. </w:t>
      </w:r>
      <w:r w:rsidR="00860547" w:rsidRPr="00B066C6">
        <w:rPr>
          <w:rFonts w:ascii="Times New Roman" w:hAnsi="Times New Roman" w:cs="Times New Roman"/>
        </w:rPr>
        <w:t xml:space="preserve">Seed-dispersing animals, therefore, play a fundamental role in shaping plant communities and promoting forest resilience, particularly in disturbed or regenerating ecosystems </w:t>
      </w:r>
      <w:r w:rsidR="00860547" w:rsidRPr="00B066C6">
        <w:rPr>
          <w:rFonts w:ascii="Times New Roman" w:hAnsi="Times New Roman" w:cs="Times New Roman"/>
        </w:rPr>
        <w:fldChar w:fldCharType="begin"/>
      </w:r>
      <w:r w:rsidR="00860547" w:rsidRPr="00B066C6">
        <w:rPr>
          <w:rFonts w:ascii="Times New Roman" w:hAnsi="Times New Roman" w:cs="Times New Roman"/>
        </w:rPr>
        <w:instrText xml:space="preserve"> ADDIN ZOTERO_ITEM CSL_CITATION {"citationID":"xpkqkLJx","properties":{"formattedCitation":"(Bascompte et al., 2003; Bascompte &amp; Jordano, 2007; De La Pe\\uc0\\u241{}a-Domene et al., 2014; Garcia et al., 2018; Muscarella &amp; Fleming, 2007)","plainCitation":"(Bascompte et al., 2003; Bascompte &amp; Jordano, 2007; De La Peña-Domene et al., 2014; Garcia et al., 2018; Muscarella &amp; Fleming, 2007)","noteIndex":0},"citationItems":[{"id":29,"uris":["http://zotero.org/users/12345038/items/L4IKBVVI"],"itemData":{"id":29,"type":"article-journal","abstract":"Most studies of plant–animal mutualisms involve a small number of\n species. There is almost no information on the structural organization of\n species-rich mutualistic networks despite its potential importance for the\n maintenance of diversity. Here we analyze 52 mutualistic networks and show\n that they are highly nested; that is, the more specialist species interact\n only with proper subsets of those species interacting with the more\n generalists. This assembly pattern generates highly asymmetrical interactions\n and organizes the community cohesively around a central core of interactions.\n Thus, mutualistic networks are neither randomly assembled nor organized in\n compartments arising from tight, parallel specialization. Furthermore,\n nestedness increases with the complexity (number of interactions) of the\n network: for a given number of species, communities with more interactions are\n significantly more nested. Our results indicate a nonrandom pattern of\n community organization that may be relevant for our understanding of the\n organization and persistence of biodiversity.","container-title":"Proceedings of the National Academy of Sciences","DOI":"10.1073/pnas.1633576100","ISSN":"0027-8424, 1091-6490","issue":"16","journalAbbreviation":"Proc. Natl. Acad. Sci. U.S.A.","language":"en","page":"9383-9387","source":"DOI.org (Crossref)","title":"The nested assembly of plant–animal mutualistic networks","volume":"100","author":[{"family":"Bascompte","given":"Jordi"},{"family":"Jordano","given":"Pedro"},{"family":"Melián","given":"Carlos J."},{"family":"Olesen","given":"Jens M."}],"issued":{"date-parts":[["2003",8,5]]}}},{"id":304,"uris":["http://zotero.org/users/12345038/items/3FVW3WZC"],"itemData":{"id":304,"type":"article-journal","abstract":"The mutually beneﬁcial interactions between plants and their animal pollinators and seed dispersers have been paramount in the generation of Earth’s biodiversity. These mutualistic interactions often involve dozens or even hundreds of species that form complex networks of interdependences. Understanding how coevolution proceeds in these highly diversiﬁed mutualisms among freeliving species presents a conceptual challenge. Recent work has led to the unambiguous conclusion that mutualistic networks are very heterogeneous (the bulk of the species have a few interactions, but a few species are much more connected than expected by chance), nested (specialists interact with subsets of the species with which generalists interact), and built on weak and asymmetric links among species. Both ecological variables (e.g., phenology, local abundance, and geographic range) and past evolutionary history may explain such network patterns. Network structure has important implications for the coexistence and stability of species as well as for the coevolutionary process. Mutualistic networks can thus be regarded as the architecture of biodiversity.","container-title":"Annual Review of Ecology, Evolution, and Systematics","DOI":"10.1146/annurev.ecolsys.38.091206.095818","ISSN":"1543-592X, 1545-2069","issue":"1","journalAbbreviation":"Annu. Rev. Ecol. Evol. Syst.","language":"en","page":"567-593","source":"DOI.org (Crossref)","title":"Plant-Animal Mutualistic Networks: The Architecture of Biodiversity","title-short":"Plant-Animal Mutualistic Networks","volume":"38","author":[{"family":"Bascompte","given":"Jordi"},{"family":"Jordano","given":"Pedro"}],"issued":{"date-parts":[["2007",12,1]]}}},{"id":1725,"uris":["http://zotero.org/users/12345038/items/B8GYIYEJ"],"itemData":{"id":1725,"type":"article-journal","container-title":"PLoS ONE","DOI":"10.1371/journal.pone.0104656","ISSN":"1932-6203","issue":"8","journalAbbreviation":"PLoS ONE","language":"en","page":"e104656","source":"DOI.org (Crossref)","title":"Roles of Birds and Bats in Early Tropical-Forest Restoration","volume":"9","author":[{"family":"De La Peña-Domene","given":"Marinés"},{"family":"Martínez-Garza","given":"Cristina"},{"family":"Palmas-Pérez","given":"Sebastián"},{"family":"Rivas-Alonso","given":"Edith"},{"family":"Howe","given":"Henry F."}],"editor":[{"family":"Fenton","given":"Brock"}],"issued":{"date-parts":[["2014",8,13]]}}},{"id":869,"uris":["http://zotero.org/users/12345038/items/U64WVEYW"],"itemData":{"id":869,"type":"article-journal","abstract":"Animal biodiversity matters for the provision of ecosystem functions derived from trophic activity. However, the mechanisms underlying this pattern remain elusive since animal abundance and diversity, which are the components commonly used for representing biodiversity, provide poor information about ecological complementarity in species assemblages. An approach based on species interaction networks may overcome this constraint. Here, we relate frugivore biodiversity and frugivore-plant network structure with landscape-scale seed dispersal function. We sampled, for two years, and at fourteen plots with variable assemblages of frugivores and plants in the Cantabrian Range (N Spain), data on the abundance and diversity of frugivorous birds, the consumption of fleshy fruits of woody plants and the landscape-scale patterns of avian seed deposition. As a measure of interaction complementarity in seed dispersal networks, we estimated the degree to which frugivore and plant species specialize in their interacting partners. Specialization varied strongly across the seed dispersal networks of the different plots, being higher in networks harbouring smaller bird species that dispersed mostly small-fruited plants, and also in networks with late-ripening, dominant fruiting species dispersed mostly by wintering birds. Bird abundance markedly affected seed deposition. Plots harbouring more birds received a higher density of dispersed seeds and showed higher probabilities of seed arrival and seed deposition in open microhabitats. Bird diversity also had a positive effect on the density of dispersed seed and, to a lesser extent, seed arrival probability. Independently of frugivore abundance and diversity, the density of dispersed seeds increased in plots where seed dispersal networks showed a higher degree of specialization. This study considers the structure of interaction networks to re-address the relationship between biodiversity and ecosystem functionality, evidencing that specialization in frugivore-plant networks drives the large-scale process of seed dispersal. These results encourage the consideration of interaction complementarity as an underlying mechanism linking animal biodiversity and trophic-related functions.","container-title":"FUNCTIONAL ECOLOGY","DOI":"10.1111/1365-2435.13213","ISSN":"0269-8463","issue":"12","page":"2742-2752","title":"Frugivore biodiversity and complementarity in interaction networks enhance landscape-scale seed dispersal function","volume":"32","author":[{"family":"Garcia","given":"Daniel"},{"family":"Donoso","given":"Isabel"},{"family":"Rodriguez-Perez","given":"Javier"}],"issued":{"date-parts":[["2018",12]]}}},{"id":642,"uris":["http://zotero.org/users/12345038/items/9NA2ZHX5"],"itemData":{"id":642,"type":"article-journal","abstract":"Discussion of successional change has traditionally focused on plants. The role of animals in producing and responding to successional change has received far less attention. Dispersal of plant propagules by animals is a fundamental part of successional change in the tropics. Here we review the role played by frugivorous bats in successional change in tropical forests. We explore the similarities and differences of this ecological service provided by New and Old World seed-dispersing bats and conclude with a discussion of their current economic and conservation implications. Our review suggests that frugivorous New World phyllostomid bats play a more important role in early plant succession than their Old World pteropodid counterparts. We propose that phyllostomid bats have shared a long evolutionary histo</w:instrText>
      </w:r>
      <w:r w:rsidR="00860547" w:rsidRPr="000426A0">
        <w:rPr>
          <w:rFonts w:ascii="Times New Roman" w:hAnsi="Times New Roman" w:cs="Times New Roman"/>
          <w:lang w:val="es-EC"/>
        </w:rPr>
        <w:instrText xml:space="preserve">ry with small-seeded early successional shrubs and treelets while pteropodid bats are principally dispersers of the seeds of later successional canopy fruits. When species of figs (Ficus) are involved in the early stages of primary succession (e.g. in the river meander system in Amazonia and on Krakatau, Indonesia), both groups of bats are important contributors of propagules. Because they disperse and sometimes pollinate canopy trees, pteropodid bats have a considerable impact on the economic value of Old World tropical forests; phyllostomid bats appear to make a more modest direct contribution to the economic value of New World tropical forests. Nonetheless, because they critically influence forest regeneration, phyllostomid bats make an important indirect contribution to the economic value of these forests. Overall, fruiteating bats play important roles in forest regeneration throughout the tropics, making their conservation highly desirable.","container-title":"Biological Reviews","DOI":"10.1111/j.1469-185X.2007.00026.x","ISSN":"1464-7931, 1469-185X","issue":"4","journalAbbreviation":"Biological Reviews","language":"en","page":"573-590","source":"DOI.org (Crossref)","title":"The Role of Frugivorous Bats in Tropical Forest Succession","volume":"82","author":[{"family":"Muscarella","given":"Robert"},{"family":"Fleming","given":"Theodore H."}],"issued":{"date-parts":[["2007",11]]}}}],"schema":"https://github.com/citation-style-language/schema/raw/master/csl-citation.json"} </w:instrText>
      </w:r>
      <w:r w:rsidR="00860547" w:rsidRPr="00B066C6">
        <w:rPr>
          <w:rFonts w:ascii="Times New Roman" w:hAnsi="Times New Roman" w:cs="Times New Roman"/>
        </w:rPr>
        <w:fldChar w:fldCharType="separate"/>
      </w:r>
      <w:r w:rsidR="00860547" w:rsidRPr="000426A0">
        <w:rPr>
          <w:rFonts w:ascii="Times New Roman" w:hAnsi="Times New Roman" w:cs="Times New Roman"/>
          <w:kern w:val="0"/>
          <w:lang w:val="es-EC"/>
        </w:rPr>
        <w:t>(Bascompte et al., 2003; Bascompte &amp; Jordano, 2007; De La Peña-Domene et al., 2014; Garcia et al., 2018; Muscarella &amp; Fleming, 2007)</w:t>
      </w:r>
      <w:r w:rsidR="00860547" w:rsidRPr="00B066C6">
        <w:rPr>
          <w:rFonts w:ascii="Times New Roman" w:hAnsi="Times New Roman" w:cs="Times New Roman"/>
        </w:rPr>
        <w:fldChar w:fldCharType="end"/>
      </w:r>
      <w:r w:rsidR="00860547" w:rsidRPr="000426A0">
        <w:rPr>
          <w:rFonts w:ascii="Times New Roman" w:hAnsi="Times New Roman" w:cs="Times New Roman"/>
          <w:lang w:val="es-EC"/>
        </w:rPr>
        <w:t>.</w:t>
      </w:r>
    </w:p>
    <w:p w14:paraId="12204F81" w14:textId="1DDAEF3D" w:rsidR="00AE543F" w:rsidRPr="00B066C6" w:rsidRDefault="005D3231" w:rsidP="00AE543F">
      <w:pPr>
        <w:spacing w:before="0" w:after="0"/>
        <w:ind w:firstLine="720"/>
        <w:rPr>
          <w:rFonts w:ascii="Times New Roman" w:hAnsi="Times New Roman" w:cs="Times New Roman"/>
        </w:rPr>
      </w:pPr>
      <w:r>
        <w:rPr>
          <w:rFonts w:ascii="Times New Roman" w:hAnsi="Times New Roman" w:cs="Times New Roman"/>
        </w:rPr>
        <w:t>Disperser</w:t>
      </w:r>
      <w:r w:rsidRPr="00B066C6">
        <w:rPr>
          <w:rFonts w:ascii="Times New Roman" w:hAnsi="Times New Roman" w:cs="Times New Roman"/>
        </w:rPr>
        <w:t xml:space="preserve"> feeding behavior </w:t>
      </w:r>
      <w:r>
        <w:rPr>
          <w:rFonts w:ascii="Times New Roman" w:hAnsi="Times New Roman" w:cs="Times New Roman"/>
        </w:rPr>
        <w:t xml:space="preserve">and traits can </w:t>
      </w:r>
      <w:r w:rsidRPr="00B066C6">
        <w:rPr>
          <w:rFonts w:ascii="Times New Roman" w:hAnsi="Times New Roman" w:cs="Times New Roman"/>
        </w:rPr>
        <w:t>directly impact their seed dispersal effectiveness.</w:t>
      </w:r>
      <w:r>
        <w:rPr>
          <w:rFonts w:ascii="Times New Roman" w:hAnsi="Times New Roman" w:cs="Times New Roman"/>
        </w:rPr>
        <w:t xml:space="preserve"> Effectiveness is described </w:t>
      </w:r>
      <w:r w:rsidR="009F69B6">
        <w:rPr>
          <w:rFonts w:ascii="Times New Roman" w:hAnsi="Times New Roman" w:cs="Times New Roman"/>
        </w:rPr>
        <w:t>as</w:t>
      </w:r>
      <w:r>
        <w:rPr>
          <w:rFonts w:ascii="Times New Roman" w:hAnsi="Times New Roman" w:cs="Times New Roman"/>
        </w:rPr>
        <w:t xml:space="preserve"> the quantity (how many seeds are dispersed) and the quality (probability of recruitment of dispersed seeds) (Schupp et al., 2010). </w:t>
      </w:r>
      <w:r w:rsidR="00AE543F">
        <w:rPr>
          <w:rFonts w:ascii="Times New Roman" w:hAnsi="Times New Roman" w:cs="Times New Roman"/>
        </w:rPr>
        <w:t xml:space="preserve">Body size is often referred to as a driving factor in seed dispersal effectiveness, as larger species often consume more fruit and move across greater distances. A recent meta-analysis found that the relationship between the quality and quantity of seed dispersal was mediated by body size, where larger birds were found to disperse more seeds, however had somewhat lower quality of dispersed seeds (Nevo et al., 2023). </w:t>
      </w:r>
      <w:r w:rsidR="009F69B6" w:rsidRPr="009F69B6">
        <w:rPr>
          <w:rFonts w:ascii="Times New Roman" w:hAnsi="Times New Roman" w:cs="Times New Roman"/>
        </w:rPr>
        <w:t>In terms of quality, animals may deposit seeds in favorable microhabitats like canopy gaps or nutrient-rich dung piles, increasing germination success. Additionally, some animals enhance seed viability through gut passage</w:t>
      </w:r>
      <w:r w:rsidR="00AE543F">
        <w:rPr>
          <w:rFonts w:ascii="Times New Roman" w:hAnsi="Times New Roman" w:cs="Times New Roman"/>
        </w:rPr>
        <w:t xml:space="preserve">, where </w:t>
      </w:r>
      <w:r w:rsidR="009F69B6" w:rsidRPr="009F69B6">
        <w:rPr>
          <w:rFonts w:ascii="Times New Roman" w:hAnsi="Times New Roman" w:cs="Times New Roman"/>
        </w:rPr>
        <w:t xml:space="preserve">certain primates and birds can scarify </w:t>
      </w:r>
      <w:r w:rsidR="009F69B6" w:rsidRPr="009F69B6">
        <w:rPr>
          <w:rFonts w:ascii="Times New Roman" w:hAnsi="Times New Roman" w:cs="Times New Roman"/>
        </w:rPr>
        <w:lastRenderedPageBreak/>
        <w:t>seed coats, improving germination rates</w:t>
      </w:r>
      <w:r w:rsidR="00AE543F">
        <w:rPr>
          <w:rFonts w:ascii="Times New Roman" w:hAnsi="Times New Roman" w:cs="Times New Roman"/>
        </w:rPr>
        <w:t xml:space="preserve"> (</w:t>
      </w:r>
      <w:proofErr w:type="spellStart"/>
      <w:r w:rsidR="00AE543F" w:rsidRPr="00AE543F">
        <w:rPr>
          <w:rFonts w:ascii="Times New Roman" w:hAnsi="Times New Roman" w:cs="Times New Roman"/>
          <w:color w:val="000000" w:themeColor="text1"/>
        </w:rPr>
        <w:t>Milotić</w:t>
      </w:r>
      <w:proofErr w:type="spellEnd"/>
      <w:r w:rsidR="00AE543F">
        <w:rPr>
          <w:rFonts w:ascii="Times New Roman" w:hAnsi="Times New Roman" w:cs="Times New Roman"/>
          <w:color w:val="000000" w:themeColor="text1"/>
        </w:rPr>
        <w:t xml:space="preserve"> </w:t>
      </w:r>
      <w:r w:rsidR="00AE543F" w:rsidRPr="00AE543F">
        <w:rPr>
          <w:rFonts w:ascii="Times New Roman" w:hAnsi="Times New Roman" w:cs="Times New Roman"/>
          <w:color w:val="000000" w:themeColor="text1"/>
        </w:rPr>
        <w:t>&amp; Hoffmann,</w:t>
      </w:r>
      <w:r w:rsidR="00AE543F">
        <w:rPr>
          <w:rFonts w:ascii="Times New Roman" w:hAnsi="Times New Roman" w:cs="Times New Roman"/>
          <w:color w:val="000000" w:themeColor="text1"/>
        </w:rPr>
        <w:t xml:space="preserve"> </w:t>
      </w:r>
      <w:r w:rsidR="00AE543F" w:rsidRPr="00AE543F">
        <w:rPr>
          <w:rFonts w:ascii="Times New Roman" w:hAnsi="Times New Roman" w:cs="Times New Roman"/>
          <w:color w:val="000000" w:themeColor="text1"/>
        </w:rPr>
        <w:t>2016).</w:t>
      </w:r>
      <w:r w:rsidR="00AE543F">
        <w:rPr>
          <w:rFonts w:ascii="Times New Roman" w:hAnsi="Times New Roman" w:cs="Times New Roman"/>
        </w:rPr>
        <w:t xml:space="preserve"> Alternately,</w:t>
      </w:r>
      <w:r w:rsidR="009F69B6" w:rsidRPr="009F69B6">
        <w:rPr>
          <w:rFonts w:ascii="Times New Roman" w:hAnsi="Times New Roman" w:cs="Times New Roman"/>
        </w:rPr>
        <w:t xml:space="preserve"> poor dispersal quality can occur if seeds are deposited in unsuitable sites or destroyed during handling or digestion.</w:t>
      </w:r>
    </w:p>
    <w:p w14:paraId="424D0F39" w14:textId="47DEEF42" w:rsidR="005D3231" w:rsidRPr="00B066C6" w:rsidRDefault="0029479F" w:rsidP="005D3231">
      <w:pPr>
        <w:spacing w:before="0" w:after="0"/>
        <w:ind w:firstLine="720"/>
        <w:rPr>
          <w:rFonts w:ascii="Times New Roman" w:hAnsi="Times New Roman" w:cs="Times New Roman"/>
        </w:rPr>
      </w:pPr>
      <w:r w:rsidRPr="00B066C6">
        <w:rPr>
          <w:rFonts w:ascii="Times New Roman" w:hAnsi="Times New Roman" w:cs="Times New Roman"/>
        </w:rPr>
        <w:t xml:space="preserve">Tropical frugivores exhibit a range of behaviors that influence where and how seeds are dispersed. Some species consume fruit in a single tree before moving to a new location, while others transport fruit to nesting, roosting, or mating sites where seeds are later deposited (Schupp et al., 2010). Certain behaviors drive directed dispersal, ensuring that seeds are deposited in favorable environments for germination. For example, male Long-wattled Umbrella Birds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{"citationID":"yaIeIuQW","properties":{"formattedCitation":"(Karubian et al., 2012)","plainCitation":"(Karubian et al., 2012)","noteIndex":0},"citationItems":[{"id":762,"uris":["http://zotero.org/users/12345038/items/MVS847DU"],"itemData":{"id":762,"type":"article-journal","abstract":"Frugivores exhibit considerable variation in the seed dispersal services they provide. Understanding what drives t key goal for ecologists because of the central role seed dispersal plays in shaping ecological and genetic diversity i The lek-mating system of the Long-wattled Umbrellabird (Cephalopterus penduliger) provides a powerful lens to e behavior may impact seed dispersal outcomes. As in all lek-breeding species, male Umbrellabirds congregate in tra display, whereas females are solitary and visit leks only rarely. This study demonstrates how differences in mating sexes drive distinctive seed movement and deposition patterns by male vs. female Umbrellabirds. Using radio track trials, we documented divergent movement patterns between the sexes that are directly attributable to mating behavior movement differences led males to disperse seeds long distances from source trees and to deposit the majority of within the lek; females dispersed seeds shorter distances and more evenly across the landscape. We empirically con sity of dispersed seeds was higher in leks than in control areas outside the lek, yet found no evidence that this hig in leks reduced probability of seedling establishment. This research not only provides a mechanistic explanation f tances and high levels of genetic diversity previously reported for seeds in Umbrellabird leks, but also highlights explicitly considering behavior in studies of animal-mediated seed dispersal.","container-title":"Biotropica","DOI":"10.1111/j.1744-7429.2012.00859.x","ISSN":"0006-3606, 1744-7429","issue":"5","journalAbbreviation":"Biotropica","language":"en","page":"689-698","source":"DOI.org (Crossref)","title":"Mating Behavior Drives Seed Dispersal by the &lt;span style=\"font-variant:small-caps;\"&gt;L&lt;/span&gt; ong‐wattled &lt;span style=\"font-variant:small-caps;\"&gt;U&lt;/span&gt; mbrellabird &lt;i&gt; &lt;span style=\"font-variant:small-caps;\"&gt;C&lt;/span&gt; ephalopterus penduliger &lt;/i&gt;","title-short":"Mating Behavior Drives Seed Dispersal by the &lt;span style=\"font-variant","volume":"44","author":[{"family":"Karubian","given":"Jordan"},{"family":"Durães","given":"Renata"},{"family":"Storey","given":"Jenny L."},{"family":"Smith","given":"Thomas B."}],"issued":{"date-parts":[["2012",9]]}}}],"schema":"https://github.com/citation-style-language/schema/raw/master/csl-citation.json"}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(Karubian et al., 2012)</w:t>
      </w:r>
      <w:r w:rsidRPr="00B066C6">
        <w:rPr>
          <w:rFonts w:ascii="Times New Roman" w:hAnsi="Times New Roman" w:cs="Times New Roman"/>
        </w:rPr>
        <w:fldChar w:fldCharType="end"/>
      </w:r>
      <w:r w:rsidRPr="00B066C6">
        <w:rPr>
          <w:rFonts w:ascii="Times New Roman" w:hAnsi="Times New Roman" w:cs="Times New Roman"/>
        </w:rPr>
        <w:t xml:space="preserve"> and Bellbirds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{"citationID":"cA8wumvL","properties":{"formattedCitation":"(Wenny &amp; Levey, 1998)","plainCitation":"(Wenny &amp; Levey, 1998)","noteIndex":0},"citationItems":[{"id":764,"uris":["http://zotero.org/users/12345038/items/IGWQW2XT"],"itemData":{"id":764,"type":"article-journal","abstract":"A fundamental goal of plant population ecology is to understand the consequences for plant fitness of seed dispersal by animals. Theories of seed dispersal and tropical forest regeneration suggest that the advantages of seed dispersal for most plants are escape from seed predation near the parent tree and colonization of vacant sites, the locations of which are unpredictable in space and time. Some plants may gain in fitness as a fortuitous consequence of disperser behavior if certain species of dispersers nonrandomly place seeds in sites predictably favorable for seedling establishment. Such patterns of directed dispersal by vertebrates long have been suggested but never demonstrated for tropical forest trees. Here we report the pattern of seed distribution and 1-year seedling survival generated by five species of birds for a neotropical, shade-tolerant tree. Four of the species dispersed seeds to sites near the parent trees with microhabitat characteristics similar to those at random locations, whereas the fifth species, a bellbird, predictably dispersed seeds under song perches in canopy gaps. The pattern of seedling recruitment was bimodal, with a peak near parent trees and a second peak, corresponding to bellbird song perches, far (&gt;40 m) from parent trees. Seedling survival was higher for seeds dispersed by bellbirds than by the other species, because of a reduction in seedling mortality by fungal pathogens in gaps. Thus, bellbirds play a significant role in seed dispersal by providing directed dispersal to favorable sites and therefore may inf luence plant recruitment patterns and species diversity in Neotropical forests.","container-title":"Proceedings of the National Academy of Sciences","DOI":"10.1073/pnas.95.11.6204","ISSN":"0027-8424, 1091-6490","issue":"11","journalAbbreviation":"Proc. Natl. Acad. Sci. U.S.A.","language":"en","page":"6204-6207","source":"DOI.org (Crossref)","title":"Directed seed dispersal by bellbirds in a tropical cloud forest","volume":"95","author":[{"family":"Wenny","given":"Daniel G."},{"family":"Levey","given":"Douglas J."}],"issued":{"date-parts":[["1998",5,26]]}}}],"schema":"https://github.com/citation-style-language/schema/raw/master/csl-citation.json"}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(Wenny &amp; Levey, 1998)</w:t>
      </w:r>
      <w:r w:rsidRPr="00B066C6">
        <w:rPr>
          <w:rFonts w:ascii="Times New Roman" w:hAnsi="Times New Roman" w:cs="Times New Roman"/>
        </w:rPr>
        <w:fldChar w:fldCharType="end"/>
      </w:r>
      <w:r w:rsidRPr="00B066C6">
        <w:rPr>
          <w:rFonts w:ascii="Times New Roman" w:hAnsi="Times New Roman" w:cs="Times New Roman"/>
        </w:rPr>
        <w:t xml:space="preserve"> perform mating displays in specific locations, such as forest edges or canopy gaps, leading to a higher likelihood of seeds being deposited in sites with increased light availability. Similarly, primates play a crucial role in dispersing large seeds across long distances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{"citationID":"CZqS8sYW","properties":{"formattedCitation":"(Lambert, 2011; McConkey, 2000; Robinson &amp; Terborgh, 1997)","plainCitation":"(Lambert, 2011; McConkey, 2000; Robinson &amp; Terborgh, 1997)","noteIndex":0},"citationItems":[{"id":265,"uris":["http://zotero.org/users/12345038/items/UW6ZHZ4N"],"itemData":{"id":265,"type":"article-journal","container-title":"American Journal of Primatology","DOI":"10.1002/ajp.20879","ISSN":"02752565","issue":"1","journalAbbreviation":"Am. J. Primatol.","language":"en","page":"9-24","source":"DOI.org (Crossref)","title":"Primate seed dispersers as umbrella species: a case study from Kibale National Park, Uganda, with implications for Afrotropical forest conservation","title-short":"Primate seed dispersers as umbrella species","volume":"73","author":[{"family":"Lambert","given":"Joanna E."}],"issued":{"date-parts":[["2011",1]]}}},{"id":772,"uris":["http://zotero.org/users/12345038/items/JGH2AD8S"],"itemData":{"id":772,"type":"article-journal","container-title":"American Journal of Primatology","DOI":"10.1002/1098-2345(200009)52:1&lt;13::AID-AJP2&gt;3.0.CO;2-Y","ISSN":"0275-2565, 1098-2345","issue":"1","journalAbbreviation":"Am. J. Primatol.","language":"en","page":"13-29","source":"DOI.org (Crossref)","title":"Primary seed shadow generated by gibbons in the rain forests of Barito Ulu, central Borneo","volume":"52","author":[{"family":"McConkey","given":"Kim R."}],"issued":{"date-parts":[["2000",9]]}}},{"id":484,"uris":["http://zotero.org/users/12345038/items/E276CRWC"],"itemData":{"id":484,"type":"article-journal","container-title":"Ornithological Monographs","DOI":"10.2307/40157559","ISSN":"00786594, 19412282","issue":"48","journalAbbreviation":"Ornithological Monographs","language":"en","page":"641-672","source":"DOI.org (Crossref)","title":"Bird Community Dynamics along Primary Successional Gradients of an Amazonian Whitewater River","author":[{"family":"Robinson","given":"Scott K."},{"family":"Terborgh","given":"John"}],"issued":{"date-parts":[["1997",1]]}}}],"schema":"https://github.com/citation-style-language/schema/raw/master/csl-citation.json"}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(Lambert, 2011; McConkey, 2000; Robinson &amp; Terborgh, 1997)</w:t>
      </w:r>
      <w:r w:rsidRPr="00B066C6">
        <w:rPr>
          <w:rFonts w:ascii="Times New Roman" w:hAnsi="Times New Roman" w:cs="Times New Roman"/>
        </w:rPr>
        <w:fldChar w:fldCharType="end"/>
      </w:r>
      <w:r w:rsidRPr="00B066C6">
        <w:rPr>
          <w:rFonts w:ascii="Times New Roman" w:hAnsi="Times New Roman" w:cs="Times New Roman"/>
        </w:rPr>
        <w:t>. They often engage in prolonged feeding sessions, dropping partially consumed fruits to the ground. After seeds are dropped, secondary dispersers</w:t>
      </w:r>
      <w:r w:rsidR="00141E25">
        <w:rPr>
          <w:rFonts w:ascii="Times New Roman" w:hAnsi="Times New Roman" w:cs="Times New Roman"/>
        </w:rPr>
        <w:t>,</w:t>
      </w:r>
      <w:r w:rsidRPr="00B066C6">
        <w:rPr>
          <w:rFonts w:ascii="Times New Roman" w:hAnsi="Times New Roman" w:cs="Times New Roman"/>
        </w:rPr>
        <w:t xml:space="preserve"> such as agoutis</w:t>
      </w:r>
      <w:r w:rsidR="00141E25">
        <w:rPr>
          <w:rFonts w:ascii="Times New Roman" w:hAnsi="Times New Roman" w:cs="Times New Roman"/>
        </w:rPr>
        <w:t xml:space="preserve">, </w:t>
      </w:r>
      <w:r w:rsidRPr="00B066C6">
        <w:rPr>
          <w:rFonts w:ascii="Times New Roman" w:hAnsi="Times New Roman" w:cs="Times New Roman"/>
        </w:rPr>
        <w:t>retrieve and cache the seeds for later consumption</w:t>
      </w:r>
      <w:r w:rsidR="00141E25">
        <w:rPr>
          <w:rFonts w:ascii="Times New Roman" w:hAnsi="Times New Roman" w:cs="Times New Roman"/>
        </w:rPr>
        <w:t>. F</w:t>
      </w:r>
      <w:r w:rsidRPr="00B066C6">
        <w:rPr>
          <w:rFonts w:ascii="Times New Roman" w:hAnsi="Times New Roman" w:cs="Times New Roman"/>
        </w:rPr>
        <w:t xml:space="preserve">orgotten cached seeds have an increased probability of germinating in suitable microsites, contributing to forest regeneration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{"citationID":"zg1cQmav","properties":{"formattedCitation":"(Mittelman et al., 2021)","plainCitation":"(Mittelman et al., 2021)","noteIndex":0},"citationItems":[{"id":783,"uris":["http://zotero.org/users/12345038/items/ZXB8XLCD"],"itemData":{"id":783,"type":"article-journal","abstract":"Granivorous rodents have been traditionally regarded as antagonistic seed predators. Agoutis (Dasyprocta spp.), however, have also been recognized as mutualistic dispersers of plants because of their role as scatter-hoarders of seeds, especially for large-seeded species. A closer look shows that such deﬁnitions are too simplistic for these Neotropical animals because agoutis can inﬂuence plant communities not only through seed dispersal of large seeds but also through predation of small seeds and seedlings, evidencing their dual role. Herein, we summarize the literature on plant–agouti interactions, decompose agouti seed dispersal into its quantitative and qualitative components, and discuss how environmental factors and plant traits determine whether these interactions result in mutualisms or antagonisms. We also look at the role of agoutis in a community context, assessing their effectiveness as substitutes for extinct megafaunal frugivores and comparing their ecological functions to those of other extant dispersers of large seeds. We also discuss how our conclusions can be extended to the single other genus in the Dasyproctidae family (Myoprocta). Finally, we examine agoutis’ contribution to carbon stocks and summarize current conservation threats and efforts. We recorded 164 interactions between agoutis and plants, which were widespread across the plant phylogeny, conﬁrming that agoutis are generalist frugivores. Seed mass was a main factor determining seed hoarding probability of plant species and agoutis were found to disperse larger seeds than other large-bodied frugivores. Agoutis positively contributed to carbon storage by preying upon seeds of plants with lower carbon biomass and by dispersing species with higher biomass. This synthesis of plant–agouti interactions shows that ecological services provided by agoutis to plant populations and communities go beyond seed dispersal and predation, and we identify still unanswered questions. We hope to emphasise the importance of agoutis in Neotropical forests.","container-title":"Biological Reviews","DOI":"10.1111/brv.12761","ISSN":"1464-7931, 1469-185X","issue":"6","journalAbbreviation":"Biol Rev","language":"en","page":"2425-2445","source":"DOI.org (Crossref)","title":"Sowing forests: a synthesis of seed dispersal and predation by agoutis and their influence on plant communities","title-short":"Sowing forests","volume":"96","author":[{"family":"Mittelman","given":"Pedro"},{"family":"Dracxler","given":"Caroline Marques"},{"family":"Santos‐Coutinho","given":"Pollyanna R. O."},{"family":"Pires","given":"Alexandra S."}],"issued":{"date-parts":[["2021",12]]}}}],"schema":"https://github.com/citation-style-language/schema/raw/master/csl-citation.json"}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(Mittelman et al., 2021)</w:t>
      </w:r>
      <w:r w:rsidRPr="00B066C6">
        <w:rPr>
          <w:rFonts w:ascii="Times New Roman" w:hAnsi="Times New Roman" w:cs="Times New Roman"/>
        </w:rPr>
        <w:fldChar w:fldCharType="end"/>
      </w:r>
      <w:r w:rsidRPr="00B066C6">
        <w:rPr>
          <w:rFonts w:ascii="Times New Roman" w:hAnsi="Times New Roman" w:cs="Times New Roman"/>
        </w:rPr>
        <w:t>.</w:t>
      </w:r>
    </w:p>
    <w:p w14:paraId="6B3B4520" w14:textId="77777777" w:rsidR="0029479F" w:rsidRPr="00B066C6" w:rsidRDefault="0029479F" w:rsidP="00D77075">
      <w:pPr>
        <w:spacing w:before="0" w:after="0"/>
        <w:ind w:firstLine="720"/>
        <w:rPr>
          <w:rFonts w:ascii="Times New Roman" w:hAnsi="Times New Roman" w:cs="Times New Roman"/>
        </w:rPr>
      </w:pPr>
      <w:r>
        <w:rPr>
          <w:rFonts w:ascii="Times New Roman" w:hAnsi="Times New Roman" w:cs="Times New Roman"/>
        </w:rPr>
        <w:t>Despite its importance</w:t>
      </w:r>
      <w:r w:rsidRPr="00B066C6">
        <w:rPr>
          <w:rFonts w:ascii="Times New Roman" w:hAnsi="Times New Roman" w:cs="Times New Roman"/>
        </w:rPr>
        <w:t xml:space="preserve">, seed dispersal is one of the most threatened processes of plant regeneration, as seed-dispersing animals face increasing risks from habitat loss, fragmentation, and overhunting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{"citationID":"UTivmS7L","properties":{"formattedCitation":"(Neuschulz et al., 2016)","plainCitation":"(Neuschulz et al., 2016)","noteIndex":0},"citationItems":[{"id":94,"uris":["http://zotero.org/users/12345038/items/237ZYJT8"],"itemData":{"id":94,"type":"article-journal","container-title":"Scientific Reports","DOI":"10.1038/srep29839","ISSN":"2045-2322","issue":"1","journalAbbreviation":"Sci Rep","language":"en","page":"29839","source":"DOI.org (Crossref)","title":"Pollination and seed dispersal are the most threatened processes of plant regeneration","volume":"6","author":[{"family":"Neuschulz","given":"Eike Lena"},{"family":"Mueller","given":"Thomas"},{"family":"Schleuning","given":"Matthias"},{"family":"Böhning-Gaese","given":"Katrin"}],"issued":{"date-parts":[["2016",7]]}}}],"schema":"https://github.com/citation-style-language/schema/raw/master/csl-citation.json"}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(Neuschulz et al., 2016)</w:t>
      </w:r>
      <w:r w:rsidRPr="00B066C6">
        <w:rPr>
          <w:rFonts w:ascii="Times New Roman" w:hAnsi="Times New Roman" w:cs="Times New Roman"/>
        </w:rPr>
        <w:fldChar w:fldCharType="end"/>
      </w:r>
      <w:r w:rsidRPr="00B066C6">
        <w:rPr>
          <w:rFonts w:ascii="Times New Roman" w:hAnsi="Times New Roman" w:cs="Times New Roman"/>
        </w:rPr>
        <w:t xml:space="preserve">. The decline of frugivorous species has cascading effects on ecosystems, reducing seed dispersal distances, increasing seed predation, and ultimately limiting plant recruitment and species diversity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{"citationID":"1yqwQOgf","properties":{"formattedCitation":"(Markl et al., 2012)","plainCitation":"(Markl et al., 2012)","noteIndex":0},"citationItems":[{"id":256,"uris":["http://zotero.org/users/12345038/items/BA5IP8E8"],"itemData":{"id":256,"type":"article-journal","abstract":"Animal-mediated seed dispersal is important for sustaining biological diversity in forest ecosystems, particularly in the tropics. Forest fragmentation, hunting, and selective logging modify forests in myriad ways and their effects on animal-mediated seed dispersal have been examined in many case studies. However, the overall effects of different types of human disturbance on animal-mediated seed dispersal are still unknown. We identified 35 articles that provided 83 comparisons of animal-mediated seed dispersal between disturbed and undisturbed forests; all comparisons except one were conducted in tropical or subtropical ecosystems. We assessed the effects of forest fragmentation, hunting, and selective logging on seed dispersal of fleshy-fruited tree species. We carried out a meta-analysis to test whether forest fragmentation, hunting, and selective logging affected 3 components of animal-mediated seed dispersal: frugivore visitation rate, number of seeds removed, and distance of seed dispersal. Forest fragmentation, hunting, and selective logging did not affect visitation rate and were marginally associated with a reduction in seed-dispersal distance. Hunting and selective logging, but not fragmentation, were associated with a large reduction in the number of seeds removed. Fewer seeds of large-seeded than of small-seeded tree species were removed in hunted or selectively logged forests. A plausible explanation for the consistently negative effects of hunting and selective logging on large-seeded plant species is that large frugivores, as the predominant seed dispersers for large-seeded plant species, are the first animals to be extirpated from hunted or logged forests. The reduction in forest area after fragmentation appeared to have weaker effects on frugivore communities and animal-mediated seed dispersal than hunting and selective logging. The differential effects of hunting and selective logging on largeand small-seeded tree species underpinned case studies that showed disrupted plant-frugivore interactions could trigger a homogenization of seed traits in tree communities in hunted or logged tropical forests.","container-title":"Conservation Biology","DOI":"10.1111/j.1523-1739.2012.01927.x","ISSN":"0888-8892, 1523-1739","issue":"6","journalAbbreviation":"Conservation Biology","language":"en","page":"1072-1081","source":"DOI.org (Crossref)","title":"Meta‐Analysis of the Effects of Human Disturbance on Seed Dispersal by Animals","volume":"26","author":[{"family":"Markl","given":"Julia S."},{"family":"Schleuning","given":"Matthias"},{"family":"Forget","given":"Pierre Michel"},{"family":"Jordano","given":"Pedro"},{"family":"Lambert","given":"Joanna E."},{"family":"Traveset","given":"Anna"},{"family":"Wright","given":"S. Joseph"},{"family":"Böhning‐Gaese","given":"Katrin"}],"issued":{"date-parts":[["2012",12]]}}}],"schema":"https://github.com/citation-style-language/schema/raw/master/csl-citation.json"}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(Markl et al., 2012)</w:t>
      </w:r>
      <w:r w:rsidRPr="00B066C6">
        <w:rPr>
          <w:rFonts w:ascii="Times New Roman" w:hAnsi="Times New Roman" w:cs="Times New Roman"/>
        </w:rPr>
        <w:fldChar w:fldCharType="end"/>
      </w:r>
      <w:r w:rsidRPr="00B066C6">
        <w:rPr>
          <w:rFonts w:ascii="Times New Roman" w:hAnsi="Times New Roman" w:cs="Times New Roman"/>
        </w:rPr>
        <w:t xml:space="preserve">. Anthropogenic disturbances such as illegal logging and unsustainable deforestation negatively impact zoochory by disrupting animal communities, decreasing visitation rates to fruiting trees, and reducing seed removal rates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{"citationID":"lAx2dLxa","properties":{"formattedCitation":"(Bregman et al., 2014; Caves et al., 2013; Markl et al., 2012)","plainCitation":"(Bregman et al., 2014; Caves et al., 2013; Markl et al., 2012)","noteIndex":0},"citationItems":[{"id":251,"uris":["http://zotero.org/users/12345038/items/VZXID57P"],"itemData":{"id":251,"type":"article-journal","abstract":"The fragmentation of forests is a dominant human impact worldwide with major implications for the conservation and management of ecosystems. Although many studies have assessed the effects of fragmentation on biodiversity at local scales, our understanding of the ecological implications for different functional groups of organisms remains limited, particularly at global scales. Here, we use linear mixed models to explore patterns of occurrence and ecological function of 2844 bird species at 293 localities spanning ﬁve continents. We show that sensitivity to fragmentation varies according to functional group and body mass, with the prevalence of insectivores and large frugivores declining in relation to fragment size, particularly under 100 ha. However, the most severe effects were restricted to the tropics, whereas fragmentation had no signiﬁcant impact on the basic ecological structure of temperate bird communities. We conclude that land-use change in tropical systems is likely to disrupt biotic processes, including seed dispersal and the control of insect herbivores. Our ﬁndings highlight the importance of latitude in mediating the impacts of habitat loss, and offer general guidelines for the minimum size of fragments required to prevent the collapse of key ecosystem processes in sensitive regions.","container-title":"Biological Conservation","DOI":"10.1016/j.biocon.2013.11.024","ISSN":"00063207","journalAbbreviation":"Biological Conservation","language":"en","page":"372-383","source":"DOI.org (Crossref)","title":"Global patterns and predictors of bird species responses to forest fragmentation: Implications for ecosystem function and conservation","title-short":"Global patterns and predictors of bird species responses to forest fragmentation","volume":"169","author":[{"family":"Bregman","given":"Tom P."},{"family":"Sekercioglu","given":"Cagan H."},{"family":"Tobias","given":"Joseph A."}],"issued":{"date-parts":[["2014",1]]}}},{"id":98,"uris":["http://zotero.org/users/12345038/items/V2ML8CNS"],"itemData":{"id":98,"type":"article-journal","abstract":"In healthy forests, vertebrate frugivores move seeds from intact to degraded forests, aiding in the passive regeneration of degraded forests. Yet vertebrate frugivores are declining around the world, and little is known about the impact of this loss on regeneration of degraded areas. Here, we use a unique natural experiment to assess how complete vertebrate frugivore loss affects native seed rain in degraded forest. All native vertebrate frugivores (which were primarily avian frugivores) have been functionally extirpated from the island of Guam by the invasive brown tree snake (Boiga irregularis), whereas the nearby island of Saipan has a relatively intact vertebrate frugivore community. We captured seed rain along transects extending from intact into degraded forest and compared the species richness, density and condition of the seed rain from native bird-dispersed tree species between the two islands. Considering seeds from native bird-dispersed species, approximately 1.66 seeds landed per 26 days in each square meter of degraded forest on Saipan, whereas zero seeds landed per 26 days per square meter in degraded forest on Guam. Additionally, on Saipan, 69% of native bird-dispersed seeds in intact forest and 77% of seeds in degraded forest lacked fleshy fruit pulp, suggesting ingestion by birds, compared to 0% of all seeds on Guam. Our results show an absence of seed rain in degraded forests on Guam, correlated with the absence of birds, whereas on Saipan, frugivorous birds regularly disperse seeds into degraded forests, providing a mechanism for recolonization by native plants. These results suggest that loss of frugivores will slow regeneration of degraded forests on Guam.","container-title":"PLoS ONE","DOI":"10.1371/journal.pone.0065618","ISSN":"1932-6203","issue":"5","journalAbbreviation":"PLoS ONE","language":"en","page":"e65618","source":"DOI.org (Crossref)","title":"Natural Experiment Demonstrates That Bird Loss Leads to Cessation of Dispersal of Native Seeds from Intact to Degraded Forests","volume":"8","author":[{"family":"Caves","given":"Eleanor M."},{"family":"Jennings","given":"Summer B."},{"family":"HilleRisLambers","given":"Janneke"},{"family":"Tewksbury","given":"Joshua J."},{"family":"Rogers","given":"Haldre S."}],"editor":[{"family":"Farwig","given":"Nina"}],"issued":{"date-parts":[["2013",5,31]]}}},{"id":256,"uris":["http://zotero.org/users/12345038/items/BA5IP8E8"],"itemData":{"id":256,"type":"article-journal","abstract":"Animal-mediated seed dispersal is important for sustaining biological diversity in forest ecosystems, particularly in the tropics. Forest fragmentation, hunting, and selective logging modify forests in myriad ways and their effects on animal-mediated seed dispersal have been examined in many case studies. However, the overall effects of different types of human disturbance on animal-mediated seed dispersal are still unknown. We identified 35 articles that provided 83 comparisons of animal-mediated seed dispersal between disturbed and undisturbed forests; all comparisons except one were conducted in tropical or subtropical ecosystems. We assessed the effects of forest fragmentation, hunting, and selective logging on seed dispersal of fleshy-fruited tree species. We carried out a meta-analysis to test whether forest fragmentation, hunting, and selective logging affected 3 components of animal-mediated seed dispersal: frugivore visitation rate, number of seeds removed, and distance of seed dispersal. Forest fragmentation, hunting, and selective logging did not affect visitation rate and were marginally associated with a reduction in seed-dispersal distance. Hunting and selective logging, but not fragmentation, were associated with a large reduction in the number of seeds removed. Fewer seeds of large-seeded than of small-seeded tree species were removed in hunted or selectively logged forests. A plausible explanation for the consistently negative effects of hunting and selective logging on large-seeded plant species is that large frugivores, as the predominant seed dispersers for large-seeded plant species, are the first animals to be extirpated from hunted or logged forests. The reduction in forest area after fragmentation appeared to have weaker effects on frugivore communities and animal-mediated seed dispersal than hunting and selective logging. The differential effects of hunting and selective logging on largeand small-seeded tree species underpinned case studies that showed disrupted plant-frugivore interactions could trigger a homogenization of seed traits in tree communities in hunted or logged tropical forests.","container-title":"Conservation Biology","DOI":"10.1111/j.1523-1739.2012.01927.x","ISSN":"0888-8892, 1523-1739","issue":"6","journalAbbreviation":"Conservation Biology","language":"en","page":"1072-1081","source":"DOI.org (Crossref)","title":"Meta‐Analysis of the Effects of Human Disturbance on Seed Dispersal by Animals","volume":"26","author":[{"family":"Markl","given":"Julia S."},{"family":"Schleuning","given":"Matthias"},{"family":"Forget","given":"Pierre Michel"},{"family":"Jordano","given":"Pedro"},{"family":"Lambert","given":"Joanna E."},{"family":"Traveset","given":"Anna"},{"family":"Wright","given":"S. Joseph"},{"family":"Böhning‐Gaese","given":"Katrin"}],"issued":{"date-parts":[["2012",12]]}}}],"schema":"https://github.com/citation-style-language/schema/raw/master/csl-citation.json"}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(Bregman et al., 2014; Caves et al., 2013; Markl et al., 2012)</w:t>
      </w:r>
      <w:r w:rsidRPr="00B066C6">
        <w:rPr>
          <w:rFonts w:ascii="Times New Roman" w:hAnsi="Times New Roman" w:cs="Times New Roman"/>
        </w:rPr>
        <w:fldChar w:fldCharType="end"/>
      </w:r>
      <w:r w:rsidRPr="00B066C6">
        <w:rPr>
          <w:rFonts w:ascii="Times New Roman" w:hAnsi="Times New Roman" w:cs="Times New Roman"/>
        </w:rPr>
        <w:t xml:space="preserve">. In the absence of frugivorous dispersers, plant communities experience lower species richness and reduced genetic diversity, leading to altered successional trajectories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{"citationID":"ygDb0CeB","properties":{"formattedCitation":"(Browne et al., 2018; Muller-Landau, 2007)","plainCitation":"(Browne et al., 2018; Muller-Landau, 2007)","noteIndex":0},"citationItems":[{"id":1484,"uris":["http://zotero.org/users/12345038/items/4HYLYE43"],"itemData":{"id":1484,"type":"article-journal","container-title":"Molecular ecology","language":"en","title":"The relative contributions of seed and pollen dispersal to gene flow and genetic diversity in seedlings of a tropical palm","volume":"Aug;27(15):3159-73","author":[{"family":"Browne","given":"L."},{"family":"Ottewell","given":"K."},{"family":"Sork","given":"V.L."},{"family":"Karubian","given":"J."}],"issued":{"date-parts":[["2018"]]}}},{"id":630,"uris":["http://zotero.org/users/12345038/items/6KFWZHRU"],"itemData":{"id":630,"type":"article-journal","abstract":"Hunting can change abundances of vertebrate seed predators and seed dispersers, causing species-speciﬁc changes in seed dispersal and seed predation and altering seedling communities. What are the consequences of these changes for the adult plant community in the next generation and beyond? Here, I derive equations showing how reduced seed dispersal reduces plant reproduction by intensifying kin competition, increasing vulnerability to natural enemies, and reducing the proportion of seeds passing through disperser guts. I parameterize these equations with available empirical data to estimate the likely effects on next-generation abundances. I then consider the indirect effects and longer-term feedbacks of changed seed or adult abundances on reproductive rates due to density-dependent interactions with natural enemies and mutualists, as well as niche differentiation with competitors, and discuss their likely qualitative effects. The factors limiting seed disperser and seed predator populations in natural and hunted forests emerge as critical for determining the long-term effects of hunting on rates of seed dispersal and seed predation. For example, where seed dispersers are held to a constant abundance by hunters, decreases in the availability of their preferred food plants are expected to lead to increased per-seed dispersal probabilities, potentially to the point of compensating for the initial disperser decline. I close by discussing the likely reversibility of hunting-induced changes in tropical forests and key questions and directions for future research.","container-title":"Biotropica","DOI":"10.1111/j.1744-7429.2007.00290.x","ISSN":"00063606, 17447429","issue":"3","language":"en","page":"372-384","source":"DOI.org (Crossref)","title":"Predicting the Long-Term Effects of Hunting on Plant Species Composition and Diversity in Tropical Forests","volume":"39","author":[{"family":"Muller-Landau","given":"Helene C."}],"issued":{"date-parts":[["2007",5]]}}}],"schema":"https://github.com/citation-style-language/schema/raw/master/csl-citation.json"}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(Browne et al., 2018; Muller-Landau, 2007)</w:t>
      </w:r>
      <w:r w:rsidRPr="00B066C6">
        <w:rPr>
          <w:rFonts w:ascii="Times New Roman" w:hAnsi="Times New Roman" w:cs="Times New Roman"/>
        </w:rPr>
        <w:fldChar w:fldCharType="end"/>
      </w:r>
      <w:r w:rsidRPr="00B066C6">
        <w:rPr>
          <w:rFonts w:ascii="Times New Roman" w:hAnsi="Times New Roman" w:cs="Times New Roman"/>
        </w:rPr>
        <w:t xml:space="preserve">. Furthermore, disturbances influence frugivore movement patterns, altering the dispersal potential of seeds across habitats. For instance, in the Afrotropics, areas with higher bird species richness (15 species vs. 6 species) exhibited a drastic increase in seed dispersal rates (71% vs. 8%), a greater median dispersal distance, and a more evenly distributed seed deposition pattern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{"citationID":"dGPDN0tG","properties":{"formattedCitation":"(Bleher &amp; B\\uc0\\u246{}hning-Gaese, 2001)","plainCitation":"(Bleher &amp; Böhning-Gaese, 2001)","noteIndex":0},"citationItems":[{"id":638,"uris":["http://zotero.org/users/12345038/items/WC47REVY"],"itemData":{"id":638,"type":"article-journal","container-title":"Oecologia","DOI":"10.1007/s004420100747","ISSN":"0029-8549, 1432-1939","issue":"3","journalAbbreviation":"Oecologia","language":"en","page":"385-394","source":"DOI.org (Crossref)","title":"Consequences of frugivore diversity for seed dispersal, seedling establishment and the spatial pattern of seedlings and trees","volume":"129","author":[{"family":"Bleher","given":"Bärbel"},{"family":"Böhning-Gaese","given":"Katrin"}],"issued":{"date-parts":[["2001",11]]}}}],"schema":"https://github.com/citation-style-language/schema/raw/master/csl-citation.json"}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kern w:val="0"/>
        </w:rPr>
        <w:t>(Bleher &amp; Böhning-Gaese, 2001)</w:t>
      </w:r>
      <w:r w:rsidRPr="00B066C6">
        <w:rPr>
          <w:rFonts w:ascii="Times New Roman" w:hAnsi="Times New Roman" w:cs="Times New Roman"/>
        </w:rPr>
        <w:fldChar w:fldCharType="end"/>
      </w:r>
      <w:r w:rsidRPr="00B066C6">
        <w:rPr>
          <w:rFonts w:ascii="Times New Roman" w:hAnsi="Times New Roman" w:cs="Times New Roman"/>
        </w:rPr>
        <w:t>.</w:t>
      </w:r>
    </w:p>
    <w:p w14:paraId="5BD7C05A" w14:textId="5800F8EC" w:rsidR="00A404BB" w:rsidRDefault="0029479F" w:rsidP="00D77075">
      <w:pPr>
        <w:pStyle w:val="NormalWeb"/>
        <w:spacing w:before="0" w:beforeAutospacing="0" w:after="0" w:afterAutospacing="0" w:line="360" w:lineRule="auto"/>
        <w:ind w:firstLine="720"/>
      </w:pPr>
      <w:r>
        <w:lastRenderedPageBreak/>
        <w:t>F</w:t>
      </w:r>
      <w:r w:rsidRPr="00B066C6">
        <w:t xml:space="preserve">rugivorous birds and mammals are vital for seed dispersal in regenerating forests, as they facilitate the establishment of late-successional plant species that might otherwise be </w:t>
      </w:r>
      <w:proofErr w:type="spellStart"/>
      <w:r w:rsidR="00417269">
        <w:t>disperal</w:t>
      </w:r>
      <w:proofErr w:type="spellEnd"/>
      <w:r w:rsidRPr="00B066C6">
        <w:t xml:space="preserve">-limited </w:t>
      </w:r>
      <w:r w:rsidRPr="00B066C6">
        <w:fldChar w:fldCharType="begin"/>
      </w:r>
      <w:r>
        <w:instrText xml:space="preserve"> ADDIN ZOTERO_ITEM CSL_CITATION {"citationID":"5PQ7PCGd","properties":{"formattedCitation":"(Wunderle, 1997a)","plainCitation":"(Wunderle, 1997a)","dontUpdate":true,"noteIndex":0},"citationItems":[{"id":516,"uris":["http://zotero.org/users/12345038/items/XZJVX952"],"itemData":{"id":516,"type":"article-journal","container-title":"Forest Ecology and Management","DOI":"10.1016/S0378-1127(97)00208-9","ISSN":"03781127","issue":"1-2","journalAbbreviation":"Forest Ecology and Management","language":"en","page":"223-235","source":"DOI.org (Crossref)","title":"The role of animal seed dispersal in accelerating native forest regeneration on degraded tropical lands","volume":"99","author":[{"family":"Wunderle","given":"Joseph M"}],"issued":{"date-parts":[["1997",12]]}}}],"schema":"https://github.com/citation-style-language/schema/raw/master/csl-citation.json"} </w:instrText>
      </w:r>
      <w:r w:rsidRPr="00B066C6">
        <w:fldChar w:fldCharType="separate"/>
      </w:r>
      <w:r>
        <w:rPr>
          <w:noProof/>
        </w:rPr>
        <w:t>(Wunderle, 1997)</w:t>
      </w:r>
      <w:r w:rsidRPr="00B066C6">
        <w:fldChar w:fldCharType="end"/>
      </w:r>
      <w:r w:rsidRPr="00B066C6">
        <w:t>.</w:t>
      </w:r>
      <w:r>
        <w:t xml:space="preserve"> Specifically, the</w:t>
      </w:r>
      <w:r w:rsidRPr="00B066C6">
        <w:t xml:space="preserve"> contributions of birds and bats to seed dispersal are particularly important in early-successional forests </w:t>
      </w:r>
      <w:r w:rsidRPr="00B066C6">
        <w:fldChar w:fldCharType="begin"/>
      </w:r>
      <w:r w:rsidRPr="00B066C6">
        <w:instrText xml:space="preserve"> ADDIN ZOTERO_ITEM CSL_CITATION {"citationID":"uxbvKuz5","properties":{"formattedCitation":"(Muscarella &amp; Fleming, 2007)","plainCitation":"(Muscarella &amp; Fleming, 2007)","noteIndex":0},"citationItems":[{"id":642,"uris":["http://zotero.org/users/12345038/items/9NA2ZHX5"],"itemData":{"id":642,"type":"article-journal","abstract":"Discussion of successional change has traditionally focused on plants. The role of animals in producing and responding to successional change has received far less attention. Dispersal of plant propagules by animals is a fundamental part of successional change in the tropics. Here we review the role played by frugivorous bats in successional change in tropical forests. We explore the similarities and differences of this ecological service provided by New and Old World seed-dispersing bats and conclude with a discussion of their current economic and conservation implications. Our review suggests that frugivorous New World phyllostomid bats play a more important role in early plant succession than their Old World pteropodid counterparts. We propose that phyllostomid bats have shared a long evolutionary history with small-seeded early successional shrubs and treelets while pteropodid bats are principally dispersers of the seeds of later successional canopy fruits. When species of figs (Ficus) are involved in the early stages of primary succession (e.g. in the river meander system in Amazonia and on Krakatau, Indonesia), both groups of bats are important contributors of propagules. Because they disperse and sometimes pollinate canopy trees, pteropodid bats have a considerable impact on the economic value of Old World tropical forests; phyllostomid bats appear to make a more modest direct contribution to the economic value of New World tropical forests. Nonetheless, because they critically influence forest regeneration, phyllostomid bats make an important indirect contribution to the economic value of these forests. Overall, fruiteating bats play important roles in forest regeneration throughout the tropics, making their conservation highly desirable.","container-title":"Biological Reviews","DOI":"10.1111/j.1469-185X.2007.00026.x","ISSN":"1464-7931, 1469-185X","issue":"4","journalAbbreviation":"Biological Reviews","language":"en","page":"573-590","source":"DOI.org (Crossref)","title":"The Role of Frugivorous Bats in Tropical Forest Succession","volume":"82","author":[{"family":"Muscarella","given":"Robert"},{"family":"Fleming","given":"Theodore H."}],"issued":{"date-parts":[["2007",11]]}}}],"schema":"https://github.com/citation-style-language/schema/raw/master/csl-citation.json"} </w:instrText>
      </w:r>
      <w:r w:rsidRPr="00B066C6">
        <w:fldChar w:fldCharType="separate"/>
      </w:r>
      <w:r w:rsidRPr="00B066C6">
        <w:rPr>
          <w:noProof/>
        </w:rPr>
        <w:t>(Muscarella &amp; Fleming, 2007)</w:t>
      </w:r>
      <w:r w:rsidRPr="00B066C6">
        <w:fldChar w:fldCharType="end"/>
      </w:r>
      <w:r w:rsidRPr="00B066C6">
        <w:t xml:space="preserve">. </w:t>
      </w:r>
      <w:r w:rsidR="00417269">
        <w:t>As many of these species can cover large distances relatively quickly, they</w:t>
      </w:r>
      <w:r w:rsidRPr="00B066C6">
        <w:t xml:space="preserve"> </w:t>
      </w:r>
      <w:r w:rsidR="00417269">
        <w:t xml:space="preserve">better </w:t>
      </w:r>
      <w:r w:rsidRPr="00B066C6">
        <w:t xml:space="preserve">facilitate the movement of both pioneer and primary forest seeds into disturbed areas, enhancing connectivity and promoting plant diversity in fragmented tropical forests </w:t>
      </w:r>
      <w:r w:rsidRPr="00B066C6">
        <w:fldChar w:fldCharType="begin"/>
      </w:r>
      <w:r w:rsidRPr="00B066C6">
        <w:instrText xml:space="preserve"> ADDIN ZOTERO_ITEM CSL_CITATION {"citationID":"mXVg1lth","properties":{"formattedCitation":"(Galindo-Gonz\\uc0\\u225{}lez et al., 2000)","plainCitation":"(Galindo-González et al., 2000)","noteIndex":0},"citationItems":[{"id":646,"uris":["http://zotero.org/users/12345038/items/CRG97IGJ"],"itemData":{"id":646,"type":"article-journal","abstract":"Bats are abundant and effective seed dispersers inside the forest, but what happens when a forest is fragmented and transformed into pasture? The landscape at Los Tuxtlas, Mexico, originally rainforest, is greatly fragmented and covered with pastures. We analyzed the seed rains produced by frugivorous bats and birds under isolated trees in pastures in the fragmented landscape and the contribution of this process to vegetational recovery. We surveyed bats and obtained fecal samples under isolated trees in pastures. We also collected seed rain below the canopy of 10 isolated Ficus trees, separating nocturnally dispersed seeds from diurnally dispersed seeds. We caught 652 bats of 20 species; 83% of captures were frugivores. The most abundant species were Sturnira lilium (48%), Artibeus jamaicensis (18%), Carollia perspicillata (12%), and Dermanura tolteca (11%). Fecal samples contained seeds of 19 species in several families: Piperaceae (50%), Moraceae (25%), Solanaceae (12%), Cecropiaceae (10%), and others (3%). Sturnira lilium was the most important disperser bat in pastures. Seed rain was dominated by zoochorous species (89%). We found seed diversity between day and night seed captures to be comparable, but we found a significant interaction of disperser type ( bird or bat) with season. Seven plant species accounted for 79% of the seed rain: Piper auritum (23%), Ficus ( hemiepiphytic-strangler tree) spp. (17%), Cecropia obtusifolia (10%), P. amalago (10%), Ficus ( free-standing tree) spp. (8%), P. yzabalanum (6%), and Solanum rudepanum (5%). Bats and birds are important seed dispersers in pastures because they disperse seeds of pioneer and primary species (trees, shrubs, herbs, and epiphytes), connect forest fragments, and maintain plant diversity. Consequently, they might contribute to the recovery of woody vegetation in disturbed areas in tropical humid forests.","container-title":"Conservation Biology","issue":"6","language":"en","source":"Zotero","title":"Bat- and Bird-Generated Seed Rains at Isolated Trees in Pastures in a Tropical Rainforest","volume":"14","author":[{"family":"Galindo-González","given":"Jorge"},{"family":"Guevara","given":"Sergio"},{"family":"Sosa","given":"Vinicio J"}],"issued":{"date-parts":[["2000"]]}}}],"schema":"https://github.com/citation-style-language/schema/raw/master/csl-citation.json"} </w:instrText>
      </w:r>
      <w:r w:rsidRPr="00B066C6">
        <w:fldChar w:fldCharType="separate"/>
      </w:r>
      <w:r w:rsidRPr="00B066C6">
        <w:t>(Galindo-González et al., 2000)</w:t>
      </w:r>
      <w:r w:rsidRPr="00B066C6">
        <w:fldChar w:fldCharType="end"/>
      </w:r>
      <w:r w:rsidRPr="00B066C6">
        <w:t xml:space="preserve">. </w:t>
      </w:r>
      <w:r>
        <w:t xml:space="preserve">As tropical forest succession progresses, dispersal roles shift, with birds primarily dispersing understory shrubs and treelets early on, while larger-bodied mammals, such as primates, become dominant dispersers for canopy tree species in later stages </w:t>
      </w:r>
      <w:r>
        <w:fldChar w:fldCharType="begin"/>
      </w:r>
      <w:r>
        <w:instrText xml:space="preserve"> ADDIN ZOTERO_ITEM CSL_CITATION {"citationID":"gyl5AOmm","properties":{"formattedCitation":"(Naniwadekar et al., 2019; Ong et al., 2022; Walter et al., 2017)","plainCitation":"(Naniwadekar et al., 2019; Ong et al., 2022; Walter et al., 2017)","noteIndex":0},"citationItems":[{"id":54,"uris":["http://zotero.org/users/12345038/items/ZX5REKYG"],"itemData":{"id":54,"type":"article-journal","container-title":"Journal of Animal Ecology","DOI":"10.1111/1365-2656.13005","ISSN":"0021-8790, 1365-2656","issue":"8","journalAbbreviation":"J Anim Ecol","language":"en","page":"1250-1262","source":"DOI.org (Crossref)","title":"Large frugivores matter: Insights from network and seed dispersal effectiveness approaches","title-short":"Large frugivores matter","volume":"88","author":[{"family":"Naniwadekar","given":"Rohit"},{"family":"Chaplod","given":"Saniya"},{"family":"Datta","given":"Aparajita"},{"family":"Rathore","given":"Akanksha"},{"family":"Sridhar","given":"Hari"}],"editor":[{"family":"Rodriguez‐Cabal","given":"Mariano"}],"issued":{"date-parts":[["2019",8]]}}},{"id":1205,"uris":["http://zotero.org/users/12345038/items/92S8G6PM"],"itemData":{"id":1205,"type":"article-journal","abstract":"Large-bodied animals play irreplaceable roles in seed dispersal, partly due to their capacity to disperse large seeds. Understanding this role at a community level has been limited by the paucity of network studies that include large vertebrates, and the almost complete absence of studies including synzoochoric dispersers. Synzoochoric dispersers can disperse seeds disproportionately large for their body size, potentially overlapping the roles of large-bodied animals. A comprehensive network, inclusive of large vertebrates and synzoochorous dispersers, is imperative to understand seed dispersal at a community level. Here, we analysed the seed dispersal network of a hyper-diverse Sundaic forest in Malaysia using local ecological knowledge and including multiple forms of endozoochorous and synzoochorous dispersal. We evaluated the extent to which three disperser traits: body mass, seed-handling ability (size of the largest seed dispersed) and diet explained the importance of animals in the network. We evaluated dispersers' relative importance using four network metrics-degree of specialisation (nested rank), species strength, within-module connectivity (z-value) and between-modules connectivity (c-value). We found that seed-handling ability had the biggest effect on a disperser's importance, with strong effects on three network metrics (species strength, ecological specialisation and z-value) and moderate effects on connectivity between modules. Body mass was important in defining interactions within modules, and dietary differences defined the ecological specialisation of species in seed dispersal. Important dispersers in our network were large-seed dispersers (e.g. rats, gibbons), large-bodied animals, in particular the Asian elephant, and animals with frugivorous diets such as hornbills. Synthesis. Our work uncovers the significance of seed-handling ability in identifying pivotal seed dispersal roles in tropical rainforests. Key dispersers include large-bodied herbivores and medium-sized frugivores that could disperse large seeds by endozoochory, and smaller rodents that dispersed similar-sized seeds by synzoochory. Many of the species that emerged as particularly important for the seed dispersal network are currently threatened (e.g. the Asian elephant, gibbons and hornbills). Their protection or reintroduction should be a top conservation priority.","container-title":"JOURNAL OF ECOLOGY","DOI":"10.1111/1365-2745.13809","ISSN":"0022-0477","issue":"2","page":"313-326","title":"The ability to disperse large seeds, rather than body mass alone, defines the importance of animals in a hyper-diverse seed dispersal network","volume":"110","author":[{"family":"Ong","given":"Lisa"},{"family":"McConkey","given":"Kim R."},{"family":"Campos-Arceiz","given":"Ahimsa"}],"issued":{"date-parts":[["2022",2]]}}},{"id":572,"uris":["http://zotero.org/users/12345038/items/W6479T3H"],"itemData":{"id":572,"type":"article-journal","abstract":"Large-bodied frugivorous birds play an important role in dispersing large-sized seeds in Neotropical rain forests, thereby maintaining tree species richness and diversity. Conversion of contiguous forest land to forest fragments is thought to be driving population declines in large-bodied frugivores, but the mechanistic drivers of this decline remain poorly understood. To assess the importance of fragment-level versus local landscape attributes in inﬂuencing the species richness of large-bodied (&gt;100 g) frugivorous birds, we surveyed 15 focal species in 22 forest fragments (2.7 to 33.6 ha, avg. = 16.0 ha) in northwest Ecuador in 2014. Fragment habitat variables included density of large trees, canopy openness and height, and fragment size; landscape variables included elevation and the proportion of tree cover within a 1 km radius of each fragment. At both the individual species level, and across the community of 12 species of avian frugivore we detected, there was higher richness and probability of presence in fragments with more tree cover on surrounding land. This tendency was particularly pronounced among some endangered species. These ﬁndings corroborate the idea that partially forested land surrounding fragments may effectively increase the suitable habitat for forest-dwelling frugivorous birds in fragmented landscapes. These results can help guide conservation priorities within fragmented landscapes, with particular reference to retaining trees and reforesting to attain high levels of tree cover in areas between forest patches.","container-title":"Biotropica","DOI":"10.1111/btp.12469","ISSN":"0006-3606, 1744-7429","issue":"6","journalAbbreviation":"Biotropica","language":"en","page":"838-847","source":"DOI.org (Crossref)","title":"Landscape‐level tree cover predicts species richness of large‐bodied frugivorous birds in forest fragments","volume":"49","author":[{"family":"Walter","given":"Scott T."},{"family":"Browne","given":"Luke"},{"family":"Freile","given":"Juan"},{"family":"Olivo","given":"Jorge"},{"family":"González","given":"Mónica"},{"family":"Karubian","given":"Jordan"}],"issued":{"date-parts":[["2017",11]]}}}],"schema":"https://github.com/citation-style-language/schema/raw/master/csl-citation.json"} </w:instrText>
      </w:r>
      <w:r>
        <w:fldChar w:fldCharType="separate"/>
      </w:r>
      <w:r>
        <w:rPr>
          <w:noProof/>
        </w:rPr>
        <w:t>(Naniwadekar et al., 2019; Ong et al., 2022; Walter et al., 2017)</w:t>
      </w:r>
      <w:r>
        <w:fldChar w:fldCharType="end"/>
      </w:r>
      <w:r>
        <w:t>. However, the processes governing the reassembly of interactions between frugivores and fruiting plants</w:t>
      </w:r>
      <w:r w:rsidR="00417269">
        <w:t xml:space="preserve"> during restoration</w:t>
      </w:r>
      <w:r>
        <w:t xml:space="preserve"> remain poorly understood. A deeper understanding of these dynamics is critical for designing effective restoration strategies and mitigating the long-term consequences of defaunation on tropical forest regeneration.</w:t>
      </w:r>
    </w:p>
    <w:p w14:paraId="67FAADF0" w14:textId="55ADD8BA" w:rsidR="00A404BB" w:rsidRPr="005240A1" w:rsidRDefault="00C831ED" w:rsidP="00D77075">
      <w:pPr>
        <w:pStyle w:val="Heading2"/>
        <w:spacing w:before="0" w:after="0"/>
        <w:rPr>
          <w:rFonts w:ascii="Times New Roman" w:hAnsi="Times New Roman" w:cs="Times New Roman"/>
          <w:b/>
          <w:bCs/>
          <w:color w:val="auto"/>
          <w:sz w:val="24"/>
          <w:szCs w:val="24"/>
        </w:rPr>
      </w:pPr>
      <w:bookmarkStart w:id="50" w:name="_Toc195189603"/>
      <w:r w:rsidRPr="005240A1">
        <w:rPr>
          <w:rFonts w:ascii="Times New Roman" w:hAnsi="Times New Roman" w:cs="Times New Roman"/>
          <w:b/>
          <w:bCs/>
          <w:color w:val="auto"/>
          <w:sz w:val="24"/>
          <w:szCs w:val="24"/>
        </w:rPr>
        <w:t xml:space="preserve">Measuring </w:t>
      </w:r>
      <w:r w:rsidR="00E612F5" w:rsidRPr="005240A1">
        <w:rPr>
          <w:rFonts w:ascii="Times New Roman" w:hAnsi="Times New Roman" w:cs="Times New Roman"/>
          <w:b/>
          <w:bCs/>
          <w:color w:val="auto"/>
          <w:sz w:val="24"/>
          <w:szCs w:val="24"/>
        </w:rPr>
        <w:t>S</w:t>
      </w:r>
      <w:r w:rsidRPr="005240A1">
        <w:rPr>
          <w:rFonts w:ascii="Times New Roman" w:hAnsi="Times New Roman" w:cs="Times New Roman"/>
          <w:b/>
          <w:bCs/>
          <w:color w:val="auto"/>
          <w:sz w:val="24"/>
          <w:szCs w:val="24"/>
        </w:rPr>
        <w:t xml:space="preserve">eed </w:t>
      </w:r>
      <w:r w:rsidR="00E612F5" w:rsidRPr="005240A1">
        <w:rPr>
          <w:rFonts w:ascii="Times New Roman" w:hAnsi="Times New Roman" w:cs="Times New Roman"/>
          <w:b/>
          <w:bCs/>
          <w:color w:val="auto"/>
          <w:sz w:val="24"/>
          <w:szCs w:val="24"/>
        </w:rPr>
        <w:t>D</w:t>
      </w:r>
      <w:r w:rsidRPr="005240A1">
        <w:rPr>
          <w:rFonts w:ascii="Times New Roman" w:hAnsi="Times New Roman" w:cs="Times New Roman"/>
          <w:b/>
          <w:bCs/>
          <w:color w:val="auto"/>
          <w:sz w:val="24"/>
          <w:szCs w:val="24"/>
        </w:rPr>
        <w:t xml:space="preserve">ispersal </w:t>
      </w:r>
      <w:r w:rsidR="00E612F5" w:rsidRPr="005240A1">
        <w:rPr>
          <w:rFonts w:ascii="Times New Roman" w:hAnsi="Times New Roman" w:cs="Times New Roman"/>
          <w:b/>
          <w:bCs/>
          <w:color w:val="auto"/>
          <w:sz w:val="24"/>
          <w:szCs w:val="24"/>
        </w:rPr>
        <w:t>I</w:t>
      </w:r>
      <w:r w:rsidRPr="005240A1">
        <w:rPr>
          <w:rFonts w:ascii="Times New Roman" w:hAnsi="Times New Roman" w:cs="Times New Roman"/>
          <w:b/>
          <w:bCs/>
          <w:color w:val="auto"/>
          <w:sz w:val="24"/>
          <w:szCs w:val="24"/>
        </w:rPr>
        <w:t>nteractions</w:t>
      </w:r>
      <w:r w:rsidR="00C12FAE" w:rsidRPr="005240A1">
        <w:rPr>
          <w:rFonts w:ascii="Times New Roman" w:hAnsi="Times New Roman" w:cs="Times New Roman"/>
          <w:b/>
          <w:bCs/>
          <w:color w:val="auto"/>
          <w:sz w:val="24"/>
          <w:szCs w:val="24"/>
        </w:rPr>
        <w:t xml:space="preserve"> via Ecological Networks</w:t>
      </w:r>
      <w:bookmarkEnd w:id="50"/>
    </w:p>
    <w:p w14:paraId="5B3E7892" w14:textId="2314708B" w:rsidR="00044A02" w:rsidRPr="0091546D" w:rsidRDefault="00044A02" w:rsidP="00D77075">
      <w:pPr>
        <w:pStyle w:val="NormalWeb"/>
        <w:spacing w:before="0" w:beforeAutospacing="0" w:after="0" w:afterAutospacing="0" w:line="360" w:lineRule="auto"/>
        <w:ind w:firstLine="720"/>
        <w:rPr>
          <w:color w:val="000000" w:themeColor="text1"/>
        </w:rPr>
      </w:pPr>
      <w:r w:rsidRPr="00A404BB">
        <w:rPr>
          <w:color w:val="000000" w:themeColor="text1"/>
        </w:rPr>
        <w:t xml:space="preserve">Ecological networks provide a valuable framework for evaluating species interactions, their roles within communities, and the influence of emerging network structures on the stability </w:t>
      </w:r>
      <w:r w:rsidR="0091546D">
        <w:rPr>
          <w:color w:val="000000" w:themeColor="text1"/>
        </w:rPr>
        <w:t xml:space="preserve">and maintenance of </w:t>
      </w:r>
      <w:r w:rsidRPr="00A404BB">
        <w:rPr>
          <w:color w:val="000000" w:themeColor="text1"/>
        </w:rPr>
        <w:t xml:space="preserve">ecosystem functions </w:t>
      </w:r>
      <w:r w:rsidRPr="00A404BB">
        <w:rPr>
          <w:color w:val="000000" w:themeColor="text1"/>
        </w:rPr>
        <w:fldChar w:fldCharType="begin"/>
      </w:r>
      <w:r w:rsidRPr="00A404BB">
        <w:rPr>
          <w:color w:val="000000" w:themeColor="text1"/>
        </w:rPr>
        <w:instrText xml:space="preserve"> ADDIN ZOTERO_ITEM CSL_CITATION {"citationID":"0nVtFz2F","properties":{"formattedCitation":"(Bascompte &amp; Jordano, 2007; Escribano-Avila et al., 2018; Jordano, 2016)","plainCitation":"(Bascompte &amp; Jordano, 2007; Escribano-Avila et al., 2018; Jordano, 2016)","noteIndex":0},"citationItems":[{"id":304,"uris":["http://zotero.org/users/12345038/items/3FVW3WZC"],"itemData":{"id":304,"type":"article-journal","abstract":"The mutually beneﬁcial interactions between plants and their animal pollinators and seed dispersers have been paramount in the generation of Earth’s biodiversity. These mutualistic interactions often involve dozens or even hundreds of species that form complex networks of interdependences. Understanding how coevolution proceeds in these highly diversiﬁed mutualisms among freeliving species presents a conceptual challenge. Recent work has led to the unambiguous conclusion that mutualistic networks are very heterogeneous (the bulk of the species have a few interactions, but a few species are much more connected than expected by chance), nested (specialists interact with subsets of the species with which generalists interact), and built on weak and asymmetric links among species. Both ecological variables (e.g., phenology, local abundance, and geographic range) and past evolutionary history may explain such network patterns. Network structure has important implications for the coexistence and stability of species as well as for the coevolutionary process. Mutualistic networks can thus be regarded as the architecture of biodiversity.","container-title":"Annual Review of Ecology, Evolution, and Systematics","DOI":"10.1146/annurev.ecolsys.38.091206.095818","ISSN":"1543-592X, 1545-2069","issue":"1","journalAbbreviation":"Annu. Rev. Ecol. Evol. Syst.","language":"en","page":"567-593","source":"DOI.org (Crossref)","title":"Plant-Animal Mutualistic Networks: The Architecture of Biodiversity","title-short":"Plant-Animal Mutualistic Networks","volume":"38","author":[{"family":"Bascompte","given":"Jordi"},{"family":"Jordano","given":"Pedro"}],"issued":{"date-parts":[["2007",12,1]]}}},{"id":545,"uris":["http://zotero.org/users/12345038/items/ND967GY7"],"itemData":{"id":545,"type":"chapter","abstract":"Seed dispersal mediated by animals is a pivotal ecological interaction in the tropics. Despite a long tradition of tropical seed dispersal studies, only recently the drivers of the structure of seed dispersal networks are beginning to be uncovered at macroecological scales. The knowledge on tropical seed dispersal comes mainly from avian dispersal studies in the Neotropics while other frugivores and tropical regions are strongly understudied. The networks sampled with a combination of visitation census and seed recovery from feces seem more reliable of the number of detected links and web asymmetry than networks based on a single method. Our review reveals that keystone species in most networks share a set of functional traits likely influenced by species phylogeny. Woody plants bearing small berries (in the Melastomataceae, Myrtaceae, Moraceae, and Urticaceae families) were the most frequent keystone plants whereas two groups of keystone animals could be identified, namely: small obligate frugivores (Pipridae and Thraupidae) and large animals including a variety of taxonomic groups such as cracids, rodents, monkeys, and megafauna. Large keystone species tend to face a higher extinction risk leading to a concern on the sustainability of the dispersal services they provide, mainly to large-­ seeded plant species that are essential to ecosystem functioning.","container-title":"Ecological Networks in the Tropics","event-place":"Cham","ISBN":"978-3-319-68227-3","language":"en","note":"DOI: 10.1007/978-3-319-68228-0_7","page":"93-110","publisher":"Springer International Publishing","publisher-place":"Cham","source":"DOI.org (Crossref)","title":"Tropical Seed Dispersal Networks: Emerging Patterns, Biases, and Keystone Species Traits","title-short":"Tropical Seed Dispersal Networks","URL":"http://link.springer.com/10.1007/978-3-319-68228-0_7","editor":[{"family":"Dáttilo","given":"Wesley"},{"family":"Rico-Gray","given":"Victor"}],"author":[{"family":"Escribano-Avila","given":"Gema"},{"family":"Lara-Romero","given":"Carlos"},{"family":"Heleno","given":"Ruben"},{"family":"Traveset","given":"Anna"}],"accessed":{"date-parts":[["2023",3,2]]},"issued":{"date-parts":[["2018"]]}}},{"id":118,"uris":["http://zotero.org/users/12345038/items/EKUYESSX"],"itemData":{"id":118,"type":"article-journal","container-title":"Functional Ecology","DOI":"10.1111/1365-2435.12763","ISSN":"0269-8463, 1365-2435","issue":"12","journalAbbreviation":"Funct Ecol","language":"en","page":"1883-1893","source":"DOI.org (Crossref)","title":"Sampling networks of ecological interactions","volume":"30","author":[{"family":"Jordano","given":"Pedro"}],"editor":[{"family":"Stouffer","given":"Daniel"}],"issued":{"date-parts":[["2016",12]]}}}],"schema":"https://github.com/citation-style-language/schema/raw/master/csl-citation.json"} </w:instrText>
      </w:r>
      <w:r w:rsidRPr="00A404BB">
        <w:rPr>
          <w:color w:val="000000" w:themeColor="text1"/>
        </w:rPr>
        <w:fldChar w:fldCharType="separate"/>
      </w:r>
      <w:r w:rsidRPr="00A404BB">
        <w:rPr>
          <w:noProof/>
          <w:color w:val="000000" w:themeColor="text1"/>
        </w:rPr>
        <w:t>(Bascompte &amp; Jordano, 2007; Escribano-Avila et al., 2018; Jordano, 2016)</w:t>
      </w:r>
      <w:r w:rsidRPr="00A404BB">
        <w:rPr>
          <w:color w:val="000000" w:themeColor="text1"/>
        </w:rPr>
        <w:fldChar w:fldCharType="end"/>
      </w:r>
      <w:r w:rsidRPr="00A404BB">
        <w:rPr>
          <w:color w:val="000000" w:themeColor="text1"/>
        </w:rPr>
        <w:t xml:space="preserve">. </w:t>
      </w:r>
      <w:r w:rsidR="0091546D" w:rsidRPr="00A404BB">
        <w:rPr>
          <w:color w:val="000000" w:themeColor="text1"/>
        </w:rPr>
        <w:t>Specifically, seed-dispersal networks highlight the complexity of plant-animal interactions and their critical role in sustaining ecosystem functions.</w:t>
      </w:r>
      <w:r w:rsidR="0091546D">
        <w:rPr>
          <w:color w:val="000000" w:themeColor="text1"/>
        </w:rPr>
        <w:t xml:space="preserve"> </w:t>
      </w:r>
      <w:r w:rsidRPr="00A404BB">
        <w:rPr>
          <w:color w:val="000000" w:themeColor="text1"/>
        </w:rPr>
        <w:t xml:space="preserve">Studying species interactions can offer more insightful indicators of </w:t>
      </w:r>
      <w:r w:rsidR="0091546D">
        <w:rPr>
          <w:color w:val="000000" w:themeColor="text1"/>
        </w:rPr>
        <w:t>ecosystem recovery</w:t>
      </w:r>
      <w:r w:rsidRPr="00A404BB">
        <w:rPr>
          <w:color w:val="000000" w:themeColor="text1"/>
        </w:rPr>
        <w:t xml:space="preserve"> than</w:t>
      </w:r>
      <w:r w:rsidR="0091546D">
        <w:rPr>
          <w:color w:val="000000" w:themeColor="text1"/>
        </w:rPr>
        <w:t xml:space="preserve"> </w:t>
      </w:r>
      <w:r w:rsidRPr="00A404BB">
        <w:rPr>
          <w:color w:val="000000" w:themeColor="text1"/>
        </w:rPr>
        <w:t>traditional measures</w:t>
      </w:r>
      <w:r w:rsidR="0091546D">
        <w:rPr>
          <w:color w:val="000000" w:themeColor="text1"/>
        </w:rPr>
        <w:t xml:space="preserve"> of diversity that use</w:t>
      </w:r>
      <w:r w:rsidRPr="00A404BB">
        <w:rPr>
          <w:color w:val="000000" w:themeColor="text1"/>
        </w:rPr>
        <w:t xml:space="preserve"> </w:t>
      </w:r>
      <w:r w:rsidR="0091546D">
        <w:rPr>
          <w:color w:val="000000" w:themeColor="text1"/>
        </w:rPr>
        <w:t>solely species</w:t>
      </w:r>
      <w:r w:rsidRPr="00A404BB">
        <w:rPr>
          <w:color w:val="000000" w:themeColor="text1"/>
        </w:rPr>
        <w:t xml:space="preserve"> </w:t>
      </w:r>
      <w:r w:rsidR="0091546D">
        <w:rPr>
          <w:color w:val="000000" w:themeColor="text1"/>
        </w:rPr>
        <w:t xml:space="preserve">abundance </w:t>
      </w:r>
      <w:r w:rsidRPr="00A404BB">
        <w:rPr>
          <w:color w:val="000000" w:themeColor="text1"/>
        </w:rPr>
        <w:t xml:space="preserve">data </w:t>
      </w:r>
      <w:r w:rsidRPr="00A404BB">
        <w:rPr>
          <w:color w:val="000000" w:themeColor="text1"/>
        </w:rPr>
        <w:fldChar w:fldCharType="begin"/>
      </w:r>
      <w:r w:rsidRPr="00A404BB">
        <w:rPr>
          <w:color w:val="000000" w:themeColor="text1"/>
        </w:rPr>
        <w:instrText xml:space="preserve"> ADDIN ZOTERO_ITEM CSL_CITATION {"citationID":"i641xb94","properties":{"formattedCitation":"(Valiente\\uc0\\u8208{}Banuet et al., 2015)","plainCitation":"(Valiente‐Banuet et al., 2015)","noteIndex":0},"citationItems":[{"id":298,"uris":["http://zotero.org/users/12345038/items/8FTZMJW4"],"itemData":{"id":298,"type":"article-journal","container-title":"Functional Ecology","DOI":"10.1111/1365-2435.12356","ISSN":"0269-8463, 1365-2435","issue":"3","journalAbbreviation":"Funct Ecol","language":"en","page":"299-307","source":"DOI.org (Crossref)","title":"Beyond species loss: the extinction of ecological interactions in a changing world","title-short":"Beyond species loss","volume":"29","author":[{"family":"Valiente‐Banuet","given":"Alfonso"},{"family":"Aizen","given":"Marcelo A."},{"family":"Alcántara","given":"Julio M."},{"family":"Arroyo","given":"Juan"},{"family":"Cocucci","given":"Andrea"},{"family":"Galetti","given":"Mauro"},{"family":"García","given":"María B."},{"family":"García","given":"Daniel"},{"family":"Gómez","given":"José M."},{"family":"Jordano","given":"Pedro"},{"family":"Medel","given":"Rodrigo"},{"family":"Navarro","given":"Luis"},{"family":"Obeso","given":"José R."},{"family":"Oviedo","given":"Ramona"},{"family":"Ramírez","given":"Nelson"},{"family":"Rey","given":"Pedro J."},{"family":"Traveset","given":"Anna"},{"family":"Verdú","given":"Miguel"},{"family":"Zamora","given":"Regino"}],"editor":[{"family":"Johnson","given":"Marc"}],"issued":{"date-parts":[["2015",3]]}}}],"schema":"https://github.com/citation-style-language/schema/raw/master/csl-citation.json"} </w:instrText>
      </w:r>
      <w:r w:rsidRPr="00A404BB">
        <w:rPr>
          <w:color w:val="000000" w:themeColor="text1"/>
        </w:rPr>
        <w:fldChar w:fldCharType="separate"/>
      </w:r>
      <w:r w:rsidRPr="00A404BB">
        <w:rPr>
          <w:color w:val="000000" w:themeColor="text1"/>
        </w:rPr>
        <w:t>(Valiente‐Banuet et al., 2015)</w:t>
      </w:r>
      <w:r w:rsidRPr="00A404BB">
        <w:rPr>
          <w:color w:val="000000" w:themeColor="text1"/>
        </w:rPr>
        <w:fldChar w:fldCharType="end"/>
      </w:r>
      <w:r w:rsidRPr="00A404BB">
        <w:rPr>
          <w:color w:val="000000" w:themeColor="text1"/>
        </w:rPr>
        <w:t xml:space="preserve">. </w:t>
      </w:r>
      <w:r w:rsidR="0091546D">
        <w:rPr>
          <w:color w:val="000000" w:themeColor="text1"/>
        </w:rPr>
        <w:t xml:space="preserve">Interaction </w:t>
      </w:r>
      <w:r w:rsidRPr="00A404BB">
        <w:rPr>
          <w:color w:val="000000" w:themeColor="text1"/>
        </w:rPr>
        <w:t xml:space="preserve">networks have become essential for advancing forest management and conservation </w:t>
      </w:r>
      <w:r w:rsidR="0091546D">
        <w:rPr>
          <w:color w:val="000000" w:themeColor="text1"/>
        </w:rPr>
        <w:t>where m</w:t>
      </w:r>
      <w:r w:rsidR="0091546D" w:rsidRPr="005240A1">
        <w:rPr>
          <w:color w:val="000000" w:themeColor="text1"/>
        </w:rPr>
        <w:t>easures such as nestedness (</w:t>
      </w:r>
      <w:r w:rsidR="0091546D" w:rsidRPr="005240A1">
        <w:rPr>
          <w:color w:val="001D35"/>
        </w:rPr>
        <w:t>interactions of species with fewer partners form a subset of the interactions of species with more partners</w:t>
      </w:r>
      <w:r w:rsidR="0091546D" w:rsidRPr="005240A1">
        <w:rPr>
          <w:color w:val="000000" w:themeColor="text1"/>
        </w:rPr>
        <w:t>) and specialization (</w:t>
      </w:r>
      <w:r w:rsidR="0091546D" w:rsidRPr="005240A1">
        <w:rPr>
          <w:color w:val="001D35"/>
        </w:rPr>
        <w:t>where species develop specific roles or dependencies on a limited number of other species</w:t>
      </w:r>
      <w:r w:rsidR="0091546D" w:rsidRPr="005240A1">
        <w:rPr>
          <w:color w:val="000000" w:themeColor="text1"/>
        </w:rPr>
        <w:t xml:space="preserve">) are </w:t>
      </w:r>
      <w:r w:rsidR="0091546D">
        <w:rPr>
          <w:color w:val="000000" w:themeColor="text1"/>
        </w:rPr>
        <w:t xml:space="preserve">patterns </w:t>
      </w:r>
      <w:r w:rsidR="0091546D" w:rsidRPr="005240A1">
        <w:rPr>
          <w:color w:val="000000" w:themeColor="text1"/>
        </w:rPr>
        <w:t>strongly linked to biodiversity</w:t>
      </w:r>
      <w:r w:rsidR="0091546D" w:rsidRPr="00A404BB">
        <w:rPr>
          <w:color w:val="000000" w:themeColor="text1"/>
        </w:rPr>
        <w:t xml:space="preserve"> maintenance and conservation priorities </w:t>
      </w:r>
      <w:r w:rsidR="0091546D" w:rsidRPr="00A404BB">
        <w:rPr>
          <w:color w:val="000000" w:themeColor="text1"/>
        </w:rPr>
        <w:fldChar w:fldCharType="begin"/>
      </w:r>
      <w:r w:rsidR="0091546D" w:rsidRPr="00A404BB">
        <w:rPr>
          <w:color w:val="000000" w:themeColor="text1"/>
        </w:rPr>
        <w:instrText xml:space="preserve"> ADDIN ZOTERO_ITEM CSL_CITATION {"citationID":"au52NPOH","properties":{"formattedCitation":"(Howe, 2016)","plainCitation":"(Howe, 2016)","noteIndex":0},"citationItems":[{"id":81,"uris":["http://zotero.org/users/12345038/items/X5RS4I7S"],"itemData":{"id":81,"type":"article-journal","abstract":"Dispersal syndromes and networks must be used cautiously in conserving and restoring seed-dispersal processes. In many tropical forests most tree and shrub species require dispersal by animals for local persistence and for migration in response to environmental change. The most important errors to avoid in practical use of both dispersal syndromes (suites of fruit and seed characteristics that attract different dispersal agents) and network modules (groups of interacting dispersal agents and plants bearing fruits or seeds that they eat) are: (1) assuming that use of fruit resources by fruit-eating animals implies effective seed dispersal; (2) assuming that superficially similar fruits imply equally effective dispersal by similar animals, and (3) assuming that fruit resources at issue support animal populations. This essay explores strengths and weaknesses of uses of dispersal syndromes and disperser networks modules in conservation and restoration. Examples include some that are consistent with expectations from syndrome categorization and some that are not. An unappreciated weakness in using either dispersal syndromes or network modules is that contingent foraging by animals in highly disturbed habitats, now comprising 60%–70% of tropical land biomes, may not resemble foraging choices or consequences in protected closed forests, where most research on tropical seed dispersal is done. General prescriptions for the future include maintaining or creating habitat heterogeneity in largely deforested landscapes where remnant closed forests still exist, and active restoration in landscapes where little heterogeneity remains. In both cases, adaptations of multiple frame-work tree approaches have the best chance of preserving or enhancing populations of animal-dispersed trees and their seed vectors, and in opening migration paths in response to climate change.","container-title":"Global Ecology and Conservation","DOI":"10.1016/j.gecco.2016.03.002","ISSN":"23519894","journalAbbreviation":"Global Ecology and Conservation","language":"en","page":"152-178","source":"DOI.org (Crossref)","title":"Making dispersal syndromes and networks useful in tropical conservation and restoration","volume":"6","author":[{"family":"Howe","given":"Henry F."}],"issued":{"date-parts":[["2016",4]]}}}],"schema":"https://github.com/citation-style-language/schema/raw/master/csl-citation.json"} </w:instrText>
      </w:r>
      <w:r w:rsidR="0091546D" w:rsidRPr="00A404BB">
        <w:rPr>
          <w:color w:val="000000" w:themeColor="text1"/>
        </w:rPr>
        <w:fldChar w:fldCharType="separate"/>
      </w:r>
      <w:r w:rsidR="0091546D" w:rsidRPr="00A404BB">
        <w:rPr>
          <w:noProof/>
          <w:color w:val="000000" w:themeColor="text1"/>
        </w:rPr>
        <w:t>(Howe, 2016)</w:t>
      </w:r>
      <w:r w:rsidR="0091546D" w:rsidRPr="00A404BB">
        <w:rPr>
          <w:color w:val="000000" w:themeColor="text1"/>
        </w:rPr>
        <w:fldChar w:fldCharType="end"/>
      </w:r>
      <w:r w:rsidR="0091546D" w:rsidRPr="00A404BB">
        <w:rPr>
          <w:color w:val="000000" w:themeColor="text1"/>
        </w:rPr>
        <w:t>.</w:t>
      </w:r>
      <w:r w:rsidR="0091546D">
        <w:rPr>
          <w:color w:val="000000" w:themeColor="text1"/>
        </w:rPr>
        <w:t xml:space="preserve"> Ecological networks can also identify </w:t>
      </w:r>
      <w:r w:rsidRPr="00A404BB">
        <w:rPr>
          <w:color w:val="000000" w:themeColor="text1"/>
        </w:rPr>
        <w:t>keystone species</w:t>
      </w:r>
      <w:r w:rsidR="0091546D">
        <w:rPr>
          <w:color w:val="000000" w:themeColor="text1"/>
        </w:rPr>
        <w:t>, or those that play critical roles through their interactions, by utilizing species-level</w:t>
      </w:r>
      <w:r w:rsidRPr="00A404BB">
        <w:rPr>
          <w:color w:val="000000" w:themeColor="text1"/>
        </w:rPr>
        <w:t xml:space="preserve"> network indices </w:t>
      </w:r>
      <w:r w:rsidRPr="00A404BB">
        <w:rPr>
          <w:color w:val="000000" w:themeColor="text1"/>
        </w:rPr>
        <w:fldChar w:fldCharType="begin"/>
      </w:r>
      <w:r w:rsidRPr="00A404BB">
        <w:rPr>
          <w:color w:val="000000" w:themeColor="text1"/>
        </w:rPr>
        <w:instrText xml:space="preserve"> ADDIN ZOTERO_ITEM CSL_CITATION {"citationID":"KRfRnPtF","properties":{"formattedCitation":"(Hagen et al., 2012)","plainCitation":"(Hagen et al., 2012)","noteIndex":0},"citationItems":[{"id":101,"uris":["http://zotero.org/users/12345038/items/TP8XGR8E"],"itemData":{"id":101,"type":"chapter","abstract":"Biodiversity is organised into complex ecological networks of interacting species in local ecosystems, but our knowledge about the effects of habitat fragmentation on such systems remains limited. We consider the effects of this key driver of both local and global change on both mutualistic and antagonistic systems at different levels of biological organisation and spatiotemporal scales.","container-title":"Advances in Ecological Research","ISBN":"978-0-12-396992-7","language":"en","note":"DOI: 10.1016/B978-0-12-396992-7.00002-2","page":"89-210","publisher":"Elsevier","source":"DOI.org (Crossref)","title":"Biodiversity, Species Interactions and Ecological Networks in a Fragmented World","URL":"https://linkinghub.elsevier.com/retrieve/pii/B9780123969927000022","volume":"46","author":[{"family":"Hagen","given":"Melanie"},{"family":"Kissling","given":"W. Daniel"},{"family":"Rasmussen","given":"Claus"},{"family":"De Aguiar","given":"Marcus A.M."},{"family":"Brown","given":"Lee E."},{"family":"Carstensen","given":"Daniel W."},{"family":"Alves-Dos-Santos","given":"Isabel"},{"family":"Dupont","given":"Yoko L."},{"family":"Edwards","given":"Francois K."},{"family":"Genini","given":"Julieta"},{"family":"Guimarães","given":"Paulo R."},{"family":"Jenkins","given":"Gareth B."},{"family":"Jordano","given":"Pedro"},{"family":"Kaiser-Bunbury","given":"Christopher N."},{"family":"Ledger","given":"Mark E."},{"family":"Maia","given":"Kate P."},{"family":"Marquitti","given":"Flavia M. Darcie"},{"family":"Mclaughlin","given":"Órla"},{"family":"Morellato","given":"L. Patricia C."},{"family":"O'Gorman","given":"Eoin J."},{"family":"Trøjelsgaard","given":"Kristian"},{"family":"Tylianakis","given":"Jason M."},{"family":"Vidal","given":"Mariana Morais"},{"family":"Woodward","given":"Guy"},{"family":"Olesen","given":"Jens M."}],"accessed":{"date-parts":[["2022",9,6]]},"issued":{"date-parts":[["2012"]]}}}],"schema":"https://github.com/citation-style-language/schema/raw/master/csl-citation.json"} </w:instrText>
      </w:r>
      <w:r w:rsidRPr="00A404BB">
        <w:rPr>
          <w:color w:val="000000" w:themeColor="text1"/>
        </w:rPr>
        <w:fldChar w:fldCharType="separate"/>
      </w:r>
      <w:r w:rsidRPr="00A404BB">
        <w:rPr>
          <w:noProof/>
          <w:color w:val="000000" w:themeColor="text1"/>
        </w:rPr>
        <w:t>(Hagen et al., 2012)</w:t>
      </w:r>
      <w:r w:rsidRPr="00A404BB">
        <w:rPr>
          <w:color w:val="000000" w:themeColor="text1"/>
        </w:rPr>
        <w:fldChar w:fldCharType="end"/>
      </w:r>
      <w:r w:rsidRPr="005240A1">
        <w:rPr>
          <w:color w:val="000000" w:themeColor="text1"/>
        </w:rPr>
        <w:t xml:space="preserve">. </w:t>
      </w:r>
      <w:r w:rsidRPr="00A404BB">
        <w:rPr>
          <w:color w:val="000000" w:themeColor="text1"/>
        </w:rPr>
        <w:t xml:space="preserve">Given increasing </w:t>
      </w:r>
      <w:r w:rsidR="0091546D">
        <w:rPr>
          <w:color w:val="000000" w:themeColor="text1"/>
        </w:rPr>
        <w:t xml:space="preserve">levels of </w:t>
      </w:r>
      <w:r w:rsidRPr="00A404BB">
        <w:rPr>
          <w:color w:val="000000" w:themeColor="text1"/>
        </w:rPr>
        <w:t xml:space="preserve">environmental </w:t>
      </w:r>
      <w:r w:rsidR="0091546D">
        <w:rPr>
          <w:color w:val="000000" w:themeColor="text1"/>
        </w:rPr>
        <w:t>degradation in tropical forest ecosystems,</w:t>
      </w:r>
      <w:r w:rsidRPr="00A404BB">
        <w:rPr>
          <w:color w:val="000000" w:themeColor="text1"/>
        </w:rPr>
        <w:t xml:space="preserve"> integrating interaction networks into restoration </w:t>
      </w:r>
      <w:r w:rsidRPr="00A404BB">
        <w:rPr>
          <w:color w:val="000000" w:themeColor="text1"/>
        </w:rPr>
        <w:lastRenderedPageBreak/>
        <w:t>ecology is urgent, as these networks provide insights into how ecological complexity</w:t>
      </w:r>
      <w:r w:rsidR="0091546D">
        <w:rPr>
          <w:color w:val="000000" w:themeColor="text1"/>
        </w:rPr>
        <w:t xml:space="preserve"> is</w:t>
      </w:r>
      <w:r w:rsidRPr="00A404BB">
        <w:rPr>
          <w:color w:val="000000" w:themeColor="text1"/>
        </w:rPr>
        <w:t xml:space="preserve"> restored to ensure long-term ecosystem functionality </w:t>
      </w:r>
      <w:r w:rsidRPr="00A404BB">
        <w:rPr>
          <w:color w:val="000000" w:themeColor="text1"/>
        </w:rPr>
        <w:fldChar w:fldCharType="begin"/>
      </w:r>
      <w:r w:rsidRPr="00A404BB">
        <w:rPr>
          <w:color w:val="000000" w:themeColor="text1"/>
        </w:rPr>
        <w:instrText xml:space="preserve"> ADDIN ZOTERO_ITEM CSL_CITATION {"citationID":"TDEzYsEc","properties":{"formattedCitation":"(Moreno-Mateos et al., 2020a)","plainCitation":"(Moreno-Mateos et al., 2020a)","dontUpdate":true,"noteIndex":0},"citationItems":[{"id":296,"uris":["http://zotero.org/users/12345038/items/NEGFHESI"],"itemData":{"id":296,"type":"article-journal","container-title":"Nature Ecology &amp; Evolution","DOI":"10.1038/s41559-020-1154-1","ISSN":"2397-334X","issue":"5","journalAbbreviation":"Nat Ecol Evol","language":"en","page":"676-685","source":"DOI.org (Crossref)","title":"The long-term restoration of ecosystem complexity","volume":"4","author":[{"family":"Moreno-Mateos","given":"David"},{"family":"Alberdi","given":"Antton"},{"family":"Morriën","given":"Elly"},{"family":"Putten","given":"Wim H.","non-dropping-particle":"van der"},{"family":"Rodríguez-Uña","given":"Asun"},{"family":"Montoya","given":"Daniel"}],"issued":{"date-parts":[["2020",5]]}}}],"schema":"https://github.com/citation-style-language/schema/raw/master/csl-citation.json"} </w:instrText>
      </w:r>
      <w:r w:rsidRPr="00A404BB">
        <w:rPr>
          <w:color w:val="000000" w:themeColor="text1"/>
        </w:rPr>
        <w:fldChar w:fldCharType="separate"/>
      </w:r>
      <w:r w:rsidRPr="00A404BB">
        <w:rPr>
          <w:noProof/>
          <w:color w:val="000000" w:themeColor="text1"/>
        </w:rPr>
        <w:t>(Moreno-Mateos et al., 2020)</w:t>
      </w:r>
      <w:r w:rsidRPr="00A404BB">
        <w:rPr>
          <w:color w:val="000000" w:themeColor="text1"/>
        </w:rPr>
        <w:fldChar w:fldCharType="end"/>
      </w:r>
      <w:r w:rsidRPr="00A404BB">
        <w:rPr>
          <w:color w:val="000000" w:themeColor="text1"/>
        </w:rPr>
        <w:t>.</w:t>
      </w:r>
    </w:p>
    <w:p w14:paraId="06A46311" w14:textId="2699145F" w:rsidR="00044A02" w:rsidRDefault="00044A02" w:rsidP="00D77075">
      <w:pPr>
        <w:spacing w:before="0" w:after="0"/>
        <w:ind w:firstLine="720"/>
        <w:rPr>
          <w:rFonts w:ascii="Times New Roman" w:hAnsi="Times New Roman" w:cs="Times New Roman"/>
        </w:rPr>
      </w:pPr>
      <w:r w:rsidRPr="00B066C6">
        <w:rPr>
          <w:rFonts w:ascii="Times New Roman" w:hAnsi="Times New Roman" w:cs="Times New Roman"/>
        </w:rPr>
        <w:t xml:space="preserve">Typically, species interactions within seed dispersal networks are depicted through bipartite networks, which use adjacency matrices to visualize relationships between two distinct groups, such as plant and disperser species. In these matrices, disperser species are represented in rows, plant species in columns, and </w:t>
      </w:r>
      <w:r w:rsidR="00417269">
        <w:rPr>
          <w:rFonts w:ascii="Times New Roman" w:hAnsi="Times New Roman" w:cs="Times New Roman"/>
        </w:rPr>
        <w:t>seed dispersal events</w:t>
      </w:r>
      <w:r w:rsidRPr="00B066C6">
        <w:rPr>
          <w:rFonts w:ascii="Times New Roman" w:hAnsi="Times New Roman" w:cs="Times New Roman"/>
        </w:rPr>
        <w:t xml:space="preserve"> as data entries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{"citationID":"x2m9iE7Z","properties":{"formattedCitation":"(Bascompte et al., 2003)","plainCitation":"(Bascompte et al., 2003)","noteIndex":0},"citationItems":[{"id":29,"uris":["http://zotero.org/users/12345038/items/L4IKBVVI"],"itemData":{"id":29,"type":"article-journal","abstract":"Most studies of plant–animal mutualisms involve a small number of\n species. There is almost no information on the structural organization of\n species-rich mutualistic networks despite its potential importance for the\n maintenance of diversity. Here we analyze 52 mutualistic networks and show\n that they are highly nested; that is, the more specialist species interact\n only with proper subsets of those species interacting with the more\n generalists. This assembly pattern generates highly asymmetrical interactions\n and organizes the community cohesively around a central core of interactions.\n Thus, mutualistic networks are neither randomly assembled nor organized in\n compartments arising from tight, parallel specialization. Furthermore,\n nestedness increases with the complexity (number of interactions) of the\n network: for a given number of species, communities with more interactions are\n significantly more nested. Our results indicate a nonrandom pattern of\n community organization that may be relevant for our understanding of the\n organization and persistence of biodiversity.","container-title":"Proceedings of the National Academy of Sciences","DOI":"10.1073/pnas.1633576100","ISSN":"0027-8424, 1091-6490","issue":"16","journalAbbreviation":"Proc. Natl. Acad. Sci. U.S.A.","language":"en","page":"9383-9387","source":"DOI.org (Crossref)","title":"The nested assembly of plant–animal mutualistic networks","volume":"100","author":[{"family":"Bascompte","given":"Jordi"},{"family":"Jordano","given":"Pedro"},{"family":"Melián","given":"Carlos J."},{"family":"Olesen","given":"Jens M."}],"issued":{"date-parts":[["2003",8,5]]}}}],"schema":"https://github.com/citation-style-language/schema/raw/master/csl-citation.json"}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(Bascompte et al., 2003)</w:t>
      </w:r>
      <w:r w:rsidRPr="00B066C6">
        <w:rPr>
          <w:rFonts w:ascii="Times New Roman" w:hAnsi="Times New Roman" w:cs="Times New Roman"/>
        </w:rPr>
        <w:fldChar w:fldCharType="end"/>
      </w:r>
      <w:r w:rsidRPr="00B066C6">
        <w:rPr>
          <w:rFonts w:ascii="Times New Roman" w:hAnsi="Times New Roman" w:cs="Times New Roman"/>
        </w:rPr>
        <w:t>. These interactions can be recorded as binary presence-absence data (0-1)</w:t>
      </w:r>
      <w:r>
        <w:rPr>
          <w:rFonts w:ascii="Times New Roman" w:hAnsi="Times New Roman" w:cs="Times New Roman"/>
        </w:rPr>
        <w:t xml:space="preserve"> </w:t>
      </w:r>
      <w:r w:rsidRPr="00B066C6">
        <w:rPr>
          <w:rFonts w:ascii="Times New Roman" w:hAnsi="Times New Roman" w:cs="Times New Roman"/>
        </w:rPr>
        <w:t xml:space="preserve">or as quantitative weightings, where interaction intensity reflects the frequency or strength of dispersal relationships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{"citationID":"wQabNL9w","properties":{"formattedCitation":"(Jordano, 2016)","plainCitation":"(Jordano, 2016)","noteIndex":0},"citationItems":[{"id":118,"uris":["http://zotero.org/users/12345038/items/EKUYESSX"],"itemData":{"id":118,"type":"article-journal","container-title":"Functional Ecology","DOI":"10.1111/1365-2435.12763","ISSN":"0269-8463, 1365-2435","issue":"12","journalAbbreviation":"Funct Ecol","language":"en","page":"1883-1893","source":"DOI.org (Crossref)","title":"Sampling networks of ecological interactions","volume":"30","author":[{"family":"Jordano","given":"Pedro"}],"editor":[{"family":"Stouffer","given":"Daniel"}],"issued":{"date-parts":[["2016",12]]}}}],"schema":"https://github.com/citation-style-language/schema/raw/master/csl-citation.json"}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(Jordano, 2016)</w:t>
      </w:r>
      <w:r w:rsidRPr="00B066C6">
        <w:rPr>
          <w:rFonts w:ascii="Times New Roman" w:hAnsi="Times New Roman" w:cs="Times New Roman"/>
        </w:rPr>
        <w:fldChar w:fldCharType="end"/>
      </w:r>
      <w:r w:rsidRPr="00B066C6">
        <w:rPr>
          <w:rFonts w:ascii="Times New Roman" w:hAnsi="Times New Roman" w:cs="Times New Roman"/>
        </w:rPr>
        <w:t xml:space="preserve">. Most ecological networks rely on frequency-based data, such as the number of seeds consumed by a disperser species through focal observations. Weighted interaction networks provide a more nuanced understanding of interaction strength, allowing researchers to estimate not just whether species interact, but how frequently these interactions occur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{"citationID":"J5EcEPvz","properties":{"formattedCitation":"(Jordano, 2016)","plainCitation":"(Jordano, 2016)","noteIndex":0},"citationItems":[{"id":118,"uris":["http://zotero.org/users/12345038/items/EKUYESSX"],"itemData":{"id":118,"type":"article-journal","container-title":"Functional Ecology","DOI":"10.1111/1365-2435.12763","ISSN":"0269-8463, 1365-2435","issue":"12","journalAbbreviation":"Funct Ecol","language":"en","page":"1883-1893","source":"DOI.org (Crossref)","title":"Sampling networks of ecological interactions","volume":"30","author":[{"family":"Jordano","given":"Pedro"}],"editor":[{"family":"Stouffer","given":"Daniel"}],"issued":{"date-parts":[["2016",12]]}}}],"schema":"https://github.com/citation-style-language/schema/raw/master/csl-citation.json"}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(Jordano, 2016)</w:t>
      </w:r>
      <w:r w:rsidRPr="00B066C6">
        <w:rPr>
          <w:rFonts w:ascii="Times New Roman" w:hAnsi="Times New Roman" w:cs="Times New Roman"/>
        </w:rPr>
        <w:fldChar w:fldCharType="end"/>
      </w:r>
      <w:r w:rsidRPr="00B066C6">
        <w:rPr>
          <w:rFonts w:ascii="Times New Roman" w:hAnsi="Times New Roman" w:cs="Times New Roman"/>
        </w:rPr>
        <w:t xml:space="preserve">. </w:t>
      </w:r>
    </w:p>
    <w:p w14:paraId="4171F8A6" w14:textId="1EEFB649" w:rsidR="00417269" w:rsidRDefault="00417269" w:rsidP="00417269">
      <w:pPr>
        <w:spacing w:before="0" w:after="0"/>
        <w:ind w:firstLine="720"/>
        <w:rPr>
          <w:rFonts w:ascii="Times New Roman" w:hAnsi="Times New Roman" w:cs="Times New Roman"/>
        </w:rPr>
      </w:pPr>
      <w:r w:rsidRPr="00B066C6">
        <w:rPr>
          <w:rFonts w:ascii="Times New Roman" w:hAnsi="Times New Roman" w:cs="Times New Roman"/>
        </w:rPr>
        <w:t xml:space="preserve">Network analysis can also highlight keystone species within seed dispersal communities, which are mostly described as those responsible for the dispersal of multiple plant species or those that maintain specialized interactions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{"citationID":"kGjNHi4I","properties":{"formattedCitation":"(Escribano-Avila et al., 2018)","plainCitation":"(Escribano-Avila et al., 2018)","noteIndex":0},"citationItems":[{"id":545,"uris":["http://zotero.org/users/12345038/items/ND967GY7"],"itemData":{"id":545,"type":"chapter","abstract":"Seed dispersal mediated by animals is a pivotal ecological interaction in the tropics. Despite a long tradition of tropical seed dispersal studies, only recently the drivers of the structure of seed dispersal networks are beginning to be uncovered at macroecological scales. The knowledge on tropical seed dispersal comes mainly from avian dispersal studies in the Neotropics while other frugivores and tropical regions are strongly understudied. The networks sampled with a combination of visitation census and seed recovery from feces seem more reliable of the number of detected links and web asymmetry than networks based on a single method. Our review reveals that keystone species in most networks share a set of functional traits likely influenced by species phylogeny. Woody plants bearing small berries (in the Melastomataceae, Myrtaceae, Moraceae, and Urticaceae families) were the most frequent keystone plants whereas two groups of keystone animals could be identified, namely: small obligate frugivores (Pipridae and Thraupidae) and large animals including a variety of taxonomic groups such as cracids, rodents, monkeys, and megafauna. Large keystone species tend to face a higher extinction risk leading to a concern on the sustainability of the dispersal services they provide, mainly to large-­ seeded plant species that are essential to ecosystem functioning.","container-title":"Ecological Networks in the Tropics","event-place":"Cham","ISBN":"978-3-319-68227-3","language":"en","note":"DOI: 10.1007/978-3-319-68228-0_7","page":"93-110","publisher":"Springer International Publishing","publisher-place":"Cham","source":"DOI.org (Crossref)","title":"Tropical Seed Dispersal Networks: Emerging Patterns, Biases, and Keystone Species Traits","title-short":"Tropical Seed Dispersal Networks","URL":"http://link.springer.com/10.1007/978-3-319-68228-0_7","editor":[{"family":"Dáttilo","given":"Wesley"},{"family":"Rico-Gray","given":"Victor"}],"author":[{"family":"Escribano-Avila","given":"Gema"},{"family":"Lara-Romero","given":"Carlos"},{"family":"Heleno","given":"Ruben"},{"family":"Traveset","given":"Anna"}],"accessed":{"date-parts":[["2023",3,2]]},"issued":{"date-parts":[["2018"]]}}}],"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(Escribano-Avila et al., 2018)</w:t>
      </w:r>
      <w:r w:rsidRPr="00B066C6">
        <w:rPr>
          <w:rFonts w:ascii="Times New Roman" w:hAnsi="Times New Roman" w:cs="Times New Roman"/>
        </w:rPr>
        <w:fldChar w:fldCharType="end"/>
      </w:r>
      <w:r w:rsidRPr="00B066C6">
        <w:rPr>
          <w:rFonts w:ascii="Times New Roman" w:hAnsi="Times New Roman" w:cs="Times New Roman"/>
        </w:rPr>
        <w:t xml:space="preserve">. </w:t>
      </w:r>
      <w:r>
        <w:rPr>
          <w:rFonts w:ascii="Times New Roman" w:hAnsi="Times New Roman" w:cs="Times New Roman"/>
        </w:rPr>
        <w:t>M</w:t>
      </w:r>
      <w:r w:rsidRPr="00B066C6">
        <w:rPr>
          <w:rFonts w:ascii="Times New Roman" w:hAnsi="Times New Roman" w:cs="Times New Roman"/>
        </w:rPr>
        <w:t xml:space="preserve">any studies have found that </w:t>
      </w:r>
      <w:r w:rsidR="00871AFC">
        <w:rPr>
          <w:rFonts w:ascii="Times New Roman" w:hAnsi="Times New Roman" w:cs="Times New Roman"/>
        </w:rPr>
        <w:t xml:space="preserve">abundant </w:t>
      </w:r>
      <w:r w:rsidRPr="00B066C6">
        <w:rPr>
          <w:rFonts w:ascii="Times New Roman" w:hAnsi="Times New Roman" w:cs="Times New Roman"/>
        </w:rPr>
        <w:t>generalist dispersers act as keystone species in seed dispersal networks due to their</w:t>
      </w:r>
      <w:r w:rsidR="00871AFC">
        <w:rPr>
          <w:rFonts w:ascii="Times New Roman" w:hAnsi="Times New Roman" w:cs="Times New Roman"/>
        </w:rPr>
        <w:t xml:space="preserve"> high </w:t>
      </w:r>
      <w:r w:rsidRPr="00B066C6">
        <w:rPr>
          <w:rFonts w:ascii="Times New Roman" w:hAnsi="Times New Roman" w:cs="Times New Roman"/>
        </w:rPr>
        <w:t xml:space="preserve">ability to disperse large quantities of diverse seed species across landscapes </w:t>
      </w:r>
      <w:r w:rsidRPr="00B066C6">
        <w:rPr>
          <w:rFonts w:ascii="Times New Roman" w:hAnsi="Times New Roman" w:cs="Times New Roman"/>
        </w:rPr>
        <w:fldChar w:fldCharType="begin"/>
      </w:r>
      <w:r>
        <w:rPr>
          <w:rFonts w:ascii="Times New Roman" w:hAnsi="Times New Roman" w:cs="Times New Roman"/>
        </w:rPr>
        <w:instrText xml:space="preserve"> ADDIN ZOTERO_ITEM CSL_CITATION {"citationID":"LEIhIsxW","properties":{"formattedCitation":"(Bastazini et al., 2019a; Carlo &amp; Morales, 2016; Palacio et al., 2016)","plainCitation":"(Bastazini et al., 2019a; Carlo &amp; Morales, 2016; Palacio et al., 2016)","dontUpdate":true,"noteIndex":0},"citationItems":[{"id":1249,"uris":["http://zotero.org/users/12345038/items/IPBSP95W"],"itemData":{"id":1249,"type":"article-journal","abstract":"Understanding cascading effects of species loss is a major challenge for ecologists. Traditionally, the robustness of ecological networks has been evaluated based on simulation studies where primary extinctions occur at random or as a function of species specialization, ignoring other important biological factors. Here, we estimate the robustness of a seed dispersal network from a grassland-forest mosaic in southern Brazil, simulating distinct scenarios of woody plant species extinction, including scenarios where species are eliminated based on their evolutionary and functional distinctiveness. Our results suggest that the network is more robust when species are eliminated based on their evolutionary uniqueness, followed by random extinctions, the extinction of the most specialist species, functional distinctiveness and, at last, when the most generalist species are sequentially eliminated. Our results provide important information for grassland-forest mosaic management, as they indicate that loss of generalist species and functional diversity makes the system more likely to collapse.","container-title":"ENVIRONMENTAL CONSERVATION","DOI":"10.1017/S0376892918000334","ISSN":"0376-8929","issue":"1, SI","page":"52-58","title":"Loss of Generalist Plant Species and Functional Diversity Decreases the Robustness of a Seed Dispersal Network","volume":"46","author":[{"family":"Bastazini","given":"Vinicius A. G."},{"family":"Debastiani","given":"Vanderlei J."},{"family":"Azambuja","given":"Bethania O."},{"family":"Guimaraes Jr","given":"Paulo R."},{"family":"Pillar","given":"Valerio D."}],"issued":{"date-parts":[["2019",3]]}}},{"id":921,"uris":["http://zotero.org/users/12345038/items/CN7IZS9W"],"itemData":{"id":921,"type":"article-journal","container-title":"ECOLOGY","DOI":"10.1890/15-2147.1","ISSN":"0012-9658","issue":"7","page":"1819-1831","title":"Generalist birds promote tropical forest regeneration and increase plant diversity via rare-biased seed dispersal","volume":"97","author":[{"family":"Carlo","given":"Tomas A."},{"family":"Morales","given":"Juan M."}],"issued":{"date-parts":[["2016",7]]}}},{"id":472,"uris":["http://zotero.org/users/12345038/items/UXCMIFZK"],"itemData":{"id":472,"type":"article-journal","abstract":"Analysis of plant–frugivore interactions provides a quantitative framework for integrating community structure and ecosystem function in terms of how the roles and attributes of individual species contribute to network structure and resilience. In this study, we used centrality metrics to rank and detect the most important species in a mutualistic network of fruit-eating birds and plants in a cloud forest in the Colombian Andes. We identiﬁed a central core of ten bird and seven plant species in a network of 135 species that perform dual roles as local hubs and connectors. The birds were mostly large forest frugivores, such as cracids, cotingas, and toucans, which consume fruits of all sizes. The plants were species of intermediate successional stages with small- to medium-sized seeds that persist in mature forest or forest borders (e.g., Miconia, Cecropia, Ficus). We found the resilience of our network depends on super-generalist species, because their elimination makes the network more prone to disassemble than random extinctions, potentially disrupting seed-dispersal processes. At our study site, extirpation of large frugivores has already been documented, and if this continues, the network might collapse despite its high diversity. Our results suggest that generalist species play critical roles in ecosystem function and should be incorporated into conservation and monitoring programs.","container-title":"Biotropica","DOI":"10.1111/btp.12290","ISSN":"00063606","issue":"3","journalAbbreviation":"Biotropica","language":"en","page":"349-355","source":"DOI.org (Crossref)","title":"Generalist Species Have a Central Role In a Highly Diverse Plant-Frugivore Network","volume":"48","author":[{"family":"Palacio","given":"Rubén Darío"},{"family":"Valderrama-Ardila","given":"Carlos"},{"family":"Kattan","given":"Gustavo H."}],"issued":{"date-parts":[["2016",5]]}}}],"schema":"https://github.com/citation-style-language/schema/raw/master/csl-citation.json"} </w:instrText>
      </w:r>
      <w:r w:rsidRPr="00B066C6">
        <w:rPr>
          <w:rFonts w:ascii="Times New Roman" w:hAnsi="Times New Roman" w:cs="Times New Roman"/>
        </w:rPr>
        <w:fldChar w:fldCharType="separate"/>
      </w:r>
      <w:r>
        <w:rPr>
          <w:rFonts w:ascii="Times New Roman" w:hAnsi="Times New Roman" w:cs="Times New Roman"/>
          <w:noProof/>
        </w:rPr>
        <w:t>(Bastazini et al., 2019; Carlo &amp; Morales, 2016; Palacio et al., 2016)</w:t>
      </w:r>
      <w:r w:rsidRPr="00B066C6">
        <w:rPr>
          <w:rFonts w:ascii="Times New Roman" w:hAnsi="Times New Roman" w:cs="Times New Roman"/>
        </w:rPr>
        <w:fldChar w:fldCharType="end"/>
      </w:r>
      <w:r w:rsidRPr="00B066C6">
        <w:rPr>
          <w:rFonts w:ascii="Times New Roman" w:hAnsi="Times New Roman" w:cs="Times New Roman"/>
        </w:rPr>
        <w:t>.</w:t>
      </w:r>
      <w:r>
        <w:rPr>
          <w:rFonts w:ascii="Times New Roman" w:hAnsi="Times New Roman" w:cs="Times New Roman"/>
        </w:rPr>
        <w:t xml:space="preserve"> Animal f</w:t>
      </w:r>
      <w:r w:rsidRPr="00B066C6">
        <w:rPr>
          <w:rFonts w:ascii="Times New Roman" w:hAnsi="Times New Roman" w:cs="Times New Roman"/>
        </w:rPr>
        <w:t xml:space="preserve">unctional traits significantly influence their roles within these networks, with traits such as body size, feeding behavior, and habitat use shaping seed dispersal dynamics. For example, in avian dispersers, beak width and beak </w:t>
      </w:r>
      <w:r w:rsidR="00871AFC">
        <w:rPr>
          <w:rFonts w:ascii="Times New Roman" w:hAnsi="Times New Roman" w:cs="Times New Roman"/>
        </w:rPr>
        <w:t>length</w:t>
      </w:r>
      <w:r w:rsidRPr="00B066C6">
        <w:rPr>
          <w:rFonts w:ascii="Times New Roman" w:hAnsi="Times New Roman" w:cs="Times New Roman"/>
        </w:rPr>
        <w:t xml:space="preserve"> directly determine the types and sizes of fruits a bird can consume and disperse. Larger-bodied birds typically have access to a wider range of fruit </w:t>
      </w:r>
      <w:r w:rsidR="00871AFC">
        <w:rPr>
          <w:rFonts w:ascii="Times New Roman" w:hAnsi="Times New Roman" w:cs="Times New Roman"/>
        </w:rPr>
        <w:t>sizes</w:t>
      </w:r>
      <w:r w:rsidRPr="00B066C6">
        <w:rPr>
          <w:rFonts w:ascii="Times New Roman" w:hAnsi="Times New Roman" w:cs="Times New Roman"/>
        </w:rPr>
        <w:t xml:space="preserve">, allowing them to disperse </w:t>
      </w:r>
      <w:r w:rsidR="00871AFC">
        <w:rPr>
          <w:rFonts w:ascii="Times New Roman" w:hAnsi="Times New Roman" w:cs="Times New Roman"/>
        </w:rPr>
        <w:t xml:space="preserve">diverse plant species </w:t>
      </w:r>
      <w:r w:rsidRPr="00B066C6">
        <w:rPr>
          <w:rFonts w:ascii="Times New Roman" w:hAnsi="Times New Roman" w:cs="Times New Roman"/>
        </w:rPr>
        <w:t xml:space="preserve">across </w:t>
      </w:r>
      <w:r w:rsidR="00871AFC">
        <w:rPr>
          <w:rFonts w:ascii="Times New Roman" w:hAnsi="Times New Roman" w:cs="Times New Roman"/>
        </w:rPr>
        <w:t>large</w:t>
      </w:r>
      <w:r w:rsidRPr="00B066C6">
        <w:rPr>
          <w:rFonts w:ascii="Times New Roman" w:hAnsi="Times New Roman" w:cs="Times New Roman"/>
        </w:rPr>
        <w:t xml:space="preserve"> distances and </w:t>
      </w:r>
      <w:r w:rsidR="00871AFC">
        <w:rPr>
          <w:rFonts w:ascii="Times New Roman" w:hAnsi="Times New Roman" w:cs="Times New Roman"/>
        </w:rPr>
        <w:t xml:space="preserve">to </w:t>
      </w:r>
      <w:r w:rsidRPr="00B066C6">
        <w:rPr>
          <w:rFonts w:ascii="Times New Roman" w:hAnsi="Times New Roman" w:cs="Times New Roman"/>
        </w:rPr>
        <w:t xml:space="preserve">diverse microhabitats </w:t>
      </w:r>
      <w:r w:rsidRPr="00B066C6">
        <w:rPr>
          <w:rFonts w:ascii="Times New Roman" w:hAnsi="Times New Roman" w:cs="Times New Roman"/>
        </w:rPr>
        <w:fldChar w:fldCharType="begin"/>
      </w:r>
      <w:r>
        <w:rPr>
          <w:rFonts w:ascii="Times New Roman" w:hAnsi="Times New Roman" w:cs="Times New Roman"/>
        </w:rPr>
        <w:instrText xml:space="preserve"> ADDIN ZOTERO_ITEM CSL_CITATION {"citationID":"FegvkoU4","properties":{"formattedCitation":"(Bueno et al., 2013; Dehling et al., 2020; Li et al., 2018)","plainCitation":"(Bueno et al., 2013; Dehling et al., 2020; Li et al., 2018)","noteIndex":0},"citationItems":[{"id":793,"uris":["http://zotero.org/users/12345038/items/3H7L66GC"],"itemData":{"id":793,"type":"article-journal","abstract":"Background: Functional redundancy has been debated largely in ecology and conservation, yet we lack detailed empirical studies on the roles of functionally similar species in ecosystem function. Large bodied frugivores may disperse similar plant species and have strong impact on plant recruitment in tropical forests. The two largest frugivores in the neotropics, tapirs (Tapirus terrestris) and muriquis (Brachyteles arachnoides) are potential candidates for functional redundancy on seed dispersal effectiveness. Here we provide a comparison of the quantitative, qualitative and spatial effects on seed dispersal by these megafrugivores in a continuous Brazilian Atlantic forest.\nMethodology/Principal Findings: We found a low overlap of plant species dispersed by both muriquis and tapirs. A group of 35 muriquis occupied an area of 850 ha and dispersed 5 times more plant species, and 13 times more seeds than 22 tapirs living in the same area. Muriquis dispersed 2.4 times more seeds in any random position than tapirs. This can be explained mainly because seed deposition by muriquis leaves less empty space than tapirs. However, tapirs are able to disperse larger seeds than muriquis and move them into sites not reached by primates, such as large forest gaps, open areas and fragments nearby. Based on published information we found 302 plant species that are dispersed by at least one of these megafrugivores in the Brazilian Atlantic forest.\nConclusions/Significance: Our study showed that both megafrugivores play complementary rather than redundant roles as seed dispersers. Although tapirs disperse fewer seeds and species than muriquis, they disperse larger-seeded species and in places not used by primates. The selective extinction of these megafrugivores will change the spatial seed rain they generate and may have negative effects on the recruitment of several plant species, particularly those with large seeds that have muriquis and tapirs as the last living seed dispersers.","container-title":"PLoS ONE","DOI":"10.1371/journal.pone.0056252","ISSN":"1932-6203","issue":"2","journalAbbreviation":"PLoS ONE","language":"en","page":"e56252","source":"DOI.org (Crossref)","title":"Functional Redundancy and Complementarities of Seed Dispersal by the Last Neotropical Megafrugivores","volume":"8","author":[{"family":"Bueno","given":"Rafael S."},{"family":"Guevara","given":"Roger"},{"family":"Ribeiro","given":"Milton C."},{"family":"Culot","given":"Laurence"},{"family":"Bufalo","given":"Felipe S."},{"family":"Galetti","given":"Mauro"}],"editor":[{"family":"Traveset","given":"Anna"}],"issued":{"date-parts":[["2013",2,7]]}}},{"id":788,"uris":["http://zotero.org/users/12345038/items/WC6ETFS6"],"itemData":{"id":788,"type":"article-journal","abstract":"The species composition of local communities varies in space, and its similarity generally decreases with increasing geographic distance between communities, a phenomenon known as distance decay of similarity. It is, however, not known how changes in local species composition affect ecological processes, that is, whether they lead to differences in the local composition of species' functional roles. We studied eight seed-dispersal networks along the South American Andes and compared them with regard to their species composition and their composition of functional roles. We tested (1) if changes in bird species composition lead to changes in the composition of bird functional roles, and (2) if the similarity in species composition and functional-role composition decreased with increasing geographic distance between the networks. We also used cluster analysis to (3) identify bird species with similar roles across all networks based on the similarity in the plants they consume, (i) considering only the species identity of the plants and (ii) considering the functional traits of the plants. Despite strong changes in species composition, the networks along the Andes showed similar composition of functional roles. (1) Changes in species composition generally did not lead to changes in the composition of functional roles. (2) Similarity in species composition, but not functional-role composition, decreased with increasing geographic distance between the networks. (3) The cluster analysis considering the functional traits of plants identified bird species with similar functional roles across all networks. The similarity in functional roles despite the high species turnover suggests that the ecological process of seed dispersal is organized similarly along the Andes, with similar functional roles fulfilled locally by different sets of species. The high species turnover, relative to functional turnover, also indicates that a large number of bird species are needed to maintain the seed-dispersal process along the Andes.","container-title":"Ecology","DOI":"10.1002/ecy.3028","ISSN":"0012-9658, 1939-9170","issue":"7","journalAbbreviation":"Ecology","language":"en","source":"DOI.org (Crossref)","title":"Similar composition of functional roles in Andean seed‐dispersal networks, despite high species and interaction turnover","URL":"https://onlinelibrary.wiley.com/doi/10.1002/ecy.3028","volume":"101","author":[{"family":"Dehling","given":"D. Matthias"},{"family":"Peralta","given":"Guadalupe"},{"family":"Bender","given":"Irene M. A."},{"family":"Blendinger","given":"Pedro G."},{"family":"Böhning‐Gaese","given":"Katrin"},{"family":"Muñoz","given":"Marcia C."},{"family":"Neuschulz","given":"Eike Lena"},{"family":"Quitián","given":"Marta"},{"family":"Saavedra","given":"Francisco"},{"family":"Santillán","given":"Vinicio"},{"family":"Schleuning","given":"Matthias"},{"family":"Stouffer","given":"Daniel B."}],"accessed":{"date-parts":[["2023",6,7]]},"issued":{"date-parts":[["2020",7]]}}},{"id":790,"uris":["http://zotero.org/users/12345038/items/5LVCIRF8"],"itemData":{"id":790,"type":"article-journal","abstract":"Background:  The most dominant global threat to natural forests and their biodiversity is land-cover change, which has negative impacts on both species persistence and ecosystem functions. Land-cover change could alter animal behaviour and disrupt seed dispersal mutualisms. However, its effects on the role of bird functional traits in seed dispersal are not well studied.\nMethods:  In the present study, we assessed the contributions of bird functional traits (behavioural traits: food habit, foraging pattern, foraging frequency, and habitat specialisation; morphological traits: weight, body length, wing length, and tail length) to both seed removal patterns and seed dispersal distances of an endangered and native tree species, Chinese yew (Taxus chinensis), in farmland, patchy habitat, and natural habitat, of southeast China.\nResults:  We found that the ability of T. chinensis trees to form seed dispersal mutualisms with local birds varied across the different disturbed habitats. As a consequence of these mutualisms, more seeds were removed by birds from the patchy habitat than from the other two habitats. The number of seeds removed increased with bird foraging frequency. Moreover, the dispersal distance from the three habitats differed, and the longest dispersal distances were observed at both the patchy habitat and the farmland site. Seed dispersal distance increased with bird tail and wing length.\nConclusions:  Our results highlight the importance of bird functional traits in the seed dispersal patterns of endangered trees across disturbed forest habitats, which should be considered for tree conservation and management.","container-title":"Avian Research","DOI":"10.1186/s40657-018-0105-x","ISSN":"2053-7166","issue":"1","journalAbbreviation":"Avian Res","language":"en","page":"13","source":"DOI.org (Crossref)","title":"Bird functional traits affect seed dispersal patterns of China’s endangered trees across different disturbed habitats","volume":"9","author":[{"family":"Li","given":"Ning"},{"family":"Wang","given":"Zheng"},{"family":"Li","given":"Xinhai"},{"family":"Li","given":"Zhaohui"}],"issued":{"date-parts":[["2018",12]]}}}],"schema":"https://github.com/citation-style-language/schema/raw/master/csl-citation.json"} </w:instrText>
      </w:r>
      <w:r w:rsidRPr="00B066C6">
        <w:rPr>
          <w:rFonts w:ascii="Times New Roman" w:hAnsi="Times New Roman" w:cs="Times New Roman"/>
        </w:rPr>
        <w:fldChar w:fldCharType="separate"/>
      </w:r>
      <w:r>
        <w:rPr>
          <w:rFonts w:ascii="Times New Roman" w:hAnsi="Times New Roman" w:cs="Times New Roman"/>
          <w:noProof/>
        </w:rPr>
        <w:t>(Bueno et al., 2013; Dehling et al., 2020; Li et al., 2018)</w:t>
      </w:r>
      <w:r w:rsidRPr="00B066C6">
        <w:rPr>
          <w:rFonts w:ascii="Times New Roman" w:hAnsi="Times New Roman" w:cs="Times New Roman"/>
        </w:rPr>
        <w:fldChar w:fldCharType="end"/>
      </w:r>
      <w:r w:rsidRPr="00B066C6">
        <w:rPr>
          <w:rFonts w:ascii="Times New Roman" w:hAnsi="Times New Roman" w:cs="Times New Roman"/>
        </w:rPr>
        <w:t xml:space="preserve">. These </w:t>
      </w:r>
      <w:r>
        <w:rPr>
          <w:rFonts w:ascii="Times New Roman" w:hAnsi="Times New Roman" w:cs="Times New Roman"/>
        </w:rPr>
        <w:t>morphological</w:t>
      </w:r>
      <w:r w:rsidRPr="00B066C6">
        <w:rPr>
          <w:rFonts w:ascii="Times New Roman" w:hAnsi="Times New Roman" w:cs="Times New Roman"/>
        </w:rPr>
        <w:t xml:space="preserve"> traits, combined with </w:t>
      </w:r>
      <w:r>
        <w:rPr>
          <w:rFonts w:ascii="Times New Roman" w:hAnsi="Times New Roman" w:cs="Times New Roman"/>
        </w:rPr>
        <w:t xml:space="preserve">behavior (e.g. </w:t>
      </w:r>
      <w:r w:rsidRPr="00B066C6">
        <w:rPr>
          <w:rFonts w:ascii="Times New Roman" w:hAnsi="Times New Roman" w:cs="Times New Roman"/>
        </w:rPr>
        <w:t>movement patterns, habitat selection, and foraging strategies</w:t>
      </w:r>
      <w:r>
        <w:rPr>
          <w:rFonts w:ascii="Times New Roman" w:hAnsi="Times New Roman" w:cs="Times New Roman"/>
        </w:rPr>
        <w:t>)</w:t>
      </w:r>
      <w:r w:rsidRPr="00B066C6">
        <w:rPr>
          <w:rFonts w:ascii="Times New Roman" w:hAnsi="Times New Roman" w:cs="Times New Roman"/>
        </w:rPr>
        <w:t xml:space="preserve">, influence the overall effectiveness of seed dispersal in an ecosystem. </w:t>
      </w:r>
    </w:p>
    <w:p w14:paraId="245214EB" w14:textId="2C96BDE2" w:rsidR="00044A02" w:rsidRPr="00044A02" w:rsidRDefault="00044A02" w:rsidP="00D77075">
      <w:pPr>
        <w:spacing w:before="0" w:after="0"/>
        <w:ind w:firstLine="720"/>
        <w:rPr>
          <w:rFonts w:ascii="Times New Roman" w:hAnsi="Times New Roman" w:cs="Times New Roman"/>
          <w:color w:val="000000" w:themeColor="text1"/>
        </w:rPr>
      </w:pPr>
      <w:r>
        <w:rPr>
          <w:rFonts w:ascii="Times New Roman" w:hAnsi="Times New Roman" w:cs="Times New Roman"/>
        </w:rPr>
        <w:t>Species</w:t>
      </w:r>
      <w:r w:rsidRPr="00B066C6">
        <w:rPr>
          <w:rFonts w:ascii="Times New Roman" w:hAnsi="Times New Roman" w:cs="Times New Roman"/>
        </w:rPr>
        <w:t xml:space="preserve"> interaction networks and the measures derived from them are subject to methodological biases and limitations, particularly under-sampling </w:t>
      </w:r>
      <w:r w:rsidRPr="00B066C6">
        <w:rPr>
          <w:rFonts w:ascii="Times New Roman" w:hAnsi="Times New Roman" w:cs="Times New Roman"/>
        </w:rPr>
        <w:fldChar w:fldCharType="begin"/>
      </w:r>
      <w:r>
        <w:rPr>
          <w:rFonts w:ascii="Times New Roman" w:hAnsi="Times New Roman" w:cs="Times New Roman"/>
        </w:rPr>
        <w:instrText xml:space="preserve"> ADDIN ZOTERO_ITEM CSL_CITATION {"citationID":"wSg8SxDU","properties":{"formattedCitation":"(Bueno et al., 2013; Dehling et al., 2020; N. Li et al., 2018)","plainCitation":"(Bueno et al., 2013; Dehling et al., 2020; N. Li et al., 2018)","dontUpdate":true,"noteIndex":0},"citationItems":[{"id":793,"uris":["http://zotero.org/users/12345038/items/3H7L66GC"],"itemData":{"id":793,"type":"article-journal","abstract":"Background: Functional redundancy has been debated largely in ecology and conservation, yet we lack detailed empirical studies on the roles of functionally similar species in ecosystem function. Large bodied frugivores may disperse similar plant species and have strong impact on plant recruitment in tropical forests. The two largest frugivores in the neotropics, tapirs (Tapirus terrestris) and muriquis (Brachyteles arachnoides) are potential candidates for functional redundancy on seed dispersal effectiveness. Here we provide a comparison of the quantitative, qualitative and spatial effects on seed dispersal by these megafrugivores in a continuous Brazilian Atlantic forest.\nMethodology/Principal Findings: We found a low overlap of plant species dispersed by both muriquis and tapirs. A group of 35 muriquis occupied an area of 850 ha and dispersed 5 times more plant species, and 13 times more seeds than 22 tapirs living in the same area. Muriquis dispersed 2.4 times more seeds in any random position than tapirs. This can be explained mainly because seed deposition by muriquis leaves less empty space than tapirs. However, tapirs are able to disperse larger seeds than muriquis and move them into sites not reached by primates, such as large forest gaps, open areas and fragments nearby. Based on published information we found 302 plant species that are dispersed by at least one of these megafrugivores in the Brazilian Atlantic forest.\nConclusions/Significance: Our study showed that both megafrugivores play complementary rather than redundant roles as seed dispersers. Although tapirs disperse fewer seeds and species than muriquis, they disperse larger-seeded species and in places not used by primates. The selective extinction of these megafrugivores will change the spatial seed rain they generate and may have negative effects on the recruitment of several plant species, particularly those with large seeds that have muriquis and tapirs as the last living seed dispersers.","container-title":"PLoS ONE","DOI":"10.1371/journal.pone.0056252","ISSN":"1932-6203","issue":"2","journalAbbreviation":"PLoS ONE","language":"en","page":"e56252","source":"DOI.org (Crossref)","title":"Functional Redundancy and Complementarities of Seed Dispersal by the Last Neotropical Megafrugivores","volume":"8","author":[{"family":"Bueno","given":"Rafael S."},{"family":"Guevara","given":"Roger"},{"family":"Ribeiro","given":"Milton C."},{"family":"Culot","given":"Laurence"},{"family":"Bufalo","given":"Felipe S."},{"family":"Galetti","given":"Mauro"}],"editor":[{"family":"Traveset","given":"Anna"}],"issued":{"date-parts":[["2013",2,7]]}}},{"id":788,"uris":["http://zotero.org/users/12345038/items/WC6ETFS6"],"itemData":{"id":788,"type":"article-journal","abstract":"The species composition of local communities varies in space, and its similarity generally decreases with increasing geographic distance between communities, a phenomenon known as distance decay of similarity. It is, however, not known how changes in local species composition affect ecological processes, that is, whether they lead to differences in the local composition of species' functional roles. We studied eight seed-dispersal networks along the South American Andes and compared them with regard to their species composition and their composition of functional roles. We tested (1) if changes in bird species composition lead to changes in the composition of bird functional roles, and (2) if the similarity in species composition and functional-role composition decreased with increasing geographic distance between the networks. We also used cluster analysis to (3) identify bird species with similar roles across all networks based on the similarity in the plants they consume, (i) considering only the species identity of the plants and (ii) considering the functional traits of the plants. Despite strong changes in species composition, the networks along the Andes showed similar composition of functional roles. (1) Changes in species composition generally did not lead to changes in the composition of functional roles. (2) Similarity in species composition, but not functional-role composition, decreased with increasing geographic distance between the networks. (3) The cluster analysis considering the functional traits of plants identified bird species with similar functional roles across all networks. The similarity in functional roles despite the high species turnover suggests that the ecological process of seed dispersal is organized similarly along the Andes, with similar functional roles fulfilled locally by different sets of species. The high species turnover, relative to functional turnover, also indicates that a large number of bird species are needed to maintain the seed-dispersal process along the Andes.","container-title":"Ecology","DOI":"10.1002/ecy.3028","ISSN":"0012-9658, 1939-9170","issue":"7","journalAbbreviation":"Ecology","language":"en","source":"DOI.org (Crossref)","title":"Similar composition of functional roles in Andean seed‐dispersal networks, despite high species and interaction turnover","URL":"https://onlinelibrary.wiley.com/doi/10.1002/ecy.3028","volume":"101","author":[{"family":"Dehling","given":"D. Matthias"},{"family":"Peralta","given":"Guadalupe"},{"family":"Bender","given":"Irene M. A."},{"family":"Blendinger","given":"Pedro G."},{"family":"Böhning‐Gaese","given":"Katrin"},{"family":"Muñoz","given":"Marcia C."},{"family":"Neuschulz","given":"Eike Lena"},{"family":"Quitián","given":"Marta"},{"family":"Saavedra","given":"Francisco"},{"family":"Santillán","given":"Vinicio"},{"family":"Schleuning","given":"Matthias"},{"family":"Stouffer","given":"Daniel B."}],"accessed":{"date-parts":[["2023",6,7]]},"issued":{"date-parts":[["2020",7]]}}},{"id":790,"uris":["http://zotero.org/users/12345038/items/5LVCIRF8"],"itemData":{"id":790,"type":"article-journal","abstract":"Background:  The most dominant global threat to natural forests and their biodiversity is land-cover change, which has negative impacts on both species persistence and ecosystem functions. Land-cover change could alter animal behaviour and disrupt seed dispersal mutualisms. However, its effects on the role of bird functional traits in seed dispersal are not well studied.\nMethods:  In the present study, we assessed the contributions of bird functional traits (behavioural traits: food habit, foraging pattern, foraging frequency, and habitat specialisation; morphological traits: weight, body length, wing length, and tail length) to both seed removal patterns and seed dispersal distances of an endangered and native tree species, Chinese yew (Taxus chinensis), in farmland, patchy habitat, and natural habitat, of southeast China.\nResults:  We found that the ability of T. chinensis trees to form seed dispersal mutualisms with local birds varied across the different disturbed habitats. As a consequence of these mutualisms, more seeds were removed by birds from the patchy habitat than from the other two habitats. The number of seeds removed increased with bird foraging frequency. Moreover, the dispersal distance from the three habitats differed, and the longest dispersal distances were observed at both the patchy habitat and the farmland site. Seed dispersal distance increased with bird tail and wing length.\nConclusions:  Our results highlight the importance of bird functional traits in the seed dispersal patterns of endangered trees across disturbed forest habitats, which should be considered for tree conservation and management.","container-title":"Avian Research","DOI":"10.1186/s40657-018-0105-x","ISSN":"2053-7166","issue":"1","journalAbbreviation":"Avian Res","language":"en","page":"13","source":"DOI.org (Crossref)","title":"Bird functional traits affect seed dispersal patterns of China’s endangered trees across different disturbed habitats","volume":"9","author":[{"family":"Li","given":"Ning"},{"family":"Wang","given":"Zheng"},{"family":"Li","given":"Xinhai"},{"family":"Li","given":"Zhaohui"}],"issued":{"date-parts":[["2018",12]]}}}],"schema":"https://github.com/citation-style-language/schema/raw/master/csl-citation.json"} </w:instrText>
      </w:r>
      <w:r w:rsidRPr="00B066C6">
        <w:rPr>
          <w:rFonts w:ascii="Times New Roman" w:hAnsi="Times New Roman" w:cs="Times New Roman"/>
        </w:rPr>
        <w:fldChar w:fldCharType="separate"/>
      </w:r>
      <w:r>
        <w:rPr>
          <w:rFonts w:ascii="Times New Roman" w:hAnsi="Times New Roman" w:cs="Times New Roman"/>
          <w:noProof/>
        </w:rPr>
        <w:t>(Bueno et al., 2013; Dehling et al., 2020; Li et al., 2018)</w:t>
      </w:r>
      <w:r w:rsidRPr="00B066C6">
        <w:rPr>
          <w:rFonts w:ascii="Times New Roman" w:hAnsi="Times New Roman" w:cs="Times New Roman"/>
        </w:rPr>
        <w:fldChar w:fldCharType="end"/>
      </w:r>
      <w:r w:rsidRPr="00B066C6">
        <w:rPr>
          <w:rFonts w:ascii="Times New Roman" w:hAnsi="Times New Roman" w:cs="Times New Roman"/>
        </w:rPr>
        <w:t xml:space="preserve">. Many interaction networks are incomplete due to limited sampling effort, leading to biased parameters and misrepresentations of network structure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{"citationID":"GLX3qsEf","properties":{"formattedCitation":"(Chacoff et al., 2012)","plainCitation":"(Chacoff et al., 2012)","noteIndex":0},"citationItems":[{"id":312,"uris":["http://zotero.org/users/12345038/items/2929ZQI4"],"itemData":{"id":312,"type":"article-journal","container-title":"Journal of Animal Ecology","DOI":"10.1111/j.1365-2656.2011.01883.x","ISSN":"00218790","issue":"1","language":"en","page":"190-200","source":"DOI.org (Crossref)","title":"Evaluating sampling completeness in a desert plant-pollinator network: Sampling a plant-pollinator network","title-short":"Evaluating sampling completeness in a desert plant-pollinator network","volume":"81","author":[{"family":"Chacoff","given":"Natacha P."},{"family":"Vázquez","given":"Diego P."},{"family":"Lomáscolo","given":"Silvia B."},{"family":"Stevani","given":"Erica L."},{"family":"Dorado","given":"Jimena"},{"family":"Padrón","given":"Benigno"}],"issued":{"date-parts":[["2012",1]]}}}],"schema":"https://github.com/citation-style-language/schema/raw/master/csl-citation.json"}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 xml:space="preserve">(Chacoff et al., </w:t>
      </w:r>
      <w:r w:rsidRPr="00B066C6">
        <w:rPr>
          <w:rFonts w:ascii="Times New Roman" w:hAnsi="Times New Roman" w:cs="Times New Roman"/>
          <w:noProof/>
        </w:rPr>
        <w:lastRenderedPageBreak/>
        <w:t>2012)</w:t>
      </w:r>
      <w:r w:rsidRPr="00B066C6">
        <w:rPr>
          <w:rFonts w:ascii="Times New Roman" w:hAnsi="Times New Roman" w:cs="Times New Roman"/>
        </w:rPr>
        <w:fldChar w:fldCharType="end"/>
      </w:r>
      <w:r w:rsidRPr="00B066C6">
        <w:rPr>
          <w:rFonts w:ascii="Times New Roman" w:hAnsi="Times New Roman" w:cs="Times New Roman"/>
        </w:rPr>
        <w:t>.</w:t>
      </w:r>
      <w:r>
        <w:rPr>
          <w:rFonts w:ascii="Times New Roman" w:hAnsi="Times New Roman" w:cs="Times New Roman"/>
        </w:rPr>
        <w:t xml:space="preserve"> </w:t>
      </w:r>
      <w:r w:rsidRPr="00B066C6">
        <w:rPr>
          <w:rFonts w:ascii="Times New Roman" w:hAnsi="Times New Roman" w:cs="Times New Roman"/>
        </w:rPr>
        <w:t>For instance, disperser and plant species may be present within an ecosystem but remain undocumented due to unobserved interactions, known as "</w:t>
      </w:r>
      <w:r w:rsidR="00871AFC">
        <w:rPr>
          <w:rFonts w:ascii="Times New Roman" w:hAnsi="Times New Roman" w:cs="Times New Roman"/>
        </w:rPr>
        <w:t>missing</w:t>
      </w:r>
      <w:r w:rsidRPr="00B066C6">
        <w:rPr>
          <w:rFonts w:ascii="Times New Roman" w:hAnsi="Times New Roman" w:cs="Times New Roman"/>
        </w:rPr>
        <w:t xml:space="preserve"> links", which are interactions that theoretically exist but were not detected during field studies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{"citationID":"lGFiW7ey","properties":{"formattedCitation":"(Jordano, 1987)","plainCitation":"(Jordano, 1987)","noteIndex":0},"citationItems":[{"id":306,"uris":["http://zotero.org/users/12345038/items/X3G3EFY5"],"itemData":{"id":306,"type":"article-journal","container-title":"The American Naturalist","DOI":"10.1086/284665","ISSN":"0003-0147, 1537-5323","issue":"5","journalAbbreviation":"The American Naturalist","language":"en","page":"657-677","source":"DOI.org (Crossref)","title":"Patterns of Mutualistic Interactions in Pollination and Seed Dispersal: Connectance, Dependence Asymmetries, and Coevolution","title-short":"Patterns of Mutualistic Interactions in Pollination and Seed Dispersal","volume":"129","author":[{"family":"Jordano","given":"Pedro"}],"issued":{"date-parts":[["1987",5]]}}}],"schema":"https://github.com/citation-style-language/schema/raw/master/csl-citation.json"}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(Jordano, 1987)</w:t>
      </w:r>
      <w:r w:rsidRPr="00B066C6">
        <w:rPr>
          <w:rFonts w:ascii="Times New Roman" w:hAnsi="Times New Roman" w:cs="Times New Roman"/>
        </w:rPr>
        <w:fldChar w:fldCharType="end"/>
      </w:r>
      <w:r w:rsidRPr="00B066C6">
        <w:rPr>
          <w:rFonts w:ascii="Times New Roman" w:hAnsi="Times New Roman" w:cs="Times New Roman"/>
        </w:rPr>
        <w:t>. Some links may remain undetected due to sampling constraints, while others may be biologically constrained</w:t>
      </w:r>
      <w:r w:rsidR="00871AFC">
        <w:rPr>
          <w:rFonts w:ascii="Times New Roman" w:hAnsi="Times New Roman" w:cs="Times New Roman"/>
        </w:rPr>
        <w:t xml:space="preserve"> and are referred to as</w:t>
      </w:r>
      <w:r w:rsidR="00871AFC" w:rsidRPr="00B066C6">
        <w:rPr>
          <w:rFonts w:ascii="Times New Roman" w:hAnsi="Times New Roman" w:cs="Times New Roman"/>
        </w:rPr>
        <w:t xml:space="preserve"> "</w:t>
      </w:r>
      <w:r w:rsidR="00871AFC">
        <w:rPr>
          <w:rFonts w:ascii="Times New Roman" w:hAnsi="Times New Roman" w:cs="Times New Roman"/>
        </w:rPr>
        <w:t xml:space="preserve">forbidden </w:t>
      </w:r>
      <w:r w:rsidR="00871AFC" w:rsidRPr="00B066C6">
        <w:rPr>
          <w:rFonts w:ascii="Times New Roman" w:hAnsi="Times New Roman" w:cs="Times New Roman"/>
        </w:rPr>
        <w:t>links"</w:t>
      </w:r>
      <w:r w:rsidR="00871AFC">
        <w:rPr>
          <w:rFonts w:ascii="Times New Roman" w:hAnsi="Times New Roman" w:cs="Times New Roman"/>
        </w:rPr>
        <w:t xml:space="preserve">. Forbidden links are when </w:t>
      </w:r>
      <w:r w:rsidR="007F15DD">
        <w:rPr>
          <w:rFonts w:ascii="Times New Roman" w:hAnsi="Times New Roman" w:cs="Times New Roman"/>
        </w:rPr>
        <w:t>a plant and animal</w:t>
      </w:r>
      <w:r w:rsidRPr="00B066C6">
        <w:rPr>
          <w:rFonts w:ascii="Times New Roman" w:hAnsi="Times New Roman" w:cs="Times New Roman"/>
        </w:rPr>
        <w:t xml:space="preserve"> species co-occu</w:t>
      </w:r>
      <w:r w:rsidR="00871AFC">
        <w:rPr>
          <w:rFonts w:ascii="Times New Roman" w:hAnsi="Times New Roman" w:cs="Times New Roman"/>
        </w:rPr>
        <w:t xml:space="preserve">r yet do not </w:t>
      </w:r>
      <w:r w:rsidRPr="00B066C6">
        <w:rPr>
          <w:rFonts w:ascii="Times New Roman" w:hAnsi="Times New Roman" w:cs="Times New Roman"/>
        </w:rPr>
        <w:t>interac</w:t>
      </w:r>
      <w:r w:rsidR="00871AFC">
        <w:rPr>
          <w:rFonts w:ascii="Times New Roman" w:hAnsi="Times New Roman" w:cs="Times New Roman"/>
        </w:rPr>
        <w:t>t</w:t>
      </w:r>
      <w:r w:rsidRPr="00B066C6">
        <w:rPr>
          <w:rFonts w:ascii="Times New Roman" w:hAnsi="Times New Roman" w:cs="Times New Roman"/>
        </w:rPr>
        <w:t xml:space="preserve"> due to </w:t>
      </w:r>
      <w:r w:rsidR="00871AFC">
        <w:rPr>
          <w:rFonts w:ascii="Times New Roman" w:hAnsi="Times New Roman" w:cs="Times New Roman"/>
        </w:rPr>
        <w:t>mismatches in</w:t>
      </w:r>
      <w:r w:rsidRPr="00B066C6">
        <w:rPr>
          <w:rFonts w:ascii="Times New Roman" w:hAnsi="Times New Roman" w:cs="Times New Roman"/>
        </w:rPr>
        <w:t xml:space="preserve"> foraging behavior, morphology, or ecological preferences</w:t>
      </w:r>
      <w:r w:rsidR="00871AFC">
        <w:rPr>
          <w:rFonts w:ascii="Times New Roman" w:hAnsi="Times New Roman" w:cs="Times New Roman"/>
        </w:rPr>
        <w:t xml:space="preserve">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{"citationID":"fZYBVs3t","properties":{"formattedCitation":"(Jordano, 2016)","plainCitation":"(Jordano, 2016)","noteIndex":0},"citationItems":[{"id":118,"uris":["http://zotero.org/users/12345038/items/EKUYESSX"],"itemData":{"id":118,"type":"article-journal","container-title":"Functional Ecology","DOI":"10.1111/1365-2435.12763","ISSN":"0269-8463, 1365-2435","issue":"12","journalAbbreviation":"Funct Ecol","language":"en","page":"1883-1893","source":"DOI.org (Crossref)","title":"Sampling networks of ecological interactions","volume":"30","author":[{"family":"Jordano","given":"Pedro"}],"editor":[{"family":"Stouffer","given":"Daniel"}],"issued":{"date-parts":[["2016",12]]}}}],"schema":"https://github.com/citation-style-language/schema/raw/master/csl-citation.json"}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(Jordano, 2016)</w:t>
      </w:r>
      <w:r w:rsidRPr="00B066C6">
        <w:rPr>
          <w:rFonts w:ascii="Times New Roman" w:hAnsi="Times New Roman" w:cs="Times New Roman"/>
        </w:rPr>
        <w:fldChar w:fldCharType="end"/>
      </w:r>
      <w:r w:rsidRPr="00B066C6">
        <w:rPr>
          <w:rFonts w:ascii="Times New Roman" w:hAnsi="Times New Roman" w:cs="Times New Roman"/>
        </w:rPr>
        <w:t xml:space="preserve">. To mitigate these biases, incorporating natural history data on plant and disperser species can help infer biological constraints and refine network models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{"citationID":"TeBSTdDm","properties":{"formattedCitation":"(Jordano, 2016)","plainCitation":"(Jordano, 2016)","noteIndex":0},"citationItems":[{"id":118,"uris":["http://zotero.org/users/12345038/items/EKUYESSX"],"itemData":{"id":118,"type":"article-journal","container-title":"Functional Ecology","DOI":"10.1111/1365-2435.12763","ISSN":"0269-8463, 1365-2435","issue":"12","journalAbbreviation":"Funct Ecol","language":"en","page":"1883-1893","source":"DOI.org (Crossref)","title":"Sampling networks of ecological interactions","volume":"30","author":[{"family":"Jordano","given":"Pedro"}],"editor":[{"family":"Stouffer","given":"Daniel"}],"issued":{"date-parts":[["2016",12]]}}}],"schema":"https://github.com/citation-style-language/schema/raw/master/csl-citation.json"}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(Jordano, 2016)</w:t>
      </w:r>
      <w:r w:rsidRPr="00B066C6">
        <w:rPr>
          <w:rFonts w:ascii="Times New Roman" w:hAnsi="Times New Roman" w:cs="Times New Roman"/>
        </w:rPr>
        <w:fldChar w:fldCharType="end"/>
      </w:r>
      <w:r w:rsidRPr="00B066C6">
        <w:rPr>
          <w:rFonts w:ascii="Times New Roman" w:hAnsi="Times New Roman" w:cs="Times New Roman"/>
        </w:rPr>
        <w:t xml:space="preserve">. While some studies have </w:t>
      </w:r>
      <w:r w:rsidRPr="00044A02">
        <w:rPr>
          <w:rFonts w:ascii="Times New Roman" w:hAnsi="Times New Roman" w:cs="Times New Roman"/>
          <w:color w:val="000000" w:themeColor="text1"/>
        </w:rPr>
        <w:t xml:space="preserve">attempted to construct meta-networks that integrate broader ecological datasets to account for missing interactions </w:t>
      </w:r>
      <w:r w:rsidRPr="00044A02">
        <w:rPr>
          <w:rFonts w:ascii="Times New Roman" w:hAnsi="Times New Roman" w:cs="Times New Roman"/>
          <w:color w:val="000000" w:themeColor="text1"/>
        </w:rPr>
        <w:fldChar w:fldCharType="begin"/>
      </w:r>
      <w:r w:rsidRPr="00044A02">
        <w:rPr>
          <w:rFonts w:ascii="Times New Roman" w:hAnsi="Times New Roman" w:cs="Times New Roman"/>
          <w:color w:val="000000" w:themeColor="text1"/>
        </w:rPr>
        <w:instrText xml:space="preserve"> ADDIN ZOTERO_ITEM CSL_CITATION {"citationID":"M190pX5A","properties":{"formattedCitation":"(Pocock et al., 2012)","plainCitation":"(Pocock et al., 2012)","noteIndex":0},"citationItems":[{"id":314,"uris":["http://zotero.org/users/12345038/items/TJKTECY2"],"itemData":{"id":314,"type":"article-journal","abstract":"Networks of Networks\n            \n              Quantitative networks, such as those represented by food webs, have become an important way of investigating the structure of ecological communities, but thus far only encompass a small subset of species.\n              \n                Pocock\n                et al.\n              \n              (p.\n              973\n              ) have linked seven different types of ecological networks to form a network of networks. They found that although networks varied in their robustness to species loss, they did not strongly co-vary; that is, what happens to one network is unrelated to what happens to another. The networks studied were identified from an agroecosystem in the southwestern UK, a habitat in which biodiversity has suffered substantially. This study succeeded in revealing which species are potential targets for restoration of ecological function in this and other systems.\n            \n          , \n            Analysis of seven interconnected networks on a farm reveals that they vary in their fragility, but that they do not covary.\n          , \n            Understanding species’ interactions and the robustness of interaction networks to species loss is essential to understand the effects of species’ declines and extinctions. In most studies, different types of networks (such as food webs, parasitoid webs, seed dispersal networks, and pollination networks) have been studied separately. We sampled such multiple networks simultaneously in an agroecosystem. We show that the networks varied in their robustness; networks including pollinators appeared to be particularly fragile. We show that, overall, networks did not strongly covary in their robustness, which suggests that ecological restoration (for example, through agri-environment schemes) benefitting one functional group will not inevitably benefit others. Some individual plant species were disproportionately well linked to many other species. This type of information can be used in restoration management, because it identifies the plant taxa that can potentially lead to disproportionate gains in biodiversity.","container-title":"Science","DOI":"10.1126/science.1214915","ISSN":"0036-8075, 1095-9203","issue":"6071","journalAbbreviation":"Science","language":"en","page":"973-977","source":"DOI.org (Crossref)","title":"The Robustness and Restoration of a Network of Ecological Networks","volume":"335","author":[{"family":"Pocock","given":"Michael J. O."},{"family":"Evans","given":"Darren M."},{"family":"Memmott","given":"Jane"}],"issued":{"date-parts":[["2012",2,24]]}}}],"schema":"https://github.com/citation-style-language/schema/raw/master/csl-citation.json"} </w:instrText>
      </w:r>
      <w:r w:rsidRPr="00044A02">
        <w:rPr>
          <w:rFonts w:ascii="Times New Roman" w:hAnsi="Times New Roman" w:cs="Times New Roman"/>
          <w:color w:val="000000" w:themeColor="text1"/>
        </w:rPr>
        <w:fldChar w:fldCharType="separate"/>
      </w:r>
      <w:r w:rsidRPr="00044A02">
        <w:rPr>
          <w:rFonts w:ascii="Times New Roman" w:hAnsi="Times New Roman" w:cs="Times New Roman"/>
          <w:noProof/>
          <w:color w:val="000000" w:themeColor="text1"/>
        </w:rPr>
        <w:t>(Pocock et al., 2012)</w:t>
      </w:r>
      <w:r w:rsidRPr="00044A02">
        <w:rPr>
          <w:rFonts w:ascii="Times New Roman" w:hAnsi="Times New Roman" w:cs="Times New Roman"/>
          <w:color w:val="000000" w:themeColor="text1"/>
        </w:rPr>
        <w:fldChar w:fldCharType="end"/>
      </w:r>
      <w:r w:rsidRPr="00044A02">
        <w:rPr>
          <w:rFonts w:ascii="Times New Roman" w:hAnsi="Times New Roman" w:cs="Times New Roman"/>
          <w:color w:val="000000" w:themeColor="text1"/>
        </w:rPr>
        <w:t>, most networks still capture only the most prominent interaction patterns.</w:t>
      </w:r>
    </w:p>
    <w:p w14:paraId="75002102" w14:textId="123CF653" w:rsidR="00044A02" w:rsidRPr="000B3AD4" w:rsidRDefault="00044A02" w:rsidP="00D77075">
      <w:pPr>
        <w:spacing w:before="0" w:after="0"/>
        <w:ind w:firstLine="720"/>
        <w:rPr>
          <w:rFonts w:ascii="Times New Roman" w:hAnsi="Times New Roman" w:cs="Times New Roman"/>
          <w:color w:val="000000" w:themeColor="text1"/>
        </w:rPr>
      </w:pPr>
      <w:r w:rsidRPr="000B3AD4">
        <w:rPr>
          <w:rFonts w:ascii="Times New Roman" w:hAnsi="Times New Roman" w:cs="Times New Roman"/>
          <w:color w:val="000000" w:themeColor="text1"/>
        </w:rPr>
        <w:t xml:space="preserve">Despite these challenges, species interaction networks provide a powerful tool for understanding ecological complexity, informing conservation strategies, and guiding restoration efforts. By identifying key dispersers and their functional contributions, these networks help prioritize species for </w:t>
      </w:r>
      <w:r w:rsidR="0091546D">
        <w:rPr>
          <w:rFonts w:ascii="Times New Roman" w:hAnsi="Times New Roman" w:cs="Times New Roman"/>
          <w:color w:val="000000" w:themeColor="text1"/>
        </w:rPr>
        <w:t>restoration</w:t>
      </w:r>
      <w:r w:rsidRPr="000B3AD4">
        <w:rPr>
          <w:rFonts w:ascii="Times New Roman" w:hAnsi="Times New Roman" w:cs="Times New Roman"/>
          <w:color w:val="000000" w:themeColor="text1"/>
        </w:rPr>
        <w:t xml:space="preserve"> and highlight potential vulnerabilities in ecosystem stability. As tropical forests continue to experience fragmentation and biodiversity loss, integrating network-based approaches with traditional ecological monitoring will be essential for preserving species interactions, maintaining seed dispersal processes, and ensuring the long-term resilience of these ecosystems. </w:t>
      </w:r>
    </w:p>
    <w:p w14:paraId="31750228" w14:textId="5AD9EA58" w:rsidR="00E612F5" w:rsidRPr="00B066C6" w:rsidRDefault="00E612F5" w:rsidP="00D77075">
      <w:pPr>
        <w:pStyle w:val="Heading2"/>
        <w:spacing w:before="0" w:after="0"/>
        <w:rPr>
          <w:rFonts w:ascii="Times New Roman" w:hAnsi="Times New Roman" w:cs="Times New Roman"/>
          <w:b/>
          <w:bCs/>
          <w:color w:val="auto"/>
          <w:sz w:val="24"/>
          <w:szCs w:val="24"/>
        </w:rPr>
      </w:pPr>
      <w:hyperlink w:anchor="_INTRODUCTION" w:history="1">
        <w:bookmarkStart w:id="51" w:name="_Toc195189604"/>
        <w:r w:rsidRPr="00B066C6">
          <w:rPr>
            <w:rStyle w:val="Hyperlink"/>
            <w:rFonts w:ascii="Times New Roman" w:hAnsi="Times New Roman" w:cs="Times New Roman"/>
            <w:b/>
            <w:bCs/>
            <w:color w:val="auto"/>
            <w:sz w:val="24"/>
            <w:szCs w:val="24"/>
            <w:u w:val="none"/>
          </w:rPr>
          <w:t>Tropical Forest Restoration Strategies</w:t>
        </w:r>
        <w:bookmarkEnd w:id="51"/>
      </w:hyperlink>
    </w:p>
    <w:p w14:paraId="4889D4B6" w14:textId="001F7B51" w:rsidR="007F7D25" w:rsidRDefault="007F7D25" w:rsidP="00D77075">
      <w:pPr>
        <w:spacing w:before="0" w:after="0"/>
        <w:ind w:firstLine="720"/>
        <w:rPr>
          <w:rFonts w:ascii="Times New Roman" w:hAnsi="Times New Roman" w:cs="Times New Roman"/>
        </w:rPr>
      </w:pPr>
      <w:r w:rsidRPr="00B066C6">
        <w:rPr>
          <w:rFonts w:ascii="Times New Roman" w:hAnsi="Times New Roman" w:cs="Times New Roman"/>
        </w:rPr>
        <w:t>In response to accelerating threats</w:t>
      </w:r>
      <w:r>
        <w:rPr>
          <w:rFonts w:ascii="Times New Roman" w:hAnsi="Times New Roman" w:cs="Times New Roman"/>
        </w:rPr>
        <w:t xml:space="preserve"> to tropical forests</w:t>
      </w:r>
      <w:r w:rsidRPr="00B066C6">
        <w:rPr>
          <w:rFonts w:ascii="Times New Roman" w:hAnsi="Times New Roman" w:cs="Times New Roman"/>
        </w:rPr>
        <w:t xml:space="preserve">, the United Nations </w:t>
      </w:r>
      <w:r w:rsidR="0091546D">
        <w:rPr>
          <w:rFonts w:ascii="Times New Roman" w:hAnsi="Times New Roman" w:cs="Times New Roman"/>
        </w:rPr>
        <w:t>put forward a call to action from</w:t>
      </w:r>
      <w:r w:rsidRPr="00B066C6">
        <w:rPr>
          <w:rFonts w:ascii="Times New Roman" w:hAnsi="Times New Roman" w:cs="Times New Roman"/>
        </w:rPr>
        <w:t xml:space="preserve"> 2021–2030 </w:t>
      </w:r>
      <w:r w:rsidR="0091546D">
        <w:rPr>
          <w:rFonts w:ascii="Times New Roman" w:hAnsi="Times New Roman" w:cs="Times New Roman"/>
        </w:rPr>
        <w:t>called</w:t>
      </w:r>
      <w:r w:rsidRPr="00B066C6">
        <w:rPr>
          <w:rFonts w:ascii="Times New Roman" w:hAnsi="Times New Roman" w:cs="Times New Roman"/>
        </w:rPr>
        <w:t xml:space="preserve"> the "Decade on Ecosystem Restoration", prioritizing large-scale efforts to </w:t>
      </w:r>
      <w:r>
        <w:rPr>
          <w:rFonts w:ascii="Times New Roman" w:hAnsi="Times New Roman" w:cs="Times New Roman"/>
        </w:rPr>
        <w:t xml:space="preserve">halt disturbances, protect and </w:t>
      </w:r>
      <w:r w:rsidRPr="00B066C6">
        <w:rPr>
          <w:rFonts w:ascii="Times New Roman" w:hAnsi="Times New Roman" w:cs="Times New Roman"/>
        </w:rPr>
        <w:t>restore forests</w:t>
      </w:r>
      <w:r>
        <w:rPr>
          <w:rFonts w:ascii="Times New Roman" w:hAnsi="Times New Roman" w:cs="Times New Roman"/>
        </w:rPr>
        <w:t>,</w:t>
      </w:r>
      <w:r w:rsidRPr="00B066C6">
        <w:rPr>
          <w:rFonts w:ascii="Times New Roman" w:hAnsi="Times New Roman" w:cs="Times New Roman"/>
        </w:rPr>
        <w:t xml:space="preserve"> and mitigate biodiversity loss </w:t>
      </w:r>
      <w:r>
        <w:rPr>
          <w:rFonts w:ascii="Times New Roman" w:hAnsi="Times New Roman" w:cs="Times New Roman"/>
        </w:rPr>
        <w:t xml:space="preserve">worldwide </w:t>
      </w:r>
      <w:r w:rsidRPr="00B066C6">
        <w:rPr>
          <w:rFonts w:ascii="Times New Roman" w:hAnsi="Times New Roman" w:cs="Times New Roman"/>
        </w:rPr>
        <w:t xml:space="preserve">(UNEP &amp; FAO, 2020). Tropical regions are disproportionately affected by deforestation due to demands for </w:t>
      </w:r>
      <w:r>
        <w:rPr>
          <w:rFonts w:ascii="Times New Roman" w:hAnsi="Times New Roman" w:cs="Times New Roman"/>
        </w:rPr>
        <w:t>timber</w:t>
      </w:r>
      <w:r w:rsidRPr="00B066C6">
        <w:rPr>
          <w:rFonts w:ascii="Times New Roman" w:hAnsi="Times New Roman" w:cs="Times New Roman"/>
        </w:rPr>
        <w:t xml:space="preserve">, </w:t>
      </w:r>
      <w:r>
        <w:rPr>
          <w:rFonts w:ascii="Times New Roman" w:hAnsi="Times New Roman" w:cs="Times New Roman"/>
        </w:rPr>
        <w:t xml:space="preserve">cattle </w:t>
      </w:r>
      <w:r w:rsidRPr="00B066C6">
        <w:rPr>
          <w:rFonts w:ascii="Times New Roman" w:hAnsi="Times New Roman" w:cs="Times New Roman"/>
        </w:rPr>
        <w:t>pasture</w:t>
      </w:r>
      <w:r w:rsidR="0091546D">
        <w:rPr>
          <w:rFonts w:ascii="Times New Roman" w:hAnsi="Times New Roman" w:cs="Times New Roman"/>
        </w:rPr>
        <w:t xml:space="preserve"> expansion</w:t>
      </w:r>
      <w:r w:rsidRPr="00B066C6">
        <w:rPr>
          <w:rFonts w:ascii="Times New Roman" w:hAnsi="Times New Roman" w:cs="Times New Roman"/>
        </w:rPr>
        <w:t xml:space="preserve">, and monocultural </w:t>
      </w:r>
      <w:r>
        <w:rPr>
          <w:rFonts w:ascii="Times New Roman" w:hAnsi="Times New Roman" w:cs="Times New Roman"/>
        </w:rPr>
        <w:t xml:space="preserve">agriculture products </w:t>
      </w:r>
      <w:r w:rsidRPr="00B066C6">
        <w:rPr>
          <w:rFonts w:ascii="Times New Roman" w:hAnsi="Times New Roman" w:cs="Times New Roman"/>
        </w:rPr>
        <w:t>such as palm oil</w:t>
      </w:r>
      <w:r>
        <w:rPr>
          <w:rFonts w:ascii="Times New Roman" w:hAnsi="Times New Roman" w:cs="Times New Roman"/>
        </w:rPr>
        <w:t>, cacao, and grains</w:t>
      </w:r>
      <w:r w:rsidRPr="00B066C6">
        <w:rPr>
          <w:rFonts w:ascii="Times New Roman" w:hAnsi="Times New Roman" w:cs="Times New Roman"/>
        </w:rPr>
        <w:t xml:space="preserve">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{"citationID":"9V2kVmOL","properties":{"formattedCitation":"(Malhi et al., 2014)","plainCitation":"(Malhi et al., 2014)","noteIndex":0},"citationItems":[{"id":776,"uris":["http://zotero.org/users/12345038/items/SG2VYEXE"],"itemData":{"id":776,"type":"article-journal","abstract":"The Anthropocene is characterized as an epoch when human inﬂuence has begun to fundamentally alter many aspects of the Earth system and many of the planet’s biomes. Here, we review and synthesize our understanding of Anthropocene changes in tropical forests. Key facets include deforestation driven by agricultural expansion, timber and wood extraction, the loss of fauna that maintain critical ecological connections, the spread of ﬁre, landscape fragmentation, the spread of second-growth forests, new species invasion and pathogen spread, increasing CO2, and climate change. The patterns of change are spatially heterogeneous, are often characterized by strong interactions among different drivers, can have both large-scale and remote effects, and can play out through ecological cascades over long timescales. As a consequence, most tropical forests are on a trajectory to becoming altered ecosystems, with the degree of alteration dependent on the intensity and duration of the current bottleneck of human-induced pressures. We highlight the importance of this understanding to develop the strategies necessary for shaping the transition of tropical forests through the early Anthropocene, as well as highlight the opportunities and challenges for the tropical forest science community in the coming decades.","container-title":"Annual Review of Environment and Resources","DOI":"10.1146/annurev-environ-030713-155141","ISSN":"1543-5938, 1545-2050","issue":"1","journalAbbreviation":"Annu. Rev. Environ. Resour.","language":"en","page":"125-159","source":"DOI.org (Crossref)","title":"Tropical Forests in the Anthropocene","volume":"39","author":[{"family":"Malhi","given":"Yadvinder"},{"family":"Gardner","given":"Toby A."},{"family":"Goldsmith","given":"Gregory R."},{"family":"Silman","given":"Miles R."},{"family":"Zelazowski","given":"Przemyslaw"}],"issued":{"date-parts":[["2014",10,17]]}}}],"schema":"https://github.com/citation-style-language/schema/raw/master/csl-citation.json"}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(Malhi et al., 2014)</w:t>
      </w:r>
      <w:r w:rsidRPr="00B066C6">
        <w:rPr>
          <w:rFonts w:ascii="Times New Roman" w:hAnsi="Times New Roman" w:cs="Times New Roman"/>
        </w:rPr>
        <w:fldChar w:fldCharType="end"/>
      </w:r>
      <w:r w:rsidRPr="00B066C6">
        <w:rPr>
          <w:rFonts w:ascii="Times New Roman" w:hAnsi="Times New Roman" w:cs="Times New Roman"/>
        </w:rPr>
        <w:t xml:space="preserve">. </w:t>
      </w:r>
      <w:r>
        <w:rPr>
          <w:rFonts w:ascii="Times New Roman" w:hAnsi="Times New Roman" w:cs="Times New Roman"/>
        </w:rPr>
        <w:t xml:space="preserve">Therefore, tropical regions are a key priority for global restoration initiatives. </w:t>
      </w:r>
      <w:r w:rsidRPr="00B066C6">
        <w:rPr>
          <w:rFonts w:ascii="Times New Roman" w:hAnsi="Times New Roman" w:cs="Times New Roman"/>
        </w:rPr>
        <w:t xml:space="preserve">While billions of dollars have been invested in </w:t>
      </w:r>
      <w:r>
        <w:rPr>
          <w:rFonts w:ascii="Times New Roman" w:hAnsi="Times New Roman" w:cs="Times New Roman"/>
        </w:rPr>
        <w:t>tropical</w:t>
      </w:r>
      <w:r w:rsidRPr="00B066C6">
        <w:rPr>
          <w:rFonts w:ascii="Times New Roman" w:hAnsi="Times New Roman" w:cs="Times New Roman"/>
        </w:rPr>
        <w:t xml:space="preserve"> forest restoration, project outcomes var</w:t>
      </w:r>
      <w:r w:rsidR="0091546D">
        <w:rPr>
          <w:rFonts w:ascii="Times New Roman" w:hAnsi="Times New Roman" w:cs="Times New Roman"/>
        </w:rPr>
        <w:t xml:space="preserve">y where the </w:t>
      </w:r>
      <w:r w:rsidR="0091546D" w:rsidRPr="00B066C6">
        <w:rPr>
          <w:rFonts w:ascii="Times New Roman" w:hAnsi="Times New Roman" w:cs="Times New Roman"/>
        </w:rPr>
        <w:t xml:space="preserve">type </w:t>
      </w:r>
      <w:r w:rsidR="0091546D">
        <w:rPr>
          <w:rFonts w:ascii="Times New Roman" w:hAnsi="Times New Roman" w:cs="Times New Roman"/>
        </w:rPr>
        <w:t xml:space="preserve">of ecological restoration </w:t>
      </w:r>
      <w:r w:rsidR="0091546D" w:rsidRPr="00B066C6">
        <w:rPr>
          <w:rFonts w:ascii="Times New Roman" w:hAnsi="Times New Roman" w:cs="Times New Roman"/>
        </w:rPr>
        <w:t xml:space="preserve">can have </w:t>
      </w:r>
      <w:r w:rsidR="0091546D">
        <w:rPr>
          <w:rFonts w:ascii="Times New Roman" w:hAnsi="Times New Roman" w:cs="Times New Roman"/>
        </w:rPr>
        <w:t>strong influences</w:t>
      </w:r>
      <w:r w:rsidR="0091546D" w:rsidRPr="00B066C6">
        <w:rPr>
          <w:rFonts w:ascii="Times New Roman" w:hAnsi="Times New Roman" w:cs="Times New Roman"/>
        </w:rPr>
        <w:t xml:space="preserve"> on restoration outcomes </w:t>
      </w:r>
      <w:r w:rsidR="0091546D" w:rsidRPr="00B066C6">
        <w:rPr>
          <w:rFonts w:ascii="Times New Roman" w:hAnsi="Times New Roman" w:cs="Times New Roman"/>
        </w:rPr>
        <w:fldChar w:fldCharType="begin"/>
      </w:r>
      <w:r w:rsidR="0091546D" w:rsidRPr="00B066C6">
        <w:rPr>
          <w:rFonts w:ascii="Times New Roman" w:hAnsi="Times New Roman" w:cs="Times New Roman"/>
        </w:rPr>
        <w:instrText xml:space="preserve"> ADDIN ZOTERO_ITEM CSL_CITATION {"citationID":"EB2mRTFt","properties":{"formattedCitation":"(Brokaw &amp; Scheiner, 1989)","plainCitation":"(Brokaw &amp; Scheiner, 1989)","noteIndex":0},"citationItems":[{"id":756,"uris":["http://zotero.org/users/12345038/items/5YY83BDZ"],"itemData":{"id":756,"type":"article-journal","container-title":"Ecology","DOI":"10.2307/1940196","ISSN":"00129658","issue":"3","language":"en","page":"538-541","source":"DOI.org (Crossref)","title":"Species Composition in Gaps and Structure of a Tropical Forest","volume":"70","author":[{"family":"Brokaw","given":"Nicholas V. L."},{"family":"Scheiner","given":"Samuel M."}],"issued":{"date-parts":[["1989",6]]}}}],"schema":"https://github.com/citation-style-language/schema/raw/master/csl-citation.json"} </w:instrText>
      </w:r>
      <w:r w:rsidR="0091546D" w:rsidRPr="00B066C6">
        <w:rPr>
          <w:rFonts w:ascii="Times New Roman" w:hAnsi="Times New Roman" w:cs="Times New Roman"/>
        </w:rPr>
        <w:fldChar w:fldCharType="separate"/>
      </w:r>
      <w:r w:rsidR="0091546D" w:rsidRPr="00B066C6">
        <w:rPr>
          <w:rFonts w:ascii="Times New Roman" w:hAnsi="Times New Roman" w:cs="Times New Roman"/>
          <w:noProof/>
        </w:rPr>
        <w:t>(Brokaw &amp; Scheiner, 1989)</w:t>
      </w:r>
      <w:r w:rsidR="0091546D" w:rsidRPr="00B066C6">
        <w:rPr>
          <w:rFonts w:ascii="Times New Roman" w:hAnsi="Times New Roman" w:cs="Times New Roman"/>
        </w:rPr>
        <w:fldChar w:fldCharType="end"/>
      </w:r>
      <w:r w:rsidR="0091546D" w:rsidRPr="00B066C6">
        <w:rPr>
          <w:rFonts w:ascii="Times New Roman" w:hAnsi="Times New Roman" w:cs="Times New Roman"/>
        </w:rPr>
        <w:t>.</w:t>
      </w:r>
      <w:r w:rsidR="0091546D">
        <w:rPr>
          <w:rFonts w:ascii="Times New Roman" w:hAnsi="Times New Roman" w:cs="Times New Roman"/>
        </w:rPr>
        <w:t xml:space="preserve"> Other factors can also contribute to restoration success, including </w:t>
      </w:r>
      <w:r w:rsidRPr="00B066C6">
        <w:rPr>
          <w:rFonts w:ascii="Times New Roman" w:hAnsi="Times New Roman" w:cs="Times New Roman"/>
        </w:rPr>
        <w:t xml:space="preserve">past land-use history, disturbance severity, </w:t>
      </w:r>
      <w:r w:rsidRPr="00B066C6">
        <w:rPr>
          <w:rFonts w:ascii="Times New Roman" w:hAnsi="Times New Roman" w:cs="Times New Roman"/>
        </w:rPr>
        <w:lastRenderedPageBreak/>
        <w:t xml:space="preserve">restoration strategy (natural regeneration vs. active intervention), biogeographic region, and the ecological metrics used to assess biodiversity recovery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{"citationID":"Z0wRWsW6","properties":{"formattedCitation":"(Crouzeilles et al., 2016)","plainCitation":"(Crouzeilles et al., 2016)","noteIndex":0},"citationItems":[{"id":582,"uris":["http://zotero.org/users/12345038/items/SPZI4XTK"],"itemData":{"id":582,"type":"article-journal","abstract":"Abstract\n            Two billion ha have been identified globally for forest restoration. Our meta-analysis encompassing 221 study landscapes worldwide reveals forest restoration enhances biodiversity by 15–84% and vegetation structure by 36–77%, compared with degraded ecosystems. For the first time, we identify the main ecological drivers of forest restoration success (defined as a return to a reference condition, that is, old-growth forest) at both the local and landscape scale. These are as follows: the time elapsed since restoration began, disturbance type and landscape context. The time elapsed since restoration began strongly drives restoration success in secondary forests, but not in selectively logged forests (which are more ecologically similar to reference systems). Landscape restoration will be most successful when previous disturbance is less intensive and habitat is less fragmented in the landscape. Restoration does not result in full recovery of biodiversity and vegetation structure, but can complement old-growth forests if there is sufficient time for ecological succession.","container-title":"Nature Communications","DOI":"10.1038/ncomms11666","ISSN":"2041-1723","issue":"1","journalAbbreviation":"Nat Commun","language":"en","page":"11666","source":"DOI.org (Crossref)","title":"A global meta-analysis on the ecological drivers of forest restoration success","volume":"7","author":[{"family":"Crouzeilles","given":"Renato"},{"family":"Curran","given":"Michael"},{"family":"Ferreira","given":"Mariana S."},{"family":"Lindenmayer","given":"David B."},{"family":"Grelle","given":"Carlos E. V."},{"family":"Rey Benayas","given":"José M."}],"issued":{"date-parts":[["2016",5,19]]}}}],"schema":"https://github.com/citation-style-language/schema/raw/master/csl-citation.json"}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(Crouzeilles et al., 2016)</w:t>
      </w:r>
      <w:r w:rsidRPr="00B066C6">
        <w:rPr>
          <w:rFonts w:ascii="Times New Roman" w:hAnsi="Times New Roman" w:cs="Times New Roman"/>
        </w:rPr>
        <w:fldChar w:fldCharType="end"/>
      </w:r>
      <w:r w:rsidRPr="00B066C6">
        <w:rPr>
          <w:rFonts w:ascii="Times New Roman" w:hAnsi="Times New Roman" w:cs="Times New Roman"/>
        </w:rPr>
        <w:t xml:space="preserve">. </w:t>
      </w:r>
    </w:p>
    <w:p w14:paraId="6AB234BD" w14:textId="76353848" w:rsidR="007F7D25" w:rsidRDefault="007F7D25" w:rsidP="00D77075">
      <w:pPr>
        <w:spacing w:before="0" w:after="0"/>
        <w:ind w:firstLine="720"/>
        <w:rPr>
          <w:rFonts w:ascii="Times New Roman" w:hAnsi="Times New Roman" w:cs="Times New Roman"/>
        </w:rPr>
      </w:pPr>
      <w:r w:rsidRPr="00B066C6">
        <w:rPr>
          <w:rFonts w:ascii="Times New Roman" w:hAnsi="Times New Roman" w:cs="Times New Roman"/>
        </w:rPr>
        <w:t xml:space="preserve">Designing effective restoration strategies requires an understanding of natural successional processes, which provide key principles for guiding ecosystem recovery and ensuring long-term restoration success </w:t>
      </w:r>
      <w:r w:rsidR="00960E41">
        <w:rPr>
          <w:rFonts w:ascii="Times New Roman" w:hAnsi="Times New Roman" w:cs="Times New Roman"/>
        </w:rPr>
        <w:t>(</w:t>
      </w:r>
      <w:r w:rsidRPr="00B066C6">
        <w:rPr>
          <w:rFonts w:ascii="Times New Roman" w:hAnsi="Times New Roman" w:cs="Times New Roman"/>
          <w:noProof/>
        </w:rPr>
        <w:t>Hobbs et al., 2007)</w:t>
      </w:r>
      <w:r w:rsidRPr="00B066C6">
        <w:rPr>
          <w:rFonts w:ascii="Times New Roman" w:hAnsi="Times New Roman" w:cs="Times New Roman"/>
        </w:rPr>
        <w:t>.</w:t>
      </w:r>
      <w:r>
        <w:rPr>
          <w:rFonts w:ascii="Times New Roman" w:hAnsi="Times New Roman" w:cs="Times New Roman"/>
        </w:rPr>
        <w:t xml:space="preserve"> </w:t>
      </w:r>
      <w:r w:rsidRPr="00B066C6">
        <w:rPr>
          <w:rFonts w:ascii="Times New Roman" w:hAnsi="Times New Roman" w:cs="Times New Roman"/>
        </w:rPr>
        <w:t xml:space="preserve">Given the complexity and variability of </w:t>
      </w:r>
      <w:r>
        <w:rPr>
          <w:rFonts w:ascii="Times New Roman" w:hAnsi="Times New Roman" w:cs="Times New Roman"/>
        </w:rPr>
        <w:t>succession</w:t>
      </w:r>
      <w:r w:rsidRPr="00B066C6">
        <w:rPr>
          <w:rFonts w:ascii="Times New Roman" w:hAnsi="Times New Roman" w:cs="Times New Roman"/>
        </w:rPr>
        <w:t xml:space="preserve"> in tropical forests, understanding the factors that influence regeneration is critical for effective restoration. </w:t>
      </w:r>
      <w:r>
        <w:rPr>
          <w:rFonts w:ascii="Times New Roman" w:hAnsi="Times New Roman" w:cs="Times New Roman"/>
        </w:rPr>
        <w:t>Natural regeneration</w:t>
      </w:r>
      <w:r w:rsidRPr="00B066C6">
        <w:rPr>
          <w:rFonts w:ascii="Times New Roman" w:hAnsi="Times New Roman" w:cs="Times New Roman"/>
        </w:rPr>
        <w:t xml:space="preserve">, </w:t>
      </w:r>
      <w:r>
        <w:rPr>
          <w:rFonts w:ascii="Times New Roman" w:hAnsi="Times New Roman" w:cs="Times New Roman"/>
        </w:rPr>
        <w:t xml:space="preserve">which is </w:t>
      </w:r>
      <w:r w:rsidRPr="00B066C6">
        <w:rPr>
          <w:rFonts w:ascii="Times New Roman" w:hAnsi="Times New Roman" w:cs="Times New Roman"/>
        </w:rPr>
        <w:t xml:space="preserve">also referred to as </w:t>
      </w:r>
      <w:r>
        <w:rPr>
          <w:rFonts w:ascii="Times New Roman" w:hAnsi="Times New Roman" w:cs="Times New Roman"/>
        </w:rPr>
        <w:t>passive restoration</w:t>
      </w:r>
      <w:r w:rsidRPr="00B066C6">
        <w:rPr>
          <w:rFonts w:ascii="Times New Roman" w:hAnsi="Times New Roman" w:cs="Times New Roman"/>
        </w:rPr>
        <w:t xml:space="preserve">, occurs when human-induced stressors (e.g., logging, grazing, fire) are removed from an area, allowing secondary succession to proceed without </w:t>
      </w:r>
      <w:r w:rsidR="0091546D">
        <w:rPr>
          <w:rFonts w:ascii="Times New Roman" w:hAnsi="Times New Roman" w:cs="Times New Roman"/>
        </w:rPr>
        <w:t xml:space="preserve">the need for </w:t>
      </w:r>
      <w:r w:rsidRPr="00B066C6">
        <w:rPr>
          <w:rFonts w:ascii="Times New Roman" w:hAnsi="Times New Roman" w:cs="Times New Roman"/>
        </w:rPr>
        <w:t xml:space="preserve">direct intervention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{"citationID":"MFynGH69","properties":{"formattedCitation":"(Chazdon et al., 2021)","plainCitation":"(Chazdon et al., 2021)","noteIndex":0},"citationItems":[{"id":711,"uris":["http://zotero.org/users/12345038/items/SHG4M789"],"itemData":{"id":711,"type":"article-journal","abstract":"The distinction often made between active and passive restoration approaches is a false dichotomy that persists in much research, policy, and ﬁnancial structures today. We explore the contradictions imposed by this terminology and the merits of replacing this dichotomy with a continuum-based intervention framework. In practice, the main distinction between “passive” and “active” restoration lies primarily in the timing and extent of human interventions. We apply the intervention continuum framework to forest, grassland, stream, and peatland ecosystems, emphasizing that a range of restoration approaches within the scope of ecological or ecosystem restoration are typically employed in most projects, and all can contribute to the recovery of native ecosystems and prevention of further degradation. As restoration is fundamentally about the recovery of ecosystems, eliminating human sources of degradation is essential to enable ecosystem recovery processes, regardless of subsequent interventions that may be needed to assist recovery. Our review of restoration practices involving different levels of intervention highlights the beneﬁts of recognizing a broader suite of restoration interventions in the ﬁnancial and policy frameworks that currently underpin restoration activity. Effective restoration interventions emerge from an understanding of nature’s intrinsic recovery potential and overcoming speciﬁc obstacles that limit this potential.","container-title":"Restoration Ecology","DOI":"10.1111/rec.13535","ISSN":"1061-2971, 1526-100X","journalAbbreviation":"Restoration Ecology","language":"en","source":"DOI.org (Crossref)","title":"The intervention continuum in restoration ecology: rethinking the active–passive dichotomy","title-short":"The intervention continuum in restoration ecology","URL":"https://onlinelibrary.wiley.com/doi/10.1111/rec.13535","author":[{"family":"Chazdon","given":"Robin L."},{"family":"Falk","given":"Donald A."},{"family":"Banin","given":"Lindsay F."},{"family":"Wagner","given":"Markus"},{"family":"J. Wilson","given":"Sarah"},{"family":"Grabowski","given":"Robert C."},{"family":"Suding","given":"Katherine N."}],"accessed":{"date-parts":[["2023",4,13]]},"issued":{"date-parts":[["2021",9,12]]}}}],"schema":"https://github.com/citation-style-language/schema/raw/master/csl-citation.json"}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(Chazdon et al., 2021)</w:t>
      </w:r>
      <w:r w:rsidRPr="00B066C6">
        <w:rPr>
          <w:rFonts w:ascii="Times New Roman" w:hAnsi="Times New Roman" w:cs="Times New Roman"/>
        </w:rPr>
        <w:fldChar w:fldCharType="end"/>
      </w:r>
      <w:r w:rsidRPr="00B066C6">
        <w:rPr>
          <w:rFonts w:ascii="Times New Roman" w:hAnsi="Times New Roman" w:cs="Times New Roman"/>
        </w:rPr>
        <w:t xml:space="preserve">. This approach is often cost-effective and can be highly successful in areas with low levels of degradation, where seed banks, dispersal agents, and soil conditions are sufficient to facilitate natural recovery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{"citationID":"SCCveLsl","properties":{"formattedCitation":"(Chazdon &amp; Guariguata, 2016)","plainCitation":"(Chazdon &amp; Guariguata, 2016)","noteIndex":0},"citationItems":[{"id":1490,"uris":["http://zotero.org/users/12345038/items/XPS6LC7J"],"itemData":{"id":1490,"type":"article-journal","container-title":"Biotropica","issue":"v;48(6):716-30","language":"en","title":"Natural regeneration as a tool for large‐scale forest restoration in the tropics: prospects and challenges","author":[{"family":"Chazdon","given":"R.L."},{"family":"Guariguata","given":"M.R."}],"issued":{"date-parts":[["2016"]]}}}],"schema":"https://github.com/citation-style-language/schema/raw/master/csl-citation.json"}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(Chazdon &amp; Guariguata, 2016)</w:t>
      </w:r>
      <w:r w:rsidRPr="00B066C6">
        <w:rPr>
          <w:rFonts w:ascii="Times New Roman" w:hAnsi="Times New Roman" w:cs="Times New Roman"/>
        </w:rPr>
        <w:fldChar w:fldCharType="end"/>
      </w:r>
      <w:r w:rsidRPr="00B066C6">
        <w:rPr>
          <w:rFonts w:ascii="Times New Roman" w:hAnsi="Times New Roman" w:cs="Times New Roman"/>
        </w:rPr>
        <w:t xml:space="preserve">. </w:t>
      </w:r>
    </w:p>
    <w:p w14:paraId="0715F8DC" w14:textId="77777777" w:rsidR="00417269" w:rsidRDefault="00417269" w:rsidP="00417269">
      <w:pPr>
        <w:spacing w:before="0" w:after="0"/>
        <w:ind w:firstLine="720"/>
        <w:rPr>
          <w:rFonts w:ascii="Times New Roman" w:hAnsi="Times New Roman" w:cs="Times New Roman"/>
        </w:rPr>
      </w:pPr>
      <w:r w:rsidRPr="00B066C6">
        <w:rPr>
          <w:rFonts w:ascii="Times New Roman" w:hAnsi="Times New Roman" w:cs="Times New Roman"/>
        </w:rPr>
        <w:t xml:space="preserve">While natural succession can gradually lead to the recovery of ecosystem functions and biodiversity, human intervention is </w:t>
      </w:r>
      <w:r>
        <w:rPr>
          <w:rFonts w:ascii="Times New Roman" w:hAnsi="Times New Roman" w:cs="Times New Roman"/>
        </w:rPr>
        <w:t>sometimes</w:t>
      </w:r>
      <w:r w:rsidRPr="00B066C6">
        <w:rPr>
          <w:rFonts w:ascii="Times New Roman" w:hAnsi="Times New Roman" w:cs="Times New Roman"/>
        </w:rPr>
        <w:t xml:space="preserve"> necessary to accelerate or direct the process, particularly in areas where seed dispersal limitation, soil degradation, or persistent disturbances hinder regeneration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{"citationID":"eE9nX3mQ","properties":{"formattedCitation":"(Holl, 1999)","plainCitation":"(Holl, 1999)","noteIndex":0},"citationItems":[{"id":1511,"uris":["http://zotero.org/users/12345038/items/K8ARKNPM"],"itemData":{"id":1511,"type":"article-journal","container-title":"Biotropica","DOI":"10.1111/j.1744-7429.1999.tb00135.x","language":"en","page":"229–242","title":"Factors Limiting Tropical Rain Forest Regeneration in Abandoned Pasture: Seed Rain, Seed Germination, Microclimate, and Soil†","volume":"31","author":[{"family":"Holl","given":"K.D."}],"issued":{"date-parts":[["1999"]]}}}],"schema":"https://github.com/citation-style-language/schema/raw/master/csl-citation.json"}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(Holl, 1999)</w:t>
      </w:r>
      <w:r w:rsidRPr="00B066C6">
        <w:rPr>
          <w:rFonts w:ascii="Times New Roman" w:hAnsi="Times New Roman" w:cs="Times New Roman"/>
        </w:rPr>
        <w:fldChar w:fldCharType="end"/>
      </w:r>
      <w:r>
        <w:rPr>
          <w:rFonts w:ascii="Times New Roman" w:hAnsi="Times New Roman" w:cs="Times New Roman"/>
        </w:rPr>
        <w:t>. Active</w:t>
      </w:r>
      <w:r w:rsidRPr="00B066C6">
        <w:rPr>
          <w:rFonts w:ascii="Times New Roman" w:hAnsi="Times New Roman" w:cs="Times New Roman"/>
        </w:rPr>
        <w:t xml:space="preserve"> restoration involves direct human intervention to accelerate succession and reestablish ecological functions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{"citationID":"8USoyA9c","properties":{"formattedCitation":"(Chazdon et al., 2021)","plainCitation":"(Chazdon et al., 2021)","noteIndex":0},"citationItems":[{"id":711,"uris":["http://zotero.org/users/12345038/items/SHG4M789"],"itemData":{"id":711,"type":"article-journal","abstract":"The distinction often made between active and passive restoration approaches is a false dichotomy that persists in much research, policy, and ﬁnancial structures today. We explore the contradictions imposed by this terminology and the merits of replacing this dichotomy with a continuum-based intervention framework. In practice, the main distinction between “passive” and “active” restoration lies primarily in the timing and extent of human interventions. We apply the intervention continuum framework to forest, grassland, stream, and peatland ecosystems, emphasizing that a range of restoration approaches within the scope of ecological or ecosystem restoration are typically employed in most projects, and all can contribute to the recovery of native ecosystems and prevention of further degradation. As restoration is fundamentally about the recovery of ecosystems, eliminating human sources of degradation is essential to enable ecosystem recovery processes, regardless of subsequent interventions that may be needed to assist recovery. Our review of restoration practices involving different levels of intervention highlights the beneﬁts of recognizing a broader suite of restoration interventions in the ﬁnancial and policy frameworks that currently underpin restoration activity. Effective restoration interventions emerge from an understanding of nature’s intrinsic recovery potential and overcoming speciﬁc obstacles that limit this potential.","container-title":"Restoration Ecology","DOI":"10.1111/rec.13535","ISSN":"1061-2971, 1526-100X","journalAbbreviation":"Restoration Ecology","language":"en","source":"DOI.org (Crossref)","title":"The intervention continuum in restoration ecology: rethinking the active–passive dichotomy","title-short":"The intervention continuum in restoration ecology","URL":"https://onlinelibrary.wiley.com/doi/10.1111/rec.13535","author":[{"family":"Chazdon","given":"Robin L."},{"family":"Falk","given":"Donald A."},{"family":"Banin","given":"Lindsay F."},{"family":"Wagner","given":"Markus"},{"family":"J. Wilson","given":"Sarah"},{"family":"Grabowski","given":"Robert C."},{"family":"Suding","given":"Katherine N."}],"accessed":{"date-parts":[["2023",4,13]]},"issued":{"date-parts":[["2021",9,12]]}}}],"schema":"https://github.com/citation-style-language/schema/raw/master/csl-citation.json"}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(Chazdon et al., 2021)</w:t>
      </w:r>
      <w:r w:rsidRPr="00B066C6">
        <w:rPr>
          <w:rFonts w:ascii="Times New Roman" w:hAnsi="Times New Roman" w:cs="Times New Roman"/>
        </w:rPr>
        <w:fldChar w:fldCharType="end"/>
      </w:r>
      <w:r w:rsidRPr="00B066C6">
        <w:rPr>
          <w:rFonts w:ascii="Times New Roman" w:hAnsi="Times New Roman" w:cs="Times New Roman"/>
        </w:rPr>
        <w:t xml:space="preserve">. Active restoration techniques often include tree planting, invasive species removal, soil amendment, and faunal reintroductions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{"citationID":"bWsVH0cg","properties":{"formattedCitation":"(Atkinson &amp; Bonser, 2020; Chazdon et al., 2021)","plainCitation":"(Atkinson &amp; Bonser, 2020; Chazdon et al., 2021)","noteIndex":0},"citationItems":[{"id":707,"uris":["http://zotero.org/users/12345038/items/V7JP6HKE"],"itemData":{"id":707,"type":"article-journal","abstract":"One of the means of creating a more robust methodology for ecological restoration involves reducing the gap between ecological theory and restoration practices. A common strategy to do so is using meta-analysis to understand key drivers of restoration outcomes. “Active” and “passive” is a dichotomy often used to separate restoration strategies in such meta-analyses. We investigate previously raised concerns about selection bias and subjective categorization of strategies. We promote a paired experimental design in future empirical research and propose the use of three categories of restoration strategy in lieu of “passive” and “active” to alleviate inconsistency in deﬁnitions and categorization.","container-title":"Restoration Ecology","DOI":"10.1111/rec.13229","ISSN":"1061-2971, 1526-100X","issue":"5","journalAbbreviation":"Restoration Ecology","language":"en","page":"1032-1035","source":"DOI.org (Crossref)","title":"“Active” and “passive” ecological restoration strategies in meta‐analysis","volume":"28","author":[{"family":"Atkinson","given":"Joe"},{"family":"Bonser","given":"Stephen P."}],"issued":{"date-parts":[["2020",9]]}}},{"id":711,"uris":["http://zotero.org/users/12345038/items/SHG4M789"],"itemData":{"id":711,"type":"article-journal","abstract":"The distinction often made between active and passive restoration approaches is a false dichotomy that persists in much research, policy, and ﬁnancial structures today. We explore the contradictions imposed by this terminology and the merits of replacing this dichotomy with a continuum-based intervention framework. In practice, the main distinction between “passive” and “active” restoration lies primarily in the timing and extent of human interventions. We apply the intervention continuum framework to forest, grassland, stream, and peatland ecosystems, emphasizing that a range of restoration approaches within the scope of ecological or ecosystem restoration are typically employed in most projects, and all can contribute to the recovery of native ecosystems and prevention of further degradation. As restoration is fundamentally about the recovery of ecosystems, eliminating human sources of degradation is essential to enable ecosystem recovery processes, regardless of subsequent interventions that may be needed to assist recovery. Our review of restoration practices involving different levels of intervention highlights the beneﬁts of recognizing a broader suite of restoration interventions in the ﬁnancial and policy frameworks that currently underpin restoration activity. Effective restoration interventions emerge from an understanding of nature’s intrinsic recovery potential and overcoming speciﬁc obstacles that limit this potential.","container-title":"Restoration Ecology","DOI":"10.1111/rec.13535","ISSN":"1061-2971, 1526-100X","journalAbbreviation":"Restoration Ecology","language":"en","source":"DOI.org (Crossref)","title":"The intervention continuum in restoration ecology: rethinking the active–passive dichotomy","title-short":"The intervention continuum in restoration ecology","URL":"https://onlinelibrary.wiley.com/doi/10.1111/rec.13535","author":[{"family":"Chazdon","given":"Robin L."},{"family":"Falk","given":"Donald A."},{"family":"Banin","given":"Lindsay F."},{"family":"Wagner","given":"Markus"},{"family":"J. Wilson","given":"Sarah"},{"family":"Grabowski","given":"Robert C."},{"family":"Suding","given":"Katherine N."}],"accessed":{"date-parts":[["2023",4,13]]},"issued":{"date-parts":[["2021",9,12]]}}}],"schema":"https://github.com/citation-style-language/schema/raw/master/csl-citation.json"}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(Atkinson &amp; Bonser, 2020; Chazdon et al., 2021)</w:t>
      </w:r>
      <w:r w:rsidRPr="00B066C6">
        <w:rPr>
          <w:rFonts w:ascii="Times New Roman" w:hAnsi="Times New Roman" w:cs="Times New Roman"/>
        </w:rPr>
        <w:fldChar w:fldCharType="end"/>
      </w:r>
      <w:r w:rsidRPr="00B066C6">
        <w:rPr>
          <w:rFonts w:ascii="Times New Roman" w:hAnsi="Times New Roman" w:cs="Times New Roman"/>
        </w:rPr>
        <w:t xml:space="preserve">. Active restoration is particularly necessary in areas where seed dispersal is limited, soil degradation is severe, or competition from invasive species impedes natural succession. However, the effectiveness of active restoration varies, and in some cases, it may be unnecessary or too costly to implement compared to natural regeneration. </w:t>
      </w:r>
    </w:p>
    <w:p w14:paraId="70F8C38B" w14:textId="77777777" w:rsidR="00417269" w:rsidRPr="00B066C6" w:rsidRDefault="00417269" w:rsidP="00417269">
      <w:pPr>
        <w:spacing w:before="0" w:after="0"/>
        <w:ind w:firstLine="720"/>
        <w:rPr>
          <w:rFonts w:ascii="Times New Roman" w:hAnsi="Times New Roman" w:cs="Times New Roman"/>
        </w:rPr>
      </w:pPr>
      <w:r>
        <w:rPr>
          <w:rFonts w:ascii="Times New Roman" w:hAnsi="Times New Roman" w:cs="Times New Roman"/>
        </w:rPr>
        <w:t>Since</w:t>
      </w:r>
      <w:r w:rsidRPr="00B066C6">
        <w:rPr>
          <w:rFonts w:ascii="Times New Roman" w:hAnsi="Times New Roman" w:cs="Times New Roman"/>
        </w:rPr>
        <w:t xml:space="preserve"> restoring exact species assemblages is often unrealistic, many restoration efforts prioritize the recovery of functional groups</w:t>
      </w:r>
      <w:r>
        <w:rPr>
          <w:rFonts w:ascii="Times New Roman" w:hAnsi="Times New Roman" w:cs="Times New Roman"/>
        </w:rPr>
        <w:t xml:space="preserve"> (</w:t>
      </w:r>
      <w:r w:rsidRPr="00B066C6">
        <w:rPr>
          <w:rFonts w:ascii="Times New Roman" w:hAnsi="Times New Roman" w:cs="Times New Roman"/>
        </w:rPr>
        <w:t>species that contribute to ecosystem functions such as seed dispersal, pollination, and nutrient cycling</w:t>
      </w:r>
      <w:r>
        <w:rPr>
          <w:rFonts w:ascii="Times New Roman" w:hAnsi="Times New Roman" w:cs="Times New Roman"/>
        </w:rPr>
        <w:t xml:space="preserve">) </w:t>
      </w:r>
      <w:r w:rsidRPr="00B066C6">
        <w:rPr>
          <w:rFonts w:ascii="Times New Roman" w:hAnsi="Times New Roman" w:cs="Times New Roman"/>
        </w:rPr>
        <w:t xml:space="preserve">rather than attempting to recreate pre-disturbance species composition </w:t>
      </w:r>
      <w:r>
        <w:rPr>
          <w:rFonts w:ascii="Times New Roman" w:hAnsi="Times New Roman" w:cs="Times New Roman"/>
        </w:rPr>
        <w:t>(</w:t>
      </w:r>
      <w:r w:rsidRPr="00B066C6">
        <w:rPr>
          <w:rFonts w:ascii="Times New Roman" w:hAnsi="Times New Roman" w:cs="Times New Roman"/>
          <w:noProof/>
        </w:rPr>
        <w:t>Hobbs et al., 2007).</w:t>
      </w:r>
      <w:r>
        <w:rPr>
          <w:rFonts w:ascii="Times New Roman" w:hAnsi="Times New Roman" w:cs="Times New Roman"/>
        </w:rPr>
        <w:t xml:space="preserve"> Specifically, frugivorous animals have been a </w:t>
      </w:r>
      <w:r w:rsidRPr="00B066C6">
        <w:rPr>
          <w:rFonts w:ascii="Times New Roman" w:hAnsi="Times New Roman" w:cs="Times New Roman"/>
        </w:rPr>
        <w:t>target for many tropical forest restoration</w:t>
      </w:r>
      <w:r>
        <w:rPr>
          <w:rFonts w:ascii="Times New Roman" w:hAnsi="Times New Roman" w:cs="Times New Roman"/>
        </w:rPr>
        <w:t xml:space="preserve"> initiatives with the goal of</w:t>
      </w:r>
      <w:r w:rsidRPr="00B066C6">
        <w:rPr>
          <w:rFonts w:ascii="Times New Roman" w:hAnsi="Times New Roman" w:cs="Times New Roman"/>
        </w:rPr>
        <w:t xml:space="preserve"> </w:t>
      </w:r>
      <w:r>
        <w:rPr>
          <w:rFonts w:ascii="Times New Roman" w:hAnsi="Times New Roman" w:cs="Times New Roman"/>
        </w:rPr>
        <w:t xml:space="preserve">enhancing seed dispersal across degraded landscapes </w:t>
      </w:r>
      <w:r>
        <w:rPr>
          <w:rFonts w:ascii="Times New Roman" w:hAnsi="Times New Roman" w:cs="Times New Roman"/>
        </w:rPr>
        <w:fldChar w:fldCharType="begin"/>
      </w:r>
      <w:r>
        <w:rPr>
          <w:rFonts w:ascii="Times New Roman" w:hAnsi="Times New Roman" w:cs="Times New Roman"/>
        </w:rPr>
        <w:instrText xml:space="preserve"> ADDIN ZOTERO_ITEM CSL_CITATION {"citationID":"lIHif0Ea","properties":{"formattedCitation":"(Camargo et al., 2020; Estrada-Villegas et al., 2023; Rehm et al., 2018)","plainCitation":"(Camargo et al., 2020; Estrada-Villegas et al., 2023; Rehm et al., 2018)","noteIndex":0},"citationItems":[{"id":1413,"uris":["http://zotero.org/users/12345038/items/4DIR7RFL"],"itemData":{"id":1413,"type":"article-journal","abstract":"Abstract\n            \n              \n                \n                  Pioneer trees with fleshy fruits are typically planted in restoration projects to attract frugivores as a mean to increase dispersal and accelerate forest regeneration. However, differences in fruit traits of pioneer trees can potentially influence dispersal and their restoration outcomes.\n                \n                \n                  Here we investigated the effects of bird and plant traits, and distance to forest fragments, on the seed rain using a tree‐planting experiment replicated in 12 deforested sites in Brazil. Factors were fruit traits of pioneer trees (wind‐dispersed, bird‐dispersed with lipids or with carbohydrates and controls) and distance (10, 50, 300 m) from forest fragments.\n                \n                \n                  We found that density and richness of birds and seeds decreased exponentially with distance from fragments, yet these effects were minor compared to the effects of fruit traits on the structure of the seed rain.\n                \n                \n                  Overall, plots with fleshy fruited pioneers attracted much greater bird activity and seed dispersal than plots with wind‐dispersal pioneers and the controls. For instance, plots with carbohydrate‐rich fruits received more than twice the average species richness and density of birds and seeds of plots with lipid‐rich pioneer trees, surpassing wind‐dispersed pioneers by more than 80%, and controls by over 90%. Furthermore, the fruit trait treatments resulted in morphological shifts in the average traits of visiting birds. Significant differences in bill gape and flight capacities (wing‐loading) were associated with the differences in the seed rain associated with each treatment.\n                \n                \n                  \n                    Synthesis and applications\n                    . Understanding how trait‐matching processes mediating mutualistic seed dispersal by frugivores interact with distance‐dependent dispersal limitation on deforested tropical landscapes is critical for improving forest restoration efforts. This is especially relevant in the context of applied nucleation. As shown here, avian seed dispersal can thus be manipulated in restoration projects in order to increase connectivity and speed up forest recovery and the provision of the multiple ecosystem services that follow forest succession.\n                  \n                \n              \n            \n          , \n            Resumo\n            \n              \n                \n                  Árvores pioneiras com frutos carnosos são frequentemente plantadas em projetos de restauração para atrair frugívoros como um meio de aumentar a dispersão de sementes e acelerar a regeneração florestal. No entanto, diferenças nas características dos frutos dessas árvores podem potencialmente influenciar na dispersão e nos resultados da restauração.\n                \n                \n                  Aqui, investigamos os efeitos das características das aves e das plantas e da distância dos fragmentos florestais sobre a chuva de sementes, usando um experimento de plantio de árvores replicado em 12 locais desmatados no Brasil. Usamos como fatores as características dos frutos das árvores pioneiras (dispersas pelo vento, dispersas por aves com frutos ricos em lipídios ou carboidratos, e controles) e as distâncias (10, 50 e 300 m) até os fragmentos florestais.\n                \n                \n                  Descobrimos que a densidade e a riqueza de aves e sementes diminuíram exponencialmente com a distância dos fragmentos, mas esses efeitos foram menores comparados aos efeitos das características dos frutos na estrutura da chuva de sementes.\n                \n                \n                  No geral, parcelas com pioneiras com frutos carnosos atraíram muito mais atividades de aves e dispersão de sementes do que parcelas com pioneiras dispersas pelo vento e os controles. Por exemplo, parcelas com frutos ricos em carboidratos receberam mais que o dobro da riqueza de espécies e densidade média de aves e sementes do que as parcelas com árvores pioneiras ricas em lipídios, superando as pioneiras dispersas pelo vento em mais de 80% e os controles em mais de 90%. Além disso, os tratamentos das características dos frutos resultaram em mudanças nas características morfológicas média das aves visitantes. Diferenças na largura do bico e na capacidade de voo (carga alar) se relacionaram às diferenças na chuva de sementes associadas a cada tratamento.\n                \n                \n                  \n                    Síntese e aplicações\n                    . Compreender como os processos de correspondência de características que mediam a dispersão de sementes pelos frugívoros interagem com a limitação da dispersão dependente da distância em paisagens tropicais desmatadas é fundamental para melhorar os esforços de restauração florestal. Isso é especialmente relevante no contexto da nucleação aplicada. Como mostrado aqui, a dispersão de sementes por aves pode, portanto, ser manipulada em projetos de restauração, a fim de aumentar a conectividade e acelerar a recuperação da floresta e a prestação de vários serviços ecossistêmicos que acompanham a sucessão florestal.","container-title":"Journal of Applied Ecology","DOI":"10.1111/1365-2664.13697","ISSN":"0021-8901, 1365-2664","issue":"12","journalAbbreviation":"Journal of Applied Ecology","language":"en","page":"2329-2339","source":"DOI.org (Crossref)","title":"Fruit traits of pioneer trees structure seed dispersal across distances on tropical deforested landscapes: Implications for restoration","title-short":"Fruit traits of pioneer trees structure seed dispersal across distances on tropical deforested landscapes","volume":"57","author":[{"family":"Camargo","given":"Paulo H. S. A."},{"family":"Pizo","given":"Marco A."},{"family":"Brancalion","given":"Pedro H. S."},{"family":"Carlo","given":"Tomás A."}],"editor":[{"family":"Hampe","given":"Arndt"}],"issued":{"date-parts":[["2020",12]]}}},{"id":492,"uris":["http://zotero.org/users/12345038/items/KWK52JW6"],"itemData":{"id":492,"type":"article-journal","abstract":"Seed dispersal by animals is key for restoration of tropical forests because it maintains plant diversity and accelerates community turnover. Therefore, changes in seed dispersal during forest restoration can indicate the recovery of species interactions, and yet these changes are rarely considered in forest restoration planning. In this study, we examined shifts in the importance of different seed dispersal modes during passive restoration in a tropical chronosequence spanning more than 100 years, by modelling the proportion of trees dispersed by bats, small birds, large birds, flightless mammals and abiotic means as a function of forest age. Contrary to expectations, tree species dispersed by flightless mammals dominated after 20 years of regeneration, and tree richness and abundance dispersed by each mode mostly recovered to old growth levels between 40 and 70 years post-abandonment. Seed dispersal by small birds declined over time during regeneration, while bat dispersal played a minor role throughout all stages of succession. Results suggest that proximity to old growth forests, coupled with low hunting, explained the prevalence of seed dispersal by animals, especially by flightless mammals at this site. We suggest that aspects of seed dispersal should be monitored when restoring forest ecosystems to evaluate the reestablishment of species interactions.\n            This article is part of the theme issue ‘Understanding forest landscape restoration: reinforcing scientific foundations for the UN Decade on Ecosystem Restoration’.","container-title":"Philosophical Transactions of the Royal Society B: Biological Sciences","DOI":"10.1098/rstb.2021.0076","ISSN":"0962-8436, 1471-2970","issue":"1867","journalAbbreviation":"Phil. Trans. R. Soc. B","language":"en","page":"20210076","source":"DOI.org (Crossref)","title":"Animal seed dispersal recovery during passive restoration in a forested landscape","volume":"378","author":[{"family":"Estrada-Villegas","given":"Sergio"},{"family":"Stevenson","given":"Pablo R."},{"family":"López","given":"Omar"},{"family":"DeWalt","given":"Saara J."},{"family":"Comita","given":"Liza S."},{"family":"Dent","given":"Daisy H."}],"issued":{"date-parts":[["2023",1,2]]}}},{"id":1220,"uris":["http://zotero.org/users/12345038/items/VC8MJIX7"],"itemData":{"id":1220,"type":"article-journal","abstract":"Vertebrate frugivores enhance tropical forest regeneration by dispersing seeds into degraded areas. However, the importance of individual species as dispersers may vary within a community. Management and restoration would benefit from understanding which species are critical in moving native seeds into degraded habitats. We compared habitat composition of bird start and end locations for movement intervals based on mean gut passage times for the avian frugivore community on the island of Saipan. The proportion of movement intervals that began in intact, native forest varied among species, with Golden White-eyes having the highest proportion. However, this species tended to remain in intact forest and only rarely crossed into degraded habitats. Bridled White-eyes and Mariana Fruit Doves exhibited slightly higher rates of crossing from intact forest to degraded habitats, suggesting an ability to disperse native seeds to degraded areas. White-throated Ground Doves were never recorded crossing from intact forest to degraded habitats. Despite having a low proportion of movement intervals beginning in intact forest, Micronesian Starlings showed a higher proportion and absolute number of movements from intact forest to degraded habitats, due to their propensity to move frequently, across long distances, and across habitat types. In this species-poor frugivore network, seed dispersal into degraded habitats appears highly dependent on one species within the community. Regeneration of degraded lands may be severely hindered if this key disperser is lost.","container-title":"RESTORATION ECOLOGY","DOI":"10.1111/rec.12623","ISSN":"1061-2971","issue":"4","page":"760-766","title":"Differences among avian frugivores in seed dispersal to degraded habitats","volume":"26","author":[{"family":"Rehm","given":"Evan M."},{"family":"Chojnacki","given":"Janelle"},{"family":"Rogers","given":"Haldre S."},{"family":"Savidge","given":"Julie A."}],"issued":{"date-parts":[["2018",7]]}}}],"schema":"https://github.com/citation-style-language/schema/raw/master/csl-citation.json"}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(Camargo et al., 2020; Estrada-Villegas et al., 2023; Rehm et al., 2018)</w:t>
      </w:r>
      <w:r>
        <w:rPr>
          <w:rFonts w:ascii="Times New Roman" w:hAnsi="Times New Roman" w:cs="Times New Roman"/>
        </w:rPr>
        <w:fldChar w:fldCharType="end"/>
      </w:r>
      <w:r>
        <w:rPr>
          <w:rFonts w:ascii="Times New Roman" w:hAnsi="Times New Roman" w:cs="Times New Roman"/>
        </w:rPr>
        <w:t xml:space="preserve">. </w:t>
      </w:r>
      <w:r w:rsidRPr="00B066C6">
        <w:rPr>
          <w:rFonts w:ascii="Times New Roman" w:hAnsi="Times New Roman" w:cs="Times New Roman"/>
        </w:rPr>
        <w:t xml:space="preserve">This is done through a myriad of techniques, including establishing perches for frugivorous bird species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{"citationID":"xY5MP7r0","properties":{"formattedCitation":"(De Almeida et al., 2016)","plainCitation":"(De Almeida et al., 2016)","noteIndex":0},"citationItems":[{"id":1403,"uris":["http://zotero.org/users/12345038/items/Z42JQURL"],"itemData":{"id":1403,"type":"article-journal","container-title":"Journal for Nature Conservation","DOI":"10.1016/j.jnc.2016.08.007","ISSN":"16171381","journalAbbreviation":"Journal for Nature Conservation","language":"en","page":"24-32","source":"DOI.org (Crossref)","title":"Limited effectiveness of artificial bird perches for the establishment of seedlings and the restoration of Brazil’s Atlantic Forest","volume":"34","author":[{"family":"De Almeida","given":"Adriana"},{"family":"Marques","given":"Márcia C.M."},{"family":"Ceccon-Valente","given":"Marília De Fátima"},{"family":"Vicente-Silva","given":"José"},{"family":"Mikich","given":"Sandra Bos"}],"issued":{"date-parts":[["2016",12]]}}}],"schema":"https://github.com/citation-style-language/schema/raw/master/csl-citation.json"}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(De Almeida et al., 2016)</w:t>
      </w:r>
      <w:r w:rsidRPr="00B066C6">
        <w:rPr>
          <w:rFonts w:ascii="Times New Roman" w:hAnsi="Times New Roman" w:cs="Times New Roman"/>
        </w:rPr>
        <w:fldChar w:fldCharType="end"/>
      </w:r>
      <w:r w:rsidRPr="00B066C6">
        <w:rPr>
          <w:rFonts w:ascii="Times New Roman" w:hAnsi="Times New Roman" w:cs="Times New Roman"/>
        </w:rPr>
        <w:t xml:space="preserve">, utilizing bat roosts in degraded pasture sites </w:t>
      </w:r>
      <w:r w:rsidRPr="00B066C6">
        <w:rPr>
          <w:rFonts w:ascii="Times New Roman" w:hAnsi="Times New Roman" w:cs="Times New Roman"/>
        </w:rPr>
        <w:lastRenderedPageBreak/>
        <w:fldChar w:fldCharType="begin"/>
      </w:r>
      <w:r w:rsidRPr="00B066C6">
        <w:rPr>
          <w:rFonts w:ascii="Times New Roman" w:hAnsi="Times New Roman" w:cs="Times New Roman"/>
        </w:rPr>
        <w:instrText xml:space="preserve"> ADDIN ZOTERO_ITEM CSL_CITATION {"citationID":"68KC6QmP","properties":{"formattedCitation":"(Reid et al., 2013)","plainCitation":"(Reid et al., 2013)","noteIndex":0},"citationItems":[{"id":1405,"uris":["http://zotero.org/users/12345038/items/FZERRHAL"],"itemData":{"id":1405,"type":"article-journal","abstract":"Artiﬁcial roosts have been proposed as a tool for augmenting bat populations and catalyzing tropical forest regeneration. In the best case scenario, roosts would attract seed-carrying bats (Family Phyllostomidae) into degraded pastures and form nucleating patches of native vegetation. We tested this scenario by monitoring 48 artiﬁcial roosts in pastures and adjacent forest fragments in southern Costa Rica over 2 years. Half of the pasture roosts were exposed to direct sunlight and half were afﬁxed to 4-m living stakes of Erythrina poeppigiana (Walp.) O.F. Cook that provided shade. After 2 years, 94% of roosts in forest and 40% of roosts in pasture had been used by bats at least once – primarily for nocturnal feeding. Maximum daily temperature inside of roosts was the best microclimatic predictor of bat visitation. We identiﬁed at least ﬁve species of bats that visited roosts, including two frugivores (Carollia and Glossophaga spp.). Bat-mediated seed dispersal increased with the number of frugivorous bat detections at roosts, but seedling recruitment did not increase with either bat detections or seed abundance over a 2-year period. Given that bats rarely used roosts in pastures, and bat visitation did not increase seedling recruitment, our data suggest that artiﬁcial bat roosts did not accelerate forest regeneration in abandoned, premontane pastures in southern Costa Rica. This method could be reﬁned by investigating alternative roost designs, barriers to seedling recruitment below roosts, improvement of roost microclimatic conditions in pastures, and ability of bats to detect roosts in different habitats.","container-title":"Biological Conservation","DOI":"10.1016/j.biocon.2013.06.026","ISSN":"00063207","journalAbbreviation":"Biological Conservation","language":"en","page":"9-16","source":"DOI.org (Crossref)","title":"Artificial bat roosts did not accelerate forest regeneration in abandoned pastures in southern Costa Rica","volume":"167","author":[{"family":"Reid","given":"J. Leighton"},{"family":"Holste","given":"Ellen K."},{"family":"Zahawi","given":"Rakan A."}],"issued":{"date-parts":[["2013",11]]}}}],"schema":"https://github.com/citation-style-language/schema/raw/master/csl-citation.json"}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(Reid et al., 2013)</w:t>
      </w:r>
      <w:r w:rsidRPr="00B066C6">
        <w:rPr>
          <w:rFonts w:ascii="Times New Roman" w:hAnsi="Times New Roman" w:cs="Times New Roman"/>
        </w:rPr>
        <w:fldChar w:fldCharType="end"/>
      </w:r>
      <w:r w:rsidRPr="00B066C6">
        <w:rPr>
          <w:rFonts w:ascii="Times New Roman" w:hAnsi="Times New Roman" w:cs="Times New Roman"/>
        </w:rPr>
        <w:t xml:space="preserve">, and planting fast-growing, fleshy fruited pioneer species in active restoration projects </w:t>
      </w:r>
      <w:r w:rsidRPr="00B066C6">
        <w:rPr>
          <w:rFonts w:ascii="Times New Roman" w:hAnsi="Times New Roman" w:cs="Times New Roman"/>
        </w:rPr>
        <w:fldChar w:fldCharType="begin"/>
      </w:r>
      <w:r w:rsidRPr="00B066C6">
        <w:rPr>
          <w:rFonts w:ascii="Times New Roman" w:hAnsi="Times New Roman" w:cs="Times New Roman"/>
        </w:rPr>
        <w:instrText xml:space="preserve"> ADDIN ZOTERO_ITEM CSL_CITATION {"citationID":"8LUOvNOo","properties":{"formattedCitation":"(Holl et al., 2020)","plainCitation":"(Holl et al., 2020)","noteIndex":0},"citationItems":[{"id":1434,"uris":["http://zotero.org/users/12345038/items/V7D4JPIJ"],"itemData":{"id":1434,"type":"article-journal","abstract":"Abstract\n            \n              \n                \n                  Applied nucleation, mostly based upon planting tree islands, has been proposed as a cost‐effective strategy to meet ambitious global forest and landscape restoration targets.\n                \n                \n                  We review results from a 15‐year study, replicated at 15 sites in southern Costa Rica, that compares applied nucleation to natural regeneration and mixed‐species tree plantations as strategies to restore tropical forest. We have collected data on planted tree survival and growth, woody vegetation recruitment and structure, seed rain, litterfall, epiphytes, birds, bats and leaf litter arthropods.\n                \n                \n                  Our results indicate that applied nucleation and plantation restoration strategies are similarly effective in enhancing the recovery of most floral and faunal groups, vegetation structure and ecosystem functions, as compared to natural regeneration.\n                \n                \n                  Seed dispersal and woody recruitment are higher in applied nucleation and plantation than natural regeneration treatments; canopy cover has increased substantially in both natural regeneration and applied nucleation treatments; and mortality of planted N‐fixing tree species has increased in recent years. These trends have led to rapid changes in vegetation composition and structure and nutrient cycling.\n                \n                \n                  The applied nucleation strategy is cheaper than mixed‐species tree plantations, but there may be social obstacles to implementing this technique in agricultural landscapes, such as perceptions that the land is not being used productively.\n                \n                \n                  Applied nucleation is likely to be most effective in cases where: planted vegetation nuclei enhance seed dispersal and seedling establishment of other species; the spread of nuclei is not strongly inhibited by abiotic or biotic factors; and the approach is compatible with restoration goals and landowner preferences.\n                \n                \n                  \n                    Synthesis and applications\n                    . Results from our 15‐year, multi‐site study show that applied nucleation can be a cost‐effective strategy for facilitating tropical forest regeneration that holds promise for helping to meet large‐scale international forest restoration commitments.\n                  \n                \n              \n            \n          , \n            Resumen\n            \n              \n                \n                  La nucleación aplicada, basada principalmente en la plantación de islas arbóreas, se ha propuesto como una estrategia económica para cumplir con ambiciosos objetivos mundiales de restauración de bosques y paisajes.\n                \n                \n                  Resumimos los resultados de un estudio de 15 años, replicado en 15 sitios en el sur de Costa Rica, que compara la nucleación aplicada con la regeneración natural y las plantaciones de árboles de especies mixtas como estrategias para restaurar el bosque tropical. Hemos recolectado datos sobre la supervivencia y el crecimiento de los árboles plantados, el reclutamiento y la estructura de la vegetación leñosa, la lluvia de semillas, la caída de hojarasca, las epífitas, las aves, los murciélagos y los artrópodos de la hojarasca.\n                \n                \n                  Nuestros resultados indican que las estrategias de restauración utilizando la nucleación aplicada y plantaciones son igualmente efectivas para mejorar la recuperación de la mayoría de los grupos florales y faunísticos, la estructura de la vegetación y las funciones del ecosistema, en comparación con la regeneración natural.\n                \n                \n                  La dispersión de semillas y el reclutamiento leñoso son mayores en los tratamientos de nucleación aplicada y de plantación que en los tratamientos de regeneración natural; la cobertura del dosel ha aumentado sustancialmente tanto en la regeneración natural como en los tratamientos de nucleación aplicadas; y la mortalidad de las especies arbóreas fijadores de N plantadas ha aumentado en los últimos años. Estas tendencias han llevado a cambios rápidos en la composición y estructura de la vegetación y el ciclo de nutrientes.\n                \n                \n                  La estrategia de nucleación aplicada es más barata que las plantaciones de árboles de especies mixtas, pero pueden existir obstáculos sociales para implementar esta técnica en paisajes agrícolas, como la percepción que la tierra no se está utilizando productivamente.\n                \n                \n                  Es probable que la nucleación aplicada sea más efectiva en los casos en que: los núcleos de vegetación plantados mejoran la dispersión de semillas y el establecimiento de plántulas de otras especies; la propagación de los núcleos no está fuertemente inhibida por factores abióticos o bióticos; y el enfoque es compatible con los objetivos de restauración y las preferencias de los propietarios.\n                \n                \n                  \n                    Síntesis y aplicaciones\n                    . Resultados de nuestro estudio muestran que la nucleación aplicada puede ser una estrategia económica para facilitar la regeneración forestal que promete ayudar a cumplir los compromisos internacionales de restauración forestal a gran escala.","container-title":"Journal of Applied Ecology","DOI":"10.1111/1365-2664.13684","ISSN":"0021-8901, 1365-2664","issue":"12","journalAbbreviation":"Journal of Applied Ecology","language":"en","page":"2316-2328","source":"DOI.org (Crossref)","title":"Applied nucleation facilitates tropical forest recovery: Lessons learned from a 15‐year study","title-short":"Applied nucleation facilitates tropical forest recovery","volume":"57","author":[{"family":"Holl","given":"Karen D."},{"family":"Reid","given":"J. Leighton"},{"family":"Cole","given":"Rebecca J."},{"family":"Oviedo‐Brenes","given":"Federico"},{"family":"Rosales","given":"Juan A."},{"family":"Zahawi","given":"Rakan A."}],"editor":[{"family":"Garcia","given":"Cristina"}],"issued":{"date-parts":[["2020",12]]}}}],"schema":"https://github.com/citation-style-language/schema/raw/master/csl-citation.json"} </w:instrText>
      </w:r>
      <w:r w:rsidRPr="00B066C6">
        <w:rPr>
          <w:rFonts w:ascii="Times New Roman" w:hAnsi="Times New Roman" w:cs="Times New Roman"/>
        </w:rPr>
        <w:fldChar w:fldCharType="separate"/>
      </w:r>
      <w:r w:rsidRPr="00B066C6">
        <w:rPr>
          <w:rFonts w:ascii="Times New Roman" w:hAnsi="Times New Roman" w:cs="Times New Roman"/>
          <w:noProof/>
        </w:rPr>
        <w:t>(Holl et al., 2020)</w:t>
      </w:r>
      <w:r w:rsidRPr="00B066C6">
        <w:rPr>
          <w:rFonts w:ascii="Times New Roman" w:hAnsi="Times New Roman" w:cs="Times New Roman"/>
        </w:rPr>
        <w:fldChar w:fldCharType="end"/>
      </w:r>
      <w:r w:rsidRPr="00B066C6">
        <w:rPr>
          <w:rFonts w:ascii="Times New Roman" w:hAnsi="Times New Roman" w:cs="Times New Roman"/>
        </w:rPr>
        <w:t xml:space="preserve">. </w:t>
      </w:r>
      <w:r>
        <w:rPr>
          <w:rFonts w:ascii="Times New Roman" w:hAnsi="Times New Roman" w:cs="Times New Roman"/>
        </w:rPr>
        <w:t xml:space="preserve">Though many are still evaluating the effectiveness of these techniques, planting fast-growing fleshy-fruiting early pioneer species has been the most effective in facilitating the return of seed dispersal interactions </w:t>
      </w:r>
      <w:r>
        <w:rPr>
          <w:rFonts w:ascii="Times New Roman" w:hAnsi="Times New Roman" w:cs="Times New Roman"/>
        </w:rPr>
        <w:fldChar w:fldCharType="begin"/>
      </w:r>
      <w:r>
        <w:rPr>
          <w:rFonts w:ascii="Times New Roman" w:hAnsi="Times New Roman" w:cs="Times New Roman"/>
        </w:rPr>
        <w:instrText xml:space="preserve"> ADDIN ZOTERO_ITEM CSL_CITATION {"citationID":"8E7iZhx6","properties":{"formattedCitation":"(Corbin &amp; Holl, 2012; Holl et al., 2020)","plainCitation":"(Corbin &amp; Holl, 2012; Holl et al., 2020)","noteIndex":0},"citationItems":[{"id":1702,"uris":["http://zotero.org/users/12345038/items/4LNIDJTU"],"itemData":{"id":1702,"type":"article-journal","container-title":"Forest Ecology and Management","DOI":"10.1016/j.foreco.2011.10.013","ISSN":"03781127","journalAbbreviation":"Forest Ecology and Management","language":"en","license":"https://www.elsevier.com/tdm/userlicense/1.0/","page":"37-46","source":"DOI.org (Crossref)","title":"Applied nucleation as a forest restoration strategy","volume":"265","author":[{"family":"Corbin","given":"Jeffrey D."},{"family":"Holl","given":"Karen D."}],"issued":{"date-parts":[["2012",2]]}}},{"id":1434,"uris":["http://zotero.org/users/12345038/items/V7D4JPIJ"],"itemData":{"id":1434,"type":"article-journal","abstract":"Abstract\n            \n              \n                \n                  Applied nucleation, mostly based upon planting tree islands, has been proposed as a cost‐effective strategy to meet ambitious global forest and landscape restoration targets.\n                \n                \n                  We review results from a 15‐year study, replicated at 15 sites in southern Costa Rica, that compares applied nucleation to natural regeneration and mixed‐species tree plantations as strategies to restore tropical forest. We have collected data on planted tree survival and growth, woody vegetation recruitment and structure, seed rain, litterfall, epiphytes, birds, bats and leaf litter arthropods.\n                \n                \n                  Our results indicate that applied nucleation and plantation restoration strategies are similarly effective in enhancing the recovery of most floral and faunal groups, vegetation structure and ecosystem functions, as compared to natural regeneration.\n                \n                \n                  Seed dispersal and woody recruitment are higher in applied nucleation and plantation than natural regeneration treatments; canopy cover has increased substantially in both natural regeneration and applied nucleation treatments; and mortality of planted N‐fixing tree species has increased in recent years. These trends have led to rapid changes in vegetation composition and structure and nutrient cycling.\n                \n                \n                  The applied nucleation strategy is cheaper than mixed‐species tree plantations, but there may be social obstacles to implementing this technique in agricultural landscapes, such as perceptions that the land is not being used productively.\n                \n                \n                  Applied nucleation is likely to be most effective in cases where: planted vegetation nuclei enhance seed dispersal and seedling establishment of other species; the spread of nuclei is not strongly inhibited by abiotic or biotic factors; and the approach is compatible with restoration goals and landowner preferences.\n                \n                \n                  \n                    Synthesis and applications\n                    . Results from our 15‐year, multi‐site study show that applied nucleation can be a cost‐effective strategy for facilitating tropical forest regeneration that holds promise for helping to meet large‐scale international forest restoration commitments.\n                  \n                \n              \n            \n          , \n            Resumen\n            \n              \n                \n                  La nucleación aplicada, basada principalmente en la plantación de islas arbóreas, se ha propuesto como una estrategia económica para cumplir con ambiciosos objetivos mundiales de restauración de bosques y paisajes.\n                \n                \n                  Resumimos los resultados de un estudio de 15 años, replicado en 15 sitios en el sur de Costa Rica, que compara la nucleación aplicada con la regeneración natural y las plantaciones de árboles de especies mixtas como estrategias para restaurar el bosque tropical. Hemos recolectado datos sobre la supervivencia y el crecimiento de los árboles plantados, el reclutamiento y la estructura de la vegetación leñosa, la lluvia de semillas, la caída de hojarasca, las epífitas, las aves, los murciélagos y los artrópodos de la hojarasca.\n                \n                \n                  Nuestros resultados indican que las estrategias de restauración utilizando la nucleación aplicada y plantaciones son igualmente efectivas para mejorar la recuperación de la mayoría de los grupos florales y faunísticos, la estructura de la vegetación y las funciones del ecosistema, en comparación con la regeneración natural.\n                \n                \n                  La dispersión de semillas y el reclutamiento leñoso son mayores en los tratamientos de nucleación aplicada y de plantación que en los tratamientos de regeneración natural; la cobertura del dosel ha aumentado sustancialmente tanto en la regeneración natural como en los tratamientos de nucleación aplicadas; y la mortalidad de las especies arbóreas fijadores de N plantadas ha aumentado en los últimos años. Estas tendencias han llevado a cambios rápidos en la composición y estructura de la vegetación y el ciclo de nutrientes.\n                \n                \n                  La estrategia de nucleación aplicada es más barata que las plantaciones de árboles de especies mixtas, pero pueden existir obstáculos sociales para implementar esta técnica en paisajes agrícolas, como la percepción que la tierra no se está utilizando productivamente.\n                \n                \n                  Es probable que la nucleación aplicada sea más efectiva en los casos en que: los núcleos de vegetación plantados mejoran la dispersión de semillas y el establecimiento de plántulas de otras especies; la propagación de los núcleos no está fuertemente inhibida por factores abióticos o bióticos; y el enfoque es compatible con los objetivos de restauración y las preferencias de los propietarios.\n                \n                \n                  \n                    Síntesis y aplicaciones\n                    . Resultados de nuestro estudio muestran que la nucleación aplicada puede ser una estrategia económica para facilitar la regeneración forestal que promete ayudar a cumplir los compromisos internacionales de restauración forestal a gran escala.","container-title":"Journal of Applied Ecology","DOI":"10.1111/1365-2664.13684","ISSN":"0021-8901, 1365-2664","issue":"12","journalAbbreviation":"Journal of Applied Ecology","language":"en","page":"2316-2328","source":"DOI.org (Crossref)","title":"Applied nucleation facilitates tropical forest recovery: Lessons learned from a 15‐year study","title-short":"Applied nucleation facilitates tropical forest recovery","volume":"57","author":[{"family":"Holl","given":"Karen D."},{"family":"Reid","given":"J. Leighton"},{"family":"Cole","given":"Rebecca J."},{"family":"Oviedo‐Brenes","given":"Federico"},{"family":"Rosales","given":"Juan A."},{"family":"Zahawi","given":"Rakan A."}],"editor":[{"family":"Garcia","given":"Cristina"}],"issued":{"date-parts":[["2020",12]]}}}],"schema":"https://github.com/citation-style-language/schema/raw/master/csl-citation.json"}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(Corbin &amp; Holl, 2012; Holl et al., 2020)</w:t>
      </w:r>
      <w:r>
        <w:rPr>
          <w:rFonts w:ascii="Times New Roman" w:hAnsi="Times New Roman" w:cs="Times New Roman"/>
        </w:rPr>
        <w:fldChar w:fldCharType="end"/>
      </w:r>
      <w:r>
        <w:rPr>
          <w:rFonts w:ascii="Times New Roman" w:hAnsi="Times New Roman" w:cs="Times New Roman"/>
        </w:rPr>
        <w:t xml:space="preserve">. </w:t>
      </w:r>
    </w:p>
    <w:p w14:paraId="62F6E798" w14:textId="063D4FD4" w:rsidR="00377203" w:rsidRPr="00B066C6" w:rsidRDefault="00C831ED" w:rsidP="00860547">
      <w:pPr>
        <w:spacing w:before="0" w:after="0"/>
        <w:rPr>
          <w:rFonts w:ascii="Times New Roman" w:hAnsi="Times New Roman" w:cs="Times New Roman"/>
          <w:b/>
          <w:bCs/>
        </w:rPr>
      </w:pPr>
      <w:r w:rsidRPr="00B066C6">
        <w:rPr>
          <w:rFonts w:ascii="Times New Roman" w:hAnsi="Times New Roman" w:cs="Times New Roman"/>
          <w:b/>
          <w:bCs/>
        </w:rPr>
        <w:t>Knowledge Gaps</w:t>
      </w:r>
      <w:r w:rsidR="003361EE" w:rsidRPr="00B066C6">
        <w:rPr>
          <w:rFonts w:ascii="Times New Roman" w:hAnsi="Times New Roman" w:cs="Times New Roman"/>
          <w:b/>
          <w:bCs/>
        </w:rPr>
        <w:t xml:space="preserve"> and Aims</w:t>
      </w:r>
    </w:p>
    <w:p w14:paraId="4C461029" w14:textId="1A0FCD24" w:rsidR="000C31BC" w:rsidRDefault="00F0543C" w:rsidP="00D77075">
      <w:pPr>
        <w:spacing w:before="0" w:after="0"/>
        <w:rPr>
          <w:rFonts w:ascii="Times New Roman" w:hAnsi="Times New Roman" w:cs="Times New Roman"/>
        </w:rPr>
      </w:pPr>
      <w:r w:rsidRPr="00B066C6">
        <w:rPr>
          <w:rFonts w:ascii="Times New Roman" w:hAnsi="Times New Roman" w:cs="Times New Roman"/>
        </w:rPr>
        <w:tab/>
      </w:r>
      <w:r w:rsidR="00417269" w:rsidRPr="00120D3E">
        <w:rPr>
          <w:rFonts w:ascii="Times New Roman" w:hAnsi="Times New Roman" w:cs="Times New Roman"/>
        </w:rPr>
        <w:t>As biodiversity recovery, community assembly, and strengthening ecological interactions remain a critical goal</w:t>
      </w:r>
      <w:r w:rsidR="00417269">
        <w:rPr>
          <w:rFonts w:ascii="Times New Roman" w:hAnsi="Times New Roman" w:cs="Times New Roman"/>
        </w:rPr>
        <w:t>s</w:t>
      </w:r>
      <w:r w:rsidR="00417269" w:rsidRPr="00120D3E">
        <w:rPr>
          <w:rFonts w:ascii="Times New Roman" w:hAnsi="Times New Roman" w:cs="Times New Roman"/>
        </w:rPr>
        <w:t xml:space="preserve"> of restoration ecology, understanding how these processes respond to forest regeneration </w:t>
      </w:r>
      <w:r w:rsidR="00417269">
        <w:rPr>
          <w:rFonts w:ascii="Times New Roman" w:hAnsi="Times New Roman" w:cs="Times New Roman"/>
        </w:rPr>
        <w:t>will help</w:t>
      </w:r>
      <w:r w:rsidR="00417269" w:rsidRPr="00120D3E">
        <w:rPr>
          <w:rFonts w:ascii="Times New Roman" w:hAnsi="Times New Roman" w:cs="Times New Roman"/>
        </w:rPr>
        <w:t xml:space="preserve"> ensur</w:t>
      </w:r>
      <w:r w:rsidR="00417269">
        <w:rPr>
          <w:rFonts w:ascii="Times New Roman" w:hAnsi="Times New Roman" w:cs="Times New Roman"/>
        </w:rPr>
        <w:t>e</w:t>
      </w:r>
      <w:r w:rsidR="00417269" w:rsidRPr="00120D3E">
        <w:rPr>
          <w:rFonts w:ascii="Times New Roman" w:hAnsi="Times New Roman" w:cs="Times New Roman"/>
        </w:rPr>
        <w:t xml:space="preserve"> the long-term persistence of tropical ecosystems. </w:t>
      </w:r>
      <w:r w:rsidR="00417269">
        <w:rPr>
          <w:rFonts w:ascii="Times New Roman" w:hAnsi="Times New Roman" w:cs="Times New Roman"/>
        </w:rPr>
        <w:t>Therefore, i</w:t>
      </w:r>
      <w:r w:rsidR="00417269" w:rsidRPr="00120D3E">
        <w:rPr>
          <w:rFonts w:ascii="Times New Roman" w:hAnsi="Times New Roman" w:cs="Times New Roman"/>
        </w:rPr>
        <w:t xml:space="preserve">n this dissertation we explore the </w:t>
      </w:r>
      <w:r w:rsidR="00417269">
        <w:rPr>
          <w:rFonts w:ascii="Times New Roman" w:hAnsi="Times New Roman" w:cs="Times New Roman"/>
        </w:rPr>
        <w:t xml:space="preserve">reassembly of faunal communities and species interactions in regenerating tropical forests and how this applies to tropical restoration strategies. </w:t>
      </w:r>
      <w:r w:rsidR="00417269" w:rsidRPr="00B066C6">
        <w:rPr>
          <w:rFonts w:ascii="Times New Roman" w:hAnsi="Times New Roman" w:cs="Times New Roman"/>
        </w:rPr>
        <w:t xml:space="preserve">The first chapter of this dissertation </w:t>
      </w:r>
      <w:r w:rsidR="00417269">
        <w:rPr>
          <w:rFonts w:ascii="Times New Roman" w:hAnsi="Times New Roman" w:cs="Times New Roman"/>
        </w:rPr>
        <w:t xml:space="preserve">is a systematic literature review on studies </w:t>
      </w:r>
      <w:r w:rsidR="00417269" w:rsidRPr="00B066C6">
        <w:rPr>
          <w:rFonts w:ascii="Times New Roman" w:hAnsi="Times New Roman" w:cs="Times New Roman"/>
        </w:rPr>
        <w:t xml:space="preserve">pertaining to seed dispersal interactions </w:t>
      </w:r>
      <w:r w:rsidR="00417269">
        <w:rPr>
          <w:rFonts w:ascii="Times New Roman" w:hAnsi="Times New Roman" w:cs="Times New Roman"/>
        </w:rPr>
        <w:t>in relation to conservation and restoration</w:t>
      </w:r>
      <w:r w:rsidR="00417269" w:rsidRPr="00B066C6">
        <w:rPr>
          <w:rFonts w:ascii="Times New Roman" w:hAnsi="Times New Roman" w:cs="Times New Roman"/>
        </w:rPr>
        <w:t xml:space="preserve">. Specifically, </w:t>
      </w:r>
      <w:r w:rsidR="00417269">
        <w:rPr>
          <w:rFonts w:ascii="Times New Roman" w:hAnsi="Times New Roman" w:cs="Times New Roman"/>
        </w:rPr>
        <w:t>in this chapter we</w:t>
      </w:r>
      <w:r w:rsidR="00417269" w:rsidRPr="00B066C6">
        <w:rPr>
          <w:rFonts w:ascii="Times New Roman" w:hAnsi="Times New Roman" w:cs="Times New Roman"/>
        </w:rPr>
        <w:t xml:space="preserve"> </w:t>
      </w:r>
      <w:r w:rsidR="00417269">
        <w:rPr>
          <w:rFonts w:ascii="Times New Roman" w:hAnsi="Times New Roman" w:cs="Times New Roman"/>
        </w:rPr>
        <w:t>aim to</w:t>
      </w:r>
      <w:r w:rsidR="00417269" w:rsidRPr="00B066C6">
        <w:rPr>
          <w:rFonts w:ascii="Times New Roman" w:hAnsi="Times New Roman" w:cs="Times New Roman"/>
        </w:rPr>
        <w:t xml:space="preserve">: (1) </w:t>
      </w:r>
      <w:r w:rsidR="00417269">
        <w:rPr>
          <w:rFonts w:ascii="Times New Roman" w:hAnsi="Times New Roman" w:cs="Times New Roman"/>
        </w:rPr>
        <w:t>S</w:t>
      </w:r>
      <w:r w:rsidR="00417269" w:rsidRPr="00B066C6">
        <w:rPr>
          <w:rFonts w:ascii="Times New Roman" w:hAnsi="Times New Roman" w:cs="Times New Roman"/>
        </w:rPr>
        <w:t xml:space="preserve">ynthesize findings </w:t>
      </w:r>
      <w:r w:rsidR="00417269">
        <w:rPr>
          <w:rFonts w:ascii="Times New Roman" w:hAnsi="Times New Roman" w:cs="Times New Roman"/>
        </w:rPr>
        <w:t>on</w:t>
      </w:r>
      <w:r w:rsidR="00417269" w:rsidRPr="00B066C6">
        <w:rPr>
          <w:rFonts w:ascii="Times New Roman" w:hAnsi="Times New Roman" w:cs="Times New Roman"/>
        </w:rPr>
        <w:t xml:space="preserve"> seed dispersal networks in the tropics relevant to the fields of conservation and restoration ecology, (2) </w:t>
      </w:r>
      <w:r w:rsidR="00417269">
        <w:rPr>
          <w:rFonts w:ascii="Times New Roman" w:hAnsi="Times New Roman" w:cs="Times New Roman"/>
        </w:rPr>
        <w:t>H</w:t>
      </w:r>
      <w:r w:rsidR="00417269" w:rsidRPr="00B066C6">
        <w:rPr>
          <w:rFonts w:ascii="Times New Roman" w:hAnsi="Times New Roman" w:cs="Times New Roman"/>
        </w:rPr>
        <w:t xml:space="preserve">ighlight potential biases and </w:t>
      </w:r>
      <w:r w:rsidR="00417269">
        <w:rPr>
          <w:rFonts w:ascii="Times New Roman" w:hAnsi="Times New Roman" w:cs="Times New Roman"/>
        </w:rPr>
        <w:t>caveats</w:t>
      </w:r>
      <w:r w:rsidR="00417269" w:rsidRPr="00B066C6">
        <w:rPr>
          <w:rFonts w:ascii="Times New Roman" w:hAnsi="Times New Roman" w:cs="Times New Roman"/>
        </w:rPr>
        <w:t xml:space="preserve"> of </w:t>
      </w:r>
      <w:r w:rsidR="00417269">
        <w:rPr>
          <w:rFonts w:ascii="Times New Roman" w:hAnsi="Times New Roman" w:cs="Times New Roman"/>
        </w:rPr>
        <w:t>applying</w:t>
      </w:r>
      <w:r w:rsidR="00417269" w:rsidRPr="00B066C6">
        <w:rPr>
          <w:rFonts w:ascii="Times New Roman" w:hAnsi="Times New Roman" w:cs="Times New Roman"/>
        </w:rPr>
        <w:t xml:space="preserve"> network theory</w:t>
      </w:r>
      <w:r w:rsidR="00417269">
        <w:rPr>
          <w:rFonts w:ascii="Times New Roman" w:hAnsi="Times New Roman" w:cs="Times New Roman"/>
        </w:rPr>
        <w:t xml:space="preserve"> to restoration</w:t>
      </w:r>
      <w:r w:rsidR="00417269" w:rsidRPr="00B066C6">
        <w:rPr>
          <w:rFonts w:ascii="Times New Roman" w:hAnsi="Times New Roman" w:cs="Times New Roman"/>
        </w:rPr>
        <w:t xml:space="preserve">, and (3) </w:t>
      </w:r>
      <w:r w:rsidR="00417269">
        <w:rPr>
          <w:rFonts w:ascii="Times New Roman" w:hAnsi="Times New Roman" w:cs="Times New Roman"/>
        </w:rPr>
        <w:t>I</w:t>
      </w:r>
      <w:r w:rsidR="00417269" w:rsidRPr="00B066C6">
        <w:rPr>
          <w:rFonts w:ascii="Times New Roman" w:hAnsi="Times New Roman" w:cs="Times New Roman"/>
        </w:rPr>
        <w:t xml:space="preserve">dentify current knowledge gaps </w:t>
      </w:r>
      <w:r w:rsidR="00417269">
        <w:rPr>
          <w:rFonts w:ascii="Times New Roman" w:hAnsi="Times New Roman" w:cs="Times New Roman"/>
        </w:rPr>
        <w:t>the applications of</w:t>
      </w:r>
      <w:r w:rsidR="00417269" w:rsidRPr="00B066C6">
        <w:rPr>
          <w:rFonts w:ascii="Times New Roman" w:hAnsi="Times New Roman" w:cs="Times New Roman"/>
        </w:rPr>
        <w:t xml:space="preserve"> seed dispersal networks </w:t>
      </w:r>
      <w:r w:rsidR="00417269">
        <w:rPr>
          <w:rFonts w:ascii="Times New Roman" w:hAnsi="Times New Roman" w:cs="Times New Roman"/>
        </w:rPr>
        <w:t>for</w:t>
      </w:r>
      <w:r w:rsidR="00417269" w:rsidRPr="00B066C6">
        <w:rPr>
          <w:rFonts w:ascii="Times New Roman" w:hAnsi="Times New Roman" w:cs="Times New Roman"/>
        </w:rPr>
        <w:t xml:space="preserve"> conservation and restoration of tropical forests, and how these can be addressed in future research. This review has provided a comprehensive overview of the current state of research in this field and incorporated </w:t>
      </w:r>
      <w:r w:rsidR="00417269">
        <w:rPr>
          <w:rFonts w:ascii="Times New Roman" w:hAnsi="Times New Roman" w:cs="Times New Roman"/>
        </w:rPr>
        <w:t>the</w:t>
      </w:r>
      <w:r w:rsidR="00417269" w:rsidRPr="00B066C6">
        <w:rPr>
          <w:rFonts w:ascii="Times New Roman" w:hAnsi="Times New Roman" w:cs="Times New Roman"/>
        </w:rPr>
        <w:t xml:space="preserve"> potential trajectory for future research in </w:t>
      </w:r>
      <w:r w:rsidR="00417269">
        <w:rPr>
          <w:rFonts w:ascii="Times New Roman" w:hAnsi="Times New Roman" w:cs="Times New Roman"/>
        </w:rPr>
        <w:t xml:space="preserve">incorporating </w:t>
      </w:r>
      <w:r w:rsidR="00417269" w:rsidRPr="00B066C6">
        <w:rPr>
          <w:rFonts w:ascii="Times New Roman" w:hAnsi="Times New Roman" w:cs="Times New Roman"/>
        </w:rPr>
        <w:t>seed dispersal interaction</w:t>
      </w:r>
      <w:r w:rsidR="00417269">
        <w:rPr>
          <w:rFonts w:ascii="Times New Roman" w:hAnsi="Times New Roman" w:cs="Times New Roman"/>
        </w:rPr>
        <w:t xml:space="preserve">s in </w:t>
      </w:r>
      <w:r w:rsidR="00417269" w:rsidRPr="00B066C6">
        <w:rPr>
          <w:rFonts w:ascii="Times New Roman" w:hAnsi="Times New Roman" w:cs="Times New Roman"/>
        </w:rPr>
        <w:t>restoration</w:t>
      </w:r>
      <w:r w:rsidR="00417269">
        <w:rPr>
          <w:rFonts w:ascii="Times New Roman" w:hAnsi="Times New Roman" w:cs="Times New Roman"/>
        </w:rPr>
        <w:t xml:space="preserve"> goals</w:t>
      </w:r>
      <w:r w:rsidR="00417269" w:rsidRPr="00B066C6">
        <w:rPr>
          <w:rFonts w:ascii="Times New Roman" w:hAnsi="Times New Roman" w:cs="Times New Roman"/>
        </w:rPr>
        <w:t>.</w:t>
      </w:r>
    </w:p>
    <w:p w14:paraId="36E6CC43" w14:textId="5827520B" w:rsidR="000C31BC" w:rsidRPr="00B72013" w:rsidRDefault="00960E41" w:rsidP="00D77075">
      <w:pPr>
        <w:spacing w:before="0" w:after="0"/>
        <w:ind w:firstLine="720"/>
        <w:rPr>
          <w:rFonts w:ascii="Times New Roman" w:hAnsi="Times New Roman" w:cs="Times New Roman"/>
        </w:rPr>
      </w:pPr>
      <w:r>
        <w:rPr>
          <w:rFonts w:ascii="Times New Roman" w:hAnsi="Times New Roman" w:cs="Times New Roman"/>
        </w:rPr>
        <w:t>C</w:t>
      </w:r>
      <w:r w:rsidR="000C31BC" w:rsidRPr="00B72013">
        <w:rPr>
          <w:rFonts w:ascii="Times New Roman" w:hAnsi="Times New Roman" w:cs="Times New Roman"/>
        </w:rPr>
        <w:t>hapter</w:t>
      </w:r>
      <w:r>
        <w:rPr>
          <w:rFonts w:ascii="Times New Roman" w:hAnsi="Times New Roman" w:cs="Times New Roman"/>
        </w:rPr>
        <w:t xml:space="preserve"> two</w:t>
      </w:r>
      <w:r w:rsidR="000C31BC" w:rsidRPr="00B72013">
        <w:rPr>
          <w:rFonts w:ascii="Times New Roman" w:hAnsi="Times New Roman" w:cs="Times New Roman"/>
        </w:rPr>
        <w:t xml:space="preserve"> of this dissertation examines the extent to which functional diversity indices accurately predict avian community responses to tropical forest regeneration. To this end, </w:t>
      </w:r>
      <w:r w:rsidR="007F15DD">
        <w:rPr>
          <w:rFonts w:ascii="Times New Roman" w:hAnsi="Times New Roman" w:cs="Times New Roman"/>
        </w:rPr>
        <w:t xml:space="preserve">I </w:t>
      </w:r>
      <w:r w:rsidR="000C31BC" w:rsidRPr="00B72013">
        <w:rPr>
          <w:rFonts w:ascii="Times New Roman" w:hAnsi="Times New Roman" w:cs="Times New Roman"/>
        </w:rPr>
        <w:t xml:space="preserve">utilized a regenerating forest gradient and light detection and ranging (LiDAR)-derived vegetation indices to investigate their relationships between the composition, taxonomic diversity, and functional diversity of understory avian communities in the Chocó rainforest of northwest Ecuador. Specifically, this chapter aims to: (1) </w:t>
      </w:r>
      <w:r w:rsidR="005125D5">
        <w:rPr>
          <w:rFonts w:ascii="Times New Roman" w:hAnsi="Times New Roman" w:cs="Times New Roman"/>
        </w:rPr>
        <w:t>I</w:t>
      </w:r>
      <w:r w:rsidR="000C31BC" w:rsidRPr="00B72013">
        <w:rPr>
          <w:rFonts w:ascii="Times New Roman" w:hAnsi="Times New Roman" w:cs="Times New Roman"/>
        </w:rPr>
        <w:t xml:space="preserve">nvestigate the composition, taxonomic diversity, and functional diversity of bird communities in relation to changes in forest regeneration, (2) </w:t>
      </w:r>
      <w:r w:rsidR="005125D5">
        <w:rPr>
          <w:rFonts w:ascii="Times New Roman" w:hAnsi="Times New Roman" w:cs="Times New Roman"/>
        </w:rPr>
        <w:t>Te</w:t>
      </w:r>
      <w:r w:rsidR="000C31BC" w:rsidRPr="00B72013">
        <w:rPr>
          <w:rFonts w:ascii="Times New Roman" w:hAnsi="Times New Roman" w:cs="Times New Roman"/>
        </w:rPr>
        <w:t>st for associations between</w:t>
      </w:r>
      <w:r w:rsidR="007F15DD">
        <w:rPr>
          <w:rFonts w:ascii="Times New Roman" w:hAnsi="Times New Roman" w:cs="Times New Roman"/>
        </w:rPr>
        <w:t xml:space="preserve"> bird</w:t>
      </w:r>
      <w:r w:rsidR="000C31BC" w:rsidRPr="00B72013">
        <w:rPr>
          <w:rFonts w:ascii="Times New Roman" w:hAnsi="Times New Roman" w:cs="Times New Roman"/>
        </w:rPr>
        <w:t xml:space="preserve"> diversity indices and </w:t>
      </w:r>
      <w:r w:rsidR="007F15DD">
        <w:rPr>
          <w:rFonts w:ascii="Times New Roman" w:hAnsi="Times New Roman" w:cs="Times New Roman"/>
        </w:rPr>
        <w:t xml:space="preserve">regenerating </w:t>
      </w:r>
      <w:r w:rsidR="000C31BC" w:rsidRPr="00B72013">
        <w:rPr>
          <w:rFonts w:ascii="Times New Roman" w:hAnsi="Times New Roman" w:cs="Times New Roman"/>
        </w:rPr>
        <w:t xml:space="preserve">vegetation structure, and (3) </w:t>
      </w:r>
      <w:r w:rsidR="005125D5">
        <w:rPr>
          <w:rFonts w:ascii="Times New Roman" w:hAnsi="Times New Roman" w:cs="Times New Roman"/>
        </w:rPr>
        <w:t>D</w:t>
      </w:r>
      <w:r w:rsidR="000C31BC" w:rsidRPr="00B72013">
        <w:rPr>
          <w:rFonts w:ascii="Times New Roman" w:hAnsi="Times New Roman" w:cs="Times New Roman"/>
        </w:rPr>
        <w:t>etermine how</w:t>
      </w:r>
      <w:r w:rsidR="007F15DD">
        <w:rPr>
          <w:rFonts w:ascii="Times New Roman" w:hAnsi="Times New Roman" w:cs="Times New Roman"/>
        </w:rPr>
        <w:t xml:space="preserve"> avian</w:t>
      </w:r>
      <w:r w:rsidR="000C31BC" w:rsidRPr="00B72013">
        <w:rPr>
          <w:rFonts w:ascii="Times New Roman" w:hAnsi="Times New Roman" w:cs="Times New Roman"/>
        </w:rPr>
        <w:t xml:space="preserve"> functional traits shift across stages of regeneration, and which traits contribute most to changes in functional diversity. This study provides a deeper </w:t>
      </w:r>
      <w:r w:rsidR="000C31BC" w:rsidRPr="00B72013">
        <w:rPr>
          <w:rFonts w:ascii="Times New Roman" w:hAnsi="Times New Roman" w:cs="Times New Roman"/>
        </w:rPr>
        <w:lastRenderedPageBreak/>
        <w:t>understanding of how functional diversity indices can be utilized to assess</w:t>
      </w:r>
      <w:r w:rsidR="007F15DD">
        <w:rPr>
          <w:rFonts w:ascii="Times New Roman" w:hAnsi="Times New Roman" w:cs="Times New Roman"/>
        </w:rPr>
        <w:t xml:space="preserve"> avian</w:t>
      </w:r>
      <w:r w:rsidR="000C31BC" w:rsidRPr="00B72013">
        <w:rPr>
          <w:rFonts w:ascii="Times New Roman" w:hAnsi="Times New Roman" w:cs="Times New Roman"/>
        </w:rPr>
        <w:t xml:space="preserve"> community responses to forest regeneration.  </w:t>
      </w:r>
    </w:p>
    <w:p w14:paraId="4F36F83C" w14:textId="2EEA712F" w:rsidR="000C31BC" w:rsidRDefault="000C31BC" w:rsidP="00D77075">
      <w:pPr>
        <w:pStyle w:val="paragraph"/>
        <w:spacing w:before="0" w:beforeAutospacing="0" w:after="0" w:afterAutospacing="0" w:line="360" w:lineRule="auto"/>
        <w:ind w:firstLine="720"/>
        <w:textAlignment w:val="baseline"/>
      </w:pPr>
      <w:r w:rsidRPr="00B066C6">
        <w:t xml:space="preserve">Finally, </w:t>
      </w:r>
      <w:r w:rsidR="00F75692">
        <w:t>Chapter three</w:t>
      </w:r>
      <w:r>
        <w:t xml:space="preserve"> examines how seed dispersal networks reassemble in regenerating tropical forests.</w:t>
      </w:r>
      <w:r w:rsidRPr="00B066C6">
        <w:t xml:space="preserve"> </w:t>
      </w:r>
      <w:r>
        <w:t>T</w:t>
      </w:r>
      <w:r w:rsidRPr="00B066C6">
        <w:t xml:space="preserve">his chapter aims to: (1) </w:t>
      </w:r>
      <w:r w:rsidR="005125D5">
        <w:t>E</w:t>
      </w:r>
      <w:r w:rsidRPr="00B066C6">
        <w:t xml:space="preserve">xamine how seed dispersal interactions change as a function of forest regeneration, (2) </w:t>
      </w:r>
      <w:r w:rsidR="005125D5">
        <w:t>E</w:t>
      </w:r>
      <w:r w:rsidRPr="00B066C6">
        <w:t xml:space="preserve">valuate the extent to which seed dispersal networks retain or change their structure through stages of forest regeneration, and (3) </w:t>
      </w:r>
      <w:r w:rsidR="005125D5">
        <w:t>D</w:t>
      </w:r>
      <w:r w:rsidRPr="00B066C6">
        <w:t>etermine how forest regeneration influences the complexity and stability of seed dispersal networks.</w:t>
      </w:r>
      <w:r>
        <w:t xml:space="preserve"> </w:t>
      </w:r>
      <w:r w:rsidR="0008411D">
        <w:t>I</w:t>
      </w:r>
      <w:r>
        <w:t xml:space="preserve"> sampled for seed dispersal interactions using both phytocentric</w:t>
      </w:r>
      <w:r w:rsidR="007F15DD">
        <w:t xml:space="preserve"> (plant-focused)</w:t>
      </w:r>
      <w:r>
        <w:t xml:space="preserve"> and zoocentric</w:t>
      </w:r>
      <w:r w:rsidR="007F15DD">
        <w:t xml:space="preserve"> (animal focused)</w:t>
      </w:r>
      <w:r>
        <w:t xml:space="preserve"> field methods and pooled these interactions to create weighted seed dispersal networks representing four stages of forest regeneration: </w:t>
      </w:r>
      <w:r w:rsidRPr="008D7640">
        <w:rPr>
          <w:rFonts w:eastAsiaTheme="majorEastAsia"/>
          <w:color w:val="000000" w:themeColor="text1"/>
        </w:rPr>
        <w:t>highly impacted pastures, early successional vegetation, secondary forests, and old-growth Chocó rainforest</w:t>
      </w:r>
      <w:r>
        <w:t xml:space="preserve">. </w:t>
      </w:r>
      <w:r w:rsidRPr="00B066C6">
        <w:t xml:space="preserve">Understanding how seed dispersal interactions shift across stages of regeneration is critical, as seed dispersal influences plant recruitment, species composition, and long-term ecosystem stability. Examining the extent to which these networks retain or </w:t>
      </w:r>
      <w:r>
        <w:t>rewire</w:t>
      </w:r>
      <w:r w:rsidRPr="00B066C6">
        <w:t xml:space="preserve"> through </w:t>
      </w:r>
      <w:r>
        <w:t>forest regeneration</w:t>
      </w:r>
      <w:r w:rsidRPr="00B066C6">
        <w:t xml:space="preserve"> can provide key insights into the</w:t>
      </w:r>
      <w:r>
        <w:t xml:space="preserve"> recovery of</w:t>
      </w:r>
      <w:r w:rsidRPr="00B066C6">
        <w:t xml:space="preserve"> ecological processes </w:t>
      </w:r>
      <w:r>
        <w:t xml:space="preserve">that </w:t>
      </w:r>
      <w:r w:rsidRPr="00B066C6">
        <w:t>shap</w:t>
      </w:r>
      <w:r>
        <w:t>e</w:t>
      </w:r>
      <w:r w:rsidRPr="00B066C6">
        <w:t xml:space="preserve"> forest regeneration.</w:t>
      </w:r>
    </w:p>
    <w:p w14:paraId="2C318E6D" w14:textId="0ADE0418" w:rsidR="0046355F" w:rsidRPr="00B066C6" w:rsidRDefault="0046355F" w:rsidP="000C31BC">
      <w:pPr>
        <w:spacing w:before="0" w:after="0"/>
      </w:pPr>
    </w:p>
    <w:p w14:paraId="08C25370" w14:textId="77777777" w:rsidR="000C31BC" w:rsidRDefault="000C31BC">
      <w:pPr>
        <w:rPr>
          <w:rFonts w:ascii="Times New Roman" w:eastAsiaTheme="majorEastAsia" w:hAnsi="Times New Roman" w:cs="Times New Roman"/>
          <w:b/>
          <w:bCs/>
        </w:rPr>
      </w:pPr>
      <w:r>
        <w:rPr>
          <w:rFonts w:ascii="Times New Roman" w:hAnsi="Times New Roman" w:cs="Times New Roman"/>
          <w:b/>
          <w:bCs/>
        </w:rPr>
        <w:br w:type="page"/>
      </w:r>
    </w:p>
    <w:p w14:paraId="55ACABF5" w14:textId="5D11A3B6" w:rsidR="00F0543C" w:rsidRPr="00860547" w:rsidRDefault="0046355F" w:rsidP="005A0AC0">
      <w:pPr>
        <w:pStyle w:val="Heading2"/>
        <w:spacing w:before="0" w:after="0"/>
        <w:rPr>
          <w:rFonts w:ascii="Times New Roman" w:hAnsi="Times New Roman" w:cs="Times New Roman"/>
          <w:b/>
          <w:bCs/>
          <w:color w:val="auto"/>
          <w:sz w:val="24"/>
          <w:szCs w:val="24"/>
        </w:rPr>
      </w:pPr>
      <w:bookmarkStart w:id="52" w:name="_Toc195189605"/>
      <w:r w:rsidRPr="00860547">
        <w:rPr>
          <w:rFonts w:ascii="Times New Roman" w:hAnsi="Times New Roman" w:cs="Times New Roman"/>
          <w:b/>
          <w:bCs/>
          <w:color w:val="auto"/>
          <w:sz w:val="24"/>
          <w:szCs w:val="24"/>
        </w:rPr>
        <w:lastRenderedPageBreak/>
        <w:t>References</w:t>
      </w:r>
      <w:bookmarkEnd w:id="52"/>
    </w:p>
    <w:p w14:paraId="420716D0" w14:textId="77777777" w:rsidR="00860547" w:rsidRPr="00860547" w:rsidRDefault="00860547" w:rsidP="005A0AC0">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fldChar w:fldCharType="begin"/>
      </w:r>
      <w:r w:rsidRPr="00860547">
        <w:rPr>
          <w:rFonts w:ascii="Times New Roman" w:hAnsi="Times New Roman" w:cs="Times New Roman"/>
          <w:color w:val="000000" w:themeColor="text1"/>
        </w:rPr>
        <w:instrText xml:space="preserve"> ADDIN ZOTERO_BIBL {"uncited":[],"omitted":[],"custom":[]} CSL_BIBLIOGRAPHY </w:instrText>
      </w:r>
      <w:r w:rsidRPr="00860547">
        <w:rPr>
          <w:rFonts w:ascii="Times New Roman" w:hAnsi="Times New Roman" w:cs="Times New Roman"/>
          <w:color w:val="000000" w:themeColor="text1"/>
        </w:rPr>
        <w:fldChar w:fldCharType="separate"/>
      </w:r>
      <w:r w:rsidRPr="00860547">
        <w:rPr>
          <w:rFonts w:ascii="Times New Roman" w:hAnsi="Times New Roman" w:cs="Times New Roman"/>
          <w:color w:val="000000" w:themeColor="text1"/>
        </w:rPr>
        <w:t xml:space="preserve">Acevedo‐Charry, O., &amp; Aide, T. M. (2019). Recovery of amphibian, reptile, bird and mammal diversity during secondary forest succession in the tropics. </w:t>
      </w:r>
      <w:r w:rsidRPr="00860547">
        <w:rPr>
          <w:rFonts w:ascii="Times New Roman" w:hAnsi="Times New Roman" w:cs="Times New Roman"/>
          <w:i/>
          <w:iCs/>
          <w:color w:val="000000" w:themeColor="text1"/>
          <w:lang w:val="es-EC"/>
        </w:rPr>
        <w:t>Oikos</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128</w:t>
      </w:r>
      <w:r w:rsidRPr="00860547">
        <w:rPr>
          <w:rFonts w:ascii="Times New Roman" w:hAnsi="Times New Roman" w:cs="Times New Roman"/>
          <w:color w:val="000000" w:themeColor="text1"/>
          <w:lang w:val="es-EC"/>
        </w:rPr>
        <w:t>(8), 1065–1078. https://doi.org/10.1111/oik.06252</w:t>
      </w:r>
    </w:p>
    <w:p w14:paraId="25030C3F"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Arroyo-Rodríguez, V., Melo, F. P. L., Martínez-Ramos, M., Bongers, F., Chazdon, R. L., Meave, J. A., Norden, N., Santos, B. A., Leal, I. R., &amp; Tabarelli, M. (2017). </w:t>
      </w:r>
      <w:r w:rsidRPr="00860547">
        <w:rPr>
          <w:rFonts w:ascii="Times New Roman" w:hAnsi="Times New Roman" w:cs="Times New Roman"/>
          <w:color w:val="000000" w:themeColor="text1"/>
        </w:rPr>
        <w:t xml:space="preserve">Multiple successional pathways in human-modified tropical landscapes: New insights from forest succession, forest fragmentation and landscape ecology research: Multiple successional pathways. </w:t>
      </w:r>
      <w:r w:rsidRPr="00860547">
        <w:rPr>
          <w:rFonts w:ascii="Times New Roman" w:hAnsi="Times New Roman" w:cs="Times New Roman"/>
          <w:i/>
          <w:iCs/>
          <w:color w:val="000000" w:themeColor="text1"/>
        </w:rPr>
        <w:t>Biological Reviews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92</w:t>
      </w:r>
      <w:r w:rsidRPr="00860547">
        <w:rPr>
          <w:rFonts w:ascii="Times New Roman" w:hAnsi="Times New Roman" w:cs="Times New Roman"/>
          <w:color w:val="000000" w:themeColor="text1"/>
        </w:rPr>
        <w:t>(1), 326–340. https://doi.org/10.1111/brv.12231</w:t>
      </w:r>
    </w:p>
    <w:p w14:paraId="00F988D5"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Atkinson, J., &amp; Bonser, S. P. (2020). “Active” and “passive” ecological restoration strategies in meta‐analysis. </w:t>
      </w:r>
      <w:r w:rsidRPr="00860547">
        <w:rPr>
          <w:rFonts w:ascii="Times New Roman" w:hAnsi="Times New Roman" w:cs="Times New Roman"/>
          <w:i/>
          <w:iCs/>
          <w:color w:val="000000" w:themeColor="text1"/>
          <w:lang w:val="es-EC"/>
        </w:rPr>
        <w:t>Restoration Ecology</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28</w:t>
      </w:r>
      <w:r w:rsidRPr="00860547">
        <w:rPr>
          <w:rFonts w:ascii="Times New Roman" w:hAnsi="Times New Roman" w:cs="Times New Roman"/>
          <w:color w:val="000000" w:themeColor="text1"/>
          <w:lang w:val="es-EC"/>
        </w:rPr>
        <w:t>(5), 1032–1035. https://doi.org/10.1111/rec.13229</w:t>
      </w:r>
    </w:p>
    <w:p w14:paraId="000312D9"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Bascompte, J., &amp; Jordano, P. (2007). </w:t>
      </w:r>
      <w:r w:rsidRPr="00860547">
        <w:rPr>
          <w:rFonts w:ascii="Times New Roman" w:hAnsi="Times New Roman" w:cs="Times New Roman"/>
          <w:color w:val="000000" w:themeColor="text1"/>
        </w:rPr>
        <w:t xml:space="preserve">Plant-Animal Mutualistic Networks: The Architecture of Biodiversity. </w:t>
      </w:r>
      <w:r w:rsidRPr="00860547">
        <w:rPr>
          <w:rFonts w:ascii="Times New Roman" w:hAnsi="Times New Roman" w:cs="Times New Roman"/>
          <w:i/>
          <w:iCs/>
          <w:color w:val="000000" w:themeColor="text1"/>
        </w:rPr>
        <w:t>Annual Review of Ecology, Evolution, and Systematics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38</w:t>
      </w:r>
      <w:r w:rsidRPr="00860547">
        <w:rPr>
          <w:rFonts w:ascii="Times New Roman" w:hAnsi="Times New Roman" w:cs="Times New Roman"/>
          <w:color w:val="000000" w:themeColor="text1"/>
        </w:rPr>
        <w:t>(1), 567–593. https://doi.org/10.1146/annurev.ecolsys.38.091206.095818</w:t>
      </w:r>
    </w:p>
    <w:p w14:paraId="10F6BC8B"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Bascompte, J., Jordano, P., Melián, C. J., &amp; Olesen, J. M. (2003). </w:t>
      </w:r>
      <w:r w:rsidRPr="00860547">
        <w:rPr>
          <w:rFonts w:ascii="Times New Roman" w:hAnsi="Times New Roman" w:cs="Times New Roman"/>
          <w:color w:val="000000" w:themeColor="text1"/>
        </w:rPr>
        <w:t xml:space="preserve">The nested assembly of plant–animal mutualistic networks. </w:t>
      </w:r>
      <w:r w:rsidRPr="00860547">
        <w:rPr>
          <w:rFonts w:ascii="Times New Roman" w:hAnsi="Times New Roman" w:cs="Times New Roman"/>
          <w:i/>
          <w:iCs/>
          <w:color w:val="000000" w:themeColor="text1"/>
        </w:rPr>
        <w:t>Proceedings of the National Academy of Sciences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100</w:t>
      </w:r>
      <w:r w:rsidRPr="00860547">
        <w:rPr>
          <w:rFonts w:ascii="Times New Roman" w:hAnsi="Times New Roman" w:cs="Times New Roman"/>
          <w:color w:val="000000" w:themeColor="text1"/>
        </w:rPr>
        <w:t>(16), 9383–9387. https://doi.org/10.1073/pnas.1633576100</w:t>
      </w:r>
    </w:p>
    <w:p w14:paraId="64ABD7D4"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Bastazini, V. A. G., Debastiani, V. J., Azambuja, B. O., Guimaraes Jr, P. R., &amp; Pillar, V. D. (2019). </w:t>
      </w:r>
      <w:r w:rsidRPr="00860547">
        <w:rPr>
          <w:rFonts w:ascii="Times New Roman" w:hAnsi="Times New Roman" w:cs="Times New Roman"/>
          <w:color w:val="000000" w:themeColor="text1"/>
        </w:rPr>
        <w:t xml:space="preserve">Loss of Generalist Plant Species and Functional Diversity Decreases the Robustness of a Seed Dispersal Network. </w:t>
      </w:r>
      <w:r w:rsidRPr="00860547">
        <w:rPr>
          <w:rFonts w:ascii="Times New Roman" w:hAnsi="Times New Roman" w:cs="Times New Roman"/>
          <w:i/>
          <w:iCs/>
          <w:color w:val="000000" w:themeColor="text1"/>
        </w:rPr>
        <w:t>ENVIRONMENTAL CONSERVATION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46</w:t>
      </w:r>
      <w:r w:rsidRPr="00860547">
        <w:rPr>
          <w:rFonts w:ascii="Times New Roman" w:hAnsi="Times New Roman" w:cs="Times New Roman"/>
          <w:color w:val="000000" w:themeColor="text1"/>
        </w:rPr>
        <w:t>(1, SI), 52–58. https://doi.org/10.1017/S0376892918000334</w:t>
      </w:r>
    </w:p>
    <w:p w14:paraId="2F83BDCF"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Bello, C., Crowther, T. W., &amp; Ramos, D. L. (2024). Frugivores enhance potential carbon recovery in fragmented landscapes. </w:t>
      </w:r>
      <w:r w:rsidRPr="00860547">
        <w:rPr>
          <w:rFonts w:ascii="Times New Roman" w:hAnsi="Times New Roman" w:cs="Times New Roman"/>
          <w:i/>
          <w:iCs/>
          <w:color w:val="000000" w:themeColor="text1"/>
        </w:rPr>
        <w:t>Nat. Clim. Chang</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14</w:t>
      </w:r>
      <w:r w:rsidRPr="00860547">
        <w:rPr>
          <w:rFonts w:ascii="Times New Roman" w:hAnsi="Times New Roman" w:cs="Times New Roman"/>
          <w:color w:val="000000" w:themeColor="text1"/>
        </w:rPr>
        <w:t>, 636–643.</w:t>
      </w:r>
    </w:p>
    <w:p w14:paraId="6C15796D"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Bleher, B., &amp; Böhning-Gaese, K. (2001). Consequences of frugivore diversity for seed dispersal, seedling establishment and the spatial pattern of seedlings and trees. </w:t>
      </w:r>
      <w:r w:rsidRPr="00860547">
        <w:rPr>
          <w:rFonts w:ascii="Times New Roman" w:hAnsi="Times New Roman" w:cs="Times New Roman"/>
          <w:i/>
          <w:iCs/>
          <w:color w:val="000000" w:themeColor="text1"/>
          <w:lang w:val="es-EC"/>
        </w:rPr>
        <w:t>Oecologia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129</w:t>
      </w:r>
      <w:r w:rsidRPr="00860547">
        <w:rPr>
          <w:rFonts w:ascii="Times New Roman" w:hAnsi="Times New Roman" w:cs="Times New Roman"/>
          <w:color w:val="000000" w:themeColor="text1"/>
          <w:lang w:val="es-EC"/>
        </w:rPr>
        <w:t>(3), 385–394. https://doi.org/10.1007/s004420100747</w:t>
      </w:r>
    </w:p>
    <w:p w14:paraId="0EE03287"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Bregman, T. P., Sekercioglu, C. H., &amp; Tobias, J. A. (2014). </w:t>
      </w:r>
      <w:r w:rsidRPr="00860547">
        <w:rPr>
          <w:rFonts w:ascii="Times New Roman" w:hAnsi="Times New Roman" w:cs="Times New Roman"/>
          <w:color w:val="000000" w:themeColor="text1"/>
        </w:rPr>
        <w:t xml:space="preserve">Global patterns and predictors of bird species responses to forest fragmentation: Implications for ecosystem function and conservation. </w:t>
      </w:r>
      <w:r w:rsidRPr="00860547">
        <w:rPr>
          <w:rFonts w:ascii="Times New Roman" w:hAnsi="Times New Roman" w:cs="Times New Roman"/>
          <w:i/>
          <w:iCs/>
          <w:color w:val="000000" w:themeColor="text1"/>
        </w:rPr>
        <w:t>Biological Conservation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169</w:t>
      </w:r>
      <w:r w:rsidRPr="00860547">
        <w:rPr>
          <w:rFonts w:ascii="Times New Roman" w:hAnsi="Times New Roman" w:cs="Times New Roman"/>
          <w:color w:val="000000" w:themeColor="text1"/>
        </w:rPr>
        <w:t>, 372–383. https://doi.org/10.1016/j.biocon.2013.11.024</w:t>
      </w:r>
    </w:p>
    <w:p w14:paraId="49FF161F"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lastRenderedPageBreak/>
        <w:t xml:space="preserve">Brockerhoff, E. G., Barbaro, L., Castagneyrol, B., Forrester, D. I., Gardiner, B., González-Olabarria, J. R., Lyver, P. O., Meurisse, N., Oxbrough, A., Taki, H., Thompson, I. D., van der Plas, F., &amp; Jactel, H. (2017). Forest biodiversity, ecosystem functioning and the provision of ecosystem services. </w:t>
      </w:r>
      <w:r w:rsidRPr="00860547">
        <w:rPr>
          <w:rFonts w:ascii="Times New Roman" w:hAnsi="Times New Roman" w:cs="Times New Roman"/>
          <w:i/>
          <w:iCs/>
          <w:color w:val="000000" w:themeColor="text1"/>
        </w:rPr>
        <w:t>Biodiversity and Conservation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26</w:t>
      </w:r>
      <w:r w:rsidRPr="00860547">
        <w:rPr>
          <w:rFonts w:ascii="Times New Roman" w:hAnsi="Times New Roman" w:cs="Times New Roman"/>
          <w:color w:val="000000" w:themeColor="text1"/>
        </w:rPr>
        <w:t>(13), 3005–3035. https://doi.org/10.1007/s10531-017-1453-2</w:t>
      </w:r>
    </w:p>
    <w:p w14:paraId="5A007C20"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Brokaw, N. V. L., &amp; Scheiner, S. M. (1989). Species Composition in Gaps and Structure of a Tropical Forest. </w:t>
      </w:r>
      <w:r w:rsidRPr="00860547">
        <w:rPr>
          <w:rFonts w:ascii="Times New Roman" w:hAnsi="Times New Roman" w:cs="Times New Roman"/>
          <w:i/>
          <w:iCs/>
          <w:color w:val="000000" w:themeColor="text1"/>
        </w:rPr>
        <w:t>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70</w:t>
      </w:r>
      <w:r w:rsidRPr="00860547">
        <w:rPr>
          <w:rFonts w:ascii="Times New Roman" w:hAnsi="Times New Roman" w:cs="Times New Roman"/>
          <w:color w:val="000000" w:themeColor="text1"/>
        </w:rPr>
        <w:t>(3), 538–541. https://doi.org/10.2307/1940196</w:t>
      </w:r>
    </w:p>
    <w:p w14:paraId="5FA6C1CC"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Browne, L., Ottewell, K., Sork, V. L., &amp; Karubian, J. (2018). The relative contributions of seed and pollen dispersal to gene flow and genetic diversity in seedlings of a tropical palm. </w:t>
      </w:r>
      <w:r w:rsidRPr="00860547">
        <w:rPr>
          <w:rFonts w:ascii="Times New Roman" w:hAnsi="Times New Roman" w:cs="Times New Roman"/>
          <w:i/>
          <w:iCs/>
          <w:color w:val="000000" w:themeColor="text1"/>
          <w:lang w:val="es-EC"/>
        </w:rPr>
        <w:t>Molecular Ecology</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Aug;27(15):3159-73</w:t>
      </w:r>
      <w:r w:rsidRPr="00860547">
        <w:rPr>
          <w:rFonts w:ascii="Times New Roman" w:hAnsi="Times New Roman" w:cs="Times New Roman"/>
          <w:color w:val="000000" w:themeColor="text1"/>
          <w:lang w:val="es-EC"/>
        </w:rPr>
        <w:t>.</w:t>
      </w:r>
    </w:p>
    <w:p w14:paraId="1B6597B6"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Bueno, R. S., Guevara, R., Ribeiro, M. C., Culot, L., Bufalo, F. S., &amp; Galetti, M. (2013). </w:t>
      </w:r>
      <w:r w:rsidRPr="00860547">
        <w:rPr>
          <w:rFonts w:ascii="Times New Roman" w:hAnsi="Times New Roman" w:cs="Times New Roman"/>
          <w:color w:val="000000" w:themeColor="text1"/>
        </w:rPr>
        <w:t xml:space="preserve">Functional Redundancy and Complementarities of Seed Dispersal by the Last Neotropical Megafrugivores. </w:t>
      </w:r>
      <w:r w:rsidRPr="00860547">
        <w:rPr>
          <w:rFonts w:ascii="Times New Roman" w:hAnsi="Times New Roman" w:cs="Times New Roman"/>
          <w:i/>
          <w:iCs/>
          <w:color w:val="000000" w:themeColor="text1"/>
        </w:rPr>
        <w:t>PLoS ONE</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8</w:t>
      </w:r>
      <w:r w:rsidRPr="00860547">
        <w:rPr>
          <w:rFonts w:ascii="Times New Roman" w:hAnsi="Times New Roman" w:cs="Times New Roman"/>
          <w:color w:val="000000" w:themeColor="text1"/>
        </w:rPr>
        <w:t>(2), e56252. https://doi.org/10.1371/journal.pone.0056252</w:t>
      </w:r>
    </w:p>
    <w:p w14:paraId="2379EA79"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Bush, M. B., &amp; Colinvaux, P. A. (1994). Tropical Forest Disturbance: Paleoecological Records from Darien, Panama. </w:t>
      </w:r>
      <w:r w:rsidRPr="00860547">
        <w:rPr>
          <w:rFonts w:ascii="Times New Roman" w:hAnsi="Times New Roman" w:cs="Times New Roman"/>
          <w:i/>
          <w:iCs/>
          <w:color w:val="000000" w:themeColor="text1"/>
        </w:rPr>
        <w:t>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75</w:t>
      </w:r>
      <w:r w:rsidRPr="00860547">
        <w:rPr>
          <w:rFonts w:ascii="Times New Roman" w:hAnsi="Times New Roman" w:cs="Times New Roman"/>
          <w:color w:val="000000" w:themeColor="text1"/>
        </w:rPr>
        <w:t>(6), 1761–1768. https://doi.org/10.2307/1939635</w:t>
      </w:r>
    </w:p>
    <w:p w14:paraId="1724F721"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Cadotte, M. W., Carscadden, K., &amp; Mirotchnick, N. (2011). Beyond species: Functional diversity and the maintenance of ecological processes and services. </w:t>
      </w:r>
      <w:r w:rsidRPr="00860547">
        <w:rPr>
          <w:rFonts w:ascii="Times New Roman" w:hAnsi="Times New Roman" w:cs="Times New Roman"/>
          <w:i/>
          <w:iCs/>
          <w:color w:val="000000" w:themeColor="text1"/>
        </w:rPr>
        <w:t>Journal of Applied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48</w:t>
      </w:r>
      <w:r w:rsidRPr="00860547">
        <w:rPr>
          <w:rFonts w:ascii="Times New Roman" w:hAnsi="Times New Roman" w:cs="Times New Roman"/>
          <w:color w:val="000000" w:themeColor="text1"/>
        </w:rPr>
        <w:t>(5), 1079–1087. https://doi.org/10.1111/j.1365-2664.2011.02048.x</w:t>
      </w:r>
    </w:p>
    <w:p w14:paraId="0029784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Camargo, P. H. S. A., Pizo, M. A., Brancalion, P. H. S., &amp; Carlo, T. A. (2020). Fruit traits of pioneer trees structure seed dispersal across distances on tropical deforested landscapes: Implications for restoration. </w:t>
      </w:r>
      <w:r w:rsidRPr="00860547">
        <w:rPr>
          <w:rFonts w:ascii="Times New Roman" w:hAnsi="Times New Roman" w:cs="Times New Roman"/>
          <w:i/>
          <w:iCs/>
          <w:color w:val="000000" w:themeColor="text1"/>
        </w:rPr>
        <w:t>Journal of Applied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57</w:t>
      </w:r>
      <w:r w:rsidRPr="00860547">
        <w:rPr>
          <w:rFonts w:ascii="Times New Roman" w:hAnsi="Times New Roman" w:cs="Times New Roman"/>
          <w:color w:val="000000" w:themeColor="text1"/>
        </w:rPr>
        <w:t>(12), 2329–2339. https://doi.org/10.1111/1365-2664.13697</w:t>
      </w:r>
    </w:p>
    <w:p w14:paraId="51F89DC7"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Cardillo, M., Mace, G. M., Jones, K. E., Bielby, J., Bininda-Emonds, O. R. P., Sechrest, W., Orme, C. D. L., &amp; Purvis, A. (2005). Multiple Causes of High Extinction Risk in Large Mammal Species. </w:t>
      </w:r>
      <w:r w:rsidRPr="00860547">
        <w:rPr>
          <w:rFonts w:ascii="Times New Roman" w:hAnsi="Times New Roman" w:cs="Times New Roman"/>
          <w:i/>
          <w:iCs/>
          <w:color w:val="000000" w:themeColor="text1"/>
        </w:rPr>
        <w:t>Science</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309</w:t>
      </w:r>
      <w:r w:rsidRPr="00860547">
        <w:rPr>
          <w:rFonts w:ascii="Times New Roman" w:hAnsi="Times New Roman" w:cs="Times New Roman"/>
          <w:color w:val="000000" w:themeColor="text1"/>
        </w:rPr>
        <w:t>(5738), 1239–1241. https://doi.org/10.1126/science.1116030</w:t>
      </w:r>
    </w:p>
    <w:p w14:paraId="49C9AE8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Carlo, T. A., &amp; Morales, J. M. (2016). Generalist birds promote tropical forest regeneration and increase plant diversity via rare-biased seed dispersal. </w:t>
      </w:r>
      <w:r w:rsidRPr="00860547">
        <w:rPr>
          <w:rFonts w:ascii="Times New Roman" w:hAnsi="Times New Roman" w:cs="Times New Roman"/>
          <w:i/>
          <w:iCs/>
          <w:color w:val="000000" w:themeColor="text1"/>
        </w:rPr>
        <w:t>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97</w:t>
      </w:r>
      <w:r w:rsidRPr="00860547">
        <w:rPr>
          <w:rFonts w:ascii="Times New Roman" w:hAnsi="Times New Roman" w:cs="Times New Roman"/>
          <w:color w:val="000000" w:themeColor="text1"/>
        </w:rPr>
        <w:t>(7), 1819–1831. https://doi.org/10.1890/15-2147.1</w:t>
      </w:r>
    </w:p>
    <w:p w14:paraId="5939C4CA"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lastRenderedPageBreak/>
        <w:t xml:space="preserve">Caves, E. M., Jennings, S. B., HilleRisLambers, J., Tewksbury, J. J., &amp; Rogers, H. S. (2013). Natural Experiment Demonstrates That Bird Loss Leads to Cessation of Dispersal of Native Seeds from Intact to Degraded Forests. </w:t>
      </w:r>
      <w:r w:rsidRPr="00860547">
        <w:rPr>
          <w:rFonts w:ascii="Times New Roman" w:hAnsi="Times New Roman" w:cs="Times New Roman"/>
          <w:i/>
          <w:iCs/>
          <w:color w:val="000000" w:themeColor="text1"/>
          <w:lang w:val="es-EC"/>
        </w:rPr>
        <w:t>PLoS ONE</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8</w:t>
      </w:r>
      <w:r w:rsidRPr="00860547">
        <w:rPr>
          <w:rFonts w:ascii="Times New Roman" w:hAnsi="Times New Roman" w:cs="Times New Roman"/>
          <w:color w:val="000000" w:themeColor="text1"/>
          <w:lang w:val="es-EC"/>
        </w:rPr>
        <w:t>(5), e65618. https://doi.org/10.1371/journal.pone.0065618</w:t>
      </w:r>
    </w:p>
    <w:p w14:paraId="183F5F5D"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Chacoff, N. P., Vázquez, D. P., Lomáscolo, S. B., Stevani, E. L., Dorado, J., &amp; Padrón, B. (2012). </w:t>
      </w:r>
      <w:r w:rsidRPr="00860547">
        <w:rPr>
          <w:rFonts w:ascii="Times New Roman" w:hAnsi="Times New Roman" w:cs="Times New Roman"/>
          <w:color w:val="000000" w:themeColor="text1"/>
        </w:rPr>
        <w:t xml:space="preserve">Evaluating sampling completeness in a desert plant-pollinator network: Sampling a plant-pollinator network. </w:t>
      </w:r>
      <w:r w:rsidRPr="00860547">
        <w:rPr>
          <w:rFonts w:ascii="Times New Roman" w:hAnsi="Times New Roman" w:cs="Times New Roman"/>
          <w:i/>
          <w:iCs/>
          <w:color w:val="000000" w:themeColor="text1"/>
        </w:rPr>
        <w:t>Journal of Animal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81</w:t>
      </w:r>
      <w:r w:rsidRPr="00860547">
        <w:rPr>
          <w:rFonts w:ascii="Times New Roman" w:hAnsi="Times New Roman" w:cs="Times New Roman"/>
          <w:color w:val="000000" w:themeColor="text1"/>
        </w:rPr>
        <w:t>(1), 190–200. https://doi.org/10.1111/j.1365-2656.2011.01883.x</w:t>
      </w:r>
    </w:p>
    <w:p w14:paraId="523A2E6D"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Chanthorn, W., Hartig, F., Brockelman, W. Y., Srisang, W., Nathalang, A., &amp; Santon, J. (2019). Defaunation of large-bodied frugivores reduces carbon storage in a tropical forest of Southeast Asia. </w:t>
      </w:r>
      <w:r w:rsidRPr="00860547">
        <w:rPr>
          <w:rFonts w:ascii="Times New Roman" w:hAnsi="Times New Roman" w:cs="Times New Roman"/>
          <w:i/>
          <w:iCs/>
          <w:color w:val="000000" w:themeColor="text1"/>
        </w:rPr>
        <w:t>SCIENTIFIC REPORTS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w:t>
      </w:r>
      <w:r w:rsidRPr="00860547">
        <w:rPr>
          <w:rFonts w:ascii="Times New Roman" w:hAnsi="Times New Roman" w:cs="Times New Roman"/>
          <w:color w:val="000000" w:themeColor="text1"/>
        </w:rPr>
        <w:t>. https://doi.org/10.1038/s41598-019-46399-y</w:t>
      </w:r>
    </w:p>
    <w:p w14:paraId="1D13FBEB"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Chazdon, R. L. (2013). Tropical Forest Regeneration. In </w:t>
      </w:r>
      <w:r w:rsidRPr="00860547">
        <w:rPr>
          <w:rFonts w:ascii="Times New Roman" w:hAnsi="Times New Roman" w:cs="Times New Roman"/>
          <w:i/>
          <w:iCs/>
          <w:color w:val="000000" w:themeColor="text1"/>
        </w:rPr>
        <w:t>Encyclopedia of Biodiversity</w:t>
      </w:r>
      <w:r w:rsidRPr="00860547">
        <w:rPr>
          <w:rFonts w:ascii="Times New Roman" w:hAnsi="Times New Roman" w:cs="Times New Roman"/>
          <w:color w:val="000000" w:themeColor="text1"/>
        </w:rPr>
        <w:t xml:space="preserve"> (pp. 277–286). Elsevier. https://doi.org/10.1016/B978-0-12-384719-5.00377-4</w:t>
      </w:r>
    </w:p>
    <w:p w14:paraId="22B42490"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Chazdon, R. L., Falk, D. A., Banin, L. F., Wagner, M., J. Wilson, S., Grabowski, R. C., &amp; Suding, K. N. (2021). The intervention continuum in restoration ecology: Rethinking the active–passive dichotomy. </w:t>
      </w:r>
      <w:r w:rsidRPr="00860547">
        <w:rPr>
          <w:rFonts w:ascii="Times New Roman" w:hAnsi="Times New Roman" w:cs="Times New Roman"/>
          <w:i/>
          <w:iCs/>
          <w:color w:val="000000" w:themeColor="text1"/>
        </w:rPr>
        <w:t>Restoration Ecology</w:t>
      </w:r>
      <w:r w:rsidRPr="00860547">
        <w:rPr>
          <w:rFonts w:ascii="Times New Roman" w:hAnsi="Times New Roman" w:cs="Times New Roman"/>
          <w:color w:val="000000" w:themeColor="text1"/>
        </w:rPr>
        <w:t>. https://doi.org/10.1111/rec.13535</w:t>
      </w:r>
    </w:p>
    <w:p w14:paraId="73EB7902"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Chazdon, R. L., &amp; Guariguata, M. R. (2016). Natural regeneration as a tool for large‐scale forest restoration in the tropics: Prospects and challenges. </w:t>
      </w:r>
      <w:r w:rsidRPr="00860547">
        <w:rPr>
          <w:rFonts w:ascii="Times New Roman" w:hAnsi="Times New Roman" w:cs="Times New Roman"/>
          <w:i/>
          <w:iCs/>
          <w:color w:val="000000" w:themeColor="text1"/>
          <w:lang w:val="es-EC"/>
        </w:rPr>
        <w:t>Biotropica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v;48(6):716-30</w:t>
      </w:r>
      <w:r w:rsidRPr="00860547">
        <w:rPr>
          <w:rFonts w:ascii="Times New Roman" w:hAnsi="Times New Roman" w:cs="Times New Roman"/>
          <w:color w:val="000000" w:themeColor="text1"/>
          <w:lang w:val="es-EC"/>
        </w:rPr>
        <w:t>.</w:t>
      </w:r>
    </w:p>
    <w:p w14:paraId="2B8E339E"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Chazdon, R. L., Peres, C. A., Dent, D., Sheil, D., Lugo, A. E., Lamb, D., Stork, N. E., &amp; Miller, S. E. (2009). </w:t>
      </w:r>
      <w:r w:rsidRPr="00860547">
        <w:rPr>
          <w:rFonts w:ascii="Times New Roman" w:hAnsi="Times New Roman" w:cs="Times New Roman"/>
          <w:color w:val="000000" w:themeColor="text1"/>
        </w:rPr>
        <w:t xml:space="preserve">The Potential for Species Conservation in Tropical Secondary Forests. </w:t>
      </w:r>
      <w:r w:rsidRPr="00860547">
        <w:rPr>
          <w:rFonts w:ascii="Times New Roman" w:hAnsi="Times New Roman" w:cs="Times New Roman"/>
          <w:i/>
          <w:iCs/>
          <w:color w:val="000000" w:themeColor="text1"/>
        </w:rPr>
        <w:t>Conservation Biology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23</w:t>
      </w:r>
      <w:r w:rsidRPr="00860547">
        <w:rPr>
          <w:rFonts w:ascii="Times New Roman" w:hAnsi="Times New Roman" w:cs="Times New Roman"/>
          <w:color w:val="000000" w:themeColor="text1"/>
        </w:rPr>
        <w:t>(6), 1406–1417. https://doi.org/10.1111/j.1523-1739.2009.01338.x</w:t>
      </w:r>
    </w:p>
    <w:p w14:paraId="095F11D6"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Clements, F. E. (1936). Nature and Structure of the Climax. </w:t>
      </w:r>
      <w:r w:rsidRPr="00860547">
        <w:rPr>
          <w:rFonts w:ascii="Times New Roman" w:hAnsi="Times New Roman" w:cs="Times New Roman"/>
          <w:i/>
          <w:iCs/>
          <w:color w:val="000000" w:themeColor="text1"/>
        </w:rPr>
        <w:t>The Journal of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24</w:t>
      </w:r>
      <w:r w:rsidRPr="00860547">
        <w:rPr>
          <w:rFonts w:ascii="Times New Roman" w:hAnsi="Times New Roman" w:cs="Times New Roman"/>
          <w:color w:val="000000" w:themeColor="text1"/>
        </w:rPr>
        <w:t>(1), 252. https://doi.org/10.2307/2256278</w:t>
      </w:r>
    </w:p>
    <w:p w14:paraId="1F3C05A0"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Clements, F. E. 1874-1945. (1979). </w:t>
      </w:r>
      <w:r w:rsidRPr="00860547">
        <w:rPr>
          <w:rFonts w:ascii="Times New Roman" w:hAnsi="Times New Roman" w:cs="Times New Roman"/>
          <w:i/>
          <w:iCs/>
          <w:color w:val="000000" w:themeColor="text1"/>
        </w:rPr>
        <w:t>Plant succession: An analysis of the development of vegetation / by Frederic E. Clements</w:t>
      </w:r>
      <w:r w:rsidRPr="00860547">
        <w:rPr>
          <w:rFonts w:ascii="Times New Roman" w:hAnsi="Times New Roman" w:cs="Times New Roman"/>
          <w:color w:val="000000" w:themeColor="text1"/>
        </w:rPr>
        <w:t>. Carnegie Institution of Washington, 1916.</w:t>
      </w:r>
    </w:p>
    <w:p w14:paraId="5CB09E85"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Coddington, C. P. J., Cooper, W. J., Mokross, K., &amp; Luther, D. A. (2023). Forest structure predicts species richness and functional diversity in Amazonian mixed‐species bird flocks. </w:t>
      </w:r>
      <w:r w:rsidRPr="00860547">
        <w:rPr>
          <w:rFonts w:ascii="Times New Roman" w:hAnsi="Times New Roman" w:cs="Times New Roman"/>
          <w:i/>
          <w:iCs/>
          <w:color w:val="000000" w:themeColor="text1"/>
          <w:lang w:val="es-EC"/>
        </w:rPr>
        <w:t>Biotropica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55</w:t>
      </w:r>
      <w:r w:rsidRPr="00860547">
        <w:rPr>
          <w:rFonts w:ascii="Times New Roman" w:hAnsi="Times New Roman" w:cs="Times New Roman"/>
          <w:color w:val="000000" w:themeColor="text1"/>
          <w:lang w:val="es-EC"/>
        </w:rPr>
        <w:t>(2), 467–479. https://doi.org/10.1111/btp.13201</w:t>
      </w:r>
    </w:p>
    <w:p w14:paraId="7EBE3485"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lastRenderedPageBreak/>
        <w:t xml:space="preserve">Connell, J. H., &amp; Slatyer, R. O. (1977). </w:t>
      </w:r>
      <w:r w:rsidRPr="00860547">
        <w:rPr>
          <w:rFonts w:ascii="Times New Roman" w:hAnsi="Times New Roman" w:cs="Times New Roman"/>
          <w:color w:val="000000" w:themeColor="text1"/>
        </w:rPr>
        <w:t xml:space="preserve">Mechanisms of Succession in Natural Communities and Their Role in Community Stability and Organization. </w:t>
      </w:r>
      <w:r w:rsidRPr="00860547">
        <w:rPr>
          <w:rFonts w:ascii="Times New Roman" w:hAnsi="Times New Roman" w:cs="Times New Roman"/>
          <w:i/>
          <w:iCs/>
          <w:color w:val="000000" w:themeColor="text1"/>
        </w:rPr>
        <w:t>The American Naturalist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111</w:t>
      </w:r>
      <w:r w:rsidRPr="00860547">
        <w:rPr>
          <w:rFonts w:ascii="Times New Roman" w:hAnsi="Times New Roman" w:cs="Times New Roman"/>
          <w:color w:val="000000" w:themeColor="text1"/>
        </w:rPr>
        <w:t>(982), 1119–1144. https://doi.org/10.1086/283241</w:t>
      </w:r>
    </w:p>
    <w:p w14:paraId="61F1DB35"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Cook, R. N., Ramirez-Parada, T., Browne, L., Ellis, M., &amp; Karubian, J. (2020). Environmental correlates of richness, community composition, and functional traits of terrestrial birds and mammals in a fragmented tropical landscape. </w:t>
      </w:r>
      <w:r w:rsidRPr="00860547">
        <w:rPr>
          <w:rFonts w:ascii="Times New Roman" w:hAnsi="Times New Roman" w:cs="Times New Roman"/>
          <w:i/>
          <w:iCs/>
          <w:color w:val="000000" w:themeColor="text1"/>
        </w:rPr>
        <w:t>Landscape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35</w:t>
      </w:r>
      <w:r w:rsidRPr="00860547">
        <w:rPr>
          <w:rFonts w:ascii="Times New Roman" w:hAnsi="Times New Roman" w:cs="Times New Roman"/>
          <w:color w:val="000000" w:themeColor="text1"/>
        </w:rPr>
        <w:t>(12), 2825–2841. https://doi.org/10.1007/s10980-020-01123-4</w:t>
      </w:r>
    </w:p>
    <w:p w14:paraId="16737B10"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Cooper, R. J. (2005). Insect and Bird Interactions. </w:t>
      </w:r>
      <w:r w:rsidRPr="00860547">
        <w:rPr>
          <w:rFonts w:ascii="Times New Roman" w:hAnsi="Times New Roman" w:cs="Times New Roman"/>
          <w:i/>
          <w:iCs/>
          <w:color w:val="000000" w:themeColor="text1"/>
        </w:rPr>
        <w:t>The Auk</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122</w:t>
      </w:r>
      <w:r w:rsidRPr="00860547">
        <w:rPr>
          <w:rFonts w:ascii="Times New Roman" w:hAnsi="Times New Roman" w:cs="Times New Roman"/>
          <w:color w:val="000000" w:themeColor="text1"/>
        </w:rPr>
        <w:t>(3), 1019–1020. https://doi.org/10.1093/auk/122.3.1019</w:t>
      </w:r>
    </w:p>
    <w:p w14:paraId="6744E37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Corbin, J. D., &amp; Holl, K. D. (2012). Applied nucleation as a forest restoration strategy. </w:t>
      </w:r>
      <w:r w:rsidRPr="00860547">
        <w:rPr>
          <w:rFonts w:ascii="Times New Roman" w:hAnsi="Times New Roman" w:cs="Times New Roman"/>
          <w:i/>
          <w:iCs/>
          <w:color w:val="000000" w:themeColor="text1"/>
        </w:rPr>
        <w:t>Forest Ecology and Management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265</w:t>
      </w:r>
      <w:r w:rsidRPr="00860547">
        <w:rPr>
          <w:rFonts w:ascii="Times New Roman" w:hAnsi="Times New Roman" w:cs="Times New Roman"/>
          <w:color w:val="000000" w:themeColor="text1"/>
        </w:rPr>
        <w:t>, 37–46. https://doi.org/10.1016/j.foreco.2011.10.013</w:t>
      </w:r>
    </w:p>
    <w:p w14:paraId="58D8019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Crouzeilles, R., Curran, M., Ferreira, M. S., Lindenmayer, D. B., Grelle, C. E. V., &amp; Rey Benayas, J. M. (2016). A global meta-analysis on the ecological drivers of forest restoration success. </w:t>
      </w:r>
      <w:r w:rsidRPr="00860547">
        <w:rPr>
          <w:rFonts w:ascii="Times New Roman" w:hAnsi="Times New Roman" w:cs="Times New Roman"/>
          <w:i/>
          <w:iCs/>
          <w:color w:val="000000" w:themeColor="text1"/>
        </w:rPr>
        <w:t>Nature Communications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7</w:t>
      </w:r>
      <w:r w:rsidRPr="00860547">
        <w:rPr>
          <w:rFonts w:ascii="Times New Roman" w:hAnsi="Times New Roman" w:cs="Times New Roman"/>
          <w:color w:val="000000" w:themeColor="text1"/>
        </w:rPr>
        <w:t>(1), 11666. https://doi.org/10.1038/ncomms11666</w:t>
      </w:r>
    </w:p>
    <w:p w14:paraId="71C29749"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Da Silva, J. M. C., Uhl, C., &amp; Murray, G. (1996). Plant Succession, Landscape Management, and the Ecology of Frugivorous Birds in Abandoned Amazonian Pastures. </w:t>
      </w:r>
      <w:r w:rsidRPr="00860547">
        <w:rPr>
          <w:rFonts w:ascii="Times New Roman" w:hAnsi="Times New Roman" w:cs="Times New Roman"/>
          <w:i/>
          <w:iCs/>
          <w:color w:val="000000" w:themeColor="text1"/>
          <w:lang w:val="es-EC"/>
        </w:rPr>
        <w:t>Conservation Biology</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10</w:t>
      </w:r>
      <w:r w:rsidRPr="00860547">
        <w:rPr>
          <w:rFonts w:ascii="Times New Roman" w:hAnsi="Times New Roman" w:cs="Times New Roman"/>
          <w:color w:val="000000" w:themeColor="text1"/>
          <w:lang w:val="es-EC"/>
        </w:rPr>
        <w:t>(2), 491–503. https://doi.org/10.1046/j.1523-1739.1996.10020491.x</w:t>
      </w:r>
    </w:p>
    <w:p w14:paraId="5132AEA6"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lang w:val="es-EC"/>
        </w:rPr>
        <w:t xml:space="preserve">De Almeida, A., Marques, M. C. M., Ceccon-Valente, M. D. F., Vicente-Silva, J., &amp; Mikich, S. B. (2016). </w:t>
      </w:r>
      <w:r w:rsidRPr="00860547">
        <w:rPr>
          <w:rFonts w:ascii="Times New Roman" w:hAnsi="Times New Roman" w:cs="Times New Roman"/>
          <w:color w:val="000000" w:themeColor="text1"/>
        </w:rPr>
        <w:t xml:space="preserve">Limited effectiveness of artificial bird perches for the establishment of seedlings and the restoration of Brazil’s Atlantic Forest. </w:t>
      </w:r>
      <w:r w:rsidRPr="00860547">
        <w:rPr>
          <w:rFonts w:ascii="Times New Roman" w:hAnsi="Times New Roman" w:cs="Times New Roman"/>
          <w:i/>
          <w:iCs/>
          <w:color w:val="000000" w:themeColor="text1"/>
          <w:lang w:val="es-EC"/>
        </w:rPr>
        <w:t>Journal for Nature Conservation</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34</w:t>
      </w:r>
      <w:r w:rsidRPr="00860547">
        <w:rPr>
          <w:rFonts w:ascii="Times New Roman" w:hAnsi="Times New Roman" w:cs="Times New Roman"/>
          <w:color w:val="000000" w:themeColor="text1"/>
          <w:lang w:val="es-EC"/>
        </w:rPr>
        <w:t>, 24–32. https://doi.org/10.1016/j.jnc.2016.08.007</w:t>
      </w:r>
    </w:p>
    <w:p w14:paraId="2062FC22"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De La Peña-Domene, M., Martínez-Garza, C., Palmas-Pérez, S., Rivas-Alonso, E., &amp; Howe, H. F. (2014). </w:t>
      </w:r>
      <w:r w:rsidRPr="00860547">
        <w:rPr>
          <w:rFonts w:ascii="Times New Roman" w:hAnsi="Times New Roman" w:cs="Times New Roman"/>
          <w:color w:val="000000" w:themeColor="text1"/>
        </w:rPr>
        <w:t xml:space="preserve">Roles of Birds and Bats in Early Tropical-Forest Restoration. </w:t>
      </w:r>
      <w:r w:rsidRPr="00860547">
        <w:rPr>
          <w:rFonts w:ascii="Times New Roman" w:hAnsi="Times New Roman" w:cs="Times New Roman"/>
          <w:i/>
          <w:iCs/>
          <w:color w:val="000000" w:themeColor="text1"/>
        </w:rPr>
        <w:t>PLoS ONE</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w:t>
      </w:r>
      <w:r w:rsidRPr="00860547">
        <w:rPr>
          <w:rFonts w:ascii="Times New Roman" w:hAnsi="Times New Roman" w:cs="Times New Roman"/>
          <w:color w:val="000000" w:themeColor="text1"/>
        </w:rPr>
        <w:t>(8), e104656. https://doi.org/10.1371/journal.pone.0104656</w:t>
      </w:r>
    </w:p>
    <w:p w14:paraId="333A9B2C" w14:textId="77777777" w:rsidR="00F068DC" w:rsidRPr="00F068DC" w:rsidRDefault="00860547" w:rsidP="00F068DC">
      <w:pPr>
        <w:spacing w:before="0" w:after="0"/>
        <w:ind w:left="480" w:hanging="480"/>
        <w:rPr>
          <w:rFonts w:ascii="Times New Roman" w:hAnsi="Times New Roman" w:cs="Times New Roman"/>
          <w:color w:val="000000" w:themeColor="text1"/>
        </w:rPr>
      </w:pPr>
      <w:r w:rsidRPr="00860547">
        <w:rPr>
          <w:rFonts w:ascii="Times New Roman" w:hAnsi="Times New Roman" w:cs="Times New Roman"/>
          <w:color w:val="000000" w:themeColor="text1"/>
        </w:rPr>
        <w:t>Dehl</w:t>
      </w:r>
      <w:r w:rsidRPr="00F068DC">
        <w:rPr>
          <w:rFonts w:ascii="Times New Roman" w:hAnsi="Times New Roman" w:cs="Times New Roman"/>
          <w:color w:val="000000" w:themeColor="text1"/>
        </w:rPr>
        <w:t xml:space="preserve">ing, D. M., Peralta, G., Bender, I. M. A., Blendinger, P. G., Böhning‐Gaese, K., Muñoz, M. C., Neuschulz, E. L., Quitián, M., Saavedra, F., Santillán, V., Schleuning, M., &amp; Stouffer, D. B. (2020). Similar composition of functional roles in Andean seed‐dispersal networks, despite high species and interaction turnover. </w:t>
      </w:r>
      <w:r w:rsidRPr="00F068DC">
        <w:rPr>
          <w:rFonts w:ascii="Times New Roman" w:hAnsi="Times New Roman" w:cs="Times New Roman"/>
          <w:i/>
          <w:iCs/>
          <w:color w:val="000000" w:themeColor="text1"/>
        </w:rPr>
        <w:t>Ecology</w:t>
      </w:r>
      <w:r w:rsidRPr="00F068DC">
        <w:rPr>
          <w:rFonts w:ascii="Times New Roman" w:hAnsi="Times New Roman" w:cs="Times New Roman"/>
          <w:color w:val="000000" w:themeColor="text1"/>
        </w:rPr>
        <w:t xml:space="preserve">, </w:t>
      </w:r>
      <w:r w:rsidRPr="00F068DC">
        <w:rPr>
          <w:rFonts w:ascii="Times New Roman" w:hAnsi="Times New Roman" w:cs="Times New Roman"/>
          <w:i/>
          <w:iCs/>
          <w:color w:val="000000" w:themeColor="text1"/>
        </w:rPr>
        <w:t>101</w:t>
      </w:r>
      <w:r w:rsidRPr="00F068DC">
        <w:rPr>
          <w:rFonts w:ascii="Times New Roman" w:hAnsi="Times New Roman" w:cs="Times New Roman"/>
          <w:color w:val="000000" w:themeColor="text1"/>
        </w:rPr>
        <w:t>(7). https://doi.org/10.1002/ecy.3028</w:t>
      </w:r>
    </w:p>
    <w:p w14:paraId="3ECD0AE2" w14:textId="2CDCE69A" w:rsidR="00F068DC" w:rsidRPr="00F068DC" w:rsidRDefault="00F068DC" w:rsidP="00F068DC">
      <w:pPr>
        <w:spacing w:before="0" w:after="0"/>
        <w:ind w:left="480" w:hanging="480"/>
        <w:rPr>
          <w:rFonts w:ascii="Times New Roman" w:hAnsi="Times New Roman" w:cs="Times New Roman"/>
          <w:color w:val="000000" w:themeColor="text1"/>
        </w:rPr>
      </w:pPr>
      <w:r w:rsidRPr="00F068DC">
        <w:rPr>
          <w:rFonts w:ascii="Times New Roman" w:hAnsi="Times New Roman" w:cs="Times New Roman"/>
          <w:color w:val="000000" w:themeColor="text1"/>
        </w:rPr>
        <w:lastRenderedPageBreak/>
        <w:t xml:space="preserve">Dent, D. H., &amp; Estrada-Villegas, S. (2021). Uniting niche differentiation and dispersal limitation predicts tropical forest succession. </w:t>
      </w:r>
      <w:r w:rsidRPr="00F068DC">
        <w:rPr>
          <w:rFonts w:ascii="Times New Roman" w:hAnsi="Times New Roman" w:cs="Times New Roman"/>
          <w:i/>
          <w:iCs/>
          <w:color w:val="000000" w:themeColor="text1"/>
        </w:rPr>
        <w:t>Trends in Ecology &amp; Evolution</w:t>
      </w:r>
      <w:r w:rsidRPr="00F068DC">
        <w:rPr>
          <w:rFonts w:ascii="Times New Roman" w:hAnsi="Times New Roman" w:cs="Times New Roman"/>
          <w:color w:val="000000" w:themeColor="text1"/>
        </w:rPr>
        <w:t xml:space="preserve">, </w:t>
      </w:r>
      <w:r w:rsidRPr="00F068DC">
        <w:rPr>
          <w:rFonts w:ascii="Times New Roman" w:hAnsi="Times New Roman" w:cs="Times New Roman"/>
          <w:i/>
          <w:iCs/>
          <w:color w:val="000000" w:themeColor="text1"/>
        </w:rPr>
        <w:t>36</w:t>
      </w:r>
      <w:r w:rsidRPr="00F068DC">
        <w:rPr>
          <w:rFonts w:ascii="Times New Roman" w:hAnsi="Times New Roman" w:cs="Times New Roman"/>
          <w:color w:val="000000" w:themeColor="text1"/>
        </w:rPr>
        <w:t xml:space="preserve">(8), 700–708. </w:t>
      </w:r>
      <w:hyperlink r:id="rId11" w:history="1">
        <w:r w:rsidRPr="00F068DC">
          <w:rPr>
            <w:rStyle w:val="Hyperlink"/>
            <w:rFonts w:ascii="Times New Roman" w:hAnsi="Times New Roman" w:cs="Times New Roman"/>
            <w:color w:val="000000" w:themeColor="text1"/>
            <w:u w:val="none"/>
          </w:rPr>
          <w:t>https://doi.org/10.1016/j.tree.2021.04.001</w:t>
        </w:r>
      </w:hyperlink>
    </w:p>
    <w:p w14:paraId="1F6B996F"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Derhé, M. A., Murphy, H. T., Preece, N. D., Lawes, M. J., &amp; Menéndez, R. (2018). Recovery of mammal diversity in tropical forests: A functional approach to measuring restoration. </w:t>
      </w:r>
      <w:r w:rsidRPr="00860547">
        <w:rPr>
          <w:rFonts w:ascii="Times New Roman" w:hAnsi="Times New Roman" w:cs="Times New Roman"/>
          <w:i/>
          <w:iCs/>
          <w:color w:val="000000" w:themeColor="text1"/>
        </w:rPr>
        <w:t>Restoration Ecology</w:t>
      </w:r>
      <w:r w:rsidRPr="00860547">
        <w:rPr>
          <w:rFonts w:ascii="Times New Roman" w:hAnsi="Times New Roman" w:cs="Times New Roman"/>
          <w:color w:val="000000" w:themeColor="text1"/>
        </w:rPr>
        <w:t>.</w:t>
      </w:r>
    </w:p>
    <w:p w14:paraId="7DE9F4C3"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Edwards, D. P., Massam, M. R., Haugaasen, T., &amp; Gilroy, J. J. (2017). Tropical secondary forest regeneration conserves high levels of avian phylogenetic diversity. </w:t>
      </w:r>
      <w:r w:rsidRPr="00860547">
        <w:rPr>
          <w:rFonts w:ascii="Times New Roman" w:hAnsi="Times New Roman" w:cs="Times New Roman"/>
          <w:i/>
          <w:iCs/>
          <w:color w:val="000000" w:themeColor="text1"/>
        </w:rPr>
        <w:t>Biological Conservation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209</w:t>
      </w:r>
      <w:r w:rsidRPr="00860547">
        <w:rPr>
          <w:rFonts w:ascii="Times New Roman" w:hAnsi="Times New Roman" w:cs="Times New Roman"/>
          <w:color w:val="000000" w:themeColor="text1"/>
        </w:rPr>
        <w:t>, 432–439. https://doi.org/10.1016/j.biocon.2017.03.006</w:t>
      </w:r>
    </w:p>
    <w:p w14:paraId="135FDAF2"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Edwards, D. P., Socolar, J. B., Mills, S. C., Burivalova, Z., Koh, L. P., &amp; Wilcove, D. S. (2019). Conservation of Tropical Forests in the Anthropocene. </w:t>
      </w:r>
      <w:r w:rsidRPr="00860547">
        <w:rPr>
          <w:rFonts w:ascii="Times New Roman" w:hAnsi="Times New Roman" w:cs="Times New Roman"/>
          <w:i/>
          <w:iCs/>
          <w:color w:val="000000" w:themeColor="text1"/>
        </w:rPr>
        <w:t>Current Biology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29</w:t>
      </w:r>
      <w:r w:rsidRPr="00860547">
        <w:rPr>
          <w:rFonts w:ascii="Times New Roman" w:hAnsi="Times New Roman" w:cs="Times New Roman"/>
          <w:color w:val="000000" w:themeColor="text1"/>
        </w:rPr>
        <w:t>(19), R1008–R1020. https://doi.org/10.1016/j.cub.2019.08.026</w:t>
      </w:r>
    </w:p>
    <w:p w14:paraId="5F5F445D"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Egler, F. E. (1954). Vegetation science concepts I. Initial floristic composition, a factor in old-field vegetation development with 2 figs. </w:t>
      </w:r>
      <w:r w:rsidRPr="00860547">
        <w:rPr>
          <w:rFonts w:ascii="Times New Roman" w:hAnsi="Times New Roman" w:cs="Times New Roman"/>
          <w:i/>
          <w:iCs/>
          <w:color w:val="000000" w:themeColor="text1"/>
          <w:lang w:val="es-EC"/>
        </w:rPr>
        <w:t>Vegetatio Acta Geobotanica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4</w:t>
      </w:r>
      <w:r w:rsidRPr="00860547">
        <w:rPr>
          <w:rFonts w:ascii="Times New Roman" w:hAnsi="Times New Roman" w:cs="Times New Roman"/>
          <w:color w:val="000000" w:themeColor="text1"/>
          <w:lang w:val="es-EC"/>
        </w:rPr>
        <w:t>(6), 412–417. https://doi.org/10.1007/BF00275587</w:t>
      </w:r>
    </w:p>
    <w:p w14:paraId="64CE8471"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lang w:val="es-EC"/>
        </w:rPr>
        <w:t xml:space="preserve">Escobar, S., Newell, F. L., Endara, M.-J., Guevara-Andino, J. E., Landim, A. R., Neuschulz, E. L., Nußer, R., Müller, J., Pedersen, K. M., Schleuning, M., Tremlett, C. J., Villa-Galaviz, E., Schaefer, H. M., Donoso, D. A., &amp; Blüthgen, N. (2024). </w:t>
      </w:r>
      <w:r w:rsidRPr="00860547">
        <w:rPr>
          <w:rFonts w:ascii="Times New Roman" w:hAnsi="Times New Roman" w:cs="Times New Roman"/>
          <w:i/>
          <w:iCs/>
          <w:color w:val="000000" w:themeColor="text1"/>
        </w:rPr>
        <w:t>Reassembly of a tropical rainforest ecosystem: A new chronosequence in the Ecuadorian Chocó tested with the recovery of tree attributes</w:t>
      </w:r>
      <w:r w:rsidRPr="00860547">
        <w:rPr>
          <w:rFonts w:ascii="Times New Roman" w:hAnsi="Times New Roman" w:cs="Times New Roman"/>
          <w:color w:val="000000" w:themeColor="text1"/>
        </w:rPr>
        <w:t xml:space="preserve">. </w:t>
      </w:r>
      <w:r w:rsidRPr="00860547">
        <w:rPr>
          <w:rFonts w:ascii="Times New Roman" w:hAnsi="Times New Roman" w:cs="Times New Roman"/>
          <w:color w:val="000000" w:themeColor="text1"/>
          <w:lang w:val="es-EC"/>
        </w:rPr>
        <w:t>Ecology. https://doi.org/10.1101/2024.03.21.586145</w:t>
      </w:r>
    </w:p>
    <w:p w14:paraId="61BBC907"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Escribano-Avila, G., Lara-Romero, C., Heleno, R., &amp; Traveset, A. (2018). </w:t>
      </w:r>
      <w:r w:rsidRPr="00860547">
        <w:rPr>
          <w:rFonts w:ascii="Times New Roman" w:hAnsi="Times New Roman" w:cs="Times New Roman"/>
          <w:color w:val="000000" w:themeColor="text1"/>
        </w:rPr>
        <w:t xml:space="preserve">Tropical Seed Dispersal Networks: Emerging Patterns, Biases, and Keystone Species Traits. In W. Dáttilo &amp; V. Rico-Gray (Eds.), </w:t>
      </w:r>
      <w:r w:rsidRPr="00860547">
        <w:rPr>
          <w:rFonts w:ascii="Times New Roman" w:hAnsi="Times New Roman" w:cs="Times New Roman"/>
          <w:i/>
          <w:iCs/>
          <w:color w:val="000000" w:themeColor="text1"/>
        </w:rPr>
        <w:t>Ecological Networks in the Tropics</w:t>
      </w:r>
      <w:r w:rsidRPr="00860547">
        <w:rPr>
          <w:rFonts w:ascii="Times New Roman" w:hAnsi="Times New Roman" w:cs="Times New Roman"/>
          <w:color w:val="000000" w:themeColor="text1"/>
        </w:rPr>
        <w:t xml:space="preserve"> (pp. 93–110). Springer International Publishing. https://doi.org/10.1007/978-3-319-68228-0_7</w:t>
      </w:r>
    </w:p>
    <w:p w14:paraId="7C1BF38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Estrada-Villegas, S., Stevenson, P. R., López, O., DeWalt, S. J., Comita, L. S., &amp; Dent, D. H. (2023). Animal seed dispersal recovery during passive restoration in a forested landscape. </w:t>
      </w:r>
      <w:r w:rsidRPr="00860547">
        <w:rPr>
          <w:rFonts w:ascii="Times New Roman" w:hAnsi="Times New Roman" w:cs="Times New Roman"/>
          <w:i/>
          <w:iCs/>
          <w:color w:val="000000" w:themeColor="text1"/>
        </w:rPr>
        <w:t>Philosophical Transactions of the Royal Society B: Biological Sciences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378</w:t>
      </w:r>
      <w:r w:rsidRPr="00860547">
        <w:rPr>
          <w:rFonts w:ascii="Times New Roman" w:hAnsi="Times New Roman" w:cs="Times New Roman"/>
          <w:color w:val="000000" w:themeColor="text1"/>
        </w:rPr>
        <w:t>(1867), 20210076. https://doi.org/10.1098/rstb.2021.0076</w:t>
      </w:r>
    </w:p>
    <w:p w14:paraId="575B322D"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Finegan, B. (1996). Pattern and process in neotropical secondary rain forests: The first 100 years of succession. </w:t>
      </w:r>
      <w:r w:rsidRPr="00860547">
        <w:rPr>
          <w:rFonts w:ascii="Times New Roman" w:hAnsi="Times New Roman" w:cs="Times New Roman"/>
          <w:i/>
          <w:iCs/>
          <w:color w:val="000000" w:themeColor="text1"/>
        </w:rPr>
        <w:t>Trends in Ecology &amp; Evolution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11</w:t>
      </w:r>
      <w:r w:rsidRPr="00860547">
        <w:rPr>
          <w:rFonts w:ascii="Times New Roman" w:hAnsi="Times New Roman" w:cs="Times New Roman"/>
          <w:color w:val="000000" w:themeColor="text1"/>
        </w:rPr>
        <w:t>(3), 119–124. https://doi.org/10.1016/0169-5347(96)81090-1</w:t>
      </w:r>
    </w:p>
    <w:p w14:paraId="60A0CCF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lastRenderedPageBreak/>
        <w:t xml:space="preserve">Galindo-González, J., Guevara, S., &amp; Sosa, V. J. (2000). Bat- and Bird-Generated Seed Rains at Isolated Trees in Pastures in a Tropical Rainforest. </w:t>
      </w:r>
      <w:r w:rsidRPr="00860547">
        <w:rPr>
          <w:rFonts w:ascii="Times New Roman" w:hAnsi="Times New Roman" w:cs="Times New Roman"/>
          <w:i/>
          <w:iCs/>
          <w:color w:val="000000" w:themeColor="text1"/>
        </w:rPr>
        <w:t>Conservation Biology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14</w:t>
      </w:r>
      <w:r w:rsidRPr="00860547">
        <w:rPr>
          <w:rFonts w:ascii="Times New Roman" w:hAnsi="Times New Roman" w:cs="Times New Roman"/>
          <w:color w:val="000000" w:themeColor="text1"/>
        </w:rPr>
        <w:t>(6).</w:t>
      </w:r>
    </w:p>
    <w:p w14:paraId="13E46A7D"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Garcia, D., Donoso, I., &amp; Rodriguez-Perez, J. (2018). Frugivore biodiversity and complementarity in interaction networks enhance landscape-scale seed dispersal function. </w:t>
      </w:r>
      <w:r w:rsidRPr="00860547">
        <w:rPr>
          <w:rFonts w:ascii="Times New Roman" w:hAnsi="Times New Roman" w:cs="Times New Roman"/>
          <w:i/>
          <w:iCs/>
          <w:color w:val="000000" w:themeColor="text1"/>
        </w:rPr>
        <w:t>FUNCTIONAL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32</w:t>
      </w:r>
      <w:r w:rsidRPr="00860547">
        <w:rPr>
          <w:rFonts w:ascii="Times New Roman" w:hAnsi="Times New Roman" w:cs="Times New Roman"/>
          <w:color w:val="000000" w:themeColor="text1"/>
        </w:rPr>
        <w:t>(12), 2742–2752. https://doi.org/10.1111/1365-2435.13213</w:t>
      </w:r>
    </w:p>
    <w:p w14:paraId="3CD604D1"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Genes, L., &amp; Dirzo, R. (2022). Restoration of plant-animal interactions in terrestrial ecosystems. </w:t>
      </w:r>
      <w:r w:rsidRPr="00860547">
        <w:rPr>
          <w:rFonts w:ascii="Times New Roman" w:hAnsi="Times New Roman" w:cs="Times New Roman"/>
          <w:i/>
          <w:iCs/>
          <w:color w:val="000000" w:themeColor="text1"/>
        </w:rPr>
        <w:t>Biological Conservation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265</w:t>
      </w:r>
      <w:r w:rsidRPr="00860547">
        <w:rPr>
          <w:rFonts w:ascii="Times New Roman" w:hAnsi="Times New Roman" w:cs="Times New Roman"/>
          <w:color w:val="000000" w:themeColor="text1"/>
        </w:rPr>
        <w:t>, 109393. https://doi.org/10.1016/j.biocon.2021.109393</w:t>
      </w:r>
    </w:p>
    <w:p w14:paraId="7983A3B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Gonçalves Da Silva, B., Koch, I., &amp; Piratelli, A. J. (2020). Fruit and flower availability affect bird assemblages across two successional stages in the Atlantic Forest. </w:t>
      </w:r>
      <w:r w:rsidRPr="00860547">
        <w:rPr>
          <w:rFonts w:ascii="Times New Roman" w:hAnsi="Times New Roman" w:cs="Times New Roman"/>
          <w:i/>
          <w:iCs/>
          <w:color w:val="000000" w:themeColor="text1"/>
        </w:rPr>
        <w:t>Studies on Neotropical Fauna and Environment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55</w:t>
      </w:r>
      <w:r w:rsidRPr="00860547">
        <w:rPr>
          <w:rFonts w:ascii="Times New Roman" w:hAnsi="Times New Roman" w:cs="Times New Roman"/>
          <w:color w:val="000000" w:themeColor="text1"/>
        </w:rPr>
        <w:t>(3), 203–215. https://doi.org/10.1080/01650521.2020.1743550</w:t>
      </w:r>
    </w:p>
    <w:p w14:paraId="4A2D4D05"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Hagen, M., Kissling, W. D., Rasmussen, C., De Aguiar, M. A. M., Brown, L. E., Carstensen, D. W., Alves-Dos-Santos, I., Dupont, Y. L., Edwards, F. K., Genini, J., Guimarães, P. R., Jenkins, G. B., Jordano, P., Kaiser-Bunbury, C. N., Ledger, M. E., Maia, K. P., Marquitti, F. M. D., Mclaughlin, Ó., Morellato, L. P. C., … Olesen, J. M. (2012). Biodiversity, Species Interactions and Ecological Networks in a Fragmented World. In </w:t>
      </w:r>
      <w:r w:rsidRPr="00860547">
        <w:rPr>
          <w:rFonts w:ascii="Times New Roman" w:hAnsi="Times New Roman" w:cs="Times New Roman"/>
          <w:i/>
          <w:iCs/>
          <w:color w:val="000000" w:themeColor="text1"/>
        </w:rPr>
        <w:t>Advances in Ecological Research</w:t>
      </w:r>
      <w:r w:rsidRPr="00860547">
        <w:rPr>
          <w:rFonts w:ascii="Times New Roman" w:hAnsi="Times New Roman" w:cs="Times New Roman"/>
          <w:color w:val="000000" w:themeColor="text1"/>
        </w:rPr>
        <w:t xml:space="preserve"> (Vol. 46, pp. 89–210). Elsevier. https://doi.org/10.1016/B978-0-12-396992-7.00002-2</w:t>
      </w:r>
    </w:p>
    <w:p w14:paraId="46F09E0B"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Helms, J. A., Woerner, C. R., Fawzi, N. I., MacDonald, A., Juliansyah, Pohnan, E., &amp; Webb, K. (2018). Rapid Response of Bird Communities to Small-Scale Reforestation in Indonesian Borneo. </w:t>
      </w:r>
      <w:r w:rsidRPr="00860547">
        <w:rPr>
          <w:rFonts w:ascii="Times New Roman" w:hAnsi="Times New Roman" w:cs="Times New Roman"/>
          <w:i/>
          <w:iCs/>
          <w:color w:val="000000" w:themeColor="text1"/>
        </w:rPr>
        <w:t>Tropical Conservation Science</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11</w:t>
      </w:r>
      <w:r w:rsidRPr="00860547">
        <w:rPr>
          <w:rFonts w:ascii="Times New Roman" w:hAnsi="Times New Roman" w:cs="Times New Roman"/>
          <w:color w:val="000000" w:themeColor="text1"/>
        </w:rPr>
        <w:t>, 194008291876946. https://doi.org/10.1177/1940082918769460</w:t>
      </w:r>
    </w:p>
    <w:p w14:paraId="17EBF50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Hoffmann, M., Belant, J. L., Chanson, J. S., Cox, N. A., Lamoreux, J., Rodrigues, A. S. L., Schipper, J., &amp; Stuart, S. N. (2011). The changing fates of the world’s mammals. </w:t>
      </w:r>
      <w:r w:rsidRPr="00860547">
        <w:rPr>
          <w:rFonts w:ascii="Times New Roman" w:hAnsi="Times New Roman" w:cs="Times New Roman"/>
          <w:i/>
          <w:iCs/>
          <w:color w:val="000000" w:themeColor="text1"/>
        </w:rPr>
        <w:t>Philosophical Transactions of the Royal Society B: Biological Sciences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366</w:t>
      </w:r>
      <w:r w:rsidRPr="00860547">
        <w:rPr>
          <w:rFonts w:ascii="Times New Roman" w:hAnsi="Times New Roman" w:cs="Times New Roman"/>
          <w:color w:val="000000" w:themeColor="text1"/>
        </w:rPr>
        <w:t>(1578), 2598–2610. https://doi.org/10.1098/rstb.2011.0116</w:t>
      </w:r>
    </w:p>
    <w:p w14:paraId="52249A29"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Holl, K. D. (1999). Factors Limiting Tropical Rain Forest Regeneration in Abandoned Pasture: Seed Rain, Seed Germination, Microclimate, and Soil†. </w:t>
      </w:r>
      <w:r w:rsidRPr="00860547">
        <w:rPr>
          <w:rFonts w:ascii="Times New Roman" w:hAnsi="Times New Roman" w:cs="Times New Roman"/>
          <w:i/>
          <w:iCs/>
          <w:color w:val="000000" w:themeColor="text1"/>
          <w:lang w:val="es-EC"/>
        </w:rPr>
        <w:t>Biotropica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31</w:t>
      </w:r>
      <w:r w:rsidRPr="00860547">
        <w:rPr>
          <w:rFonts w:ascii="Times New Roman" w:hAnsi="Times New Roman" w:cs="Times New Roman"/>
          <w:color w:val="000000" w:themeColor="text1"/>
          <w:lang w:val="es-EC"/>
        </w:rPr>
        <w:t>, 229–242. https://doi.org/10.1111/j.1744-7429.1999.tb00135.x</w:t>
      </w:r>
    </w:p>
    <w:p w14:paraId="613AF7B3"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Holl, K. D., Reid, J. L., Cole, R. J., Oviedo‐Brenes, F., Rosales, J. A., &amp; Zahawi, R. A. (2020). </w:t>
      </w:r>
      <w:r w:rsidRPr="00860547">
        <w:rPr>
          <w:rFonts w:ascii="Times New Roman" w:hAnsi="Times New Roman" w:cs="Times New Roman"/>
          <w:color w:val="000000" w:themeColor="text1"/>
        </w:rPr>
        <w:t xml:space="preserve">Applied nucleation facilitates tropical forest recovery: Lessons learned from a 15‐year </w:t>
      </w:r>
      <w:r w:rsidRPr="00860547">
        <w:rPr>
          <w:rFonts w:ascii="Times New Roman" w:hAnsi="Times New Roman" w:cs="Times New Roman"/>
          <w:color w:val="000000" w:themeColor="text1"/>
        </w:rPr>
        <w:lastRenderedPageBreak/>
        <w:t xml:space="preserve">study. </w:t>
      </w:r>
      <w:r w:rsidRPr="00860547">
        <w:rPr>
          <w:rFonts w:ascii="Times New Roman" w:hAnsi="Times New Roman" w:cs="Times New Roman"/>
          <w:i/>
          <w:iCs/>
          <w:color w:val="000000" w:themeColor="text1"/>
        </w:rPr>
        <w:t>Journal of Applied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57</w:t>
      </w:r>
      <w:r w:rsidRPr="00860547">
        <w:rPr>
          <w:rFonts w:ascii="Times New Roman" w:hAnsi="Times New Roman" w:cs="Times New Roman"/>
          <w:color w:val="000000" w:themeColor="text1"/>
        </w:rPr>
        <w:t>(12), 2316–2328. https://doi.org/10.1111/1365-2664.13684</w:t>
      </w:r>
    </w:p>
    <w:p w14:paraId="2E3D81F1"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Howe, H. F. (2016). Making dispersal syndromes and networks useful in tropical conservation and restoration. </w:t>
      </w:r>
      <w:r w:rsidRPr="00860547">
        <w:rPr>
          <w:rFonts w:ascii="Times New Roman" w:hAnsi="Times New Roman" w:cs="Times New Roman"/>
          <w:i/>
          <w:iCs/>
          <w:color w:val="000000" w:themeColor="text1"/>
        </w:rPr>
        <w:t>Global Ecology and Conservation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6</w:t>
      </w:r>
      <w:r w:rsidRPr="00860547">
        <w:rPr>
          <w:rFonts w:ascii="Times New Roman" w:hAnsi="Times New Roman" w:cs="Times New Roman"/>
          <w:color w:val="000000" w:themeColor="text1"/>
        </w:rPr>
        <w:t>, 152–178. https://doi.org/10.1016/j.gecco.2016.03.002</w:t>
      </w:r>
    </w:p>
    <w:p w14:paraId="08AED452"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Howe, H. F., &amp; Smallwood, J. (1982). Ecology of Seed Dispersal. </w:t>
      </w:r>
      <w:r w:rsidRPr="00860547">
        <w:rPr>
          <w:rFonts w:ascii="Times New Roman" w:hAnsi="Times New Roman" w:cs="Times New Roman"/>
          <w:i/>
          <w:iCs/>
          <w:color w:val="000000" w:themeColor="text1"/>
        </w:rPr>
        <w:t>Annual Review of Ecology and Systematics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13</w:t>
      </w:r>
      <w:r w:rsidRPr="00860547">
        <w:rPr>
          <w:rFonts w:ascii="Times New Roman" w:hAnsi="Times New Roman" w:cs="Times New Roman"/>
          <w:color w:val="000000" w:themeColor="text1"/>
        </w:rPr>
        <w:t>(1), 201–228. https://doi.org/10.1146/annurev.es.13.110182.001221</w:t>
      </w:r>
    </w:p>
    <w:p w14:paraId="3613F221"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Janzen, D. H. (1970). Herbivores and the Number of Tree Species in Tropical Forests. </w:t>
      </w:r>
      <w:r w:rsidRPr="00860547">
        <w:rPr>
          <w:rFonts w:ascii="Times New Roman" w:hAnsi="Times New Roman" w:cs="Times New Roman"/>
          <w:i/>
          <w:iCs/>
          <w:color w:val="000000" w:themeColor="text1"/>
        </w:rPr>
        <w:t>The American Naturalist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104</w:t>
      </w:r>
      <w:r w:rsidRPr="00860547">
        <w:rPr>
          <w:rFonts w:ascii="Times New Roman" w:hAnsi="Times New Roman" w:cs="Times New Roman"/>
          <w:color w:val="000000" w:themeColor="text1"/>
        </w:rPr>
        <w:t>(940), 501–528. https://doi.org/10.1086/282687</w:t>
      </w:r>
    </w:p>
    <w:p w14:paraId="363CB980"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Jordano, P. (1987). Patterns of Mutualistic Interactions in Pollination and Seed Dispersal: Connectance, Dependence Asymmetries, and Coevolution. </w:t>
      </w:r>
      <w:r w:rsidRPr="00860547">
        <w:rPr>
          <w:rFonts w:ascii="Times New Roman" w:hAnsi="Times New Roman" w:cs="Times New Roman"/>
          <w:i/>
          <w:iCs/>
          <w:color w:val="000000" w:themeColor="text1"/>
        </w:rPr>
        <w:t>The American Naturalist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129</w:t>
      </w:r>
      <w:r w:rsidRPr="00860547">
        <w:rPr>
          <w:rFonts w:ascii="Times New Roman" w:hAnsi="Times New Roman" w:cs="Times New Roman"/>
          <w:color w:val="000000" w:themeColor="text1"/>
        </w:rPr>
        <w:t>(5), 657–677. https://doi.org/10.1086/284665</w:t>
      </w:r>
    </w:p>
    <w:p w14:paraId="52A5315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Jordano, P. (2016). Sampling networks of ecological interactions. </w:t>
      </w:r>
      <w:r w:rsidRPr="00860547">
        <w:rPr>
          <w:rFonts w:ascii="Times New Roman" w:hAnsi="Times New Roman" w:cs="Times New Roman"/>
          <w:i/>
          <w:iCs/>
          <w:color w:val="000000" w:themeColor="text1"/>
        </w:rPr>
        <w:t>Functional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30</w:t>
      </w:r>
      <w:r w:rsidRPr="00860547">
        <w:rPr>
          <w:rFonts w:ascii="Times New Roman" w:hAnsi="Times New Roman" w:cs="Times New Roman"/>
          <w:color w:val="000000" w:themeColor="text1"/>
        </w:rPr>
        <w:t>(12), 1883–1893. https://doi.org/10.1111/1365-2435.12763</w:t>
      </w:r>
    </w:p>
    <w:p w14:paraId="266318F9"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Karubian, J., Durães, R., Storey, J. L., &amp; Smith, T. B. (2012). Mating Behavior Drives Seed Dispersal by the </w:t>
      </w:r>
      <w:r w:rsidRPr="00860547">
        <w:rPr>
          <w:rFonts w:ascii="Times New Roman" w:hAnsi="Times New Roman" w:cs="Times New Roman"/>
          <w:smallCaps/>
          <w:color w:val="000000" w:themeColor="text1"/>
        </w:rPr>
        <w:t>L</w:t>
      </w:r>
      <w:r w:rsidRPr="00860547">
        <w:rPr>
          <w:rFonts w:ascii="Times New Roman" w:hAnsi="Times New Roman" w:cs="Times New Roman"/>
          <w:color w:val="000000" w:themeColor="text1"/>
        </w:rPr>
        <w:t xml:space="preserve"> ong‐wattled </w:t>
      </w:r>
      <w:r w:rsidRPr="00860547">
        <w:rPr>
          <w:rFonts w:ascii="Times New Roman" w:hAnsi="Times New Roman" w:cs="Times New Roman"/>
          <w:smallCaps/>
          <w:color w:val="000000" w:themeColor="text1"/>
        </w:rPr>
        <w:t>U</w:t>
      </w:r>
      <w:r w:rsidRPr="00860547">
        <w:rPr>
          <w:rFonts w:ascii="Times New Roman" w:hAnsi="Times New Roman" w:cs="Times New Roman"/>
          <w:color w:val="000000" w:themeColor="text1"/>
        </w:rPr>
        <w:t xml:space="preserve"> mbrellabird </w:t>
      </w:r>
      <w:r w:rsidRPr="00860547">
        <w:rPr>
          <w:rFonts w:ascii="Times New Roman" w:hAnsi="Times New Roman" w:cs="Times New Roman"/>
          <w:i/>
          <w:iCs/>
          <w:color w:val="000000" w:themeColor="text1"/>
        </w:rPr>
        <w:t xml:space="preserve"> </w:t>
      </w:r>
      <w:r w:rsidRPr="00860547">
        <w:rPr>
          <w:rFonts w:ascii="Times New Roman" w:hAnsi="Times New Roman" w:cs="Times New Roman"/>
          <w:i/>
          <w:iCs/>
          <w:smallCaps/>
          <w:color w:val="000000" w:themeColor="text1"/>
        </w:rPr>
        <w:t>C</w:t>
      </w:r>
      <w:r w:rsidRPr="00860547">
        <w:rPr>
          <w:rFonts w:ascii="Times New Roman" w:hAnsi="Times New Roman" w:cs="Times New Roman"/>
          <w:i/>
          <w:iCs/>
          <w:color w:val="000000" w:themeColor="text1"/>
        </w:rPr>
        <w:t xml:space="preserve"> ephalopterus penduliger </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Biotropica</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44</w:t>
      </w:r>
      <w:r w:rsidRPr="00860547">
        <w:rPr>
          <w:rFonts w:ascii="Times New Roman" w:hAnsi="Times New Roman" w:cs="Times New Roman"/>
          <w:color w:val="000000" w:themeColor="text1"/>
        </w:rPr>
        <w:t>(5), 689–698. https://doi.org/10.1111/j.1744-7429.2012.00859.x</w:t>
      </w:r>
    </w:p>
    <w:p w14:paraId="42C1C2AD"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Lambert, J. E. (2011). Primate seed dispersers as umbrella species: A case study from Kibale National Park, Uganda, with implications for Afrotropical forest conservation. </w:t>
      </w:r>
      <w:r w:rsidRPr="00860547">
        <w:rPr>
          <w:rFonts w:ascii="Times New Roman" w:hAnsi="Times New Roman" w:cs="Times New Roman"/>
          <w:i/>
          <w:iCs/>
          <w:color w:val="000000" w:themeColor="text1"/>
        </w:rPr>
        <w:t>American Journal of Primatology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73</w:t>
      </w:r>
      <w:r w:rsidRPr="00860547">
        <w:rPr>
          <w:rFonts w:ascii="Times New Roman" w:hAnsi="Times New Roman" w:cs="Times New Roman"/>
          <w:color w:val="000000" w:themeColor="text1"/>
        </w:rPr>
        <w:t>(1), 9–24. https://doi.org/10.1002/ajp.20879</w:t>
      </w:r>
    </w:p>
    <w:p w14:paraId="1E5645D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Lee, A. T. (2018). Why Birds Matter: Avian Ecological Function and Ecosystem Services. </w:t>
      </w:r>
      <w:r w:rsidRPr="00860547">
        <w:rPr>
          <w:rFonts w:ascii="Times New Roman" w:hAnsi="Times New Roman" w:cs="Times New Roman"/>
          <w:i/>
          <w:iCs/>
          <w:color w:val="000000" w:themeColor="text1"/>
        </w:rPr>
        <w:t>Ostrich</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89</w:t>
      </w:r>
      <w:r w:rsidRPr="00860547">
        <w:rPr>
          <w:rFonts w:ascii="Times New Roman" w:hAnsi="Times New Roman" w:cs="Times New Roman"/>
          <w:color w:val="000000" w:themeColor="text1"/>
        </w:rPr>
        <w:t>(2), 203–204. https://doi.org/10.2989/00306525.2018.1465788</w:t>
      </w:r>
    </w:p>
    <w:p w14:paraId="6EC2C8AF"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Li, N., Wang, Z., Li, X., &amp; Li, Z. (2018). Bird functional traits affect seed dispersal patterns of China’s endangered trees across different disturbed habitats. </w:t>
      </w:r>
      <w:r w:rsidRPr="00860547">
        <w:rPr>
          <w:rFonts w:ascii="Times New Roman" w:hAnsi="Times New Roman" w:cs="Times New Roman"/>
          <w:i/>
          <w:iCs/>
          <w:color w:val="000000" w:themeColor="text1"/>
        </w:rPr>
        <w:t>Avian Research</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w:t>
      </w:r>
      <w:r w:rsidRPr="00860547">
        <w:rPr>
          <w:rFonts w:ascii="Times New Roman" w:hAnsi="Times New Roman" w:cs="Times New Roman"/>
          <w:color w:val="000000" w:themeColor="text1"/>
        </w:rPr>
        <w:t>(1), 13. https://doi.org/10.1186/s40657-018-0105-x</w:t>
      </w:r>
    </w:p>
    <w:p w14:paraId="4199D184"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Lundberg, J., &amp; Moberg, F. (2003). Mobile Link Organisms and Ecosystem Functioning: Implications for Ecosystem Resilience and Management. </w:t>
      </w:r>
      <w:r w:rsidRPr="00860547">
        <w:rPr>
          <w:rFonts w:ascii="Times New Roman" w:hAnsi="Times New Roman" w:cs="Times New Roman"/>
          <w:i/>
          <w:iCs/>
          <w:color w:val="000000" w:themeColor="text1"/>
        </w:rPr>
        <w:t>Ecosystems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6</w:t>
      </w:r>
      <w:r w:rsidRPr="00860547">
        <w:rPr>
          <w:rFonts w:ascii="Times New Roman" w:hAnsi="Times New Roman" w:cs="Times New Roman"/>
          <w:color w:val="000000" w:themeColor="text1"/>
        </w:rPr>
        <w:t>(1), 0087–0098. https://doi.org/10.1007/s10021-002-0150-4</w:t>
      </w:r>
    </w:p>
    <w:p w14:paraId="45079D07"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Malhi, Y., Gardner, T. A., Goldsmith, G. R., Silman, M. R., &amp; Zelazowski, P. (2014). Tropical Forests in the Anthropocene. </w:t>
      </w:r>
      <w:r w:rsidRPr="00860547">
        <w:rPr>
          <w:rFonts w:ascii="Times New Roman" w:hAnsi="Times New Roman" w:cs="Times New Roman"/>
          <w:i/>
          <w:iCs/>
          <w:color w:val="000000" w:themeColor="text1"/>
        </w:rPr>
        <w:t>Annual Review of Environment and Resources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39</w:t>
      </w:r>
      <w:r w:rsidRPr="00860547">
        <w:rPr>
          <w:rFonts w:ascii="Times New Roman" w:hAnsi="Times New Roman" w:cs="Times New Roman"/>
          <w:color w:val="000000" w:themeColor="text1"/>
        </w:rPr>
        <w:t>(1), 125–159. https://doi.org/10.1146/annurev-environ-030713-155141</w:t>
      </w:r>
    </w:p>
    <w:p w14:paraId="501FFAD8"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lastRenderedPageBreak/>
        <w:t xml:space="preserve">Markl, J. S., Schleuning, M., Forget, P. M., Jordano, P., Lambert, J. E., Traveset, A., Wright, S. J., &amp; Böhning‐Gaese, K. (2012). Meta‐Analysis of the Effects of Human Disturbance on Seed Dispersal by Animals. </w:t>
      </w:r>
      <w:r w:rsidRPr="00860547">
        <w:rPr>
          <w:rFonts w:ascii="Times New Roman" w:hAnsi="Times New Roman" w:cs="Times New Roman"/>
          <w:i/>
          <w:iCs/>
          <w:color w:val="000000" w:themeColor="text1"/>
        </w:rPr>
        <w:t>Conservation Biology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26</w:t>
      </w:r>
      <w:r w:rsidRPr="00860547">
        <w:rPr>
          <w:rFonts w:ascii="Times New Roman" w:hAnsi="Times New Roman" w:cs="Times New Roman"/>
          <w:color w:val="000000" w:themeColor="text1"/>
        </w:rPr>
        <w:t>(6), 1072–1081. https://doi.org/10.1111/j.1523-1739.2012.01927.x</w:t>
      </w:r>
    </w:p>
    <w:p w14:paraId="75E7207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May, P. G. (1982). Secondary succession and breeding bird community structure: Patterns of resource utilization. </w:t>
      </w:r>
      <w:r w:rsidRPr="00860547">
        <w:rPr>
          <w:rFonts w:ascii="Times New Roman" w:hAnsi="Times New Roman" w:cs="Times New Roman"/>
          <w:i/>
          <w:iCs/>
          <w:color w:val="000000" w:themeColor="text1"/>
        </w:rPr>
        <w:t>Oecologia</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55</w:t>
      </w:r>
      <w:r w:rsidRPr="00860547">
        <w:rPr>
          <w:rFonts w:ascii="Times New Roman" w:hAnsi="Times New Roman" w:cs="Times New Roman"/>
          <w:color w:val="000000" w:themeColor="text1"/>
        </w:rPr>
        <w:t>(2), 208–216. https://doi.org/10.1007/BF00384489</w:t>
      </w:r>
    </w:p>
    <w:p w14:paraId="3ED62417"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McConkey, K. R. (2000). Primary seed shadow generated by gibbons in the rain forests of Barito Ulu, central Borneo. </w:t>
      </w:r>
      <w:r w:rsidRPr="00860547">
        <w:rPr>
          <w:rFonts w:ascii="Times New Roman" w:hAnsi="Times New Roman" w:cs="Times New Roman"/>
          <w:i/>
          <w:iCs/>
          <w:color w:val="000000" w:themeColor="text1"/>
        </w:rPr>
        <w:t>American Journal of Primatology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52</w:t>
      </w:r>
      <w:r w:rsidRPr="00860547">
        <w:rPr>
          <w:rFonts w:ascii="Times New Roman" w:hAnsi="Times New Roman" w:cs="Times New Roman"/>
          <w:color w:val="000000" w:themeColor="text1"/>
        </w:rPr>
        <w:t>(1), 13–29. https://doi.org/10.1002/1098-2345(200009)52:1&lt;13::AID-AJP2&gt;3.0.CO;2-Y</w:t>
      </w:r>
    </w:p>
    <w:p w14:paraId="3833678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Mehlhop, P., &amp; Lynch, J. F. (1986). Bird/Habitat Relationships Along a Successional Gradient in the Maryland Coastal Plain. </w:t>
      </w:r>
      <w:r w:rsidRPr="00860547">
        <w:rPr>
          <w:rFonts w:ascii="Times New Roman" w:hAnsi="Times New Roman" w:cs="Times New Roman"/>
          <w:i/>
          <w:iCs/>
          <w:color w:val="000000" w:themeColor="text1"/>
        </w:rPr>
        <w:t>American Midland Naturalist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116</w:t>
      </w:r>
      <w:r w:rsidRPr="00860547">
        <w:rPr>
          <w:rFonts w:ascii="Times New Roman" w:hAnsi="Times New Roman" w:cs="Times New Roman"/>
          <w:color w:val="000000" w:themeColor="text1"/>
        </w:rPr>
        <w:t>(2), 225. https://doi.org/10.2307/2425730</w:t>
      </w:r>
    </w:p>
    <w:p w14:paraId="2717E32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Mendes, S. B., Timoteo, S., Loureiro, J., &amp; Castro, S. (2022). The impact of habitat loss on pollination services for a threatened dune endemic plant. </w:t>
      </w:r>
      <w:r w:rsidRPr="00860547">
        <w:rPr>
          <w:rFonts w:ascii="Times New Roman" w:hAnsi="Times New Roman" w:cs="Times New Roman"/>
          <w:i/>
          <w:iCs/>
          <w:color w:val="000000" w:themeColor="text1"/>
        </w:rPr>
        <w:t>OECOLOGIA</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198</w:t>
      </w:r>
      <w:r w:rsidRPr="00860547">
        <w:rPr>
          <w:rFonts w:ascii="Times New Roman" w:hAnsi="Times New Roman" w:cs="Times New Roman"/>
          <w:color w:val="000000" w:themeColor="text1"/>
        </w:rPr>
        <w:t>(1), 279–293. https://doi.org/10.1007/s00442-021-05070-y</w:t>
      </w:r>
    </w:p>
    <w:p w14:paraId="5A72876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Mesquita, R. C. G., Ickes, K., Ganade, G., &amp; Williamson, G. B. (2001). Alternative successional pathways in the Amazon Basin. </w:t>
      </w:r>
      <w:r w:rsidRPr="00860547">
        <w:rPr>
          <w:rFonts w:ascii="Times New Roman" w:hAnsi="Times New Roman" w:cs="Times New Roman"/>
          <w:i/>
          <w:iCs/>
          <w:color w:val="000000" w:themeColor="text1"/>
        </w:rPr>
        <w:t>Journal of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89</w:t>
      </w:r>
      <w:r w:rsidRPr="00860547">
        <w:rPr>
          <w:rFonts w:ascii="Times New Roman" w:hAnsi="Times New Roman" w:cs="Times New Roman"/>
          <w:color w:val="000000" w:themeColor="text1"/>
        </w:rPr>
        <w:t>(4), 528–537. https://doi.org/10.1046/j.1365-2745.2001.00583.x</w:t>
      </w:r>
    </w:p>
    <w:p w14:paraId="56162E77" w14:textId="1FF65768" w:rsidR="00AE543F" w:rsidRDefault="00AE543F" w:rsidP="00AE543F">
      <w:pPr>
        <w:spacing w:before="0" w:after="0"/>
        <w:ind w:left="480" w:hanging="480"/>
        <w:rPr>
          <w:rFonts w:ascii="Times New Roman" w:hAnsi="Times New Roman" w:cs="Times New Roman"/>
          <w:color w:val="000000" w:themeColor="text1"/>
        </w:rPr>
      </w:pPr>
      <w:r w:rsidRPr="00AE543F">
        <w:rPr>
          <w:rFonts w:ascii="Times New Roman" w:hAnsi="Times New Roman" w:cs="Times New Roman"/>
          <w:color w:val="000000" w:themeColor="text1"/>
        </w:rPr>
        <w:t xml:space="preserve">Milotić, T., &amp; Hoffmann, M. (2016). How does gut passage impact endozoochorous seed dispersal success? Evidence from a gut environment simulation experiment. </w:t>
      </w:r>
      <w:r w:rsidRPr="00AE543F">
        <w:rPr>
          <w:rFonts w:ascii="Times New Roman" w:hAnsi="Times New Roman" w:cs="Times New Roman"/>
          <w:i/>
          <w:iCs/>
          <w:color w:val="000000" w:themeColor="text1"/>
        </w:rPr>
        <w:t>Basic and Applied Ecology</w:t>
      </w:r>
      <w:r w:rsidRPr="00AE543F">
        <w:rPr>
          <w:rFonts w:ascii="Times New Roman" w:hAnsi="Times New Roman" w:cs="Times New Roman"/>
          <w:color w:val="000000" w:themeColor="text1"/>
        </w:rPr>
        <w:t xml:space="preserve">, </w:t>
      </w:r>
      <w:r w:rsidRPr="00AE543F">
        <w:rPr>
          <w:rFonts w:ascii="Times New Roman" w:hAnsi="Times New Roman" w:cs="Times New Roman"/>
          <w:i/>
          <w:iCs/>
          <w:color w:val="000000" w:themeColor="text1"/>
        </w:rPr>
        <w:t>17</w:t>
      </w:r>
      <w:r w:rsidRPr="00AE543F">
        <w:rPr>
          <w:rFonts w:ascii="Times New Roman" w:hAnsi="Times New Roman" w:cs="Times New Roman"/>
          <w:color w:val="000000" w:themeColor="text1"/>
        </w:rPr>
        <w:t xml:space="preserve">(2), 165–176. </w:t>
      </w:r>
      <w:hyperlink r:id="rId12" w:history="1">
        <w:r w:rsidRPr="00AE543F">
          <w:rPr>
            <w:rStyle w:val="Hyperlink"/>
            <w:rFonts w:ascii="Times New Roman" w:hAnsi="Times New Roman" w:cs="Times New Roman"/>
            <w:color w:val="000000" w:themeColor="text1"/>
            <w:u w:val="none"/>
          </w:rPr>
          <w:t>https://doi.org/10.1016/j.baae.2015.09.007</w:t>
        </w:r>
      </w:hyperlink>
    </w:p>
    <w:p w14:paraId="76C1E072" w14:textId="64C0DE1F"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Mittelman, P., Dracxler, C. M., Santos‐Coutinho, P. R. O., &amp; Pires, A. S. (2021). Sowing forests: A synthesis of seed dispersal and predation by agoutis and their influence on plant communities. </w:t>
      </w:r>
      <w:r w:rsidRPr="00860547">
        <w:rPr>
          <w:rFonts w:ascii="Times New Roman" w:hAnsi="Times New Roman" w:cs="Times New Roman"/>
          <w:i/>
          <w:iCs/>
          <w:color w:val="000000" w:themeColor="text1"/>
        </w:rPr>
        <w:t>Biological Reviews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96</w:t>
      </w:r>
      <w:r w:rsidRPr="00860547">
        <w:rPr>
          <w:rFonts w:ascii="Times New Roman" w:hAnsi="Times New Roman" w:cs="Times New Roman"/>
          <w:color w:val="000000" w:themeColor="text1"/>
        </w:rPr>
        <w:t>(6), 2425–2445. https://doi.org/10.1111/brv.12761</w:t>
      </w:r>
    </w:p>
    <w:p w14:paraId="06CC67AF"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Moreno-Mateos, D., Alberdi, A., Morriën, E., van der Putten, W. H., Rodríguez-Uña, A., &amp; Montoya, D. (2020). The long-term restoration of ecosystem complexity. </w:t>
      </w:r>
      <w:r w:rsidRPr="00860547">
        <w:rPr>
          <w:rFonts w:ascii="Times New Roman" w:hAnsi="Times New Roman" w:cs="Times New Roman"/>
          <w:i/>
          <w:iCs/>
          <w:color w:val="000000" w:themeColor="text1"/>
        </w:rPr>
        <w:t>Nature Ecology &amp; Evolution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4</w:t>
      </w:r>
      <w:r w:rsidRPr="00860547">
        <w:rPr>
          <w:rFonts w:ascii="Times New Roman" w:hAnsi="Times New Roman" w:cs="Times New Roman"/>
          <w:color w:val="000000" w:themeColor="text1"/>
        </w:rPr>
        <w:t>(5), 676–685. https://doi.org/10.1038/s41559-020-1154-1</w:t>
      </w:r>
    </w:p>
    <w:p w14:paraId="6AB25833"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Muller-Landau, H. C. (2007). Predicting the Long-Term Effects of Hunting on Plant Species Composition and Diversity in Tropical Forests. </w:t>
      </w:r>
      <w:r w:rsidRPr="00860547">
        <w:rPr>
          <w:rFonts w:ascii="Times New Roman" w:hAnsi="Times New Roman" w:cs="Times New Roman"/>
          <w:i/>
          <w:iCs/>
          <w:color w:val="000000" w:themeColor="text1"/>
          <w:lang w:val="es-EC"/>
        </w:rPr>
        <w:t>Biotropica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39</w:t>
      </w:r>
      <w:r w:rsidRPr="00860547">
        <w:rPr>
          <w:rFonts w:ascii="Times New Roman" w:hAnsi="Times New Roman" w:cs="Times New Roman"/>
          <w:color w:val="000000" w:themeColor="text1"/>
          <w:lang w:val="es-EC"/>
        </w:rPr>
        <w:t>(3), 372–384. https://doi.org/10.1111/j.1744-7429.2007.00290.x</w:t>
      </w:r>
    </w:p>
    <w:p w14:paraId="56EE7C23"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lastRenderedPageBreak/>
        <w:t xml:space="preserve">Muscarella, R., &amp; Fleming, T. H. (2007). </w:t>
      </w:r>
      <w:r w:rsidRPr="00860547">
        <w:rPr>
          <w:rFonts w:ascii="Times New Roman" w:hAnsi="Times New Roman" w:cs="Times New Roman"/>
          <w:color w:val="000000" w:themeColor="text1"/>
        </w:rPr>
        <w:t xml:space="preserve">The Role of Frugivorous Bats in Tropical Forest Succession. </w:t>
      </w:r>
      <w:r w:rsidRPr="00860547">
        <w:rPr>
          <w:rFonts w:ascii="Times New Roman" w:hAnsi="Times New Roman" w:cs="Times New Roman"/>
          <w:i/>
          <w:iCs/>
          <w:color w:val="000000" w:themeColor="text1"/>
        </w:rPr>
        <w:t>Biological Reviews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82</w:t>
      </w:r>
      <w:r w:rsidRPr="00860547">
        <w:rPr>
          <w:rFonts w:ascii="Times New Roman" w:hAnsi="Times New Roman" w:cs="Times New Roman"/>
          <w:color w:val="000000" w:themeColor="text1"/>
        </w:rPr>
        <w:t>(4), 573–590. https://doi.org/10.1111/j.1469-185X.2007.00026.x</w:t>
      </w:r>
    </w:p>
    <w:p w14:paraId="161D1BDD" w14:textId="77777777" w:rsidR="00860547" w:rsidRPr="005D3231" w:rsidRDefault="00860547" w:rsidP="005D3231">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Naniwadekar, R., Chaplod, S., Datta, A., Rathore, A., &amp; Sridhar, H. (2019). Large frugivores </w:t>
      </w:r>
      <w:r w:rsidRPr="005D3231">
        <w:rPr>
          <w:rFonts w:ascii="Times New Roman" w:hAnsi="Times New Roman" w:cs="Times New Roman"/>
          <w:color w:val="000000" w:themeColor="text1"/>
        </w:rPr>
        <w:t xml:space="preserve">matter: Insights from network and seed dispersal effectiveness approaches. </w:t>
      </w:r>
      <w:r w:rsidRPr="005D3231">
        <w:rPr>
          <w:rFonts w:ascii="Times New Roman" w:hAnsi="Times New Roman" w:cs="Times New Roman"/>
          <w:i/>
          <w:iCs/>
          <w:color w:val="000000" w:themeColor="text1"/>
        </w:rPr>
        <w:t>Journal of Animal Ecology</w:t>
      </w:r>
      <w:r w:rsidRPr="005D3231">
        <w:rPr>
          <w:rFonts w:ascii="Times New Roman" w:hAnsi="Times New Roman" w:cs="Times New Roman"/>
          <w:color w:val="000000" w:themeColor="text1"/>
        </w:rPr>
        <w:t xml:space="preserve">, </w:t>
      </w:r>
      <w:r w:rsidRPr="005D3231">
        <w:rPr>
          <w:rFonts w:ascii="Times New Roman" w:hAnsi="Times New Roman" w:cs="Times New Roman"/>
          <w:i/>
          <w:iCs/>
          <w:color w:val="000000" w:themeColor="text1"/>
        </w:rPr>
        <w:t>88</w:t>
      </w:r>
      <w:r w:rsidRPr="005D3231">
        <w:rPr>
          <w:rFonts w:ascii="Times New Roman" w:hAnsi="Times New Roman" w:cs="Times New Roman"/>
          <w:color w:val="000000" w:themeColor="text1"/>
        </w:rPr>
        <w:t>(8), 1250–1262. https://doi.org/10.1111/1365-2656.13005</w:t>
      </w:r>
    </w:p>
    <w:p w14:paraId="000D40CC" w14:textId="77777777" w:rsidR="005D3231" w:rsidRPr="005D3231" w:rsidRDefault="00860547" w:rsidP="005D3231">
      <w:pPr>
        <w:spacing w:before="0" w:after="0"/>
        <w:ind w:left="480" w:hanging="480"/>
        <w:rPr>
          <w:rFonts w:ascii="Times New Roman" w:hAnsi="Times New Roman" w:cs="Times New Roman"/>
          <w:color w:val="000000" w:themeColor="text1"/>
        </w:rPr>
      </w:pPr>
      <w:r w:rsidRPr="005D3231">
        <w:rPr>
          <w:rFonts w:ascii="Times New Roman" w:hAnsi="Times New Roman" w:cs="Times New Roman"/>
          <w:color w:val="000000" w:themeColor="text1"/>
        </w:rPr>
        <w:t xml:space="preserve">Neuschulz, E. L., Mueller, T., Schleuning, M., &amp; Böhning-Gaese, K. (2016). Pollination and seed dispersal are the most threatened processes of plant regeneration. </w:t>
      </w:r>
      <w:r w:rsidRPr="005D3231">
        <w:rPr>
          <w:rFonts w:ascii="Times New Roman" w:hAnsi="Times New Roman" w:cs="Times New Roman"/>
          <w:i/>
          <w:iCs/>
          <w:color w:val="000000" w:themeColor="text1"/>
        </w:rPr>
        <w:t>Scientific Reports</w:t>
      </w:r>
      <w:r w:rsidRPr="005D3231">
        <w:rPr>
          <w:rFonts w:ascii="Times New Roman" w:hAnsi="Times New Roman" w:cs="Times New Roman"/>
          <w:color w:val="000000" w:themeColor="text1"/>
        </w:rPr>
        <w:t xml:space="preserve">, </w:t>
      </w:r>
      <w:r w:rsidRPr="005D3231">
        <w:rPr>
          <w:rFonts w:ascii="Times New Roman" w:hAnsi="Times New Roman" w:cs="Times New Roman"/>
          <w:i/>
          <w:iCs/>
          <w:color w:val="000000" w:themeColor="text1"/>
        </w:rPr>
        <w:t>6</w:t>
      </w:r>
      <w:r w:rsidRPr="005D3231">
        <w:rPr>
          <w:rFonts w:ascii="Times New Roman" w:hAnsi="Times New Roman" w:cs="Times New Roman"/>
          <w:color w:val="000000" w:themeColor="text1"/>
        </w:rPr>
        <w:t>(1), 29839. https://doi.org/10.1038/srep29839</w:t>
      </w:r>
      <w:r w:rsidR="005D3231" w:rsidRPr="005D3231">
        <w:rPr>
          <w:rFonts w:ascii="Times New Roman" w:hAnsi="Times New Roman" w:cs="Times New Roman"/>
          <w:color w:val="000000" w:themeColor="text1"/>
        </w:rPr>
        <w:t xml:space="preserve"> </w:t>
      </w:r>
    </w:p>
    <w:p w14:paraId="75C2BC42" w14:textId="434D1AE3" w:rsidR="00860547" w:rsidRPr="005D3231" w:rsidRDefault="005D3231" w:rsidP="005D3231">
      <w:pPr>
        <w:spacing w:before="0" w:after="0"/>
        <w:ind w:left="480" w:hanging="480"/>
        <w:rPr>
          <w:rFonts w:ascii="Times New Roman" w:hAnsi="Times New Roman" w:cs="Times New Roman"/>
          <w:color w:val="000000" w:themeColor="text1"/>
        </w:rPr>
      </w:pPr>
      <w:r w:rsidRPr="005D3231">
        <w:rPr>
          <w:rFonts w:ascii="Times New Roman" w:hAnsi="Times New Roman" w:cs="Times New Roman"/>
          <w:color w:val="000000" w:themeColor="text1"/>
        </w:rPr>
        <w:t xml:space="preserve">Nevo, O., Filla, C., Valenta, K., &amp; Schupp, E. W. (2023). What drives seed dispersal effectiveness? </w:t>
      </w:r>
      <w:r w:rsidRPr="005D3231">
        <w:rPr>
          <w:rFonts w:ascii="Times New Roman" w:hAnsi="Times New Roman" w:cs="Times New Roman"/>
          <w:i/>
          <w:iCs/>
          <w:color w:val="000000" w:themeColor="text1"/>
        </w:rPr>
        <w:t>Ecology and Evolution</w:t>
      </w:r>
      <w:r w:rsidRPr="005D3231">
        <w:rPr>
          <w:rFonts w:ascii="Times New Roman" w:hAnsi="Times New Roman" w:cs="Times New Roman"/>
          <w:color w:val="000000" w:themeColor="text1"/>
        </w:rPr>
        <w:t xml:space="preserve">, </w:t>
      </w:r>
      <w:r w:rsidRPr="005D3231">
        <w:rPr>
          <w:rFonts w:ascii="Times New Roman" w:hAnsi="Times New Roman" w:cs="Times New Roman"/>
          <w:i/>
          <w:iCs/>
          <w:color w:val="000000" w:themeColor="text1"/>
        </w:rPr>
        <w:t>13</w:t>
      </w:r>
      <w:r w:rsidRPr="005D3231">
        <w:rPr>
          <w:rFonts w:ascii="Times New Roman" w:hAnsi="Times New Roman" w:cs="Times New Roman"/>
          <w:color w:val="000000" w:themeColor="text1"/>
        </w:rPr>
        <w:t xml:space="preserve">(9), e10459. </w:t>
      </w:r>
      <w:hyperlink r:id="rId13" w:history="1">
        <w:r w:rsidRPr="005D3231">
          <w:rPr>
            <w:rStyle w:val="Hyperlink"/>
            <w:rFonts w:ascii="Times New Roman" w:hAnsi="Times New Roman" w:cs="Times New Roman"/>
            <w:color w:val="000000" w:themeColor="text1"/>
            <w:u w:val="none"/>
          </w:rPr>
          <w:t>https://doi.org/10.1002/ece3.10459</w:t>
        </w:r>
      </w:hyperlink>
    </w:p>
    <w:p w14:paraId="4ABD1B0C" w14:textId="77777777" w:rsidR="00860547" w:rsidRPr="005D3231" w:rsidRDefault="00860547" w:rsidP="005D3231">
      <w:pPr>
        <w:pStyle w:val="Bibliography"/>
        <w:spacing w:before="0" w:line="360" w:lineRule="auto"/>
        <w:rPr>
          <w:rFonts w:ascii="Times New Roman" w:hAnsi="Times New Roman" w:cs="Times New Roman"/>
          <w:color w:val="000000" w:themeColor="text1"/>
        </w:rPr>
      </w:pPr>
      <w:r w:rsidRPr="005D3231">
        <w:rPr>
          <w:rFonts w:ascii="Times New Roman" w:hAnsi="Times New Roman" w:cs="Times New Roman"/>
          <w:color w:val="000000" w:themeColor="text1"/>
        </w:rPr>
        <w:t xml:space="preserve">Odum, E. (1969). The Strategy of Ecosystem Development. </w:t>
      </w:r>
      <w:r w:rsidRPr="005D3231">
        <w:rPr>
          <w:rFonts w:ascii="Times New Roman" w:hAnsi="Times New Roman" w:cs="Times New Roman"/>
          <w:i/>
          <w:iCs/>
          <w:color w:val="000000" w:themeColor="text1"/>
        </w:rPr>
        <w:t>Science</w:t>
      </w:r>
      <w:r w:rsidRPr="005D3231">
        <w:rPr>
          <w:rFonts w:ascii="Times New Roman" w:hAnsi="Times New Roman" w:cs="Times New Roman"/>
          <w:color w:val="000000" w:themeColor="text1"/>
        </w:rPr>
        <w:t xml:space="preserve">, </w:t>
      </w:r>
      <w:r w:rsidRPr="005D3231">
        <w:rPr>
          <w:rFonts w:ascii="Times New Roman" w:hAnsi="Times New Roman" w:cs="Times New Roman"/>
          <w:i/>
          <w:iCs/>
          <w:color w:val="000000" w:themeColor="text1"/>
        </w:rPr>
        <w:t>164</w:t>
      </w:r>
      <w:r w:rsidRPr="005D3231">
        <w:rPr>
          <w:rFonts w:ascii="Times New Roman" w:hAnsi="Times New Roman" w:cs="Times New Roman"/>
          <w:color w:val="000000" w:themeColor="text1"/>
        </w:rPr>
        <w:t>(3877), 262–270.</w:t>
      </w:r>
    </w:p>
    <w:p w14:paraId="53C38AED" w14:textId="77777777" w:rsidR="00860547" w:rsidRPr="005D3231" w:rsidRDefault="00860547" w:rsidP="005D3231">
      <w:pPr>
        <w:pStyle w:val="Bibliography"/>
        <w:spacing w:before="0" w:line="360" w:lineRule="auto"/>
        <w:rPr>
          <w:rFonts w:ascii="Times New Roman" w:hAnsi="Times New Roman" w:cs="Times New Roman"/>
          <w:color w:val="000000" w:themeColor="text1"/>
        </w:rPr>
      </w:pPr>
      <w:r w:rsidRPr="005D3231">
        <w:rPr>
          <w:rFonts w:ascii="Times New Roman" w:hAnsi="Times New Roman" w:cs="Times New Roman"/>
          <w:color w:val="000000" w:themeColor="text1"/>
        </w:rPr>
        <w:t xml:space="preserve">Olson, D. M., &amp; Dinerstein, E. (2002). The Global 200: Priority Ecoregions for Global Conservation. </w:t>
      </w:r>
      <w:r w:rsidRPr="005D3231">
        <w:rPr>
          <w:rFonts w:ascii="Times New Roman" w:hAnsi="Times New Roman" w:cs="Times New Roman"/>
          <w:i/>
          <w:iCs/>
          <w:color w:val="000000" w:themeColor="text1"/>
        </w:rPr>
        <w:t>Annals of the Missouri Botanical Garden</w:t>
      </w:r>
      <w:r w:rsidRPr="005D3231">
        <w:rPr>
          <w:rFonts w:ascii="Times New Roman" w:hAnsi="Times New Roman" w:cs="Times New Roman"/>
          <w:color w:val="000000" w:themeColor="text1"/>
        </w:rPr>
        <w:t xml:space="preserve">, </w:t>
      </w:r>
      <w:r w:rsidRPr="005D3231">
        <w:rPr>
          <w:rFonts w:ascii="Times New Roman" w:hAnsi="Times New Roman" w:cs="Times New Roman"/>
          <w:i/>
          <w:iCs/>
          <w:color w:val="000000" w:themeColor="text1"/>
        </w:rPr>
        <w:t>89</w:t>
      </w:r>
      <w:r w:rsidRPr="005D3231">
        <w:rPr>
          <w:rFonts w:ascii="Times New Roman" w:hAnsi="Times New Roman" w:cs="Times New Roman"/>
          <w:color w:val="000000" w:themeColor="text1"/>
        </w:rPr>
        <w:t>(2), 199. https://doi.org/10.2307/3298564</w:t>
      </w:r>
    </w:p>
    <w:p w14:paraId="0FB591B3"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Ong, L., McConkey, K. R., &amp; Campos-Arceiz, A. (2022). The ability to disperse large seeds, rather than body mass alone, defines the importance of animals in a hyper-diverse seed dispersal network. </w:t>
      </w:r>
      <w:r w:rsidRPr="00860547">
        <w:rPr>
          <w:rFonts w:ascii="Times New Roman" w:hAnsi="Times New Roman" w:cs="Times New Roman"/>
          <w:i/>
          <w:iCs/>
          <w:color w:val="000000" w:themeColor="text1"/>
        </w:rPr>
        <w:t>JOURNAL OF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110</w:t>
      </w:r>
      <w:r w:rsidRPr="00860547">
        <w:rPr>
          <w:rFonts w:ascii="Times New Roman" w:hAnsi="Times New Roman" w:cs="Times New Roman"/>
          <w:color w:val="000000" w:themeColor="text1"/>
        </w:rPr>
        <w:t>(2), 313–326. https://doi.org/10.1111/1365-2745.13809</w:t>
      </w:r>
    </w:p>
    <w:p w14:paraId="43A32D36"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Palacio, R. D., Valderrama-Ardila, C., &amp; Kattan, G. H. (2016). Generalist Species Have a Central Role In a Highly Diverse Plant-Frugivore Network. </w:t>
      </w:r>
      <w:r w:rsidRPr="00860547">
        <w:rPr>
          <w:rFonts w:ascii="Times New Roman" w:hAnsi="Times New Roman" w:cs="Times New Roman"/>
          <w:i/>
          <w:iCs/>
          <w:color w:val="000000" w:themeColor="text1"/>
          <w:lang w:val="es-EC"/>
        </w:rPr>
        <w:t>Biotropica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48</w:t>
      </w:r>
      <w:r w:rsidRPr="00860547">
        <w:rPr>
          <w:rFonts w:ascii="Times New Roman" w:hAnsi="Times New Roman" w:cs="Times New Roman"/>
          <w:color w:val="000000" w:themeColor="text1"/>
          <w:lang w:val="es-EC"/>
        </w:rPr>
        <w:t>(3), 349–355. https://doi.org/10.1111/btp.12290</w:t>
      </w:r>
    </w:p>
    <w:p w14:paraId="660A3866"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lang w:val="es-EC"/>
        </w:rPr>
        <w:t xml:space="preserve">Pocock, M. J. O., Evans, D. M., &amp; Memmott, J. (2012). </w:t>
      </w:r>
      <w:r w:rsidRPr="00860547">
        <w:rPr>
          <w:rFonts w:ascii="Times New Roman" w:hAnsi="Times New Roman" w:cs="Times New Roman"/>
          <w:color w:val="000000" w:themeColor="text1"/>
        </w:rPr>
        <w:t xml:space="preserve">The Robustness and Restoration of a Network of Ecological Networks. </w:t>
      </w:r>
      <w:r w:rsidRPr="00860547">
        <w:rPr>
          <w:rFonts w:ascii="Times New Roman" w:hAnsi="Times New Roman" w:cs="Times New Roman"/>
          <w:i/>
          <w:iCs/>
          <w:color w:val="000000" w:themeColor="text1"/>
          <w:lang w:val="es-EC"/>
        </w:rPr>
        <w:t>Science</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335</w:t>
      </w:r>
      <w:r w:rsidRPr="00860547">
        <w:rPr>
          <w:rFonts w:ascii="Times New Roman" w:hAnsi="Times New Roman" w:cs="Times New Roman"/>
          <w:color w:val="000000" w:themeColor="text1"/>
          <w:lang w:val="es-EC"/>
        </w:rPr>
        <w:t>(6071), 973–977. https://doi.org/10.1126/science.1214915</w:t>
      </w:r>
    </w:p>
    <w:p w14:paraId="31227B58"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Poorter, L., Amissah, L., Bongers, F., Hordijk, I., Kok, J., Laurance, S. G. W., Lohbeck, M., Martínez‐Ramos, M., Matsuo, T., Meave, J. A., Muñoz, R., Peña‐Claros, M., &amp; Van Der Sande, M. T. (2023). </w:t>
      </w:r>
      <w:r w:rsidRPr="00860547">
        <w:rPr>
          <w:rFonts w:ascii="Times New Roman" w:hAnsi="Times New Roman" w:cs="Times New Roman"/>
          <w:color w:val="000000" w:themeColor="text1"/>
        </w:rPr>
        <w:t xml:space="preserve">Successional theories. </w:t>
      </w:r>
      <w:r w:rsidRPr="00860547">
        <w:rPr>
          <w:rFonts w:ascii="Times New Roman" w:hAnsi="Times New Roman" w:cs="Times New Roman"/>
          <w:i/>
          <w:iCs/>
          <w:color w:val="000000" w:themeColor="text1"/>
        </w:rPr>
        <w:t>Biological Reviews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98</w:t>
      </w:r>
      <w:r w:rsidRPr="00860547">
        <w:rPr>
          <w:rFonts w:ascii="Times New Roman" w:hAnsi="Times New Roman" w:cs="Times New Roman"/>
          <w:color w:val="000000" w:themeColor="text1"/>
        </w:rPr>
        <w:t>(6), 2049–2077. https://doi.org/10.1111/brv.12995</w:t>
      </w:r>
    </w:p>
    <w:p w14:paraId="12E2B417"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lastRenderedPageBreak/>
        <w:t xml:space="preserve">Ramsey, M. W. (1988). Differences in pollinator effectiveness of birds and insects visiting Banksia menziesii (Proteaceae). </w:t>
      </w:r>
      <w:r w:rsidRPr="00860547">
        <w:rPr>
          <w:rFonts w:ascii="Times New Roman" w:hAnsi="Times New Roman" w:cs="Times New Roman"/>
          <w:i/>
          <w:iCs/>
          <w:color w:val="000000" w:themeColor="text1"/>
        </w:rPr>
        <w:t>Oecologia</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76</w:t>
      </w:r>
      <w:r w:rsidRPr="00860547">
        <w:rPr>
          <w:rFonts w:ascii="Times New Roman" w:hAnsi="Times New Roman" w:cs="Times New Roman"/>
          <w:color w:val="000000" w:themeColor="text1"/>
        </w:rPr>
        <w:t>(1), 119–124. https://doi.org/10.1007/BF00379609</w:t>
      </w:r>
    </w:p>
    <w:p w14:paraId="1E239705"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Rehm, E. M., Chojnacki, J., Rogers, H. S., &amp; Savidge, J. A. (2018). Differences among avian frugivores in seed dispersal to degraded habitats. </w:t>
      </w:r>
      <w:r w:rsidRPr="00860547">
        <w:rPr>
          <w:rFonts w:ascii="Times New Roman" w:hAnsi="Times New Roman" w:cs="Times New Roman"/>
          <w:i/>
          <w:iCs/>
          <w:color w:val="000000" w:themeColor="text1"/>
        </w:rPr>
        <w:t>RESTORATION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26</w:t>
      </w:r>
      <w:r w:rsidRPr="00860547">
        <w:rPr>
          <w:rFonts w:ascii="Times New Roman" w:hAnsi="Times New Roman" w:cs="Times New Roman"/>
          <w:color w:val="000000" w:themeColor="text1"/>
        </w:rPr>
        <w:t>(4), 760–766. https://doi.org/10.1111/rec.12623</w:t>
      </w:r>
    </w:p>
    <w:p w14:paraId="56656B4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Reid, J. L., Holste, E. K., &amp; Zahawi, R. A. (2013). Artificial bat roosts did not accelerate forest regeneration in abandoned pastures in southern Costa Rica. </w:t>
      </w:r>
      <w:r w:rsidRPr="00860547">
        <w:rPr>
          <w:rFonts w:ascii="Times New Roman" w:hAnsi="Times New Roman" w:cs="Times New Roman"/>
          <w:i/>
          <w:iCs/>
          <w:color w:val="000000" w:themeColor="text1"/>
        </w:rPr>
        <w:t>Biological Conservation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167</w:t>
      </w:r>
      <w:r w:rsidRPr="00860547">
        <w:rPr>
          <w:rFonts w:ascii="Times New Roman" w:hAnsi="Times New Roman" w:cs="Times New Roman"/>
          <w:color w:val="000000" w:themeColor="text1"/>
        </w:rPr>
        <w:t>, 9–16. https://doi.org/10.1016/j.biocon.2013.06.026</w:t>
      </w:r>
    </w:p>
    <w:p w14:paraId="0BD1D2DF"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Reyer, C. P. O., Brouwers, N., Rammig, A., Brook, B. W., Epila, J., Grant, R. F., Holmgren, M., Langerwisch, F., Leuzinger, S., Lucht, W., Medlyn, B., Pfeifer, M., Steinkamp, J., Vanderwel, M. C., Verbeeck, H., &amp; Villela, D. M. (2015). Forest resilience and tipping points at different spatio‐temporal scales: Approaches and challenges. </w:t>
      </w:r>
      <w:r w:rsidRPr="00860547">
        <w:rPr>
          <w:rFonts w:ascii="Times New Roman" w:hAnsi="Times New Roman" w:cs="Times New Roman"/>
          <w:i/>
          <w:iCs/>
          <w:color w:val="000000" w:themeColor="text1"/>
        </w:rPr>
        <w:t>Journal of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103</w:t>
      </w:r>
      <w:r w:rsidRPr="00860547">
        <w:rPr>
          <w:rFonts w:ascii="Times New Roman" w:hAnsi="Times New Roman" w:cs="Times New Roman"/>
          <w:color w:val="000000" w:themeColor="text1"/>
        </w:rPr>
        <w:t>(1), 5–15. https://doi.org/10.1111/1365-2745.12337</w:t>
      </w:r>
    </w:p>
    <w:p w14:paraId="0B937873"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Robinson, S. K., &amp; Terborgh, J. (1997). Bird Community Dynamics along Primary Successional Gradients of an Amazonian Whitewater River. </w:t>
      </w:r>
      <w:r w:rsidRPr="00860547">
        <w:rPr>
          <w:rFonts w:ascii="Times New Roman" w:hAnsi="Times New Roman" w:cs="Times New Roman"/>
          <w:i/>
          <w:iCs/>
          <w:color w:val="000000" w:themeColor="text1"/>
        </w:rPr>
        <w:t>Ornithological Monographs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48</w:t>
      </w:r>
      <w:r w:rsidRPr="00860547">
        <w:rPr>
          <w:rFonts w:ascii="Times New Roman" w:hAnsi="Times New Roman" w:cs="Times New Roman"/>
          <w:color w:val="000000" w:themeColor="text1"/>
        </w:rPr>
        <w:t>, 641–672. https://doi.org/10.2307/40157559</w:t>
      </w:r>
    </w:p>
    <w:p w14:paraId="33809989"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Schupp, E. W., Jordano, P., &amp; Gómez, J. M. (2010). Seed dispersal effectiveness revisited: A conceptual review. </w:t>
      </w:r>
      <w:r w:rsidRPr="00860547">
        <w:rPr>
          <w:rFonts w:ascii="Times New Roman" w:hAnsi="Times New Roman" w:cs="Times New Roman"/>
          <w:i/>
          <w:iCs/>
          <w:color w:val="000000" w:themeColor="text1"/>
        </w:rPr>
        <w:t>New Phytologist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188</w:t>
      </w:r>
      <w:r w:rsidRPr="00860547">
        <w:rPr>
          <w:rFonts w:ascii="Times New Roman" w:hAnsi="Times New Roman" w:cs="Times New Roman"/>
          <w:color w:val="000000" w:themeColor="text1"/>
        </w:rPr>
        <w:t>(2), 333–353. https://doi.org/10.1111/j.1469-8137.2010.03402.x</w:t>
      </w:r>
    </w:p>
    <w:p w14:paraId="678EFAB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Soepadmo, E. (1993). Tropical rain forests as carbon sinks. </w:t>
      </w:r>
      <w:r w:rsidRPr="00860547">
        <w:rPr>
          <w:rFonts w:ascii="Times New Roman" w:hAnsi="Times New Roman" w:cs="Times New Roman"/>
          <w:i/>
          <w:iCs/>
          <w:color w:val="000000" w:themeColor="text1"/>
        </w:rPr>
        <w:t>Chemosphere</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27</w:t>
      </w:r>
      <w:r w:rsidRPr="00860547">
        <w:rPr>
          <w:rFonts w:ascii="Times New Roman" w:hAnsi="Times New Roman" w:cs="Times New Roman"/>
          <w:color w:val="000000" w:themeColor="text1"/>
        </w:rPr>
        <w:t>(6), 1025–1039. https://doi.org/10.1016/0045-6535(93)90066-E</w:t>
      </w:r>
    </w:p>
    <w:p w14:paraId="7335A93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Stoner, K. E., Riba‐Hernández, P., Vulinec, K., &amp; Lambert, J. E. (2007). The Role of Mammals in Creating and Modifying Seedshadows in Tropical Forests and Some Possible Consequences of Their Elimination. </w:t>
      </w:r>
      <w:r w:rsidRPr="00860547">
        <w:rPr>
          <w:rFonts w:ascii="Times New Roman" w:hAnsi="Times New Roman" w:cs="Times New Roman"/>
          <w:i/>
          <w:iCs/>
          <w:color w:val="000000" w:themeColor="text1"/>
        </w:rPr>
        <w:t>Biotropica</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39</w:t>
      </w:r>
      <w:r w:rsidRPr="00860547">
        <w:rPr>
          <w:rFonts w:ascii="Times New Roman" w:hAnsi="Times New Roman" w:cs="Times New Roman"/>
          <w:color w:val="000000" w:themeColor="text1"/>
        </w:rPr>
        <w:t>(3), 316–327. https://doi.org/10.1111/j.1744-7429.2007.00292.x</w:t>
      </w:r>
    </w:p>
    <w:p w14:paraId="6CAA1958"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Stratford, J. A., &amp; Stouffer, P. C. (2015). Forest fragmentation alters microhabitat availability for Neotropical terrestrial insectivorous birds. </w:t>
      </w:r>
      <w:r w:rsidRPr="00860547">
        <w:rPr>
          <w:rFonts w:ascii="Times New Roman" w:hAnsi="Times New Roman" w:cs="Times New Roman"/>
          <w:i/>
          <w:iCs/>
          <w:color w:val="000000" w:themeColor="text1"/>
          <w:lang w:val="es-EC"/>
        </w:rPr>
        <w:t>Biological Conservation</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188</w:t>
      </w:r>
      <w:r w:rsidRPr="00860547">
        <w:rPr>
          <w:rFonts w:ascii="Times New Roman" w:hAnsi="Times New Roman" w:cs="Times New Roman"/>
          <w:color w:val="000000" w:themeColor="text1"/>
          <w:lang w:val="es-EC"/>
        </w:rPr>
        <w:t>, 109–115. https://doi.org/10.1016/j.biocon.2015.01.017</w:t>
      </w:r>
    </w:p>
    <w:p w14:paraId="549B27CC"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Valiente‐Banuet, A., Aizen, M. A., Alcántara, J. M., Arroyo, J., Cocucci, A., Galetti, M., García, M. B., García, D., Gómez, J. M., Jordano, P., Medel, R., Navarro, L., Obeso, J. R., </w:t>
      </w:r>
      <w:r w:rsidRPr="00860547">
        <w:rPr>
          <w:rFonts w:ascii="Times New Roman" w:hAnsi="Times New Roman" w:cs="Times New Roman"/>
          <w:color w:val="000000" w:themeColor="text1"/>
          <w:lang w:val="es-EC"/>
        </w:rPr>
        <w:lastRenderedPageBreak/>
        <w:t xml:space="preserve">Oviedo, R., Ramírez, N., Rey, P. J., Traveset, A., Verdú, M., &amp; Zamora, R. (2015). </w:t>
      </w:r>
      <w:r w:rsidRPr="00860547">
        <w:rPr>
          <w:rFonts w:ascii="Times New Roman" w:hAnsi="Times New Roman" w:cs="Times New Roman"/>
          <w:color w:val="000000" w:themeColor="text1"/>
        </w:rPr>
        <w:t xml:space="preserve">Beyond species loss: The extinction of ecological interactions in a changing world. </w:t>
      </w:r>
      <w:r w:rsidRPr="00860547">
        <w:rPr>
          <w:rFonts w:ascii="Times New Roman" w:hAnsi="Times New Roman" w:cs="Times New Roman"/>
          <w:i/>
          <w:iCs/>
          <w:color w:val="000000" w:themeColor="text1"/>
        </w:rPr>
        <w:t>Functional Ecology</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29</w:t>
      </w:r>
      <w:r w:rsidRPr="00860547">
        <w:rPr>
          <w:rFonts w:ascii="Times New Roman" w:hAnsi="Times New Roman" w:cs="Times New Roman"/>
          <w:color w:val="000000" w:themeColor="text1"/>
        </w:rPr>
        <w:t>(3), 299–307. https://doi.org/10.1111/1365-2435.12356</w:t>
      </w:r>
    </w:p>
    <w:p w14:paraId="5F52AD6D" w14:textId="77777777" w:rsidR="00860547" w:rsidRPr="00860547" w:rsidRDefault="00860547" w:rsidP="00860547">
      <w:pPr>
        <w:pStyle w:val="Bibliography"/>
        <w:spacing w:before="0" w:line="360" w:lineRule="auto"/>
        <w:rPr>
          <w:rFonts w:ascii="Times New Roman" w:hAnsi="Times New Roman" w:cs="Times New Roman"/>
          <w:color w:val="000000" w:themeColor="text1"/>
          <w:lang w:val="es-EC"/>
        </w:rPr>
      </w:pPr>
      <w:r w:rsidRPr="00860547">
        <w:rPr>
          <w:rFonts w:ascii="Times New Roman" w:hAnsi="Times New Roman" w:cs="Times New Roman"/>
          <w:color w:val="000000" w:themeColor="text1"/>
        </w:rPr>
        <w:t xml:space="preserve">Walter, S. T., Browne, L., Freile, J., Olivo, J., González, M., &amp; Karubian, J. (2017). Landscape‐level tree cover predicts species richness of large‐bodied frugivorous birds in forest fragments. </w:t>
      </w:r>
      <w:r w:rsidRPr="00860547">
        <w:rPr>
          <w:rFonts w:ascii="Times New Roman" w:hAnsi="Times New Roman" w:cs="Times New Roman"/>
          <w:i/>
          <w:iCs/>
          <w:color w:val="000000" w:themeColor="text1"/>
          <w:lang w:val="es-EC"/>
        </w:rPr>
        <w:t>Biotropica</w:t>
      </w:r>
      <w:r w:rsidRPr="00860547">
        <w:rPr>
          <w:rFonts w:ascii="Times New Roman" w:hAnsi="Times New Roman" w:cs="Times New Roman"/>
          <w:color w:val="000000" w:themeColor="text1"/>
          <w:lang w:val="es-EC"/>
        </w:rPr>
        <w:t xml:space="preserve">, </w:t>
      </w:r>
      <w:r w:rsidRPr="00860547">
        <w:rPr>
          <w:rFonts w:ascii="Times New Roman" w:hAnsi="Times New Roman" w:cs="Times New Roman"/>
          <w:i/>
          <w:iCs/>
          <w:color w:val="000000" w:themeColor="text1"/>
          <w:lang w:val="es-EC"/>
        </w:rPr>
        <w:t>49</w:t>
      </w:r>
      <w:r w:rsidRPr="00860547">
        <w:rPr>
          <w:rFonts w:ascii="Times New Roman" w:hAnsi="Times New Roman" w:cs="Times New Roman"/>
          <w:color w:val="000000" w:themeColor="text1"/>
          <w:lang w:val="es-EC"/>
        </w:rPr>
        <w:t>(6), 838–847. https://doi.org/10.1111/btp.12469</w:t>
      </w:r>
    </w:p>
    <w:p w14:paraId="01D41328"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lang w:val="es-EC"/>
        </w:rPr>
        <w:t xml:space="preserve">Wang, B. C., &amp; Smith, T. B. (2002). </w:t>
      </w:r>
      <w:r w:rsidRPr="00860547">
        <w:rPr>
          <w:rFonts w:ascii="Times New Roman" w:hAnsi="Times New Roman" w:cs="Times New Roman"/>
          <w:color w:val="000000" w:themeColor="text1"/>
        </w:rPr>
        <w:t xml:space="preserve">Closing the seed dispersal loop. </w:t>
      </w:r>
      <w:r w:rsidRPr="00860547">
        <w:rPr>
          <w:rFonts w:ascii="Times New Roman" w:hAnsi="Times New Roman" w:cs="Times New Roman"/>
          <w:i/>
          <w:iCs/>
          <w:color w:val="000000" w:themeColor="text1"/>
        </w:rPr>
        <w:t>Trends in Ecology &amp; Evolution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17</w:t>
      </w:r>
      <w:r w:rsidRPr="00860547">
        <w:rPr>
          <w:rFonts w:ascii="Times New Roman" w:hAnsi="Times New Roman" w:cs="Times New Roman"/>
          <w:color w:val="000000" w:themeColor="text1"/>
        </w:rPr>
        <w:t>(8), 379–386. https://doi.org/10.1016/S0169-5347(02)02541-7</w:t>
      </w:r>
    </w:p>
    <w:p w14:paraId="3FEF8FDE"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Wenny, D. G., &amp; Levey, D. J. (1998). Directed seed dispersal by bellbirds in a tropical cloud forest. </w:t>
      </w:r>
      <w:r w:rsidRPr="00860547">
        <w:rPr>
          <w:rFonts w:ascii="Times New Roman" w:hAnsi="Times New Roman" w:cs="Times New Roman"/>
          <w:i/>
          <w:iCs/>
          <w:color w:val="000000" w:themeColor="text1"/>
        </w:rPr>
        <w:t>Proceedings of the National Academy of Sciences</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95</w:t>
      </w:r>
      <w:r w:rsidRPr="00860547">
        <w:rPr>
          <w:rFonts w:ascii="Times New Roman" w:hAnsi="Times New Roman" w:cs="Times New Roman"/>
          <w:color w:val="000000" w:themeColor="text1"/>
        </w:rPr>
        <w:t>(11), 6204–6207. https://doi.org/10.1073/pnas.95.11.6204</w:t>
      </w:r>
    </w:p>
    <w:p w14:paraId="646F032D"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Woods, W. I., Teixeira, W. G., Lehmann, J., Steiner, C., WinklerPrins, A., &amp; Rebellato, L. (Eds.). (2009). </w:t>
      </w:r>
      <w:r w:rsidRPr="00860547">
        <w:rPr>
          <w:rFonts w:ascii="Times New Roman" w:hAnsi="Times New Roman" w:cs="Times New Roman"/>
          <w:i/>
          <w:iCs/>
          <w:color w:val="000000" w:themeColor="text1"/>
        </w:rPr>
        <w:t>Amazonian Dark Earths: Wim Sombroek’s Vision</w:t>
      </w:r>
      <w:r w:rsidRPr="00860547">
        <w:rPr>
          <w:rFonts w:ascii="Times New Roman" w:hAnsi="Times New Roman" w:cs="Times New Roman"/>
          <w:color w:val="000000" w:themeColor="text1"/>
        </w:rPr>
        <w:t>. Springer Netherlands. https://doi.org/10.1007/978-1-4020-9031-8</w:t>
      </w:r>
    </w:p>
    <w:p w14:paraId="11D9C9CA"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Wright, S. J. (2005). Tropical forests in a changing environment. </w:t>
      </w:r>
      <w:r w:rsidRPr="00860547">
        <w:rPr>
          <w:rFonts w:ascii="Times New Roman" w:hAnsi="Times New Roman" w:cs="Times New Roman"/>
          <w:i/>
          <w:iCs/>
          <w:color w:val="000000" w:themeColor="text1"/>
        </w:rPr>
        <w:t>Trends in Ecology &amp; Evolution</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20</w:t>
      </w:r>
      <w:r w:rsidRPr="00860547">
        <w:rPr>
          <w:rFonts w:ascii="Times New Roman" w:hAnsi="Times New Roman" w:cs="Times New Roman"/>
          <w:color w:val="000000" w:themeColor="text1"/>
        </w:rPr>
        <w:t>(10), 553–560. https://doi.org/10.1016/j.tree.2005.07.009</w:t>
      </w:r>
    </w:p>
    <w:p w14:paraId="6B1F0832" w14:textId="77777777" w:rsidR="00860547" w:rsidRPr="00860547" w:rsidRDefault="00860547" w:rsidP="00860547">
      <w:pPr>
        <w:pStyle w:val="Bibliography"/>
        <w:spacing w:before="0" w:line="360" w:lineRule="auto"/>
        <w:rPr>
          <w:rFonts w:ascii="Times New Roman" w:hAnsi="Times New Roman" w:cs="Times New Roman"/>
          <w:color w:val="000000" w:themeColor="text1"/>
        </w:rPr>
      </w:pPr>
      <w:r w:rsidRPr="00860547">
        <w:rPr>
          <w:rFonts w:ascii="Times New Roman" w:hAnsi="Times New Roman" w:cs="Times New Roman"/>
          <w:color w:val="000000" w:themeColor="text1"/>
        </w:rPr>
        <w:t xml:space="preserve">Wunderle, J. M. (1997). The role of animal seed dispersal in accelerating native forest regeneration on degraded tropical lands. </w:t>
      </w:r>
      <w:r w:rsidRPr="00860547">
        <w:rPr>
          <w:rFonts w:ascii="Times New Roman" w:hAnsi="Times New Roman" w:cs="Times New Roman"/>
          <w:i/>
          <w:iCs/>
          <w:color w:val="000000" w:themeColor="text1"/>
        </w:rPr>
        <w:t>Forest Ecology and Management</w:t>
      </w:r>
      <w:r w:rsidRPr="00860547">
        <w:rPr>
          <w:rFonts w:ascii="Times New Roman" w:hAnsi="Times New Roman" w:cs="Times New Roman"/>
          <w:color w:val="000000" w:themeColor="text1"/>
        </w:rPr>
        <w:t xml:space="preserve">, </w:t>
      </w:r>
      <w:r w:rsidRPr="00860547">
        <w:rPr>
          <w:rFonts w:ascii="Times New Roman" w:hAnsi="Times New Roman" w:cs="Times New Roman"/>
          <w:i/>
          <w:iCs/>
          <w:color w:val="000000" w:themeColor="text1"/>
        </w:rPr>
        <w:t>99</w:t>
      </w:r>
      <w:r w:rsidRPr="00860547">
        <w:rPr>
          <w:rFonts w:ascii="Times New Roman" w:hAnsi="Times New Roman" w:cs="Times New Roman"/>
          <w:color w:val="000000" w:themeColor="text1"/>
        </w:rPr>
        <w:t>(1–2), 223–235. https://doi.org/10.1016/S0378-1127(97)00208-9</w:t>
      </w:r>
    </w:p>
    <w:p w14:paraId="7B2E93A9" w14:textId="208A60C0" w:rsidR="00E34F61" w:rsidRPr="00453348" w:rsidRDefault="00860547" w:rsidP="00860547">
      <w:pPr>
        <w:pStyle w:val="Bibliography"/>
        <w:spacing w:before="0" w:line="360" w:lineRule="auto"/>
        <w:rPr>
          <w:rFonts w:ascii="Times New Roman" w:hAnsi="Times New Roman" w:cs="Times New Roman"/>
        </w:rPr>
      </w:pPr>
      <w:r w:rsidRPr="00860547">
        <w:rPr>
          <w:rFonts w:ascii="Times New Roman" w:hAnsi="Times New Roman" w:cs="Times New Roman"/>
          <w:color w:val="000000" w:themeColor="text1"/>
        </w:rPr>
        <w:fldChar w:fldCharType="end"/>
      </w:r>
      <w:r w:rsidR="00E34F61" w:rsidRPr="00B066C6">
        <w:rPr>
          <w:rFonts w:ascii="Times New Roman" w:hAnsi="Times New Roman" w:cs="Times New Roman"/>
          <w:b/>
          <w:bCs/>
          <w:shd w:val="clear" w:color="auto" w:fill="FFFFFF"/>
        </w:rPr>
        <w:br w:type="page"/>
      </w:r>
    </w:p>
    <w:p w14:paraId="185ABC0D" w14:textId="3370A146" w:rsidR="00661E21" w:rsidRPr="00D77075" w:rsidRDefault="00997C1E" w:rsidP="00BA0A2D">
      <w:pPr>
        <w:pStyle w:val="Heading1"/>
        <w:jc w:val="center"/>
        <w:rPr>
          <w:rFonts w:ascii="Times New Roman" w:hAnsi="Times New Roman" w:cs="Times New Roman"/>
          <w:b/>
          <w:bCs/>
          <w:color w:val="auto"/>
          <w:sz w:val="24"/>
          <w:szCs w:val="24"/>
          <w:shd w:val="clear" w:color="auto" w:fill="FFFFFF"/>
        </w:rPr>
      </w:pPr>
      <w:bookmarkStart w:id="53" w:name="_Toc195189606"/>
      <w:r w:rsidRPr="00D77075">
        <w:rPr>
          <w:rFonts w:ascii="Times New Roman" w:hAnsi="Times New Roman" w:cs="Times New Roman"/>
          <w:b/>
          <w:bCs/>
          <w:color w:val="auto"/>
          <w:sz w:val="24"/>
          <w:szCs w:val="24"/>
          <w:shd w:val="clear" w:color="auto" w:fill="FFFFFF"/>
        </w:rPr>
        <w:lastRenderedPageBreak/>
        <w:t xml:space="preserve">Chapter </w:t>
      </w:r>
      <w:r w:rsidR="00100985" w:rsidRPr="00D77075">
        <w:rPr>
          <w:rFonts w:ascii="Times New Roman" w:hAnsi="Times New Roman" w:cs="Times New Roman"/>
          <w:b/>
          <w:bCs/>
          <w:color w:val="auto"/>
          <w:sz w:val="24"/>
          <w:szCs w:val="24"/>
          <w:shd w:val="clear" w:color="auto" w:fill="FFFFFF"/>
        </w:rPr>
        <w:t>1</w:t>
      </w:r>
      <w:r w:rsidRPr="00D77075">
        <w:rPr>
          <w:rFonts w:ascii="Times New Roman" w:hAnsi="Times New Roman" w:cs="Times New Roman"/>
          <w:b/>
          <w:bCs/>
          <w:color w:val="auto"/>
          <w:sz w:val="24"/>
          <w:szCs w:val="24"/>
          <w:shd w:val="clear" w:color="auto" w:fill="FFFFFF"/>
        </w:rPr>
        <w:t>:</w:t>
      </w:r>
      <w:r w:rsidR="0083754D" w:rsidRPr="00D77075">
        <w:rPr>
          <w:rFonts w:ascii="Times New Roman" w:hAnsi="Times New Roman" w:cs="Times New Roman"/>
          <w:b/>
          <w:bCs/>
          <w:color w:val="auto"/>
          <w:sz w:val="24"/>
          <w:szCs w:val="24"/>
          <w:shd w:val="clear" w:color="auto" w:fill="FFFFFF"/>
        </w:rPr>
        <w:t xml:space="preserve"> </w:t>
      </w:r>
      <w:r w:rsidR="00661E21" w:rsidRPr="00D77075">
        <w:rPr>
          <w:rFonts w:ascii="Times New Roman" w:hAnsi="Times New Roman" w:cs="Times New Roman"/>
          <w:b/>
          <w:bCs/>
          <w:color w:val="auto"/>
          <w:sz w:val="24"/>
          <w:szCs w:val="24"/>
          <w:shd w:val="clear" w:color="auto" w:fill="FFFFFF"/>
        </w:rPr>
        <w:t>Seeding Success</w:t>
      </w:r>
      <w:r w:rsidRPr="00D77075">
        <w:rPr>
          <w:rFonts w:ascii="Times New Roman" w:hAnsi="Times New Roman" w:cs="Times New Roman"/>
          <w:b/>
          <w:bCs/>
          <w:color w:val="auto"/>
          <w:sz w:val="24"/>
          <w:szCs w:val="24"/>
          <w:shd w:val="clear" w:color="auto" w:fill="FFFFFF"/>
        </w:rPr>
        <w:t xml:space="preserve"> -</w:t>
      </w:r>
      <w:r w:rsidR="00661E21" w:rsidRPr="00D77075">
        <w:rPr>
          <w:rFonts w:ascii="Times New Roman" w:hAnsi="Times New Roman" w:cs="Times New Roman"/>
          <w:b/>
          <w:bCs/>
          <w:color w:val="auto"/>
          <w:sz w:val="24"/>
          <w:szCs w:val="24"/>
          <w:shd w:val="clear" w:color="auto" w:fill="FFFFFF"/>
        </w:rPr>
        <w:t xml:space="preserve"> Integrating seed dispersal networks in tropical forest restoration</w:t>
      </w:r>
      <w:bookmarkEnd w:id="53"/>
    </w:p>
    <w:p w14:paraId="6BECFB30" w14:textId="77777777" w:rsidR="00661E21" w:rsidRPr="00D77075" w:rsidRDefault="00661E21" w:rsidP="00D77075">
      <w:pPr>
        <w:jc w:val="center"/>
        <w:rPr>
          <w:rFonts w:ascii="Times New Roman" w:hAnsi="Times New Roman" w:cs="Times New Roman"/>
        </w:rPr>
      </w:pPr>
      <w:r w:rsidRPr="00D77075">
        <w:rPr>
          <w:rFonts w:ascii="Times New Roman" w:hAnsi="Times New Roman" w:cs="Times New Roman"/>
        </w:rPr>
        <w:br w:type="page"/>
      </w:r>
    </w:p>
    <w:p w14:paraId="7D6D50AD" w14:textId="77777777" w:rsidR="00661E21" w:rsidRPr="00B066C6" w:rsidRDefault="00661E21" w:rsidP="00D77075">
      <w:pPr>
        <w:spacing w:before="0" w:after="0"/>
        <w:rPr>
          <w:rFonts w:ascii="Times New Roman" w:hAnsi="Times New Roman" w:cs="Times New Roman"/>
        </w:rPr>
      </w:pPr>
      <w:r w:rsidRPr="00B066C6">
        <w:rPr>
          <w:rFonts w:ascii="Times New Roman" w:hAnsi="Times New Roman" w:cs="Times New Roman"/>
        </w:rPr>
        <w:lastRenderedPageBreak/>
        <w:t>A version of this chapter was originally published by Nicole M. Lussier at:</w:t>
      </w:r>
    </w:p>
    <w:p w14:paraId="5D2109C7" w14:textId="77777777" w:rsidR="00D77075"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Lussier, N. M., Crafford, R. E., Reid, J. L., &amp; Kwit, C. (2024). Seeding success: Integrating seed dispersal networks in tropical forest restoration. </w:t>
      </w:r>
      <w:r w:rsidRPr="00B066C6">
        <w:rPr>
          <w:rFonts w:ascii="Times New Roman" w:hAnsi="Times New Roman" w:cs="Times New Roman"/>
          <w:i/>
          <w:iCs/>
        </w:rPr>
        <w:t>Biotropica</w:t>
      </w:r>
      <w:r w:rsidRPr="00B066C6">
        <w:rPr>
          <w:rFonts w:ascii="Times New Roman" w:hAnsi="Times New Roman" w:cs="Times New Roman"/>
        </w:rPr>
        <w:t xml:space="preserve">, e13347. </w:t>
      </w:r>
    </w:p>
    <w:p w14:paraId="470AFB3F" w14:textId="47D8A439" w:rsidR="00662328" w:rsidRPr="00D77075" w:rsidRDefault="00D77075" w:rsidP="00D77075">
      <w:pPr>
        <w:spacing w:before="0" w:after="0"/>
        <w:rPr>
          <w:rFonts w:ascii="Times New Roman" w:hAnsi="Times New Roman" w:cs="Times New Roman"/>
          <w:bCs/>
          <w:iCs/>
        </w:rPr>
      </w:pPr>
      <w:r w:rsidRPr="00D77075">
        <w:rPr>
          <w:rFonts w:ascii="Times New Roman" w:hAnsi="Times New Roman" w:cs="Times New Roman"/>
          <w:b/>
          <w:bCs/>
        </w:rPr>
        <w:t>Author Contributions</w:t>
      </w:r>
      <w:r w:rsidR="00661E21" w:rsidRPr="00D77075">
        <w:rPr>
          <w:rFonts w:ascii="Times New Roman" w:hAnsi="Times New Roman" w:cs="Times New Roman"/>
          <w:b/>
          <w:iCs/>
        </w:rPr>
        <w:t>:</w:t>
      </w:r>
      <w:r w:rsidR="00661E21" w:rsidRPr="00B066C6">
        <w:rPr>
          <w:rFonts w:ascii="Times New Roman" w:hAnsi="Times New Roman" w:cs="Times New Roman"/>
          <w:b/>
          <w:iCs/>
        </w:rPr>
        <w:t xml:space="preserve"> </w:t>
      </w:r>
      <w:r w:rsidR="00661E21" w:rsidRPr="00B066C6">
        <w:rPr>
          <w:rFonts w:ascii="Times New Roman" w:hAnsi="Times New Roman" w:cs="Times New Roman"/>
          <w:bCs/>
          <w:iCs/>
        </w:rPr>
        <w:t>NML conceived the idea and designed the methodology; NML and REC collected and analyzed data. NML and REC wrote the manuscript. JLR and CK contributed to reviewing and editing manuscript drafts. CK oversaw the project.</w:t>
      </w:r>
    </w:p>
    <w:p w14:paraId="5580637C" w14:textId="25BB6D3D" w:rsidR="00661E21" w:rsidRPr="00B066C6" w:rsidRDefault="00C831ED" w:rsidP="00D77075">
      <w:pPr>
        <w:pStyle w:val="Heading2"/>
        <w:spacing w:before="0" w:after="0"/>
        <w:rPr>
          <w:rFonts w:ascii="Times New Roman" w:hAnsi="Times New Roman" w:cs="Times New Roman"/>
          <w:b/>
          <w:bCs/>
          <w:color w:val="auto"/>
          <w:sz w:val="24"/>
          <w:szCs w:val="24"/>
        </w:rPr>
      </w:pPr>
      <w:bookmarkStart w:id="54" w:name="_Toc195189607"/>
      <w:r w:rsidRPr="00B066C6">
        <w:rPr>
          <w:rFonts w:ascii="Times New Roman" w:hAnsi="Times New Roman" w:cs="Times New Roman"/>
          <w:b/>
          <w:bCs/>
          <w:color w:val="auto"/>
          <w:sz w:val="24"/>
          <w:szCs w:val="24"/>
        </w:rPr>
        <w:t>Abstract</w:t>
      </w:r>
      <w:bookmarkEnd w:id="54"/>
    </w:p>
    <w:p w14:paraId="397568E2" w14:textId="6F5C527E" w:rsidR="00661E21" w:rsidRPr="00B066C6" w:rsidRDefault="00661E21" w:rsidP="00D77075">
      <w:pPr>
        <w:spacing w:before="0" w:after="0"/>
        <w:ind w:firstLine="720"/>
        <w:rPr>
          <w:rFonts w:ascii="Times New Roman" w:hAnsi="Times New Roman" w:cs="Times New Roman"/>
          <w:color w:val="000000"/>
        </w:rPr>
      </w:pPr>
      <w:r w:rsidRPr="00B066C6">
        <w:rPr>
          <w:rFonts w:ascii="Times New Roman" w:hAnsi="Times New Roman" w:cs="Times New Roman"/>
        </w:rPr>
        <w:t xml:space="preserve">While the reassembly of fruit-frugivore interactions remains at the forefront of tropical forest restoration, seed dispersal networks emerge as a potential approach to enhance restoration success. This review explores the integration of seed dispersal networks in tropical forest restoration, with the aims of (1) synthesizing important findings in the literature, (2) detailing potential biases in utilizing network theory, and (3) addressing current knowledge gaps and future directions for the field. We first highlight the importance of combining phytocentric and zoocentric approaches when sampling for seed dispersal interactions, as different methodologies have varying effects on network measures and combining approaches can foster a more comprehensive understanding of dispersal interactions. Furthermore, when integrating seed dispersal networks to restoration goals, we suggest </w:t>
      </w:r>
      <w:r w:rsidRPr="00B066C6">
        <w:rPr>
          <w:rFonts w:ascii="Times New Roman" w:hAnsi="Times New Roman" w:cs="Times New Roman"/>
          <w:highlight w:val="white"/>
        </w:rPr>
        <w:t xml:space="preserve">a </w:t>
      </w:r>
      <w:r w:rsidRPr="00B066C6">
        <w:rPr>
          <w:rFonts w:ascii="Times New Roman" w:hAnsi="Times New Roman" w:cs="Times New Roman"/>
        </w:rPr>
        <w:t>highly connected and species-rich network</w:t>
      </w:r>
      <w:r w:rsidRPr="00B066C6">
        <w:rPr>
          <w:rFonts w:ascii="Times New Roman" w:hAnsi="Times New Roman" w:cs="Times New Roman"/>
          <w:highlight w:val="white"/>
        </w:rPr>
        <w:t xml:space="preserve"> is desirable for earlier stages of forest succession where </w:t>
      </w:r>
      <w:r w:rsidRPr="00B066C6">
        <w:rPr>
          <w:rFonts w:ascii="Times New Roman" w:hAnsi="Times New Roman" w:cs="Times New Roman"/>
        </w:rPr>
        <w:t>community turnover and transient interactions are pivotal. Nested patterns may emerge throughout varying stages of forest succession, and identifying generalist species that make up nested patterns may be useful for restoration practi</w:t>
      </w:r>
      <w:r w:rsidR="00C021EA" w:rsidRPr="00B066C6">
        <w:rPr>
          <w:rFonts w:ascii="Times New Roman" w:hAnsi="Times New Roman" w:cs="Times New Roman"/>
        </w:rPr>
        <w:t>ti</w:t>
      </w:r>
      <w:r w:rsidRPr="00B066C6">
        <w:rPr>
          <w:rFonts w:ascii="Times New Roman" w:hAnsi="Times New Roman" w:cs="Times New Roman"/>
        </w:rPr>
        <w:t xml:space="preserve">oners in both early and later stages of forest regeneration. Modularity should be highest </w:t>
      </w:r>
      <w:r w:rsidRPr="00B066C6">
        <w:rPr>
          <w:rFonts w:ascii="Times New Roman" w:hAnsi="Times New Roman" w:cs="Times New Roman"/>
          <w:highlight w:val="white"/>
        </w:rPr>
        <w:t xml:space="preserve">at later successional stages of succession to maintain community structure and stability, and connector species may play important roles in facilitating seed dispersal across temporal scales. </w:t>
      </w:r>
      <w:r w:rsidRPr="00B066C6">
        <w:rPr>
          <w:rFonts w:ascii="Times New Roman" w:hAnsi="Times New Roman" w:cs="Times New Roman"/>
        </w:rPr>
        <w:t xml:space="preserve">Finally, we emphasize the importance of site-specific long-term datasets, chronosequences, and studies at large spatial scales to continue to </w:t>
      </w:r>
      <w:r w:rsidRPr="00B066C6">
        <w:rPr>
          <w:rFonts w:ascii="Times New Roman" w:hAnsi="Times New Roman" w:cs="Times New Roman"/>
          <w:highlight w:val="white"/>
        </w:rPr>
        <w:t xml:space="preserve">understand </w:t>
      </w:r>
      <w:r w:rsidRPr="00B066C6">
        <w:rPr>
          <w:rFonts w:ascii="Times New Roman" w:hAnsi="Times New Roman" w:cs="Times New Roman"/>
        </w:rPr>
        <w:t>network reassembly as a function of tropical forest succession</w:t>
      </w:r>
      <w:r w:rsidRPr="00B066C6">
        <w:rPr>
          <w:rFonts w:ascii="Times New Roman" w:hAnsi="Times New Roman" w:cs="Times New Roman"/>
          <w:highlight w:val="white"/>
        </w:rPr>
        <w:t xml:space="preserve"> </w:t>
      </w:r>
      <w:r w:rsidRPr="00B066C6">
        <w:rPr>
          <w:rFonts w:ascii="Times New Roman" w:hAnsi="Times New Roman" w:cs="Times New Roman"/>
        </w:rPr>
        <w:t xml:space="preserve">and to develop effective strategies that enhance the recovery of tropical forest ecosystems. </w:t>
      </w:r>
    </w:p>
    <w:p w14:paraId="684581F6" w14:textId="20625ED1" w:rsidR="00661E21" w:rsidRPr="00841570" w:rsidRDefault="00C831ED" w:rsidP="00D77075">
      <w:pPr>
        <w:pStyle w:val="Heading2"/>
        <w:spacing w:before="0" w:after="0"/>
        <w:rPr>
          <w:rFonts w:ascii="Times New Roman" w:hAnsi="Times New Roman" w:cs="Times New Roman"/>
          <w:b/>
          <w:bCs/>
          <w:color w:val="000000" w:themeColor="text1"/>
          <w:sz w:val="24"/>
          <w:szCs w:val="24"/>
        </w:rPr>
      </w:pPr>
      <w:bookmarkStart w:id="55" w:name="_Toc195189608"/>
      <w:r w:rsidRPr="00841570">
        <w:rPr>
          <w:rFonts w:ascii="Times New Roman" w:hAnsi="Times New Roman" w:cs="Times New Roman"/>
          <w:b/>
          <w:bCs/>
          <w:color w:val="000000" w:themeColor="text1"/>
          <w:sz w:val="24"/>
          <w:szCs w:val="24"/>
        </w:rPr>
        <w:t>Introduction</w:t>
      </w:r>
      <w:bookmarkEnd w:id="55"/>
    </w:p>
    <w:p w14:paraId="4D97AEBB" w14:textId="77777777" w:rsidR="00661E21" w:rsidRPr="00841570" w:rsidRDefault="00661E21" w:rsidP="00D77075">
      <w:pPr>
        <w:spacing w:before="0" w:after="0"/>
        <w:ind w:firstLine="720"/>
        <w:rPr>
          <w:rFonts w:ascii="Times New Roman" w:hAnsi="Times New Roman" w:cs="Times New Roman"/>
          <w:color w:val="000000" w:themeColor="text1"/>
        </w:rPr>
      </w:pPr>
      <w:r w:rsidRPr="00841570">
        <w:rPr>
          <w:rFonts w:ascii="Times New Roman" w:hAnsi="Times New Roman" w:cs="Times New Roman"/>
          <w:color w:val="000000" w:themeColor="text1"/>
        </w:rPr>
        <w:t xml:space="preserve">Tropical forest restoration is essential for achieving biodiversity and conservation goals, mitigating climate change, enhancing ecosystem services, and improving overall health and well-being for ecosystems and humans alike (Jørgensen, 2015; Nabhan et al., 2020; Simonson et al., </w:t>
      </w:r>
      <w:r w:rsidRPr="00841570">
        <w:rPr>
          <w:rFonts w:ascii="Times New Roman" w:hAnsi="Times New Roman" w:cs="Times New Roman"/>
          <w:color w:val="000000" w:themeColor="text1"/>
        </w:rPr>
        <w:lastRenderedPageBreak/>
        <w:t>2021). To assess the success of restoration, it is crucial to understand the functional recovery of an ecosystem in the context of how species interactions reassemble after a disturbance (</w:t>
      </w:r>
      <w:proofErr w:type="spellStart"/>
      <w:r w:rsidRPr="00841570">
        <w:rPr>
          <w:rFonts w:ascii="Times New Roman" w:hAnsi="Times New Roman" w:cs="Times New Roman"/>
          <w:color w:val="000000" w:themeColor="text1"/>
        </w:rPr>
        <w:t>Brockerhoff</w:t>
      </w:r>
      <w:proofErr w:type="spellEnd"/>
      <w:r w:rsidRPr="00841570">
        <w:rPr>
          <w:rFonts w:ascii="Times New Roman" w:hAnsi="Times New Roman" w:cs="Times New Roman"/>
          <w:color w:val="000000" w:themeColor="text1"/>
        </w:rPr>
        <w:t xml:space="preserve"> et al., 2017; Likens &amp; Lindenmayer, 2012; Moreno-Mateos et al., 2020). Interactions between species, such as animal-mediated seed dispersal, serve as the foundation for many critical ecosystem functions and are integral to forest continuity and the resilience of tropical ecosystems (</w:t>
      </w:r>
      <w:proofErr w:type="spellStart"/>
      <w:r w:rsidRPr="00841570">
        <w:rPr>
          <w:rFonts w:ascii="Times New Roman" w:hAnsi="Times New Roman" w:cs="Times New Roman"/>
          <w:color w:val="000000" w:themeColor="text1"/>
        </w:rPr>
        <w:t>Akçakaya</w:t>
      </w:r>
      <w:proofErr w:type="spellEnd"/>
      <w:r w:rsidRPr="00841570">
        <w:rPr>
          <w:rFonts w:ascii="Times New Roman" w:hAnsi="Times New Roman" w:cs="Times New Roman"/>
          <w:color w:val="000000" w:themeColor="text1"/>
        </w:rPr>
        <w:t xml:space="preserve"> et al., 2020; </w:t>
      </w:r>
      <w:proofErr w:type="spellStart"/>
      <w:r w:rsidRPr="00841570">
        <w:rPr>
          <w:rFonts w:ascii="Times New Roman" w:hAnsi="Times New Roman" w:cs="Times New Roman"/>
          <w:color w:val="000000" w:themeColor="text1"/>
        </w:rPr>
        <w:t>Brockerhoff</w:t>
      </w:r>
      <w:proofErr w:type="spellEnd"/>
      <w:r w:rsidRPr="00841570">
        <w:rPr>
          <w:rFonts w:ascii="Times New Roman" w:hAnsi="Times New Roman" w:cs="Times New Roman"/>
          <w:color w:val="000000" w:themeColor="text1"/>
        </w:rPr>
        <w:t xml:space="preserve"> et al., 2017). Ecological networks (Montoya et al. 2006) have proven to be a valuable framework for evaluating the role of species, their interactions, and the importance of emerging community structure on the stability of biological communities and ecosystem functions (Escribano-Avila et al., 2018; Timoteo et al., 2018, 2016; Howe, 2016; Jordano, 2016; </w:t>
      </w:r>
      <w:proofErr w:type="spellStart"/>
      <w:r w:rsidRPr="00841570">
        <w:rPr>
          <w:rFonts w:ascii="Times New Roman" w:hAnsi="Times New Roman" w:cs="Times New Roman"/>
          <w:color w:val="000000" w:themeColor="text1"/>
        </w:rPr>
        <w:t>Bascompte</w:t>
      </w:r>
      <w:proofErr w:type="spellEnd"/>
      <w:r w:rsidRPr="00841570">
        <w:rPr>
          <w:rFonts w:ascii="Times New Roman" w:hAnsi="Times New Roman" w:cs="Times New Roman"/>
          <w:color w:val="000000" w:themeColor="text1"/>
        </w:rPr>
        <w:t xml:space="preserve"> &amp; Jordano, 2007; Jordano, 1987). In recent years, there has been a push to integrate interaction networks into restoration ecology due to their unique insight into the ecological complexity between species, which could help ensure the recovery of functional ecosystems after environmental change (Howe, 2016; Moreno-Mateos et al., 2020). Without this critical lens, the restoration of tropical forest ecosystems could be jeopardized (Aerts &amp; </w:t>
      </w:r>
      <w:proofErr w:type="spellStart"/>
      <w:r w:rsidRPr="00841570">
        <w:rPr>
          <w:rFonts w:ascii="Times New Roman" w:hAnsi="Times New Roman" w:cs="Times New Roman"/>
          <w:color w:val="000000" w:themeColor="text1"/>
        </w:rPr>
        <w:t>Honnay</w:t>
      </w:r>
      <w:proofErr w:type="spellEnd"/>
      <w:r w:rsidRPr="00841570">
        <w:rPr>
          <w:rFonts w:ascii="Times New Roman" w:hAnsi="Times New Roman" w:cs="Times New Roman"/>
          <w:color w:val="000000" w:themeColor="text1"/>
        </w:rPr>
        <w:t>, 2011; Timoteo et al., 2016).</w:t>
      </w:r>
    </w:p>
    <w:p w14:paraId="71D3ECF0" w14:textId="77777777" w:rsidR="00264875" w:rsidRDefault="00661E21" w:rsidP="00D77075">
      <w:pPr>
        <w:spacing w:before="0" w:after="0"/>
        <w:ind w:firstLine="720"/>
        <w:rPr>
          <w:rFonts w:ascii="Times New Roman" w:hAnsi="Times New Roman" w:cs="Times New Roman"/>
          <w:color w:val="000000" w:themeColor="text1"/>
        </w:rPr>
      </w:pPr>
      <w:r w:rsidRPr="00841570">
        <w:rPr>
          <w:rFonts w:ascii="Times New Roman" w:hAnsi="Times New Roman" w:cs="Times New Roman"/>
          <w:color w:val="000000" w:themeColor="text1"/>
        </w:rPr>
        <w:t>Animal-mediated seed dispersal is a well-studied example of a mutualistic interaction that not only provides a fundamental ecosystem function and is instrumental in the conservation and restoration of ecosystems (Bakker et al., 1996; Howe, 2016; Howe &amp; Smallwood, 1982; Wunderle, 1997) but also has been conveyed in an ecological network framework. The dispersal of seeds away from parent plants is vital for the survival of plant species and promotes local regeneration and colonization of vacant habitats (Howe &amp; Smallwood, 1982). Animal-mediated seed dispersal also contributes to the genetic diversity of plants at both local and regional scales and is a driver of evolutionary dynamics in fruiting plants (</w:t>
      </w:r>
      <w:proofErr w:type="spellStart"/>
      <w:r w:rsidRPr="00841570">
        <w:rPr>
          <w:rFonts w:ascii="Times New Roman" w:hAnsi="Times New Roman" w:cs="Times New Roman"/>
          <w:color w:val="000000" w:themeColor="text1"/>
        </w:rPr>
        <w:t>Bascompte</w:t>
      </w:r>
      <w:proofErr w:type="spellEnd"/>
      <w:r w:rsidRPr="00841570">
        <w:rPr>
          <w:rFonts w:ascii="Times New Roman" w:hAnsi="Times New Roman" w:cs="Times New Roman"/>
          <w:color w:val="000000" w:themeColor="text1"/>
        </w:rPr>
        <w:t xml:space="preserve"> &amp; Jordano, 2007; Galetti et al., 2013). Animals that consume fruits (frugivores) and disperse those seeds are integral to this process, as the seeds of almost 85% of plant species in tropical zones are dispersed by animals (Howe &amp; Smallwood, 1982). Yet despite its importance, seed dispersal is the most threatened process of plant regeneration as seed-dispersing animals face numerous threats such as habitat loss and fragmentation through practices like illegal logging and unsustainable deforestation (Neuschulz et al., 2016). Fragmentation, deforestation, habitat loss, and hunting pressures can all lead to decreased fruit availability and plant diversity loss as more seed dispersers become compromised (Lambert, 2011). </w:t>
      </w:r>
    </w:p>
    <w:p w14:paraId="29EDCEC3" w14:textId="77777777" w:rsidR="00C509B1" w:rsidRDefault="00661E21" w:rsidP="00D77075">
      <w:pPr>
        <w:spacing w:before="0" w:after="0"/>
        <w:ind w:firstLine="720"/>
        <w:rPr>
          <w:rFonts w:ascii="Times New Roman" w:hAnsi="Times New Roman" w:cs="Times New Roman"/>
          <w:color w:val="000000" w:themeColor="text1"/>
        </w:rPr>
      </w:pPr>
      <w:r w:rsidRPr="00841570">
        <w:rPr>
          <w:rFonts w:ascii="Times New Roman" w:hAnsi="Times New Roman" w:cs="Times New Roman"/>
          <w:color w:val="000000" w:themeColor="text1"/>
        </w:rPr>
        <w:lastRenderedPageBreak/>
        <w:t>Interactions between plants and their seed-dispersing animal counterparts can be depicted as bipartite networks, whose vertices are divided into two distinct groups (Jordano, 1987, 2016). Individual species within a network are defined as nodes, and interactions between partners, such as those between plants and animals, are known as links (</w:t>
      </w:r>
      <w:proofErr w:type="spellStart"/>
      <w:r w:rsidRPr="00841570">
        <w:rPr>
          <w:rFonts w:ascii="Times New Roman" w:hAnsi="Times New Roman" w:cs="Times New Roman"/>
          <w:color w:val="000000" w:themeColor="text1"/>
        </w:rPr>
        <w:t>Blüthgen</w:t>
      </w:r>
      <w:proofErr w:type="spellEnd"/>
      <w:r w:rsidRPr="00841570">
        <w:rPr>
          <w:rFonts w:ascii="Times New Roman" w:hAnsi="Times New Roman" w:cs="Times New Roman"/>
          <w:color w:val="000000" w:themeColor="text1"/>
        </w:rPr>
        <w:t xml:space="preserve"> et al., 2006). Quantitatively, we can describe patterns of interactions between nodes and links using several different network-level measures or metrics, such as nestedness, specialization, connectance, and modularity. These metrics are inextricably connected to conservation and biodiversity goals (Howe, 2016) (</w:t>
      </w:r>
      <w:r w:rsidRPr="003022FF">
        <w:rPr>
          <w:rFonts w:ascii="Times New Roman" w:hAnsi="Times New Roman" w:cs="Times New Roman"/>
          <w:b/>
          <w:bCs/>
          <w:color w:val="000000" w:themeColor="text1"/>
        </w:rPr>
        <w:t>Table 1</w:t>
      </w:r>
      <w:r w:rsidRPr="00841570">
        <w:rPr>
          <w:rFonts w:ascii="Times New Roman" w:hAnsi="Times New Roman" w:cs="Times New Roman"/>
          <w:color w:val="000000" w:themeColor="text1"/>
        </w:rPr>
        <w:t>).  Furthermore, we can utilize species-level metrics, such as closeness centrality, to identify critical interactions or keystone species of plants and animals within a system (</w:t>
      </w:r>
      <w:r w:rsidRPr="003022FF">
        <w:rPr>
          <w:rFonts w:ascii="Times New Roman" w:hAnsi="Times New Roman" w:cs="Times New Roman"/>
          <w:b/>
          <w:bCs/>
          <w:color w:val="000000" w:themeColor="text1"/>
        </w:rPr>
        <w:t>Table 1</w:t>
      </w:r>
      <w:r w:rsidRPr="00841570">
        <w:rPr>
          <w:rFonts w:ascii="Times New Roman" w:hAnsi="Times New Roman" w:cs="Times New Roman"/>
          <w:color w:val="000000" w:themeColor="text1"/>
        </w:rPr>
        <w:t>).</w:t>
      </w:r>
    </w:p>
    <w:p w14:paraId="512AF1D5" w14:textId="45B5FC32" w:rsidR="00542E88" w:rsidRDefault="00BA2499" w:rsidP="00753F0D">
      <w:pPr>
        <w:spacing w:before="0" w:after="0"/>
        <w:ind w:firstLine="720"/>
        <w:rPr>
          <w:rFonts w:ascii="Times New Roman" w:hAnsi="Times New Roman" w:cs="Times New Roman"/>
          <w:color w:val="000000" w:themeColor="text1"/>
        </w:rPr>
      </w:pPr>
      <w:r w:rsidRPr="00841570">
        <w:rPr>
          <w:rFonts w:ascii="Times New Roman" w:hAnsi="Times New Roman" w:cs="Times New Roman"/>
          <w:color w:val="000000" w:themeColor="text1"/>
        </w:rPr>
        <w:t xml:space="preserve">Mutualistic networks have helped advance forest management goals such as biodiversity maintenance and conservation by identifying critical species and vital interactions that support the structure and function of an ecosystem (Hagen et al., 2012; </w:t>
      </w:r>
      <w:proofErr w:type="spellStart"/>
      <w:r w:rsidRPr="00841570">
        <w:rPr>
          <w:rFonts w:ascii="Times New Roman" w:hAnsi="Times New Roman" w:cs="Times New Roman"/>
          <w:color w:val="000000" w:themeColor="text1"/>
        </w:rPr>
        <w:t>Messeder</w:t>
      </w:r>
      <w:proofErr w:type="spellEnd"/>
      <w:r w:rsidRPr="00841570">
        <w:rPr>
          <w:rFonts w:ascii="Times New Roman" w:hAnsi="Times New Roman" w:cs="Times New Roman"/>
          <w:color w:val="000000" w:themeColor="text1"/>
        </w:rPr>
        <w:t xml:space="preserve"> et al., 2020). For example, a recent meta-analysis found three keystone plant families across the Neotropics whose removal from seed dispersal networks led to significant changes in network stability, thus if these critical food sources are removed it could have drastic negative effects within an ecosystem (</w:t>
      </w:r>
      <w:proofErr w:type="spellStart"/>
      <w:r w:rsidRPr="00841570">
        <w:rPr>
          <w:rFonts w:ascii="Times New Roman" w:hAnsi="Times New Roman" w:cs="Times New Roman"/>
          <w:color w:val="000000" w:themeColor="text1"/>
        </w:rPr>
        <w:t>Messeder</w:t>
      </w:r>
      <w:proofErr w:type="spellEnd"/>
      <w:r w:rsidRPr="00841570">
        <w:rPr>
          <w:rFonts w:ascii="Times New Roman" w:hAnsi="Times New Roman" w:cs="Times New Roman"/>
          <w:color w:val="000000" w:themeColor="text1"/>
        </w:rPr>
        <w:t xml:space="preserve"> et al., 2020). Characterizing the functional traits of important species within ecological networks has also emerged as a pivotal step for illuminating significant species characteristics across plant and animal communities (see: Escribano-Avila et al., 2018; </w:t>
      </w:r>
      <w:proofErr w:type="spellStart"/>
      <w:r w:rsidRPr="00841570">
        <w:rPr>
          <w:rFonts w:ascii="Times New Roman" w:hAnsi="Times New Roman" w:cs="Times New Roman"/>
          <w:color w:val="000000" w:themeColor="text1"/>
        </w:rPr>
        <w:t>Messeder</w:t>
      </w:r>
      <w:proofErr w:type="spellEnd"/>
      <w:r w:rsidRPr="00841570">
        <w:rPr>
          <w:rFonts w:ascii="Times New Roman" w:hAnsi="Times New Roman" w:cs="Times New Roman"/>
          <w:color w:val="000000" w:themeColor="text1"/>
        </w:rPr>
        <w:t xml:space="preserve"> et al., 2020; Ribeiro Mello et al., 2015). Yet, there is a lack of synthesis on what the most beneficial or influential functional traits are in terms of contributing to community turnover and connectivity across recovering landscapes. There is also a lack of consensus on how identifying key species and their functional traits could directly inform conservation and restoration </w:t>
      </w:r>
      <w:r w:rsidR="00264875" w:rsidRPr="00841570">
        <w:rPr>
          <w:rFonts w:ascii="Times New Roman" w:hAnsi="Times New Roman" w:cs="Times New Roman"/>
          <w:color w:val="000000" w:themeColor="text1"/>
        </w:rPr>
        <w:t>strategies that enhance ecosystem recovery in fragmented areas (Howe, 2016; Ribeiro da Silva et al., 2015).</w:t>
      </w:r>
      <w:r w:rsidR="00542E88">
        <w:rPr>
          <w:rFonts w:ascii="Times New Roman" w:hAnsi="Times New Roman" w:cs="Times New Roman"/>
          <w:color w:val="000000" w:themeColor="text1"/>
        </w:rPr>
        <w:br w:type="page"/>
      </w:r>
    </w:p>
    <w:tbl>
      <w:tblPr>
        <w:tblStyle w:val="PlainTable4"/>
        <w:tblW w:w="9498" w:type="dxa"/>
        <w:tblLayout w:type="fixed"/>
        <w:tblLook w:val="04A0" w:firstRow="1" w:lastRow="0" w:firstColumn="1" w:lastColumn="0" w:noHBand="0" w:noVBand="1"/>
      </w:tblPr>
      <w:tblGrid>
        <w:gridCol w:w="1418"/>
        <w:gridCol w:w="283"/>
        <w:gridCol w:w="993"/>
        <w:gridCol w:w="2551"/>
        <w:gridCol w:w="4223"/>
        <w:gridCol w:w="30"/>
      </w:tblGrid>
      <w:tr w:rsidR="00542E88" w:rsidRPr="009548FE" w14:paraId="6F016807" w14:textId="77777777" w:rsidTr="005F1905">
        <w:trPr>
          <w:gridAfter w:val="1"/>
          <w:cnfStyle w:val="100000000000" w:firstRow="1" w:lastRow="0" w:firstColumn="0" w:lastColumn="0" w:oddVBand="0" w:evenVBand="0" w:oddHBand="0" w:evenHBand="0" w:firstRowFirstColumn="0" w:firstRowLastColumn="0" w:lastRowFirstColumn="0" w:lastRowLastColumn="0"/>
          <w:wAfter w:w="30" w:type="dxa"/>
        </w:trPr>
        <w:tc>
          <w:tcPr>
            <w:cnfStyle w:val="001000000000" w:firstRow="0" w:lastRow="0" w:firstColumn="1" w:lastColumn="0" w:oddVBand="0" w:evenVBand="0" w:oddHBand="0" w:evenHBand="0" w:firstRowFirstColumn="0" w:firstRowLastColumn="0" w:lastRowFirstColumn="0" w:lastRowLastColumn="0"/>
            <w:tcW w:w="9468" w:type="dxa"/>
            <w:gridSpan w:val="5"/>
            <w:tcBorders>
              <w:bottom w:val="single" w:sz="4" w:space="0" w:color="auto"/>
            </w:tcBorders>
          </w:tcPr>
          <w:p w14:paraId="20120974" w14:textId="77777777" w:rsidR="00542E88" w:rsidRPr="009548FE" w:rsidRDefault="00542E88" w:rsidP="00D77075">
            <w:pPr>
              <w:pStyle w:val="Caption"/>
              <w:keepNext/>
              <w:rPr>
                <w:i w:val="0"/>
                <w:iCs w:val="0"/>
                <w:color w:val="auto"/>
                <w:sz w:val="24"/>
                <w:szCs w:val="24"/>
              </w:rPr>
            </w:pPr>
            <w:bookmarkStart w:id="56" w:name="_Toc195189684"/>
            <w:r w:rsidRPr="009548FE">
              <w:rPr>
                <w:i w:val="0"/>
                <w:iCs w:val="0"/>
                <w:color w:val="auto"/>
                <w:sz w:val="24"/>
                <w:szCs w:val="24"/>
              </w:rPr>
              <w:lastRenderedPageBreak/>
              <w:t xml:space="preserve">Table </w:t>
            </w:r>
            <w:r w:rsidRPr="009548FE">
              <w:rPr>
                <w:i w:val="0"/>
                <w:iCs w:val="0"/>
                <w:color w:val="auto"/>
                <w:sz w:val="24"/>
                <w:szCs w:val="24"/>
              </w:rPr>
              <w:fldChar w:fldCharType="begin"/>
            </w:r>
            <w:r w:rsidRPr="009548FE">
              <w:rPr>
                <w:i w:val="0"/>
                <w:iCs w:val="0"/>
                <w:color w:val="auto"/>
                <w:sz w:val="24"/>
                <w:szCs w:val="24"/>
              </w:rPr>
              <w:instrText xml:space="preserve"> SEQ Table \* ARABIC </w:instrText>
            </w:r>
            <w:r w:rsidRPr="009548FE">
              <w:rPr>
                <w:i w:val="0"/>
                <w:iCs w:val="0"/>
                <w:color w:val="auto"/>
                <w:sz w:val="24"/>
                <w:szCs w:val="24"/>
              </w:rPr>
              <w:fldChar w:fldCharType="separate"/>
            </w:r>
            <w:r>
              <w:rPr>
                <w:i w:val="0"/>
                <w:iCs w:val="0"/>
                <w:noProof/>
                <w:color w:val="auto"/>
                <w:sz w:val="24"/>
                <w:szCs w:val="24"/>
              </w:rPr>
              <w:t>1</w:t>
            </w:r>
            <w:r w:rsidRPr="009548FE">
              <w:rPr>
                <w:i w:val="0"/>
                <w:iCs w:val="0"/>
                <w:color w:val="auto"/>
                <w:sz w:val="24"/>
                <w:szCs w:val="24"/>
              </w:rPr>
              <w:fldChar w:fldCharType="end"/>
            </w:r>
            <w:r w:rsidRPr="009548FE">
              <w:rPr>
                <w:b w:val="0"/>
                <w:bCs w:val="0"/>
                <w:i w:val="0"/>
                <w:iCs w:val="0"/>
                <w:color w:val="auto"/>
                <w:sz w:val="24"/>
                <w:szCs w:val="24"/>
              </w:rPr>
              <w:t>: Glossary of metrics commonly used to describe seed dispersal networks with the name of the metric and its acronym, the type of metric (species-level or SL, network-level or NL), the scale of which the metric is measured, a description of the metric, its ecological significance to restoration and conservation, and citations of definitions of the metric.</w:t>
            </w:r>
            <w:bookmarkEnd w:id="56"/>
          </w:p>
        </w:tc>
      </w:tr>
      <w:tr w:rsidR="00542E88" w:rsidRPr="009548FE" w14:paraId="4F61DCA1" w14:textId="77777777" w:rsidTr="00E77EE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418" w:type="dxa"/>
            <w:tcBorders>
              <w:top w:val="double" w:sz="4" w:space="0" w:color="auto"/>
              <w:bottom w:val="single" w:sz="4" w:space="0" w:color="auto"/>
            </w:tcBorders>
            <w:vAlign w:val="center"/>
            <w:hideMark/>
          </w:tcPr>
          <w:p w14:paraId="2400B9EC" w14:textId="77777777" w:rsidR="00542E88" w:rsidRPr="009548FE" w:rsidRDefault="00542E88" w:rsidP="00E77EEE">
            <w:pPr>
              <w:spacing w:before="0" w:line="276" w:lineRule="auto"/>
              <w:jc w:val="center"/>
              <w:rPr>
                <w:b w:val="0"/>
                <w:bCs w:val="0"/>
                <w:sz w:val="24"/>
                <w:szCs w:val="24"/>
              </w:rPr>
            </w:pPr>
            <w:r w:rsidRPr="009548FE">
              <w:rPr>
                <w:sz w:val="24"/>
                <w:szCs w:val="24"/>
              </w:rPr>
              <w:t>Level/Scale</w:t>
            </w:r>
          </w:p>
        </w:tc>
        <w:tc>
          <w:tcPr>
            <w:tcW w:w="3827" w:type="dxa"/>
            <w:gridSpan w:val="3"/>
            <w:tcBorders>
              <w:top w:val="double" w:sz="4" w:space="0" w:color="auto"/>
              <w:bottom w:val="single" w:sz="4" w:space="0" w:color="auto"/>
            </w:tcBorders>
            <w:vAlign w:val="center"/>
            <w:hideMark/>
          </w:tcPr>
          <w:p w14:paraId="4AE9636F" w14:textId="77777777" w:rsidR="00542E88" w:rsidRPr="009548FE" w:rsidRDefault="00542E88" w:rsidP="00E77EEE">
            <w:pPr>
              <w:spacing w:before="0" w:line="276" w:lineRule="auto"/>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9548FE">
              <w:rPr>
                <w:b/>
                <w:bCs/>
                <w:sz w:val="24"/>
                <w:szCs w:val="24"/>
              </w:rPr>
              <w:t>Descriptions</w:t>
            </w:r>
          </w:p>
        </w:tc>
        <w:tc>
          <w:tcPr>
            <w:tcW w:w="4253" w:type="dxa"/>
            <w:gridSpan w:val="2"/>
            <w:tcBorders>
              <w:top w:val="double" w:sz="4" w:space="0" w:color="auto"/>
              <w:bottom w:val="single" w:sz="4" w:space="0" w:color="auto"/>
            </w:tcBorders>
            <w:vAlign w:val="center"/>
            <w:hideMark/>
          </w:tcPr>
          <w:p w14:paraId="769864D9" w14:textId="0A43CD5C" w:rsidR="00542E88" w:rsidRPr="009548FE" w:rsidRDefault="005F1905" w:rsidP="00E77EEE">
            <w:pPr>
              <w:spacing w:before="0" w:line="276" w:lineRule="auto"/>
              <w:jc w:val="cente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C</w:t>
            </w:r>
            <w:r w:rsidR="00542E88" w:rsidRPr="009548FE">
              <w:rPr>
                <w:b/>
                <w:bCs/>
                <w:sz w:val="24"/>
                <w:szCs w:val="24"/>
              </w:rPr>
              <w:t>onservation Significance</w:t>
            </w:r>
          </w:p>
        </w:tc>
      </w:tr>
      <w:tr w:rsidR="00542E88" w:rsidRPr="009548FE" w14:paraId="619BAFFB" w14:textId="77777777" w:rsidTr="005F1905">
        <w:trPr>
          <w:gridAfter w:val="1"/>
          <w:wAfter w:w="30" w:type="dxa"/>
        </w:trPr>
        <w:tc>
          <w:tcPr>
            <w:cnfStyle w:val="001000000000" w:firstRow="0" w:lastRow="0" w:firstColumn="1" w:lastColumn="0" w:oddVBand="0" w:evenVBand="0" w:oddHBand="0" w:evenHBand="0" w:firstRowFirstColumn="0" w:firstRowLastColumn="0" w:lastRowFirstColumn="0" w:lastRowLastColumn="0"/>
            <w:tcW w:w="1701" w:type="dxa"/>
            <w:gridSpan w:val="2"/>
            <w:tcBorders>
              <w:top w:val="single" w:sz="4" w:space="0" w:color="auto"/>
            </w:tcBorders>
            <w:hideMark/>
          </w:tcPr>
          <w:p w14:paraId="7859F9CE" w14:textId="77777777" w:rsidR="00542E88" w:rsidRPr="009548FE" w:rsidRDefault="00542E88" w:rsidP="00BA36F1">
            <w:pPr>
              <w:spacing w:line="276" w:lineRule="auto"/>
              <w:rPr>
                <w:b w:val="0"/>
                <w:bCs w:val="0"/>
                <w:sz w:val="24"/>
                <w:szCs w:val="24"/>
              </w:rPr>
            </w:pPr>
            <w:r w:rsidRPr="009548FE">
              <w:rPr>
                <w:sz w:val="24"/>
                <w:szCs w:val="24"/>
              </w:rPr>
              <w:t>Nestedness (NODF)</w:t>
            </w:r>
          </w:p>
          <w:p w14:paraId="2ED15490" w14:textId="77777777" w:rsidR="00542E88" w:rsidRPr="009548FE" w:rsidRDefault="00542E88" w:rsidP="00BA36F1">
            <w:pPr>
              <w:spacing w:line="276" w:lineRule="auto"/>
              <w:rPr>
                <w:b w:val="0"/>
                <w:bCs w:val="0"/>
                <w:sz w:val="24"/>
                <w:szCs w:val="24"/>
              </w:rPr>
            </w:pPr>
          </w:p>
          <w:p w14:paraId="2FA5F467" w14:textId="77777777" w:rsidR="00542E88" w:rsidRPr="009548FE" w:rsidRDefault="00542E88" w:rsidP="00BA36F1">
            <w:pPr>
              <w:spacing w:line="276" w:lineRule="auto"/>
              <w:rPr>
                <w:b w:val="0"/>
                <w:bCs w:val="0"/>
                <w:sz w:val="24"/>
                <w:szCs w:val="24"/>
              </w:rPr>
            </w:pPr>
          </w:p>
          <w:p w14:paraId="0C9DCFF7" w14:textId="77777777" w:rsidR="00542E88" w:rsidRPr="009548FE" w:rsidRDefault="00542E88" w:rsidP="00BA36F1">
            <w:pPr>
              <w:spacing w:line="276" w:lineRule="auto"/>
              <w:rPr>
                <w:b w:val="0"/>
                <w:bCs w:val="0"/>
                <w:sz w:val="24"/>
                <w:szCs w:val="24"/>
              </w:rPr>
            </w:pPr>
            <w:proofErr w:type="spellStart"/>
            <w:r w:rsidRPr="009548FE">
              <w:rPr>
                <w:b w:val="0"/>
                <w:bCs w:val="0"/>
                <w:sz w:val="24"/>
                <w:szCs w:val="24"/>
              </w:rPr>
              <w:t>Blüthgen</w:t>
            </w:r>
            <w:proofErr w:type="spellEnd"/>
            <w:r w:rsidRPr="009548FE">
              <w:rPr>
                <w:b w:val="0"/>
                <w:bCs w:val="0"/>
                <w:sz w:val="24"/>
                <w:szCs w:val="24"/>
              </w:rPr>
              <w:t xml:space="preserve"> et al. 2008; </w:t>
            </w:r>
            <w:proofErr w:type="spellStart"/>
            <w:r w:rsidRPr="009548FE">
              <w:rPr>
                <w:b w:val="0"/>
                <w:bCs w:val="0"/>
                <w:sz w:val="24"/>
                <w:szCs w:val="24"/>
              </w:rPr>
              <w:t>Bascompte</w:t>
            </w:r>
            <w:proofErr w:type="spellEnd"/>
            <w:r w:rsidRPr="009548FE">
              <w:rPr>
                <w:b w:val="0"/>
                <w:bCs w:val="0"/>
                <w:sz w:val="24"/>
                <w:szCs w:val="24"/>
              </w:rPr>
              <w:t xml:space="preserve"> et al. 2003</w:t>
            </w:r>
          </w:p>
          <w:p w14:paraId="1D3FE138" w14:textId="77777777" w:rsidR="00542E88" w:rsidRPr="009548FE" w:rsidRDefault="00542E88" w:rsidP="00BA36F1">
            <w:pPr>
              <w:spacing w:line="276" w:lineRule="auto"/>
              <w:rPr>
                <w:b w:val="0"/>
                <w:bCs w:val="0"/>
                <w:sz w:val="24"/>
                <w:szCs w:val="24"/>
              </w:rPr>
            </w:pPr>
          </w:p>
          <w:p w14:paraId="36AFD472" w14:textId="77777777" w:rsidR="00542E88" w:rsidRPr="009548FE" w:rsidRDefault="00542E88" w:rsidP="00BA36F1">
            <w:pPr>
              <w:spacing w:line="276" w:lineRule="auto"/>
              <w:rPr>
                <w:b w:val="0"/>
                <w:bCs w:val="0"/>
                <w:sz w:val="24"/>
                <w:szCs w:val="24"/>
              </w:rPr>
            </w:pPr>
          </w:p>
          <w:p w14:paraId="1275EE9C" w14:textId="77777777" w:rsidR="00542E88" w:rsidRPr="009548FE" w:rsidRDefault="00542E88" w:rsidP="00BA36F1">
            <w:pPr>
              <w:spacing w:line="276" w:lineRule="auto"/>
              <w:rPr>
                <w:sz w:val="24"/>
                <w:szCs w:val="24"/>
              </w:rPr>
            </w:pPr>
          </w:p>
        </w:tc>
        <w:tc>
          <w:tcPr>
            <w:tcW w:w="993" w:type="dxa"/>
            <w:tcBorders>
              <w:top w:val="single" w:sz="4" w:space="0" w:color="auto"/>
            </w:tcBorders>
            <w:hideMark/>
          </w:tcPr>
          <w:p w14:paraId="514F9E4D"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NL</w:t>
            </w:r>
          </w:p>
          <w:p w14:paraId="7678E2AF"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0-100</w:t>
            </w:r>
          </w:p>
        </w:tc>
        <w:tc>
          <w:tcPr>
            <w:tcW w:w="2551" w:type="dxa"/>
            <w:tcBorders>
              <w:top w:val="single" w:sz="4" w:space="0" w:color="auto"/>
            </w:tcBorders>
            <w:hideMark/>
          </w:tcPr>
          <w:p w14:paraId="169D574D"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Describes the interactions between species, where networks with fewer interactions have a subset of species that have distinct and specialized interactions. More nested networks will typically organize the community cohesively around a central core of generalist interactions.</w:t>
            </w:r>
          </w:p>
        </w:tc>
        <w:tc>
          <w:tcPr>
            <w:tcW w:w="4223" w:type="dxa"/>
            <w:tcBorders>
              <w:top w:val="single" w:sz="4" w:space="0" w:color="auto"/>
            </w:tcBorders>
            <w:hideMark/>
          </w:tcPr>
          <w:p w14:paraId="2D2AE4E3"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Nested bipartite networks have been theorized to be more stable than non-nested networks. This is because nestedness implies that generalist seed dispersers interact with a subset of the seeds dispersed by specialists, creating redundancy and ensuring that multiple species can contribute to the dispersal of the same seeds. In the face of environmental changes or the loss of specific species, the presence of generalists in nested networks provides a level of robustness, helping to maintain seed dispersal functionality even if some specialized interactions are disrupted.</w:t>
            </w:r>
          </w:p>
        </w:tc>
      </w:tr>
      <w:tr w:rsidR="00542E88" w:rsidRPr="009548FE" w14:paraId="10D7AFA4" w14:textId="77777777" w:rsidTr="005F1905">
        <w:trPr>
          <w:gridAfter w:val="1"/>
          <w:cnfStyle w:val="000000100000" w:firstRow="0" w:lastRow="0" w:firstColumn="0" w:lastColumn="0" w:oddVBand="0" w:evenVBand="0" w:oddHBand="1" w:evenHBand="0" w:firstRowFirstColumn="0" w:firstRowLastColumn="0" w:lastRowFirstColumn="0" w:lastRowLastColumn="0"/>
          <w:wAfter w:w="30" w:type="dxa"/>
        </w:trPr>
        <w:tc>
          <w:tcPr>
            <w:cnfStyle w:val="001000000000" w:firstRow="0" w:lastRow="0" w:firstColumn="1" w:lastColumn="0" w:oddVBand="0" w:evenVBand="0" w:oddHBand="0" w:evenHBand="0" w:firstRowFirstColumn="0" w:firstRowLastColumn="0" w:lastRowFirstColumn="0" w:lastRowLastColumn="0"/>
            <w:tcW w:w="1701" w:type="dxa"/>
            <w:gridSpan w:val="2"/>
            <w:hideMark/>
          </w:tcPr>
          <w:p w14:paraId="2CBB1005" w14:textId="77777777" w:rsidR="00542E88" w:rsidRPr="009548FE" w:rsidRDefault="00542E88" w:rsidP="00BA36F1">
            <w:pPr>
              <w:spacing w:line="276" w:lineRule="auto"/>
              <w:rPr>
                <w:b w:val="0"/>
                <w:bCs w:val="0"/>
                <w:sz w:val="24"/>
                <w:szCs w:val="24"/>
              </w:rPr>
            </w:pPr>
            <w:r w:rsidRPr="009548FE">
              <w:rPr>
                <w:sz w:val="24"/>
                <w:szCs w:val="24"/>
              </w:rPr>
              <w:t>Connectance (C)</w:t>
            </w:r>
          </w:p>
          <w:p w14:paraId="1F624F82" w14:textId="77777777" w:rsidR="00542E88" w:rsidRPr="009548FE" w:rsidRDefault="00542E88" w:rsidP="00BA36F1">
            <w:pPr>
              <w:spacing w:line="276" w:lineRule="auto"/>
              <w:rPr>
                <w:b w:val="0"/>
                <w:bCs w:val="0"/>
                <w:sz w:val="24"/>
                <w:szCs w:val="24"/>
              </w:rPr>
            </w:pPr>
          </w:p>
          <w:p w14:paraId="1990F0D7" w14:textId="77777777" w:rsidR="00542E88" w:rsidRPr="009548FE" w:rsidRDefault="00542E88" w:rsidP="00BA36F1">
            <w:pPr>
              <w:spacing w:line="276" w:lineRule="auto"/>
              <w:rPr>
                <w:b w:val="0"/>
                <w:bCs w:val="0"/>
                <w:sz w:val="24"/>
                <w:szCs w:val="24"/>
              </w:rPr>
            </w:pPr>
          </w:p>
          <w:p w14:paraId="68742DF0" w14:textId="77777777" w:rsidR="00542E88" w:rsidRPr="009548FE" w:rsidRDefault="00542E88" w:rsidP="00BA36F1">
            <w:pPr>
              <w:spacing w:line="276" w:lineRule="auto"/>
              <w:rPr>
                <w:b w:val="0"/>
                <w:bCs w:val="0"/>
                <w:sz w:val="24"/>
                <w:szCs w:val="24"/>
              </w:rPr>
            </w:pPr>
          </w:p>
          <w:p w14:paraId="4C13351E" w14:textId="77777777" w:rsidR="00542E88" w:rsidRPr="009548FE" w:rsidRDefault="00542E88" w:rsidP="00BA36F1">
            <w:pPr>
              <w:spacing w:line="276" w:lineRule="auto"/>
              <w:rPr>
                <w:b w:val="0"/>
                <w:bCs w:val="0"/>
                <w:sz w:val="24"/>
                <w:szCs w:val="24"/>
              </w:rPr>
            </w:pPr>
            <w:r w:rsidRPr="009548FE">
              <w:rPr>
                <w:b w:val="0"/>
                <w:bCs w:val="0"/>
                <w:sz w:val="24"/>
                <w:szCs w:val="24"/>
              </w:rPr>
              <w:t xml:space="preserve">Costa et al., 2019; </w:t>
            </w:r>
            <w:proofErr w:type="spellStart"/>
            <w:r w:rsidRPr="009548FE">
              <w:rPr>
                <w:b w:val="0"/>
                <w:bCs w:val="0"/>
                <w:sz w:val="24"/>
                <w:szCs w:val="24"/>
              </w:rPr>
              <w:t>Blüthgen</w:t>
            </w:r>
            <w:proofErr w:type="spellEnd"/>
            <w:r w:rsidRPr="009548FE">
              <w:rPr>
                <w:b w:val="0"/>
                <w:bCs w:val="0"/>
                <w:sz w:val="24"/>
                <w:szCs w:val="24"/>
              </w:rPr>
              <w:t xml:space="preserve"> et al. 2008</w:t>
            </w:r>
          </w:p>
        </w:tc>
        <w:tc>
          <w:tcPr>
            <w:tcW w:w="993" w:type="dxa"/>
            <w:hideMark/>
          </w:tcPr>
          <w:p w14:paraId="17E98D14" w14:textId="77777777" w:rsidR="00542E88" w:rsidRPr="009548FE" w:rsidRDefault="00542E88" w:rsidP="00BA36F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9548FE">
              <w:rPr>
                <w:sz w:val="24"/>
                <w:szCs w:val="24"/>
              </w:rPr>
              <w:t>NL,</w:t>
            </w:r>
          </w:p>
          <w:p w14:paraId="75D5EF2F" w14:textId="77777777" w:rsidR="00542E88" w:rsidRPr="009548FE" w:rsidRDefault="00542E88" w:rsidP="00BA36F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9548FE">
              <w:rPr>
                <w:sz w:val="24"/>
                <w:szCs w:val="24"/>
              </w:rPr>
              <w:t>0-1</w:t>
            </w:r>
          </w:p>
        </w:tc>
        <w:tc>
          <w:tcPr>
            <w:tcW w:w="2551" w:type="dxa"/>
            <w:hideMark/>
          </w:tcPr>
          <w:p w14:paraId="2B45E3BF" w14:textId="77777777" w:rsidR="00542E88" w:rsidRPr="009548FE" w:rsidRDefault="00542E88" w:rsidP="00BA36F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9548FE">
              <w:rPr>
                <w:sz w:val="24"/>
                <w:szCs w:val="24"/>
              </w:rPr>
              <w:t xml:space="preserve">The proportion of realized interactions </w:t>
            </w:r>
            <w:r>
              <w:rPr>
                <w:sz w:val="24"/>
                <w:szCs w:val="24"/>
              </w:rPr>
              <w:t>between plants and dispersers</w:t>
            </w:r>
            <w:r w:rsidRPr="009548FE">
              <w:rPr>
                <w:sz w:val="24"/>
                <w:szCs w:val="24"/>
              </w:rPr>
              <w:t xml:space="preserve"> divided by the total number of </w:t>
            </w:r>
            <w:r>
              <w:rPr>
                <w:sz w:val="24"/>
                <w:szCs w:val="24"/>
              </w:rPr>
              <w:t xml:space="preserve">possible </w:t>
            </w:r>
            <w:r w:rsidRPr="009548FE">
              <w:rPr>
                <w:sz w:val="24"/>
                <w:szCs w:val="24"/>
              </w:rPr>
              <w:t>interactions</w:t>
            </w:r>
            <w:r>
              <w:rPr>
                <w:sz w:val="24"/>
                <w:szCs w:val="24"/>
              </w:rPr>
              <w:t xml:space="preserve"> between plants and dispersers</w:t>
            </w:r>
            <w:r w:rsidRPr="009548FE">
              <w:rPr>
                <w:sz w:val="24"/>
                <w:szCs w:val="24"/>
              </w:rPr>
              <w:t>.</w:t>
            </w:r>
          </w:p>
        </w:tc>
        <w:tc>
          <w:tcPr>
            <w:tcW w:w="4223" w:type="dxa"/>
            <w:hideMark/>
          </w:tcPr>
          <w:p w14:paraId="333EF206" w14:textId="77777777" w:rsidR="00542E88" w:rsidRPr="009548FE" w:rsidRDefault="00542E88" w:rsidP="00BA36F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9548FE">
              <w:rPr>
                <w:sz w:val="24"/>
                <w:szCs w:val="24"/>
              </w:rPr>
              <w:t>The level of connectedness in seed dispersal networks is pivotal for achieving successful conservation and restoration goals, as a higher degree of connectivity ensures the efficient movement of seeds across the landscape, promoting genetic diversity, supporting ecosystem resilience, and facilitating the natural regeneration of plant communities. Connectedness tends to decrease with network size as interactions become more specialized.</w:t>
            </w:r>
          </w:p>
        </w:tc>
      </w:tr>
      <w:tr w:rsidR="00542E88" w:rsidRPr="009548FE" w14:paraId="1630540D" w14:textId="77777777" w:rsidTr="005F1905">
        <w:trPr>
          <w:gridAfter w:val="1"/>
          <w:wAfter w:w="30" w:type="dxa"/>
        </w:trPr>
        <w:tc>
          <w:tcPr>
            <w:cnfStyle w:val="001000000000" w:firstRow="0" w:lastRow="0" w:firstColumn="1" w:lastColumn="0" w:oddVBand="0" w:evenVBand="0" w:oddHBand="0" w:evenHBand="0" w:firstRowFirstColumn="0" w:firstRowLastColumn="0" w:lastRowFirstColumn="0" w:lastRowLastColumn="0"/>
            <w:tcW w:w="1701" w:type="dxa"/>
            <w:gridSpan w:val="2"/>
            <w:hideMark/>
          </w:tcPr>
          <w:p w14:paraId="3D79E9CA" w14:textId="77777777" w:rsidR="00542E88" w:rsidRPr="009548FE" w:rsidRDefault="00542E88" w:rsidP="00BA36F1">
            <w:pPr>
              <w:spacing w:line="276" w:lineRule="auto"/>
              <w:rPr>
                <w:b w:val="0"/>
                <w:bCs w:val="0"/>
                <w:sz w:val="24"/>
                <w:szCs w:val="24"/>
              </w:rPr>
            </w:pPr>
            <w:r w:rsidRPr="009548FE">
              <w:rPr>
                <w:sz w:val="24"/>
                <w:szCs w:val="24"/>
              </w:rPr>
              <w:t>Modularity (</w:t>
            </w:r>
            <w:r w:rsidRPr="009548FE">
              <w:rPr>
                <w:i/>
                <w:iCs/>
                <w:sz w:val="24"/>
                <w:szCs w:val="24"/>
              </w:rPr>
              <w:t>M</w:t>
            </w:r>
            <w:r w:rsidRPr="009548FE">
              <w:rPr>
                <w:sz w:val="24"/>
                <w:szCs w:val="24"/>
              </w:rPr>
              <w:t xml:space="preserve"> or </w:t>
            </w:r>
            <w:r w:rsidRPr="009548FE">
              <w:rPr>
                <w:i/>
                <w:iCs/>
                <w:sz w:val="24"/>
                <w:szCs w:val="24"/>
              </w:rPr>
              <w:t>Q</w:t>
            </w:r>
            <w:r w:rsidRPr="009548FE">
              <w:rPr>
                <w:sz w:val="24"/>
                <w:szCs w:val="24"/>
              </w:rPr>
              <w:t>)</w:t>
            </w:r>
          </w:p>
          <w:p w14:paraId="090AC19A" w14:textId="77777777" w:rsidR="00542E88" w:rsidRPr="009548FE" w:rsidRDefault="00542E88" w:rsidP="00BA36F1">
            <w:pPr>
              <w:spacing w:line="276" w:lineRule="auto"/>
              <w:rPr>
                <w:b w:val="0"/>
                <w:bCs w:val="0"/>
                <w:sz w:val="24"/>
                <w:szCs w:val="24"/>
              </w:rPr>
            </w:pPr>
          </w:p>
        </w:tc>
        <w:tc>
          <w:tcPr>
            <w:tcW w:w="993" w:type="dxa"/>
            <w:hideMark/>
          </w:tcPr>
          <w:p w14:paraId="7CB1F4E7"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NL,</w:t>
            </w:r>
          </w:p>
          <w:p w14:paraId="520D3874"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0-1</w:t>
            </w:r>
          </w:p>
        </w:tc>
        <w:tc>
          <w:tcPr>
            <w:tcW w:w="2551" w:type="dxa"/>
            <w:hideMark/>
          </w:tcPr>
          <w:p w14:paraId="603BA19D"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A measure of the number of subgroups</w:t>
            </w:r>
            <w:r>
              <w:rPr>
                <w:sz w:val="24"/>
                <w:szCs w:val="24"/>
              </w:rPr>
              <w:t xml:space="preserve"> of tightly interacting plants and dispersers</w:t>
            </w:r>
            <w:r w:rsidRPr="009548FE">
              <w:rPr>
                <w:sz w:val="24"/>
                <w:szCs w:val="24"/>
              </w:rPr>
              <w:t xml:space="preserve"> in</w:t>
            </w:r>
          </w:p>
        </w:tc>
        <w:tc>
          <w:tcPr>
            <w:tcW w:w="4223" w:type="dxa"/>
            <w:hideMark/>
          </w:tcPr>
          <w:p w14:paraId="6AB3FE51" w14:textId="77777777" w:rsidR="00542E88" w:rsidRPr="009548FE" w:rsidRDefault="00542E88" w:rsidP="00BA36F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9548FE">
              <w:rPr>
                <w:sz w:val="24"/>
                <w:szCs w:val="24"/>
              </w:rPr>
              <w:t xml:space="preserve">Modular networks have been linked to ecosystem stability, as modularity can act as a buffer against the spread of disturbances, allowing for more localized </w:t>
            </w:r>
          </w:p>
        </w:tc>
      </w:tr>
    </w:tbl>
    <w:p w14:paraId="57153C68" w14:textId="77777777" w:rsidR="00542E88" w:rsidRDefault="00542E88" w:rsidP="00542E88"/>
    <w:tbl>
      <w:tblPr>
        <w:tblStyle w:val="TableGrid"/>
        <w:tblW w:w="0" w:type="auto"/>
        <w:tblLook w:val="04A0" w:firstRow="1" w:lastRow="0" w:firstColumn="1" w:lastColumn="0" w:noHBand="0" w:noVBand="1"/>
      </w:tblPr>
      <w:tblGrid>
        <w:gridCol w:w="2140"/>
        <w:gridCol w:w="837"/>
        <w:gridCol w:w="2552"/>
        <w:gridCol w:w="3831"/>
      </w:tblGrid>
      <w:tr w:rsidR="00542E88" w14:paraId="7D7DD958" w14:textId="77777777" w:rsidTr="00BA36F1">
        <w:tc>
          <w:tcPr>
            <w:tcW w:w="9360" w:type="dxa"/>
            <w:gridSpan w:val="4"/>
            <w:tcBorders>
              <w:top w:val="nil"/>
              <w:left w:val="nil"/>
              <w:bottom w:val="single" w:sz="4" w:space="0" w:color="auto"/>
              <w:right w:val="nil"/>
            </w:tcBorders>
          </w:tcPr>
          <w:p w14:paraId="64BB38C5" w14:textId="578106C9" w:rsidR="00542E88" w:rsidRPr="009D6F3C" w:rsidRDefault="00542E88" w:rsidP="00BA36F1">
            <w:pPr>
              <w:spacing w:before="0"/>
              <w:rPr>
                <w:rFonts w:ascii="Times New Roman" w:hAnsi="Times New Roman" w:cs="Times New Roman"/>
              </w:rPr>
            </w:pPr>
            <w:bookmarkStart w:id="57" w:name="_Toc194137101"/>
            <w:bookmarkStart w:id="58" w:name="_Toc195189685"/>
            <w:r w:rsidRPr="009D6F3C">
              <w:rPr>
                <w:rFonts w:ascii="Times New Roman" w:hAnsi="Times New Roman" w:cs="Times New Roman"/>
                <w:b/>
                <w:bCs/>
              </w:rPr>
              <w:lastRenderedPageBreak/>
              <w:t xml:space="preserve">Table </w:t>
            </w:r>
            <w:r w:rsidRPr="009D6F3C">
              <w:rPr>
                <w:rFonts w:ascii="Times New Roman" w:hAnsi="Times New Roman" w:cs="Times New Roman"/>
                <w:b/>
                <w:bCs/>
                <w:i/>
                <w:iCs/>
              </w:rPr>
              <w:fldChar w:fldCharType="begin"/>
            </w:r>
            <w:r w:rsidRPr="009D6F3C">
              <w:rPr>
                <w:rFonts w:ascii="Times New Roman" w:hAnsi="Times New Roman" w:cs="Times New Roman"/>
                <w:b/>
                <w:bCs/>
              </w:rPr>
              <w:instrText xml:space="preserve"> SEQ Table \* ARABIC </w:instrText>
            </w:r>
            <w:r w:rsidRPr="009D6F3C">
              <w:rPr>
                <w:rFonts w:ascii="Times New Roman" w:hAnsi="Times New Roman" w:cs="Times New Roman"/>
                <w:b/>
                <w:bCs/>
                <w:i/>
                <w:iCs/>
              </w:rPr>
              <w:fldChar w:fldCharType="separate"/>
            </w:r>
            <w:r w:rsidRPr="009D6F3C">
              <w:rPr>
                <w:rFonts w:ascii="Times New Roman" w:hAnsi="Times New Roman" w:cs="Times New Roman"/>
                <w:b/>
                <w:bCs/>
                <w:noProof/>
              </w:rPr>
              <w:t>1</w:t>
            </w:r>
            <w:r w:rsidRPr="009D6F3C">
              <w:rPr>
                <w:rFonts w:ascii="Times New Roman" w:hAnsi="Times New Roman" w:cs="Times New Roman"/>
                <w:b/>
                <w:bCs/>
                <w:i/>
                <w:iCs/>
              </w:rPr>
              <w:fldChar w:fldCharType="end"/>
            </w:r>
            <w:r w:rsidRPr="009D6F3C">
              <w:rPr>
                <w:rFonts w:ascii="Times New Roman" w:hAnsi="Times New Roman" w:cs="Times New Roman"/>
                <w:b/>
                <w:bCs/>
              </w:rPr>
              <w:t xml:space="preserve"> </w:t>
            </w:r>
            <w:r w:rsidRPr="009D6F3C">
              <w:rPr>
                <w:rFonts w:ascii="Times New Roman" w:hAnsi="Times New Roman" w:cs="Times New Roman"/>
              </w:rPr>
              <w:t>Continue</w:t>
            </w:r>
            <w:r>
              <w:rPr>
                <w:rFonts w:ascii="Times New Roman" w:hAnsi="Times New Roman" w:cs="Times New Roman"/>
              </w:rPr>
              <w:t>d.</w:t>
            </w:r>
            <w:bookmarkEnd w:id="57"/>
            <w:bookmarkEnd w:id="58"/>
            <w:r>
              <w:rPr>
                <w:rFonts w:ascii="Times New Roman" w:hAnsi="Times New Roman" w:cs="Times New Roman"/>
              </w:rPr>
              <w:t xml:space="preserve"> </w:t>
            </w:r>
          </w:p>
        </w:tc>
      </w:tr>
      <w:tr w:rsidR="00542E88" w14:paraId="0E5FD51C" w14:textId="77777777" w:rsidTr="00BA36F1">
        <w:tc>
          <w:tcPr>
            <w:tcW w:w="2140" w:type="dxa"/>
            <w:tcBorders>
              <w:top w:val="double" w:sz="4" w:space="0" w:color="auto"/>
              <w:left w:val="nil"/>
              <w:bottom w:val="nil"/>
              <w:right w:val="nil"/>
            </w:tcBorders>
          </w:tcPr>
          <w:p w14:paraId="600807DE"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Grilli et al. 2016</w:t>
            </w:r>
          </w:p>
        </w:tc>
        <w:tc>
          <w:tcPr>
            <w:tcW w:w="837" w:type="dxa"/>
            <w:tcBorders>
              <w:top w:val="double" w:sz="4" w:space="0" w:color="auto"/>
              <w:left w:val="nil"/>
              <w:bottom w:val="nil"/>
              <w:right w:val="nil"/>
            </w:tcBorders>
          </w:tcPr>
          <w:p w14:paraId="2F22B614" w14:textId="77777777" w:rsidR="00542E88" w:rsidRPr="009D6F3C" w:rsidRDefault="00542E88" w:rsidP="00BA36F1">
            <w:pPr>
              <w:rPr>
                <w:rFonts w:ascii="Times New Roman" w:hAnsi="Times New Roman" w:cs="Times New Roman"/>
              </w:rPr>
            </w:pPr>
          </w:p>
        </w:tc>
        <w:tc>
          <w:tcPr>
            <w:tcW w:w="2552" w:type="dxa"/>
            <w:tcBorders>
              <w:top w:val="double" w:sz="4" w:space="0" w:color="auto"/>
              <w:left w:val="nil"/>
              <w:bottom w:val="nil"/>
              <w:right w:val="nil"/>
            </w:tcBorders>
          </w:tcPr>
          <w:p w14:paraId="61AFDC5B"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a network and how exclusively they interact with one another.</w:t>
            </w:r>
          </w:p>
        </w:tc>
        <w:tc>
          <w:tcPr>
            <w:tcW w:w="3831" w:type="dxa"/>
            <w:tcBorders>
              <w:top w:val="double" w:sz="4" w:space="0" w:color="auto"/>
              <w:left w:val="nil"/>
              <w:bottom w:val="nil"/>
              <w:right w:val="nil"/>
            </w:tcBorders>
          </w:tcPr>
          <w:p w14:paraId="32A566A7"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responses to environmental changes or species loss. In the context of seed dispersal, modular networks can enhance the resilience of ecosystems by isolating potential disruptions within specific modules, preventing cascading effects that could jeopardize the overall functionality of the network, and contributing to the stability of plant communities in conservation and restoration contexts. Plant and disperser species that are found within multiple modules are called connectors and may be of high conservation importance. Likewise, hubs, or species with many connections, found within modules may also be important targets for restoration efforts.</w:t>
            </w:r>
          </w:p>
        </w:tc>
      </w:tr>
      <w:tr w:rsidR="00542E88" w14:paraId="7A337E71" w14:textId="77777777" w:rsidTr="00BA36F1">
        <w:tc>
          <w:tcPr>
            <w:tcW w:w="2140" w:type="dxa"/>
            <w:tcBorders>
              <w:top w:val="nil"/>
              <w:left w:val="nil"/>
              <w:bottom w:val="nil"/>
              <w:right w:val="nil"/>
            </w:tcBorders>
            <w:shd w:val="clear" w:color="auto" w:fill="E8E8E8" w:themeFill="background2"/>
          </w:tcPr>
          <w:p w14:paraId="0D7F4EBE" w14:textId="77777777" w:rsidR="00542E88" w:rsidRPr="009D6F3C" w:rsidRDefault="00542E88" w:rsidP="00BA36F1">
            <w:pPr>
              <w:rPr>
                <w:rFonts w:ascii="Times New Roman" w:hAnsi="Times New Roman" w:cs="Times New Roman"/>
                <w:b/>
                <w:bCs/>
              </w:rPr>
            </w:pPr>
            <w:r w:rsidRPr="009D6F3C">
              <w:rPr>
                <w:rFonts w:ascii="Times New Roman" w:hAnsi="Times New Roman" w:cs="Times New Roman"/>
                <w:b/>
                <w:bCs/>
              </w:rPr>
              <w:t>Network Richness</w:t>
            </w:r>
          </w:p>
          <w:p w14:paraId="67FC9202" w14:textId="77777777" w:rsidR="00542E88" w:rsidRPr="009D6F3C" w:rsidRDefault="00542E88" w:rsidP="00BA36F1">
            <w:pPr>
              <w:rPr>
                <w:rFonts w:ascii="Times New Roman" w:hAnsi="Times New Roman" w:cs="Times New Roman"/>
                <w:b/>
                <w:bCs/>
              </w:rPr>
            </w:pPr>
          </w:p>
          <w:p w14:paraId="5F7A3F66" w14:textId="77777777" w:rsidR="00542E88" w:rsidRPr="009D6F3C" w:rsidRDefault="00542E88" w:rsidP="00BA36F1">
            <w:pPr>
              <w:rPr>
                <w:rFonts w:ascii="Times New Roman" w:hAnsi="Times New Roman" w:cs="Times New Roman"/>
                <w:b/>
                <w:bCs/>
              </w:rPr>
            </w:pPr>
          </w:p>
          <w:p w14:paraId="6FDF22BD"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Pocock et al. 2012</w:t>
            </w:r>
          </w:p>
        </w:tc>
        <w:tc>
          <w:tcPr>
            <w:tcW w:w="837" w:type="dxa"/>
            <w:tcBorders>
              <w:top w:val="nil"/>
              <w:left w:val="nil"/>
              <w:bottom w:val="nil"/>
              <w:right w:val="nil"/>
            </w:tcBorders>
            <w:shd w:val="clear" w:color="auto" w:fill="E8E8E8" w:themeFill="background2"/>
          </w:tcPr>
          <w:p w14:paraId="5E44A212"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NL,</w:t>
            </w:r>
          </w:p>
          <w:p w14:paraId="0A0A7EA9"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Cont.</w:t>
            </w:r>
          </w:p>
          <w:p w14:paraId="4FA9BF02" w14:textId="77777777" w:rsidR="00542E88" w:rsidRPr="009D6F3C" w:rsidRDefault="00542E88" w:rsidP="00BA36F1">
            <w:pPr>
              <w:rPr>
                <w:rFonts w:ascii="Times New Roman" w:hAnsi="Times New Roman" w:cs="Times New Roman"/>
              </w:rPr>
            </w:pPr>
          </w:p>
        </w:tc>
        <w:tc>
          <w:tcPr>
            <w:tcW w:w="2552" w:type="dxa"/>
            <w:tcBorders>
              <w:top w:val="nil"/>
              <w:left w:val="nil"/>
              <w:bottom w:val="nil"/>
              <w:right w:val="nil"/>
            </w:tcBorders>
            <w:shd w:val="clear" w:color="auto" w:fill="E8E8E8" w:themeFill="background2"/>
          </w:tcPr>
          <w:p w14:paraId="3E11909C"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A measure of the amount of both plant and animal species in a network.</w:t>
            </w:r>
          </w:p>
        </w:tc>
        <w:tc>
          <w:tcPr>
            <w:tcW w:w="3831" w:type="dxa"/>
            <w:tcBorders>
              <w:top w:val="nil"/>
              <w:left w:val="nil"/>
              <w:bottom w:val="nil"/>
              <w:right w:val="nil"/>
            </w:tcBorders>
            <w:shd w:val="clear" w:color="auto" w:fill="E8E8E8" w:themeFill="background2"/>
          </w:tcPr>
          <w:p w14:paraId="42E58531"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A higher network richness promotes greater biodiversity and ecosystem resilience. This diversity ensures that a variety of species contribute to seed dispersal, enhancing the adaptive capacity of ecosystems and increasing the likelihood of successful natural regeneration.</w:t>
            </w:r>
          </w:p>
        </w:tc>
      </w:tr>
      <w:tr w:rsidR="00542E88" w14:paraId="21142E06" w14:textId="77777777" w:rsidTr="00BA36F1">
        <w:tc>
          <w:tcPr>
            <w:tcW w:w="2140" w:type="dxa"/>
            <w:tcBorders>
              <w:top w:val="nil"/>
              <w:left w:val="nil"/>
              <w:bottom w:val="nil"/>
              <w:right w:val="nil"/>
            </w:tcBorders>
            <w:shd w:val="clear" w:color="auto" w:fill="FFFFFF" w:themeFill="background1"/>
          </w:tcPr>
          <w:p w14:paraId="2486A67F" w14:textId="77777777" w:rsidR="00542E88" w:rsidRPr="009D6F3C" w:rsidRDefault="00542E88" w:rsidP="00BA36F1">
            <w:pPr>
              <w:rPr>
                <w:rFonts w:ascii="Times New Roman" w:hAnsi="Times New Roman" w:cs="Times New Roman"/>
                <w:b/>
                <w:bCs/>
              </w:rPr>
            </w:pPr>
            <w:r w:rsidRPr="009D6F3C">
              <w:rPr>
                <w:rFonts w:ascii="Times New Roman" w:hAnsi="Times New Roman" w:cs="Times New Roman"/>
                <w:b/>
                <w:bCs/>
              </w:rPr>
              <w:t>Specialization (H</w:t>
            </w:r>
            <w:r w:rsidRPr="009D6F3C">
              <w:rPr>
                <w:rFonts w:ascii="Times New Roman" w:hAnsi="Times New Roman" w:cs="Times New Roman"/>
                <w:b/>
                <w:bCs/>
                <w:vertAlign w:val="superscript"/>
              </w:rPr>
              <w:t>2</w:t>
            </w:r>
            <w:r w:rsidRPr="009D6F3C">
              <w:rPr>
                <w:rFonts w:ascii="Times New Roman" w:hAnsi="Times New Roman" w:cs="Times New Roman"/>
                <w:b/>
                <w:bCs/>
              </w:rPr>
              <w:t>)</w:t>
            </w:r>
          </w:p>
          <w:p w14:paraId="5CAE09C3" w14:textId="77777777" w:rsidR="00542E88" w:rsidRPr="009D6F3C" w:rsidRDefault="00542E88" w:rsidP="00BA36F1">
            <w:pPr>
              <w:rPr>
                <w:rFonts w:ascii="Times New Roman" w:hAnsi="Times New Roman" w:cs="Times New Roman"/>
                <w:b/>
                <w:bCs/>
              </w:rPr>
            </w:pPr>
          </w:p>
          <w:p w14:paraId="1BB95D73" w14:textId="77777777" w:rsidR="00542E88" w:rsidRPr="009D6F3C" w:rsidRDefault="00542E88" w:rsidP="00BA36F1">
            <w:pPr>
              <w:rPr>
                <w:rFonts w:ascii="Times New Roman" w:hAnsi="Times New Roman" w:cs="Times New Roman"/>
                <w:b/>
                <w:bCs/>
              </w:rPr>
            </w:pPr>
          </w:p>
          <w:p w14:paraId="3142D5ED" w14:textId="77777777" w:rsidR="00542E88" w:rsidRPr="009D6F3C" w:rsidRDefault="00542E88" w:rsidP="00BA36F1">
            <w:pPr>
              <w:rPr>
                <w:rFonts w:ascii="Times New Roman" w:hAnsi="Times New Roman" w:cs="Times New Roman"/>
              </w:rPr>
            </w:pPr>
            <w:proofErr w:type="spellStart"/>
            <w:r w:rsidRPr="009D6F3C">
              <w:rPr>
                <w:rFonts w:ascii="Times New Roman" w:hAnsi="Times New Roman" w:cs="Times New Roman"/>
              </w:rPr>
              <w:t>Blüthgen</w:t>
            </w:r>
            <w:proofErr w:type="spellEnd"/>
            <w:r w:rsidRPr="009D6F3C">
              <w:rPr>
                <w:rFonts w:ascii="Times New Roman" w:hAnsi="Times New Roman" w:cs="Times New Roman"/>
              </w:rPr>
              <w:t xml:space="preserve"> et al. 2006</w:t>
            </w:r>
          </w:p>
        </w:tc>
        <w:tc>
          <w:tcPr>
            <w:tcW w:w="837" w:type="dxa"/>
            <w:tcBorders>
              <w:top w:val="nil"/>
              <w:left w:val="nil"/>
              <w:bottom w:val="nil"/>
              <w:right w:val="nil"/>
            </w:tcBorders>
            <w:shd w:val="clear" w:color="auto" w:fill="FFFFFF" w:themeFill="background1"/>
          </w:tcPr>
          <w:p w14:paraId="6C15B412"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NL,</w:t>
            </w:r>
          </w:p>
          <w:p w14:paraId="17AA019D"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0-1</w:t>
            </w:r>
          </w:p>
        </w:tc>
        <w:tc>
          <w:tcPr>
            <w:tcW w:w="2552" w:type="dxa"/>
            <w:tcBorders>
              <w:top w:val="nil"/>
              <w:left w:val="nil"/>
              <w:bottom w:val="nil"/>
              <w:right w:val="nil"/>
            </w:tcBorders>
            <w:shd w:val="clear" w:color="auto" w:fill="FFFFFF" w:themeFill="background1"/>
          </w:tcPr>
          <w:p w14:paraId="700CAD3D"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The measure of connectance quantifies how specialized interactions between plant and disperser species are within a network and can give information on niche partitioning within a system.</w:t>
            </w:r>
          </w:p>
        </w:tc>
        <w:tc>
          <w:tcPr>
            <w:tcW w:w="3831" w:type="dxa"/>
            <w:tcBorders>
              <w:top w:val="nil"/>
              <w:left w:val="nil"/>
              <w:bottom w:val="nil"/>
              <w:right w:val="nil"/>
            </w:tcBorders>
            <w:shd w:val="clear" w:color="auto" w:fill="FFFFFF" w:themeFill="background1"/>
          </w:tcPr>
          <w:p w14:paraId="315EE8C2"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 xml:space="preserve">Specialized interactions can foster coevolutionary relationships, where plants and dispersers become finely tuned to each other's needs. This can enhance the precision and efficiency of seed dispersal, optimizing reproductive success for the plants involved. Specialization in seed dispersal networks is vital for maintaining the resilience of plant populations, particularly for those </w:t>
            </w:r>
          </w:p>
        </w:tc>
      </w:tr>
    </w:tbl>
    <w:p w14:paraId="1E3663F7" w14:textId="77777777" w:rsidR="00542E88" w:rsidRDefault="00542E88" w:rsidP="00542E88"/>
    <w:p w14:paraId="016146FB" w14:textId="77777777" w:rsidR="00542E88" w:rsidRDefault="00542E88" w:rsidP="00542E88"/>
    <w:tbl>
      <w:tblPr>
        <w:tblStyle w:val="TableGrid"/>
        <w:tblW w:w="0" w:type="auto"/>
        <w:tblLook w:val="04A0" w:firstRow="1" w:lastRow="0" w:firstColumn="1" w:lastColumn="0" w:noHBand="0" w:noVBand="1"/>
      </w:tblPr>
      <w:tblGrid>
        <w:gridCol w:w="2268"/>
        <w:gridCol w:w="851"/>
        <w:gridCol w:w="2126"/>
        <w:gridCol w:w="4105"/>
      </w:tblGrid>
      <w:tr w:rsidR="00542E88" w14:paraId="1A2A3827" w14:textId="77777777" w:rsidTr="00BA36F1">
        <w:tc>
          <w:tcPr>
            <w:tcW w:w="9350" w:type="dxa"/>
            <w:gridSpan w:val="4"/>
            <w:tcBorders>
              <w:top w:val="nil"/>
              <w:left w:val="nil"/>
              <w:bottom w:val="double" w:sz="4" w:space="0" w:color="auto"/>
              <w:right w:val="nil"/>
            </w:tcBorders>
          </w:tcPr>
          <w:p w14:paraId="27A5AEA8" w14:textId="0BEE31A7" w:rsidR="00542E88" w:rsidRPr="009D6F3C" w:rsidRDefault="00542E88" w:rsidP="00BA36F1">
            <w:pPr>
              <w:spacing w:before="0"/>
              <w:rPr>
                <w:rFonts w:ascii="Times New Roman" w:hAnsi="Times New Roman" w:cs="Times New Roman"/>
              </w:rPr>
            </w:pPr>
            <w:bookmarkStart w:id="59" w:name="_Toc194137102"/>
            <w:bookmarkStart w:id="60" w:name="_Toc195189686"/>
            <w:r w:rsidRPr="009D6F3C">
              <w:rPr>
                <w:rFonts w:ascii="Times New Roman" w:hAnsi="Times New Roman" w:cs="Times New Roman"/>
                <w:b/>
                <w:bCs/>
              </w:rPr>
              <w:lastRenderedPageBreak/>
              <w:t xml:space="preserve">Table </w:t>
            </w:r>
            <w:r w:rsidRPr="009D6F3C">
              <w:rPr>
                <w:rFonts w:ascii="Times New Roman" w:hAnsi="Times New Roman" w:cs="Times New Roman"/>
                <w:b/>
                <w:bCs/>
                <w:i/>
                <w:iCs/>
              </w:rPr>
              <w:fldChar w:fldCharType="begin"/>
            </w:r>
            <w:r w:rsidRPr="009D6F3C">
              <w:rPr>
                <w:rFonts w:ascii="Times New Roman" w:hAnsi="Times New Roman" w:cs="Times New Roman"/>
                <w:b/>
                <w:bCs/>
              </w:rPr>
              <w:instrText xml:space="preserve"> SEQ Table \* ARABIC </w:instrText>
            </w:r>
            <w:r w:rsidRPr="009D6F3C">
              <w:rPr>
                <w:rFonts w:ascii="Times New Roman" w:hAnsi="Times New Roman" w:cs="Times New Roman"/>
                <w:b/>
                <w:bCs/>
                <w:i/>
                <w:iCs/>
              </w:rPr>
              <w:fldChar w:fldCharType="separate"/>
            </w:r>
            <w:r w:rsidRPr="009D6F3C">
              <w:rPr>
                <w:rFonts w:ascii="Times New Roman" w:hAnsi="Times New Roman" w:cs="Times New Roman"/>
                <w:b/>
                <w:bCs/>
                <w:noProof/>
              </w:rPr>
              <w:t>1</w:t>
            </w:r>
            <w:r w:rsidRPr="009D6F3C">
              <w:rPr>
                <w:rFonts w:ascii="Times New Roman" w:hAnsi="Times New Roman" w:cs="Times New Roman"/>
                <w:b/>
                <w:bCs/>
                <w:i/>
                <w:iCs/>
              </w:rPr>
              <w:fldChar w:fldCharType="end"/>
            </w:r>
            <w:r w:rsidRPr="009D6F3C">
              <w:rPr>
                <w:rFonts w:ascii="Times New Roman" w:hAnsi="Times New Roman" w:cs="Times New Roman"/>
                <w:b/>
                <w:bCs/>
              </w:rPr>
              <w:t xml:space="preserve"> </w:t>
            </w:r>
            <w:r w:rsidRPr="009D6F3C">
              <w:rPr>
                <w:rFonts w:ascii="Times New Roman" w:hAnsi="Times New Roman" w:cs="Times New Roman"/>
              </w:rPr>
              <w:t>Continue</w:t>
            </w:r>
            <w:r>
              <w:rPr>
                <w:rFonts w:ascii="Times New Roman" w:hAnsi="Times New Roman" w:cs="Times New Roman"/>
              </w:rPr>
              <w:t>d.</w:t>
            </w:r>
            <w:bookmarkEnd w:id="59"/>
            <w:bookmarkEnd w:id="60"/>
          </w:p>
        </w:tc>
      </w:tr>
      <w:tr w:rsidR="00542E88" w14:paraId="48919C59" w14:textId="77777777" w:rsidTr="00BA36F1">
        <w:tc>
          <w:tcPr>
            <w:tcW w:w="2268" w:type="dxa"/>
            <w:tcBorders>
              <w:top w:val="double" w:sz="4" w:space="0" w:color="auto"/>
              <w:left w:val="nil"/>
              <w:bottom w:val="nil"/>
              <w:right w:val="nil"/>
            </w:tcBorders>
          </w:tcPr>
          <w:p w14:paraId="60B8F0D4" w14:textId="77777777" w:rsidR="00542E88" w:rsidRPr="009D6F3C" w:rsidRDefault="00542E88" w:rsidP="00BA36F1">
            <w:pPr>
              <w:rPr>
                <w:rFonts w:ascii="Times New Roman" w:hAnsi="Times New Roman" w:cs="Times New Roman"/>
              </w:rPr>
            </w:pPr>
          </w:p>
        </w:tc>
        <w:tc>
          <w:tcPr>
            <w:tcW w:w="851" w:type="dxa"/>
            <w:tcBorders>
              <w:top w:val="double" w:sz="4" w:space="0" w:color="auto"/>
              <w:left w:val="nil"/>
              <w:bottom w:val="nil"/>
              <w:right w:val="nil"/>
            </w:tcBorders>
          </w:tcPr>
          <w:p w14:paraId="31FBEBDA" w14:textId="77777777" w:rsidR="00542E88" w:rsidRPr="009D6F3C" w:rsidRDefault="00542E88" w:rsidP="00BA36F1">
            <w:pPr>
              <w:rPr>
                <w:rFonts w:ascii="Times New Roman" w:hAnsi="Times New Roman" w:cs="Times New Roman"/>
              </w:rPr>
            </w:pPr>
          </w:p>
        </w:tc>
        <w:tc>
          <w:tcPr>
            <w:tcW w:w="2126" w:type="dxa"/>
            <w:tcBorders>
              <w:top w:val="double" w:sz="4" w:space="0" w:color="auto"/>
              <w:left w:val="nil"/>
              <w:bottom w:val="nil"/>
              <w:right w:val="nil"/>
            </w:tcBorders>
          </w:tcPr>
          <w:p w14:paraId="2893E72F" w14:textId="77777777" w:rsidR="00542E88" w:rsidRPr="009D6F3C" w:rsidRDefault="00542E88" w:rsidP="00BA36F1">
            <w:pPr>
              <w:rPr>
                <w:rFonts w:ascii="Times New Roman" w:hAnsi="Times New Roman" w:cs="Times New Roman"/>
              </w:rPr>
            </w:pPr>
          </w:p>
        </w:tc>
        <w:tc>
          <w:tcPr>
            <w:tcW w:w="4105" w:type="dxa"/>
            <w:tcBorders>
              <w:top w:val="double" w:sz="4" w:space="0" w:color="auto"/>
              <w:left w:val="nil"/>
              <w:bottom w:val="nil"/>
              <w:right w:val="nil"/>
            </w:tcBorders>
          </w:tcPr>
          <w:p w14:paraId="4D18B982"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with specific ecological requirements.</w:t>
            </w:r>
          </w:p>
        </w:tc>
      </w:tr>
      <w:tr w:rsidR="00542E88" w14:paraId="03EC910B" w14:textId="77777777" w:rsidTr="00BA36F1">
        <w:tc>
          <w:tcPr>
            <w:tcW w:w="2268" w:type="dxa"/>
            <w:tcBorders>
              <w:top w:val="nil"/>
              <w:left w:val="nil"/>
              <w:bottom w:val="nil"/>
              <w:right w:val="nil"/>
            </w:tcBorders>
            <w:shd w:val="clear" w:color="auto" w:fill="E8E8E8" w:themeFill="background2"/>
          </w:tcPr>
          <w:p w14:paraId="1527E04C" w14:textId="77777777" w:rsidR="00542E88" w:rsidRPr="009D6F3C" w:rsidRDefault="00542E88" w:rsidP="00BA36F1">
            <w:pPr>
              <w:rPr>
                <w:rFonts w:ascii="Times New Roman" w:hAnsi="Times New Roman" w:cs="Times New Roman"/>
                <w:b/>
                <w:bCs/>
              </w:rPr>
            </w:pPr>
            <w:r w:rsidRPr="009D6F3C">
              <w:rPr>
                <w:rFonts w:ascii="Times New Roman" w:hAnsi="Times New Roman" w:cs="Times New Roman"/>
                <w:b/>
                <w:bCs/>
              </w:rPr>
              <w:t>Interaction Frequency</w:t>
            </w:r>
          </w:p>
          <w:p w14:paraId="35D46E8B" w14:textId="77777777" w:rsidR="00542E88" w:rsidRPr="009D6F3C" w:rsidRDefault="00542E88" w:rsidP="00BA36F1">
            <w:pPr>
              <w:rPr>
                <w:rFonts w:ascii="Times New Roman" w:hAnsi="Times New Roman" w:cs="Times New Roman"/>
                <w:b/>
              </w:rPr>
            </w:pPr>
          </w:p>
          <w:p w14:paraId="31A1A769" w14:textId="77777777" w:rsidR="00542E88" w:rsidRPr="009D6F3C" w:rsidRDefault="00542E88" w:rsidP="00BA36F1">
            <w:pPr>
              <w:rPr>
                <w:rFonts w:ascii="Times New Roman" w:hAnsi="Times New Roman" w:cs="Times New Roman"/>
                <w:b/>
                <w:bCs/>
              </w:rPr>
            </w:pPr>
            <w:proofErr w:type="spellStart"/>
            <w:r w:rsidRPr="009D6F3C">
              <w:rPr>
                <w:rFonts w:ascii="Times New Roman" w:hAnsi="Times New Roman" w:cs="Times New Roman"/>
              </w:rPr>
              <w:t>Chacoff</w:t>
            </w:r>
            <w:proofErr w:type="spellEnd"/>
            <w:r w:rsidRPr="009D6F3C">
              <w:rPr>
                <w:rFonts w:ascii="Times New Roman" w:hAnsi="Times New Roman" w:cs="Times New Roman"/>
              </w:rPr>
              <w:t xml:space="preserve"> et al., 2012</w:t>
            </w:r>
          </w:p>
        </w:tc>
        <w:tc>
          <w:tcPr>
            <w:tcW w:w="851" w:type="dxa"/>
            <w:tcBorders>
              <w:top w:val="nil"/>
              <w:left w:val="nil"/>
              <w:bottom w:val="nil"/>
              <w:right w:val="nil"/>
            </w:tcBorders>
            <w:shd w:val="clear" w:color="auto" w:fill="E8E8E8" w:themeFill="background2"/>
          </w:tcPr>
          <w:p w14:paraId="21A0239D" w14:textId="77777777" w:rsidR="00542E88" w:rsidRPr="009D6F3C" w:rsidRDefault="00542E88" w:rsidP="00BA36F1">
            <w:pPr>
              <w:rPr>
                <w:rFonts w:ascii="Times New Roman" w:hAnsi="Times New Roman" w:cs="Times New Roman"/>
              </w:rPr>
            </w:pPr>
            <w:r w:rsidRPr="009D6F3C">
              <w:rPr>
                <w:rFonts w:ascii="Times New Roman" w:hAnsi="Times New Roman" w:cs="Times New Roman"/>
                <w:bCs/>
              </w:rPr>
              <w:t xml:space="preserve">NL, </w:t>
            </w:r>
            <w:proofErr w:type="spellStart"/>
            <w:r w:rsidRPr="009D6F3C">
              <w:rPr>
                <w:rFonts w:ascii="Times New Roman" w:hAnsi="Times New Roman" w:cs="Times New Roman"/>
                <w:bCs/>
              </w:rPr>
              <w:t>Cont</w:t>
            </w:r>
            <w:proofErr w:type="spellEnd"/>
          </w:p>
        </w:tc>
        <w:tc>
          <w:tcPr>
            <w:tcW w:w="2126" w:type="dxa"/>
            <w:tcBorders>
              <w:top w:val="nil"/>
              <w:left w:val="nil"/>
              <w:bottom w:val="nil"/>
              <w:right w:val="nil"/>
            </w:tcBorders>
            <w:shd w:val="clear" w:color="auto" w:fill="E8E8E8" w:themeFill="background2"/>
          </w:tcPr>
          <w:p w14:paraId="178307EB"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 xml:space="preserve">The number of connections or links between nodes. </w:t>
            </w:r>
          </w:p>
        </w:tc>
        <w:tc>
          <w:tcPr>
            <w:tcW w:w="4105" w:type="dxa"/>
            <w:tcBorders>
              <w:top w:val="nil"/>
              <w:left w:val="nil"/>
              <w:bottom w:val="nil"/>
              <w:right w:val="nil"/>
            </w:tcBorders>
            <w:shd w:val="clear" w:color="auto" w:fill="E8E8E8" w:themeFill="background2"/>
          </w:tcPr>
          <w:p w14:paraId="18D37999"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A perfectly connected network will have a high interaction frequency, where every disperser interacts with every plant species evenly. A lower interaction frequency indicates there are fewer interactions within a system.</w:t>
            </w:r>
          </w:p>
        </w:tc>
      </w:tr>
      <w:tr w:rsidR="00542E88" w14:paraId="26F97EC6" w14:textId="77777777" w:rsidTr="00BA36F1">
        <w:tc>
          <w:tcPr>
            <w:tcW w:w="2268" w:type="dxa"/>
            <w:tcBorders>
              <w:top w:val="nil"/>
              <w:left w:val="nil"/>
              <w:bottom w:val="nil"/>
              <w:right w:val="nil"/>
            </w:tcBorders>
          </w:tcPr>
          <w:p w14:paraId="2584F7CA" w14:textId="77777777" w:rsidR="00542E88" w:rsidRPr="009D6F3C" w:rsidRDefault="00542E88" w:rsidP="00BA36F1">
            <w:pPr>
              <w:rPr>
                <w:rFonts w:ascii="Times New Roman" w:hAnsi="Times New Roman" w:cs="Times New Roman"/>
                <w:b/>
                <w:bCs/>
              </w:rPr>
            </w:pPr>
            <w:r w:rsidRPr="009D6F3C">
              <w:rPr>
                <w:rFonts w:ascii="Times New Roman" w:hAnsi="Times New Roman" w:cs="Times New Roman"/>
                <w:b/>
                <w:bCs/>
              </w:rPr>
              <w:t>Degree</w:t>
            </w:r>
          </w:p>
          <w:p w14:paraId="7922BAF9" w14:textId="77777777" w:rsidR="00542E88" w:rsidRPr="009D6F3C" w:rsidRDefault="00542E88" w:rsidP="00BA36F1">
            <w:pPr>
              <w:rPr>
                <w:rFonts w:ascii="Times New Roman" w:hAnsi="Times New Roman" w:cs="Times New Roman"/>
                <w:b/>
                <w:bCs/>
              </w:rPr>
            </w:pPr>
          </w:p>
          <w:p w14:paraId="446BE44F" w14:textId="77777777" w:rsidR="00542E88" w:rsidRPr="009D6F3C" w:rsidRDefault="00542E88" w:rsidP="00BA36F1">
            <w:pPr>
              <w:rPr>
                <w:rFonts w:ascii="Times New Roman" w:hAnsi="Times New Roman" w:cs="Times New Roman"/>
                <w:b/>
                <w:bCs/>
              </w:rPr>
            </w:pPr>
          </w:p>
          <w:p w14:paraId="7A227C4B"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Burin et al., 2021; Oldham et al., 2019</w:t>
            </w:r>
          </w:p>
        </w:tc>
        <w:tc>
          <w:tcPr>
            <w:tcW w:w="851" w:type="dxa"/>
            <w:tcBorders>
              <w:top w:val="nil"/>
              <w:left w:val="nil"/>
              <w:bottom w:val="nil"/>
              <w:right w:val="nil"/>
            </w:tcBorders>
          </w:tcPr>
          <w:p w14:paraId="18074209"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 xml:space="preserve">SL, </w:t>
            </w:r>
            <w:proofErr w:type="spellStart"/>
            <w:r w:rsidRPr="009D6F3C">
              <w:rPr>
                <w:rFonts w:ascii="Times New Roman" w:hAnsi="Times New Roman" w:cs="Times New Roman"/>
              </w:rPr>
              <w:t>Cont</w:t>
            </w:r>
            <w:proofErr w:type="spellEnd"/>
          </w:p>
        </w:tc>
        <w:tc>
          <w:tcPr>
            <w:tcW w:w="2126" w:type="dxa"/>
            <w:tcBorders>
              <w:top w:val="nil"/>
              <w:left w:val="nil"/>
              <w:bottom w:val="nil"/>
              <w:right w:val="nil"/>
            </w:tcBorders>
          </w:tcPr>
          <w:p w14:paraId="697CFF40"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 xml:space="preserve">Number of </w:t>
            </w:r>
            <w:proofErr w:type="spellStart"/>
            <w:r w:rsidRPr="009D6F3C">
              <w:rPr>
                <w:rFonts w:ascii="Times New Roman" w:hAnsi="Times New Roman" w:cs="Times New Roman"/>
              </w:rPr>
              <w:t>interactin</w:t>
            </w:r>
            <w:proofErr w:type="spellEnd"/>
            <w:r w:rsidRPr="009D6F3C">
              <w:rPr>
                <w:rFonts w:ascii="Times New Roman" w:hAnsi="Times New Roman" w:cs="Times New Roman"/>
              </w:rPr>
              <w:t xml:space="preserve"> partners a particular plant or disperser species has.</w:t>
            </w:r>
          </w:p>
        </w:tc>
        <w:tc>
          <w:tcPr>
            <w:tcW w:w="4105" w:type="dxa"/>
            <w:tcBorders>
              <w:top w:val="nil"/>
              <w:left w:val="nil"/>
              <w:bottom w:val="nil"/>
              <w:right w:val="nil"/>
            </w:tcBorders>
          </w:tcPr>
          <w:p w14:paraId="7B592BFD"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A high species degree for a particular species indicates that it has diverse ecological connections, playing a potentially influential role in the network's structure and functioning. Analyzing species degree is valuable for understanding the importance of individual species in the network and identifying key contributors to seed dispersal dynamics.</w:t>
            </w:r>
          </w:p>
        </w:tc>
      </w:tr>
      <w:tr w:rsidR="00542E88" w14:paraId="45D9E88D" w14:textId="77777777" w:rsidTr="00BA36F1">
        <w:tc>
          <w:tcPr>
            <w:tcW w:w="2268" w:type="dxa"/>
            <w:tcBorders>
              <w:top w:val="nil"/>
              <w:left w:val="nil"/>
              <w:bottom w:val="nil"/>
              <w:right w:val="nil"/>
            </w:tcBorders>
            <w:shd w:val="clear" w:color="auto" w:fill="E8E8E8" w:themeFill="background2"/>
          </w:tcPr>
          <w:p w14:paraId="4C814121" w14:textId="77777777" w:rsidR="00542E88" w:rsidRPr="009D6F3C" w:rsidRDefault="00542E88" w:rsidP="00BA36F1">
            <w:pPr>
              <w:rPr>
                <w:rFonts w:ascii="Times New Roman" w:hAnsi="Times New Roman" w:cs="Times New Roman"/>
                <w:b/>
                <w:bCs/>
              </w:rPr>
            </w:pPr>
            <w:r w:rsidRPr="009D6F3C">
              <w:rPr>
                <w:rFonts w:ascii="Times New Roman" w:hAnsi="Times New Roman" w:cs="Times New Roman"/>
                <w:b/>
                <w:bCs/>
              </w:rPr>
              <w:t>Closeness Centrality</w:t>
            </w:r>
          </w:p>
          <w:p w14:paraId="15AC689B" w14:textId="77777777" w:rsidR="00542E88" w:rsidRPr="009D6F3C" w:rsidRDefault="00542E88" w:rsidP="00BA36F1">
            <w:pPr>
              <w:rPr>
                <w:rFonts w:ascii="Times New Roman" w:hAnsi="Times New Roman" w:cs="Times New Roman"/>
                <w:b/>
                <w:bCs/>
              </w:rPr>
            </w:pPr>
          </w:p>
          <w:p w14:paraId="1235BF14"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Burin et al., 2021; Oldham et al., 2019</w:t>
            </w:r>
          </w:p>
        </w:tc>
        <w:tc>
          <w:tcPr>
            <w:tcW w:w="851" w:type="dxa"/>
            <w:tcBorders>
              <w:top w:val="nil"/>
              <w:left w:val="nil"/>
              <w:bottom w:val="nil"/>
              <w:right w:val="nil"/>
            </w:tcBorders>
            <w:shd w:val="clear" w:color="auto" w:fill="E8E8E8" w:themeFill="background2"/>
          </w:tcPr>
          <w:p w14:paraId="32F021A8"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 xml:space="preserve">SL, </w:t>
            </w:r>
            <w:proofErr w:type="spellStart"/>
            <w:r w:rsidRPr="009D6F3C">
              <w:rPr>
                <w:rFonts w:ascii="Times New Roman" w:hAnsi="Times New Roman" w:cs="Times New Roman"/>
              </w:rPr>
              <w:t>Cont</w:t>
            </w:r>
            <w:proofErr w:type="spellEnd"/>
          </w:p>
        </w:tc>
        <w:tc>
          <w:tcPr>
            <w:tcW w:w="2126" w:type="dxa"/>
            <w:tcBorders>
              <w:top w:val="nil"/>
              <w:left w:val="nil"/>
              <w:bottom w:val="nil"/>
              <w:right w:val="nil"/>
            </w:tcBorders>
            <w:shd w:val="clear" w:color="auto" w:fill="E8E8E8" w:themeFill="background2"/>
          </w:tcPr>
          <w:p w14:paraId="4147F722"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The sum of the number of shortest distances between a particular plant or disperser species and all other species in the network.</w:t>
            </w:r>
          </w:p>
        </w:tc>
        <w:tc>
          <w:tcPr>
            <w:tcW w:w="4105" w:type="dxa"/>
            <w:tcBorders>
              <w:top w:val="nil"/>
              <w:left w:val="nil"/>
              <w:bottom w:val="nil"/>
              <w:right w:val="nil"/>
            </w:tcBorders>
            <w:shd w:val="clear" w:color="auto" w:fill="E8E8E8" w:themeFill="background2"/>
          </w:tcPr>
          <w:p w14:paraId="00E0A9AC"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A species with high closeness centrality is more central in the network, meaning it can quickly reach other species or be reached by them. In the context of seed dispersal, a species with high closeness centrality may play a crucial role in facilitating the flow of seeds through the network, influencing the connectivity and efficiency of seed dispersal pathways.</w:t>
            </w:r>
          </w:p>
        </w:tc>
      </w:tr>
      <w:tr w:rsidR="00542E88" w14:paraId="29D5B4C8" w14:textId="77777777" w:rsidTr="00BA36F1">
        <w:tc>
          <w:tcPr>
            <w:tcW w:w="2268" w:type="dxa"/>
            <w:tcBorders>
              <w:top w:val="nil"/>
              <w:left w:val="nil"/>
              <w:bottom w:val="double" w:sz="4" w:space="0" w:color="auto"/>
              <w:right w:val="nil"/>
            </w:tcBorders>
          </w:tcPr>
          <w:p w14:paraId="53BB447C" w14:textId="77777777" w:rsidR="00542E88" w:rsidRPr="009D6F3C" w:rsidRDefault="00542E88" w:rsidP="00BA36F1">
            <w:pPr>
              <w:rPr>
                <w:rFonts w:ascii="Times New Roman" w:hAnsi="Times New Roman" w:cs="Times New Roman"/>
                <w:b/>
                <w:bCs/>
              </w:rPr>
            </w:pPr>
            <w:r w:rsidRPr="009D6F3C">
              <w:rPr>
                <w:rFonts w:ascii="Times New Roman" w:hAnsi="Times New Roman" w:cs="Times New Roman"/>
                <w:b/>
                <w:bCs/>
              </w:rPr>
              <w:t>Specialization (d)</w:t>
            </w:r>
          </w:p>
          <w:p w14:paraId="523F377E" w14:textId="77777777" w:rsidR="00542E88" w:rsidRPr="009D6F3C" w:rsidRDefault="00542E88" w:rsidP="00BA36F1">
            <w:pPr>
              <w:rPr>
                <w:rFonts w:ascii="Times New Roman" w:hAnsi="Times New Roman" w:cs="Times New Roman"/>
                <w:b/>
                <w:bCs/>
              </w:rPr>
            </w:pPr>
          </w:p>
          <w:p w14:paraId="5E40AC92" w14:textId="77777777" w:rsidR="00542E88" w:rsidRPr="009D6F3C" w:rsidRDefault="00542E88" w:rsidP="00BA36F1">
            <w:pPr>
              <w:rPr>
                <w:rFonts w:ascii="Times New Roman" w:hAnsi="Times New Roman" w:cs="Times New Roman"/>
                <w:b/>
                <w:bCs/>
              </w:rPr>
            </w:pPr>
          </w:p>
          <w:p w14:paraId="72294809" w14:textId="77777777" w:rsidR="00542E88" w:rsidRPr="009D6F3C" w:rsidRDefault="00542E88" w:rsidP="00BA36F1">
            <w:pPr>
              <w:rPr>
                <w:rFonts w:ascii="Times New Roman" w:hAnsi="Times New Roman" w:cs="Times New Roman"/>
              </w:rPr>
            </w:pPr>
            <w:proofErr w:type="spellStart"/>
            <w:r w:rsidRPr="009D6F3C">
              <w:rPr>
                <w:rFonts w:ascii="Times New Roman" w:hAnsi="Times New Roman" w:cs="Times New Roman"/>
              </w:rPr>
              <w:t>Blüthgen</w:t>
            </w:r>
            <w:proofErr w:type="spellEnd"/>
            <w:r w:rsidRPr="009D6F3C">
              <w:rPr>
                <w:rFonts w:ascii="Times New Roman" w:hAnsi="Times New Roman" w:cs="Times New Roman"/>
              </w:rPr>
              <w:t xml:space="preserve"> et al. 2006; Olesen &amp; Jordano, 2002</w:t>
            </w:r>
          </w:p>
        </w:tc>
        <w:tc>
          <w:tcPr>
            <w:tcW w:w="851" w:type="dxa"/>
            <w:tcBorders>
              <w:top w:val="nil"/>
              <w:left w:val="nil"/>
              <w:bottom w:val="double" w:sz="4" w:space="0" w:color="auto"/>
              <w:right w:val="nil"/>
            </w:tcBorders>
          </w:tcPr>
          <w:p w14:paraId="34BD69CC"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 xml:space="preserve">SL, </w:t>
            </w:r>
            <w:proofErr w:type="spellStart"/>
            <w:r w:rsidRPr="009D6F3C">
              <w:rPr>
                <w:rFonts w:ascii="Times New Roman" w:hAnsi="Times New Roman" w:cs="Times New Roman"/>
              </w:rPr>
              <w:t>Cont</w:t>
            </w:r>
            <w:proofErr w:type="spellEnd"/>
          </w:p>
        </w:tc>
        <w:tc>
          <w:tcPr>
            <w:tcW w:w="2126" w:type="dxa"/>
            <w:tcBorders>
              <w:top w:val="nil"/>
              <w:left w:val="nil"/>
              <w:bottom w:val="double" w:sz="4" w:space="0" w:color="auto"/>
              <w:right w:val="nil"/>
            </w:tcBorders>
          </w:tcPr>
          <w:p w14:paraId="61907992"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The deviation of observed interactions from opportunistic, abundance-based interaction.</w:t>
            </w:r>
          </w:p>
        </w:tc>
        <w:tc>
          <w:tcPr>
            <w:tcW w:w="4105" w:type="dxa"/>
            <w:tcBorders>
              <w:top w:val="nil"/>
              <w:left w:val="nil"/>
              <w:bottom w:val="double" w:sz="4" w:space="0" w:color="auto"/>
              <w:right w:val="nil"/>
            </w:tcBorders>
          </w:tcPr>
          <w:p w14:paraId="7E94B44C" w14:textId="77777777" w:rsidR="00542E88" w:rsidRPr="009D6F3C" w:rsidRDefault="00542E88" w:rsidP="00BA36F1">
            <w:pPr>
              <w:rPr>
                <w:rFonts w:ascii="Times New Roman" w:hAnsi="Times New Roman" w:cs="Times New Roman"/>
              </w:rPr>
            </w:pPr>
            <w:r w:rsidRPr="009D6F3C">
              <w:rPr>
                <w:rFonts w:ascii="Times New Roman" w:hAnsi="Times New Roman" w:cs="Times New Roman"/>
              </w:rPr>
              <w:t>High species-level specialization indicates that a species has a narrow set of preferred interaction partners, while low specialization suggests a more generalist or flexible strategy in engaging with a variety of partners. This information could be crucial in decisions involving species reintroductions and target species for conservation and restoration.</w:t>
            </w:r>
          </w:p>
        </w:tc>
      </w:tr>
    </w:tbl>
    <w:p w14:paraId="134DB4BF" w14:textId="71DD4848" w:rsidR="00320060" w:rsidRDefault="00320060">
      <w:pPr>
        <w:rPr>
          <w:rFonts w:ascii="Times New Roman" w:hAnsi="Times New Roman" w:cs="Times New Roman"/>
          <w:color w:val="000000" w:themeColor="text1"/>
        </w:rPr>
      </w:pPr>
      <w:r>
        <w:rPr>
          <w:rFonts w:ascii="Times New Roman" w:hAnsi="Times New Roman" w:cs="Times New Roman"/>
          <w:color w:val="000000" w:themeColor="text1"/>
        </w:rPr>
        <w:br w:type="page"/>
      </w:r>
    </w:p>
    <w:p w14:paraId="6E41A2DE" w14:textId="77777777" w:rsidR="00264875" w:rsidRDefault="00320060" w:rsidP="00D77075">
      <w:pPr>
        <w:spacing w:before="0" w:after="0"/>
        <w:ind w:firstLine="720"/>
        <w:rPr>
          <w:rFonts w:ascii="Times New Roman" w:hAnsi="Times New Roman" w:cs="Times New Roman"/>
          <w:color w:val="000000" w:themeColor="text1"/>
        </w:rPr>
      </w:pPr>
      <w:r w:rsidRPr="00841570">
        <w:rPr>
          <w:rFonts w:ascii="Times New Roman" w:hAnsi="Times New Roman" w:cs="Times New Roman"/>
          <w:color w:val="000000" w:themeColor="text1"/>
        </w:rPr>
        <w:lastRenderedPageBreak/>
        <w:t>There are surprisingly few instances in the literature where seed dispersal networks have been examined across successional gradients or within the context of restoration, which limits our understanding of how network dynamics change throughout the successional process (Escribano-Avila et al., 2018; Ribeiro da Silva et al., 2015). Furthermore, there are numerous different field sampling and statistical approaches employed when utilizing seed dispersal networks, which may introduce unwanted potential biases (Jordano 2016, 2002). For example, interpretations of the statistical significance of network metrics from null models varies greatly among studies, making it difficult to draw comparisons across geographic or temporal scales. The absence of a unified consensus underscores the need for a comprehensive examination of the varied approaches employed in characterizing seed dispersal networks, as well as a clearer understanding of the potential for network measure to aid in informing tropical forest restoration.</w:t>
      </w:r>
    </w:p>
    <w:p w14:paraId="3E2BF890" w14:textId="09787C35" w:rsidR="00BA2499" w:rsidRPr="00264875" w:rsidRDefault="00320060" w:rsidP="00D77075">
      <w:pPr>
        <w:spacing w:before="0" w:after="0"/>
        <w:ind w:firstLine="720"/>
        <w:rPr>
          <w:rFonts w:ascii="Times New Roman" w:hAnsi="Times New Roman" w:cs="Times New Roman"/>
          <w:color w:val="000000" w:themeColor="text1"/>
        </w:rPr>
      </w:pPr>
      <w:r w:rsidRPr="00841570">
        <w:rPr>
          <w:rFonts w:ascii="Times New Roman" w:hAnsi="Times New Roman" w:cs="Times New Roman"/>
          <w:color w:val="000000" w:themeColor="text1"/>
        </w:rPr>
        <w:t>The goal of this work is to synthesize how seed dispersal networks have been used in tropical forest systems and to emphasize their potential to advance conservation and restoration ecology. Specifically, we focus on three aims: 1) Synthesize findings that have been made utilizing seed dispersal networks in the tropics that are relevant to the fields of conservation and restoration ecology; 2) Highlight potential biases and cautions of utilizing network theory, and; 3) Identify current knowledge gaps in utilizing seed dispersal networks to aid in conservation and restoration of tropical forests, and how these can be addressed in future research. To this end, we conducted a systematic literature review to document research on seed dispersal networks in tropical regions with a specific focus on how studies could relate to conservation and restoration. By systematically reviewing and summarizing a wide range of studies, this review will provide a comprehensive overview of the current state of research in this field and its potential trajectory for future research.</w:t>
      </w:r>
    </w:p>
    <w:p w14:paraId="7BD691BE" w14:textId="214A65B1" w:rsidR="00661E21" w:rsidRPr="00BA2499" w:rsidRDefault="00CE6D79" w:rsidP="00D77075">
      <w:pPr>
        <w:spacing w:before="0" w:after="0"/>
        <w:rPr>
          <w:rFonts w:ascii="Times New Roman" w:hAnsi="Times New Roman" w:cs="Times New Roman"/>
          <w:color w:val="000000" w:themeColor="text1"/>
        </w:rPr>
      </w:pPr>
      <w:r w:rsidRPr="00B066C6">
        <w:rPr>
          <w:rFonts w:ascii="Times New Roman" w:hAnsi="Times New Roman" w:cs="Times New Roman"/>
          <w:b/>
          <w:bCs/>
          <w:highlight w:val="white"/>
        </w:rPr>
        <w:t>Methods</w:t>
      </w:r>
    </w:p>
    <w:p w14:paraId="71A21211" w14:textId="1A0FA104" w:rsidR="00661E21" w:rsidRPr="00624A02" w:rsidRDefault="00661E21" w:rsidP="00D77075">
      <w:pPr>
        <w:pStyle w:val="Heading3"/>
        <w:spacing w:before="0" w:after="0"/>
        <w:rPr>
          <w:rFonts w:ascii="Times New Roman" w:hAnsi="Times New Roman" w:cs="Times New Roman"/>
          <w:b/>
          <w:bCs/>
          <w:i/>
          <w:iCs/>
          <w:color w:val="auto"/>
          <w:sz w:val="24"/>
          <w:szCs w:val="24"/>
        </w:rPr>
      </w:pPr>
      <w:bookmarkStart w:id="61" w:name="_Toc195189609"/>
      <w:r w:rsidRPr="00624A02">
        <w:rPr>
          <w:rFonts w:ascii="Times New Roman" w:hAnsi="Times New Roman" w:cs="Times New Roman"/>
          <w:b/>
          <w:bCs/>
          <w:i/>
          <w:iCs/>
          <w:color w:val="auto"/>
          <w:sz w:val="24"/>
          <w:szCs w:val="24"/>
        </w:rPr>
        <w:t>Literature Survey and Database</w:t>
      </w:r>
      <w:bookmarkEnd w:id="61"/>
    </w:p>
    <w:p w14:paraId="719C1387" w14:textId="0EA7C903"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A comprehensive literature survey was conducted to gather relevant studies aimed at seed dispersal networks in tropical forests using Web of Science, PubMed, and Google Scholar. The search terms included "seed dispersal network" OR "frugivore* dispersal network" OR "plant-frugivore* network" OR "mutualistic interaction network" AND dispersal in the title, keywords, or abstract. In addition, we checked the Interaction Web </w:t>
      </w:r>
      <w:proofErr w:type="gramStart"/>
      <w:r w:rsidRPr="00B066C6">
        <w:rPr>
          <w:rFonts w:ascii="Times New Roman" w:hAnsi="Times New Roman" w:cs="Times New Roman"/>
        </w:rPr>
        <w:t>Database</w:t>
      </w:r>
      <w:proofErr w:type="gramEnd"/>
      <w:r w:rsidRPr="00B066C6">
        <w:rPr>
          <w:rFonts w:ascii="Times New Roman" w:hAnsi="Times New Roman" w:cs="Times New Roman"/>
        </w:rPr>
        <w:t xml:space="preserve"> and the Web of Life Ecological Network Database and searched references listed in studies to build an extensive list of seed </w:t>
      </w:r>
      <w:r w:rsidRPr="00B066C6">
        <w:rPr>
          <w:rFonts w:ascii="Times New Roman" w:hAnsi="Times New Roman" w:cs="Times New Roman"/>
        </w:rPr>
        <w:lastRenderedPageBreak/>
        <w:t>dispersal network papers in the tropics. Initial search results returned 2916 articles. The search was then refined by including specific terms related to seed dispersal networks, fruit-frugivore interactions, and tropical regions. After these initial screenings, the abstracts of 428 papers indicated that the research centered around seed dispersal networks in the tropics, and each was then fully analyzed. Studies that met the following criteria were considered for inclusion: (1) overall focus on seed dispersal networks specifically, with results including descriptions of or utilization of network analysis, (2) study focused on or took place in tropical regions, (3) published in peer-reviewed journals or dissertation manuscripts, (4) published between 1990 and 2023, and (5) employed empirical or theoretical approaches to collect data on seed dispersal interactions. To ensure no datasets were overlapping with data from empirical studies, we removed any duplicate studies or studies that used individual networks that were reported in multiple papers, as many of the reviews and meta-analyses gathered used publicly available datasets. We retained the original paper that described a seed dispersal network and did not utilize any papers published after the original article using the same data set. Full-text articles were obtained for the selected studies and thoroughly reviewed to assess their suitability for inclusion in this review. After the second screening, a total of 77 papers were included in our analysis</w:t>
      </w:r>
      <w:r w:rsidR="001918D7">
        <w:rPr>
          <w:rFonts w:ascii="Times New Roman" w:hAnsi="Times New Roman" w:cs="Times New Roman"/>
        </w:rPr>
        <w:t xml:space="preserve"> </w:t>
      </w:r>
      <w:r w:rsidR="001918D7" w:rsidRPr="001918D7">
        <w:rPr>
          <w:rFonts w:ascii="Times New Roman" w:hAnsi="Times New Roman" w:cs="Times New Roman"/>
          <w:b/>
          <w:bCs/>
        </w:rPr>
        <w:t>(Supplementary Figure 1)</w:t>
      </w:r>
      <w:r w:rsidRPr="001918D7">
        <w:rPr>
          <w:rFonts w:ascii="Times New Roman" w:hAnsi="Times New Roman" w:cs="Times New Roman"/>
          <w:b/>
          <w:bCs/>
        </w:rPr>
        <w:t>.</w:t>
      </w:r>
    </w:p>
    <w:p w14:paraId="60917496" w14:textId="44E418F6" w:rsidR="002F712A"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Various aspects of each included study were extracted to provide a comprehensive understanding of seed dispersal networks in the context of tropical forest conservation and restoration. This included qualitative information such as the goals and hypotheses of each study, site locations, species involved, field methods employed such as focal observations or camera traps, and the statistical approaches utilized in each study. Different types of null models, such as randomized or simulated models, may have been used to compare the observed network structure against randomized or null expectations. If the study included multiple sites or habitats, information on how comparisons were made across these sites was extracted. Finally, we examined the claims made by each study, including key findings related to network dynamics </w:t>
      </w:r>
      <w:r w:rsidR="00264875" w:rsidRPr="00B066C6">
        <w:rPr>
          <w:rFonts w:ascii="Times New Roman" w:hAnsi="Times New Roman" w:cs="Times New Roman"/>
        </w:rPr>
        <w:t>across different habitats, the role of specific species within networks, and if there were suggested implicati</w:t>
      </w:r>
      <w:r w:rsidR="00753F0D">
        <w:rPr>
          <w:rFonts w:ascii="Times New Roman" w:hAnsi="Times New Roman" w:cs="Times New Roman"/>
        </w:rPr>
        <w:t>ons and future research suggestions.</w:t>
      </w:r>
    </w:p>
    <w:p w14:paraId="46765064" w14:textId="70466006" w:rsidR="00661E21" w:rsidRPr="002F712A" w:rsidRDefault="00661E21" w:rsidP="00D77075">
      <w:pPr>
        <w:spacing w:before="0" w:after="0"/>
        <w:rPr>
          <w:rFonts w:ascii="Times New Roman" w:hAnsi="Times New Roman" w:cs="Times New Roman"/>
        </w:rPr>
      </w:pPr>
      <w:r w:rsidRPr="00624A02">
        <w:rPr>
          <w:rFonts w:ascii="Times New Roman" w:hAnsi="Times New Roman" w:cs="Times New Roman"/>
          <w:b/>
          <w:bCs/>
          <w:i/>
          <w:iCs/>
        </w:rPr>
        <w:t xml:space="preserve">Building Database of Seed Dispersal Networks </w:t>
      </w:r>
    </w:p>
    <w:p w14:paraId="727E4A91" w14:textId="002DB655" w:rsidR="00661E21" w:rsidRPr="00B066C6" w:rsidRDefault="00661E21" w:rsidP="00D77075">
      <w:pPr>
        <w:spacing w:before="0" w:after="0"/>
        <w:ind w:left="-20" w:right="-20" w:firstLine="740"/>
        <w:rPr>
          <w:rFonts w:ascii="Times New Roman" w:hAnsi="Times New Roman" w:cs="Times New Roman"/>
        </w:rPr>
      </w:pPr>
      <w:r w:rsidRPr="00B066C6">
        <w:rPr>
          <w:rFonts w:ascii="Times New Roman" w:hAnsi="Times New Roman" w:cs="Times New Roman"/>
        </w:rPr>
        <w:t xml:space="preserve">We gathered reported network measures from each paper including network richness, plant richness, disperser richness, as well as the frequency or number of total interactions. This </w:t>
      </w:r>
      <w:r w:rsidRPr="00B066C6">
        <w:rPr>
          <w:rFonts w:ascii="Times New Roman" w:hAnsi="Times New Roman" w:cs="Times New Roman"/>
        </w:rPr>
        <w:lastRenderedPageBreak/>
        <w:t xml:space="preserve">was done to gain a better understanding of the patterns and variations in seed dispersal networks and highlight potential correlations between these parameters and methodologies used to sample for seed dispersal interactions. We carefully screened each review and meta-analysis to ensure no datasets were overlapping with data from empirical studies, and if they were then the duplicate networks were removed. In addition to network richness, we extracted other network-level metrics such as modularity, specialization, nestedness and weighted nestedness, connectance, robustness, interaction evenness, sampling completeness, and any other network-level metrics reported. We again carefully screened each paper and ensured that measures were calculated and represented in the same way, and if they were not, we manually changed them (for example, changing 75% sampling completeness to 0.75). </w:t>
      </w:r>
    </w:p>
    <w:p w14:paraId="71FF85F3" w14:textId="1496F789" w:rsidR="00661E21" w:rsidRPr="00624A02" w:rsidRDefault="00661E21" w:rsidP="00D77075">
      <w:pPr>
        <w:pStyle w:val="Heading3"/>
        <w:spacing w:before="0" w:after="0"/>
        <w:rPr>
          <w:rFonts w:ascii="Times New Roman" w:hAnsi="Times New Roman" w:cs="Times New Roman"/>
          <w:b/>
          <w:bCs/>
          <w:i/>
          <w:iCs/>
          <w:color w:val="auto"/>
          <w:sz w:val="24"/>
          <w:szCs w:val="24"/>
        </w:rPr>
      </w:pPr>
      <w:bookmarkStart w:id="62" w:name="_Toc195189610"/>
      <w:r w:rsidRPr="00624A02">
        <w:rPr>
          <w:rFonts w:ascii="Times New Roman" w:hAnsi="Times New Roman" w:cs="Times New Roman"/>
          <w:b/>
          <w:bCs/>
          <w:i/>
          <w:iCs/>
          <w:color w:val="auto"/>
          <w:sz w:val="24"/>
          <w:szCs w:val="24"/>
        </w:rPr>
        <w:t>Statistical Analysis</w:t>
      </w:r>
      <w:bookmarkEnd w:id="62"/>
    </w:p>
    <w:p w14:paraId="62F9F365" w14:textId="234ACD37" w:rsidR="005F1905" w:rsidRDefault="00661E21" w:rsidP="00753F0D">
      <w:pPr>
        <w:spacing w:before="0" w:after="0"/>
        <w:ind w:left="-20" w:right="-20" w:firstLine="740"/>
        <w:rPr>
          <w:rFonts w:ascii="Times New Roman" w:hAnsi="Times New Roman" w:cs="Times New Roman"/>
        </w:rPr>
      </w:pPr>
      <w:r w:rsidRPr="00B066C6">
        <w:rPr>
          <w:rFonts w:ascii="Times New Roman" w:hAnsi="Times New Roman" w:cs="Times New Roman"/>
        </w:rPr>
        <w:t>From extracted network-level metrics, we used a Kruskal-</w:t>
      </w:r>
      <w:proofErr w:type="gramStart"/>
      <w:r w:rsidRPr="00B066C6">
        <w:rPr>
          <w:rFonts w:ascii="Times New Roman" w:hAnsi="Times New Roman" w:cs="Times New Roman"/>
        </w:rPr>
        <w:t>Wallis</w:t>
      </w:r>
      <w:proofErr w:type="gramEnd"/>
      <w:r w:rsidRPr="00B066C6">
        <w:rPr>
          <w:rFonts w:ascii="Times New Roman" w:hAnsi="Times New Roman" w:cs="Times New Roman"/>
        </w:rPr>
        <w:t xml:space="preserve"> test to test significant relationships between network size and network-level metrics such as weighted nestedness (WNODF), specialization (H</w:t>
      </w:r>
      <w:r w:rsidRPr="00B066C6">
        <w:rPr>
          <w:rFonts w:ascii="Times New Roman" w:hAnsi="Times New Roman" w:cs="Times New Roman"/>
          <w:vertAlign w:val="superscript"/>
        </w:rPr>
        <w:t>2</w:t>
      </w:r>
      <w:r w:rsidRPr="00B066C6">
        <w:rPr>
          <w:rFonts w:ascii="Times New Roman" w:hAnsi="Times New Roman" w:cs="Times New Roman"/>
        </w:rPr>
        <w:t>), and modularity (</w:t>
      </w:r>
      <w:r w:rsidRPr="00B066C6">
        <w:rPr>
          <w:rFonts w:ascii="Times New Roman" w:hAnsi="Times New Roman" w:cs="Times New Roman"/>
          <w:i/>
        </w:rPr>
        <w:t>Q</w:t>
      </w:r>
      <w:r w:rsidRPr="00B066C6">
        <w:rPr>
          <w:rFonts w:ascii="Times New Roman" w:hAnsi="Times New Roman" w:cs="Times New Roman"/>
        </w:rPr>
        <w:t>). This analysis helps to discern whether network structures vary significantly with changes in network size, providing insights into how the size of seed dispersal networks may influence key ecological metrics. Furthermore, we used generalized linear models and Pearson correlations tests to determine if sampling type (phytocentric, zoocentric, or a mix of both), sampling effort measures, and taxa (plant and animal) influenced network-level metrics. Different sampling approaches (phytocentric, zoocentric, or mixed) may yield varying network structures (Vitorino et al., 2022). A phytocentric approach emphasizes the perspective of plants, for example by observing frugivory on a particular tree (Schlautmann et al., 2021). A zoocentric approach highlights the perspective of animals, for example through mist-netting bats to collect seeds from fecal samples (Hernandez-Montero et al., 2015). By analyzing their impact on network-level metrics, one can assess the methodological implications of sampling strategies, aiding in the standardization of methodologies for future seed dispersal network studies.</w:t>
      </w:r>
    </w:p>
    <w:p w14:paraId="2F1023F0" w14:textId="7614CF22" w:rsidR="00661E21" w:rsidRPr="00B066C6" w:rsidRDefault="00CE6D79" w:rsidP="00D77075">
      <w:pPr>
        <w:pStyle w:val="Heading2"/>
        <w:spacing w:before="0" w:after="0"/>
        <w:rPr>
          <w:rFonts w:ascii="Times New Roman" w:hAnsi="Times New Roman" w:cs="Times New Roman"/>
          <w:b/>
          <w:bCs/>
          <w:color w:val="auto"/>
          <w:sz w:val="24"/>
          <w:szCs w:val="24"/>
          <w:highlight w:val="white"/>
        </w:rPr>
      </w:pPr>
      <w:bookmarkStart w:id="63" w:name="_Toc195189611"/>
      <w:r w:rsidRPr="00B066C6">
        <w:rPr>
          <w:rFonts w:ascii="Times New Roman" w:hAnsi="Times New Roman" w:cs="Times New Roman"/>
          <w:b/>
          <w:bCs/>
          <w:color w:val="auto"/>
          <w:sz w:val="24"/>
          <w:szCs w:val="24"/>
          <w:highlight w:val="white"/>
        </w:rPr>
        <w:t>Results</w:t>
      </w:r>
      <w:bookmarkEnd w:id="63"/>
    </w:p>
    <w:p w14:paraId="193F7FC9" w14:textId="30148FFB" w:rsidR="00661E21" w:rsidRPr="00624A02" w:rsidRDefault="00661E21" w:rsidP="00D77075">
      <w:pPr>
        <w:pStyle w:val="Heading3"/>
        <w:spacing w:before="0" w:after="0"/>
        <w:rPr>
          <w:rFonts w:ascii="Times New Roman" w:hAnsi="Times New Roman" w:cs="Times New Roman"/>
          <w:b/>
          <w:bCs/>
          <w:i/>
          <w:iCs/>
          <w:color w:val="auto"/>
          <w:sz w:val="24"/>
          <w:szCs w:val="24"/>
          <w:highlight w:val="white"/>
        </w:rPr>
      </w:pPr>
      <w:bookmarkStart w:id="64" w:name="_Toc195189612"/>
      <w:r w:rsidRPr="00624A02">
        <w:rPr>
          <w:rFonts w:ascii="Times New Roman" w:hAnsi="Times New Roman" w:cs="Times New Roman"/>
          <w:b/>
          <w:bCs/>
          <w:i/>
          <w:iCs/>
          <w:color w:val="auto"/>
          <w:sz w:val="24"/>
          <w:szCs w:val="24"/>
        </w:rPr>
        <w:t>Literature Survey</w:t>
      </w:r>
      <w:bookmarkEnd w:id="64"/>
      <w:r w:rsidRPr="00624A02">
        <w:rPr>
          <w:rFonts w:ascii="Times New Roman" w:hAnsi="Times New Roman" w:cs="Times New Roman"/>
          <w:b/>
          <w:bCs/>
          <w:i/>
          <w:iCs/>
          <w:color w:val="auto"/>
          <w:sz w:val="24"/>
          <w:szCs w:val="24"/>
        </w:rPr>
        <w:t xml:space="preserve"> </w:t>
      </w:r>
    </w:p>
    <w:p w14:paraId="4AC5CE06" w14:textId="77777777" w:rsidR="00264875" w:rsidRDefault="00661E21" w:rsidP="00D77075">
      <w:pPr>
        <w:spacing w:before="0" w:after="0"/>
        <w:ind w:left="-20" w:right="-20" w:firstLine="720"/>
        <w:rPr>
          <w:rFonts w:ascii="Times New Roman" w:hAnsi="Times New Roman" w:cs="Times New Roman"/>
        </w:rPr>
      </w:pPr>
      <w:r w:rsidRPr="00B066C6">
        <w:rPr>
          <w:rFonts w:ascii="Times New Roman" w:hAnsi="Times New Roman" w:cs="Times New Roman"/>
        </w:rPr>
        <w:t>Of the 77 papers analyzed in this study, 44 were from the Neotropics, 14 were in the Afrotropics, six were in tropical Asia, and the remainder had multiple regions within their analysis (</w:t>
      </w:r>
      <w:r w:rsidRPr="003022FF">
        <w:rPr>
          <w:rFonts w:ascii="Times New Roman" w:hAnsi="Times New Roman" w:cs="Times New Roman"/>
          <w:b/>
          <w:bCs/>
        </w:rPr>
        <w:t>Figure 1</w:t>
      </w:r>
      <w:r w:rsidRPr="00B066C6">
        <w:rPr>
          <w:rFonts w:ascii="Times New Roman" w:hAnsi="Times New Roman" w:cs="Times New Roman"/>
        </w:rPr>
        <w:t xml:space="preserve">). Numerous studies took place in Brazil (n=26), and many of those were from </w:t>
      </w:r>
      <w:r w:rsidRPr="00B066C6">
        <w:rPr>
          <w:rFonts w:ascii="Times New Roman" w:hAnsi="Times New Roman" w:cs="Times New Roman"/>
        </w:rPr>
        <w:lastRenderedPageBreak/>
        <w:t xml:space="preserve">Brazilian Cerrado or Atlantic Forest (n=16) biodiversity hotspots, leaving studies in other tropical regions such as Southeast Asia and Central Africa severely limited. Fifty-two papers conducted field sampling for species interactions, while the remaining 28 papers were reviews, meta-analyses, or simulation models. Birds represented the most studied taxa, appearing in 57 papers, and were the only animal taxa included in networks in 31 papers. Excluding review papers, direct observation was the most used field methodology to gather information on seed dispersal interactions (n=34), followed by mist-netting (n=14), camera traps (n=10), and scat surveys (n=10). Only 18 papers used a combination of field methodology to assess seed dispersal interactions, which most often included a combination of direct observations, mist-netting, and camera traps. </w:t>
      </w:r>
    </w:p>
    <w:p w14:paraId="4E1B0565" w14:textId="5133C97E" w:rsidR="00661E21" w:rsidRPr="00B066C6" w:rsidRDefault="00661E21" w:rsidP="00D77075">
      <w:pPr>
        <w:spacing w:before="0" w:after="0"/>
        <w:ind w:left="-20" w:right="-20" w:firstLine="720"/>
        <w:rPr>
          <w:rFonts w:ascii="Times New Roman" w:hAnsi="Times New Roman" w:cs="Times New Roman"/>
        </w:rPr>
      </w:pPr>
      <w:r w:rsidRPr="00B066C6">
        <w:rPr>
          <w:rFonts w:ascii="Times New Roman" w:hAnsi="Times New Roman" w:cs="Times New Roman"/>
        </w:rPr>
        <w:t>Twenty papers focused on utilizing functional traits of both plants and animals to identify their roles in seed dispersal networks and the surrounding ecosystem, 15 of which were within the last five years. Other major topics included comparing networks across a landscape gradient (n=19), identifying the role of invasive or non-native species within a network (n=5), and highlighting the roles of specific taxa or field methodology in skewing network measures (n=4). Only one paper to date has examined how seed dispersal networks reassemble over a restoration gradient (Ribeiro da Silva et al., 2015).</w:t>
      </w:r>
    </w:p>
    <w:p w14:paraId="7DAAE56E" w14:textId="1036B862" w:rsidR="00661E21" w:rsidRPr="00624A02" w:rsidRDefault="00661E21" w:rsidP="00D77075">
      <w:pPr>
        <w:pStyle w:val="Heading3"/>
        <w:spacing w:before="0" w:after="0"/>
        <w:rPr>
          <w:rFonts w:ascii="Times New Roman" w:hAnsi="Times New Roman" w:cs="Times New Roman"/>
          <w:b/>
          <w:bCs/>
          <w:i/>
          <w:iCs/>
          <w:color w:val="auto"/>
          <w:sz w:val="24"/>
          <w:szCs w:val="24"/>
        </w:rPr>
      </w:pPr>
      <w:bookmarkStart w:id="65" w:name="_Toc195189613"/>
      <w:r w:rsidRPr="00624A02">
        <w:rPr>
          <w:rFonts w:ascii="Times New Roman" w:hAnsi="Times New Roman" w:cs="Times New Roman"/>
          <w:b/>
          <w:bCs/>
          <w:i/>
          <w:iCs/>
          <w:color w:val="auto"/>
          <w:sz w:val="24"/>
          <w:szCs w:val="24"/>
        </w:rPr>
        <w:t>Network measures</w:t>
      </w:r>
      <w:bookmarkEnd w:id="65"/>
    </w:p>
    <w:p w14:paraId="35ED639B" w14:textId="48DCEC96" w:rsidR="005F1905" w:rsidRDefault="00661E21" w:rsidP="00753F0D">
      <w:pPr>
        <w:spacing w:before="0" w:after="0"/>
        <w:ind w:firstLine="720"/>
        <w:rPr>
          <w:rFonts w:ascii="Times New Roman" w:hAnsi="Times New Roman" w:cs="Times New Roman"/>
        </w:rPr>
      </w:pPr>
      <w:r w:rsidRPr="00B066C6">
        <w:rPr>
          <w:rFonts w:ascii="Times New Roman" w:hAnsi="Times New Roman" w:cs="Times New Roman"/>
        </w:rPr>
        <w:t xml:space="preserve">In total, 306 individual networks and their reported metrics were extracted from the 77 papers synthesized for this review. The most reported network-level metrics were modularity </w:t>
      </w:r>
      <w:r w:rsidRPr="00B066C6">
        <w:rPr>
          <w:rFonts w:ascii="Times New Roman" w:hAnsi="Times New Roman" w:cs="Times New Roman"/>
          <w:i/>
          <w:iCs/>
        </w:rPr>
        <w:t>(Q</w:t>
      </w:r>
      <w:r w:rsidRPr="00B066C6">
        <w:rPr>
          <w:rFonts w:ascii="Times New Roman" w:hAnsi="Times New Roman" w:cs="Times New Roman"/>
        </w:rPr>
        <w:t xml:space="preserve"> or </w:t>
      </w:r>
      <w:r w:rsidRPr="00B066C6">
        <w:rPr>
          <w:rFonts w:ascii="Times New Roman" w:hAnsi="Times New Roman" w:cs="Times New Roman"/>
          <w:i/>
          <w:iCs/>
        </w:rPr>
        <w:t>M</w:t>
      </w:r>
      <w:r w:rsidRPr="00B066C6">
        <w:rPr>
          <w:rFonts w:ascii="Times New Roman" w:hAnsi="Times New Roman" w:cs="Times New Roman"/>
        </w:rPr>
        <w:t>), nestedness (WNODF or NODF), and specialization (H</w:t>
      </w:r>
      <w:r w:rsidRPr="00B066C6">
        <w:rPr>
          <w:rFonts w:ascii="Times New Roman" w:hAnsi="Times New Roman" w:cs="Times New Roman"/>
          <w:vertAlign w:val="superscript"/>
        </w:rPr>
        <w:t>2</w:t>
      </w:r>
      <w:r w:rsidRPr="00B066C6">
        <w:rPr>
          <w:rFonts w:ascii="Times New Roman" w:hAnsi="Times New Roman" w:cs="Times New Roman"/>
        </w:rPr>
        <w:t>) (</w:t>
      </w:r>
      <w:r w:rsidRPr="003022FF">
        <w:rPr>
          <w:rFonts w:ascii="Times New Roman" w:hAnsi="Times New Roman" w:cs="Times New Roman"/>
          <w:b/>
          <w:bCs/>
        </w:rPr>
        <w:t>Table 2</w:t>
      </w:r>
      <w:r w:rsidRPr="00B066C6">
        <w:rPr>
          <w:rFonts w:ascii="Times New Roman" w:hAnsi="Times New Roman" w:cs="Times New Roman"/>
        </w:rPr>
        <w:t xml:space="preserve">). Only 91 of 306 networks included a measure of sampling completeness (i.e., the sample’s coverage, or the ratio </w:t>
      </w:r>
      <w:r w:rsidR="00D77075" w:rsidRPr="00B066C6">
        <w:rPr>
          <w:rFonts w:ascii="Times New Roman" w:hAnsi="Times New Roman" w:cs="Times New Roman"/>
        </w:rPr>
        <w:t>of the number of individuals of a species in the sample to the number of individuals in an overall assemblage of that species (Chao et al. 2020). Less than 30 networks reported other network measures, including interaction evenness, which evaluates the homogeneity of relative</w:t>
      </w:r>
      <w:r w:rsidR="00753F0D" w:rsidRPr="00753F0D">
        <w:rPr>
          <w:rFonts w:ascii="Times New Roman" w:hAnsi="Times New Roman" w:cs="Times New Roman"/>
        </w:rPr>
        <w:t xml:space="preserve"> </w:t>
      </w:r>
      <w:r w:rsidR="00753F0D" w:rsidRPr="00B066C6">
        <w:rPr>
          <w:rFonts w:ascii="Times New Roman" w:hAnsi="Times New Roman" w:cs="Times New Roman"/>
        </w:rPr>
        <w:t>interaction frequencies across all links in the network (</w:t>
      </w:r>
      <w:proofErr w:type="spellStart"/>
      <w:r w:rsidR="00753F0D" w:rsidRPr="00B066C6">
        <w:rPr>
          <w:rFonts w:ascii="Times New Roman" w:hAnsi="Times New Roman" w:cs="Times New Roman"/>
        </w:rPr>
        <w:t>Blüthgen</w:t>
      </w:r>
      <w:proofErr w:type="spellEnd"/>
      <w:r w:rsidR="00753F0D" w:rsidRPr="00B066C6">
        <w:rPr>
          <w:rFonts w:ascii="Times New Roman" w:hAnsi="Times New Roman" w:cs="Times New Roman"/>
        </w:rPr>
        <w:t xml:space="preserve"> et al., 2008), interaction diversity or the richness and relative abundance of species interactions in a community (Dyer et al., 2010), and network robustness, which is the ability of a network to maintain its interactions after a perturbation (Fortuna &amp; </w:t>
      </w:r>
      <w:proofErr w:type="spellStart"/>
      <w:r w:rsidR="00753F0D" w:rsidRPr="00B066C6">
        <w:rPr>
          <w:rFonts w:ascii="Times New Roman" w:hAnsi="Times New Roman" w:cs="Times New Roman"/>
        </w:rPr>
        <w:t>Bascompte</w:t>
      </w:r>
      <w:proofErr w:type="spellEnd"/>
      <w:r w:rsidR="00753F0D" w:rsidRPr="00B066C6">
        <w:rPr>
          <w:rFonts w:ascii="Times New Roman" w:hAnsi="Times New Roman" w:cs="Times New Roman"/>
        </w:rPr>
        <w:t xml:space="preserve"> 2006). Sampling method significantly influenced</w:t>
      </w:r>
    </w:p>
    <w:tbl>
      <w:tblPr>
        <w:tblStyle w:val="4"/>
        <w:tblW w:w="9435" w:type="dxa"/>
        <w:tblBorders>
          <w:top w:val="nil"/>
          <w:left w:val="nil"/>
          <w:bottom w:val="nil"/>
          <w:right w:val="nil"/>
          <w:insideH w:val="nil"/>
          <w:insideV w:val="nil"/>
        </w:tblBorders>
        <w:tblLayout w:type="fixed"/>
        <w:tblLook w:val="0400" w:firstRow="0" w:lastRow="0" w:firstColumn="0" w:lastColumn="0" w:noHBand="0" w:noVBand="1"/>
      </w:tblPr>
      <w:tblGrid>
        <w:gridCol w:w="9435"/>
      </w:tblGrid>
      <w:tr w:rsidR="005F1905" w:rsidRPr="00B066C6" w14:paraId="1648339C" w14:textId="77777777" w:rsidTr="00BA36F1">
        <w:trPr>
          <w:trHeight w:val="5203"/>
        </w:trPr>
        <w:tc>
          <w:tcPr>
            <w:tcW w:w="9435" w:type="dxa"/>
            <w:tcBorders>
              <w:top w:val="nil"/>
              <w:left w:val="nil"/>
              <w:bottom w:val="nil"/>
              <w:right w:val="nil"/>
            </w:tcBorders>
            <w:tcMar>
              <w:left w:w="108" w:type="dxa"/>
              <w:right w:w="108" w:type="dxa"/>
            </w:tcMar>
          </w:tcPr>
          <w:p w14:paraId="6385ADAB" w14:textId="77777777" w:rsidR="005F1905" w:rsidRPr="00B066C6" w:rsidRDefault="005F1905" w:rsidP="00BA36F1">
            <w:pPr>
              <w:keepNext/>
              <w:spacing w:line="360" w:lineRule="auto"/>
              <w:rPr>
                <w:rFonts w:ascii="Times New Roman" w:hAnsi="Times New Roman" w:cs="Times New Roman"/>
              </w:rPr>
            </w:pPr>
            <w:r w:rsidRPr="00B066C6">
              <w:rPr>
                <w:rFonts w:ascii="Times New Roman" w:hAnsi="Times New Roman" w:cs="Times New Roman"/>
                <w:noProof/>
              </w:rPr>
              <w:lastRenderedPageBreak/>
              <w:drawing>
                <wp:inline distT="0" distB="0" distL="0" distR="0" wp14:anchorId="332464D2" wp14:editId="163C88C2">
                  <wp:extent cx="5862639" cy="2048619"/>
                  <wp:effectExtent l="0" t="0" r="0" b="0"/>
                  <wp:docPr id="1820946958" name="image1.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1963067904" name="image1.png"/>
                          <pic:cNvPicPr/>
                        </pic:nvPicPr>
                        <pic:blipFill>
                          <a:blip r:embed="rId14">
                            <a:extLst>
                              <a:ext uri="{28A0092B-C50C-407E-A947-70E740481C1C}">
                                <a14:useLocalDpi xmlns:a14="http://schemas.microsoft.com/office/drawing/2010/main" val="0"/>
                              </a:ext>
                            </a:extLst>
                          </a:blip>
                          <a:srcRect t="12589" r="1331"/>
                          <a:stretch>
                            <a:fillRect/>
                          </a:stretch>
                        </pic:blipFill>
                        <pic:spPr>
                          <a:xfrm>
                            <a:off x="0" y="0"/>
                            <a:ext cx="5862639" cy="2048619"/>
                          </a:xfrm>
                          <a:prstGeom prst="rect">
                            <a:avLst/>
                          </a:prstGeom>
                        </pic:spPr>
                      </pic:pic>
                    </a:graphicData>
                  </a:graphic>
                </wp:inline>
              </w:drawing>
            </w:r>
            <w:r w:rsidRPr="00B066C6">
              <w:rPr>
                <w:rFonts w:ascii="Times New Roman" w:hAnsi="Times New Roman" w:cs="Times New Roman"/>
              </w:rPr>
              <w:t xml:space="preserve"> </w:t>
            </w:r>
          </w:p>
          <w:p w14:paraId="1A64561C" w14:textId="77777777" w:rsidR="005F1905" w:rsidRPr="00B066C6" w:rsidRDefault="005F1905" w:rsidP="00D77075">
            <w:pPr>
              <w:pStyle w:val="Caption"/>
              <w:rPr>
                <w:rFonts w:ascii="Times New Roman" w:hAnsi="Times New Roman" w:cs="Times New Roman"/>
                <w:i w:val="0"/>
                <w:iCs w:val="0"/>
                <w:sz w:val="24"/>
                <w:szCs w:val="24"/>
              </w:rPr>
            </w:pPr>
            <w:bookmarkStart w:id="66" w:name="_Toc195189738"/>
            <w:r w:rsidRPr="00B066C6">
              <w:rPr>
                <w:rFonts w:ascii="Times New Roman" w:hAnsi="Times New Roman" w:cs="Times New Roman"/>
                <w:b/>
                <w:bCs/>
                <w:i w:val="0"/>
                <w:iCs w:val="0"/>
                <w:color w:val="auto"/>
                <w:sz w:val="24"/>
                <w:szCs w:val="24"/>
              </w:rPr>
              <w:t xml:space="preserve">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Figure \* ARABIC </w:instrText>
            </w:r>
            <w:r w:rsidRPr="00B066C6">
              <w:rPr>
                <w:rFonts w:ascii="Times New Roman" w:hAnsi="Times New Roman" w:cs="Times New Roman"/>
                <w:b/>
                <w:bCs/>
                <w:i w:val="0"/>
                <w:iCs w:val="0"/>
                <w:color w:val="auto"/>
                <w:sz w:val="24"/>
                <w:szCs w:val="24"/>
              </w:rPr>
              <w:fldChar w:fldCharType="separate"/>
            </w:r>
            <w:r w:rsidRPr="00B066C6">
              <w:rPr>
                <w:rFonts w:ascii="Times New Roman" w:hAnsi="Times New Roman" w:cs="Times New Roman"/>
                <w:b/>
                <w:bCs/>
                <w:i w:val="0"/>
                <w:iCs w:val="0"/>
                <w:noProof/>
                <w:color w:val="auto"/>
                <w:sz w:val="24"/>
                <w:szCs w:val="24"/>
              </w:rPr>
              <w:t>1</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i w:val="0"/>
                <w:iCs w:val="0"/>
                <w:color w:val="auto"/>
                <w:sz w:val="24"/>
                <w:szCs w:val="24"/>
              </w:rPr>
              <w:t>: Geographic distribution of studies included in our review, with delineations for the Equator and Tropics of Cancer and Capricorn. Color represents the number of studies conducted in each country. Most studies were conducted in Brazil (n=26).</w:t>
            </w:r>
            <w:bookmarkEnd w:id="66"/>
          </w:p>
        </w:tc>
      </w:tr>
      <w:tr w:rsidR="005F1905" w:rsidRPr="00B066C6" w14:paraId="2E3A32EC" w14:textId="77777777" w:rsidTr="00BA36F1">
        <w:trPr>
          <w:trHeight w:val="300"/>
        </w:trPr>
        <w:tc>
          <w:tcPr>
            <w:tcW w:w="9435" w:type="dxa"/>
            <w:tcBorders>
              <w:top w:val="nil"/>
            </w:tcBorders>
            <w:tcMar>
              <w:left w:w="108" w:type="dxa"/>
              <w:right w:w="108" w:type="dxa"/>
            </w:tcMar>
          </w:tcPr>
          <w:p w14:paraId="6AF0AD6E" w14:textId="77777777" w:rsidR="005F1905" w:rsidRPr="00B066C6" w:rsidRDefault="005F1905" w:rsidP="00BA36F1">
            <w:pPr>
              <w:spacing w:line="360" w:lineRule="auto"/>
              <w:rPr>
                <w:rFonts w:ascii="Times New Roman" w:hAnsi="Times New Roman" w:cs="Times New Roman"/>
                <w:b/>
                <w:bCs/>
                <w:i/>
                <w:iCs/>
              </w:rPr>
            </w:pPr>
          </w:p>
        </w:tc>
      </w:tr>
    </w:tbl>
    <w:p w14:paraId="2793BB20" w14:textId="137E72C3" w:rsidR="005F1905" w:rsidRDefault="005F1905">
      <w:pPr>
        <w:rPr>
          <w:rFonts w:ascii="Times New Roman" w:hAnsi="Times New Roman" w:cs="Times New Roman"/>
        </w:rPr>
      </w:pPr>
    </w:p>
    <w:p w14:paraId="173D16E5" w14:textId="77777777" w:rsidR="00BA0A2D" w:rsidRDefault="00BA0A2D" w:rsidP="005F1905">
      <w:pPr>
        <w:rPr>
          <w:rFonts w:ascii="Times New Roman" w:hAnsi="Times New Roman" w:cs="Times New Roman"/>
        </w:rPr>
      </w:pPr>
    </w:p>
    <w:p w14:paraId="54C765B9" w14:textId="77777777" w:rsidR="00BA0A2D" w:rsidRDefault="00BA0A2D" w:rsidP="005F1905">
      <w:pPr>
        <w:rPr>
          <w:rFonts w:ascii="Times New Roman" w:hAnsi="Times New Roman" w:cs="Times New Roman"/>
        </w:rPr>
      </w:pPr>
    </w:p>
    <w:p w14:paraId="656D6F5C" w14:textId="77777777" w:rsidR="00BA0A2D" w:rsidRDefault="00BA0A2D" w:rsidP="005F1905">
      <w:pPr>
        <w:rPr>
          <w:rFonts w:ascii="Times New Roman" w:hAnsi="Times New Roman" w:cs="Times New Roman"/>
        </w:rPr>
      </w:pPr>
    </w:p>
    <w:p w14:paraId="1BD87119" w14:textId="77777777" w:rsidR="00BA0A2D" w:rsidRDefault="00BA0A2D" w:rsidP="005F1905">
      <w:pPr>
        <w:rPr>
          <w:rFonts w:ascii="Times New Roman" w:hAnsi="Times New Roman" w:cs="Times New Roman"/>
        </w:rPr>
      </w:pPr>
    </w:p>
    <w:p w14:paraId="49B00BEC" w14:textId="77777777" w:rsidR="00BA0A2D" w:rsidRDefault="00BA0A2D" w:rsidP="005F1905">
      <w:pPr>
        <w:rPr>
          <w:rFonts w:ascii="Times New Roman" w:hAnsi="Times New Roman" w:cs="Times New Roman"/>
        </w:rPr>
      </w:pPr>
    </w:p>
    <w:p w14:paraId="6C598A3A" w14:textId="34700D03" w:rsidR="005D6229" w:rsidRDefault="005F1905" w:rsidP="005F1905">
      <w:pPr>
        <w:rPr>
          <w:rFonts w:ascii="Times New Roman" w:hAnsi="Times New Roman" w:cs="Times New Roman"/>
        </w:rPr>
      </w:pPr>
      <w:r>
        <w:rPr>
          <w:rFonts w:ascii="Times New Roman" w:hAnsi="Times New Roman" w:cs="Times New Roman"/>
        </w:rPr>
        <w:br w:type="page"/>
      </w:r>
    </w:p>
    <w:tbl>
      <w:tblPr>
        <w:tblW w:w="0" w:type="auto"/>
        <w:tblCellMar>
          <w:top w:w="15" w:type="dxa"/>
          <w:left w:w="15" w:type="dxa"/>
          <w:bottom w:w="15" w:type="dxa"/>
          <w:right w:w="15" w:type="dxa"/>
        </w:tblCellMar>
        <w:tblLook w:val="04A0" w:firstRow="1" w:lastRow="0" w:firstColumn="1" w:lastColumn="0" w:noHBand="0" w:noVBand="1"/>
      </w:tblPr>
      <w:tblGrid>
        <w:gridCol w:w="4321"/>
        <w:gridCol w:w="1215"/>
        <w:gridCol w:w="3824"/>
      </w:tblGrid>
      <w:tr w:rsidR="005D6229" w:rsidRPr="00B066C6" w14:paraId="2A8EC843" w14:textId="77777777" w:rsidTr="008E3F64">
        <w:tc>
          <w:tcPr>
            <w:tcW w:w="0" w:type="auto"/>
            <w:gridSpan w:val="3"/>
            <w:tcBorders>
              <w:bottom w:val="double" w:sz="4" w:space="0" w:color="auto"/>
            </w:tcBorders>
            <w:tcMar>
              <w:top w:w="113" w:type="dxa"/>
              <w:left w:w="113" w:type="dxa"/>
              <w:bottom w:w="113" w:type="dxa"/>
              <w:right w:w="113" w:type="dxa"/>
            </w:tcMar>
            <w:vAlign w:val="center"/>
          </w:tcPr>
          <w:p w14:paraId="5ADEA5E2" w14:textId="2C091DC9" w:rsidR="005D6229" w:rsidRPr="00B066C6" w:rsidRDefault="005D6229" w:rsidP="00D77075">
            <w:pPr>
              <w:pStyle w:val="Caption"/>
              <w:keepNext/>
              <w:spacing w:before="0" w:after="0"/>
              <w:rPr>
                <w:rFonts w:ascii="Times New Roman" w:hAnsi="Times New Roman" w:cs="Times New Roman"/>
                <w:i w:val="0"/>
                <w:iCs w:val="0"/>
                <w:sz w:val="24"/>
                <w:szCs w:val="24"/>
              </w:rPr>
            </w:pPr>
            <w:bookmarkStart w:id="67" w:name="_Toc195189687"/>
            <w:r w:rsidRPr="00B066C6">
              <w:rPr>
                <w:rFonts w:ascii="Times New Roman" w:hAnsi="Times New Roman" w:cs="Times New Roman"/>
                <w:b/>
                <w:bCs/>
                <w:i w:val="0"/>
                <w:iCs w:val="0"/>
                <w:color w:val="auto"/>
                <w:sz w:val="24"/>
                <w:szCs w:val="24"/>
              </w:rPr>
              <w:lastRenderedPageBreak/>
              <w:t xml:space="preserve">Table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Table \* ARABIC </w:instrText>
            </w:r>
            <w:r w:rsidRPr="00B066C6">
              <w:rPr>
                <w:rFonts w:ascii="Times New Roman" w:hAnsi="Times New Roman" w:cs="Times New Roman"/>
                <w:b/>
                <w:bCs/>
                <w:i w:val="0"/>
                <w:iCs w:val="0"/>
                <w:color w:val="auto"/>
                <w:sz w:val="24"/>
                <w:szCs w:val="24"/>
              </w:rPr>
              <w:fldChar w:fldCharType="separate"/>
            </w:r>
            <w:r w:rsidR="00E035F1">
              <w:rPr>
                <w:rFonts w:ascii="Times New Roman" w:hAnsi="Times New Roman" w:cs="Times New Roman"/>
                <w:b/>
                <w:bCs/>
                <w:i w:val="0"/>
                <w:iCs w:val="0"/>
                <w:noProof/>
                <w:color w:val="auto"/>
                <w:sz w:val="24"/>
                <w:szCs w:val="24"/>
              </w:rPr>
              <w:t>2</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Network metrics used to describe seed dispersal networks in the literature with the range and mean of measures reported from networks gathered for review.</w:t>
            </w:r>
            <w:bookmarkEnd w:id="67"/>
          </w:p>
        </w:tc>
      </w:tr>
      <w:tr w:rsidR="005D6229" w:rsidRPr="00B066C6" w14:paraId="4604DAB1" w14:textId="77777777" w:rsidTr="00E77EEE">
        <w:trPr>
          <w:trHeight w:val="73"/>
        </w:trPr>
        <w:tc>
          <w:tcPr>
            <w:tcW w:w="0" w:type="auto"/>
            <w:tcBorders>
              <w:top w:val="double" w:sz="4" w:space="0" w:color="auto"/>
              <w:bottom w:val="single" w:sz="6" w:space="0" w:color="000000"/>
            </w:tcBorders>
            <w:tcMar>
              <w:top w:w="113" w:type="dxa"/>
              <w:left w:w="113" w:type="dxa"/>
              <w:bottom w:w="113" w:type="dxa"/>
              <w:right w:w="113" w:type="dxa"/>
            </w:tcMar>
            <w:vAlign w:val="center"/>
            <w:hideMark/>
          </w:tcPr>
          <w:p w14:paraId="42A5812A" w14:textId="77777777" w:rsidR="005D6229" w:rsidRPr="00B066C6" w:rsidRDefault="005D6229" w:rsidP="00543DF7">
            <w:pPr>
              <w:spacing w:before="0" w:after="0"/>
              <w:rPr>
                <w:rFonts w:ascii="Times New Roman" w:hAnsi="Times New Roman" w:cs="Times New Roman"/>
                <w:b/>
                <w:bCs/>
              </w:rPr>
            </w:pPr>
            <w:r w:rsidRPr="00B066C6">
              <w:rPr>
                <w:rFonts w:ascii="Times New Roman" w:hAnsi="Times New Roman" w:cs="Times New Roman"/>
                <w:b/>
                <w:bCs/>
              </w:rPr>
              <w:t>Metrics</w:t>
            </w:r>
          </w:p>
        </w:tc>
        <w:tc>
          <w:tcPr>
            <w:tcW w:w="0" w:type="auto"/>
            <w:tcBorders>
              <w:top w:val="double" w:sz="4" w:space="0" w:color="auto"/>
              <w:bottom w:val="single" w:sz="6" w:space="0" w:color="000000"/>
            </w:tcBorders>
            <w:tcMar>
              <w:top w:w="113" w:type="dxa"/>
              <w:left w:w="113" w:type="dxa"/>
              <w:bottom w:w="113" w:type="dxa"/>
              <w:right w:w="113" w:type="dxa"/>
            </w:tcMar>
            <w:vAlign w:val="center"/>
            <w:hideMark/>
          </w:tcPr>
          <w:p w14:paraId="62590564" w14:textId="77777777" w:rsidR="005D6229" w:rsidRPr="00B066C6" w:rsidRDefault="005D6229" w:rsidP="00543DF7">
            <w:pPr>
              <w:spacing w:before="0" w:after="0"/>
              <w:rPr>
                <w:rFonts w:ascii="Times New Roman" w:hAnsi="Times New Roman" w:cs="Times New Roman"/>
                <w:b/>
                <w:bCs/>
              </w:rPr>
            </w:pPr>
            <w:r w:rsidRPr="00B066C6">
              <w:rPr>
                <w:rFonts w:ascii="Times New Roman" w:hAnsi="Times New Roman" w:cs="Times New Roman"/>
                <w:b/>
                <w:bCs/>
              </w:rPr>
              <w:t>Scale</w:t>
            </w:r>
          </w:p>
        </w:tc>
        <w:tc>
          <w:tcPr>
            <w:tcW w:w="0" w:type="auto"/>
            <w:tcBorders>
              <w:top w:val="double" w:sz="4" w:space="0" w:color="auto"/>
              <w:bottom w:val="single" w:sz="6" w:space="0" w:color="000000"/>
            </w:tcBorders>
            <w:tcMar>
              <w:top w:w="113" w:type="dxa"/>
              <w:left w:w="113" w:type="dxa"/>
              <w:bottom w:w="113" w:type="dxa"/>
              <w:right w:w="113" w:type="dxa"/>
            </w:tcMar>
            <w:vAlign w:val="center"/>
            <w:hideMark/>
          </w:tcPr>
          <w:p w14:paraId="0C30C511" w14:textId="77777777" w:rsidR="005D6229" w:rsidRPr="00B066C6" w:rsidRDefault="005D6229" w:rsidP="00543DF7">
            <w:pPr>
              <w:spacing w:before="0" w:after="0"/>
              <w:rPr>
                <w:rFonts w:ascii="Times New Roman" w:hAnsi="Times New Roman" w:cs="Times New Roman"/>
                <w:b/>
                <w:bCs/>
              </w:rPr>
            </w:pPr>
            <w:r w:rsidRPr="00B066C6">
              <w:rPr>
                <w:rFonts w:ascii="Times New Roman" w:hAnsi="Times New Roman" w:cs="Times New Roman"/>
                <w:b/>
                <w:bCs/>
              </w:rPr>
              <w:t>Overall Reported Values</w:t>
            </w:r>
          </w:p>
        </w:tc>
      </w:tr>
      <w:tr w:rsidR="005D6229" w:rsidRPr="00B066C6" w14:paraId="42C6937C" w14:textId="77777777" w:rsidTr="008E3F64">
        <w:tc>
          <w:tcPr>
            <w:tcW w:w="0" w:type="auto"/>
            <w:tcMar>
              <w:top w:w="113" w:type="dxa"/>
              <w:left w:w="113" w:type="dxa"/>
              <w:bottom w:w="113" w:type="dxa"/>
              <w:right w:w="113" w:type="dxa"/>
            </w:tcMar>
            <w:hideMark/>
          </w:tcPr>
          <w:p w14:paraId="43469703"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Weighted Nestedness (WNODF)</w:t>
            </w:r>
          </w:p>
        </w:tc>
        <w:tc>
          <w:tcPr>
            <w:tcW w:w="0" w:type="auto"/>
            <w:tcMar>
              <w:top w:w="113" w:type="dxa"/>
              <w:left w:w="113" w:type="dxa"/>
              <w:bottom w:w="113" w:type="dxa"/>
              <w:right w:w="113" w:type="dxa"/>
            </w:tcMar>
            <w:hideMark/>
          </w:tcPr>
          <w:p w14:paraId="061C1859"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1-100</w:t>
            </w:r>
          </w:p>
        </w:tc>
        <w:tc>
          <w:tcPr>
            <w:tcW w:w="0" w:type="auto"/>
            <w:tcMar>
              <w:top w:w="113" w:type="dxa"/>
              <w:left w:w="113" w:type="dxa"/>
              <w:bottom w:w="113" w:type="dxa"/>
              <w:right w:w="113" w:type="dxa"/>
            </w:tcMar>
            <w:hideMark/>
          </w:tcPr>
          <w:p w14:paraId="7EDEC207"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26.96 (low: 3.91, high: 58.4)</w:t>
            </w:r>
          </w:p>
        </w:tc>
      </w:tr>
      <w:tr w:rsidR="005D6229" w:rsidRPr="00B066C6" w14:paraId="0E1A7E91" w14:textId="77777777" w:rsidTr="008E3F64">
        <w:tc>
          <w:tcPr>
            <w:tcW w:w="0" w:type="auto"/>
            <w:shd w:val="clear" w:color="auto" w:fill="F2F2F2"/>
            <w:tcMar>
              <w:top w:w="113" w:type="dxa"/>
              <w:left w:w="113" w:type="dxa"/>
              <w:bottom w:w="113" w:type="dxa"/>
              <w:right w:w="113" w:type="dxa"/>
            </w:tcMar>
            <w:hideMark/>
          </w:tcPr>
          <w:p w14:paraId="5714C926"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Connectance (C)</w:t>
            </w:r>
          </w:p>
        </w:tc>
        <w:tc>
          <w:tcPr>
            <w:tcW w:w="0" w:type="auto"/>
            <w:shd w:val="clear" w:color="auto" w:fill="F2F2F2"/>
            <w:tcMar>
              <w:top w:w="113" w:type="dxa"/>
              <w:left w:w="113" w:type="dxa"/>
              <w:bottom w:w="113" w:type="dxa"/>
              <w:right w:w="113" w:type="dxa"/>
            </w:tcMar>
            <w:hideMark/>
          </w:tcPr>
          <w:p w14:paraId="53758D1F"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0-1</w:t>
            </w:r>
          </w:p>
        </w:tc>
        <w:tc>
          <w:tcPr>
            <w:tcW w:w="0" w:type="auto"/>
            <w:shd w:val="clear" w:color="auto" w:fill="F2F2F2"/>
            <w:tcMar>
              <w:top w:w="113" w:type="dxa"/>
              <w:left w:w="113" w:type="dxa"/>
              <w:bottom w:w="113" w:type="dxa"/>
              <w:right w:w="113" w:type="dxa"/>
            </w:tcMar>
            <w:hideMark/>
          </w:tcPr>
          <w:p w14:paraId="5FB3C1B1"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0.22 (low: 0.04, high: 0.39)</w:t>
            </w:r>
          </w:p>
        </w:tc>
      </w:tr>
      <w:tr w:rsidR="005D6229" w:rsidRPr="00B066C6" w14:paraId="60BDF119" w14:textId="77777777" w:rsidTr="008E3F64">
        <w:tc>
          <w:tcPr>
            <w:tcW w:w="0" w:type="auto"/>
            <w:tcMar>
              <w:top w:w="113" w:type="dxa"/>
              <w:left w:w="113" w:type="dxa"/>
              <w:bottom w:w="113" w:type="dxa"/>
              <w:right w:w="113" w:type="dxa"/>
            </w:tcMar>
            <w:hideMark/>
          </w:tcPr>
          <w:p w14:paraId="29763D4B"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Modularity (</w:t>
            </w:r>
            <w:r w:rsidRPr="00B066C6">
              <w:rPr>
                <w:rFonts w:ascii="Times New Roman" w:hAnsi="Times New Roman" w:cs="Times New Roman"/>
                <w:i/>
                <w:iCs/>
              </w:rPr>
              <w:t>M</w:t>
            </w:r>
            <w:r w:rsidRPr="00B066C6">
              <w:rPr>
                <w:rFonts w:ascii="Times New Roman" w:hAnsi="Times New Roman" w:cs="Times New Roman"/>
              </w:rPr>
              <w:t xml:space="preserve"> or </w:t>
            </w:r>
            <w:r w:rsidRPr="00B066C6">
              <w:rPr>
                <w:rFonts w:ascii="Times New Roman" w:hAnsi="Times New Roman" w:cs="Times New Roman"/>
                <w:i/>
                <w:iCs/>
              </w:rPr>
              <w:t>Q</w:t>
            </w:r>
            <w:r w:rsidRPr="00B066C6">
              <w:rPr>
                <w:rFonts w:ascii="Times New Roman" w:hAnsi="Times New Roman" w:cs="Times New Roman"/>
              </w:rPr>
              <w:t>)</w:t>
            </w:r>
          </w:p>
        </w:tc>
        <w:tc>
          <w:tcPr>
            <w:tcW w:w="0" w:type="auto"/>
            <w:tcMar>
              <w:top w:w="113" w:type="dxa"/>
              <w:left w:w="113" w:type="dxa"/>
              <w:bottom w:w="113" w:type="dxa"/>
              <w:right w:w="113" w:type="dxa"/>
            </w:tcMar>
            <w:hideMark/>
          </w:tcPr>
          <w:p w14:paraId="381A3E10"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0-1</w:t>
            </w:r>
          </w:p>
        </w:tc>
        <w:tc>
          <w:tcPr>
            <w:tcW w:w="0" w:type="auto"/>
            <w:tcMar>
              <w:top w:w="113" w:type="dxa"/>
              <w:left w:w="113" w:type="dxa"/>
              <w:bottom w:w="113" w:type="dxa"/>
              <w:right w:w="113" w:type="dxa"/>
            </w:tcMar>
            <w:hideMark/>
          </w:tcPr>
          <w:p w14:paraId="61CBC127"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0.379 (low: 0.097, high: 0.67)</w:t>
            </w:r>
          </w:p>
        </w:tc>
      </w:tr>
      <w:tr w:rsidR="005D6229" w:rsidRPr="00B066C6" w14:paraId="52B2E639" w14:textId="77777777" w:rsidTr="008E3F64">
        <w:tc>
          <w:tcPr>
            <w:tcW w:w="0" w:type="auto"/>
            <w:shd w:val="clear" w:color="auto" w:fill="F2F2F2"/>
            <w:tcMar>
              <w:top w:w="113" w:type="dxa"/>
              <w:left w:w="113" w:type="dxa"/>
              <w:bottom w:w="113" w:type="dxa"/>
              <w:right w:w="113" w:type="dxa"/>
            </w:tcMar>
            <w:hideMark/>
          </w:tcPr>
          <w:p w14:paraId="71D7368D"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Network Richness</w:t>
            </w:r>
          </w:p>
        </w:tc>
        <w:tc>
          <w:tcPr>
            <w:tcW w:w="0" w:type="auto"/>
            <w:shd w:val="clear" w:color="auto" w:fill="F2F2F2"/>
            <w:tcMar>
              <w:top w:w="113" w:type="dxa"/>
              <w:left w:w="113" w:type="dxa"/>
              <w:bottom w:w="113" w:type="dxa"/>
              <w:right w:w="113" w:type="dxa"/>
            </w:tcMar>
            <w:hideMark/>
          </w:tcPr>
          <w:p w14:paraId="6854C3B2"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Cont.</w:t>
            </w:r>
          </w:p>
        </w:tc>
        <w:tc>
          <w:tcPr>
            <w:tcW w:w="0" w:type="auto"/>
            <w:shd w:val="clear" w:color="auto" w:fill="F2F2F2"/>
            <w:tcMar>
              <w:top w:w="113" w:type="dxa"/>
              <w:left w:w="113" w:type="dxa"/>
              <w:bottom w:w="113" w:type="dxa"/>
              <w:right w:w="113" w:type="dxa"/>
            </w:tcMar>
            <w:hideMark/>
          </w:tcPr>
          <w:p w14:paraId="16E462E7"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62.4 (low: 8, high: 463)</w:t>
            </w:r>
          </w:p>
        </w:tc>
      </w:tr>
      <w:tr w:rsidR="005D6229" w:rsidRPr="00B066C6" w14:paraId="6EE212B1" w14:textId="77777777" w:rsidTr="008E3F64">
        <w:tc>
          <w:tcPr>
            <w:tcW w:w="0" w:type="auto"/>
            <w:tcMar>
              <w:top w:w="113" w:type="dxa"/>
              <w:left w:w="113" w:type="dxa"/>
              <w:bottom w:w="113" w:type="dxa"/>
              <w:right w:w="113" w:type="dxa"/>
            </w:tcMar>
            <w:hideMark/>
          </w:tcPr>
          <w:p w14:paraId="3436FC4A"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Specialization (H</w:t>
            </w:r>
            <w:r w:rsidRPr="00B066C6">
              <w:rPr>
                <w:rFonts w:ascii="Times New Roman" w:hAnsi="Times New Roman" w:cs="Times New Roman"/>
                <w:vertAlign w:val="superscript"/>
              </w:rPr>
              <w:t>2</w:t>
            </w:r>
            <w:r w:rsidRPr="00B066C6">
              <w:rPr>
                <w:rFonts w:ascii="Times New Roman" w:hAnsi="Times New Roman" w:cs="Times New Roman"/>
              </w:rPr>
              <w:t>)</w:t>
            </w:r>
          </w:p>
        </w:tc>
        <w:tc>
          <w:tcPr>
            <w:tcW w:w="0" w:type="auto"/>
            <w:tcMar>
              <w:top w:w="113" w:type="dxa"/>
              <w:left w:w="113" w:type="dxa"/>
              <w:bottom w:w="113" w:type="dxa"/>
              <w:right w:w="113" w:type="dxa"/>
            </w:tcMar>
            <w:hideMark/>
          </w:tcPr>
          <w:p w14:paraId="3C7965B8"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0-1</w:t>
            </w:r>
          </w:p>
        </w:tc>
        <w:tc>
          <w:tcPr>
            <w:tcW w:w="0" w:type="auto"/>
            <w:tcMar>
              <w:top w:w="113" w:type="dxa"/>
              <w:left w:w="113" w:type="dxa"/>
              <w:bottom w:w="113" w:type="dxa"/>
              <w:right w:w="113" w:type="dxa"/>
            </w:tcMar>
            <w:hideMark/>
          </w:tcPr>
          <w:p w14:paraId="18401E96"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0.416 (low: 0.066, high: 1)</w:t>
            </w:r>
          </w:p>
        </w:tc>
      </w:tr>
      <w:tr w:rsidR="005D6229" w:rsidRPr="00B066C6" w14:paraId="558A60A7" w14:textId="77777777" w:rsidTr="008E3F64">
        <w:tc>
          <w:tcPr>
            <w:tcW w:w="0" w:type="auto"/>
            <w:tcBorders>
              <w:bottom w:val="double" w:sz="6" w:space="0" w:color="auto"/>
            </w:tcBorders>
            <w:shd w:val="clear" w:color="auto" w:fill="F2F2F2"/>
            <w:tcMar>
              <w:top w:w="113" w:type="dxa"/>
              <w:left w:w="113" w:type="dxa"/>
              <w:bottom w:w="113" w:type="dxa"/>
              <w:right w:w="113" w:type="dxa"/>
            </w:tcMar>
            <w:hideMark/>
          </w:tcPr>
          <w:p w14:paraId="71F404F6"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Interaction Frequency</w:t>
            </w:r>
          </w:p>
        </w:tc>
        <w:tc>
          <w:tcPr>
            <w:tcW w:w="0" w:type="auto"/>
            <w:tcBorders>
              <w:bottom w:val="double" w:sz="6" w:space="0" w:color="auto"/>
            </w:tcBorders>
            <w:shd w:val="clear" w:color="auto" w:fill="F2F2F2"/>
            <w:tcMar>
              <w:top w:w="113" w:type="dxa"/>
              <w:left w:w="113" w:type="dxa"/>
              <w:bottom w:w="113" w:type="dxa"/>
              <w:right w:w="113" w:type="dxa"/>
            </w:tcMar>
            <w:hideMark/>
          </w:tcPr>
          <w:p w14:paraId="396F4A87"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Cont.</w:t>
            </w:r>
          </w:p>
        </w:tc>
        <w:tc>
          <w:tcPr>
            <w:tcW w:w="0" w:type="auto"/>
            <w:tcBorders>
              <w:bottom w:val="double" w:sz="6" w:space="0" w:color="auto"/>
            </w:tcBorders>
            <w:shd w:val="clear" w:color="auto" w:fill="F2F2F2"/>
            <w:tcMar>
              <w:top w:w="113" w:type="dxa"/>
              <w:left w:w="113" w:type="dxa"/>
              <w:bottom w:w="113" w:type="dxa"/>
              <w:right w:w="113" w:type="dxa"/>
            </w:tcMar>
            <w:hideMark/>
          </w:tcPr>
          <w:p w14:paraId="7D8AEBF0" w14:textId="77777777" w:rsidR="005D6229" w:rsidRPr="00B066C6" w:rsidRDefault="005D6229" w:rsidP="00543DF7">
            <w:pPr>
              <w:spacing w:before="0" w:after="0"/>
              <w:rPr>
                <w:rFonts w:ascii="Times New Roman" w:hAnsi="Times New Roman" w:cs="Times New Roman"/>
              </w:rPr>
            </w:pPr>
            <w:r w:rsidRPr="00B066C6">
              <w:rPr>
                <w:rFonts w:ascii="Times New Roman" w:hAnsi="Times New Roman" w:cs="Times New Roman"/>
              </w:rPr>
              <w:t>340 (low: 10, high: 8004)</w:t>
            </w:r>
          </w:p>
        </w:tc>
      </w:tr>
    </w:tbl>
    <w:p w14:paraId="58D4F28A" w14:textId="77777777" w:rsidR="005D6229" w:rsidRDefault="005D6229">
      <w:pPr>
        <w:rPr>
          <w:rFonts w:ascii="Times New Roman" w:hAnsi="Times New Roman" w:cs="Times New Roman"/>
        </w:rPr>
      </w:pPr>
      <w:r>
        <w:rPr>
          <w:rFonts w:ascii="Times New Roman" w:hAnsi="Times New Roman" w:cs="Times New Roman"/>
        </w:rPr>
        <w:br w:type="page"/>
      </w:r>
    </w:p>
    <w:p w14:paraId="2030A2D3" w14:textId="4C875832" w:rsidR="00661E21" w:rsidRDefault="00661E21" w:rsidP="00D77075">
      <w:pPr>
        <w:spacing w:before="0" w:after="0"/>
        <w:rPr>
          <w:rFonts w:ascii="Times New Roman" w:hAnsi="Times New Roman" w:cs="Times New Roman"/>
        </w:rPr>
      </w:pPr>
      <w:r w:rsidRPr="00B066C6">
        <w:rPr>
          <w:rFonts w:ascii="Times New Roman" w:hAnsi="Times New Roman" w:cs="Times New Roman"/>
        </w:rPr>
        <w:lastRenderedPageBreak/>
        <w:t>network metrics (</w:t>
      </w:r>
      <w:r w:rsidRPr="003022FF">
        <w:rPr>
          <w:rFonts w:ascii="Times New Roman" w:hAnsi="Times New Roman" w:cs="Times New Roman"/>
          <w:b/>
          <w:bCs/>
        </w:rPr>
        <w:t>Figure 2</w:t>
      </w:r>
      <w:r w:rsidRPr="003022FF">
        <w:rPr>
          <w:rFonts w:ascii="Times New Roman" w:hAnsi="Times New Roman" w:cs="Times New Roman"/>
        </w:rPr>
        <w:t>;</w:t>
      </w:r>
      <w:r w:rsidRPr="003022FF">
        <w:rPr>
          <w:rFonts w:ascii="Times New Roman" w:hAnsi="Times New Roman" w:cs="Times New Roman"/>
          <w:b/>
          <w:bCs/>
        </w:rPr>
        <w:t xml:space="preserve"> Table 3</w:t>
      </w:r>
      <w:r w:rsidRPr="00B066C6">
        <w:rPr>
          <w:rFonts w:ascii="Times New Roman" w:hAnsi="Times New Roman" w:cs="Times New Roman"/>
        </w:rPr>
        <w:t xml:space="preserve">). Sampling had a significant effect on WNODF (chi-squared = 7.59, </w:t>
      </w:r>
      <w:proofErr w:type="spellStart"/>
      <w:r w:rsidRPr="00B066C6">
        <w:rPr>
          <w:rFonts w:ascii="Times New Roman" w:hAnsi="Times New Roman" w:cs="Times New Roman"/>
        </w:rPr>
        <w:t>df</w:t>
      </w:r>
      <w:proofErr w:type="spellEnd"/>
      <w:r w:rsidRPr="00B066C6">
        <w:rPr>
          <w:rFonts w:ascii="Times New Roman" w:hAnsi="Times New Roman" w:cs="Times New Roman"/>
        </w:rPr>
        <w:t xml:space="preserve"> = 2, p-value = 0.023) and H</w:t>
      </w:r>
      <w:r w:rsidRPr="00B066C6">
        <w:rPr>
          <w:rFonts w:ascii="Times New Roman" w:hAnsi="Times New Roman" w:cs="Times New Roman"/>
          <w:vertAlign w:val="superscript"/>
        </w:rPr>
        <w:t>2</w:t>
      </w:r>
      <w:r w:rsidRPr="00B066C6">
        <w:rPr>
          <w:rFonts w:ascii="Times New Roman" w:hAnsi="Times New Roman" w:cs="Times New Roman"/>
        </w:rPr>
        <w:t xml:space="preserve"> (chi-squared = 9.44, </w:t>
      </w:r>
      <w:proofErr w:type="spellStart"/>
      <w:r w:rsidRPr="00B066C6">
        <w:rPr>
          <w:rFonts w:ascii="Times New Roman" w:hAnsi="Times New Roman" w:cs="Times New Roman"/>
        </w:rPr>
        <w:t>df</w:t>
      </w:r>
      <w:proofErr w:type="spellEnd"/>
      <w:r w:rsidRPr="00B066C6">
        <w:rPr>
          <w:rFonts w:ascii="Times New Roman" w:hAnsi="Times New Roman" w:cs="Times New Roman"/>
        </w:rPr>
        <w:t xml:space="preserve"> = 2, p-value = 0.009) (Figure 2). Mean WNODF measures were similar for both phytocentric and zoocentric approaches (23.5 +/- 1.8 and 23.9 +/- 1.8) and was highest in networks that used mixed phytocentric and zoocentric sampling methods (34.7 +/- 1.8). Specialization was almost 60% lower in mixed sampling methods when compared to zoocentric methods (mix: 0.35 +/- 0.2; zoo: 0.60 +/- 0.2), and 22% lower when compared to phytocentric approaches (</w:t>
      </w:r>
      <w:proofErr w:type="spellStart"/>
      <w:r w:rsidRPr="00B066C6">
        <w:rPr>
          <w:rFonts w:ascii="Times New Roman" w:hAnsi="Times New Roman" w:cs="Times New Roman"/>
        </w:rPr>
        <w:t>phyto</w:t>
      </w:r>
      <w:proofErr w:type="spellEnd"/>
      <w:r w:rsidRPr="00B066C6">
        <w:rPr>
          <w:rFonts w:ascii="Times New Roman" w:hAnsi="Times New Roman" w:cs="Times New Roman"/>
        </w:rPr>
        <w:t xml:space="preserve">: 0.43 +/- 0.2). The sampling method was also a significant predictor of network richness (chi-squared =18.78, </w:t>
      </w:r>
      <w:proofErr w:type="spellStart"/>
      <w:r w:rsidRPr="00B066C6">
        <w:rPr>
          <w:rFonts w:ascii="Times New Roman" w:hAnsi="Times New Roman" w:cs="Times New Roman"/>
        </w:rPr>
        <w:t>df</w:t>
      </w:r>
      <w:proofErr w:type="spellEnd"/>
      <w:r w:rsidRPr="00B066C6">
        <w:rPr>
          <w:rFonts w:ascii="Times New Roman" w:hAnsi="Times New Roman" w:cs="Times New Roman"/>
        </w:rPr>
        <w:t xml:space="preserve">= 2, p &lt; 0.0001), where networks with the highest richness had an average of 71 +/- 4.6 species and were found to use mixed sampling methods. Zoocentric networks yielded the lowest species richness, averaging just 29.5 +/- 4.6 species per network. Sampling type did not significantly impact modularity (chi-squared = 1.42, </w:t>
      </w:r>
      <w:proofErr w:type="spellStart"/>
      <w:r w:rsidRPr="00B066C6">
        <w:rPr>
          <w:rFonts w:ascii="Times New Roman" w:hAnsi="Times New Roman" w:cs="Times New Roman"/>
        </w:rPr>
        <w:t>df</w:t>
      </w:r>
      <w:proofErr w:type="spellEnd"/>
      <w:r w:rsidRPr="00B066C6">
        <w:rPr>
          <w:rFonts w:ascii="Times New Roman" w:hAnsi="Times New Roman" w:cs="Times New Roman"/>
        </w:rPr>
        <w:t xml:space="preserve"> = 2, p &gt; 0.05). Network richness did not significantly predict network measures (WNODF: chi-squared = 139.59, </w:t>
      </w:r>
      <w:proofErr w:type="spellStart"/>
      <w:r w:rsidRPr="00B066C6">
        <w:rPr>
          <w:rFonts w:ascii="Times New Roman" w:hAnsi="Times New Roman" w:cs="Times New Roman"/>
        </w:rPr>
        <w:t>df</w:t>
      </w:r>
      <w:proofErr w:type="spellEnd"/>
      <w:r w:rsidRPr="00B066C6">
        <w:rPr>
          <w:rFonts w:ascii="Times New Roman" w:hAnsi="Times New Roman" w:cs="Times New Roman"/>
        </w:rPr>
        <w:t xml:space="preserve"> = 139, p &gt; 0.05; H</w:t>
      </w:r>
      <w:r w:rsidRPr="00B066C6">
        <w:rPr>
          <w:rFonts w:ascii="Times New Roman" w:hAnsi="Times New Roman" w:cs="Times New Roman"/>
          <w:vertAlign w:val="superscript"/>
        </w:rPr>
        <w:t>2</w:t>
      </w:r>
      <w:r w:rsidRPr="00B066C6">
        <w:rPr>
          <w:rFonts w:ascii="Times New Roman" w:hAnsi="Times New Roman" w:cs="Times New Roman"/>
        </w:rPr>
        <w:t xml:space="preserve">: chi-squared = 107.15, </w:t>
      </w:r>
      <w:proofErr w:type="spellStart"/>
      <w:r w:rsidRPr="00B066C6">
        <w:rPr>
          <w:rFonts w:ascii="Times New Roman" w:hAnsi="Times New Roman" w:cs="Times New Roman"/>
        </w:rPr>
        <w:t>df</w:t>
      </w:r>
      <w:proofErr w:type="spellEnd"/>
      <w:r w:rsidRPr="00B066C6">
        <w:rPr>
          <w:rFonts w:ascii="Times New Roman" w:hAnsi="Times New Roman" w:cs="Times New Roman"/>
        </w:rPr>
        <w:t xml:space="preserve"> = </w:t>
      </w:r>
      <w:proofErr w:type="gramStart"/>
      <w:r w:rsidRPr="00B066C6">
        <w:rPr>
          <w:rFonts w:ascii="Times New Roman" w:hAnsi="Times New Roman" w:cs="Times New Roman"/>
        </w:rPr>
        <w:t>99,  &gt;</w:t>
      </w:r>
      <w:proofErr w:type="gramEnd"/>
      <w:r w:rsidRPr="00B066C6">
        <w:rPr>
          <w:rFonts w:ascii="Times New Roman" w:hAnsi="Times New Roman" w:cs="Times New Roman"/>
        </w:rPr>
        <w:t xml:space="preserve"> 0.05; Modularity: chi-squared = 94.47, </w:t>
      </w:r>
      <w:proofErr w:type="spellStart"/>
      <w:r w:rsidRPr="00B066C6">
        <w:rPr>
          <w:rFonts w:ascii="Times New Roman" w:hAnsi="Times New Roman" w:cs="Times New Roman"/>
        </w:rPr>
        <w:t>df</w:t>
      </w:r>
      <w:proofErr w:type="spellEnd"/>
      <w:r w:rsidRPr="00B066C6">
        <w:rPr>
          <w:rFonts w:ascii="Times New Roman" w:hAnsi="Times New Roman" w:cs="Times New Roman"/>
        </w:rPr>
        <w:t xml:space="preserve"> = 94, p &gt; 0.05) </w:t>
      </w:r>
      <w:r w:rsidRPr="003022FF">
        <w:rPr>
          <w:rFonts w:ascii="Times New Roman" w:hAnsi="Times New Roman" w:cs="Times New Roman"/>
          <w:b/>
          <w:bCs/>
        </w:rPr>
        <w:t>(Table 3</w:t>
      </w:r>
      <w:r w:rsidRPr="00B066C6">
        <w:rPr>
          <w:rFonts w:ascii="Times New Roman" w:hAnsi="Times New Roman" w:cs="Times New Roman"/>
        </w:rPr>
        <w:t>).</w:t>
      </w:r>
    </w:p>
    <w:p w14:paraId="55CB590C" w14:textId="77777777" w:rsidR="00264875" w:rsidRPr="00B066C6" w:rsidRDefault="00264875" w:rsidP="00D77075">
      <w:pPr>
        <w:pStyle w:val="Heading2"/>
        <w:spacing w:before="0" w:after="0"/>
        <w:rPr>
          <w:rFonts w:ascii="Times New Roman" w:hAnsi="Times New Roman" w:cs="Times New Roman"/>
          <w:b/>
          <w:bCs/>
          <w:color w:val="auto"/>
          <w:sz w:val="24"/>
          <w:szCs w:val="24"/>
        </w:rPr>
      </w:pPr>
      <w:bookmarkStart w:id="68" w:name="_Toc195189614"/>
      <w:r w:rsidRPr="00B066C6">
        <w:rPr>
          <w:rFonts w:ascii="Times New Roman" w:hAnsi="Times New Roman" w:cs="Times New Roman"/>
          <w:b/>
          <w:bCs/>
          <w:color w:val="auto"/>
          <w:sz w:val="24"/>
          <w:szCs w:val="24"/>
        </w:rPr>
        <w:t>Discussion</w:t>
      </w:r>
      <w:bookmarkEnd w:id="68"/>
    </w:p>
    <w:p w14:paraId="752409BB" w14:textId="77777777" w:rsidR="00264875" w:rsidRPr="00624A02" w:rsidRDefault="00264875" w:rsidP="00D77075">
      <w:pPr>
        <w:pStyle w:val="Heading3"/>
        <w:spacing w:before="0" w:after="0"/>
        <w:rPr>
          <w:rFonts w:ascii="Times New Roman" w:hAnsi="Times New Roman" w:cs="Times New Roman"/>
          <w:b/>
          <w:bCs/>
          <w:i/>
          <w:iCs/>
          <w:color w:val="auto"/>
          <w:sz w:val="24"/>
          <w:szCs w:val="24"/>
        </w:rPr>
      </w:pPr>
      <w:bookmarkStart w:id="69" w:name="_Toc195189615"/>
      <w:r w:rsidRPr="00624A02">
        <w:rPr>
          <w:rFonts w:ascii="Times New Roman" w:hAnsi="Times New Roman" w:cs="Times New Roman"/>
          <w:b/>
          <w:bCs/>
          <w:i/>
          <w:iCs/>
          <w:color w:val="auto"/>
          <w:sz w:val="24"/>
          <w:szCs w:val="24"/>
        </w:rPr>
        <w:t>Sampling for seed dispersal interactions</w:t>
      </w:r>
      <w:bookmarkEnd w:id="69"/>
    </w:p>
    <w:p w14:paraId="696BDBE9" w14:textId="1224E177" w:rsidR="00661E21" w:rsidRPr="00B066C6" w:rsidRDefault="00264875" w:rsidP="002D75B0">
      <w:pPr>
        <w:spacing w:before="0" w:after="0"/>
        <w:rPr>
          <w:rFonts w:ascii="Times New Roman" w:hAnsi="Times New Roman" w:cs="Times New Roman"/>
        </w:rPr>
      </w:pPr>
      <w:r w:rsidRPr="00B066C6">
        <w:rPr>
          <w:rFonts w:ascii="Times New Roman" w:hAnsi="Times New Roman" w:cs="Times New Roman"/>
        </w:rPr>
        <w:t>Sampling methods may influence seed dispersal network measures and patterns, especially in highly diverse communities such as those in tropical regions (Vitorino et al., 2022). Sampling methods must capture the complexities of tropical environments, as diverse seed dispersal networks have been found to correlate to greater ecosystem resilience (</w:t>
      </w:r>
      <w:proofErr w:type="spellStart"/>
      <w:r w:rsidRPr="00B066C6">
        <w:rPr>
          <w:rFonts w:ascii="Times New Roman" w:hAnsi="Times New Roman" w:cs="Times New Roman"/>
        </w:rPr>
        <w:t>Tylianakis</w:t>
      </w:r>
      <w:proofErr w:type="spellEnd"/>
      <w:r w:rsidRPr="00B066C6">
        <w:rPr>
          <w:rFonts w:ascii="Times New Roman" w:hAnsi="Times New Roman" w:cs="Times New Roman"/>
        </w:rPr>
        <w:t xml:space="preserve"> et al., 2010; Thebault &amp; Fontaine 2010; </w:t>
      </w:r>
      <w:proofErr w:type="spellStart"/>
      <w:r w:rsidRPr="00B066C6">
        <w:rPr>
          <w:rFonts w:ascii="Times New Roman" w:hAnsi="Times New Roman" w:cs="Times New Roman"/>
        </w:rPr>
        <w:t>Bastolla</w:t>
      </w:r>
      <w:proofErr w:type="spellEnd"/>
      <w:r w:rsidRPr="00B066C6">
        <w:rPr>
          <w:rFonts w:ascii="Times New Roman" w:hAnsi="Times New Roman" w:cs="Times New Roman"/>
        </w:rPr>
        <w:t xml:space="preserve"> et al. 2009). Identifying too few interacting partners within a network was highlighted as a main caution when applying seed dispersal networks to </w:t>
      </w:r>
      <w:r w:rsidR="00D77075" w:rsidRPr="00B066C6">
        <w:rPr>
          <w:rFonts w:ascii="Times New Roman" w:hAnsi="Times New Roman" w:cs="Times New Roman"/>
        </w:rPr>
        <w:t>restoration practices, as a lower number of interactions can greatly affect network measures (Howe 2016).  Our findings revealed a significant relationship between sampling methods and network size (p &lt; 0.001) and combining both zoocentric and phytocentric methods yielded the</w:t>
      </w:r>
      <w:r w:rsidR="002D75B0" w:rsidRPr="002D75B0">
        <w:rPr>
          <w:rFonts w:ascii="Times New Roman" w:hAnsi="Times New Roman" w:cs="Times New Roman"/>
        </w:rPr>
        <w:t xml:space="preserve"> </w:t>
      </w:r>
      <w:r w:rsidR="002D75B0" w:rsidRPr="00B066C6">
        <w:rPr>
          <w:rFonts w:ascii="Times New Roman" w:hAnsi="Times New Roman" w:cs="Times New Roman"/>
        </w:rPr>
        <w:t xml:space="preserve">largest overall networks. Therefore, utilizing both phytocentric (plant-centric) and zoocentric (animal-centric) methods when sampling for seed dispersal interactions may provide a more comprehensive approach to building seed dispersal networks (Vitorino et al., 2022; Ramos-Robles et al., 2018; Howe 2016). </w:t>
      </w:r>
    </w:p>
    <w:tbl>
      <w:tblPr>
        <w:tblStyle w:val="1"/>
        <w:tblW w:w="9360" w:type="dxa"/>
        <w:tblLayout w:type="fixed"/>
        <w:tblLook w:val="0600" w:firstRow="0" w:lastRow="0" w:firstColumn="0" w:lastColumn="0" w:noHBand="1" w:noVBand="1"/>
      </w:tblPr>
      <w:tblGrid>
        <w:gridCol w:w="9360"/>
      </w:tblGrid>
      <w:tr w:rsidR="00661E21" w:rsidRPr="00B066C6" w14:paraId="62EBD44C" w14:textId="77777777" w:rsidTr="00E5122F">
        <w:tc>
          <w:tcPr>
            <w:tcW w:w="9360" w:type="dxa"/>
            <w:shd w:val="clear" w:color="auto" w:fill="auto"/>
            <w:tcMar>
              <w:top w:w="100" w:type="dxa"/>
              <w:left w:w="100" w:type="dxa"/>
              <w:bottom w:w="100" w:type="dxa"/>
              <w:right w:w="100" w:type="dxa"/>
            </w:tcMar>
          </w:tcPr>
          <w:p w14:paraId="69E074C0" w14:textId="77777777" w:rsidR="00661E21" w:rsidRPr="00B066C6" w:rsidRDefault="00661E21" w:rsidP="00BD07DC">
            <w:pPr>
              <w:spacing w:line="360" w:lineRule="auto"/>
              <w:ind w:left="-20" w:right="-20"/>
              <w:rPr>
                <w:rFonts w:ascii="Times New Roman" w:hAnsi="Times New Roman" w:cs="Times New Roman"/>
              </w:rPr>
            </w:pPr>
            <w:r w:rsidRPr="00B066C6">
              <w:rPr>
                <w:rFonts w:ascii="Times New Roman" w:hAnsi="Times New Roman" w:cs="Times New Roman"/>
                <w:noProof/>
              </w:rPr>
              <w:lastRenderedPageBreak/>
              <w:drawing>
                <wp:inline distT="0" distB="0" distL="0" distR="0" wp14:anchorId="0148EFE5" wp14:editId="6627D02C">
                  <wp:extent cx="5816600" cy="1829435"/>
                  <wp:effectExtent l="0" t="0" r="0" b="0"/>
                  <wp:docPr id="1746627989" name="Picture 2" descr="A graph of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27989" name="Picture 2" descr="A graph of blue squar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16600" cy="1829435"/>
                          </a:xfrm>
                          <a:prstGeom prst="rect">
                            <a:avLst/>
                          </a:prstGeom>
                        </pic:spPr>
                      </pic:pic>
                    </a:graphicData>
                  </a:graphic>
                </wp:inline>
              </w:drawing>
            </w:r>
          </w:p>
        </w:tc>
      </w:tr>
      <w:tr w:rsidR="00661E21" w:rsidRPr="00B066C6" w14:paraId="0056D70E" w14:textId="77777777" w:rsidTr="00E5122F">
        <w:tc>
          <w:tcPr>
            <w:tcW w:w="9360" w:type="dxa"/>
            <w:tcBorders>
              <w:top w:val="nil"/>
              <w:left w:val="nil"/>
              <w:bottom w:val="nil"/>
              <w:right w:val="nil"/>
            </w:tcBorders>
            <w:tcMar>
              <w:left w:w="108" w:type="dxa"/>
              <w:right w:w="108" w:type="dxa"/>
            </w:tcMar>
          </w:tcPr>
          <w:p w14:paraId="0C3C4CB1" w14:textId="3F9C9825" w:rsidR="00661E21" w:rsidRPr="00B066C6" w:rsidRDefault="008125EA" w:rsidP="00D77075">
            <w:pPr>
              <w:pStyle w:val="Caption"/>
              <w:rPr>
                <w:rFonts w:ascii="Times New Roman" w:hAnsi="Times New Roman" w:cs="Times New Roman"/>
                <w:i w:val="0"/>
                <w:iCs w:val="0"/>
                <w:sz w:val="24"/>
                <w:szCs w:val="24"/>
              </w:rPr>
            </w:pPr>
            <w:bookmarkStart w:id="70" w:name="_Toc195189739"/>
            <w:r w:rsidRPr="00B066C6">
              <w:rPr>
                <w:rFonts w:ascii="Times New Roman" w:hAnsi="Times New Roman" w:cs="Times New Roman"/>
                <w:b/>
                <w:bCs/>
                <w:i w:val="0"/>
                <w:iCs w:val="0"/>
                <w:color w:val="auto"/>
                <w:sz w:val="24"/>
                <w:szCs w:val="24"/>
              </w:rPr>
              <w:t xml:space="preserve">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Figure \* ARABIC </w:instrText>
            </w:r>
            <w:r w:rsidRPr="00B066C6">
              <w:rPr>
                <w:rFonts w:ascii="Times New Roman" w:hAnsi="Times New Roman" w:cs="Times New Roman"/>
                <w:b/>
                <w:bCs/>
                <w:i w:val="0"/>
                <w:iCs w:val="0"/>
                <w:color w:val="auto"/>
                <w:sz w:val="24"/>
                <w:szCs w:val="24"/>
              </w:rPr>
              <w:fldChar w:fldCharType="separate"/>
            </w:r>
            <w:r w:rsidR="00F70664" w:rsidRPr="00B066C6">
              <w:rPr>
                <w:rFonts w:ascii="Times New Roman" w:hAnsi="Times New Roman" w:cs="Times New Roman"/>
                <w:b/>
                <w:bCs/>
                <w:i w:val="0"/>
                <w:iCs w:val="0"/>
                <w:noProof/>
                <w:color w:val="auto"/>
                <w:sz w:val="24"/>
                <w:szCs w:val="24"/>
              </w:rPr>
              <w:t>2</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T</w:t>
            </w:r>
            <w:r w:rsidR="00661E21" w:rsidRPr="00B066C6">
              <w:rPr>
                <w:rFonts w:ascii="Times New Roman" w:eastAsia="Arial" w:hAnsi="Times New Roman" w:cs="Times New Roman"/>
                <w:i w:val="0"/>
                <w:iCs w:val="0"/>
                <w:color w:val="auto"/>
                <w:sz w:val="24"/>
                <w:szCs w:val="24"/>
              </w:rPr>
              <w:t>he effects of sampling methods (</w:t>
            </w:r>
            <w:r w:rsidR="00E77EEE">
              <w:rPr>
                <w:rFonts w:ascii="Times New Roman" w:eastAsia="Arial" w:hAnsi="Times New Roman" w:cs="Times New Roman"/>
                <w:i w:val="0"/>
                <w:iCs w:val="0"/>
                <w:color w:val="auto"/>
                <w:sz w:val="24"/>
                <w:szCs w:val="24"/>
              </w:rPr>
              <w:t xml:space="preserve">mixed, </w:t>
            </w:r>
            <w:r w:rsidR="00661E21" w:rsidRPr="00B066C6">
              <w:rPr>
                <w:rFonts w:ascii="Times New Roman" w:eastAsia="Arial" w:hAnsi="Times New Roman" w:cs="Times New Roman"/>
                <w:i w:val="0"/>
                <w:iCs w:val="0"/>
                <w:color w:val="auto"/>
                <w:sz w:val="24"/>
                <w:szCs w:val="24"/>
              </w:rPr>
              <w:t xml:space="preserve">phytocentric approaches, </w:t>
            </w:r>
            <w:r w:rsidR="00E77EEE">
              <w:rPr>
                <w:rFonts w:ascii="Times New Roman" w:eastAsia="Arial" w:hAnsi="Times New Roman" w:cs="Times New Roman"/>
                <w:i w:val="0"/>
                <w:iCs w:val="0"/>
                <w:color w:val="auto"/>
                <w:sz w:val="24"/>
                <w:szCs w:val="24"/>
              </w:rPr>
              <w:t xml:space="preserve">or </w:t>
            </w:r>
            <w:r w:rsidR="00661E21" w:rsidRPr="00B066C6">
              <w:rPr>
                <w:rFonts w:ascii="Times New Roman" w:eastAsia="Arial" w:hAnsi="Times New Roman" w:cs="Times New Roman"/>
                <w:i w:val="0"/>
                <w:iCs w:val="0"/>
                <w:color w:val="auto"/>
                <w:sz w:val="24"/>
                <w:szCs w:val="24"/>
              </w:rPr>
              <w:t>zoocentric approaches) on seed dispersal network metrics including A) network richness or size, B) network-level specialization (H</w:t>
            </w:r>
            <w:r w:rsidR="00661E21" w:rsidRPr="00B066C6">
              <w:rPr>
                <w:rFonts w:ascii="Times New Roman" w:eastAsia="Arial" w:hAnsi="Times New Roman" w:cs="Times New Roman"/>
                <w:i w:val="0"/>
                <w:iCs w:val="0"/>
                <w:color w:val="auto"/>
                <w:sz w:val="24"/>
                <w:szCs w:val="24"/>
                <w:vertAlign w:val="superscript"/>
              </w:rPr>
              <w:t>2</w:t>
            </w:r>
            <w:r w:rsidR="00661E21" w:rsidRPr="00B066C6">
              <w:rPr>
                <w:rFonts w:ascii="Times New Roman" w:eastAsia="Arial" w:hAnsi="Times New Roman" w:cs="Times New Roman"/>
                <w:i w:val="0"/>
                <w:iCs w:val="0"/>
                <w:color w:val="auto"/>
                <w:sz w:val="24"/>
                <w:szCs w:val="24"/>
              </w:rPr>
              <w:t>), and C) weighted nestedness (WNODF).</w:t>
            </w:r>
            <w:bookmarkEnd w:id="70"/>
            <w:r w:rsidR="00661E21" w:rsidRPr="00B066C6">
              <w:rPr>
                <w:rFonts w:ascii="Times New Roman" w:eastAsia="Arial" w:hAnsi="Times New Roman" w:cs="Times New Roman"/>
                <w:i w:val="0"/>
                <w:iCs w:val="0"/>
                <w:color w:val="auto"/>
                <w:sz w:val="24"/>
                <w:szCs w:val="24"/>
              </w:rPr>
              <w:t xml:space="preserve"> </w:t>
            </w:r>
          </w:p>
        </w:tc>
      </w:tr>
    </w:tbl>
    <w:p w14:paraId="1E84E2C5" w14:textId="77777777" w:rsidR="00661E21" w:rsidRPr="00B066C6" w:rsidRDefault="00661E21" w:rsidP="00BD07DC">
      <w:pPr>
        <w:rPr>
          <w:rFonts w:ascii="Times New Roman" w:hAnsi="Times New Roman" w:cs="Times New Roman"/>
        </w:rPr>
      </w:pPr>
    </w:p>
    <w:p w14:paraId="6AFC5943" w14:textId="77777777" w:rsidR="00661E21" w:rsidRPr="00B066C6" w:rsidRDefault="00661E21" w:rsidP="00BD07DC">
      <w:pPr>
        <w:rPr>
          <w:rFonts w:ascii="Times New Roman" w:hAnsi="Times New Roman" w:cs="Times New Roman"/>
        </w:rPr>
      </w:pPr>
      <w:r w:rsidRPr="00B066C6">
        <w:rPr>
          <w:rFonts w:ascii="Times New Roman" w:hAnsi="Times New Roman" w:cs="Times New Roman"/>
        </w:rPr>
        <w:br w:type="page"/>
      </w:r>
    </w:p>
    <w:tbl>
      <w:tblPr>
        <w:tblStyle w:val="PlainTable2"/>
        <w:tblW w:w="9360" w:type="dxa"/>
        <w:tblLayout w:type="fixed"/>
        <w:tblLook w:val="0600" w:firstRow="0" w:lastRow="0" w:firstColumn="0" w:lastColumn="0" w:noHBand="1" w:noVBand="1"/>
      </w:tblPr>
      <w:tblGrid>
        <w:gridCol w:w="4575"/>
        <w:gridCol w:w="1665"/>
        <w:gridCol w:w="1290"/>
        <w:gridCol w:w="1830"/>
      </w:tblGrid>
      <w:tr w:rsidR="008125EA" w:rsidRPr="00B066C6" w14:paraId="0E721BAF" w14:textId="77777777" w:rsidTr="00E5122F">
        <w:trPr>
          <w:trHeight w:val="440"/>
        </w:trPr>
        <w:tc>
          <w:tcPr>
            <w:tcW w:w="9360" w:type="dxa"/>
            <w:gridSpan w:val="4"/>
            <w:tcBorders>
              <w:top w:val="nil"/>
              <w:bottom w:val="nil"/>
            </w:tcBorders>
          </w:tcPr>
          <w:p w14:paraId="6DF94251" w14:textId="1B457D2E" w:rsidR="00661E21" w:rsidRPr="00B066C6" w:rsidRDefault="008125EA" w:rsidP="00D77075">
            <w:pPr>
              <w:pStyle w:val="Caption"/>
              <w:keepNext/>
              <w:rPr>
                <w:rFonts w:ascii="Times New Roman" w:hAnsi="Times New Roman" w:cs="Times New Roman"/>
                <w:i w:val="0"/>
                <w:iCs w:val="0"/>
                <w:color w:val="auto"/>
                <w:sz w:val="24"/>
                <w:szCs w:val="24"/>
              </w:rPr>
            </w:pPr>
            <w:bookmarkStart w:id="71" w:name="_Toc195189688"/>
            <w:bookmarkStart w:id="72" w:name="_Toc190100670"/>
            <w:r w:rsidRPr="00B066C6">
              <w:rPr>
                <w:rFonts w:ascii="Times New Roman" w:hAnsi="Times New Roman" w:cs="Times New Roman"/>
                <w:b/>
                <w:bCs/>
                <w:i w:val="0"/>
                <w:iCs w:val="0"/>
                <w:color w:val="auto"/>
                <w:sz w:val="24"/>
                <w:szCs w:val="24"/>
              </w:rPr>
              <w:lastRenderedPageBreak/>
              <w:t xml:space="preserve">Table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Table \* ARABIC </w:instrText>
            </w:r>
            <w:r w:rsidRPr="00B066C6">
              <w:rPr>
                <w:rFonts w:ascii="Times New Roman" w:hAnsi="Times New Roman" w:cs="Times New Roman"/>
                <w:b/>
                <w:bCs/>
                <w:i w:val="0"/>
                <w:iCs w:val="0"/>
                <w:color w:val="auto"/>
                <w:sz w:val="24"/>
                <w:szCs w:val="24"/>
              </w:rPr>
              <w:fldChar w:fldCharType="separate"/>
            </w:r>
            <w:r w:rsidR="00E035F1">
              <w:rPr>
                <w:rFonts w:ascii="Times New Roman" w:hAnsi="Times New Roman" w:cs="Times New Roman"/>
                <w:b/>
                <w:bCs/>
                <w:i w:val="0"/>
                <w:iCs w:val="0"/>
                <w:noProof/>
                <w:color w:val="auto"/>
                <w:sz w:val="24"/>
                <w:szCs w:val="24"/>
              </w:rPr>
              <w:t>3</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w:t>
            </w:r>
            <w:r w:rsidR="00661E21" w:rsidRPr="00B066C6">
              <w:rPr>
                <w:rFonts w:ascii="Times New Roman" w:hAnsi="Times New Roman" w:cs="Times New Roman"/>
                <w:i w:val="0"/>
                <w:iCs w:val="0"/>
                <w:color w:val="auto"/>
                <w:sz w:val="24"/>
                <w:szCs w:val="24"/>
              </w:rPr>
              <w:t>Summary of results from comparisons of Kruskal-Wallis tests among network parameters including equation used, Kruskal-</w:t>
            </w:r>
            <w:proofErr w:type="gramStart"/>
            <w:r w:rsidR="00661E21" w:rsidRPr="00B066C6">
              <w:rPr>
                <w:rFonts w:ascii="Times New Roman" w:hAnsi="Times New Roman" w:cs="Times New Roman"/>
                <w:i w:val="0"/>
                <w:iCs w:val="0"/>
                <w:color w:val="auto"/>
                <w:sz w:val="24"/>
                <w:szCs w:val="24"/>
              </w:rPr>
              <w:t>Wallis</w:t>
            </w:r>
            <w:proofErr w:type="gramEnd"/>
            <w:r w:rsidR="00661E21" w:rsidRPr="00B066C6">
              <w:rPr>
                <w:rFonts w:ascii="Times New Roman" w:hAnsi="Times New Roman" w:cs="Times New Roman"/>
                <w:i w:val="0"/>
                <w:iCs w:val="0"/>
                <w:color w:val="auto"/>
                <w:sz w:val="24"/>
                <w:szCs w:val="24"/>
              </w:rPr>
              <w:t xml:space="preserve"> chi-squared, degrees of freedom (</w:t>
            </w:r>
            <w:proofErr w:type="spellStart"/>
            <w:r w:rsidR="00661E21" w:rsidRPr="00B066C6">
              <w:rPr>
                <w:rFonts w:ascii="Times New Roman" w:hAnsi="Times New Roman" w:cs="Times New Roman"/>
                <w:i w:val="0"/>
                <w:iCs w:val="0"/>
                <w:color w:val="auto"/>
                <w:sz w:val="24"/>
                <w:szCs w:val="24"/>
              </w:rPr>
              <w:t>df</w:t>
            </w:r>
            <w:proofErr w:type="spellEnd"/>
            <w:r w:rsidR="00661E21" w:rsidRPr="00B066C6">
              <w:rPr>
                <w:rFonts w:ascii="Times New Roman" w:hAnsi="Times New Roman" w:cs="Times New Roman"/>
                <w:i w:val="0"/>
                <w:iCs w:val="0"/>
                <w:color w:val="auto"/>
                <w:sz w:val="24"/>
                <w:szCs w:val="24"/>
              </w:rPr>
              <w:t xml:space="preserve">), and p-values. Method type represents the type of sampling methods used when sampling for interactions and is either phytocentric (plant-centric), </w:t>
            </w:r>
            <w:r w:rsidR="007F15DD">
              <w:rPr>
                <w:rFonts w:ascii="Times New Roman" w:hAnsi="Times New Roman" w:cs="Times New Roman"/>
                <w:i w:val="0"/>
                <w:iCs w:val="0"/>
                <w:color w:val="auto"/>
                <w:sz w:val="24"/>
                <w:szCs w:val="24"/>
              </w:rPr>
              <w:t>zoocentric</w:t>
            </w:r>
            <w:r w:rsidR="00661E21" w:rsidRPr="00B066C6">
              <w:rPr>
                <w:rFonts w:ascii="Times New Roman" w:hAnsi="Times New Roman" w:cs="Times New Roman"/>
                <w:i w:val="0"/>
                <w:iCs w:val="0"/>
                <w:color w:val="auto"/>
                <w:sz w:val="24"/>
                <w:szCs w:val="24"/>
              </w:rPr>
              <w:t xml:space="preserve"> (animal-centric), or a combination of the two types.</w:t>
            </w:r>
            <w:bookmarkEnd w:id="71"/>
            <w:r w:rsidR="00661E21" w:rsidRPr="00B066C6">
              <w:rPr>
                <w:rFonts w:ascii="Times New Roman" w:hAnsi="Times New Roman" w:cs="Times New Roman"/>
                <w:i w:val="0"/>
                <w:iCs w:val="0"/>
                <w:color w:val="auto"/>
                <w:sz w:val="24"/>
                <w:szCs w:val="24"/>
              </w:rPr>
              <w:t xml:space="preserve"> </w:t>
            </w:r>
            <w:bookmarkEnd w:id="72"/>
          </w:p>
        </w:tc>
      </w:tr>
      <w:tr w:rsidR="00661E21" w:rsidRPr="00B066C6" w14:paraId="3440E5C0" w14:textId="77777777" w:rsidTr="00E5122F">
        <w:tc>
          <w:tcPr>
            <w:tcW w:w="4575" w:type="dxa"/>
            <w:tcBorders>
              <w:top w:val="double" w:sz="4" w:space="0" w:color="auto"/>
              <w:bottom w:val="single" w:sz="4" w:space="0" w:color="auto"/>
            </w:tcBorders>
          </w:tcPr>
          <w:p w14:paraId="4A9CBE99" w14:textId="77777777" w:rsidR="00661E21" w:rsidRPr="00B066C6" w:rsidRDefault="00661E21" w:rsidP="00BD07DC">
            <w:pPr>
              <w:widowControl w:val="0"/>
              <w:spacing w:line="360" w:lineRule="auto"/>
              <w:rPr>
                <w:rFonts w:ascii="Times New Roman" w:hAnsi="Times New Roman" w:cs="Times New Roman"/>
                <w:b/>
              </w:rPr>
            </w:pPr>
            <w:r w:rsidRPr="00B066C6">
              <w:rPr>
                <w:rFonts w:ascii="Times New Roman" w:hAnsi="Times New Roman" w:cs="Times New Roman"/>
                <w:b/>
              </w:rPr>
              <w:t>Equations</w:t>
            </w:r>
          </w:p>
        </w:tc>
        <w:tc>
          <w:tcPr>
            <w:tcW w:w="1665" w:type="dxa"/>
            <w:tcBorders>
              <w:top w:val="double" w:sz="4" w:space="0" w:color="auto"/>
              <w:bottom w:val="single" w:sz="4" w:space="0" w:color="auto"/>
            </w:tcBorders>
          </w:tcPr>
          <w:p w14:paraId="7A48CBFF" w14:textId="77777777" w:rsidR="00661E21" w:rsidRPr="00B066C6" w:rsidRDefault="00661E21" w:rsidP="00BD07DC">
            <w:pPr>
              <w:widowControl w:val="0"/>
              <w:spacing w:line="360" w:lineRule="auto"/>
              <w:rPr>
                <w:rFonts w:ascii="Times New Roman" w:hAnsi="Times New Roman" w:cs="Times New Roman"/>
                <w:b/>
              </w:rPr>
            </w:pPr>
            <w:r w:rsidRPr="00B066C6">
              <w:rPr>
                <w:rFonts w:ascii="Times New Roman" w:hAnsi="Times New Roman" w:cs="Times New Roman"/>
                <w:b/>
              </w:rPr>
              <w:t>Chi-squared</w:t>
            </w:r>
          </w:p>
        </w:tc>
        <w:tc>
          <w:tcPr>
            <w:tcW w:w="1290" w:type="dxa"/>
            <w:tcBorders>
              <w:top w:val="double" w:sz="4" w:space="0" w:color="auto"/>
              <w:bottom w:val="single" w:sz="4" w:space="0" w:color="auto"/>
            </w:tcBorders>
          </w:tcPr>
          <w:p w14:paraId="55C6DC5D" w14:textId="77777777" w:rsidR="00661E21" w:rsidRPr="00B066C6" w:rsidRDefault="00661E21" w:rsidP="00BD07DC">
            <w:pPr>
              <w:widowControl w:val="0"/>
              <w:spacing w:line="360" w:lineRule="auto"/>
              <w:rPr>
                <w:rFonts w:ascii="Times New Roman" w:hAnsi="Times New Roman" w:cs="Times New Roman"/>
                <w:b/>
              </w:rPr>
            </w:pPr>
            <w:proofErr w:type="spellStart"/>
            <w:r w:rsidRPr="00B066C6">
              <w:rPr>
                <w:rFonts w:ascii="Times New Roman" w:hAnsi="Times New Roman" w:cs="Times New Roman"/>
                <w:b/>
              </w:rPr>
              <w:t>df</w:t>
            </w:r>
            <w:proofErr w:type="spellEnd"/>
          </w:p>
        </w:tc>
        <w:tc>
          <w:tcPr>
            <w:tcW w:w="1830" w:type="dxa"/>
            <w:tcBorders>
              <w:top w:val="double" w:sz="4" w:space="0" w:color="auto"/>
              <w:bottom w:val="single" w:sz="4" w:space="0" w:color="auto"/>
            </w:tcBorders>
          </w:tcPr>
          <w:p w14:paraId="3B728ABA" w14:textId="631E0752" w:rsidR="00661E21" w:rsidRPr="00B066C6" w:rsidRDefault="00661E21" w:rsidP="00BD07DC">
            <w:pPr>
              <w:widowControl w:val="0"/>
              <w:spacing w:line="360" w:lineRule="auto"/>
              <w:rPr>
                <w:rFonts w:ascii="Times New Roman" w:hAnsi="Times New Roman" w:cs="Times New Roman"/>
                <w:b/>
              </w:rPr>
            </w:pPr>
            <w:r w:rsidRPr="00B066C6">
              <w:rPr>
                <w:rFonts w:ascii="Times New Roman" w:hAnsi="Times New Roman" w:cs="Times New Roman"/>
                <w:b/>
              </w:rPr>
              <w:t>P-value</w:t>
            </w:r>
          </w:p>
        </w:tc>
      </w:tr>
      <w:tr w:rsidR="00661E21" w:rsidRPr="00B066C6" w14:paraId="3006424D" w14:textId="77777777" w:rsidTr="00E5122F">
        <w:tc>
          <w:tcPr>
            <w:tcW w:w="4575" w:type="dxa"/>
            <w:tcBorders>
              <w:top w:val="single" w:sz="4" w:space="0" w:color="auto"/>
            </w:tcBorders>
          </w:tcPr>
          <w:p w14:paraId="38BACAF8"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Method Type ~ Network Richness</w:t>
            </w:r>
          </w:p>
        </w:tc>
        <w:tc>
          <w:tcPr>
            <w:tcW w:w="1665" w:type="dxa"/>
            <w:tcBorders>
              <w:top w:val="single" w:sz="4" w:space="0" w:color="auto"/>
            </w:tcBorders>
          </w:tcPr>
          <w:p w14:paraId="71096C39" w14:textId="77777777" w:rsidR="00661E21" w:rsidRPr="00B066C6" w:rsidRDefault="00661E21" w:rsidP="00BD07DC">
            <w:pPr>
              <w:spacing w:line="360" w:lineRule="auto"/>
              <w:ind w:left="-20" w:right="-20"/>
              <w:rPr>
                <w:rFonts w:ascii="Times New Roman" w:hAnsi="Times New Roman" w:cs="Times New Roman"/>
              </w:rPr>
            </w:pPr>
            <w:r w:rsidRPr="00B066C6">
              <w:rPr>
                <w:rFonts w:ascii="Times New Roman" w:hAnsi="Times New Roman" w:cs="Times New Roman"/>
              </w:rPr>
              <w:t>18.78</w:t>
            </w:r>
          </w:p>
        </w:tc>
        <w:tc>
          <w:tcPr>
            <w:tcW w:w="1290" w:type="dxa"/>
            <w:tcBorders>
              <w:top w:val="single" w:sz="4" w:space="0" w:color="auto"/>
            </w:tcBorders>
          </w:tcPr>
          <w:p w14:paraId="1189C8A3"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2</w:t>
            </w:r>
          </w:p>
        </w:tc>
        <w:tc>
          <w:tcPr>
            <w:tcW w:w="1830" w:type="dxa"/>
            <w:tcBorders>
              <w:top w:val="single" w:sz="4" w:space="0" w:color="auto"/>
            </w:tcBorders>
          </w:tcPr>
          <w:p w14:paraId="6DE2C757" w14:textId="718BCF05"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0.0001</w:t>
            </w:r>
          </w:p>
        </w:tc>
      </w:tr>
      <w:tr w:rsidR="00661E21" w:rsidRPr="00B066C6" w14:paraId="5287EEC0" w14:textId="77777777" w:rsidTr="00E5122F">
        <w:tc>
          <w:tcPr>
            <w:tcW w:w="4575" w:type="dxa"/>
            <w:shd w:val="clear" w:color="auto" w:fill="E8E8E8" w:themeFill="background2"/>
          </w:tcPr>
          <w:p w14:paraId="7B2A5AD0"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Method Type ~ Specialization (H2)</w:t>
            </w:r>
          </w:p>
        </w:tc>
        <w:tc>
          <w:tcPr>
            <w:tcW w:w="1665" w:type="dxa"/>
            <w:shd w:val="clear" w:color="auto" w:fill="E8E8E8" w:themeFill="background2"/>
          </w:tcPr>
          <w:p w14:paraId="22EACB69" w14:textId="77777777" w:rsidR="00661E21" w:rsidRPr="00B066C6" w:rsidRDefault="00661E21" w:rsidP="00BD07DC">
            <w:pPr>
              <w:spacing w:line="360" w:lineRule="auto"/>
              <w:ind w:left="-20" w:right="-20"/>
              <w:rPr>
                <w:rFonts w:ascii="Times New Roman" w:hAnsi="Times New Roman" w:cs="Times New Roman"/>
              </w:rPr>
            </w:pPr>
            <w:r w:rsidRPr="00B066C6">
              <w:rPr>
                <w:rFonts w:ascii="Times New Roman" w:hAnsi="Times New Roman" w:cs="Times New Roman"/>
              </w:rPr>
              <w:t>9.44</w:t>
            </w:r>
          </w:p>
        </w:tc>
        <w:tc>
          <w:tcPr>
            <w:tcW w:w="1290" w:type="dxa"/>
            <w:shd w:val="clear" w:color="auto" w:fill="E8E8E8" w:themeFill="background2"/>
          </w:tcPr>
          <w:p w14:paraId="248A3990"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2</w:t>
            </w:r>
          </w:p>
        </w:tc>
        <w:tc>
          <w:tcPr>
            <w:tcW w:w="1830" w:type="dxa"/>
            <w:shd w:val="clear" w:color="auto" w:fill="E8E8E8" w:themeFill="background2"/>
          </w:tcPr>
          <w:p w14:paraId="65CF088D" w14:textId="4B4653D9"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0.009</w:t>
            </w:r>
          </w:p>
        </w:tc>
      </w:tr>
      <w:tr w:rsidR="00661E21" w:rsidRPr="00B066C6" w14:paraId="1319B03A" w14:textId="77777777" w:rsidTr="00E5122F">
        <w:tc>
          <w:tcPr>
            <w:tcW w:w="4575" w:type="dxa"/>
          </w:tcPr>
          <w:p w14:paraId="43DF1A4F"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Method Type ~ Weighted Nestedness (WNODF)</w:t>
            </w:r>
          </w:p>
        </w:tc>
        <w:tc>
          <w:tcPr>
            <w:tcW w:w="1665" w:type="dxa"/>
          </w:tcPr>
          <w:p w14:paraId="61012B61" w14:textId="77777777" w:rsidR="00661E21" w:rsidRPr="00B066C6" w:rsidRDefault="00661E21" w:rsidP="00BD07DC">
            <w:pPr>
              <w:spacing w:line="360" w:lineRule="auto"/>
              <w:ind w:left="-20" w:right="-20"/>
              <w:rPr>
                <w:rFonts w:ascii="Times New Roman" w:hAnsi="Times New Roman" w:cs="Times New Roman"/>
              </w:rPr>
            </w:pPr>
            <w:r w:rsidRPr="00B066C6">
              <w:rPr>
                <w:rFonts w:ascii="Times New Roman" w:hAnsi="Times New Roman" w:cs="Times New Roman"/>
              </w:rPr>
              <w:t>7.59</w:t>
            </w:r>
          </w:p>
        </w:tc>
        <w:tc>
          <w:tcPr>
            <w:tcW w:w="1290" w:type="dxa"/>
          </w:tcPr>
          <w:p w14:paraId="04EA0A8C"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2</w:t>
            </w:r>
          </w:p>
        </w:tc>
        <w:tc>
          <w:tcPr>
            <w:tcW w:w="1830" w:type="dxa"/>
          </w:tcPr>
          <w:p w14:paraId="21A35C53" w14:textId="3295C2BF"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0.023</w:t>
            </w:r>
          </w:p>
        </w:tc>
      </w:tr>
      <w:tr w:rsidR="00661E21" w:rsidRPr="00B066C6" w14:paraId="57B1D95B" w14:textId="77777777" w:rsidTr="00E5122F">
        <w:tc>
          <w:tcPr>
            <w:tcW w:w="4575" w:type="dxa"/>
            <w:shd w:val="clear" w:color="auto" w:fill="E8E8E8" w:themeFill="background2"/>
          </w:tcPr>
          <w:p w14:paraId="5B8A4CE7"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Method Type ~ Modularity (</w:t>
            </w:r>
            <w:r w:rsidRPr="00B066C6">
              <w:rPr>
                <w:rFonts w:ascii="Times New Roman" w:hAnsi="Times New Roman" w:cs="Times New Roman"/>
                <w:i/>
              </w:rPr>
              <w:t>Q</w:t>
            </w:r>
            <w:r w:rsidRPr="00B066C6">
              <w:rPr>
                <w:rFonts w:ascii="Times New Roman" w:hAnsi="Times New Roman" w:cs="Times New Roman"/>
              </w:rPr>
              <w:t>)</w:t>
            </w:r>
          </w:p>
        </w:tc>
        <w:tc>
          <w:tcPr>
            <w:tcW w:w="1665" w:type="dxa"/>
            <w:shd w:val="clear" w:color="auto" w:fill="E8E8E8" w:themeFill="background2"/>
          </w:tcPr>
          <w:p w14:paraId="63B51DB8" w14:textId="77777777" w:rsidR="00661E21" w:rsidRPr="00B066C6" w:rsidRDefault="00661E21" w:rsidP="00BD07DC">
            <w:pPr>
              <w:spacing w:line="360" w:lineRule="auto"/>
              <w:ind w:left="-20" w:right="-20"/>
              <w:rPr>
                <w:rFonts w:ascii="Times New Roman" w:hAnsi="Times New Roman" w:cs="Times New Roman"/>
              </w:rPr>
            </w:pPr>
            <w:r w:rsidRPr="00B066C6">
              <w:rPr>
                <w:rFonts w:ascii="Times New Roman" w:hAnsi="Times New Roman" w:cs="Times New Roman"/>
              </w:rPr>
              <w:t>1.42</w:t>
            </w:r>
          </w:p>
        </w:tc>
        <w:tc>
          <w:tcPr>
            <w:tcW w:w="1290" w:type="dxa"/>
            <w:shd w:val="clear" w:color="auto" w:fill="E8E8E8" w:themeFill="background2"/>
          </w:tcPr>
          <w:p w14:paraId="364219F3"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2</w:t>
            </w:r>
          </w:p>
        </w:tc>
        <w:tc>
          <w:tcPr>
            <w:tcW w:w="1830" w:type="dxa"/>
            <w:shd w:val="clear" w:color="auto" w:fill="E8E8E8" w:themeFill="background2"/>
          </w:tcPr>
          <w:p w14:paraId="20EA4DA8"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&gt; 0.05</w:t>
            </w:r>
          </w:p>
        </w:tc>
      </w:tr>
      <w:tr w:rsidR="00661E21" w:rsidRPr="00B066C6" w14:paraId="704D448A" w14:textId="77777777" w:rsidTr="00E5122F">
        <w:tc>
          <w:tcPr>
            <w:tcW w:w="4575" w:type="dxa"/>
          </w:tcPr>
          <w:p w14:paraId="5CEC6228"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Network Richness ~ Specialization (H2)</w:t>
            </w:r>
          </w:p>
        </w:tc>
        <w:tc>
          <w:tcPr>
            <w:tcW w:w="1665" w:type="dxa"/>
          </w:tcPr>
          <w:p w14:paraId="737E7A29"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107.15</w:t>
            </w:r>
          </w:p>
        </w:tc>
        <w:tc>
          <w:tcPr>
            <w:tcW w:w="1290" w:type="dxa"/>
          </w:tcPr>
          <w:p w14:paraId="56216ABC"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99</w:t>
            </w:r>
          </w:p>
        </w:tc>
        <w:tc>
          <w:tcPr>
            <w:tcW w:w="1830" w:type="dxa"/>
          </w:tcPr>
          <w:p w14:paraId="5B088117"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&gt; 0.05</w:t>
            </w:r>
          </w:p>
        </w:tc>
      </w:tr>
      <w:tr w:rsidR="00661E21" w:rsidRPr="00B066C6" w14:paraId="6E218558" w14:textId="77777777" w:rsidTr="00E5122F">
        <w:trPr>
          <w:trHeight w:val="519"/>
        </w:trPr>
        <w:tc>
          <w:tcPr>
            <w:tcW w:w="4575" w:type="dxa"/>
            <w:shd w:val="clear" w:color="auto" w:fill="E8E8E8" w:themeFill="background2"/>
          </w:tcPr>
          <w:p w14:paraId="5F4B65A1"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Network Richness ~ Weighted Nestedness (WNODF)</w:t>
            </w:r>
          </w:p>
        </w:tc>
        <w:tc>
          <w:tcPr>
            <w:tcW w:w="1665" w:type="dxa"/>
            <w:shd w:val="clear" w:color="auto" w:fill="E8E8E8" w:themeFill="background2"/>
          </w:tcPr>
          <w:p w14:paraId="6A86C94C" w14:textId="77777777" w:rsidR="00661E21" w:rsidRPr="00B066C6" w:rsidRDefault="00661E21" w:rsidP="00BD07DC">
            <w:pPr>
              <w:spacing w:line="360" w:lineRule="auto"/>
              <w:ind w:left="-20" w:right="-20"/>
              <w:rPr>
                <w:rFonts w:ascii="Times New Roman" w:hAnsi="Times New Roman" w:cs="Times New Roman"/>
              </w:rPr>
            </w:pPr>
            <w:r w:rsidRPr="00B066C6">
              <w:rPr>
                <w:rFonts w:ascii="Times New Roman" w:hAnsi="Times New Roman" w:cs="Times New Roman"/>
              </w:rPr>
              <w:t>139.95</w:t>
            </w:r>
          </w:p>
        </w:tc>
        <w:tc>
          <w:tcPr>
            <w:tcW w:w="1290" w:type="dxa"/>
            <w:shd w:val="clear" w:color="auto" w:fill="E8E8E8" w:themeFill="background2"/>
          </w:tcPr>
          <w:p w14:paraId="4FE55375"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139</w:t>
            </w:r>
          </w:p>
        </w:tc>
        <w:tc>
          <w:tcPr>
            <w:tcW w:w="1830" w:type="dxa"/>
            <w:shd w:val="clear" w:color="auto" w:fill="E8E8E8" w:themeFill="background2"/>
          </w:tcPr>
          <w:p w14:paraId="2BBF8A18"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&gt; 0.05</w:t>
            </w:r>
          </w:p>
        </w:tc>
      </w:tr>
      <w:tr w:rsidR="00661E21" w:rsidRPr="00B066C6" w14:paraId="5DF2C396" w14:textId="77777777" w:rsidTr="00E5122F">
        <w:trPr>
          <w:trHeight w:val="24"/>
        </w:trPr>
        <w:tc>
          <w:tcPr>
            <w:tcW w:w="4575" w:type="dxa"/>
            <w:tcBorders>
              <w:bottom w:val="double" w:sz="4" w:space="0" w:color="auto"/>
            </w:tcBorders>
          </w:tcPr>
          <w:p w14:paraId="17057DE1"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Network Richness ~ Modularity (</w:t>
            </w:r>
            <w:r w:rsidRPr="00B066C6">
              <w:rPr>
                <w:rFonts w:ascii="Times New Roman" w:hAnsi="Times New Roman" w:cs="Times New Roman"/>
                <w:i/>
              </w:rPr>
              <w:t>Q</w:t>
            </w:r>
            <w:r w:rsidRPr="00B066C6">
              <w:rPr>
                <w:rFonts w:ascii="Times New Roman" w:hAnsi="Times New Roman" w:cs="Times New Roman"/>
              </w:rPr>
              <w:t>)</w:t>
            </w:r>
          </w:p>
        </w:tc>
        <w:tc>
          <w:tcPr>
            <w:tcW w:w="1665" w:type="dxa"/>
            <w:tcBorders>
              <w:bottom w:val="double" w:sz="4" w:space="0" w:color="auto"/>
            </w:tcBorders>
          </w:tcPr>
          <w:p w14:paraId="48BACC6C"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94.47</w:t>
            </w:r>
          </w:p>
        </w:tc>
        <w:tc>
          <w:tcPr>
            <w:tcW w:w="1290" w:type="dxa"/>
            <w:tcBorders>
              <w:bottom w:val="double" w:sz="4" w:space="0" w:color="auto"/>
            </w:tcBorders>
          </w:tcPr>
          <w:p w14:paraId="4141211A"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94</w:t>
            </w:r>
          </w:p>
        </w:tc>
        <w:tc>
          <w:tcPr>
            <w:tcW w:w="1830" w:type="dxa"/>
            <w:tcBorders>
              <w:bottom w:val="double" w:sz="4" w:space="0" w:color="auto"/>
            </w:tcBorders>
          </w:tcPr>
          <w:p w14:paraId="7A9FC26D" w14:textId="77777777" w:rsidR="00661E21" w:rsidRPr="00B066C6" w:rsidRDefault="00661E21" w:rsidP="00BD07DC">
            <w:pPr>
              <w:widowControl w:val="0"/>
              <w:spacing w:line="360" w:lineRule="auto"/>
              <w:rPr>
                <w:rFonts w:ascii="Times New Roman" w:hAnsi="Times New Roman" w:cs="Times New Roman"/>
              </w:rPr>
            </w:pPr>
            <w:r w:rsidRPr="00B066C6">
              <w:rPr>
                <w:rFonts w:ascii="Times New Roman" w:hAnsi="Times New Roman" w:cs="Times New Roman"/>
              </w:rPr>
              <w:t>&gt; 0.05</w:t>
            </w:r>
          </w:p>
        </w:tc>
      </w:tr>
    </w:tbl>
    <w:p w14:paraId="4546323A" w14:textId="77777777" w:rsidR="00661E21" w:rsidRPr="00B066C6" w:rsidRDefault="00661E21" w:rsidP="00BD07DC">
      <w:pPr>
        <w:rPr>
          <w:rFonts w:ascii="Times New Roman" w:hAnsi="Times New Roman" w:cs="Times New Roman"/>
          <w:b/>
          <w:bCs/>
        </w:rPr>
      </w:pPr>
      <w:r w:rsidRPr="00B066C6">
        <w:rPr>
          <w:rFonts w:ascii="Times New Roman" w:hAnsi="Times New Roman" w:cs="Times New Roman"/>
          <w:b/>
          <w:bCs/>
        </w:rPr>
        <w:br w:type="page"/>
      </w:r>
    </w:p>
    <w:p w14:paraId="58FA480A"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lastRenderedPageBreak/>
        <w:t>Despite the potential drawbacks, most papers in the reviewed literature tended to adopt a phytocentric approach, emphasizing plant-centric perspectives. Phytocentric approaches typically consist of using direct observation of feeding events on fruiting plants within spatially delimited sampling transects or plots (Ramos-Robles et al., 2018; Ribeiro da Silva et al., 2015; Vitorino et al., 2022). This also includes the use of camera traps on focal fruiting species to document fruit-frugivore interactions. This approach allows for interactions to be identified regardless of disperser size, behavior, or preferred forest strata, and allows for the observation of less frequent dispersers that may be important for consuming substantial amounts of fruit with larger seeds (</w:t>
      </w:r>
      <w:proofErr w:type="spellStart"/>
      <w:r w:rsidRPr="00B066C6">
        <w:rPr>
          <w:rFonts w:ascii="Times New Roman" w:hAnsi="Times New Roman" w:cs="Times New Roman"/>
        </w:rPr>
        <w:t>Naniwadekar</w:t>
      </w:r>
      <w:proofErr w:type="spellEnd"/>
      <w:r w:rsidRPr="00B066C6">
        <w:rPr>
          <w:rFonts w:ascii="Times New Roman" w:hAnsi="Times New Roman" w:cs="Times New Roman"/>
        </w:rPr>
        <w:t xml:space="preserve"> et al., 2019; Vidal et al., 2013). However, frugivory itself may not be a good proxy for seed dispersal effectiveness as it overlooks factors such as seed handling and deposition, which significantly influence the fate and success of dispersed seeds (</w:t>
      </w:r>
      <w:proofErr w:type="spellStart"/>
      <w:r w:rsidRPr="00B066C6">
        <w:rPr>
          <w:rFonts w:ascii="Times New Roman" w:hAnsi="Times New Roman" w:cs="Times New Roman"/>
        </w:rPr>
        <w:t>Chacoff</w:t>
      </w:r>
      <w:proofErr w:type="spellEnd"/>
      <w:r w:rsidRPr="00B066C6">
        <w:rPr>
          <w:rFonts w:ascii="Times New Roman" w:hAnsi="Times New Roman" w:cs="Times New Roman"/>
        </w:rPr>
        <w:t xml:space="preserve"> et al. 2011; Schupp et al., 2010). Additionally, the mobility of dispersers isn’t always accounted for in a phytocentric approach. Given the varied spatial scales at which seed dispersal networks operate, relying solely on a phytocentric approach may conflate the effects of small-scale community dynamics, such as habitat selection, with landscape-level processes (Freitas et al. 2014; Souza et al. 2021; Vitorino et al. 2022). Effective restoration requires an understanding of how seeds move across the landscape and into degraded lands, therefore an exclusive focus on plant perspectives without accounting for underlying spatial heterogeneity might miss these broader ecological patterns (Carlo &amp; Yang 2011; Souza et al. 2021).</w:t>
      </w:r>
    </w:p>
    <w:p w14:paraId="14AA8A17"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Plant-centric sampling approaches may also inadvertently bias restoration efforts toward a limited set of plant species, such as those only within the visual range of the observer, which can result in monoculture-like outcomes where the diversity of a system is not represented (Freitas et al. 2014; Vitorino et al. 2022). This approach may also limit observations to species with longer fruiting stages, or those fruiting species falling within designated plots. This could lead to over-yield network specialization and produce a significantly lower nestedness value than zoocentric networks (Vitorino et al., 2022). In addition to potentially missing key plant species, critical disperser species may be overlooked leading to a failure to recognize key partnerships that could contribute significantly to restoration success (Muscarella &amp; Fleming, 2007; Vitorino et al. 2022). For example, </w:t>
      </w:r>
      <w:proofErr w:type="spellStart"/>
      <w:r w:rsidRPr="00B066C6">
        <w:rPr>
          <w:rFonts w:ascii="Times New Roman" w:hAnsi="Times New Roman" w:cs="Times New Roman"/>
        </w:rPr>
        <w:t>Phyllostomid</w:t>
      </w:r>
      <w:proofErr w:type="spellEnd"/>
      <w:r w:rsidRPr="00B066C6">
        <w:rPr>
          <w:rFonts w:ascii="Times New Roman" w:hAnsi="Times New Roman" w:cs="Times New Roman"/>
        </w:rPr>
        <w:t xml:space="preserve"> bats are incredibly important seed dispersers in disturbed areas, such as pastures, as they disperse seeds of pioneer and primary species and consequently contribute to the recovery of woody vegetation in disturbed areas (Galindo-González et al., </w:t>
      </w:r>
      <w:r w:rsidRPr="00B066C6">
        <w:rPr>
          <w:rFonts w:ascii="Times New Roman" w:hAnsi="Times New Roman" w:cs="Times New Roman"/>
        </w:rPr>
        <w:lastRenderedPageBreak/>
        <w:t>2020). Taking a solely phytocentric approach in sampling, such as establishing seed traps in disturbed areas to capture seed rain, could disregard the importance of specific bat species. By combining seed traps with a zoocentric approach, like mist-netting for bats to collect fecal samples with intact seeds, researchers can account for these potential missing interactions (Galindo-González et al., 2020; Laurindo et al., 2020; Muscarella &amp; Fleming, 2007).</w:t>
      </w:r>
    </w:p>
    <w:p w14:paraId="6D8061C1"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Zoocentric networks consist of interactions determined by recovering droppings, scat depositions, or regurgitations from frugivorous animals through mist nets, mammal traps, or scat surveys where recovered seeds are either identified from comparisons with reference collections or through DNA barcoding (Ramos-Robles et al., 2018; Ribeiro da Silva et al., 2015; Vitorino et al., 2022; </w:t>
      </w:r>
      <w:proofErr w:type="spellStart"/>
      <w:r w:rsidRPr="00B066C6">
        <w:rPr>
          <w:rFonts w:ascii="Times New Roman" w:hAnsi="Times New Roman" w:cs="Times New Roman"/>
        </w:rPr>
        <w:t>Vizentin-Bugoni</w:t>
      </w:r>
      <w:proofErr w:type="spellEnd"/>
      <w:r w:rsidRPr="00B066C6">
        <w:rPr>
          <w:rFonts w:ascii="Times New Roman" w:hAnsi="Times New Roman" w:cs="Times New Roman"/>
        </w:rPr>
        <w:t xml:space="preserve"> et al., 2022). A zoocentric approach incorporates the “effectiveness” aspect of seed dispersal by potentially allowing condition and germination studies to take place after a seed has passed through an animal’s digestive tract (Gomes et al., 2022; Schupp et al., 2010). Zoocentric approaches tend to allow for interactions with a higher number of plant species than phytocentric approaches because they do not rely on the visual limitations of the observer (Vitorino et al. 2022). Zoocentric methods also inherently account for the movement of animals across landscapes, providing insights into the spatial variation in seed dispersal based on disperser mobility (Souza et al. 2021). This broader perspective is essential for understanding how seeds are dispersed across various habitats, facilitating the development of restoration strategies that consider landscape-scale processes. By understanding and promoting species that aid in landscape connectivity and community turnover, restoration efforts can better support fostering biodiversity in systems undergoing restoration.</w:t>
      </w:r>
    </w:p>
    <w:p w14:paraId="71331B4D"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However, there are potential downsides to using a zoocentric approach, as field sampling can be data-intensive and complex. Identifying and tracking many different animal species, especially in highly diverse ecosystems, may present logistical challenges and require extensive field and laboratory (e.g. barcoding) efforts from experienced technicians (González-Vero et al., 2014). Moreover, focusing primarily on animal contributions might lead to an incomplete understanding of the roles that different plant species play in seed dispersal networks. Popular zoocentric sampling methods, such as terrestrial mist netting, may overlook the roles of important disperser species such canopy-dwellers or larger birds, because these individuals are less likely to be captured and thus are excluded (Vitorino et al. 2022). </w:t>
      </w:r>
    </w:p>
    <w:p w14:paraId="50AB5248"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lastRenderedPageBreak/>
        <w:t xml:space="preserve">To reduce these biases, we suggest studies prioritize utilizing both a zoocentric and phytocentric approach to sampling for seed dispersal interactions, which could foster a more complete description of interaction networks (Quintero et al., 2022; Ramos-Robles et al., 2018; Schlautmann et al., 2021; Vitorino et al., 2022). Combined methodology yields higher overall network richness, which could improve the legitimacy and consistency of other network measures like specialization and nestedness. Furthermore, combined methods may further enable the identification of keystone species and critical ecological pathways that may not be identified through one method alone. Recent work has found that extrinsic factors, or indirect factors, are the biggest influences on restoration success (Selwyn et al., 2023). Seed dispersal into degraded lands or restoration sites is considered a crucial extrinsic factor for the recovery of tropical ecosystems. Thus, to fully understand what species are driving these connections among landscapes and aiding in forest recovery, we must first be able to identify as many interacting species within the system as possible. </w:t>
      </w:r>
    </w:p>
    <w:p w14:paraId="578070FE" w14:textId="5B2E21D0"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Combining sampling methods has shown some limitations, such as calculating interaction frequency from different interaction currencies and calculating sampling completeness (Quintero et al., 2022; Vitorino et al., 2022). A recent paper suggests ways in which networks constructed from various sampling methodologies and datasets can be combined, describing five possible ways to help account for these limitations (</w:t>
      </w:r>
      <w:r w:rsidR="00052C25">
        <w:rPr>
          <w:rFonts w:ascii="Times New Roman" w:hAnsi="Times New Roman" w:cs="Times New Roman"/>
        </w:rPr>
        <w:t>Q</w:t>
      </w:r>
      <w:r w:rsidRPr="00B066C6">
        <w:rPr>
          <w:rFonts w:ascii="Times New Roman" w:hAnsi="Times New Roman" w:cs="Times New Roman"/>
        </w:rPr>
        <w:t>uintero et al., 2022). Any combination of sampling methods yielded better results in relation to sampling completeness and representability (Quintero et al., 2022). Therefore, despite unavoidable geographic and habitat-based sampling biases (e.g., camera trapping may yield more success in tropical zones while DNA-barcoding may be more challenging in these areas due to processing and preservation needs</w:t>
      </w:r>
      <w:r w:rsidR="00052C25">
        <w:rPr>
          <w:rFonts w:ascii="Times New Roman" w:hAnsi="Times New Roman" w:cs="Times New Roman"/>
        </w:rPr>
        <w:t xml:space="preserve"> (</w:t>
      </w:r>
      <w:r w:rsidRPr="00B066C6">
        <w:rPr>
          <w:rFonts w:ascii="Times New Roman" w:hAnsi="Times New Roman" w:cs="Times New Roman"/>
        </w:rPr>
        <w:t>Quintero et al.</w:t>
      </w:r>
      <w:r w:rsidR="001257D4">
        <w:rPr>
          <w:rFonts w:ascii="Times New Roman" w:hAnsi="Times New Roman" w:cs="Times New Roman"/>
        </w:rPr>
        <w:t>,</w:t>
      </w:r>
      <w:r w:rsidRPr="00B066C6">
        <w:rPr>
          <w:rFonts w:ascii="Times New Roman" w:hAnsi="Times New Roman" w:cs="Times New Roman"/>
        </w:rPr>
        <w:t xml:space="preserve"> 2022), integrating phytocentric and zoocentric methods in seed dispersal network studies facilitates a more comprehensive understanding of ecological interactions. </w:t>
      </w:r>
    </w:p>
    <w:p w14:paraId="757B9C22" w14:textId="0F8FC7CD" w:rsidR="00661E21" w:rsidRPr="00624A02" w:rsidRDefault="00661E21" w:rsidP="00D77075">
      <w:pPr>
        <w:pStyle w:val="Heading3"/>
        <w:spacing w:before="0" w:after="0"/>
        <w:rPr>
          <w:rFonts w:ascii="Times New Roman" w:hAnsi="Times New Roman" w:cs="Times New Roman"/>
          <w:b/>
          <w:bCs/>
          <w:i/>
          <w:iCs/>
          <w:color w:val="auto"/>
          <w:sz w:val="24"/>
          <w:szCs w:val="24"/>
        </w:rPr>
      </w:pPr>
      <w:bookmarkStart w:id="73" w:name="_Toc195189616"/>
      <w:r w:rsidRPr="00624A02">
        <w:rPr>
          <w:rFonts w:ascii="Times New Roman" w:hAnsi="Times New Roman" w:cs="Times New Roman"/>
          <w:b/>
          <w:bCs/>
          <w:i/>
          <w:iCs/>
          <w:color w:val="auto"/>
          <w:sz w:val="24"/>
          <w:szCs w:val="24"/>
        </w:rPr>
        <w:t>Network-level metrics and their potential applications for forest restoration</w:t>
      </w:r>
      <w:bookmarkEnd w:id="73"/>
    </w:p>
    <w:p w14:paraId="2221B8B8" w14:textId="4B91A759" w:rsidR="00661E21" w:rsidRPr="00B066C6" w:rsidRDefault="00661E21" w:rsidP="00D77075">
      <w:pPr>
        <w:pBdr>
          <w:top w:val="nil"/>
          <w:left w:val="nil"/>
          <w:bottom w:val="nil"/>
          <w:right w:val="nil"/>
          <w:between w:val="nil"/>
        </w:pBdr>
        <w:spacing w:before="0" w:after="0"/>
        <w:ind w:firstLine="720"/>
        <w:rPr>
          <w:rFonts w:ascii="Times New Roman" w:hAnsi="Times New Roman" w:cs="Times New Roman"/>
        </w:rPr>
      </w:pPr>
      <w:r w:rsidRPr="00B066C6">
        <w:rPr>
          <w:rFonts w:ascii="Times New Roman" w:hAnsi="Times New Roman" w:cs="Times New Roman"/>
        </w:rPr>
        <w:t xml:space="preserve">By capturing a broader spectrum of interactions through diverse sampling approaches, we can yield more accurate assessments of community structure, functional relationships, and the modular organization of ecological networks. In the context of restoration, these refined metrics can better inform targeted interventions that align with the intricacies of seed dispersal dynamics, facilitating the preservation of critical interactions within ecosystems undergoing restoration. Earlier stages of forest succession are characterized by dynamic species turnover (Connell &amp; </w:t>
      </w:r>
      <w:proofErr w:type="spellStart"/>
      <w:r w:rsidRPr="00B066C6">
        <w:rPr>
          <w:rFonts w:ascii="Times New Roman" w:hAnsi="Times New Roman" w:cs="Times New Roman"/>
        </w:rPr>
        <w:lastRenderedPageBreak/>
        <w:t>Slatyer</w:t>
      </w:r>
      <w:proofErr w:type="spellEnd"/>
      <w:r w:rsidR="001257D4">
        <w:rPr>
          <w:rFonts w:ascii="Times New Roman" w:hAnsi="Times New Roman" w:cs="Times New Roman"/>
        </w:rPr>
        <w:t>,</w:t>
      </w:r>
      <w:r w:rsidRPr="00B066C6">
        <w:rPr>
          <w:rFonts w:ascii="Times New Roman" w:hAnsi="Times New Roman" w:cs="Times New Roman"/>
        </w:rPr>
        <w:t xml:space="preserve"> 1977)</w:t>
      </w:r>
      <w:r w:rsidR="005F1905">
        <w:rPr>
          <w:rFonts w:ascii="Times New Roman" w:hAnsi="Times New Roman" w:cs="Times New Roman"/>
        </w:rPr>
        <w:t xml:space="preserve"> and</w:t>
      </w:r>
      <w:r w:rsidRPr="00B066C6">
        <w:rPr>
          <w:rFonts w:ascii="Times New Roman" w:hAnsi="Times New Roman" w:cs="Times New Roman"/>
        </w:rPr>
        <w:t xml:space="preserve"> </w:t>
      </w:r>
      <w:r w:rsidR="005F1905" w:rsidRPr="00B066C6">
        <w:rPr>
          <w:rFonts w:ascii="Times New Roman" w:hAnsi="Times New Roman" w:cs="Times New Roman"/>
        </w:rPr>
        <w:t>thus</w:t>
      </w:r>
      <w:r w:rsidRPr="00B066C6">
        <w:rPr>
          <w:rFonts w:ascii="Times New Roman" w:hAnsi="Times New Roman" w:cs="Times New Roman"/>
        </w:rPr>
        <w:t xml:space="preserve"> a species-rich and highly connected seed dispersal network is expected in these stages to capture the transient nature of interactions. Restoration practices that aim to promote highly connected and species-rich networks during </w:t>
      </w:r>
      <w:r w:rsidR="005F1905">
        <w:rPr>
          <w:rFonts w:ascii="Times New Roman" w:hAnsi="Times New Roman" w:cs="Times New Roman"/>
        </w:rPr>
        <w:t>early stages of regeneration</w:t>
      </w:r>
      <w:r w:rsidRPr="00B066C6">
        <w:rPr>
          <w:rFonts w:ascii="Times New Roman" w:hAnsi="Times New Roman" w:cs="Times New Roman"/>
        </w:rPr>
        <w:t xml:space="preserve"> encourage the ecological dynamics of early succession to take place, facilitating diverse species turnover for plants and disperser species. As successional stages progress, restoration practitioner's focus should shift towards observing the emergence of specialized interactions and the formation of modules, reflecting the maturation of ecological relationships essential for sustained ecosystem stability. However, due to the lack of studies on seed dispersal interactions through successional stages, it is unknown exactly when the formation of nested and modular patterns emerges.  </w:t>
      </w:r>
    </w:p>
    <w:p w14:paraId="02B821C5" w14:textId="77777777" w:rsidR="00661E21" w:rsidRPr="00B066C6" w:rsidRDefault="00661E21" w:rsidP="00D77075">
      <w:pPr>
        <w:pBdr>
          <w:top w:val="nil"/>
          <w:left w:val="nil"/>
          <w:bottom w:val="nil"/>
          <w:right w:val="nil"/>
          <w:between w:val="nil"/>
        </w:pBdr>
        <w:spacing w:before="0" w:after="0"/>
        <w:ind w:firstLine="720"/>
        <w:rPr>
          <w:rFonts w:ascii="Times New Roman" w:hAnsi="Times New Roman" w:cs="Times New Roman"/>
        </w:rPr>
      </w:pPr>
      <w:r w:rsidRPr="00B066C6">
        <w:rPr>
          <w:rFonts w:ascii="Times New Roman" w:hAnsi="Times New Roman" w:cs="Times New Roman"/>
        </w:rPr>
        <w:t xml:space="preserve"> Generally, seed dispersal networks tend to show a nested pattern (Sebastian-Gonzalez et al., 2015; </w:t>
      </w:r>
      <w:proofErr w:type="spellStart"/>
      <w:r w:rsidRPr="00B066C6">
        <w:rPr>
          <w:rFonts w:ascii="Times New Roman" w:hAnsi="Times New Roman" w:cs="Times New Roman"/>
        </w:rPr>
        <w:t>Bascompte</w:t>
      </w:r>
      <w:proofErr w:type="spellEnd"/>
      <w:r w:rsidRPr="00B066C6">
        <w:rPr>
          <w:rFonts w:ascii="Times New Roman" w:hAnsi="Times New Roman" w:cs="Times New Roman"/>
        </w:rPr>
        <w:t xml:space="preserve"> et al., 2003) where there are a set of generalist species that interact with other generalist species, and then a subset of specialized species whose interactions are nested within the generalist interactions (</w:t>
      </w:r>
      <w:proofErr w:type="spellStart"/>
      <w:r w:rsidRPr="00B066C6">
        <w:rPr>
          <w:rFonts w:ascii="Times New Roman" w:hAnsi="Times New Roman" w:cs="Times New Roman"/>
        </w:rPr>
        <w:t>Bascompte</w:t>
      </w:r>
      <w:proofErr w:type="spellEnd"/>
      <w:r w:rsidRPr="00B066C6">
        <w:rPr>
          <w:rFonts w:ascii="Times New Roman" w:hAnsi="Times New Roman" w:cs="Times New Roman"/>
        </w:rPr>
        <w:t xml:space="preserve"> &amp; Jordano, 2007). This characteristic leads to the robustness of seed dispersal networks to extinctions and promotes the persistence of species within an environment (</w:t>
      </w:r>
      <w:proofErr w:type="spellStart"/>
      <w:r w:rsidRPr="00B066C6">
        <w:rPr>
          <w:rFonts w:ascii="Times New Roman" w:hAnsi="Times New Roman" w:cs="Times New Roman"/>
        </w:rPr>
        <w:t>Tylianakis</w:t>
      </w:r>
      <w:proofErr w:type="spellEnd"/>
      <w:r w:rsidRPr="00B066C6">
        <w:rPr>
          <w:rFonts w:ascii="Times New Roman" w:hAnsi="Times New Roman" w:cs="Times New Roman"/>
        </w:rPr>
        <w:t xml:space="preserve"> et al., 2010). In earlier stages of succession, a nested pattern in seed dispersal networks could indicate that there are a few key plant species providing resources to a broad number of disperser species, or similarly that a few key disperser species are contributing to the dispersal of several different plant species. Identifying which generalist species are contributing to nested patterns in early stages of succession could be useful for conservation practitioners as they could target these species to promote high interaction frequency, while also preserving key specialized interactions. </w:t>
      </w:r>
    </w:p>
    <w:p w14:paraId="6CF43B82" w14:textId="77777777" w:rsidR="00661E21" w:rsidRPr="00B066C6" w:rsidRDefault="00661E21" w:rsidP="00D77075">
      <w:pPr>
        <w:pBdr>
          <w:top w:val="nil"/>
          <w:left w:val="nil"/>
          <w:bottom w:val="nil"/>
          <w:right w:val="nil"/>
          <w:between w:val="nil"/>
        </w:pBdr>
        <w:spacing w:before="0" w:after="0"/>
        <w:ind w:firstLine="720"/>
        <w:rPr>
          <w:rFonts w:ascii="Times New Roman" w:hAnsi="Times New Roman" w:cs="Times New Roman"/>
        </w:rPr>
      </w:pPr>
      <w:r w:rsidRPr="00B066C6">
        <w:rPr>
          <w:rFonts w:ascii="Times New Roman" w:hAnsi="Times New Roman" w:cs="Times New Roman"/>
        </w:rPr>
        <w:t xml:space="preserve">Restoration efforts could also use nestedness as a measure of success in later stages of succession when fruit-frugivore communities should be more established and resilient to environmental change. Nestedness is associated with greater resilience to environmental changes, and nested patterns foster interactions that buffer against disturbances (Thebault &amp; Fontaine 2010; </w:t>
      </w:r>
      <w:proofErr w:type="spellStart"/>
      <w:r w:rsidRPr="00B066C6">
        <w:rPr>
          <w:rFonts w:ascii="Times New Roman" w:hAnsi="Times New Roman" w:cs="Times New Roman"/>
        </w:rPr>
        <w:t>Bastolla</w:t>
      </w:r>
      <w:proofErr w:type="spellEnd"/>
      <w:r w:rsidRPr="00B066C6">
        <w:rPr>
          <w:rFonts w:ascii="Times New Roman" w:hAnsi="Times New Roman" w:cs="Times New Roman"/>
        </w:rPr>
        <w:t xml:space="preserve"> et al. 2009; Okuyama &amp; Holland 2008). Identifying nested patterns in later successional stages may also result in ecosystems that are more efficient in resource use, nutrient cycling, and ecosystem functioning, contributing to the long-term sustainability and health of the restored ecosystem. </w:t>
      </w:r>
    </w:p>
    <w:p w14:paraId="709BEC3A" w14:textId="4D91B654"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lastRenderedPageBreak/>
        <w:t xml:space="preserve"> Modularity, which describes the existence of sub-communities within ecological networks (Fortuna et al., 2010; Newman, 2006), was not related to network size. This is possibly due to modularity being strongly influenced by ecological factors such as </w:t>
      </w:r>
      <w:r w:rsidRPr="00B066C6">
        <w:rPr>
          <w:rFonts w:ascii="Times New Roman" w:hAnsi="Times New Roman" w:cs="Times New Roman"/>
          <w:highlight w:val="white"/>
        </w:rPr>
        <w:t>human impact and the number of competing species within an ecosystem, as more modular networks are species-rich and are found in areas with lower levels of human impact (Sebastian-Gonzalez et al., 2015).</w:t>
      </w:r>
      <w:r w:rsidRPr="00B066C6">
        <w:rPr>
          <w:rFonts w:ascii="Times New Roman" w:hAnsi="Times New Roman" w:cs="Times New Roman"/>
        </w:rPr>
        <w:t xml:space="preserve"> Phylogeny and foraging behaviors also affect modular structure and are found to have significant effects on the functional roles of species within a network</w:t>
      </w:r>
      <w:r w:rsidRPr="00B066C6">
        <w:rPr>
          <w:rFonts w:ascii="Times New Roman" w:hAnsi="Times New Roman" w:cs="Times New Roman"/>
          <w:highlight w:val="white"/>
        </w:rPr>
        <w:t xml:space="preserve"> (</w:t>
      </w:r>
      <w:proofErr w:type="spellStart"/>
      <w:r w:rsidRPr="00B066C6">
        <w:rPr>
          <w:rFonts w:ascii="Times New Roman" w:hAnsi="Times New Roman" w:cs="Times New Roman"/>
          <w:highlight w:val="white"/>
        </w:rPr>
        <w:t>Donatti</w:t>
      </w:r>
      <w:proofErr w:type="spellEnd"/>
      <w:r w:rsidRPr="00B066C6">
        <w:rPr>
          <w:rFonts w:ascii="Times New Roman" w:hAnsi="Times New Roman" w:cs="Times New Roman"/>
          <w:highlight w:val="white"/>
        </w:rPr>
        <w:t xml:space="preserve"> et al., 2011; Galetti et al., 2013; Schleuning et al., 2014). </w:t>
      </w:r>
      <w:r w:rsidRPr="00B066C6">
        <w:rPr>
          <w:rFonts w:ascii="Times New Roman" w:hAnsi="Times New Roman" w:cs="Times New Roman"/>
        </w:rPr>
        <w:t xml:space="preserve">Modular patterns have been found to increase network stability and resilience to species loss while minimizing perturbations after a disturbance (Fortuna et al., 2010). It is thought that a perturbation or disruption to a network can be kept within a single </w:t>
      </w:r>
      <w:r w:rsidR="005F1905" w:rsidRPr="00B066C6">
        <w:rPr>
          <w:rFonts w:ascii="Times New Roman" w:hAnsi="Times New Roman" w:cs="Times New Roman"/>
        </w:rPr>
        <w:t>module and</w:t>
      </w:r>
      <w:r w:rsidRPr="00B066C6">
        <w:rPr>
          <w:rFonts w:ascii="Times New Roman" w:hAnsi="Times New Roman" w:cs="Times New Roman"/>
        </w:rPr>
        <w:t xml:space="preserve"> therefore would not influence the entirety of a network thus promoting network stability (da Silva et al., 2015; Newman, 2006; Sebastian-Gonzalez et al., 2015).  Identifying modular patterns in later stages of succession could be beneficial for restoration practitioners as it could enhance the resilience and adaptability of ecosystems by creating distinct, functionally specialized ecological communities. Modular structure not only contributes to ecosystem stability but also facilitates precise interventions in case of disturbance, supporting successful forest regeneration. </w:t>
      </w:r>
      <w:proofErr w:type="spellStart"/>
      <w:r w:rsidRPr="00B066C6">
        <w:rPr>
          <w:rFonts w:ascii="Times New Roman" w:hAnsi="Times New Roman" w:cs="Times New Roman"/>
        </w:rPr>
        <w:t>Donatti</w:t>
      </w:r>
      <w:proofErr w:type="spellEnd"/>
      <w:r w:rsidRPr="00B066C6">
        <w:rPr>
          <w:rFonts w:ascii="Times New Roman" w:hAnsi="Times New Roman" w:cs="Times New Roman"/>
        </w:rPr>
        <w:t xml:space="preserve"> et al. (2015) exemplify this strategy by identifying specific plant species, termed "connectors" between modules, as crucial for maintaining network structure. Connectors are species found in multiple modules across different landscapes. Identifying connector species could serve as a valuable management strategy, allowing potential targeted efforts in later stages of forest restoration (Howe 2016). </w:t>
      </w:r>
    </w:p>
    <w:p w14:paraId="28C26389"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highlight w:val="white"/>
        </w:rPr>
        <w:t xml:space="preserve">Specialization was </w:t>
      </w:r>
      <w:r w:rsidRPr="00B066C6">
        <w:rPr>
          <w:rFonts w:ascii="Times New Roman" w:hAnsi="Times New Roman" w:cs="Times New Roman"/>
        </w:rPr>
        <w:t xml:space="preserve">significantly related to network size and sampling type, whereas networks with zoocentric sampling approaches yielded the highest specialization measures. In earlier stages of succession, a lack of specialization allows for greater flexibility and adaptability, enabling a broader array of species to participate in seed dispersal and contribute to the dynamic turnover characteristic of early successional environments. In later stages of succession, specialized interactions become more significant as they signify the establishment of more stable and finely tuned ecological relationships, which could lead to more efficient dispersal of </w:t>
      </w:r>
      <w:bookmarkStart w:id="74" w:name="_Int_PjjCPaIh"/>
      <w:proofErr w:type="gramStart"/>
      <w:r w:rsidRPr="00B066C6">
        <w:rPr>
          <w:rFonts w:ascii="Times New Roman" w:hAnsi="Times New Roman" w:cs="Times New Roman"/>
        </w:rPr>
        <w:t>particular plant</w:t>
      </w:r>
      <w:bookmarkEnd w:id="74"/>
      <w:proofErr w:type="gramEnd"/>
      <w:r w:rsidRPr="00B066C6">
        <w:rPr>
          <w:rFonts w:ascii="Times New Roman" w:hAnsi="Times New Roman" w:cs="Times New Roman"/>
        </w:rPr>
        <w:t xml:space="preserve"> species. For example, large disperser species may have specialized interactions with larger seeded </w:t>
      </w:r>
      <w:proofErr w:type="gramStart"/>
      <w:r w:rsidRPr="00B066C6">
        <w:rPr>
          <w:rFonts w:ascii="Times New Roman" w:hAnsi="Times New Roman" w:cs="Times New Roman"/>
        </w:rPr>
        <w:t>plants, and</w:t>
      </w:r>
      <w:proofErr w:type="gramEnd"/>
      <w:r w:rsidRPr="00B066C6">
        <w:rPr>
          <w:rFonts w:ascii="Times New Roman" w:hAnsi="Times New Roman" w:cs="Times New Roman"/>
        </w:rPr>
        <w:t xml:space="preserve"> may be particularly effective in transporting seeds over longer distances or to suitable germination sites (See: Mittelman et al., 2021; Karubian et al., 2012; </w:t>
      </w:r>
      <w:r w:rsidRPr="00B066C6">
        <w:rPr>
          <w:rFonts w:ascii="Times New Roman" w:hAnsi="Times New Roman" w:cs="Times New Roman"/>
        </w:rPr>
        <w:lastRenderedPageBreak/>
        <w:t xml:space="preserve">Fleming and Williams 1990; Wenny &amp; Levey, 1998; </w:t>
      </w:r>
      <w:proofErr w:type="spellStart"/>
      <w:r w:rsidRPr="00B066C6">
        <w:rPr>
          <w:rFonts w:ascii="Times New Roman" w:hAnsi="Times New Roman" w:cs="Times New Roman"/>
        </w:rPr>
        <w:t>Terborgh</w:t>
      </w:r>
      <w:proofErr w:type="spellEnd"/>
      <w:r w:rsidRPr="00B066C6">
        <w:rPr>
          <w:rFonts w:ascii="Times New Roman" w:hAnsi="Times New Roman" w:cs="Times New Roman"/>
        </w:rPr>
        <w:t xml:space="preserve"> 1986). This efficiency can enhance the establishment and survival of plant species in the later stages of forest restoration (Rehm et al., 2018; Viani et al., 2015).</w:t>
      </w:r>
    </w:p>
    <w:p w14:paraId="447138FD" w14:textId="1EFF38CB"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In summary, practitioners should aim </w:t>
      </w:r>
      <w:r w:rsidR="00052C25">
        <w:rPr>
          <w:rFonts w:ascii="Times New Roman" w:hAnsi="Times New Roman" w:cs="Times New Roman"/>
        </w:rPr>
        <w:t xml:space="preserve">for </w:t>
      </w:r>
      <w:r w:rsidRPr="00B066C6">
        <w:rPr>
          <w:rFonts w:ascii="Times New Roman" w:hAnsi="Times New Roman" w:cs="Times New Roman"/>
        </w:rPr>
        <w:t xml:space="preserve">a highly connected seed dispersal network in earlier stages of restoration to promote species establishment, with particular attention to generalist species that contribute to nested interactions. As forests progress into later stages of succession and become more mature, a specialized and modular seed dispersal network becomes more favorable. </w:t>
      </w:r>
    </w:p>
    <w:p w14:paraId="46A420EB" w14:textId="7D599C13" w:rsidR="00661E21" w:rsidRPr="00624A02" w:rsidRDefault="00661E21" w:rsidP="00D77075">
      <w:pPr>
        <w:pStyle w:val="Heading3"/>
        <w:spacing w:before="0" w:after="0"/>
        <w:rPr>
          <w:rFonts w:ascii="Times New Roman" w:hAnsi="Times New Roman" w:cs="Times New Roman"/>
          <w:b/>
          <w:bCs/>
          <w:i/>
          <w:iCs/>
          <w:color w:val="auto"/>
          <w:sz w:val="24"/>
          <w:szCs w:val="24"/>
          <w:highlight w:val="white"/>
        </w:rPr>
      </w:pPr>
      <w:bookmarkStart w:id="75" w:name="_Toc195189617"/>
      <w:r w:rsidRPr="00624A02">
        <w:rPr>
          <w:rFonts w:ascii="Times New Roman" w:hAnsi="Times New Roman" w:cs="Times New Roman"/>
          <w:b/>
          <w:bCs/>
          <w:i/>
          <w:iCs/>
          <w:color w:val="auto"/>
          <w:sz w:val="24"/>
          <w:szCs w:val="24"/>
          <w:highlight w:val="white"/>
        </w:rPr>
        <w:t>Identifying important species-level metrics and functional traits</w:t>
      </w:r>
      <w:bookmarkEnd w:id="75"/>
      <w:r w:rsidRPr="00624A02">
        <w:rPr>
          <w:rFonts w:ascii="Times New Roman" w:hAnsi="Times New Roman" w:cs="Times New Roman"/>
          <w:b/>
          <w:bCs/>
          <w:i/>
          <w:iCs/>
          <w:color w:val="auto"/>
          <w:sz w:val="24"/>
          <w:szCs w:val="24"/>
          <w:highlight w:val="white"/>
        </w:rPr>
        <w:t xml:space="preserve"> </w:t>
      </w:r>
    </w:p>
    <w:p w14:paraId="218FBD80" w14:textId="3913476F" w:rsidR="00661E21" w:rsidRPr="00B066C6" w:rsidRDefault="00661E21" w:rsidP="00D77075">
      <w:pPr>
        <w:spacing w:before="0" w:after="0"/>
        <w:ind w:firstLine="720"/>
        <w:rPr>
          <w:rFonts w:ascii="Times New Roman" w:hAnsi="Times New Roman" w:cs="Times New Roman"/>
          <w:b/>
          <w:bCs/>
          <w:i/>
          <w:iCs/>
          <w:highlight w:val="white"/>
        </w:rPr>
      </w:pPr>
      <w:r w:rsidRPr="00B066C6">
        <w:rPr>
          <w:rFonts w:ascii="Times New Roman" w:hAnsi="Times New Roman" w:cs="Times New Roman"/>
        </w:rPr>
        <w:t xml:space="preserve">Utilizing species-level metrics and functional traits to determine species roles within an interaction network can aid in identifying “keystone” species, or a species upon which the network structure and stability depends (Escribano-Avila et al., 2018; Harvey et al., 2017; </w:t>
      </w:r>
      <w:proofErr w:type="spellStart"/>
      <w:r w:rsidRPr="00B066C6">
        <w:rPr>
          <w:rFonts w:ascii="Times New Roman" w:hAnsi="Times New Roman" w:cs="Times New Roman"/>
        </w:rPr>
        <w:t>Messeder</w:t>
      </w:r>
      <w:proofErr w:type="spellEnd"/>
      <w:r w:rsidRPr="00B066C6">
        <w:rPr>
          <w:rFonts w:ascii="Times New Roman" w:hAnsi="Times New Roman" w:cs="Times New Roman"/>
        </w:rPr>
        <w:t xml:space="preserve"> et al., 2020; Ong et al., 2022; Ribeiro Mello et al., 2015). For example, species-level measures in pollination-networks identified key flowering plants and pollinator species that were used as targets for restoration initiatives (Devoto et al., 2012). Seed dispersal studies have also utilized species-level indices such as centrality and closeness (</w:t>
      </w:r>
      <w:r w:rsidR="00162379" w:rsidRPr="003022FF">
        <w:rPr>
          <w:rFonts w:ascii="Times New Roman" w:hAnsi="Times New Roman" w:cs="Times New Roman"/>
          <w:b/>
          <w:bCs/>
        </w:rPr>
        <w:fldChar w:fldCharType="begin"/>
      </w:r>
      <w:r w:rsidR="00162379" w:rsidRPr="003022FF">
        <w:rPr>
          <w:rFonts w:ascii="Times New Roman" w:hAnsi="Times New Roman" w:cs="Times New Roman"/>
          <w:b/>
          <w:bCs/>
        </w:rPr>
        <w:instrText xml:space="preserve"> REF _Ref190178815 \h  \* MERGEFORMAT </w:instrText>
      </w:r>
      <w:r w:rsidR="00162379" w:rsidRPr="003022FF">
        <w:rPr>
          <w:rFonts w:ascii="Times New Roman" w:hAnsi="Times New Roman" w:cs="Times New Roman"/>
          <w:b/>
          <w:bCs/>
        </w:rPr>
      </w:r>
      <w:r w:rsidR="00162379" w:rsidRPr="003022FF">
        <w:rPr>
          <w:rFonts w:ascii="Times New Roman" w:hAnsi="Times New Roman" w:cs="Times New Roman"/>
          <w:b/>
          <w:bCs/>
        </w:rPr>
        <w:fldChar w:fldCharType="separate"/>
      </w:r>
      <w:r w:rsidR="00162379" w:rsidRPr="003022FF">
        <w:rPr>
          <w:rFonts w:ascii="Times New Roman" w:hAnsi="Times New Roman" w:cs="Times New Roman"/>
          <w:b/>
          <w:bCs/>
        </w:rPr>
        <w:t xml:space="preserve">Table </w:t>
      </w:r>
      <w:r w:rsidR="00162379" w:rsidRPr="003022FF">
        <w:rPr>
          <w:rFonts w:ascii="Times New Roman" w:hAnsi="Times New Roman" w:cs="Times New Roman"/>
          <w:b/>
          <w:bCs/>
          <w:noProof/>
        </w:rPr>
        <w:t>1</w:t>
      </w:r>
      <w:r w:rsidR="00162379" w:rsidRPr="003022FF">
        <w:rPr>
          <w:rFonts w:ascii="Times New Roman" w:hAnsi="Times New Roman" w:cs="Times New Roman"/>
          <w:b/>
          <w:bCs/>
        </w:rPr>
        <w:fldChar w:fldCharType="end"/>
      </w:r>
      <w:r w:rsidR="00162379" w:rsidRPr="00B066C6">
        <w:rPr>
          <w:rFonts w:ascii="Times New Roman" w:hAnsi="Times New Roman" w:cs="Times New Roman"/>
        </w:rPr>
        <w:t xml:space="preserve">) </w:t>
      </w:r>
      <w:r w:rsidRPr="00B066C6">
        <w:rPr>
          <w:rFonts w:ascii="Times New Roman" w:hAnsi="Times New Roman" w:cs="Times New Roman"/>
        </w:rPr>
        <w:t xml:space="preserve">to assess species contributions to network structure (Mello et al., 2015; González et al., 2010). Others have acknowledged species' contributions to modularity and connectivity among modules to draw conclusions about species' importance (Howe 2016; da Silva et al., 2015; </w:t>
      </w:r>
      <w:proofErr w:type="spellStart"/>
      <w:r w:rsidRPr="00B066C6">
        <w:rPr>
          <w:rFonts w:ascii="Times New Roman" w:hAnsi="Times New Roman" w:cs="Times New Roman"/>
        </w:rPr>
        <w:t>Donatti</w:t>
      </w:r>
      <w:proofErr w:type="spellEnd"/>
      <w:r w:rsidRPr="00B066C6">
        <w:rPr>
          <w:rFonts w:ascii="Times New Roman" w:hAnsi="Times New Roman" w:cs="Times New Roman"/>
        </w:rPr>
        <w:t xml:space="preserve"> et al., 2011; Olesen et al., 2007). </w:t>
      </w:r>
    </w:p>
    <w:p w14:paraId="2265A115" w14:textId="77777777" w:rsidR="00661E21" w:rsidRPr="00B066C6" w:rsidRDefault="00661E21" w:rsidP="00D77075">
      <w:pPr>
        <w:spacing w:before="0" w:after="0"/>
        <w:ind w:firstLine="720"/>
        <w:rPr>
          <w:rFonts w:ascii="Times New Roman" w:hAnsi="Times New Roman" w:cs="Times New Roman"/>
          <w:b/>
          <w:i/>
        </w:rPr>
      </w:pPr>
      <w:r w:rsidRPr="00B066C6">
        <w:rPr>
          <w:rFonts w:ascii="Times New Roman" w:hAnsi="Times New Roman" w:cs="Times New Roman"/>
        </w:rPr>
        <w:t xml:space="preserve">Species-level measures can be predicted by regional and evolutionary effects. Disperser species that came from stable evolutionary lineages where there were low extinction rates and high levels of specialization were found to have higher centrality measures (Burin et al., 2021). </w:t>
      </w:r>
      <w:r w:rsidRPr="00B066C6">
        <w:rPr>
          <w:rFonts w:ascii="Times New Roman" w:hAnsi="Times New Roman" w:cs="Times New Roman"/>
          <w:shd w:val="clear" w:color="auto" w:fill="FCFCFC"/>
        </w:rPr>
        <w:t xml:space="preserve">Large disperser species face a high risk of extinction, which causes concern for the sustainability of dispersal services in degraded habitats (Ripple et al., 2017). Targeting these influential yet vulnerable species in restoration efforts could therefore help mediate the threat of extinction while simultaneously promoting forest regeneration through the protection of these seed-dispersing species. </w:t>
      </w:r>
      <w:r w:rsidRPr="00B066C6">
        <w:rPr>
          <w:rFonts w:ascii="Times New Roman" w:hAnsi="Times New Roman" w:cs="Times New Roman"/>
        </w:rPr>
        <w:t>The application of these findings may be useful in informing conservation efforts as gaps in ecosystem function could be supported by other, distantly related taxa (e.g. mammals and birds as seed dispersers).</w:t>
      </w:r>
    </w:p>
    <w:p w14:paraId="2FE16458"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lastRenderedPageBreak/>
        <w:t>Considering the functional traits of species within a network offers additional insight into the critical ecological roles of specific dispersers and plant species (Schleuning et al., 2015). Interacting partners in seed dispersal networks match according to their functional traits, and traits relating to food choice and foraging behavior can influence partner compatibility in seed dispersal interactions (</w:t>
      </w:r>
      <w:proofErr w:type="spellStart"/>
      <w:r w:rsidRPr="00B066C6">
        <w:rPr>
          <w:rFonts w:ascii="Times New Roman" w:hAnsi="Times New Roman" w:cs="Times New Roman"/>
        </w:rPr>
        <w:t>Dehling</w:t>
      </w:r>
      <w:proofErr w:type="spellEnd"/>
      <w:r w:rsidRPr="00B066C6">
        <w:rPr>
          <w:rFonts w:ascii="Times New Roman" w:hAnsi="Times New Roman" w:cs="Times New Roman"/>
        </w:rPr>
        <w:t xml:space="preserve"> et al., 2020, 2021; Garibaldi et al., 2015; Jordano, 1987). Over 50% of all papers analyzed used functional traits of plants and animals as a major part of their analyses, and nearly 70% of papers that reported data on functional traits took place within the last 5 years, indicating that this is an area of increasing topicality and relevance in modern-day conservation. </w:t>
      </w:r>
    </w:p>
    <w:p w14:paraId="74D342E8"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Traits exhibited by fruiting plants play a pivotal role in shaping their interactions within networks, with certain characteristics rendering them key contributors to successional trajectories for degraded ecosystems. Fruit abundance, fruit size, and water content are highly correlated with nested patterns, number of interactions, and species interaction strength (Ramos-Robles et al., 2018). Fruit abundance is an important trait in other systems as well, as the number of available fruits can influence the success of fruit removal and can alter interaction structure where plants with many fruits could be more important in networks (Palacio et al., 2016). Fruit morphology, specifically fruit and seed size, can limit interactions where only certain disperser species may be able to consume fruit. For example, only frugivores with a large gape width may be able to consume and disperse large seeds across habitats (Donoso et al., 2017; Galetti et al., 2013). This is known as the forbidden link hypothesis, where some species interactions are impossible due to a mismatch between traits (Jordano et al., 2003). Overall, woody generalist plants with small fruiting berries in the </w:t>
      </w:r>
      <w:proofErr w:type="spellStart"/>
      <w:r w:rsidRPr="00B066C6">
        <w:rPr>
          <w:rFonts w:ascii="Times New Roman" w:hAnsi="Times New Roman" w:cs="Times New Roman"/>
          <w:i/>
          <w:shd w:val="clear" w:color="auto" w:fill="FCFCFC"/>
        </w:rPr>
        <w:t>Melastomataceae</w:t>
      </w:r>
      <w:proofErr w:type="spellEnd"/>
      <w:r w:rsidRPr="00B066C6">
        <w:rPr>
          <w:rFonts w:ascii="Times New Roman" w:hAnsi="Times New Roman" w:cs="Times New Roman"/>
          <w:i/>
          <w:shd w:val="clear" w:color="auto" w:fill="FCFCFC"/>
        </w:rPr>
        <w:t xml:space="preserve">, </w:t>
      </w:r>
      <w:proofErr w:type="spellStart"/>
      <w:r w:rsidRPr="00B066C6">
        <w:rPr>
          <w:rFonts w:ascii="Times New Roman" w:hAnsi="Times New Roman" w:cs="Times New Roman"/>
          <w:i/>
          <w:shd w:val="clear" w:color="auto" w:fill="FCFCFC"/>
        </w:rPr>
        <w:t>Myrtaceae</w:t>
      </w:r>
      <w:proofErr w:type="spellEnd"/>
      <w:r w:rsidRPr="00B066C6">
        <w:rPr>
          <w:rFonts w:ascii="Times New Roman" w:hAnsi="Times New Roman" w:cs="Times New Roman"/>
          <w:i/>
          <w:shd w:val="clear" w:color="auto" w:fill="FCFCFC"/>
        </w:rPr>
        <w:t xml:space="preserve">, </w:t>
      </w:r>
      <w:proofErr w:type="spellStart"/>
      <w:r w:rsidRPr="00B066C6">
        <w:rPr>
          <w:rFonts w:ascii="Times New Roman" w:hAnsi="Times New Roman" w:cs="Times New Roman"/>
          <w:i/>
          <w:shd w:val="clear" w:color="auto" w:fill="FCFCFC"/>
        </w:rPr>
        <w:t>Moraceae</w:t>
      </w:r>
      <w:proofErr w:type="spellEnd"/>
      <w:r w:rsidRPr="00B066C6">
        <w:rPr>
          <w:rFonts w:ascii="Times New Roman" w:hAnsi="Times New Roman" w:cs="Times New Roman"/>
          <w:shd w:val="clear" w:color="auto" w:fill="FCFCFC"/>
        </w:rPr>
        <w:t xml:space="preserve">, and </w:t>
      </w:r>
      <w:r w:rsidRPr="00B066C6">
        <w:rPr>
          <w:rFonts w:ascii="Times New Roman" w:hAnsi="Times New Roman" w:cs="Times New Roman"/>
          <w:i/>
          <w:shd w:val="clear" w:color="auto" w:fill="FCFCFC"/>
        </w:rPr>
        <w:t>Urticaceae</w:t>
      </w:r>
      <w:r w:rsidRPr="00B066C6">
        <w:rPr>
          <w:rFonts w:ascii="Times New Roman" w:hAnsi="Times New Roman" w:cs="Times New Roman"/>
          <w:shd w:val="clear" w:color="auto" w:fill="FCFCFC"/>
        </w:rPr>
        <w:t xml:space="preserve"> families were found to be the most frequent keystone plant species in tropical seed dispersal networks (Escribano-Avila et al., 2018).</w:t>
      </w:r>
      <w:r w:rsidRPr="00B066C6">
        <w:rPr>
          <w:rFonts w:ascii="Times New Roman" w:hAnsi="Times New Roman" w:cs="Times New Roman"/>
        </w:rPr>
        <w:t xml:space="preserve"> </w:t>
      </w:r>
    </w:p>
    <w:p w14:paraId="67BAAE4C"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Many restoration strategies involve planting generalist, fast-growing fruiting species to attract frugivores to degraded sites to facilitate seed dispersal (Peters et al., 2016). Generalist plant species often play a significant role within seed dispersal networks; they are typically highly connected because they are consumed by many disperser species (</w:t>
      </w:r>
      <w:proofErr w:type="spellStart"/>
      <w:r w:rsidRPr="00B066C6">
        <w:rPr>
          <w:rFonts w:ascii="Times New Roman" w:hAnsi="Times New Roman" w:cs="Times New Roman"/>
        </w:rPr>
        <w:t>Raoelinjanakolona</w:t>
      </w:r>
      <w:proofErr w:type="spellEnd"/>
      <w:r w:rsidRPr="00B066C6">
        <w:rPr>
          <w:rFonts w:ascii="Times New Roman" w:hAnsi="Times New Roman" w:cs="Times New Roman"/>
        </w:rPr>
        <w:t xml:space="preserve"> et al., 2023; Silva et al., 2020; </w:t>
      </w:r>
      <w:proofErr w:type="spellStart"/>
      <w:r w:rsidRPr="00B066C6">
        <w:rPr>
          <w:rFonts w:ascii="Times New Roman" w:hAnsi="Times New Roman" w:cs="Times New Roman"/>
        </w:rPr>
        <w:t>Bastazini</w:t>
      </w:r>
      <w:proofErr w:type="spellEnd"/>
      <w:r w:rsidRPr="00B066C6">
        <w:rPr>
          <w:rFonts w:ascii="Times New Roman" w:hAnsi="Times New Roman" w:cs="Times New Roman"/>
        </w:rPr>
        <w:t xml:space="preserve"> et al., 2019). For example, in the tropical forest system of Veracruz Mexico, plants contributed the most to the nested structure of a seed dispersal network (Ramos-Robles et al., 2018). If these highly connected generalist species are removed or lost the </w:t>
      </w:r>
      <w:r w:rsidRPr="00B066C6">
        <w:rPr>
          <w:rFonts w:ascii="Times New Roman" w:hAnsi="Times New Roman" w:cs="Times New Roman"/>
        </w:rPr>
        <w:lastRenderedPageBreak/>
        <w:t>resilience of the network, particularly in forest edges within fragmented habitats, may decrease (</w:t>
      </w:r>
      <w:proofErr w:type="spellStart"/>
      <w:r w:rsidRPr="00B066C6">
        <w:rPr>
          <w:rFonts w:ascii="Times New Roman" w:hAnsi="Times New Roman" w:cs="Times New Roman"/>
        </w:rPr>
        <w:t>Raoelinjanakolona</w:t>
      </w:r>
      <w:proofErr w:type="spellEnd"/>
      <w:r w:rsidRPr="00B066C6">
        <w:rPr>
          <w:rFonts w:ascii="Times New Roman" w:hAnsi="Times New Roman" w:cs="Times New Roman"/>
        </w:rPr>
        <w:t xml:space="preserve"> et al., 2023). Targeting generalist frugivorous and fruiting plant species in reforestation initiatives can help ensure the preservation of essential biotic interactions (Peters et al., 2016). </w:t>
      </w:r>
    </w:p>
    <w:p w14:paraId="7FBD88B9"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Seed dispersal into degraded lands is a crucial step for tropical forest succession, however, frugivores vary in how effectively they move seeds across landscapes. Body size has been shown to determine movement patterns in frugivores, where larger frugivores might be able to move longer distances or over larger tracts of degraded landscapes (</w:t>
      </w:r>
      <w:r w:rsidRPr="00B066C6">
        <w:rPr>
          <w:rFonts w:ascii="Times New Roman" w:hAnsi="Times New Roman" w:cs="Times New Roman"/>
          <w:shd w:val="clear" w:color="auto" w:fill="FCFCFC"/>
        </w:rPr>
        <w:t xml:space="preserve">Ripple et al., 2017; </w:t>
      </w:r>
      <w:r w:rsidRPr="00B066C6">
        <w:rPr>
          <w:rFonts w:ascii="Times New Roman" w:hAnsi="Times New Roman" w:cs="Times New Roman"/>
        </w:rPr>
        <w:t>Saavedra et al. 2014; Wheelwright 1985). Therefore, large generalist frugivores may be better at effectively colonizing disturbed habitats, while others may be more sensitive to disturbed landscapes (</w:t>
      </w:r>
      <w:proofErr w:type="spellStart"/>
      <w:r w:rsidRPr="00B066C6">
        <w:rPr>
          <w:rFonts w:ascii="Times New Roman" w:hAnsi="Times New Roman" w:cs="Times New Roman"/>
        </w:rPr>
        <w:t>Dehling</w:t>
      </w:r>
      <w:proofErr w:type="spellEnd"/>
      <w:r w:rsidRPr="00B066C6">
        <w:rPr>
          <w:rFonts w:ascii="Times New Roman" w:hAnsi="Times New Roman" w:cs="Times New Roman"/>
        </w:rPr>
        <w:t xml:space="preserve"> et al., 2021; Silva et al., 2020; Carlo &amp; Morales, 2016; Howe, 2016; Schupp et al., 2010; Wunderle, 1997). However, small obligate frugivores (</w:t>
      </w:r>
      <w:r w:rsidRPr="00B066C6">
        <w:rPr>
          <w:rFonts w:ascii="Times New Roman" w:hAnsi="Times New Roman" w:cs="Times New Roman"/>
          <w:shd w:val="clear" w:color="auto" w:fill="FCFCFC"/>
        </w:rPr>
        <w:t xml:space="preserve">Pipridae family) and small generalist frugivores (Thraupidae family) have also been identified as keystone species in seed dispersal networks in addition to larger disperser species such as large rodents, monkeys, and </w:t>
      </w:r>
      <w:proofErr w:type="gramStart"/>
      <w:r w:rsidRPr="00B066C6">
        <w:rPr>
          <w:rFonts w:ascii="Times New Roman" w:hAnsi="Times New Roman" w:cs="Times New Roman"/>
          <w:shd w:val="clear" w:color="auto" w:fill="FCFCFC"/>
        </w:rPr>
        <w:t>other</w:t>
      </w:r>
      <w:proofErr w:type="gramEnd"/>
      <w:r w:rsidRPr="00B066C6">
        <w:rPr>
          <w:rFonts w:ascii="Times New Roman" w:hAnsi="Times New Roman" w:cs="Times New Roman"/>
          <w:shd w:val="clear" w:color="auto" w:fill="FCFCFC"/>
        </w:rPr>
        <w:t xml:space="preserve"> frugivorous megafauna (Escribano-Avila et al., 2018). These contrasting findings could be the result of unique species pools of dispersers and plants within each ecosystem (</w:t>
      </w:r>
      <w:proofErr w:type="spellStart"/>
      <w:r w:rsidRPr="00B066C6">
        <w:rPr>
          <w:rFonts w:ascii="Times New Roman" w:hAnsi="Times New Roman" w:cs="Times New Roman"/>
        </w:rPr>
        <w:t>Moulatlet</w:t>
      </w:r>
      <w:proofErr w:type="spellEnd"/>
      <w:r w:rsidRPr="00B066C6">
        <w:rPr>
          <w:rFonts w:ascii="Times New Roman" w:hAnsi="Times New Roman" w:cs="Times New Roman"/>
        </w:rPr>
        <w:t xml:space="preserve"> et al., 2023; </w:t>
      </w:r>
      <w:r w:rsidRPr="00B066C6">
        <w:rPr>
          <w:rFonts w:ascii="Times New Roman" w:hAnsi="Times New Roman" w:cs="Times New Roman"/>
          <w:shd w:val="clear" w:color="auto" w:fill="FCFCFC"/>
        </w:rPr>
        <w:t xml:space="preserve">Muñoz et al., 2019; </w:t>
      </w:r>
      <w:proofErr w:type="spellStart"/>
      <w:r w:rsidRPr="00B066C6">
        <w:rPr>
          <w:rFonts w:ascii="Times New Roman" w:hAnsi="Times New Roman" w:cs="Times New Roman"/>
          <w:shd w:val="clear" w:color="auto" w:fill="FCFCFC"/>
        </w:rPr>
        <w:t>Dehling</w:t>
      </w:r>
      <w:proofErr w:type="spellEnd"/>
      <w:r w:rsidRPr="00B066C6">
        <w:rPr>
          <w:rFonts w:ascii="Times New Roman" w:hAnsi="Times New Roman" w:cs="Times New Roman"/>
          <w:shd w:val="clear" w:color="auto" w:fill="FCFCFC"/>
        </w:rPr>
        <w:t xml:space="preserve"> et al., 2016). </w:t>
      </w:r>
    </w:p>
    <w:p w14:paraId="25332FB9" w14:textId="77777777" w:rsidR="00661E21" w:rsidRPr="00B066C6" w:rsidRDefault="00661E21" w:rsidP="00D77075">
      <w:pPr>
        <w:spacing w:before="0" w:after="0"/>
        <w:ind w:firstLine="720"/>
        <w:rPr>
          <w:rFonts w:ascii="Times New Roman" w:hAnsi="Times New Roman" w:cs="Times New Roman"/>
          <w:shd w:val="clear" w:color="auto" w:fill="FCFCFC"/>
        </w:rPr>
      </w:pPr>
      <w:r w:rsidRPr="00B066C6">
        <w:rPr>
          <w:rFonts w:ascii="Times New Roman" w:hAnsi="Times New Roman" w:cs="Times New Roman"/>
        </w:rPr>
        <w:t>Regardless of body size, frugivorous birds are vital contributors to vegetation regeneration during early stages of forest succession as their dispersal effectiveness aids in promoting the establishment of diverse plant species in degraded landscapes (Quitian et al., 2018; Howe, 2016; Wunderle, 1997). However, some studies have found that larger-bodied birds correlate to higher species-level centrality measures (</w:t>
      </w:r>
      <w:proofErr w:type="spellStart"/>
      <w:r w:rsidRPr="00B066C6">
        <w:rPr>
          <w:rFonts w:ascii="Times New Roman" w:hAnsi="Times New Roman" w:cs="Times New Roman"/>
        </w:rPr>
        <w:t>Moulatlet</w:t>
      </w:r>
      <w:proofErr w:type="spellEnd"/>
      <w:r w:rsidRPr="00B066C6">
        <w:rPr>
          <w:rFonts w:ascii="Times New Roman" w:hAnsi="Times New Roman" w:cs="Times New Roman"/>
        </w:rPr>
        <w:t xml:space="preserve"> et al., 2023; Jordano, 2017). The dietary specialization of frugivorous birds greatly determines their roles within seed dispersal networks (Escribano-Avila et al., 2018; Sebastián-González, 2017). Birds that consume daily fruit and interact with a wider range of plant species were found to occupy more central roles in seed dispersal networks when compared to opportunistic frugivores, yet opportunistic frugivores are most likely to persist in low-quality habitats (Mello et al., 2015; Schleuning et al., 2011). Furthermore, the morphology of frugivorous birds also plays an important role in predicting species roles (Beltrán and Howe, 2020; </w:t>
      </w:r>
      <w:proofErr w:type="spellStart"/>
      <w:r w:rsidRPr="00B066C6">
        <w:rPr>
          <w:rFonts w:ascii="Times New Roman" w:hAnsi="Times New Roman" w:cs="Times New Roman"/>
        </w:rPr>
        <w:t>Dehling</w:t>
      </w:r>
      <w:proofErr w:type="spellEnd"/>
      <w:r w:rsidRPr="00B066C6">
        <w:rPr>
          <w:rFonts w:ascii="Times New Roman" w:hAnsi="Times New Roman" w:cs="Times New Roman"/>
        </w:rPr>
        <w:t xml:space="preserve"> et al., 2016). Body mass, gape width, and wing-tip length were all found to be positively associated with interaction strength within a forest interior in the Bolivian Andes (Saavedra et al., 2014). Pointed wings have been associated with </w:t>
      </w:r>
      <w:r w:rsidRPr="00B066C6">
        <w:rPr>
          <w:rFonts w:ascii="Times New Roman" w:hAnsi="Times New Roman" w:cs="Times New Roman"/>
        </w:rPr>
        <w:lastRenderedPageBreak/>
        <w:t>forest canopy species that might have the ability to move seeds long distances, which could be important in facilitating seed dispersal to degraded lands (Quitian et al., 2018).</w:t>
      </w:r>
    </w:p>
    <w:p w14:paraId="37BA921E" w14:textId="50BC12DC"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Functional traits are just one component of seed dispersal networks; foraging strategies, behaviors, accessibility, risk assessment, and competition also play a significant role in determining a species' involvement within a network (Howe, 2016). Spatial scales (e.g., fundamental niches across large spatial scales versus realized niches at smaller spatial scales or population level) may also contribute to the structure of interactions, regardless of species identities and environmental factors, and must be considered when prioritizing restoration actions. For example, we may see higher nestedness at the regional scale than at the local level due to the wider availability of interacting partners utiliz</w:t>
      </w:r>
      <w:r w:rsidRPr="00052C25">
        <w:rPr>
          <w:rFonts w:ascii="Times New Roman" w:hAnsi="Times New Roman" w:cs="Times New Roman"/>
        </w:rPr>
        <w:t xml:space="preserve">ing </w:t>
      </w:r>
      <w:r w:rsidR="00052C25" w:rsidRPr="00052C25">
        <w:rPr>
          <w:rFonts w:ascii="Times New Roman" w:hAnsi="Times New Roman" w:cs="Times New Roman"/>
        </w:rPr>
        <w:t>the</w:t>
      </w:r>
      <w:r w:rsidRPr="00052C25">
        <w:rPr>
          <w:rFonts w:ascii="Times New Roman" w:hAnsi="Times New Roman" w:cs="Times New Roman"/>
        </w:rPr>
        <w:t xml:space="preserve"> fundamental niche</w:t>
      </w:r>
      <w:r w:rsidR="00052C25" w:rsidRPr="00052C25">
        <w:rPr>
          <w:rFonts w:ascii="Times New Roman" w:hAnsi="Times New Roman" w:cs="Times New Roman"/>
        </w:rPr>
        <w:t>, or the entire range of environmental conditions and resources a plant or animal species may utilize</w:t>
      </w:r>
      <w:r w:rsidRPr="00052C25">
        <w:rPr>
          <w:rFonts w:ascii="Times New Roman" w:hAnsi="Times New Roman" w:cs="Times New Roman"/>
        </w:rPr>
        <w:t xml:space="preserve"> (</w:t>
      </w:r>
      <w:proofErr w:type="spellStart"/>
      <w:r w:rsidRPr="00052C25">
        <w:rPr>
          <w:rFonts w:ascii="Times New Roman" w:hAnsi="Times New Roman" w:cs="Times New Roman"/>
        </w:rPr>
        <w:t>Vizentin-Bugoni</w:t>
      </w:r>
      <w:proofErr w:type="spellEnd"/>
      <w:r w:rsidRPr="00052C25">
        <w:rPr>
          <w:rFonts w:ascii="Times New Roman" w:hAnsi="Times New Roman" w:cs="Times New Roman"/>
        </w:rPr>
        <w:t xml:space="preserve"> et al., 2019</w:t>
      </w:r>
      <w:r w:rsidRPr="00B066C6">
        <w:rPr>
          <w:rFonts w:ascii="Times New Roman" w:hAnsi="Times New Roman" w:cs="Times New Roman"/>
        </w:rPr>
        <w:t xml:space="preserve">). Temporal scales and seasonality also play significant roles in resource availability throughout the year. Therefore, to ensure frugivore's presence and permanence in restored sites, restoration practitioners should consider targeting and planting species that fruit regularly throughout the year to support frugivore populations and long-term ecosystem health.  </w:t>
      </w:r>
    </w:p>
    <w:p w14:paraId="0B844E6F" w14:textId="04BFCEF5"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In summary, restoration practitioners can enhance seed dispersal effectiveness by identifying and prioritizing</w:t>
      </w:r>
      <w:r w:rsidR="00052C25">
        <w:rPr>
          <w:rFonts w:ascii="Times New Roman" w:hAnsi="Times New Roman" w:cs="Times New Roman"/>
        </w:rPr>
        <w:t xml:space="preserve"> disperser and plant</w:t>
      </w:r>
      <w:r w:rsidRPr="00B066C6">
        <w:rPr>
          <w:rFonts w:ascii="Times New Roman" w:hAnsi="Times New Roman" w:cs="Times New Roman"/>
        </w:rPr>
        <w:t xml:space="preserve"> species within seed dispersal networks based on species-level metrics such as closeness or nestedness, as well as functional traits such as gape-width or fruiting phenology. Understanding frugivore dynamics, including movement patterns, dietary specialization, and foraging behaviors could help in targeting species that effectively disperse seeds across landscapes. Targeting generalist plant species, especially those from stable evolutionary lineages, is crucial as they attract a diverse range of frugivores to degraded sites, facilitating natural regeneration processes. However, practitioners should consider fruit size and abundance into restoration plans to ensure that different functional groups are accounted for (</w:t>
      </w:r>
      <w:proofErr w:type="spellStart"/>
      <w:r w:rsidRPr="00B066C6">
        <w:rPr>
          <w:rFonts w:ascii="Times New Roman" w:hAnsi="Times New Roman" w:cs="Times New Roman"/>
        </w:rPr>
        <w:t>Raoelinjanakolona</w:t>
      </w:r>
      <w:proofErr w:type="spellEnd"/>
      <w:r w:rsidRPr="00B066C6">
        <w:rPr>
          <w:rFonts w:ascii="Times New Roman" w:hAnsi="Times New Roman" w:cs="Times New Roman"/>
        </w:rPr>
        <w:t xml:space="preserve"> et al., 2023). Finally, it is important to acknowledge dispersal effectiveness, as frugivory and movement of seeds do not always guarantee effective seed dispersal (Howe 2016; Schupp et al., 2010).</w:t>
      </w:r>
    </w:p>
    <w:p w14:paraId="6DC1C160" w14:textId="01B64B9E" w:rsidR="00661E21" w:rsidRPr="00624A02" w:rsidRDefault="00661E21" w:rsidP="00D77075">
      <w:pPr>
        <w:pStyle w:val="Heading3"/>
        <w:spacing w:before="0" w:after="0"/>
        <w:rPr>
          <w:rFonts w:ascii="Times New Roman" w:hAnsi="Times New Roman" w:cs="Times New Roman"/>
          <w:b/>
          <w:bCs/>
          <w:i/>
          <w:iCs/>
          <w:color w:val="auto"/>
          <w:sz w:val="24"/>
          <w:szCs w:val="24"/>
          <w:highlight w:val="white"/>
        </w:rPr>
      </w:pPr>
      <w:bookmarkStart w:id="76" w:name="_Toc195189618"/>
      <w:r w:rsidRPr="00624A02">
        <w:rPr>
          <w:rFonts w:ascii="Times New Roman" w:hAnsi="Times New Roman" w:cs="Times New Roman"/>
          <w:b/>
          <w:bCs/>
          <w:i/>
          <w:iCs/>
          <w:color w:val="auto"/>
          <w:sz w:val="24"/>
          <w:szCs w:val="24"/>
          <w:highlight w:val="white"/>
        </w:rPr>
        <w:t>Pitfalls and challenges</w:t>
      </w:r>
      <w:bookmarkEnd w:id="76"/>
      <w:r w:rsidRPr="00624A02">
        <w:rPr>
          <w:rFonts w:ascii="Times New Roman" w:hAnsi="Times New Roman" w:cs="Times New Roman"/>
          <w:b/>
          <w:bCs/>
          <w:i/>
          <w:iCs/>
          <w:color w:val="auto"/>
          <w:sz w:val="24"/>
          <w:szCs w:val="24"/>
          <w:highlight w:val="white"/>
        </w:rPr>
        <w:t xml:space="preserve"> </w:t>
      </w:r>
    </w:p>
    <w:p w14:paraId="3D2483E6" w14:textId="7454047F"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The effects that anthropogenic disturbances have on seed dispersal processes are highly variable and dependent on the ecological system in question (Jakovac et al., 2021; Markl et al., 2012; Chazdon 2003; Connell &amp; </w:t>
      </w:r>
      <w:proofErr w:type="spellStart"/>
      <w:r w:rsidRPr="00B066C6">
        <w:rPr>
          <w:rFonts w:ascii="Times New Roman" w:hAnsi="Times New Roman" w:cs="Times New Roman"/>
        </w:rPr>
        <w:t>Slatyer</w:t>
      </w:r>
      <w:proofErr w:type="spellEnd"/>
      <w:r w:rsidRPr="00B066C6">
        <w:rPr>
          <w:rFonts w:ascii="Times New Roman" w:hAnsi="Times New Roman" w:cs="Times New Roman"/>
        </w:rPr>
        <w:t xml:space="preserve">, 1977). Thus, determining a numerical "goal" of a </w:t>
      </w:r>
      <w:r w:rsidRPr="00B066C6">
        <w:rPr>
          <w:rFonts w:ascii="Times New Roman" w:hAnsi="Times New Roman" w:cs="Times New Roman"/>
        </w:rPr>
        <w:lastRenderedPageBreak/>
        <w:t>particular network measure in a restoration context proves especially challenging due to the inherent variability and context-dependency of communities following a disturbance event. In a theoretical example, selective logging can directly impact vegetation structure and composition, affecting the availability of resources for both plant species and their dispersers (Howe 2016). Network measures in this context are expected to differ from, for example, a recovering pasture as pastures often result in a drastic simplification and loss of diversity of plant and animal communities (Menezes Pinto et al., 2021). Pastures can impact the diversity of seed dispersers and result in networks with few generalist species that are adapted to open environments. Restoration goals may also vary based on the type of disturbance. For example, in logging-affected areas, the emphasis might be on restoring large-seeded plant species that were impacted, while in fragmented landscapes, the focus could be on reconnecting habitat patches to facilitate dispersal. As each community presents unique ecological circumstances, the identification of all-encompassing metrics becomes difficult, emphasizing the need for context-specific understanding of measures in seed dispersal networks.</w:t>
      </w:r>
    </w:p>
    <w:p w14:paraId="3CE4EA58"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Species pools also influence the composition, dynamics, and success of ecological restoration efforts (Suding et al., 2016; Ruiz and Aide, 2005). The presence of invasive species within a species pool can have significant implications for restoration success. Invasive species may outcompete native species for resources, disrupt existing ecological interactions, and alter seed dispersal dynamics (Dattilo et al., 2023; Costa et al., 2022; da Silva &amp; </w:t>
      </w:r>
      <w:proofErr w:type="spellStart"/>
      <w:r w:rsidRPr="00B066C6">
        <w:rPr>
          <w:rFonts w:ascii="Times New Roman" w:hAnsi="Times New Roman" w:cs="Times New Roman"/>
        </w:rPr>
        <w:t>Pizo</w:t>
      </w:r>
      <w:proofErr w:type="spellEnd"/>
      <w:r w:rsidRPr="00B066C6">
        <w:rPr>
          <w:rFonts w:ascii="Times New Roman" w:hAnsi="Times New Roman" w:cs="Times New Roman"/>
        </w:rPr>
        <w:t>, 2020; Heleno 2020; Heleno et al., 2013). For example, non-native plants could cause increased competition for frugivores’ attention between alluring invasive fruits and the fruits of native plants, which can reduce the dispersal of native seeds (Costa et al. 2022). Additionally, the introduction of non-native seed dispersers could hold negative implications for network reassembly as well (Emer &amp; Timoteo, 2020). For instance, the introduction of large-gaped terrestrial mammals to the island of São Tomé positively influenced the dispersal of large-seeded plant species, contributing to an “upsizing” of the seed dispersal network (Heleno et al., 2022). This likely holds negative implications for the native plants of São Tomé and other heavily invaded oceanic islands across the globe, which generally rely on small, native animals to disperse their seeds (Heleno et al., 2022).</w:t>
      </w:r>
    </w:p>
    <w:p w14:paraId="34FEF900" w14:textId="7BF83C39" w:rsidR="00661E21" w:rsidRPr="00B066C6" w:rsidRDefault="00661E21" w:rsidP="00D77075">
      <w:pPr>
        <w:spacing w:before="0" w:after="0"/>
        <w:ind w:firstLine="720"/>
        <w:rPr>
          <w:rFonts w:ascii="Times New Roman" w:hAnsi="Times New Roman" w:cs="Times New Roman"/>
          <w:b/>
          <w:bCs/>
          <w:i/>
          <w:iCs/>
          <w:highlight w:val="white"/>
        </w:rPr>
      </w:pPr>
      <w:r w:rsidRPr="00B066C6">
        <w:rPr>
          <w:rFonts w:ascii="Times New Roman" w:hAnsi="Times New Roman" w:cs="Times New Roman"/>
          <w:highlight w:val="white"/>
        </w:rPr>
        <w:t xml:space="preserve">Finally, species interaction networks, as well as measures describing them, are subject to methodological biases and shortcomings as well, specifically under-sampling (Fernando </w:t>
      </w:r>
      <w:r w:rsidRPr="00B066C6">
        <w:rPr>
          <w:rFonts w:ascii="Times New Roman" w:hAnsi="Times New Roman" w:cs="Times New Roman"/>
          <w:highlight w:val="white"/>
        </w:rPr>
        <w:lastRenderedPageBreak/>
        <w:t>Acevedo-Quintero et al., 2020; Jordano, 1987, 1987, 2016; Jordano et al., 2003; Vitorino et al., 2022). Overall, only 6 papers included measures of sampling completeness for their networks.</w:t>
      </w:r>
      <w:r w:rsidRPr="00B066C6">
        <w:rPr>
          <w:rFonts w:ascii="Times New Roman" w:hAnsi="Times New Roman" w:cs="Times New Roman"/>
          <w:b/>
          <w:bCs/>
          <w:highlight w:val="white"/>
        </w:rPr>
        <w:t xml:space="preserve"> </w:t>
      </w:r>
      <w:r w:rsidRPr="00B066C6">
        <w:rPr>
          <w:rFonts w:ascii="Times New Roman" w:hAnsi="Times New Roman" w:cs="Times New Roman"/>
          <w:highlight w:val="white"/>
        </w:rPr>
        <w:t>Under-sampling results in a variety of biased parameters and network patterns (</w:t>
      </w:r>
      <w:proofErr w:type="spellStart"/>
      <w:r w:rsidRPr="00B066C6">
        <w:rPr>
          <w:rFonts w:ascii="Times New Roman" w:hAnsi="Times New Roman" w:cs="Times New Roman"/>
          <w:highlight w:val="white"/>
        </w:rPr>
        <w:t>Chacoff</w:t>
      </w:r>
      <w:proofErr w:type="spellEnd"/>
      <w:r w:rsidRPr="00B066C6">
        <w:rPr>
          <w:rFonts w:ascii="Times New Roman" w:hAnsi="Times New Roman" w:cs="Times New Roman"/>
          <w:highlight w:val="white"/>
        </w:rPr>
        <w:t xml:space="preserve"> et al., 2012). For example, there may be unobserved interactions between a disperser species and a plant species that are present in an ecosystem (</w:t>
      </w:r>
      <w:proofErr w:type="spellStart"/>
      <w:r w:rsidRPr="00B066C6">
        <w:rPr>
          <w:rFonts w:ascii="Times New Roman" w:hAnsi="Times New Roman" w:cs="Times New Roman"/>
          <w:highlight w:val="white"/>
        </w:rPr>
        <w:t>Olensen</w:t>
      </w:r>
      <w:proofErr w:type="spellEnd"/>
      <w:r w:rsidRPr="00B066C6">
        <w:rPr>
          <w:rFonts w:ascii="Times New Roman" w:hAnsi="Times New Roman" w:cs="Times New Roman"/>
          <w:highlight w:val="white"/>
        </w:rPr>
        <w:t xml:space="preserve"> et al., 2011; Jordano, 1987). Due to human limitations and biases, a large fraction of these missed interactions cannot be sampled due to biological constraints and sampling limitations (Jordano, 2016). One way to account for this bias is to include natural history information on disperser and plant species within the ecosystem, which allows for the inference of biological constraints (Jordano, 2016). Though some studies have attempted to create “meta-networks” to account for all missing links and sampling </w:t>
      </w:r>
      <w:proofErr w:type="gramStart"/>
      <w:r w:rsidRPr="00B066C6">
        <w:rPr>
          <w:rFonts w:ascii="Times New Roman" w:hAnsi="Times New Roman" w:cs="Times New Roman"/>
          <w:highlight w:val="white"/>
        </w:rPr>
        <w:t xml:space="preserve">bias  </w:t>
      </w:r>
      <w:r w:rsidR="00052C25">
        <w:rPr>
          <w:rFonts w:ascii="Times New Roman" w:hAnsi="Times New Roman" w:cs="Times New Roman"/>
          <w:highlight w:val="white"/>
        </w:rPr>
        <w:t>(</w:t>
      </w:r>
      <w:proofErr w:type="gramEnd"/>
      <w:r w:rsidRPr="00B066C6">
        <w:rPr>
          <w:rFonts w:ascii="Times New Roman" w:hAnsi="Times New Roman" w:cs="Times New Roman"/>
          <w:highlight w:val="white"/>
        </w:rPr>
        <w:t xml:space="preserve">Pocock et al., 2012) most networks will only be able to highlight major components of interaction occurrences (Jordano, 2016). Thus, a measure of sampling completeness is important to report when utilizing seed dispersal networks in restoration and conservation. </w:t>
      </w:r>
    </w:p>
    <w:p w14:paraId="34A35655" w14:textId="5AB3A7C9" w:rsidR="00661E21" w:rsidRPr="00624A02" w:rsidRDefault="00661E21" w:rsidP="00D77075">
      <w:pPr>
        <w:pStyle w:val="Heading3"/>
        <w:spacing w:before="0" w:after="0"/>
        <w:rPr>
          <w:rFonts w:ascii="Times New Roman" w:hAnsi="Times New Roman" w:cs="Times New Roman"/>
          <w:b/>
          <w:bCs/>
          <w:i/>
          <w:iCs/>
          <w:color w:val="auto"/>
          <w:sz w:val="24"/>
          <w:szCs w:val="24"/>
          <w:highlight w:val="white"/>
        </w:rPr>
      </w:pPr>
      <w:bookmarkStart w:id="77" w:name="_Toc195189619"/>
      <w:r w:rsidRPr="00624A02">
        <w:rPr>
          <w:rFonts w:ascii="Times New Roman" w:hAnsi="Times New Roman" w:cs="Times New Roman"/>
          <w:b/>
          <w:bCs/>
          <w:i/>
          <w:iCs/>
          <w:color w:val="auto"/>
          <w:sz w:val="24"/>
          <w:szCs w:val="24"/>
          <w:highlight w:val="white"/>
        </w:rPr>
        <w:t>How seed dispersal is integrated in restoration practices</w:t>
      </w:r>
      <w:bookmarkEnd w:id="77"/>
    </w:p>
    <w:p w14:paraId="7933D2D7" w14:textId="19A2CA6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Investigating the temporal dynamics of frugivore movements and their response to attractants in degraded sites could provide valuable insights into the effectiveness of restoration strategies over time. In general, forest frugivores have little incentive to move into or between degraded areas due to the higher predation risk and lower resource availability (Da Silva et al., 1996; Duncan &amp; Chapman, 2002). Thus, restoration practices target frugivorous species in many ways to increase seed dispersal to degraded areas, improving restoration outcomes and lowering restoration costs (Wunderle, 1997). These include a variety of planting styles (applied nucleation, mixed-species plantings), establishing artificial bird perches, and creating artificial bat roosts. Mixed-species plantings were found to maximize the </w:t>
      </w:r>
      <w:r w:rsidR="00052C25">
        <w:rPr>
          <w:rFonts w:ascii="Times New Roman" w:hAnsi="Times New Roman" w:cs="Times New Roman"/>
        </w:rPr>
        <w:t>attraction</w:t>
      </w:r>
      <w:r w:rsidRPr="00B066C6">
        <w:rPr>
          <w:rFonts w:ascii="Times New Roman" w:hAnsi="Times New Roman" w:cs="Times New Roman"/>
        </w:rPr>
        <w:t xml:space="preserve"> of frugivores </w:t>
      </w:r>
      <w:r w:rsidR="00052C25">
        <w:rPr>
          <w:rFonts w:ascii="Times New Roman" w:hAnsi="Times New Roman" w:cs="Times New Roman"/>
        </w:rPr>
        <w:t>to</w:t>
      </w:r>
      <w:r w:rsidRPr="00B066C6">
        <w:rPr>
          <w:rFonts w:ascii="Times New Roman" w:hAnsi="Times New Roman" w:cs="Times New Roman"/>
        </w:rPr>
        <w:t xml:space="preserve"> degraded sites (Lindell et al., 2013). Plants with fast-growing, fleshy-fruited pioneer species have been shown to attract bird species, and utilizing a mix of fruit traits and color variations has been shown to have positive effects on seed dispersal in degraded habitats (Camargo et al., 2020; Viani et al., 2015).  Artificial perches in open areas have been found to yield very low levels of seedling recruitment (De Almeida et al., 2016). Similarly, although bat roosts have been found to increase seed rain for early successional species (Ferreira and de Melo, 2016), they did not increase plant recruitment (Reid et al., 2013). The effects of differing restoration practices on seed dispersal </w:t>
      </w:r>
      <w:r w:rsidRPr="00B066C6">
        <w:rPr>
          <w:rFonts w:ascii="Times New Roman" w:hAnsi="Times New Roman" w:cs="Times New Roman"/>
        </w:rPr>
        <w:lastRenderedPageBreak/>
        <w:t>networks require further study, emphasizing the importance of diverse approaches and understanding their impacts on different ecological parameters.</w:t>
      </w:r>
    </w:p>
    <w:p w14:paraId="542C8BBF" w14:textId="77777777" w:rsidR="00661E21" w:rsidRPr="00B066C6" w:rsidRDefault="00661E21" w:rsidP="00D77075">
      <w:pPr>
        <w:spacing w:before="0" w:after="0"/>
        <w:ind w:firstLine="720"/>
        <w:rPr>
          <w:rFonts w:ascii="Times New Roman" w:hAnsi="Times New Roman" w:cs="Times New Roman"/>
          <w:b/>
          <w:bCs/>
          <w:i/>
          <w:iCs/>
        </w:rPr>
      </w:pPr>
      <w:r w:rsidRPr="00B066C6">
        <w:rPr>
          <w:rFonts w:ascii="Times New Roman" w:hAnsi="Times New Roman" w:cs="Times New Roman"/>
        </w:rPr>
        <w:t>The strengthening of functional communities within a seed dispersal network during refaunation efforts is also an important aspect of restoration success (Correia et al., 2017). Trophic rewilding (i.e. refaunation), or targeted species reintroduction with the goal of population re-establishment (Mittelman et al., 2022), is a strategy that has shown initial promise in the restoration of ecological networks in some study systems. Specifically, rewilding of seed dispersal networks through the reintroduction of generalist species could increase the number of interactions within a system (Raimundo et al., 2018). This can promote network connectance, nestedness, and robustness as the number of interaction pathways is increased and functional homogenization is decreased by the introduction of new species to the network (Mittelman et al., 2022). In areas that have been subjected to defaunation and are vulnerable to secondary extinctions, an intervention that targets these network metrics could prove to be highly impactful. In addition, restoration efforts may be more impactful when ecological redundancy is increased rather than focusing recovery efforts on a single flagship species, especially in highly dynamic systems that benefit from a diverse assemblage of individuals that perform similar ecological functions (Correia et al., 2017).</w:t>
      </w:r>
    </w:p>
    <w:p w14:paraId="4BFA1227" w14:textId="6A5A9ECB" w:rsidR="00661E21" w:rsidRPr="00624A02" w:rsidRDefault="00661E21" w:rsidP="00D77075">
      <w:pPr>
        <w:pStyle w:val="Heading3"/>
        <w:spacing w:before="0" w:after="0"/>
        <w:rPr>
          <w:rFonts w:ascii="Times New Roman" w:hAnsi="Times New Roman" w:cs="Times New Roman"/>
          <w:b/>
          <w:bCs/>
          <w:i/>
          <w:iCs/>
          <w:color w:val="auto"/>
          <w:sz w:val="24"/>
          <w:szCs w:val="24"/>
        </w:rPr>
      </w:pPr>
      <w:bookmarkStart w:id="78" w:name="_Toc195189620"/>
      <w:r w:rsidRPr="00624A02">
        <w:rPr>
          <w:rFonts w:ascii="Times New Roman" w:hAnsi="Times New Roman" w:cs="Times New Roman"/>
          <w:b/>
          <w:bCs/>
          <w:i/>
          <w:iCs/>
          <w:color w:val="auto"/>
          <w:sz w:val="24"/>
          <w:szCs w:val="24"/>
        </w:rPr>
        <w:t>Looking forward: addressing knowledge gaps and future directions</w:t>
      </w:r>
      <w:bookmarkEnd w:id="78"/>
    </w:p>
    <w:p w14:paraId="53972DFF"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Using seed dispersal networks as a tool to aid in tropical forest restoration efforts could offer a comprehensive and ecologically significant approach, enabling the evaluation of both biodiversity recovery and the recovery of a crucial ecosystem function. Our review supports the proposed shift away from individual species conservation towards the conservation of entire interaction networks to promote ecosystem processes at the landscape level, as outlined in Harvey et al. (2017). However, while it has long been suggested that seed dispersal has the potential to accelerate restoration efforts within degraded landscapes (Wunderle, 1997), very few studies have taken a network-level approach to understanding the role of seed dispersal at various stages of succession. </w:t>
      </w:r>
    </w:p>
    <w:p w14:paraId="69CC6295" w14:textId="5DF8375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Howe (2016) was one of the first to explicitly draw attention to this suggestion, and yet to date, there are still minimal studies that have explored seed dispersal networks through a successional lens. There was only one result generated from our search that focused on seed dispersal networks throughout successional stages (</w:t>
      </w:r>
      <w:r w:rsidR="00052C25">
        <w:rPr>
          <w:rFonts w:ascii="Times New Roman" w:hAnsi="Times New Roman" w:cs="Times New Roman"/>
        </w:rPr>
        <w:t>R</w:t>
      </w:r>
      <w:r w:rsidRPr="00B066C6">
        <w:rPr>
          <w:rFonts w:ascii="Times New Roman" w:hAnsi="Times New Roman" w:cs="Times New Roman"/>
        </w:rPr>
        <w:t xml:space="preserve">ibeiro da Silva et al., 2015). Ribeiro da </w:t>
      </w:r>
      <w:r w:rsidRPr="00B066C6">
        <w:rPr>
          <w:rFonts w:ascii="Times New Roman" w:hAnsi="Times New Roman" w:cs="Times New Roman"/>
        </w:rPr>
        <w:lastRenderedPageBreak/>
        <w:t xml:space="preserve">Silva (2015) found that through succession, modularity and degree of specialization increased with forest age. As niches become more defined throughout different phases of succession after initial restoration processes, specialization and modularity increase as resource partitioning decreases and species vary in their functional roles. </w:t>
      </w:r>
    </w:p>
    <w:p w14:paraId="60EECAE3" w14:textId="168D2180"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Comparing network measures across temporal scales presents challenges due to the reliance on null models for establishing the significance of network metrics. Null models are often used to determine the statistical significance of network metrics, where null models assess whether observed network patterns deviate from what would be expected if interactions were formed at random (Jordano</w:t>
      </w:r>
      <w:r w:rsidR="00BF05CA">
        <w:rPr>
          <w:rFonts w:ascii="Times New Roman" w:hAnsi="Times New Roman" w:cs="Times New Roman"/>
        </w:rPr>
        <w:t>,</w:t>
      </w:r>
      <w:r w:rsidRPr="00B066C6">
        <w:rPr>
          <w:rFonts w:ascii="Times New Roman" w:hAnsi="Times New Roman" w:cs="Times New Roman"/>
        </w:rPr>
        <w:t xml:space="preserve"> 2016). The significance of certain metrics depends on the specific null model used, however there was no consistent or standardized approach to selecting appropriate null models and drawing significant conclusions in our literature search. As a result, the temporal dynamics of seed dispersal networks may be difficult to interpret consistently (Howe</w:t>
      </w:r>
      <w:r w:rsidR="00BF05CA">
        <w:rPr>
          <w:rFonts w:ascii="Times New Roman" w:hAnsi="Times New Roman" w:cs="Times New Roman"/>
        </w:rPr>
        <w:t>,</w:t>
      </w:r>
      <w:r w:rsidRPr="00B066C6">
        <w:rPr>
          <w:rFonts w:ascii="Times New Roman" w:hAnsi="Times New Roman" w:cs="Times New Roman"/>
        </w:rPr>
        <w:t xml:space="preserve"> 2016). To combat these discrepancies, we emphasize the importance of site-specific long-term datasets, large spatial scales, and the use of chronosequences to continue to uncover deeper nuances of seed dispersal networks through succession (Chang &amp; Turner, 2019). </w:t>
      </w:r>
    </w:p>
    <w:p w14:paraId="43EA61B9" w14:textId="77777777"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The use of chronosequences at local levels represents an opportunity to observe seed dispersal networks over temporal scales, which could better inform network reassembly across varying stages of forest succession. Chronosequences are sets of ecological sites that share similar attributes but represent different ages and are commonly used in restoration studies. Mutualistic interactions have the potential to be connected via individual species dispersion and colonization dynamics (Hagen et al., 2012), which can result in networks being connected across timescales leading to the formation of a multi-layer network or a meta-network (</w:t>
      </w:r>
      <w:proofErr w:type="spellStart"/>
      <w:r w:rsidRPr="00B066C6">
        <w:rPr>
          <w:rFonts w:ascii="Times New Roman" w:hAnsi="Times New Roman" w:cs="Times New Roman"/>
        </w:rPr>
        <w:t>Moulatlet</w:t>
      </w:r>
      <w:proofErr w:type="spellEnd"/>
      <w:r w:rsidRPr="00B066C6">
        <w:rPr>
          <w:rFonts w:ascii="Times New Roman" w:hAnsi="Times New Roman" w:cs="Times New Roman"/>
        </w:rPr>
        <w:t xml:space="preserve"> et al., 2023). Meta-networks that observe interactions across temporal scales could highlight both disperser and plant species that play important roles in connecting fragmented landscapes (Emer et al., 2018). For example, future studies could have individual networks representing different temporal markers (e.g. successional stage) throughout the same recovering ecosystem, where networks would be connected by nodes or species occurring at multiple markers. This would allow restoration practitioners to better understand species and interaction turnover, as well as identify connector or keystone species across varying successional stages. </w:t>
      </w:r>
    </w:p>
    <w:p w14:paraId="11B3C855" w14:textId="09706271" w:rsidR="00661E21" w:rsidRPr="00B066C6" w:rsidRDefault="00661E21" w:rsidP="00D77075">
      <w:pPr>
        <w:spacing w:before="0" w:after="0"/>
        <w:ind w:firstLine="720"/>
        <w:rPr>
          <w:rFonts w:ascii="Times New Roman" w:hAnsi="Times New Roman" w:cs="Times New Roman"/>
        </w:rPr>
      </w:pPr>
      <w:r w:rsidRPr="00B066C6">
        <w:rPr>
          <w:rFonts w:ascii="Times New Roman" w:hAnsi="Times New Roman" w:cs="Times New Roman"/>
        </w:rPr>
        <w:t xml:space="preserve">Finally, understanding how different restoration techniques influence seed dispersal network reassembly is pivotal for developing effective and context-specific conservation and </w:t>
      </w:r>
      <w:r w:rsidRPr="00B066C6">
        <w:rPr>
          <w:rFonts w:ascii="Times New Roman" w:hAnsi="Times New Roman" w:cs="Times New Roman"/>
        </w:rPr>
        <w:lastRenderedPageBreak/>
        <w:t xml:space="preserve">restoration strategies. Varying restoration practices each introduce distinct ecological dynamics that may shape the interactions between plants and dispersers. Active restoration methods, such as direct planting and habitat modification, might exert immediate effects on seed dispersal patterns by altering landscape structures. For </w:t>
      </w:r>
      <w:r w:rsidR="006E598B" w:rsidRPr="00B066C6">
        <w:rPr>
          <w:rFonts w:ascii="Times New Roman" w:hAnsi="Times New Roman" w:cs="Times New Roman"/>
        </w:rPr>
        <w:t>example,</w:t>
      </w:r>
      <w:r w:rsidRPr="00B066C6">
        <w:rPr>
          <w:rFonts w:ascii="Times New Roman" w:hAnsi="Times New Roman" w:cs="Times New Roman"/>
        </w:rPr>
        <w:t xml:space="preserve"> island plantings, which are isolated habitat patches of plantings within a landscape, could impact the spatial dynamics of seed dispersal and in turn influence how seeds move between landscapes (Holl et al., 2020). Furthermore, introducing new species into restored ecosystems introduces a layer of complexity, potentially altering the composition of disperser communities and their interactions with native plants (Mittelman et al., 2020; Genes et al., 2019). In contrast, passive restoration, which allows natural processes to drive recovery, may exhibit a more gradual influence on seed dispersal dynamics and produce different measures at different stages of succession. </w:t>
      </w:r>
    </w:p>
    <w:p w14:paraId="39191B5A" w14:textId="77777777" w:rsidR="00661E21" w:rsidRPr="00B066C6" w:rsidRDefault="00661E21" w:rsidP="00D77075">
      <w:pPr>
        <w:spacing w:before="0" w:after="0"/>
        <w:ind w:firstLine="720"/>
        <w:rPr>
          <w:rFonts w:ascii="Times New Roman" w:hAnsi="Times New Roman" w:cs="Times New Roman"/>
          <w:bCs/>
          <w:iCs/>
        </w:rPr>
      </w:pPr>
      <w:r w:rsidRPr="00B066C6">
        <w:rPr>
          <w:rFonts w:ascii="Times New Roman" w:hAnsi="Times New Roman" w:cs="Times New Roman"/>
        </w:rPr>
        <w:t xml:space="preserve">In conclusion, this systematic review of seed dispersal networks reveals key insights into field methods, network measures, functional traits, and implications for forest restoration efforts, outlining where we are in this field of research today. </w:t>
      </w:r>
      <w:r w:rsidRPr="00B066C6">
        <w:rPr>
          <w:rFonts w:ascii="Times New Roman" w:hAnsi="Times New Roman" w:cs="Times New Roman"/>
          <w:color w:val="000000"/>
          <w:shd w:val="clear" w:color="auto" w:fill="FFFFFF"/>
        </w:rPr>
        <w:t xml:space="preserve">Our findings not only illuminate the current landscape of tropical forest restoration research as it pertains to seed dispersal networks but also offer opportunities for a shift in the paradigm for the better. </w:t>
      </w:r>
      <w:r w:rsidRPr="00B066C6">
        <w:rPr>
          <w:rFonts w:ascii="Times New Roman" w:hAnsi="Times New Roman" w:cs="Times New Roman"/>
        </w:rPr>
        <w:t xml:space="preserve">Utilizing seed dispersal networks </w:t>
      </w:r>
      <w:r w:rsidRPr="00B066C6">
        <w:rPr>
          <w:rFonts w:ascii="Times New Roman" w:hAnsi="Times New Roman" w:cs="Times New Roman"/>
          <w:color w:val="000000"/>
          <w:shd w:val="clear" w:color="auto" w:fill="FFFFFF"/>
        </w:rPr>
        <w:t xml:space="preserve">as key tools in restoration practices </w:t>
      </w:r>
      <w:r w:rsidRPr="00B066C6">
        <w:rPr>
          <w:rFonts w:ascii="Times New Roman" w:hAnsi="Times New Roman" w:cs="Times New Roman"/>
        </w:rPr>
        <w:t xml:space="preserve">can provide a comprehensive approach, evaluating </w:t>
      </w:r>
      <w:r w:rsidRPr="00B066C6">
        <w:rPr>
          <w:rFonts w:ascii="Times New Roman" w:hAnsi="Times New Roman" w:cs="Times New Roman"/>
          <w:color w:val="000000"/>
          <w:shd w:val="clear" w:color="auto" w:fill="FFFFFF"/>
        </w:rPr>
        <w:t xml:space="preserve">enabling work that transcends solely biodiversity recovery to encompass </w:t>
      </w:r>
      <w:r w:rsidRPr="00B066C6">
        <w:rPr>
          <w:rFonts w:ascii="Times New Roman" w:hAnsi="Times New Roman" w:cs="Times New Roman"/>
        </w:rPr>
        <w:t>the restoration of crucial ecosystem functions</w:t>
      </w:r>
      <w:r w:rsidRPr="00B066C6">
        <w:rPr>
          <w:rFonts w:ascii="Times New Roman" w:hAnsi="Times New Roman" w:cs="Times New Roman"/>
          <w:color w:val="000000"/>
          <w:shd w:val="clear" w:color="auto" w:fill="FFFFFF"/>
        </w:rPr>
        <w:t>.</w:t>
      </w:r>
    </w:p>
    <w:p w14:paraId="133B278F" w14:textId="77777777" w:rsidR="00661E21" w:rsidRPr="00B066C6" w:rsidRDefault="00661E21" w:rsidP="00D77075">
      <w:pPr>
        <w:spacing w:before="0" w:after="0"/>
        <w:rPr>
          <w:rFonts w:ascii="Times New Roman" w:hAnsi="Times New Roman" w:cs="Times New Roman"/>
          <w:bCs/>
          <w:iCs/>
        </w:rPr>
      </w:pPr>
      <w:r w:rsidRPr="00B066C6">
        <w:rPr>
          <w:rFonts w:ascii="Times New Roman" w:hAnsi="Times New Roman" w:cs="Times New Roman"/>
          <w:bCs/>
          <w:iCs/>
        </w:rPr>
        <w:br w:type="page"/>
      </w:r>
    </w:p>
    <w:p w14:paraId="30D4CF48" w14:textId="5EFBD4F6" w:rsidR="00B1734F" w:rsidRPr="002D75B0" w:rsidRDefault="00B1734F" w:rsidP="002D75B0">
      <w:pPr>
        <w:pStyle w:val="Heading2"/>
        <w:spacing w:before="0" w:after="0"/>
        <w:rPr>
          <w:rFonts w:ascii="Times New Roman" w:hAnsi="Times New Roman" w:cs="Times New Roman"/>
          <w:b/>
          <w:bCs/>
          <w:color w:val="000000" w:themeColor="text1"/>
          <w:sz w:val="24"/>
          <w:szCs w:val="24"/>
        </w:rPr>
      </w:pPr>
      <w:bookmarkStart w:id="79" w:name="_Toc195189621"/>
      <w:r w:rsidRPr="002D75B0">
        <w:rPr>
          <w:rFonts w:ascii="Times New Roman" w:hAnsi="Times New Roman" w:cs="Times New Roman"/>
          <w:b/>
          <w:bCs/>
          <w:color w:val="000000" w:themeColor="text1"/>
          <w:sz w:val="24"/>
          <w:szCs w:val="24"/>
        </w:rPr>
        <w:lastRenderedPageBreak/>
        <w:t>References</w:t>
      </w:r>
      <w:bookmarkEnd w:id="79"/>
    </w:p>
    <w:p w14:paraId="5EE0A9C9"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Aerts, R., &amp; </w:t>
      </w:r>
      <w:proofErr w:type="spellStart"/>
      <w:r w:rsidRPr="002D75B0">
        <w:rPr>
          <w:rFonts w:ascii="Times New Roman" w:hAnsi="Times New Roman" w:cs="Times New Roman"/>
          <w:color w:val="000000" w:themeColor="text1"/>
        </w:rPr>
        <w:t>Honnay</w:t>
      </w:r>
      <w:proofErr w:type="spellEnd"/>
      <w:r w:rsidRPr="002D75B0">
        <w:rPr>
          <w:rFonts w:ascii="Times New Roman" w:hAnsi="Times New Roman" w:cs="Times New Roman"/>
          <w:color w:val="000000" w:themeColor="text1"/>
        </w:rPr>
        <w:t xml:space="preserve">, O. (2011). Forest restoration, biodiversity and ecosystem functioning. BMC Ecology, 11(1), 29. </w:t>
      </w:r>
      <w:hyperlink r:id="rId16">
        <w:r w:rsidRPr="002D75B0">
          <w:rPr>
            <w:rFonts w:ascii="Times New Roman" w:hAnsi="Times New Roman" w:cs="Times New Roman"/>
            <w:color w:val="000000" w:themeColor="text1"/>
          </w:rPr>
          <w:t>https://doi.org/10.1186/1472-6785-11-29</w:t>
        </w:r>
      </w:hyperlink>
    </w:p>
    <w:p w14:paraId="6BDE78C1"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Akçakaya</w:t>
      </w:r>
      <w:proofErr w:type="spellEnd"/>
      <w:r w:rsidRPr="002D75B0">
        <w:rPr>
          <w:rFonts w:ascii="Times New Roman" w:hAnsi="Times New Roman" w:cs="Times New Roman"/>
          <w:color w:val="000000" w:themeColor="text1"/>
        </w:rPr>
        <w:t xml:space="preserve">, H. R., Rodrigues, A. S. L., Keith, D. A., Milner‐Gulland, E. J., Sanderson, E. W., Hedges, S., Mallon, D. P., Grace, M. K., Long, B., </w:t>
      </w:r>
      <w:proofErr w:type="spellStart"/>
      <w:r w:rsidRPr="002D75B0">
        <w:rPr>
          <w:rFonts w:ascii="Times New Roman" w:hAnsi="Times New Roman" w:cs="Times New Roman"/>
          <w:color w:val="000000" w:themeColor="text1"/>
        </w:rPr>
        <w:t>Meijaard</w:t>
      </w:r>
      <w:proofErr w:type="spellEnd"/>
      <w:r w:rsidRPr="002D75B0">
        <w:rPr>
          <w:rFonts w:ascii="Times New Roman" w:hAnsi="Times New Roman" w:cs="Times New Roman"/>
          <w:color w:val="000000" w:themeColor="text1"/>
        </w:rPr>
        <w:t xml:space="preserve">, E., &amp; Stephenson, P. J. (2020). Assessing ecological function in the context of species recovery. Conservation Biology, 34(3), 561–571. </w:t>
      </w:r>
      <w:hyperlink r:id="rId17">
        <w:r w:rsidRPr="002D75B0">
          <w:rPr>
            <w:rFonts w:ascii="Times New Roman" w:hAnsi="Times New Roman" w:cs="Times New Roman"/>
            <w:color w:val="000000" w:themeColor="text1"/>
          </w:rPr>
          <w:t>https://doi.org/10.1111/cobi.13425</w:t>
        </w:r>
      </w:hyperlink>
      <w:r w:rsidRPr="002D75B0">
        <w:rPr>
          <w:rFonts w:ascii="Times New Roman" w:hAnsi="Times New Roman" w:cs="Times New Roman"/>
          <w:color w:val="000000" w:themeColor="text1"/>
        </w:rPr>
        <w:t xml:space="preserve"> </w:t>
      </w:r>
    </w:p>
    <w:p w14:paraId="50CB842A"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Anderson, S. H., Kelly, D., Ladley, J. J., Molloy, S., &amp; Terry, J. (2011). Cascading Effects of Bird Functional Extinction Reduce Pollination and Plant Density. Science, 331(6020), 1068–1071. </w:t>
      </w:r>
      <w:hyperlink r:id="rId18">
        <w:r w:rsidRPr="002D75B0">
          <w:rPr>
            <w:rFonts w:ascii="Times New Roman" w:hAnsi="Times New Roman" w:cs="Times New Roman"/>
            <w:color w:val="000000" w:themeColor="text1"/>
          </w:rPr>
          <w:t>https://doi.org/10.1126/science.1199092</w:t>
        </w:r>
      </w:hyperlink>
      <w:r w:rsidRPr="002D75B0">
        <w:rPr>
          <w:rFonts w:ascii="Times New Roman" w:hAnsi="Times New Roman" w:cs="Times New Roman"/>
          <w:color w:val="000000" w:themeColor="text1"/>
        </w:rPr>
        <w:t xml:space="preserve"> </w:t>
      </w:r>
    </w:p>
    <w:p w14:paraId="2A9A296F"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Bakker, J. P., </w:t>
      </w:r>
      <w:proofErr w:type="spellStart"/>
      <w:r w:rsidRPr="002D75B0">
        <w:rPr>
          <w:rFonts w:ascii="Times New Roman" w:hAnsi="Times New Roman" w:cs="Times New Roman"/>
          <w:color w:val="000000" w:themeColor="text1"/>
        </w:rPr>
        <w:t>Poschlod</w:t>
      </w:r>
      <w:proofErr w:type="spellEnd"/>
      <w:r w:rsidRPr="002D75B0">
        <w:rPr>
          <w:rFonts w:ascii="Times New Roman" w:hAnsi="Times New Roman" w:cs="Times New Roman"/>
          <w:color w:val="000000" w:themeColor="text1"/>
        </w:rPr>
        <w:t xml:space="preserve">, P., </w:t>
      </w:r>
      <w:proofErr w:type="spellStart"/>
      <w:r w:rsidRPr="002D75B0">
        <w:rPr>
          <w:rFonts w:ascii="Times New Roman" w:hAnsi="Times New Roman" w:cs="Times New Roman"/>
          <w:color w:val="000000" w:themeColor="text1"/>
        </w:rPr>
        <w:t>Strykstra</w:t>
      </w:r>
      <w:proofErr w:type="spellEnd"/>
      <w:r w:rsidRPr="002D75B0">
        <w:rPr>
          <w:rFonts w:ascii="Times New Roman" w:hAnsi="Times New Roman" w:cs="Times New Roman"/>
          <w:color w:val="000000" w:themeColor="text1"/>
        </w:rPr>
        <w:t xml:space="preserve">, R. J., Bekker, R. M., &amp; Thompson, K. (1996). Seed banks and seed dispersal: Important topics in restoration ecology. </w:t>
      </w:r>
      <w:r w:rsidRPr="002D75B0">
        <w:rPr>
          <w:rFonts w:ascii="Times New Roman" w:hAnsi="Times New Roman" w:cs="Times New Roman"/>
          <w:color w:val="000000" w:themeColor="text1"/>
          <w:lang w:val="es-EC"/>
        </w:rPr>
        <w:t xml:space="preserve">Acta Botanica Neerlandica, 45(4), 461–490. </w:t>
      </w:r>
      <w:hyperlink r:id="rId19">
        <w:r w:rsidRPr="002D75B0">
          <w:rPr>
            <w:rFonts w:ascii="Times New Roman" w:hAnsi="Times New Roman" w:cs="Times New Roman"/>
            <w:color w:val="000000" w:themeColor="text1"/>
            <w:lang w:val="es-EC"/>
          </w:rPr>
          <w:t>https://doi.org/10.1111/j.1438-8677.1996.tb00806.x</w:t>
        </w:r>
      </w:hyperlink>
      <w:r w:rsidRPr="002D75B0">
        <w:rPr>
          <w:rFonts w:ascii="Times New Roman" w:hAnsi="Times New Roman" w:cs="Times New Roman"/>
          <w:color w:val="000000" w:themeColor="text1"/>
          <w:lang w:val="es-EC"/>
        </w:rPr>
        <w:t xml:space="preserve"> </w:t>
      </w:r>
    </w:p>
    <w:p w14:paraId="7734498F"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Bascompte, J., &amp; Jordano, P. (2007). </w:t>
      </w:r>
      <w:r w:rsidRPr="002D75B0">
        <w:rPr>
          <w:rFonts w:ascii="Times New Roman" w:hAnsi="Times New Roman" w:cs="Times New Roman"/>
          <w:color w:val="000000" w:themeColor="text1"/>
        </w:rPr>
        <w:t xml:space="preserve">Plant-Animal Mutualistic Networks: The Architecture of Biodiversity. Annual Review of Ecology, Evolution, and Systematics, 38(1), 567–593. </w:t>
      </w:r>
      <w:hyperlink r:id="rId20">
        <w:r w:rsidRPr="002D75B0">
          <w:rPr>
            <w:rFonts w:ascii="Times New Roman" w:hAnsi="Times New Roman" w:cs="Times New Roman"/>
            <w:color w:val="000000" w:themeColor="text1"/>
          </w:rPr>
          <w:t>https://doi.org/10.1146/annurev.ecolsys.38.091206.095818</w:t>
        </w:r>
      </w:hyperlink>
      <w:r w:rsidRPr="002D75B0">
        <w:rPr>
          <w:rFonts w:ascii="Times New Roman" w:hAnsi="Times New Roman" w:cs="Times New Roman"/>
          <w:color w:val="000000" w:themeColor="text1"/>
        </w:rPr>
        <w:t xml:space="preserve"> </w:t>
      </w:r>
    </w:p>
    <w:p w14:paraId="2BF6E2AB"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Bascompte, J., Jordano, P., Melián, C. J., &amp; Olesen, J. M. (2003). </w:t>
      </w:r>
      <w:r w:rsidRPr="002D75B0">
        <w:rPr>
          <w:rFonts w:ascii="Times New Roman" w:hAnsi="Times New Roman" w:cs="Times New Roman"/>
          <w:color w:val="000000" w:themeColor="text1"/>
        </w:rPr>
        <w:t xml:space="preserve">The nested assembly of plant–animal mutualistic networks. Proceedings of the National Academy of Sciences, 100(16), 9383–9387. </w:t>
      </w:r>
      <w:hyperlink r:id="rId21">
        <w:r w:rsidRPr="002D75B0">
          <w:rPr>
            <w:rFonts w:ascii="Times New Roman" w:hAnsi="Times New Roman" w:cs="Times New Roman"/>
            <w:color w:val="000000" w:themeColor="text1"/>
            <w:lang w:val="es-EC"/>
          </w:rPr>
          <w:t>https://doi.org/10.1073/pnas.1633576100</w:t>
        </w:r>
      </w:hyperlink>
      <w:r w:rsidRPr="002D75B0">
        <w:rPr>
          <w:rFonts w:ascii="Times New Roman" w:hAnsi="Times New Roman" w:cs="Times New Roman"/>
          <w:color w:val="000000" w:themeColor="text1"/>
          <w:lang w:val="es-EC"/>
        </w:rPr>
        <w:t xml:space="preserve"> </w:t>
      </w:r>
    </w:p>
    <w:p w14:paraId="39628D5E"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Bastazini, V. A. G., Debastiani, V. J., Azambuja, B. O., Guimaraes Jr, P. R., &amp; Pillar, V. D. (2019). </w:t>
      </w:r>
      <w:r w:rsidRPr="002D75B0">
        <w:rPr>
          <w:rFonts w:ascii="Times New Roman" w:hAnsi="Times New Roman" w:cs="Times New Roman"/>
          <w:color w:val="000000" w:themeColor="text1"/>
        </w:rPr>
        <w:t xml:space="preserve">Loss of Generalist Plant Species and Functional Diversity Decreases the Robustness of a Seed Dispersal Network. </w:t>
      </w:r>
      <w:r w:rsidRPr="002D75B0">
        <w:rPr>
          <w:rFonts w:ascii="Times New Roman" w:hAnsi="Times New Roman" w:cs="Times New Roman"/>
          <w:color w:val="000000" w:themeColor="text1"/>
          <w:lang w:val="es-EC"/>
        </w:rPr>
        <w:t xml:space="preserve">Environmental Conservation, 46(1, SI), 52–58. </w:t>
      </w:r>
      <w:hyperlink r:id="rId22">
        <w:r w:rsidRPr="002D75B0">
          <w:rPr>
            <w:rFonts w:ascii="Times New Roman" w:hAnsi="Times New Roman" w:cs="Times New Roman"/>
            <w:color w:val="000000" w:themeColor="text1"/>
            <w:lang w:val="es-EC"/>
          </w:rPr>
          <w:t>https://doi.org/10.1017/S0376892918000334</w:t>
        </w:r>
      </w:hyperlink>
      <w:r w:rsidRPr="002D75B0">
        <w:rPr>
          <w:rFonts w:ascii="Times New Roman" w:hAnsi="Times New Roman" w:cs="Times New Roman"/>
          <w:color w:val="000000" w:themeColor="text1"/>
          <w:lang w:val="es-EC"/>
        </w:rPr>
        <w:t xml:space="preserve"> </w:t>
      </w:r>
    </w:p>
    <w:p w14:paraId="14D6216C"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Bastolla, U., Fortuna, M. A., Pascual-García, A., Ferrera, A., Luque, B., &amp; Bascompte, J. (2009). </w:t>
      </w:r>
      <w:r w:rsidRPr="002D75B0">
        <w:rPr>
          <w:rFonts w:ascii="Times New Roman" w:hAnsi="Times New Roman" w:cs="Times New Roman"/>
          <w:color w:val="000000" w:themeColor="text1"/>
        </w:rPr>
        <w:t xml:space="preserve">The architecture of mutualistic networks minimizes competition and increases biodiversity. Nature, 458(7241), 1018–1020. </w:t>
      </w:r>
      <w:hyperlink r:id="rId23">
        <w:r w:rsidRPr="002D75B0">
          <w:rPr>
            <w:rFonts w:ascii="Times New Roman" w:hAnsi="Times New Roman" w:cs="Times New Roman"/>
            <w:color w:val="000000" w:themeColor="text1"/>
          </w:rPr>
          <w:t>https://doi.org/10.1038/nature07950</w:t>
        </w:r>
      </w:hyperlink>
      <w:r w:rsidRPr="002D75B0">
        <w:rPr>
          <w:rFonts w:ascii="Times New Roman" w:hAnsi="Times New Roman" w:cs="Times New Roman"/>
          <w:color w:val="000000" w:themeColor="text1"/>
        </w:rPr>
        <w:t xml:space="preserve"> </w:t>
      </w:r>
    </w:p>
    <w:p w14:paraId="75CCF0A4"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Beltrán, L. C., and H. F. Howe. 2020. The frailty of tropical restoration plantings. </w:t>
      </w:r>
      <w:r w:rsidRPr="002D75B0">
        <w:rPr>
          <w:rFonts w:ascii="Times New Roman" w:hAnsi="Times New Roman" w:cs="Times New Roman"/>
          <w:color w:val="000000" w:themeColor="text1"/>
          <w:lang w:val="es-EC"/>
        </w:rPr>
        <w:t>Restoration Ecology 28:16-21.</w:t>
      </w:r>
    </w:p>
    <w:p w14:paraId="5238BD9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Benítez-Malvido, J., Martínez-Falcón, A. P., Dáttilo, W., &amp; Del Val, E. (2014). </w:t>
      </w:r>
      <w:r w:rsidRPr="002D75B0">
        <w:rPr>
          <w:rFonts w:ascii="Times New Roman" w:hAnsi="Times New Roman" w:cs="Times New Roman"/>
          <w:color w:val="000000" w:themeColor="text1"/>
        </w:rPr>
        <w:t xml:space="preserve">Diversity and network structure of invertebrate communities associated to Heliconia species in natural </w:t>
      </w:r>
      <w:r w:rsidRPr="002D75B0">
        <w:rPr>
          <w:rFonts w:ascii="Times New Roman" w:hAnsi="Times New Roman" w:cs="Times New Roman"/>
          <w:color w:val="000000" w:themeColor="text1"/>
        </w:rPr>
        <w:lastRenderedPageBreak/>
        <w:t xml:space="preserve">and human disturbed tropical rain forests. Global Ecology and Conservation, 2, 107–117. </w:t>
      </w:r>
      <w:hyperlink r:id="rId24">
        <w:r w:rsidRPr="002D75B0">
          <w:rPr>
            <w:rFonts w:ascii="Times New Roman" w:hAnsi="Times New Roman" w:cs="Times New Roman"/>
            <w:color w:val="000000" w:themeColor="text1"/>
          </w:rPr>
          <w:t>https://doi.org/10.1016/j.gecco.2014.08.007</w:t>
        </w:r>
      </w:hyperlink>
      <w:r w:rsidRPr="002D75B0">
        <w:rPr>
          <w:rFonts w:ascii="Times New Roman" w:hAnsi="Times New Roman" w:cs="Times New Roman"/>
          <w:color w:val="000000" w:themeColor="text1"/>
        </w:rPr>
        <w:t xml:space="preserve"> </w:t>
      </w:r>
    </w:p>
    <w:p w14:paraId="65CD0C0F"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Berry, D., &amp; Widder, S. (2014). Deciphering microbial interactions and detecting keystone species with co-occurrence networks. Frontiers in microbiology, 5, 219.</w:t>
      </w:r>
    </w:p>
    <w:p w14:paraId="065497FC"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Blendinger, P. G., Martín, E., Osinaga Acosta, O., Ruggera, R. A., &amp; Aráoz, E. (2016). </w:t>
      </w:r>
      <w:r w:rsidRPr="002D75B0">
        <w:rPr>
          <w:rFonts w:ascii="Times New Roman" w:hAnsi="Times New Roman" w:cs="Times New Roman"/>
          <w:color w:val="000000" w:themeColor="text1"/>
        </w:rPr>
        <w:t xml:space="preserve">Fruit selection by </w:t>
      </w:r>
      <w:proofErr w:type="gramStart"/>
      <w:r w:rsidRPr="002D75B0">
        <w:rPr>
          <w:rFonts w:ascii="Times New Roman" w:hAnsi="Times New Roman" w:cs="Times New Roman"/>
          <w:color w:val="000000" w:themeColor="text1"/>
        </w:rPr>
        <w:t>Andean forest</w:t>
      </w:r>
      <w:proofErr w:type="gramEnd"/>
      <w:r w:rsidRPr="002D75B0">
        <w:rPr>
          <w:rFonts w:ascii="Times New Roman" w:hAnsi="Times New Roman" w:cs="Times New Roman"/>
          <w:color w:val="000000" w:themeColor="text1"/>
        </w:rPr>
        <w:t xml:space="preserve"> birds: Influence of fruit functional traits and their temporal variation. </w:t>
      </w:r>
      <w:r w:rsidRPr="002D75B0">
        <w:rPr>
          <w:rFonts w:ascii="Times New Roman" w:hAnsi="Times New Roman" w:cs="Times New Roman"/>
          <w:color w:val="000000" w:themeColor="text1"/>
          <w:lang w:val="es-EC"/>
        </w:rPr>
        <w:t xml:space="preserve">Biotropica, 48(5), 677–686. </w:t>
      </w:r>
      <w:hyperlink r:id="rId25">
        <w:r w:rsidRPr="002D75B0">
          <w:rPr>
            <w:rFonts w:ascii="Times New Roman" w:hAnsi="Times New Roman" w:cs="Times New Roman"/>
            <w:color w:val="000000" w:themeColor="text1"/>
            <w:lang w:val="es-EC"/>
          </w:rPr>
          <w:t>https://doi.org/10.1111/btp.12329</w:t>
        </w:r>
      </w:hyperlink>
      <w:r w:rsidRPr="002D75B0">
        <w:rPr>
          <w:rFonts w:ascii="Times New Roman" w:hAnsi="Times New Roman" w:cs="Times New Roman"/>
          <w:color w:val="000000" w:themeColor="text1"/>
          <w:lang w:val="es-EC"/>
        </w:rPr>
        <w:t xml:space="preserve"> </w:t>
      </w:r>
    </w:p>
    <w:p w14:paraId="76574DAC"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Böhning-Gaese, K., Gaese, B. H., &amp; Rabemanantsoa, S. B. (1999). </w:t>
      </w:r>
      <w:r w:rsidRPr="002D75B0">
        <w:rPr>
          <w:rFonts w:ascii="Times New Roman" w:hAnsi="Times New Roman" w:cs="Times New Roman"/>
          <w:color w:val="000000" w:themeColor="text1"/>
        </w:rPr>
        <w:t xml:space="preserve">Importance of Primary and Secondary Seed Dispersal in the Malagasy Tree Commiphora </w:t>
      </w:r>
      <w:proofErr w:type="spellStart"/>
      <w:r w:rsidRPr="002D75B0">
        <w:rPr>
          <w:rFonts w:ascii="Times New Roman" w:hAnsi="Times New Roman" w:cs="Times New Roman"/>
          <w:color w:val="000000" w:themeColor="text1"/>
        </w:rPr>
        <w:t>guillaumini</w:t>
      </w:r>
      <w:proofErr w:type="spellEnd"/>
      <w:r w:rsidRPr="002D75B0">
        <w:rPr>
          <w:rFonts w:ascii="Times New Roman" w:hAnsi="Times New Roman" w:cs="Times New Roman"/>
          <w:color w:val="000000" w:themeColor="text1"/>
        </w:rPr>
        <w:t>. Ecology, 80(3), 821–832. https://doi.org/10.2307/177020</w:t>
      </w:r>
    </w:p>
    <w:p w14:paraId="0E4BC95B"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Breitbach, N., Laube, I., Steffan-</w:t>
      </w:r>
      <w:proofErr w:type="spellStart"/>
      <w:r w:rsidRPr="002D75B0">
        <w:rPr>
          <w:rFonts w:ascii="Times New Roman" w:hAnsi="Times New Roman" w:cs="Times New Roman"/>
          <w:color w:val="000000" w:themeColor="text1"/>
        </w:rPr>
        <w:t>Dewenter</w:t>
      </w:r>
      <w:proofErr w:type="spellEnd"/>
      <w:r w:rsidRPr="002D75B0">
        <w:rPr>
          <w:rFonts w:ascii="Times New Roman" w:hAnsi="Times New Roman" w:cs="Times New Roman"/>
          <w:color w:val="000000" w:themeColor="text1"/>
        </w:rPr>
        <w:t xml:space="preserve">, I., &amp; </w:t>
      </w:r>
      <w:proofErr w:type="spellStart"/>
      <w:r w:rsidRPr="002D75B0">
        <w:rPr>
          <w:rFonts w:ascii="Times New Roman" w:hAnsi="Times New Roman" w:cs="Times New Roman"/>
          <w:color w:val="000000" w:themeColor="text1"/>
        </w:rPr>
        <w:t>Böhning-Gaese</w:t>
      </w:r>
      <w:proofErr w:type="spellEnd"/>
      <w:r w:rsidRPr="002D75B0">
        <w:rPr>
          <w:rFonts w:ascii="Times New Roman" w:hAnsi="Times New Roman" w:cs="Times New Roman"/>
          <w:color w:val="000000" w:themeColor="text1"/>
        </w:rPr>
        <w:t xml:space="preserve">, K. (2010). Bird diversity and seed dispersal along a human land-use gradient: High seed removal in structurally simple farmland. </w:t>
      </w:r>
      <w:proofErr w:type="spellStart"/>
      <w:r w:rsidRPr="002D75B0">
        <w:rPr>
          <w:rFonts w:ascii="Times New Roman" w:hAnsi="Times New Roman" w:cs="Times New Roman"/>
          <w:color w:val="000000" w:themeColor="text1"/>
        </w:rPr>
        <w:t>Oecologia</w:t>
      </w:r>
      <w:proofErr w:type="spellEnd"/>
      <w:r w:rsidRPr="002D75B0">
        <w:rPr>
          <w:rFonts w:ascii="Times New Roman" w:hAnsi="Times New Roman" w:cs="Times New Roman"/>
          <w:color w:val="000000" w:themeColor="text1"/>
        </w:rPr>
        <w:t xml:space="preserve">, 162(4), 965–976. </w:t>
      </w:r>
      <w:hyperlink r:id="rId26">
        <w:r w:rsidRPr="002D75B0">
          <w:rPr>
            <w:rFonts w:ascii="Times New Roman" w:hAnsi="Times New Roman" w:cs="Times New Roman"/>
            <w:color w:val="000000" w:themeColor="text1"/>
          </w:rPr>
          <w:t>https://doi.org/10.1007/s00442-009-1547-y</w:t>
        </w:r>
      </w:hyperlink>
      <w:r w:rsidRPr="002D75B0">
        <w:rPr>
          <w:rFonts w:ascii="Times New Roman" w:hAnsi="Times New Roman" w:cs="Times New Roman"/>
          <w:color w:val="000000" w:themeColor="text1"/>
        </w:rPr>
        <w:t xml:space="preserve"> </w:t>
      </w:r>
    </w:p>
    <w:p w14:paraId="0C7863EE"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Brockerhoff</w:t>
      </w:r>
      <w:proofErr w:type="spellEnd"/>
      <w:r w:rsidRPr="002D75B0">
        <w:rPr>
          <w:rFonts w:ascii="Times New Roman" w:hAnsi="Times New Roman" w:cs="Times New Roman"/>
          <w:color w:val="000000" w:themeColor="text1"/>
        </w:rPr>
        <w:t xml:space="preserve">, E. G., Barbaro, L., </w:t>
      </w:r>
      <w:proofErr w:type="spellStart"/>
      <w:r w:rsidRPr="002D75B0">
        <w:rPr>
          <w:rFonts w:ascii="Times New Roman" w:hAnsi="Times New Roman" w:cs="Times New Roman"/>
          <w:color w:val="000000" w:themeColor="text1"/>
        </w:rPr>
        <w:t>Castagneyrol</w:t>
      </w:r>
      <w:proofErr w:type="spellEnd"/>
      <w:r w:rsidRPr="002D75B0">
        <w:rPr>
          <w:rFonts w:ascii="Times New Roman" w:hAnsi="Times New Roman" w:cs="Times New Roman"/>
          <w:color w:val="000000" w:themeColor="text1"/>
        </w:rPr>
        <w:t xml:space="preserve">, B., Forrester, D. I., Gardiner, B., González-Olabarria, J. R., Lyver, P. O., Meurisse, N., </w:t>
      </w:r>
      <w:proofErr w:type="spellStart"/>
      <w:r w:rsidRPr="002D75B0">
        <w:rPr>
          <w:rFonts w:ascii="Times New Roman" w:hAnsi="Times New Roman" w:cs="Times New Roman"/>
          <w:color w:val="000000" w:themeColor="text1"/>
        </w:rPr>
        <w:t>Oxbrough</w:t>
      </w:r>
      <w:proofErr w:type="spellEnd"/>
      <w:r w:rsidRPr="002D75B0">
        <w:rPr>
          <w:rFonts w:ascii="Times New Roman" w:hAnsi="Times New Roman" w:cs="Times New Roman"/>
          <w:color w:val="000000" w:themeColor="text1"/>
        </w:rPr>
        <w:t xml:space="preserve">, A., Taki, H., Thompson, I. D., van der Plas, F., &amp; </w:t>
      </w:r>
      <w:proofErr w:type="spellStart"/>
      <w:r w:rsidRPr="002D75B0">
        <w:rPr>
          <w:rFonts w:ascii="Times New Roman" w:hAnsi="Times New Roman" w:cs="Times New Roman"/>
          <w:color w:val="000000" w:themeColor="text1"/>
        </w:rPr>
        <w:t>Jactel</w:t>
      </w:r>
      <w:proofErr w:type="spellEnd"/>
      <w:r w:rsidRPr="002D75B0">
        <w:rPr>
          <w:rFonts w:ascii="Times New Roman" w:hAnsi="Times New Roman" w:cs="Times New Roman"/>
          <w:color w:val="000000" w:themeColor="text1"/>
        </w:rPr>
        <w:t xml:space="preserve">, H. (2017). Forest biodiversity, ecosystem functioning and the provision of ecosystem services. Biodiversity and Conservation, 26(13), 3005–3035. </w:t>
      </w:r>
      <w:hyperlink r:id="rId27">
        <w:r w:rsidRPr="002D75B0">
          <w:rPr>
            <w:rFonts w:ascii="Times New Roman" w:hAnsi="Times New Roman" w:cs="Times New Roman"/>
            <w:color w:val="000000" w:themeColor="text1"/>
          </w:rPr>
          <w:t>https://doi.org/10.1007/s10531-017-1453-2</w:t>
        </w:r>
      </w:hyperlink>
      <w:r w:rsidRPr="002D75B0">
        <w:rPr>
          <w:rFonts w:ascii="Times New Roman" w:hAnsi="Times New Roman" w:cs="Times New Roman"/>
          <w:color w:val="000000" w:themeColor="text1"/>
        </w:rPr>
        <w:t xml:space="preserve"> </w:t>
      </w:r>
    </w:p>
    <w:p w14:paraId="019E59F6"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Burin, G., Guimarães, P. R., &amp; Quental, T. B. (2021). Macroevolutionary stability predicts interaction patterns of species in seed dispersal networks. Science, 372(6543), 733–737. https://doi-org.utk.idm.oclc.org/10.1126/science.abf0556</w:t>
      </w:r>
    </w:p>
    <w:p w14:paraId="32EDE43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Camargo, P. H. S. A., Pizo, M. A., Brancalion, P. H. S., &amp; Carlo, T. A. (2020). </w:t>
      </w:r>
      <w:r w:rsidRPr="002D75B0">
        <w:rPr>
          <w:rFonts w:ascii="Times New Roman" w:hAnsi="Times New Roman" w:cs="Times New Roman"/>
          <w:color w:val="000000" w:themeColor="text1"/>
        </w:rPr>
        <w:t xml:space="preserve">Fruit traits of pioneer </w:t>
      </w:r>
      <w:proofErr w:type="gramStart"/>
      <w:r w:rsidRPr="002D75B0">
        <w:rPr>
          <w:rFonts w:ascii="Times New Roman" w:hAnsi="Times New Roman" w:cs="Times New Roman"/>
          <w:color w:val="000000" w:themeColor="text1"/>
        </w:rPr>
        <w:t>trees</w:t>
      </w:r>
      <w:proofErr w:type="gramEnd"/>
      <w:r w:rsidRPr="002D75B0">
        <w:rPr>
          <w:rFonts w:ascii="Times New Roman" w:hAnsi="Times New Roman" w:cs="Times New Roman"/>
          <w:color w:val="000000" w:themeColor="text1"/>
        </w:rPr>
        <w:t xml:space="preserve"> structure seed dispersal across distances on tropical deforested landscapes: Implications for restoration. Journal of Applied Ecology, 57(12), 2329–2339. </w:t>
      </w:r>
      <w:hyperlink r:id="rId28">
        <w:r w:rsidRPr="002D75B0">
          <w:rPr>
            <w:rFonts w:ascii="Times New Roman" w:hAnsi="Times New Roman" w:cs="Times New Roman"/>
            <w:color w:val="000000" w:themeColor="text1"/>
          </w:rPr>
          <w:t>https://doi.org/10.1111/1365-2664.13697</w:t>
        </w:r>
      </w:hyperlink>
      <w:r w:rsidRPr="002D75B0">
        <w:rPr>
          <w:rFonts w:ascii="Times New Roman" w:hAnsi="Times New Roman" w:cs="Times New Roman"/>
          <w:color w:val="000000" w:themeColor="text1"/>
        </w:rPr>
        <w:t xml:space="preserve"> </w:t>
      </w:r>
    </w:p>
    <w:p w14:paraId="6B5823FC"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Carlo, T. A., &amp; Morales, J. M. (2016). Generalist birds promote tropical forest regeneration and increase plant diversity via rare-biased seed dispersal. Ecology, 97(7), 1819–1831. </w:t>
      </w:r>
      <w:hyperlink r:id="rId29">
        <w:r w:rsidRPr="002D75B0">
          <w:rPr>
            <w:rFonts w:ascii="Times New Roman" w:hAnsi="Times New Roman" w:cs="Times New Roman"/>
            <w:color w:val="000000" w:themeColor="text1"/>
          </w:rPr>
          <w:t>https://doi.org/10.1890/15-2147.1</w:t>
        </w:r>
      </w:hyperlink>
      <w:r w:rsidRPr="002D75B0">
        <w:rPr>
          <w:rFonts w:ascii="Times New Roman" w:hAnsi="Times New Roman" w:cs="Times New Roman"/>
          <w:color w:val="000000" w:themeColor="text1"/>
        </w:rPr>
        <w:t xml:space="preserve"> </w:t>
      </w:r>
    </w:p>
    <w:p w14:paraId="2F696D60"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Carlo, T. A., &amp; Yang, S. (2011). Network models of frugivory and seed dispersal: challenges and opportunities. </w:t>
      </w:r>
      <w:r w:rsidRPr="002D75B0">
        <w:rPr>
          <w:rFonts w:ascii="Times New Roman" w:hAnsi="Times New Roman" w:cs="Times New Roman"/>
          <w:color w:val="000000" w:themeColor="text1"/>
          <w:lang w:val="es-EC"/>
        </w:rPr>
        <w:t>Acta Oecologica, 37(6), 619-624.</w:t>
      </w:r>
    </w:p>
    <w:p w14:paraId="7A95D077"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lastRenderedPageBreak/>
        <w:t xml:space="preserve">Chacoff, N. P., Vázquez, D. P., Lomáscolo, S. B., Stevani, E. L., Dorado, J., &amp; Padrón, B. (2012). </w:t>
      </w:r>
      <w:r w:rsidRPr="002D75B0">
        <w:rPr>
          <w:rFonts w:ascii="Times New Roman" w:hAnsi="Times New Roman" w:cs="Times New Roman"/>
          <w:color w:val="000000" w:themeColor="text1"/>
        </w:rPr>
        <w:t xml:space="preserve">Evaluating sampling completeness in a desert plant-pollinator network: Sampling a plant-pollinator network. Journal of Animal Ecology, 81(1), 190–200. </w:t>
      </w:r>
      <w:hyperlink r:id="rId30">
        <w:r w:rsidRPr="002D75B0">
          <w:rPr>
            <w:rFonts w:ascii="Times New Roman" w:hAnsi="Times New Roman" w:cs="Times New Roman"/>
            <w:color w:val="000000" w:themeColor="text1"/>
          </w:rPr>
          <w:t>https://doi.org/10.1111/j.1365-2656.2011.01883.x</w:t>
        </w:r>
      </w:hyperlink>
      <w:r w:rsidRPr="002D75B0">
        <w:rPr>
          <w:rFonts w:ascii="Times New Roman" w:hAnsi="Times New Roman" w:cs="Times New Roman"/>
          <w:color w:val="000000" w:themeColor="text1"/>
        </w:rPr>
        <w:t xml:space="preserve"> </w:t>
      </w:r>
    </w:p>
    <w:p w14:paraId="606B683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Chama, L., Berens, D. G., Downs, C. T., &amp; Farwig, N. (2013). Habitat Characteristics of Forest Fragments Determine </w:t>
      </w:r>
      <w:proofErr w:type="spellStart"/>
      <w:r w:rsidRPr="002D75B0">
        <w:rPr>
          <w:rFonts w:ascii="Times New Roman" w:hAnsi="Times New Roman" w:cs="Times New Roman"/>
          <w:color w:val="000000" w:themeColor="text1"/>
        </w:rPr>
        <w:t>Specialisation</w:t>
      </w:r>
      <w:proofErr w:type="spellEnd"/>
      <w:r w:rsidRPr="002D75B0">
        <w:rPr>
          <w:rFonts w:ascii="Times New Roman" w:hAnsi="Times New Roman" w:cs="Times New Roman"/>
          <w:color w:val="000000" w:themeColor="text1"/>
        </w:rPr>
        <w:t xml:space="preserve"> of Plant-Frugivore Networks in a Mosaic Forest Landscape.  </w:t>
      </w:r>
      <w:proofErr w:type="spellStart"/>
      <w:r w:rsidRPr="002D75B0">
        <w:rPr>
          <w:rFonts w:ascii="Times New Roman" w:hAnsi="Times New Roman" w:cs="Times New Roman"/>
          <w:color w:val="000000" w:themeColor="text1"/>
        </w:rPr>
        <w:t>PLoS</w:t>
      </w:r>
      <w:proofErr w:type="spellEnd"/>
      <w:r w:rsidRPr="002D75B0">
        <w:rPr>
          <w:rFonts w:ascii="Times New Roman" w:hAnsi="Times New Roman" w:cs="Times New Roman"/>
          <w:color w:val="000000" w:themeColor="text1"/>
        </w:rPr>
        <w:t xml:space="preserve"> ONE, 8(1). </w:t>
      </w:r>
      <w:hyperlink r:id="rId31">
        <w:r w:rsidRPr="002D75B0">
          <w:rPr>
            <w:rFonts w:ascii="Times New Roman" w:hAnsi="Times New Roman" w:cs="Times New Roman"/>
            <w:color w:val="000000" w:themeColor="text1"/>
          </w:rPr>
          <w:t>https://doi.org/10.1371/journal.pone.0054956</w:t>
        </w:r>
      </w:hyperlink>
      <w:r w:rsidRPr="002D75B0">
        <w:rPr>
          <w:rFonts w:ascii="Times New Roman" w:hAnsi="Times New Roman" w:cs="Times New Roman"/>
          <w:color w:val="000000" w:themeColor="text1"/>
        </w:rPr>
        <w:t xml:space="preserve"> </w:t>
      </w:r>
    </w:p>
    <w:p w14:paraId="13898037"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Chang, C. C., &amp; Turner, B. L. (2019). Ecological succession in a changing world. Journal of Ecology, 107(2), 503–509. </w:t>
      </w:r>
      <w:hyperlink r:id="rId32">
        <w:r w:rsidRPr="002D75B0">
          <w:rPr>
            <w:rFonts w:ascii="Times New Roman" w:hAnsi="Times New Roman" w:cs="Times New Roman"/>
            <w:color w:val="000000" w:themeColor="text1"/>
          </w:rPr>
          <w:t>https://doi.org/10.1111/1365-2745.13132</w:t>
        </w:r>
      </w:hyperlink>
      <w:r w:rsidRPr="002D75B0">
        <w:rPr>
          <w:rFonts w:ascii="Times New Roman" w:hAnsi="Times New Roman" w:cs="Times New Roman"/>
          <w:color w:val="000000" w:themeColor="text1"/>
        </w:rPr>
        <w:t xml:space="preserve"> </w:t>
      </w:r>
    </w:p>
    <w:p w14:paraId="1D0871FC"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highlight w:val="white"/>
        </w:rPr>
        <w:t xml:space="preserve">Chao, A., Kubota, Y., Zelený, D., Chiu, C. H., Li, C. F., Kusumoto, B., ... &amp; Colwell, R. K. (2020). Quantifying sample completeness and comparing diversities among assemblages. </w:t>
      </w:r>
      <w:r w:rsidRPr="002D75B0">
        <w:rPr>
          <w:rFonts w:ascii="Times New Roman" w:hAnsi="Times New Roman" w:cs="Times New Roman"/>
          <w:i/>
          <w:color w:val="000000" w:themeColor="text1"/>
          <w:highlight w:val="white"/>
        </w:rPr>
        <w:t>Ecological Research</w:t>
      </w:r>
      <w:r w:rsidRPr="002D75B0">
        <w:rPr>
          <w:rFonts w:ascii="Times New Roman" w:hAnsi="Times New Roman" w:cs="Times New Roman"/>
          <w:color w:val="000000" w:themeColor="text1"/>
          <w:highlight w:val="white"/>
        </w:rPr>
        <w:t xml:space="preserve">, </w:t>
      </w:r>
      <w:r w:rsidRPr="002D75B0">
        <w:rPr>
          <w:rFonts w:ascii="Times New Roman" w:hAnsi="Times New Roman" w:cs="Times New Roman"/>
          <w:i/>
          <w:color w:val="000000" w:themeColor="text1"/>
          <w:highlight w:val="white"/>
        </w:rPr>
        <w:t>35</w:t>
      </w:r>
      <w:r w:rsidRPr="002D75B0">
        <w:rPr>
          <w:rFonts w:ascii="Times New Roman" w:hAnsi="Times New Roman" w:cs="Times New Roman"/>
          <w:color w:val="000000" w:themeColor="text1"/>
          <w:highlight w:val="white"/>
        </w:rPr>
        <w:t>(2), 292-314.</w:t>
      </w:r>
    </w:p>
    <w:p w14:paraId="6809864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Chazdon, R. L. (2003). Tropical forest recovery: Legacies of human impact and natural disturbances. Perspectives in Plant Ecology, Evolution and Systematics, 6(1–2), 51–71. </w:t>
      </w:r>
      <w:hyperlink r:id="rId33">
        <w:r w:rsidRPr="002D75B0">
          <w:rPr>
            <w:rFonts w:ascii="Times New Roman" w:hAnsi="Times New Roman" w:cs="Times New Roman"/>
            <w:color w:val="000000" w:themeColor="text1"/>
          </w:rPr>
          <w:t>https://doi.org/10.1078/1433-8319-00042</w:t>
        </w:r>
      </w:hyperlink>
      <w:r w:rsidRPr="002D75B0">
        <w:rPr>
          <w:rFonts w:ascii="Times New Roman" w:hAnsi="Times New Roman" w:cs="Times New Roman"/>
          <w:color w:val="000000" w:themeColor="text1"/>
        </w:rPr>
        <w:t xml:space="preserve"> </w:t>
      </w:r>
    </w:p>
    <w:p w14:paraId="5070E7F9"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Connell, J. H., &amp; </w:t>
      </w:r>
      <w:proofErr w:type="spellStart"/>
      <w:r w:rsidRPr="002D75B0">
        <w:rPr>
          <w:rFonts w:ascii="Times New Roman" w:hAnsi="Times New Roman" w:cs="Times New Roman"/>
          <w:color w:val="000000" w:themeColor="text1"/>
        </w:rPr>
        <w:t>Slatyer</w:t>
      </w:r>
      <w:proofErr w:type="spellEnd"/>
      <w:r w:rsidRPr="002D75B0">
        <w:rPr>
          <w:rFonts w:ascii="Times New Roman" w:hAnsi="Times New Roman" w:cs="Times New Roman"/>
          <w:color w:val="000000" w:themeColor="text1"/>
        </w:rPr>
        <w:t>, R. O. (1977). Mechanisms of Succession in Natural Communities and Their Role in Community Stability and Organization. The American Naturalist, 111(982), 1119–1144. https://doi.org/10.1086/283241</w:t>
      </w:r>
    </w:p>
    <w:p w14:paraId="16800C4F"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Correia, M., Timoteo, S., Rodriguez-Echeverria, S., Mazars-Simon, A., &amp; Heleno, R. (2017). </w:t>
      </w:r>
      <w:r w:rsidRPr="002D75B0">
        <w:rPr>
          <w:rFonts w:ascii="Times New Roman" w:hAnsi="Times New Roman" w:cs="Times New Roman"/>
          <w:color w:val="000000" w:themeColor="text1"/>
        </w:rPr>
        <w:t xml:space="preserve">Refaunation and the reinstatement of the seed-dispersal function in </w:t>
      </w:r>
      <w:proofErr w:type="spellStart"/>
      <w:r w:rsidRPr="002D75B0">
        <w:rPr>
          <w:rFonts w:ascii="Times New Roman" w:hAnsi="Times New Roman" w:cs="Times New Roman"/>
          <w:color w:val="000000" w:themeColor="text1"/>
        </w:rPr>
        <w:t>Gorongosa</w:t>
      </w:r>
      <w:proofErr w:type="spellEnd"/>
      <w:r w:rsidRPr="002D75B0">
        <w:rPr>
          <w:rFonts w:ascii="Times New Roman" w:hAnsi="Times New Roman" w:cs="Times New Roman"/>
          <w:color w:val="000000" w:themeColor="text1"/>
        </w:rPr>
        <w:t xml:space="preserve"> National Park. </w:t>
      </w:r>
      <w:r w:rsidRPr="002D75B0">
        <w:rPr>
          <w:rFonts w:ascii="Times New Roman" w:hAnsi="Times New Roman" w:cs="Times New Roman"/>
          <w:color w:val="000000" w:themeColor="text1"/>
          <w:lang w:val="es-EC"/>
        </w:rPr>
        <w:t xml:space="preserve">Conservation Biology, 31(1), 76–85. </w:t>
      </w:r>
      <w:hyperlink r:id="rId34">
        <w:r w:rsidRPr="002D75B0">
          <w:rPr>
            <w:rFonts w:ascii="Times New Roman" w:hAnsi="Times New Roman" w:cs="Times New Roman"/>
            <w:color w:val="000000" w:themeColor="text1"/>
            <w:lang w:val="es-EC"/>
          </w:rPr>
          <w:t>https://doi.org/10.1111/cobi.12782</w:t>
        </w:r>
      </w:hyperlink>
      <w:r w:rsidRPr="002D75B0">
        <w:rPr>
          <w:rFonts w:ascii="Times New Roman" w:hAnsi="Times New Roman" w:cs="Times New Roman"/>
          <w:color w:val="000000" w:themeColor="text1"/>
          <w:lang w:val="es-EC"/>
        </w:rPr>
        <w:t xml:space="preserve"> </w:t>
      </w:r>
    </w:p>
    <w:p w14:paraId="4964E5CD"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Correia, M., Timóteo, S., Rodríguez-Echeverría, S., Mazars-Simon, A., &amp; Heleno, R. (2017). </w:t>
      </w:r>
      <w:r w:rsidRPr="002D75B0">
        <w:rPr>
          <w:rFonts w:ascii="Times New Roman" w:hAnsi="Times New Roman" w:cs="Times New Roman"/>
          <w:color w:val="000000" w:themeColor="text1"/>
        </w:rPr>
        <w:t xml:space="preserve">Refaunation and the reinstatement of the seed-dispersal function in </w:t>
      </w:r>
      <w:proofErr w:type="spellStart"/>
      <w:r w:rsidRPr="002D75B0">
        <w:rPr>
          <w:rFonts w:ascii="Times New Roman" w:hAnsi="Times New Roman" w:cs="Times New Roman"/>
          <w:color w:val="000000" w:themeColor="text1"/>
        </w:rPr>
        <w:t>Gorongosa</w:t>
      </w:r>
      <w:proofErr w:type="spellEnd"/>
      <w:r w:rsidRPr="002D75B0">
        <w:rPr>
          <w:rFonts w:ascii="Times New Roman" w:hAnsi="Times New Roman" w:cs="Times New Roman"/>
          <w:color w:val="000000" w:themeColor="text1"/>
        </w:rPr>
        <w:t xml:space="preserve"> National Park: Refaunation and Seed-Dispersal Function. Conservation Biology, 31(1), 76–85. </w:t>
      </w:r>
      <w:hyperlink r:id="rId35">
        <w:r w:rsidRPr="002D75B0">
          <w:rPr>
            <w:rFonts w:ascii="Times New Roman" w:hAnsi="Times New Roman" w:cs="Times New Roman"/>
            <w:color w:val="000000" w:themeColor="text1"/>
          </w:rPr>
          <w:t>https://doi.org/10.1111/cobi.12782</w:t>
        </w:r>
      </w:hyperlink>
      <w:r w:rsidRPr="002D75B0">
        <w:rPr>
          <w:rFonts w:ascii="Times New Roman" w:hAnsi="Times New Roman" w:cs="Times New Roman"/>
          <w:color w:val="000000" w:themeColor="text1"/>
        </w:rPr>
        <w:t xml:space="preserve"> </w:t>
      </w:r>
    </w:p>
    <w:p w14:paraId="3ED0BEAB"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Costa, A., Heleno, R., Dufrene, Y., Huckle, E., Gabriel, R., Harrison, X., Schabo, D. G., Farwig, N., &amp; Kaiser-Bunbury, C. N. (2022). Seasonal variation in impact of non-native species on tropical seed dispersal networks. Functional Ecology, 36(11), 2713–2726. </w:t>
      </w:r>
      <w:hyperlink r:id="rId36">
        <w:r w:rsidRPr="002D75B0">
          <w:rPr>
            <w:rFonts w:ascii="Times New Roman" w:hAnsi="Times New Roman" w:cs="Times New Roman"/>
            <w:color w:val="000000" w:themeColor="text1"/>
          </w:rPr>
          <w:t>https://doi.org/10.1111/1365-2435.14171</w:t>
        </w:r>
      </w:hyperlink>
      <w:r w:rsidRPr="002D75B0">
        <w:rPr>
          <w:rFonts w:ascii="Times New Roman" w:hAnsi="Times New Roman" w:cs="Times New Roman"/>
          <w:color w:val="000000" w:themeColor="text1"/>
        </w:rPr>
        <w:t xml:space="preserve"> </w:t>
      </w:r>
    </w:p>
    <w:p w14:paraId="692F6DC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lastRenderedPageBreak/>
        <w:t xml:space="preserve">Da Silva, J. M. C., Uhl, C., &amp; Murray, G. (1996). Plant Succession, Landscape Management, and the Ecology of Frugivorous Birds in Abandoned Amazonian Pastures. Conservation Biology, 10(2), 491–503. </w:t>
      </w:r>
      <w:hyperlink r:id="rId37">
        <w:r w:rsidRPr="002D75B0">
          <w:rPr>
            <w:rFonts w:ascii="Times New Roman" w:hAnsi="Times New Roman" w:cs="Times New Roman"/>
            <w:color w:val="000000" w:themeColor="text1"/>
          </w:rPr>
          <w:t>https://doi.org/10.1046/j.1523-1739.1996.10020491.x</w:t>
        </w:r>
      </w:hyperlink>
    </w:p>
    <w:p w14:paraId="5B925177"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Da Silva, F., </w:t>
      </w:r>
      <w:proofErr w:type="spellStart"/>
      <w:r w:rsidRPr="002D75B0">
        <w:rPr>
          <w:rFonts w:ascii="Times New Roman" w:hAnsi="Times New Roman" w:cs="Times New Roman"/>
          <w:color w:val="000000" w:themeColor="text1"/>
        </w:rPr>
        <w:t>Pizo</w:t>
      </w:r>
      <w:proofErr w:type="spellEnd"/>
      <w:r w:rsidRPr="002D75B0">
        <w:rPr>
          <w:rFonts w:ascii="Times New Roman" w:hAnsi="Times New Roman" w:cs="Times New Roman"/>
          <w:color w:val="000000" w:themeColor="text1"/>
        </w:rPr>
        <w:t xml:space="preserve">, M. A., (2020). Restoration of seed dispersal interactions in communities invaded by non-native plants. Plant Invasions: The role of biotic interactions. CAB International, 394-397. </w:t>
      </w:r>
    </w:p>
    <w:p w14:paraId="174C1F98"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Dattilo, W., Luna, P., &amp; Villegas-Patraca, R. (2023). Invasive Plant Species Driving the Biotic Homogenization of Plant-Frugivore Interactions in the Atlantic Forest Biodiversity Hotspot. </w:t>
      </w:r>
      <w:r w:rsidRPr="002D75B0">
        <w:rPr>
          <w:rFonts w:ascii="Times New Roman" w:hAnsi="Times New Roman" w:cs="Times New Roman"/>
          <w:color w:val="000000" w:themeColor="text1"/>
          <w:lang w:val="es-EC"/>
        </w:rPr>
        <w:t>PLANTS-BASEL, 12(9). https://doi.org/10.3390/plants12091845</w:t>
      </w:r>
    </w:p>
    <w:p w14:paraId="5E64CA2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De Almeida, A., Marques, M. C. M., Ceccon-Valente, M. D. F., Vicente-Silva, J., &amp; Mikich, S. B. (2016). </w:t>
      </w:r>
      <w:r w:rsidRPr="002D75B0">
        <w:rPr>
          <w:rFonts w:ascii="Times New Roman" w:hAnsi="Times New Roman" w:cs="Times New Roman"/>
          <w:color w:val="000000" w:themeColor="text1"/>
        </w:rPr>
        <w:t xml:space="preserve">Limited effectiveness of artificial bird perches for the establishment of seedlings and the restoration of Brazil’s Atlantic Forest. Journal for Nature Conservation, 34, 24–32. </w:t>
      </w:r>
      <w:hyperlink r:id="rId38">
        <w:r w:rsidRPr="002D75B0">
          <w:rPr>
            <w:rFonts w:ascii="Times New Roman" w:hAnsi="Times New Roman" w:cs="Times New Roman"/>
            <w:color w:val="000000" w:themeColor="text1"/>
          </w:rPr>
          <w:t>https://doi.org/10.1016/j.jnc.2016.08.007</w:t>
        </w:r>
      </w:hyperlink>
      <w:r w:rsidRPr="002D75B0">
        <w:rPr>
          <w:rFonts w:ascii="Times New Roman" w:hAnsi="Times New Roman" w:cs="Times New Roman"/>
          <w:color w:val="000000" w:themeColor="text1"/>
        </w:rPr>
        <w:t xml:space="preserve"> </w:t>
      </w:r>
    </w:p>
    <w:p w14:paraId="5BAB51DE"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Dehling</w:t>
      </w:r>
      <w:proofErr w:type="spellEnd"/>
      <w:r w:rsidRPr="002D75B0">
        <w:rPr>
          <w:rFonts w:ascii="Times New Roman" w:hAnsi="Times New Roman" w:cs="Times New Roman"/>
          <w:color w:val="000000" w:themeColor="text1"/>
        </w:rPr>
        <w:t xml:space="preserve">, D. M., Bender, I. M. A., </w:t>
      </w:r>
      <w:proofErr w:type="spellStart"/>
      <w:r w:rsidRPr="002D75B0">
        <w:rPr>
          <w:rFonts w:ascii="Times New Roman" w:hAnsi="Times New Roman" w:cs="Times New Roman"/>
          <w:color w:val="000000" w:themeColor="text1"/>
        </w:rPr>
        <w:t>Blendinger</w:t>
      </w:r>
      <w:proofErr w:type="spellEnd"/>
      <w:r w:rsidRPr="002D75B0">
        <w:rPr>
          <w:rFonts w:ascii="Times New Roman" w:hAnsi="Times New Roman" w:cs="Times New Roman"/>
          <w:color w:val="000000" w:themeColor="text1"/>
        </w:rPr>
        <w:t>, P. G., Bohning-</w:t>
      </w:r>
      <w:proofErr w:type="spellStart"/>
      <w:r w:rsidRPr="002D75B0">
        <w:rPr>
          <w:rFonts w:ascii="Times New Roman" w:hAnsi="Times New Roman" w:cs="Times New Roman"/>
          <w:color w:val="000000" w:themeColor="text1"/>
        </w:rPr>
        <w:t>Gaese</w:t>
      </w:r>
      <w:proofErr w:type="spellEnd"/>
      <w:r w:rsidRPr="002D75B0">
        <w:rPr>
          <w:rFonts w:ascii="Times New Roman" w:hAnsi="Times New Roman" w:cs="Times New Roman"/>
          <w:color w:val="000000" w:themeColor="text1"/>
        </w:rPr>
        <w:t xml:space="preserve">, K., Munoz, M. C., Neuschulz, E. L., Quitian, M., Saavedra, F., Santillan, V., Schleuning, M., &amp; Stouffer, D. B. (2021). Specialists and generalists fulfil important and complementary functional roles in ecological processes. Functional Ecology, 35(8), 1810–1821. </w:t>
      </w:r>
      <w:hyperlink r:id="rId39">
        <w:r w:rsidRPr="002D75B0">
          <w:rPr>
            <w:rFonts w:ascii="Times New Roman" w:hAnsi="Times New Roman" w:cs="Times New Roman"/>
            <w:color w:val="000000" w:themeColor="text1"/>
          </w:rPr>
          <w:t>https://doi.org/10.1111/1365-2435.13815</w:t>
        </w:r>
      </w:hyperlink>
      <w:r w:rsidRPr="002D75B0">
        <w:rPr>
          <w:rFonts w:ascii="Times New Roman" w:hAnsi="Times New Roman" w:cs="Times New Roman"/>
          <w:color w:val="000000" w:themeColor="text1"/>
        </w:rPr>
        <w:t xml:space="preserve"> </w:t>
      </w:r>
    </w:p>
    <w:p w14:paraId="5670917B"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Dehling</w:t>
      </w:r>
      <w:proofErr w:type="spellEnd"/>
      <w:r w:rsidRPr="002D75B0">
        <w:rPr>
          <w:rFonts w:ascii="Times New Roman" w:hAnsi="Times New Roman" w:cs="Times New Roman"/>
          <w:color w:val="000000" w:themeColor="text1"/>
        </w:rPr>
        <w:t xml:space="preserve">, D. M., Jordano, P., Schaefer, H. M., </w:t>
      </w:r>
      <w:proofErr w:type="spellStart"/>
      <w:r w:rsidRPr="002D75B0">
        <w:rPr>
          <w:rFonts w:ascii="Times New Roman" w:hAnsi="Times New Roman" w:cs="Times New Roman"/>
          <w:color w:val="000000" w:themeColor="text1"/>
        </w:rPr>
        <w:t>Böhning-Gaese</w:t>
      </w:r>
      <w:proofErr w:type="spellEnd"/>
      <w:r w:rsidRPr="002D75B0">
        <w:rPr>
          <w:rFonts w:ascii="Times New Roman" w:hAnsi="Times New Roman" w:cs="Times New Roman"/>
          <w:color w:val="000000" w:themeColor="text1"/>
        </w:rPr>
        <w:t xml:space="preserve">, K., &amp; Schleuning, M. (2016). Morphology predicts species’ functional roles and their degree of specialization in plant–frugivore interactions. Proceedings of the Royal Society B: Biological Sciences, 283(1823), 20152444. </w:t>
      </w:r>
      <w:hyperlink r:id="rId40">
        <w:r w:rsidRPr="002D75B0">
          <w:rPr>
            <w:rFonts w:ascii="Times New Roman" w:hAnsi="Times New Roman" w:cs="Times New Roman"/>
            <w:color w:val="000000" w:themeColor="text1"/>
          </w:rPr>
          <w:t>https://doi.org/10.1098/rspb.2015.2444</w:t>
        </w:r>
      </w:hyperlink>
      <w:r w:rsidRPr="002D75B0">
        <w:rPr>
          <w:rFonts w:ascii="Times New Roman" w:hAnsi="Times New Roman" w:cs="Times New Roman"/>
          <w:color w:val="000000" w:themeColor="text1"/>
        </w:rPr>
        <w:t xml:space="preserve"> </w:t>
      </w:r>
    </w:p>
    <w:p w14:paraId="378A01BD"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Dehling</w:t>
      </w:r>
      <w:proofErr w:type="spellEnd"/>
      <w:r w:rsidRPr="002D75B0">
        <w:rPr>
          <w:rFonts w:ascii="Times New Roman" w:hAnsi="Times New Roman" w:cs="Times New Roman"/>
          <w:color w:val="000000" w:themeColor="text1"/>
        </w:rPr>
        <w:t xml:space="preserve">, D. M., Peralta, G., Bender, I. M. A., </w:t>
      </w:r>
      <w:proofErr w:type="spellStart"/>
      <w:r w:rsidRPr="002D75B0">
        <w:rPr>
          <w:rFonts w:ascii="Times New Roman" w:hAnsi="Times New Roman" w:cs="Times New Roman"/>
          <w:color w:val="000000" w:themeColor="text1"/>
        </w:rPr>
        <w:t>Blendinger</w:t>
      </w:r>
      <w:proofErr w:type="spellEnd"/>
      <w:r w:rsidRPr="002D75B0">
        <w:rPr>
          <w:rFonts w:ascii="Times New Roman" w:hAnsi="Times New Roman" w:cs="Times New Roman"/>
          <w:color w:val="000000" w:themeColor="text1"/>
        </w:rPr>
        <w:t xml:space="preserve">, P. G., </w:t>
      </w:r>
      <w:proofErr w:type="spellStart"/>
      <w:r w:rsidRPr="002D75B0">
        <w:rPr>
          <w:rFonts w:ascii="Times New Roman" w:hAnsi="Times New Roman" w:cs="Times New Roman"/>
          <w:color w:val="000000" w:themeColor="text1"/>
        </w:rPr>
        <w:t>Böhning‐Gaese</w:t>
      </w:r>
      <w:proofErr w:type="spellEnd"/>
      <w:r w:rsidRPr="002D75B0">
        <w:rPr>
          <w:rFonts w:ascii="Times New Roman" w:hAnsi="Times New Roman" w:cs="Times New Roman"/>
          <w:color w:val="000000" w:themeColor="text1"/>
        </w:rPr>
        <w:t xml:space="preserve">, K., Muñoz, M. C., Neuschulz, E. L., </w:t>
      </w:r>
      <w:proofErr w:type="spellStart"/>
      <w:r w:rsidRPr="002D75B0">
        <w:rPr>
          <w:rFonts w:ascii="Times New Roman" w:hAnsi="Times New Roman" w:cs="Times New Roman"/>
          <w:color w:val="000000" w:themeColor="text1"/>
        </w:rPr>
        <w:t>Quitián</w:t>
      </w:r>
      <w:proofErr w:type="spellEnd"/>
      <w:r w:rsidRPr="002D75B0">
        <w:rPr>
          <w:rFonts w:ascii="Times New Roman" w:hAnsi="Times New Roman" w:cs="Times New Roman"/>
          <w:color w:val="000000" w:themeColor="text1"/>
        </w:rPr>
        <w:t xml:space="preserve">, M., Saavedra, F., </w:t>
      </w:r>
      <w:proofErr w:type="spellStart"/>
      <w:r w:rsidRPr="002D75B0">
        <w:rPr>
          <w:rFonts w:ascii="Times New Roman" w:hAnsi="Times New Roman" w:cs="Times New Roman"/>
          <w:color w:val="000000" w:themeColor="text1"/>
        </w:rPr>
        <w:t>Santillán</w:t>
      </w:r>
      <w:proofErr w:type="spellEnd"/>
      <w:r w:rsidRPr="002D75B0">
        <w:rPr>
          <w:rFonts w:ascii="Times New Roman" w:hAnsi="Times New Roman" w:cs="Times New Roman"/>
          <w:color w:val="000000" w:themeColor="text1"/>
        </w:rPr>
        <w:t xml:space="preserve">, V., Schleuning, M., &amp; Stouffer, D. B. (2020). Similar composition of functional roles in Andean seed‐dispersal networks, despite high species and interaction turnover. Ecology, 101(7). </w:t>
      </w:r>
      <w:hyperlink r:id="rId41">
        <w:r w:rsidRPr="002D75B0">
          <w:rPr>
            <w:rFonts w:ascii="Times New Roman" w:hAnsi="Times New Roman" w:cs="Times New Roman"/>
            <w:color w:val="000000" w:themeColor="text1"/>
          </w:rPr>
          <w:t>https://doi.org/10.1002/ecy.3028</w:t>
        </w:r>
      </w:hyperlink>
      <w:r w:rsidRPr="002D75B0">
        <w:rPr>
          <w:rFonts w:ascii="Times New Roman" w:hAnsi="Times New Roman" w:cs="Times New Roman"/>
          <w:color w:val="000000" w:themeColor="text1"/>
        </w:rPr>
        <w:t xml:space="preserve"> </w:t>
      </w:r>
    </w:p>
    <w:p w14:paraId="4471724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Deng, Y., Jiang, Y. H., Yang, Y., He, Z., Luo, F., &amp; Zhou, J. (2012). Molecular ecological network analyses. BMC bioinformatics, 13, 1-20.</w:t>
      </w:r>
    </w:p>
    <w:p w14:paraId="4F39AD43"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Donatti</w:t>
      </w:r>
      <w:proofErr w:type="spellEnd"/>
      <w:r w:rsidRPr="002D75B0">
        <w:rPr>
          <w:rFonts w:ascii="Times New Roman" w:hAnsi="Times New Roman" w:cs="Times New Roman"/>
          <w:color w:val="000000" w:themeColor="text1"/>
        </w:rPr>
        <w:t xml:space="preserve">, C. I., Guimaraes, P. R., Galetti, M., </w:t>
      </w:r>
      <w:proofErr w:type="spellStart"/>
      <w:r w:rsidRPr="002D75B0">
        <w:rPr>
          <w:rFonts w:ascii="Times New Roman" w:hAnsi="Times New Roman" w:cs="Times New Roman"/>
          <w:color w:val="000000" w:themeColor="text1"/>
        </w:rPr>
        <w:t>Pizo</w:t>
      </w:r>
      <w:proofErr w:type="spellEnd"/>
      <w:r w:rsidRPr="002D75B0">
        <w:rPr>
          <w:rFonts w:ascii="Times New Roman" w:hAnsi="Times New Roman" w:cs="Times New Roman"/>
          <w:color w:val="000000" w:themeColor="text1"/>
        </w:rPr>
        <w:t xml:space="preserve">, M. A., </w:t>
      </w:r>
      <w:proofErr w:type="spellStart"/>
      <w:r w:rsidRPr="002D75B0">
        <w:rPr>
          <w:rFonts w:ascii="Times New Roman" w:hAnsi="Times New Roman" w:cs="Times New Roman"/>
          <w:color w:val="000000" w:themeColor="text1"/>
        </w:rPr>
        <w:t>Marquitti</w:t>
      </w:r>
      <w:proofErr w:type="spellEnd"/>
      <w:r w:rsidRPr="002D75B0">
        <w:rPr>
          <w:rFonts w:ascii="Times New Roman" w:hAnsi="Times New Roman" w:cs="Times New Roman"/>
          <w:color w:val="000000" w:themeColor="text1"/>
        </w:rPr>
        <w:t xml:space="preserve">, F. M. D., &amp; Dirzo, R. (2011). Analysis of a hyper-diverse seed dispersal network: Modularity and underlying </w:t>
      </w:r>
      <w:r w:rsidRPr="002D75B0">
        <w:rPr>
          <w:rFonts w:ascii="Times New Roman" w:hAnsi="Times New Roman" w:cs="Times New Roman"/>
          <w:color w:val="000000" w:themeColor="text1"/>
        </w:rPr>
        <w:lastRenderedPageBreak/>
        <w:t xml:space="preserve">mechanisms. Ecology Letters, 14(8), 773–781. </w:t>
      </w:r>
      <w:hyperlink r:id="rId42">
        <w:r w:rsidRPr="002D75B0">
          <w:rPr>
            <w:rFonts w:ascii="Times New Roman" w:hAnsi="Times New Roman" w:cs="Times New Roman"/>
            <w:color w:val="000000" w:themeColor="text1"/>
          </w:rPr>
          <w:t>https://doi.org/10.1111/j.1461-0248.2011.01639.x</w:t>
        </w:r>
      </w:hyperlink>
      <w:r w:rsidRPr="002D75B0">
        <w:rPr>
          <w:rFonts w:ascii="Times New Roman" w:hAnsi="Times New Roman" w:cs="Times New Roman"/>
          <w:color w:val="000000" w:themeColor="text1"/>
        </w:rPr>
        <w:t xml:space="preserve"> </w:t>
      </w:r>
    </w:p>
    <w:p w14:paraId="72B8C84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Donoso, I., Schleuning, M., Garcia, D., &amp; Fruend, J. (2017). Defaunation effects on plant recruitment depend on size matching and size trade-offs in seed-dispersal networks. Proceedings of the Royal Society B: Biological Sciences, 284(1855). </w:t>
      </w:r>
      <w:hyperlink r:id="rId43">
        <w:r w:rsidRPr="002D75B0">
          <w:rPr>
            <w:rFonts w:ascii="Times New Roman" w:hAnsi="Times New Roman" w:cs="Times New Roman"/>
            <w:color w:val="000000" w:themeColor="text1"/>
          </w:rPr>
          <w:t>https://doi.org/10.1098/rspb.2016.2664</w:t>
        </w:r>
      </w:hyperlink>
      <w:r w:rsidRPr="002D75B0">
        <w:rPr>
          <w:rFonts w:ascii="Times New Roman" w:hAnsi="Times New Roman" w:cs="Times New Roman"/>
          <w:color w:val="000000" w:themeColor="text1"/>
        </w:rPr>
        <w:t xml:space="preserve"> </w:t>
      </w:r>
    </w:p>
    <w:p w14:paraId="35E7CC3E"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Dugger, P. J., </w:t>
      </w:r>
      <w:proofErr w:type="spellStart"/>
      <w:r w:rsidRPr="002D75B0">
        <w:rPr>
          <w:rFonts w:ascii="Times New Roman" w:hAnsi="Times New Roman" w:cs="Times New Roman"/>
          <w:color w:val="000000" w:themeColor="text1"/>
        </w:rPr>
        <w:t>Blendinger</w:t>
      </w:r>
      <w:proofErr w:type="spellEnd"/>
      <w:r w:rsidRPr="002D75B0">
        <w:rPr>
          <w:rFonts w:ascii="Times New Roman" w:hAnsi="Times New Roman" w:cs="Times New Roman"/>
          <w:color w:val="000000" w:themeColor="text1"/>
        </w:rPr>
        <w:t>, P. G., Boehning-</w:t>
      </w:r>
      <w:proofErr w:type="spellStart"/>
      <w:r w:rsidRPr="002D75B0">
        <w:rPr>
          <w:rFonts w:ascii="Times New Roman" w:hAnsi="Times New Roman" w:cs="Times New Roman"/>
          <w:color w:val="000000" w:themeColor="text1"/>
        </w:rPr>
        <w:t>Gaese</w:t>
      </w:r>
      <w:proofErr w:type="spellEnd"/>
      <w:r w:rsidRPr="002D75B0">
        <w:rPr>
          <w:rFonts w:ascii="Times New Roman" w:hAnsi="Times New Roman" w:cs="Times New Roman"/>
          <w:color w:val="000000" w:themeColor="text1"/>
        </w:rPr>
        <w:t xml:space="preserve">, K., Chama, L., Correia, M., </w:t>
      </w:r>
      <w:proofErr w:type="spellStart"/>
      <w:r w:rsidRPr="002D75B0">
        <w:rPr>
          <w:rFonts w:ascii="Times New Roman" w:hAnsi="Times New Roman" w:cs="Times New Roman"/>
          <w:color w:val="000000" w:themeColor="text1"/>
        </w:rPr>
        <w:t>Dehling</w:t>
      </w:r>
      <w:proofErr w:type="spellEnd"/>
      <w:r w:rsidRPr="002D75B0">
        <w:rPr>
          <w:rFonts w:ascii="Times New Roman" w:hAnsi="Times New Roman" w:cs="Times New Roman"/>
          <w:color w:val="000000" w:themeColor="text1"/>
        </w:rPr>
        <w:t xml:space="preserve">, D. M., Emer, C., Farwig, N., Fricke, E. C., Galetti, M., Garcia, D., Grass, I., Heleno, R., </w:t>
      </w:r>
      <w:proofErr w:type="spellStart"/>
      <w:r w:rsidRPr="002D75B0">
        <w:rPr>
          <w:rFonts w:ascii="Times New Roman" w:hAnsi="Times New Roman" w:cs="Times New Roman"/>
          <w:color w:val="000000" w:themeColor="text1"/>
        </w:rPr>
        <w:t>Jacomassa</w:t>
      </w:r>
      <w:proofErr w:type="spellEnd"/>
      <w:r w:rsidRPr="002D75B0">
        <w:rPr>
          <w:rFonts w:ascii="Times New Roman" w:hAnsi="Times New Roman" w:cs="Times New Roman"/>
          <w:color w:val="000000" w:themeColor="text1"/>
        </w:rPr>
        <w:t xml:space="preserve">, F. A. F., Moraes, S., Moran, C., Munoz, M. C., Neuschulz, E. L., Nowak, L., … Schleuning, M. (2019). Seed-dispersal networks are more specialized in the Neotropics than in the Afrotropics. Global Ecology and Biogeography, 28(2), 248–261. </w:t>
      </w:r>
      <w:hyperlink r:id="rId44">
        <w:r w:rsidRPr="002D75B0">
          <w:rPr>
            <w:rFonts w:ascii="Times New Roman" w:hAnsi="Times New Roman" w:cs="Times New Roman"/>
            <w:color w:val="000000" w:themeColor="text1"/>
          </w:rPr>
          <w:t>https://doi.org/10.1111/geb.12833</w:t>
        </w:r>
      </w:hyperlink>
      <w:r w:rsidRPr="002D75B0">
        <w:rPr>
          <w:rFonts w:ascii="Times New Roman" w:hAnsi="Times New Roman" w:cs="Times New Roman"/>
          <w:color w:val="000000" w:themeColor="text1"/>
        </w:rPr>
        <w:t xml:space="preserve"> </w:t>
      </w:r>
    </w:p>
    <w:p w14:paraId="189343D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Duncan, R. S., &amp; Chapman, C. A. (2002). Limitations of animal seed dispersal for enhancing forest succession on degraded lands. In D. J. Levey, W. R. Silva, &amp; M. Galetti (Eds.), Seed dispersal and frugivory: Ecology, evolution and conservation. Third International Symposium-Workshop on Frugivores and Seed Dispersal, São Pedro, Brazil, 6-11 August 2000 (1st ed., pp. 437–450). CABI Publishing. </w:t>
      </w:r>
      <w:hyperlink r:id="rId45">
        <w:r w:rsidRPr="002D75B0">
          <w:rPr>
            <w:rFonts w:ascii="Times New Roman" w:hAnsi="Times New Roman" w:cs="Times New Roman"/>
            <w:color w:val="000000" w:themeColor="text1"/>
          </w:rPr>
          <w:t>https://doi.org/10.1079/9780851995250.0437</w:t>
        </w:r>
      </w:hyperlink>
      <w:r w:rsidRPr="002D75B0">
        <w:rPr>
          <w:rFonts w:ascii="Times New Roman" w:hAnsi="Times New Roman" w:cs="Times New Roman"/>
          <w:color w:val="000000" w:themeColor="text1"/>
        </w:rPr>
        <w:t xml:space="preserve"> </w:t>
      </w:r>
    </w:p>
    <w:p w14:paraId="649D3B82"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Dunne, J.A., Williams, R.J., Martinez, N.D., Wood, R.A. &amp; Erwin, D.H. (2008) Compilation and network analyses of Cambrian food webs. </w:t>
      </w:r>
      <w:r w:rsidRPr="002D75B0">
        <w:rPr>
          <w:rFonts w:ascii="Times New Roman" w:hAnsi="Times New Roman" w:cs="Times New Roman"/>
          <w:color w:val="000000" w:themeColor="text1"/>
          <w:lang w:val="es-EC"/>
        </w:rPr>
        <w:t>PLoS Biology, 6, e102.</w:t>
      </w:r>
    </w:p>
    <w:p w14:paraId="7F00C5DC"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Durães, R., Carrasco, L., Smith, T. B., &amp; Karubian, J. (2013). </w:t>
      </w:r>
      <w:r w:rsidRPr="002D75B0">
        <w:rPr>
          <w:rFonts w:ascii="Times New Roman" w:hAnsi="Times New Roman" w:cs="Times New Roman"/>
          <w:color w:val="000000" w:themeColor="text1"/>
        </w:rPr>
        <w:t xml:space="preserve">Effects of forest disturbance and habitat loss on avian communities in a Neotropical biodiversity hotspot. Biological Conservation, 166, 203–211. </w:t>
      </w:r>
      <w:hyperlink r:id="rId46">
        <w:r w:rsidRPr="002D75B0">
          <w:rPr>
            <w:rFonts w:ascii="Times New Roman" w:hAnsi="Times New Roman" w:cs="Times New Roman"/>
            <w:color w:val="000000" w:themeColor="text1"/>
          </w:rPr>
          <w:t>https://doi.org/10.1016/j.biocon.2013.07.007</w:t>
        </w:r>
      </w:hyperlink>
      <w:r w:rsidRPr="002D75B0">
        <w:rPr>
          <w:rFonts w:ascii="Times New Roman" w:hAnsi="Times New Roman" w:cs="Times New Roman"/>
          <w:color w:val="000000" w:themeColor="text1"/>
        </w:rPr>
        <w:t xml:space="preserve"> </w:t>
      </w:r>
    </w:p>
    <w:p w14:paraId="5BB38EBE"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Dyer, L.A., Walla, T.R., Greeney, H.F., </w:t>
      </w:r>
      <w:proofErr w:type="spellStart"/>
      <w:r w:rsidRPr="002D75B0">
        <w:rPr>
          <w:rFonts w:ascii="Times New Roman" w:hAnsi="Times New Roman" w:cs="Times New Roman"/>
          <w:color w:val="000000" w:themeColor="text1"/>
        </w:rPr>
        <w:t>Stireman</w:t>
      </w:r>
      <w:proofErr w:type="spellEnd"/>
      <w:r w:rsidRPr="002D75B0">
        <w:rPr>
          <w:rFonts w:ascii="Times New Roman" w:hAnsi="Times New Roman" w:cs="Times New Roman"/>
          <w:color w:val="000000" w:themeColor="text1"/>
        </w:rPr>
        <w:t xml:space="preserve"> III, J.O. and Hazen, R.F. (2010), Diversity of Interactions: A Metric for Studies of Biodiversity. </w:t>
      </w:r>
      <w:r w:rsidRPr="002D75B0">
        <w:rPr>
          <w:rFonts w:ascii="Times New Roman" w:hAnsi="Times New Roman" w:cs="Times New Roman"/>
          <w:color w:val="000000" w:themeColor="text1"/>
          <w:lang w:val="es-EC"/>
        </w:rPr>
        <w:t>Biotropica, 42: 281-289. https://doi-org.utk.idm.oclc.org/10.1111/j.1744-7429.2009.00624.x</w:t>
      </w:r>
    </w:p>
    <w:p w14:paraId="1277F89A"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Emer, C., Jordano, P., Pizo, M. A., Ribeiro, M. C., da Silva, F. R., &amp; Galetti, M. (2020). </w:t>
      </w:r>
      <w:r w:rsidRPr="002D75B0">
        <w:rPr>
          <w:rFonts w:ascii="Times New Roman" w:hAnsi="Times New Roman" w:cs="Times New Roman"/>
          <w:color w:val="000000" w:themeColor="text1"/>
        </w:rPr>
        <w:t xml:space="preserve">Seed dispersal networks in tropical forest fragments: Area effects, remnant species, and interaction diversity. Biotropica, 52(1), 81–89. </w:t>
      </w:r>
      <w:hyperlink r:id="rId47">
        <w:r w:rsidRPr="002D75B0">
          <w:rPr>
            <w:rFonts w:ascii="Times New Roman" w:hAnsi="Times New Roman" w:cs="Times New Roman"/>
            <w:color w:val="000000" w:themeColor="text1"/>
          </w:rPr>
          <w:t>https://doi.org/10.1111/btp.12738</w:t>
        </w:r>
      </w:hyperlink>
      <w:r w:rsidRPr="002D75B0">
        <w:rPr>
          <w:rFonts w:ascii="Times New Roman" w:hAnsi="Times New Roman" w:cs="Times New Roman"/>
          <w:color w:val="000000" w:themeColor="text1"/>
        </w:rPr>
        <w:t xml:space="preserve"> </w:t>
      </w:r>
    </w:p>
    <w:p w14:paraId="1F88DCCD"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Emer, C., &amp; Timoteo, S. (2020). How a Network Approach Has Advanced the Field of Plant Invasion Ecology. In A. </w:t>
      </w:r>
      <w:proofErr w:type="spellStart"/>
      <w:r w:rsidRPr="002D75B0">
        <w:rPr>
          <w:rFonts w:ascii="Times New Roman" w:hAnsi="Times New Roman" w:cs="Times New Roman"/>
          <w:color w:val="000000" w:themeColor="text1"/>
        </w:rPr>
        <w:t>Traveset</w:t>
      </w:r>
      <w:proofErr w:type="spellEnd"/>
      <w:r w:rsidRPr="002D75B0">
        <w:rPr>
          <w:rFonts w:ascii="Times New Roman" w:hAnsi="Times New Roman" w:cs="Times New Roman"/>
          <w:color w:val="000000" w:themeColor="text1"/>
        </w:rPr>
        <w:t xml:space="preserve"> &amp; D. Richardson (Eds.), PLANT INVASIONS: The </w:t>
      </w:r>
      <w:r w:rsidRPr="002D75B0">
        <w:rPr>
          <w:rFonts w:ascii="Times New Roman" w:hAnsi="Times New Roman" w:cs="Times New Roman"/>
          <w:color w:val="000000" w:themeColor="text1"/>
        </w:rPr>
        <w:lastRenderedPageBreak/>
        <w:t>Role of Biotic Interactions (Vol. 13, pp. 324–339). https://doi.org/10.1079/9781789242171.0018</w:t>
      </w:r>
    </w:p>
    <w:p w14:paraId="608B686E"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Escribano-Avila, G., Lara-Romero, C., Heleno, R., &amp; Traveset, A. (2018). </w:t>
      </w:r>
      <w:r w:rsidRPr="002D75B0">
        <w:rPr>
          <w:rFonts w:ascii="Times New Roman" w:hAnsi="Times New Roman" w:cs="Times New Roman"/>
          <w:color w:val="000000" w:themeColor="text1"/>
        </w:rPr>
        <w:t xml:space="preserve">Tropical Seed Dispersal Networks: Emerging Patterns, Biases, and Keystone Species Traits. In W. </w:t>
      </w:r>
      <w:proofErr w:type="spellStart"/>
      <w:r w:rsidRPr="002D75B0">
        <w:rPr>
          <w:rFonts w:ascii="Times New Roman" w:hAnsi="Times New Roman" w:cs="Times New Roman"/>
          <w:color w:val="000000" w:themeColor="text1"/>
        </w:rPr>
        <w:t>Dáttilo</w:t>
      </w:r>
      <w:proofErr w:type="spellEnd"/>
      <w:r w:rsidRPr="002D75B0">
        <w:rPr>
          <w:rFonts w:ascii="Times New Roman" w:hAnsi="Times New Roman" w:cs="Times New Roman"/>
          <w:color w:val="000000" w:themeColor="text1"/>
        </w:rPr>
        <w:t xml:space="preserve"> &amp; V. Rico-Gray (Eds.), Ecological Networks in the Tropics (pp. 93–110). Springer International Publishing. </w:t>
      </w:r>
      <w:hyperlink r:id="rId48">
        <w:r w:rsidRPr="002D75B0">
          <w:rPr>
            <w:rFonts w:ascii="Times New Roman" w:hAnsi="Times New Roman" w:cs="Times New Roman"/>
            <w:color w:val="000000" w:themeColor="text1"/>
          </w:rPr>
          <w:t>https://doi.org/10.1007/978-3-319-68228-0_7</w:t>
        </w:r>
      </w:hyperlink>
      <w:r w:rsidRPr="002D75B0">
        <w:rPr>
          <w:rFonts w:ascii="Times New Roman" w:hAnsi="Times New Roman" w:cs="Times New Roman"/>
          <w:color w:val="000000" w:themeColor="text1"/>
        </w:rPr>
        <w:t xml:space="preserve"> </w:t>
      </w:r>
    </w:p>
    <w:p w14:paraId="5F323A7F"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Faust, K., &amp; Raes, J. (2012). Microbial interactions: from networks to models. </w:t>
      </w:r>
      <w:r w:rsidRPr="002D75B0">
        <w:rPr>
          <w:rFonts w:ascii="Times New Roman" w:hAnsi="Times New Roman" w:cs="Times New Roman"/>
          <w:color w:val="000000" w:themeColor="text1"/>
          <w:lang w:val="es-EC"/>
        </w:rPr>
        <w:t>Nature Reviews Microbiology, 10(8), 538-550.</w:t>
      </w:r>
    </w:p>
    <w:p w14:paraId="24FB019D"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Fernando Acevedo-Quintero, J., Saldana-Vazquez, R. A., Mendoza, E., &amp; Gaston Zamora-Abrego, J. (2020). </w:t>
      </w:r>
      <w:r w:rsidRPr="002D75B0">
        <w:rPr>
          <w:rFonts w:ascii="Times New Roman" w:hAnsi="Times New Roman" w:cs="Times New Roman"/>
          <w:color w:val="000000" w:themeColor="text1"/>
        </w:rPr>
        <w:t xml:space="preserve">Sampling bias affects the relationship between structural importance and species body mass in frugivore-plant interaction networks. ECOLOGICAL COMPLEXITY, 44. </w:t>
      </w:r>
      <w:hyperlink r:id="rId49">
        <w:r w:rsidRPr="002D75B0">
          <w:rPr>
            <w:rFonts w:ascii="Times New Roman" w:hAnsi="Times New Roman" w:cs="Times New Roman"/>
            <w:color w:val="000000" w:themeColor="text1"/>
          </w:rPr>
          <w:t>https://doi.org/10.1016/j.ecocom.2020.100870</w:t>
        </w:r>
      </w:hyperlink>
      <w:r w:rsidRPr="002D75B0">
        <w:rPr>
          <w:rFonts w:ascii="Times New Roman" w:hAnsi="Times New Roman" w:cs="Times New Roman"/>
          <w:color w:val="000000" w:themeColor="text1"/>
        </w:rPr>
        <w:t xml:space="preserve"> </w:t>
      </w:r>
    </w:p>
    <w:p w14:paraId="4C79B7F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Fleming, T. H., &amp; Williams, C. F. (1990). Phenology, seed dispersal, and recruitment in Cecropia </w:t>
      </w:r>
      <w:proofErr w:type="spellStart"/>
      <w:r w:rsidRPr="002D75B0">
        <w:rPr>
          <w:rFonts w:ascii="Times New Roman" w:hAnsi="Times New Roman" w:cs="Times New Roman"/>
          <w:color w:val="000000" w:themeColor="text1"/>
        </w:rPr>
        <w:t>peltata</w:t>
      </w:r>
      <w:proofErr w:type="spellEnd"/>
      <w:r w:rsidRPr="002D75B0">
        <w:rPr>
          <w:rFonts w:ascii="Times New Roman" w:hAnsi="Times New Roman" w:cs="Times New Roman"/>
          <w:color w:val="000000" w:themeColor="text1"/>
        </w:rPr>
        <w:t xml:space="preserve"> (</w:t>
      </w:r>
      <w:proofErr w:type="spellStart"/>
      <w:r w:rsidRPr="002D75B0">
        <w:rPr>
          <w:rFonts w:ascii="Times New Roman" w:hAnsi="Times New Roman" w:cs="Times New Roman"/>
          <w:color w:val="000000" w:themeColor="text1"/>
        </w:rPr>
        <w:t>Moraceae</w:t>
      </w:r>
      <w:proofErr w:type="spellEnd"/>
      <w:r w:rsidRPr="002D75B0">
        <w:rPr>
          <w:rFonts w:ascii="Times New Roman" w:hAnsi="Times New Roman" w:cs="Times New Roman"/>
          <w:color w:val="000000" w:themeColor="text1"/>
        </w:rPr>
        <w:t>) in Costa Rican tropical dry forest. Journal of Tropical Ecology, 6(2), 163–178. doi:10.1017/S0266467400004260</w:t>
      </w:r>
    </w:p>
    <w:p w14:paraId="7492F643"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Fortuna M. A. and </w:t>
      </w:r>
      <w:proofErr w:type="spellStart"/>
      <w:r w:rsidRPr="002D75B0">
        <w:rPr>
          <w:rFonts w:ascii="Times New Roman" w:hAnsi="Times New Roman" w:cs="Times New Roman"/>
          <w:color w:val="000000" w:themeColor="text1"/>
        </w:rPr>
        <w:t>Bascompte</w:t>
      </w:r>
      <w:proofErr w:type="spellEnd"/>
      <w:r w:rsidRPr="002D75B0">
        <w:rPr>
          <w:rFonts w:ascii="Times New Roman" w:hAnsi="Times New Roman" w:cs="Times New Roman"/>
          <w:color w:val="000000" w:themeColor="text1"/>
        </w:rPr>
        <w:t xml:space="preserve"> J. 2006. Habitat loss and the structure of plant–animal mutualistic networks. Ecol. Lett. 9: 281–286.</w:t>
      </w:r>
    </w:p>
    <w:p w14:paraId="44FE5463"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Fortuna, M. A., Stouffer, D. B., Olesen, J. M., Jordano, P., </w:t>
      </w:r>
      <w:proofErr w:type="spellStart"/>
      <w:r w:rsidRPr="002D75B0">
        <w:rPr>
          <w:rFonts w:ascii="Times New Roman" w:hAnsi="Times New Roman" w:cs="Times New Roman"/>
          <w:color w:val="000000" w:themeColor="text1"/>
        </w:rPr>
        <w:t>Mouillot</w:t>
      </w:r>
      <w:proofErr w:type="spellEnd"/>
      <w:r w:rsidRPr="002D75B0">
        <w:rPr>
          <w:rFonts w:ascii="Times New Roman" w:hAnsi="Times New Roman" w:cs="Times New Roman"/>
          <w:color w:val="000000" w:themeColor="text1"/>
        </w:rPr>
        <w:t xml:space="preserve">, D., Krasnov, B. R., Poulin, R., &amp; </w:t>
      </w:r>
      <w:proofErr w:type="spellStart"/>
      <w:r w:rsidRPr="002D75B0">
        <w:rPr>
          <w:rFonts w:ascii="Times New Roman" w:hAnsi="Times New Roman" w:cs="Times New Roman"/>
          <w:color w:val="000000" w:themeColor="text1"/>
        </w:rPr>
        <w:t>Bascompte</w:t>
      </w:r>
      <w:proofErr w:type="spellEnd"/>
      <w:r w:rsidRPr="002D75B0">
        <w:rPr>
          <w:rFonts w:ascii="Times New Roman" w:hAnsi="Times New Roman" w:cs="Times New Roman"/>
          <w:color w:val="000000" w:themeColor="text1"/>
        </w:rPr>
        <w:t xml:space="preserve">, J. (2010). Nestedness versus modularity in ecological networks: Two sides of the same coin? Journal of Animal Ecology. </w:t>
      </w:r>
      <w:hyperlink r:id="rId50">
        <w:r w:rsidRPr="002D75B0">
          <w:rPr>
            <w:rFonts w:ascii="Times New Roman" w:hAnsi="Times New Roman" w:cs="Times New Roman"/>
            <w:color w:val="000000" w:themeColor="text1"/>
          </w:rPr>
          <w:t>https://doi.org/10.1111/j.1365-2656.2010.01688.x</w:t>
        </w:r>
      </w:hyperlink>
      <w:r w:rsidRPr="002D75B0">
        <w:rPr>
          <w:rFonts w:ascii="Times New Roman" w:hAnsi="Times New Roman" w:cs="Times New Roman"/>
          <w:color w:val="000000" w:themeColor="text1"/>
        </w:rPr>
        <w:t xml:space="preserve"> </w:t>
      </w:r>
    </w:p>
    <w:p w14:paraId="6BF830F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Forup, M. L., Henson, K. S. E., Craze, P. G., &amp; Memmott, J. (2008). The restoration of ecological interactions: Plant–pollinator networks on ancient and restored heathlands. Journal of Applied Ecology, 45(3), 742–752. </w:t>
      </w:r>
      <w:hyperlink r:id="rId51">
        <w:r w:rsidRPr="002D75B0">
          <w:rPr>
            <w:rFonts w:ascii="Times New Roman" w:hAnsi="Times New Roman" w:cs="Times New Roman"/>
            <w:color w:val="000000" w:themeColor="text1"/>
          </w:rPr>
          <w:t>https://doi.org/10.1111/j.1365-2664.2007.01390.x</w:t>
        </w:r>
      </w:hyperlink>
      <w:r w:rsidRPr="002D75B0">
        <w:rPr>
          <w:rFonts w:ascii="Times New Roman" w:hAnsi="Times New Roman" w:cs="Times New Roman"/>
          <w:color w:val="000000" w:themeColor="text1"/>
        </w:rPr>
        <w:t xml:space="preserve"> </w:t>
      </w:r>
    </w:p>
    <w:p w14:paraId="2B7AFC6C"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Freitas, L., </w:t>
      </w:r>
      <w:proofErr w:type="spellStart"/>
      <w:r w:rsidRPr="002D75B0">
        <w:rPr>
          <w:rFonts w:ascii="Times New Roman" w:hAnsi="Times New Roman" w:cs="Times New Roman"/>
          <w:color w:val="000000" w:themeColor="text1"/>
        </w:rPr>
        <w:t>Vizentin-Bugoni</w:t>
      </w:r>
      <w:proofErr w:type="spellEnd"/>
      <w:r w:rsidRPr="002D75B0">
        <w:rPr>
          <w:rFonts w:ascii="Times New Roman" w:hAnsi="Times New Roman" w:cs="Times New Roman"/>
          <w:color w:val="000000" w:themeColor="text1"/>
        </w:rPr>
        <w:t xml:space="preserve">, J., Wolowski, M., Souza, J. M. T., &amp; De </w:t>
      </w:r>
      <w:proofErr w:type="spellStart"/>
      <w:r w:rsidRPr="002D75B0">
        <w:rPr>
          <w:rFonts w:ascii="Times New Roman" w:hAnsi="Times New Roman" w:cs="Times New Roman"/>
          <w:color w:val="000000" w:themeColor="text1"/>
        </w:rPr>
        <w:t>Varassin</w:t>
      </w:r>
      <w:proofErr w:type="spellEnd"/>
      <w:r w:rsidRPr="002D75B0">
        <w:rPr>
          <w:rFonts w:ascii="Times New Roman" w:hAnsi="Times New Roman" w:cs="Times New Roman"/>
          <w:color w:val="000000" w:themeColor="text1"/>
        </w:rPr>
        <w:t xml:space="preserve">, I. G. (2014). </w:t>
      </w:r>
      <w:r w:rsidRPr="002D75B0">
        <w:rPr>
          <w:rFonts w:ascii="Times New Roman" w:hAnsi="Times New Roman" w:cs="Times New Roman"/>
          <w:color w:val="000000" w:themeColor="text1"/>
          <w:lang w:val="es-EC"/>
        </w:rPr>
        <w:t>Interações planta-polinizador ea estruturação das comunidades. Rech, AR; Agostini, K.; Oliveira, PE; Machado, IC Biologia da Polinização. Rio de Janeiro, Projeto cultural, 373-397.</w:t>
      </w:r>
    </w:p>
    <w:p w14:paraId="283297C6"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Galetti, M., Guevara, R., Côrtes, M. C., Fadini, R., Von Matter, S., Leite, A. B., Labecca, F., Ribeiro, T., Carvalho, C. S., Collevatti, R. G., Pires, M. M., Guimarães, P. R., Brancalion, </w:t>
      </w:r>
      <w:r w:rsidRPr="002D75B0">
        <w:rPr>
          <w:rFonts w:ascii="Times New Roman" w:hAnsi="Times New Roman" w:cs="Times New Roman"/>
          <w:color w:val="000000" w:themeColor="text1"/>
          <w:lang w:val="es-EC"/>
        </w:rPr>
        <w:lastRenderedPageBreak/>
        <w:t xml:space="preserve">P. H., Ribeiro, M. C., &amp; Jordano, P. (2013). </w:t>
      </w:r>
      <w:r w:rsidRPr="002D75B0">
        <w:rPr>
          <w:rFonts w:ascii="Times New Roman" w:hAnsi="Times New Roman" w:cs="Times New Roman"/>
          <w:color w:val="000000" w:themeColor="text1"/>
        </w:rPr>
        <w:t xml:space="preserve">Functional Extinction of Birds Drives Rapid Evolutionary Changes in Seed Size. Science, 340(6136), 1086–1090. </w:t>
      </w:r>
      <w:hyperlink r:id="rId52">
        <w:r w:rsidRPr="002D75B0">
          <w:rPr>
            <w:rFonts w:ascii="Times New Roman" w:hAnsi="Times New Roman" w:cs="Times New Roman"/>
            <w:color w:val="000000" w:themeColor="text1"/>
          </w:rPr>
          <w:t>https://doi.org/10.1126/science.1233774</w:t>
        </w:r>
      </w:hyperlink>
      <w:r w:rsidRPr="002D75B0">
        <w:rPr>
          <w:rFonts w:ascii="Times New Roman" w:hAnsi="Times New Roman" w:cs="Times New Roman"/>
          <w:color w:val="000000" w:themeColor="text1"/>
        </w:rPr>
        <w:t xml:space="preserve"> </w:t>
      </w:r>
    </w:p>
    <w:p w14:paraId="37F546EB"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 </w:t>
      </w:r>
      <w:r w:rsidRPr="002D75B0">
        <w:rPr>
          <w:rFonts w:ascii="Times New Roman" w:hAnsi="Times New Roman" w:cs="Times New Roman"/>
          <w:color w:val="000000" w:themeColor="text1"/>
          <w:lang w:val="es-EC"/>
        </w:rPr>
        <w:t xml:space="preserve">Galindo-González J, Guevara S, Sosa VJ. </w:t>
      </w:r>
      <w:r w:rsidRPr="002D75B0">
        <w:rPr>
          <w:rFonts w:ascii="Times New Roman" w:hAnsi="Times New Roman" w:cs="Times New Roman"/>
          <w:color w:val="000000" w:themeColor="text1"/>
        </w:rPr>
        <w:t xml:space="preserve">Bat- and Bird-Generated Seed Rains at Isolated Trees in Pastures in a Tropical Rainforest. </w:t>
      </w:r>
      <w:r w:rsidRPr="002D75B0">
        <w:rPr>
          <w:rFonts w:ascii="Times New Roman" w:hAnsi="Times New Roman" w:cs="Times New Roman"/>
          <w:color w:val="000000" w:themeColor="text1"/>
          <w:lang w:val="es-EC"/>
        </w:rPr>
        <w:t>Conservation Biology. 2000 Dec 18;14(6):1693-1703. doi: 10.1111/j.1523-1739.2000.99072.x. PMID: 35701928.</w:t>
      </w:r>
    </w:p>
    <w:p w14:paraId="57AE83DB"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González-Varo, J. P., Arroyo, J. M., &amp; Jordano, P. (2014). </w:t>
      </w:r>
      <w:r w:rsidRPr="002D75B0">
        <w:rPr>
          <w:rFonts w:ascii="Times New Roman" w:hAnsi="Times New Roman" w:cs="Times New Roman"/>
          <w:color w:val="000000" w:themeColor="text1"/>
        </w:rPr>
        <w:t>Who dispersed the seeds? The use of DNA barcoding in frugivory and seed dispersal studies. Methods in Ecology and Evolution, 5(8), 806–814. https://doi.org/10.1111/2041-210X.12212</w:t>
      </w:r>
    </w:p>
    <w:p w14:paraId="5D05444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Garibaldi, L. A., </w:t>
      </w:r>
      <w:proofErr w:type="spellStart"/>
      <w:r w:rsidRPr="002D75B0">
        <w:rPr>
          <w:rFonts w:ascii="Times New Roman" w:hAnsi="Times New Roman" w:cs="Times New Roman"/>
          <w:color w:val="000000" w:themeColor="text1"/>
        </w:rPr>
        <w:t>Bartomeus</w:t>
      </w:r>
      <w:proofErr w:type="spellEnd"/>
      <w:r w:rsidRPr="002D75B0">
        <w:rPr>
          <w:rFonts w:ascii="Times New Roman" w:hAnsi="Times New Roman" w:cs="Times New Roman"/>
          <w:color w:val="000000" w:themeColor="text1"/>
        </w:rPr>
        <w:t xml:space="preserve">, I., </w:t>
      </w:r>
      <w:proofErr w:type="spellStart"/>
      <w:r w:rsidRPr="002D75B0">
        <w:rPr>
          <w:rFonts w:ascii="Times New Roman" w:hAnsi="Times New Roman" w:cs="Times New Roman"/>
          <w:color w:val="000000" w:themeColor="text1"/>
        </w:rPr>
        <w:t>Bommarco</w:t>
      </w:r>
      <w:proofErr w:type="spellEnd"/>
      <w:r w:rsidRPr="002D75B0">
        <w:rPr>
          <w:rFonts w:ascii="Times New Roman" w:hAnsi="Times New Roman" w:cs="Times New Roman"/>
          <w:color w:val="000000" w:themeColor="text1"/>
        </w:rPr>
        <w:t xml:space="preserve">, R., Klein, A. M., Cunningham, S. A., Aizen, M. A., </w:t>
      </w:r>
      <w:proofErr w:type="spellStart"/>
      <w:r w:rsidRPr="002D75B0">
        <w:rPr>
          <w:rFonts w:ascii="Times New Roman" w:hAnsi="Times New Roman" w:cs="Times New Roman"/>
          <w:color w:val="000000" w:themeColor="text1"/>
        </w:rPr>
        <w:t>Boreux</w:t>
      </w:r>
      <w:proofErr w:type="spellEnd"/>
      <w:r w:rsidRPr="002D75B0">
        <w:rPr>
          <w:rFonts w:ascii="Times New Roman" w:hAnsi="Times New Roman" w:cs="Times New Roman"/>
          <w:color w:val="000000" w:themeColor="text1"/>
        </w:rPr>
        <w:t xml:space="preserve">, V., Garratt, M. P. D., Carvalheiro, L. G., Kremen, C., Morales, C. L., </w:t>
      </w:r>
      <w:proofErr w:type="spellStart"/>
      <w:r w:rsidRPr="002D75B0">
        <w:rPr>
          <w:rFonts w:ascii="Times New Roman" w:hAnsi="Times New Roman" w:cs="Times New Roman"/>
          <w:color w:val="000000" w:themeColor="text1"/>
        </w:rPr>
        <w:t>Schüepp</w:t>
      </w:r>
      <w:proofErr w:type="spellEnd"/>
      <w:r w:rsidRPr="002D75B0">
        <w:rPr>
          <w:rFonts w:ascii="Times New Roman" w:hAnsi="Times New Roman" w:cs="Times New Roman"/>
          <w:color w:val="000000" w:themeColor="text1"/>
        </w:rPr>
        <w:t xml:space="preserve">, C., </w:t>
      </w:r>
      <w:proofErr w:type="spellStart"/>
      <w:r w:rsidRPr="002D75B0">
        <w:rPr>
          <w:rFonts w:ascii="Times New Roman" w:hAnsi="Times New Roman" w:cs="Times New Roman"/>
          <w:color w:val="000000" w:themeColor="text1"/>
        </w:rPr>
        <w:t>Chacoff</w:t>
      </w:r>
      <w:proofErr w:type="spellEnd"/>
      <w:r w:rsidRPr="002D75B0">
        <w:rPr>
          <w:rFonts w:ascii="Times New Roman" w:hAnsi="Times New Roman" w:cs="Times New Roman"/>
          <w:color w:val="000000" w:themeColor="text1"/>
        </w:rPr>
        <w:t xml:space="preserve">, N. P., Freitas, B. M., </w:t>
      </w:r>
      <w:proofErr w:type="spellStart"/>
      <w:r w:rsidRPr="002D75B0">
        <w:rPr>
          <w:rFonts w:ascii="Times New Roman" w:hAnsi="Times New Roman" w:cs="Times New Roman"/>
          <w:color w:val="000000" w:themeColor="text1"/>
        </w:rPr>
        <w:t>Gagic</w:t>
      </w:r>
      <w:proofErr w:type="spellEnd"/>
      <w:r w:rsidRPr="002D75B0">
        <w:rPr>
          <w:rFonts w:ascii="Times New Roman" w:hAnsi="Times New Roman" w:cs="Times New Roman"/>
          <w:color w:val="000000" w:themeColor="text1"/>
        </w:rPr>
        <w:t xml:space="preserve">, V., Holzschuh, A., Klatt, B. K., </w:t>
      </w:r>
      <w:proofErr w:type="spellStart"/>
      <w:r w:rsidRPr="002D75B0">
        <w:rPr>
          <w:rFonts w:ascii="Times New Roman" w:hAnsi="Times New Roman" w:cs="Times New Roman"/>
          <w:color w:val="000000" w:themeColor="text1"/>
        </w:rPr>
        <w:t>Krewenka</w:t>
      </w:r>
      <w:proofErr w:type="spellEnd"/>
      <w:r w:rsidRPr="002D75B0">
        <w:rPr>
          <w:rFonts w:ascii="Times New Roman" w:hAnsi="Times New Roman" w:cs="Times New Roman"/>
          <w:color w:val="000000" w:themeColor="text1"/>
        </w:rPr>
        <w:t xml:space="preserve">, K. M., Krishnan, S., </w:t>
      </w:r>
      <w:proofErr w:type="spellStart"/>
      <w:r w:rsidRPr="002D75B0">
        <w:rPr>
          <w:rFonts w:ascii="Times New Roman" w:hAnsi="Times New Roman" w:cs="Times New Roman"/>
          <w:color w:val="000000" w:themeColor="text1"/>
        </w:rPr>
        <w:t>Woyciechowski</w:t>
      </w:r>
      <w:proofErr w:type="spellEnd"/>
      <w:r w:rsidRPr="002D75B0">
        <w:rPr>
          <w:rFonts w:ascii="Times New Roman" w:hAnsi="Times New Roman" w:cs="Times New Roman"/>
          <w:color w:val="000000" w:themeColor="text1"/>
        </w:rPr>
        <w:t xml:space="preserve">, M. (2015). EDITOR’S CHOICE: REVIEW: Trait matching of flower visitors and crops predicts fruit set better than trait diversity. Journal of Applied Ecology, 52(6), 1436–1444. </w:t>
      </w:r>
      <w:hyperlink r:id="rId53">
        <w:r w:rsidRPr="002D75B0">
          <w:rPr>
            <w:rFonts w:ascii="Times New Roman" w:hAnsi="Times New Roman" w:cs="Times New Roman"/>
            <w:color w:val="000000" w:themeColor="text1"/>
          </w:rPr>
          <w:t>https://doi.org/10.1111/1365-2664.12530</w:t>
        </w:r>
      </w:hyperlink>
      <w:r w:rsidRPr="002D75B0">
        <w:rPr>
          <w:rFonts w:ascii="Times New Roman" w:hAnsi="Times New Roman" w:cs="Times New Roman"/>
          <w:color w:val="000000" w:themeColor="text1"/>
        </w:rPr>
        <w:t xml:space="preserve"> </w:t>
      </w:r>
    </w:p>
    <w:p w14:paraId="2E18F17F"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Genes, L., &amp; Dirzo, R. (2022). Restoration of plant-animal interactions in terrestrial ecosystems. Biological Conservation, 265, 109393. </w:t>
      </w:r>
      <w:hyperlink r:id="rId54">
        <w:r w:rsidRPr="002D75B0">
          <w:rPr>
            <w:rFonts w:ascii="Times New Roman" w:hAnsi="Times New Roman" w:cs="Times New Roman"/>
            <w:color w:val="000000" w:themeColor="text1"/>
          </w:rPr>
          <w:t>https://doi.org/10.1016/j.biocon.2021.109393</w:t>
        </w:r>
      </w:hyperlink>
      <w:r w:rsidRPr="002D75B0">
        <w:rPr>
          <w:rFonts w:ascii="Times New Roman" w:hAnsi="Times New Roman" w:cs="Times New Roman"/>
          <w:color w:val="000000" w:themeColor="text1"/>
        </w:rPr>
        <w:t xml:space="preserve"> </w:t>
      </w:r>
    </w:p>
    <w:p w14:paraId="0DF5543B"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Genes, L., et al., 2019. Effects of howler monkey reintroduction on ecological interactions and processes. </w:t>
      </w:r>
      <w:r w:rsidRPr="002D75B0">
        <w:rPr>
          <w:rFonts w:ascii="Times New Roman" w:hAnsi="Times New Roman" w:cs="Times New Roman"/>
          <w:color w:val="000000" w:themeColor="text1"/>
          <w:lang w:val="es-EC"/>
        </w:rPr>
        <w:t>Conserv.Biol. 33, 88–98.</w:t>
      </w:r>
    </w:p>
    <w:p w14:paraId="17AD0CAA"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Gomes, A. M., Anciaes, M., Cestari, C., Hashimoto, S., &amp; Pizo, M. A. (2022). </w:t>
      </w:r>
      <w:r w:rsidRPr="002D75B0">
        <w:rPr>
          <w:rFonts w:ascii="Times New Roman" w:hAnsi="Times New Roman" w:cs="Times New Roman"/>
          <w:color w:val="000000" w:themeColor="text1"/>
        </w:rPr>
        <w:t xml:space="preserve">The degree of frugivory of birds as estimated from gastric and fecal samples. </w:t>
      </w:r>
      <w:proofErr w:type="spellStart"/>
      <w:r w:rsidRPr="002D75B0">
        <w:rPr>
          <w:rFonts w:ascii="Times New Roman" w:hAnsi="Times New Roman" w:cs="Times New Roman"/>
          <w:color w:val="000000" w:themeColor="text1"/>
        </w:rPr>
        <w:t>Ornitologia</w:t>
      </w:r>
      <w:proofErr w:type="spellEnd"/>
      <w:r w:rsidRPr="002D75B0">
        <w:rPr>
          <w:rFonts w:ascii="Times New Roman" w:hAnsi="Times New Roman" w:cs="Times New Roman"/>
          <w:color w:val="000000" w:themeColor="text1"/>
        </w:rPr>
        <w:t xml:space="preserve"> Neotropical, 33, 66–73. </w:t>
      </w:r>
    </w:p>
    <w:p w14:paraId="64CB963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Hagen, M., Kissling, W. D., Rasmussen, C., De Aguiar, M. A. M., Brown, L. E., Carstensen, D. W., Alves-Dos-Santos, I., Dupont, Y. L., Edwards, F. K., </w:t>
      </w:r>
      <w:proofErr w:type="spellStart"/>
      <w:r w:rsidRPr="002D75B0">
        <w:rPr>
          <w:rFonts w:ascii="Times New Roman" w:hAnsi="Times New Roman" w:cs="Times New Roman"/>
          <w:color w:val="000000" w:themeColor="text1"/>
        </w:rPr>
        <w:t>Genini</w:t>
      </w:r>
      <w:proofErr w:type="spellEnd"/>
      <w:r w:rsidRPr="002D75B0">
        <w:rPr>
          <w:rFonts w:ascii="Times New Roman" w:hAnsi="Times New Roman" w:cs="Times New Roman"/>
          <w:color w:val="000000" w:themeColor="text1"/>
        </w:rPr>
        <w:t xml:space="preserve">, J., Guimarães, P. R., Jenkins, G. B., Jordano, P., Kaiser-Bunbury, C. N., Ledger, M. E., Maia, K. P., </w:t>
      </w:r>
      <w:proofErr w:type="spellStart"/>
      <w:r w:rsidRPr="002D75B0">
        <w:rPr>
          <w:rFonts w:ascii="Times New Roman" w:hAnsi="Times New Roman" w:cs="Times New Roman"/>
          <w:color w:val="000000" w:themeColor="text1"/>
        </w:rPr>
        <w:t>Marquitti</w:t>
      </w:r>
      <w:proofErr w:type="spellEnd"/>
      <w:r w:rsidRPr="002D75B0">
        <w:rPr>
          <w:rFonts w:ascii="Times New Roman" w:hAnsi="Times New Roman" w:cs="Times New Roman"/>
          <w:color w:val="000000" w:themeColor="text1"/>
        </w:rPr>
        <w:t xml:space="preserve">, F. M. D., Mclaughlin, Ó., </w:t>
      </w:r>
      <w:proofErr w:type="spellStart"/>
      <w:r w:rsidRPr="002D75B0">
        <w:rPr>
          <w:rFonts w:ascii="Times New Roman" w:hAnsi="Times New Roman" w:cs="Times New Roman"/>
          <w:color w:val="000000" w:themeColor="text1"/>
        </w:rPr>
        <w:t>Morellato</w:t>
      </w:r>
      <w:proofErr w:type="spellEnd"/>
      <w:r w:rsidRPr="002D75B0">
        <w:rPr>
          <w:rFonts w:ascii="Times New Roman" w:hAnsi="Times New Roman" w:cs="Times New Roman"/>
          <w:color w:val="000000" w:themeColor="text1"/>
        </w:rPr>
        <w:t xml:space="preserve">, L. P. C., … Olesen, J. M. (2012). Biodiversity, Species Interactions and Ecological Networks in a Fragmented World. In Advances in Ecological Research (Vol. 46, pp. 89–210). Elsevier. </w:t>
      </w:r>
      <w:hyperlink r:id="rId55">
        <w:r w:rsidRPr="002D75B0">
          <w:rPr>
            <w:rFonts w:ascii="Times New Roman" w:hAnsi="Times New Roman" w:cs="Times New Roman"/>
            <w:color w:val="000000" w:themeColor="text1"/>
          </w:rPr>
          <w:t>https://doi.org/10.1016/B978-0-12-396992-7.00002-2</w:t>
        </w:r>
      </w:hyperlink>
      <w:r w:rsidRPr="002D75B0">
        <w:rPr>
          <w:rFonts w:ascii="Times New Roman" w:hAnsi="Times New Roman" w:cs="Times New Roman"/>
          <w:color w:val="000000" w:themeColor="text1"/>
        </w:rPr>
        <w:t xml:space="preserve"> </w:t>
      </w:r>
    </w:p>
    <w:p w14:paraId="714DDE18"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lastRenderedPageBreak/>
        <w:t xml:space="preserve">Harvey, E., </w:t>
      </w:r>
      <w:proofErr w:type="spellStart"/>
      <w:r w:rsidRPr="002D75B0">
        <w:rPr>
          <w:rFonts w:ascii="Times New Roman" w:hAnsi="Times New Roman" w:cs="Times New Roman"/>
          <w:color w:val="000000" w:themeColor="text1"/>
        </w:rPr>
        <w:t>Gounand</w:t>
      </w:r>
      <w:proofErr w:type="spellEnd"/>
      <w:r w:rsidRPr="002D75B0">
        <w:rPr>
          <w:rFonts w:ascii="Times New Roman" w:hAnsi="Times New Roman" w:cs="Times New Roman"/>
          <w:color w:val="000000" w:themeColor="text1"/>
        </w:rPr>
        <w:t>, I., Ward, C. L., &amp; Altermatt, F. (2017). Bridging ecology and conservation: from ecological networks to ecosystem function. Journal of Applied Ecology, 54(2), 371-379.</w:t>
      </w:r>
    </w:p>
    <w:p w14:paraId="534E2811"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Heleno, R. H., Mendes, F., Coelho, A. P., Ramos, J. A., Palmeirim, J. M., Rainho, A., &amp; de Lima, R. F. (2022). </w:t>
      </w:r>
      <w:r w:rsidRPr="002D75B0">
        <w:rPr>
          <w:rFonts w:ascii="Times New Roman" w:hAnsi="Times New Roman" w:cs="Times New Roman"/>
          <w:color w:val="000000" w:themeColor="text1"/>
        </w:rPr>
        <w:t xml:space="preserve">The upsizing of the Sao Tome seed dispersal network by introduced animals. </w:t>
      </w:r>
      <w:r w:rsidRPr="002D75B0">
        <w:rPr>
          <w:rFonts w:ascii="Times New Roman" w:hAnsi="Times New Roman" w:cs="Times New Roman"/>
          <w:color w:val="000000" w:themeColor="text1"/>
          <w:lang w:val="es-EC"/>
        </w:rPr>
        <w:t xml:space="preserve">OIKOS, 2022(2). </w:t>
      </w:r>
      <w:hyperlink r:id="rId56">
        <w:r w:rsidRPr="002D75B0">
          <w:rPr>
            <w:rFonts w:ascii="Times New Roman" w:hAnsi="Times New Roman" w:cs="Times New Roman"/>
            <w:color w:val="000000" w:themeColor="text1"/>
            <w:lang w:val="es-EC"/>
          </w:rPr>
          <w:t>https://doi.org/10.1111/oik.08279</w:t>
        </w:r>
      </w:hyperlink>
      <w:r w:rsidRPr="002D75B0">
        <w:rPr>
          <w:rFonts w:ascii="Times New Roman" w:hAnsi="Times New Roman" w:cs="Times New Roman"/>
          <w:color w:val="000000" w:themeColor="text1"/>
          <w:lang w:val="es-EC"/>
        </w:rPr>
        <w:t xml:space="preserve"> </w:t>
      </w:r>
    </w:p>
    <w:p w14:paraId="7863FCD9"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Heleno, R. H., Ramos, J. A., &amp; Memmott, J. (2013). </w:t>
      </w:r>
      <w:r w:rsidRPr="002D75B0">
        <w:rPr>
          <w:rFonts w:ascii="Times New Roman" w:hAnsi="Times New Roman" w:cs="Times New Roman"/>
          <w:color w:val="000000" w:themeColor="text1"/>
        </w:rPr>
        <w:t xml:space="preserve">Integration of exotic seeds into an Azorean seed dispersal network. Biological Invasions, 15(5), 1143–1154. </w:t>
      </w:r>
      <w:hyperlink r:id="rId57">
        <w:r w:rsidRPr="002D75B0">
          <w:rPr>
            <w:rFonts w:ascii="Times New Roman" w:hAnsi="Times New Roman" w:cs="Times New Roman"/>
            <w:color w:val="000000" w:themeColor="text1"/>
          </w:rPr>
          <w:t>https://doi.org/10.1007/s10530-012-0357-z</w:t>
        </w:r>
      </w:hyperlink>
      <w:r w:rsidRPr="002D75B0">
        <w:rPr>
          <w:rFonts w:ascii="Times New Roman" w:hAnsi="Times New Roman" w:cs="Times New Roman"/>
          <w:color w:val="000000" w:themeColor="text1"/>
        </w:rPr>
        <w:t xml:space="preserve"> </w:t>
      </w:r>
    </w:p>
    <w:p w14:paraId="2EE8078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Holl, K. D., F. H. Joyce, and J. L. Reid. 2022. Alluring restoration strategies to attract seed-dispersing animals need more rigorous testing. Journal of Applied Ecology 59:649-652.</w:t>
      </w:r>
    </w:p>
    <w:p w14:paraId="1675485E"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Holl, K. D., Reid, J. L., Cole, R. J., Oviedo‐Brenes, F., Rosales, J. A., &amp; Zahawi, R. A. (2020). Applied nucleation facilitates tropical forest recovery: Lessons learned from a 15‐year study. Journal of Applied Ecology, 57(12), 2316–2328. </w:t>
      </w:r>
      <w:hyperlink r:id="rId58">
        <w:r w:rsidRPr="002D75B0">
          <w:rPr>
            <w:rFonts w:ascii="Times New Roman" w:hAnsi="Times New Roman" w:cs="Times New Roman"/>
            <w:color w:val="000000" w:themeColor="text1"/>
          </w:rPr>
          <w:t>https://doi.org/10.1111/1365-2664.13684</w:t>
        </w:r>
      </w:hyperlink>
    </w:p>
    <w:p w14:paraId="2C6609D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Howe, H. F. (2016). Making dispersal syndromes and networks useful in tropical conservation and restoration. Global Ecology and Conservation, 6, 152–178. </w:t>
      </w:r>
      <w:hyperlink r:id="rId59">
        <w:r w:rsidRPr="002D75B0">
          <w:rPr>
            <w:rFonts w:ascii="Times New Roman" w:hAnsi="Times New Roman" w:cs="Times New Roman"/>
            <w:color w:val="000000" w:themeColor="text1"/>
          </w:rPr>
          <w:t>https://doi.org/10.1016/j.gecco.2016.03.002</w:t>
        </w:r>
      </w:hyperlink>
      <w:r w:rsidRPr="002D75B0">
        <w:rPr>
          <w:rFonts w:ascii="Times New Roman" w:hAnsi="Times New Roman" w:cs="Times New Roman"/>
          <w:color w:val="000000" w:themeColor="text1"/>
        </w:rPr>
        <w:t xml:space="preserve"> </w:t>
      </w:r>
    </w:p>
    <w:p w14:paraId="6193CF06"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Howe, H. F., &amp; Smallwood, J. (1982). Ecology of Seed Dispersal. Annual Review of Ecology and Systematics, 13(1), 201–228. </w:t>
      </w:r>
      <w:hyperlink r:id="rId60">
        <w:r w:rsidRPr="002D75B0">
          <w:rPr>
            <w:rFonts w:ascii="Times New Roman" w:hAnsi="Times New Roman" w:cs="Times New Roman"/>
            <w:color w:val="000000" w:themeColor="text1"/>
            <w:lang w:val="es-EC"/>
          </w:rPr>
          <w:t>https://doi.org/10.1146/annurev.es.13.110182.001221</w:t>
        </w:r>
      </w:hyperlink>
      <w:r w:rsidRPr="002D75B0">
        <w:rPr>
          <w:rFonts w:ascii="Times New Roman" w:hAnsi="Times New Roman" w:cs="Times New Roman"/>
          <w:color w:val="000000" w:themeColor="text1"/>
          <w:lang w:val="es-EC"/>
        </w:rPr>
        <w:t xml:space="preserve"> </w:t>
      </w:r>
    </w:p>
    <w:p w14:paraId="7E79FE2E"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Jakovac, C. C., Junqueira, A. B., Crouzeilles, R., Peña‐Claros, M., Mesquita, R. C. G., &amp; Bongers, F. (2021). </w:t>
      </w:r>
      <w:r w:rsidRPr="002D75B0">
        <w:rPr>
          <w:rFonts w:ascii="Times New Roman" w:hAnsi="Times New Roman" w:cs="Times New Roman"/>
          <w:color w:val="000000" w:themeColor="text1"/>
        </w:rPr>
        <w:t>The role of land‐use history in driving successional pathways and its implications for the restoration of tropical forests. Biological Reviews, 96(4), 1114–1134. https://doi.org/10.1111/brv.12694</w:t>
      </w:r>
    </w:p>
    <w:p w14:paraId="29192538"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Jordano, P. (1987). Patterns of Mutualistic Interactions in Pollination and Seed Dispersal: Connectance, Dependence Asymmetries, and Coevolution. The American Naturalist, 129(5), 657–677. </w:t>
      </w:r>
      <w:hyperlink r:id="rId61">
        <w:r w:rsidRPr="002D75B0">
          <w:rPr>
            <w:rFonts w:ascii="Times New Roman" w:hAnsi="Times New Roman" w:cs="Times New Roman"/>
            <w:color w:val="000000" w:themeColor="text1"/>
          </w:rPr>
          <w:t>https://doi.org/10.1086/284665</w:t>
        </w:r>
      </w:hyperlink>
      <w:r w:rsidRPr="002D75B0">
        <w:rPr>
          <w:rFonts w:ascii="Times New Roman" w:hAnsi="Times New Roman" w:cs="Times New Roman"/>
          <w:color w:val="000000" w:themeColor="text1"/>
        </w:rPr>
        <w:t xml:space="preserve"> </w:t>
      </w:r>
    </w:p>
    <w:p w14:paraId="44B5AE9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Jordano, P. (2016). Sampling networks of ecological interactions. Functional Ecology, 30(12), 1883–1893. </w:t>
      </w:r>
      <w:hyperlink r:id="rId62">
        <w:r w:rsidRPr="002D75B0">
          <w:rPr>
            <w:rFonts w:ascii="Times New Roman" w:hAnsi="Times New Roman" w:cs="Times New Roman"/>
            <w:color w:val="000000" w:themeColor="text1"/>
          </w:rPr>
          <w:t>https://doi.org/10.1111/1365-2435.12763</w:t>
        </w:r>
      </w:hyperlink>
      <w:r w:rsidRPr="002D75B0">
        <w:rPr>
          <w:rFonts w:ascii="Times New Roman" w:hAnsi="Times New Roman" w:cs="Times New Roman"/>
          <w:color w:val="000000" w:themeColor="text1"/>
        </w:rPr>
        <w:t xml:space="preserve"> </w:t>
      </w:r>
    </w:p>
    <w:p w14:paraId="08F770C9"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Jordano, P. (2017). What is long-distance dispersal? And a taxonomy of dispersal events. Journal of Ecology, 105(1), 75–84. https://doi-org.utk.idm.oclc.org/10.1111/1365-2745.12690</w:t>
      </w:r>
    </w:p>
    <w:p w14:paraId="17AE7CA7"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lastRenderedPageBreak/>
        <w:t xml:space="preserve">Jordano, P., Bascompte, J., &amp; Olesen, J. (2003). </w:t>
      </w:r>
      <w:r w:rsidRPr="002D75B0">
        <w:rPr>
          <w:rFonts w:ascii="Times New Roman" w:hAnsi="Times New Roman" w:cs="Times New Roman"/>
          <w:color w:val="000000" w:themeColor="text1"/>
        </w:rPr>
        <w:t xml:space="preserve">Invariant properties in coevolutionary networks of plant-animal interactions. Ecology Letters, 6(1), 69–81. </w:t>
      </w:r>
      <w:hyperlink r:id="rId63">
        <w:r w:rsidRPr="002D75B0">
          <w:rPr>
            <w:rFonts w:ascii="Times New Roman" w:hAnsi="Times New Roman" w:cs="Times New Roman"/>
            <w:color w:val="000000" w:themeColor="text1"/>
          </w:rPr>
          <w:t>https://doi.org/10.1046/j.1461-0248.2003.00403.x</w:t>
        </w:r>
      </w:hyperlink>
      <w:r w:rsidRPr="002D75B0">
        <w:rPr>
          <w:rFonts w:ascii="Times New Roman" w:hAnsi="Times New Roman" w:cs="Times New Roman"/>
          <w:color w:val="000000" w:themeColor="text1"/>
        </w:rPr>
        <w:t xml:space="preserve"> </w:t>
      </w:r>
    </w:p>
    <w:p w14:paraId="1BF0DDE6"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Jørgensen, D. (2015). Ecological restoration as objective, target, and tool in international biodiversity policy. Ecology and Society, 20(4), art43. </w:t>
      </w:r>
      <w:hyperlink r:id="rId64">
        <w:r w:rsidRPr="002D75B0">
          <w:rPr>
            <w:rFonts w:ascii="Times New Roman" w:hAnsi="Times New Roman" w:cs="Times New Roman"/>
            <w:color w:val="000000" w:themeColor="text1"/>
          </w:rPr>
          <w:t>https://doi.org/10.5751/ES-08149-200443</w:t>
        </w:r>
      </w:hyperlink>
      <w:r w:rsidRPr="002D75B0">
        <w:rPr>
          <w:rFonts w:ascii="Times New Roman" w:hAnsi="Times New Roman" w:cs="Times New Roman"/>
          <w:color w:val="000000" w:themeColor="text1"/>
        </w:rPr>
        <w:t xml:space="preserve"> </w:t>
      </w:r>
    </w:p>
    <w:p w14:paraId="027D821F"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Karubian, J., Durães, R., </w:t>
      </w:r>
      <w:proofErr w:type="spellStart"/>
      <w:r w:rsidRPr="002D75B0">
        <w:rPr>
          <w:rFonts w:ascii="Times New Roman" w:hAnsi="Times New Roman" w:cs="Times New Roman"/>
          <w:color w:val="000000" w:themeColor="text1"/>
        </w:rPr>
        <w:t>Storey</w:t>
      </w:r>
      <w:proofErr w:type="spellEnd"/>
      <w:r w:rsidRPr="002D75B0">
        <w:rPr>
          <w:rFonts w:ascii="Times New Roman" w:hAnsi="Times New Roman" w:cs="Times New Roman"/>
          <w:color w:val="000000" w:themeColor="text1"/>
        </w:rPr>
        <w:t xml:space="preserve">, J. L., &amp; Smith, T. B. (2012). Mating Behavior Drives Seed Dispersal by the Long‐wattled </w:t>
      </w:r>
      <w:proofErr w:type="gramStart"/>
      <w:r w:rsidRPr="002D75B0">
        <w:rPr>
          <w:rFonts w:ascii="Times New Roman" w:hAnsi="Times New Roman" w:cs="Times New Roman"/>
          <w:color w:val="000000" w:themeColor="text1"/>
        </w:rPr>
        <w:t xml:space="preserve">Umbrellabird  </w:t>
      </w:r>
      <w:proofErr w:type="spellStart"/>
      <w:r w:rsidRPr="002D75B0">
        <w:rPr>
          <w:rFonts w:ascii="Times New Roman" w:hAnsi="Times New Roman" w:cs="Times New Roman"/>
          <w:color w:val="000000" w:themeColor="text1"/>
        </w:rPr>
        <w:t>Cephalopterus</w:t>
      </w:r>
      <w:proofErr w:type="spellEnd"/>
      <w:proofErr w:type="gramEnd"/>
      <w:r w:rsidRPr="002D75B0">
        <w:rPr>
          <w:rFonts w:ascii="Times New Roman" w:hAnsi="Times New Roman" w:cs="Times New Roman"/>
          <w:color w:val="000000" w:themeColor="text1"/>
        </w:rPr>
        <w:t xml:space="preserve"> </w:t>
      </w:r>
      <w:proofErr w:type="spellStart"/>
      <w:r w:rsidRPr="002D75B0">
        <w:rPr>
          <w:rFonts w:ascii="Times New Roman" w:hAnsi="Times New Roman" w:cs="Times New Roman"/>
          <w:color w:val="000000" w:themeColor="text1"/>
        </w:rPr>
        <w:t>penduliger</w:t>
      </w:r>
      <w:proofErr w:type="spellEnd"/>
      <w:r w:rsidRPr="002D75B0">
        <w:rPr>
          <w:rFonts w:ascii="Times New Roman" w:hAnsi="Times New Roman" w:cs="Times New Roman"/>
          <w:color w:val="000000" w:themeColor="text1"/>
        </w:rPr>
        <w:t xml:space="preserve"> . Biotropica, 44(5), 689–698. https://doi.org/10.1111/j.1744-7429.2012.00859.</w:t>
      </w:r>
    </w:p>
    <w:p w14:paraId="23F5904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Lambert, J. E. (2011). Primate seed dispersers as umbrella species: A case study from Kibale National Park, Uganda, with implications for </w:t>
      </w:r>
      <w:proofErr w:type="gramStart"/>
      <w:r w:rsidRPr="002D75B0">
        <w:rPr>
          <w:rFonts w:ascii="Times New Roman" w:hAnsi="Times New Roman" w:cs="Times New Roman"/>
          <w:color w:val="000000" w:themeColor="text1"/>
        </w:rPr>
        <w:t>Afrotropical forest</w:t>
      </w:r>
      <w:proofErr w:type="gramEnd"/>
      <w:r w:rsidRPr="002D75B0">
        <w:rPr>
          <w:rFonts w:ascii="Times New Roman" w:hAnsi="Times New Roman" w:cs="Times New Roman"/>
          <w:color w:val="000000" w:themeColor="text1"/>
        </w:rPr>
        <w:t xml:space="preserve"> conservation. American Journal of Primatology, 73(1), 9–24. </w:t>
      </w:r>
      <w:hyperlink r:id="rId65">
        <w:r w:rsidRPr="002D75B0">
          <w:rPr>
            <w:rFonts w:ascii="Times New Roman" w:hAnsi="Times New Roman" w:cs="Times New Roman"/>
            <w:color w:val="000000" w:themeColor="text1"/>
          </w:rPr>
          <w:t>https://doi.org/10.1002/ajp.20879</w:t>
        </w:r>
      </w:hyperlink>
      <w:r w:rsidRPr="002D75B0">
        <w:rPr>
          <w:rFonts w:ascii="Times New Roman" w:hAnsi="Times New Roman" w:cs="Times New Roman"/>
          <w:color w:val="000000" w:themeColor="text1"/>
        </w:rPr>
        <w:t xml:space="preserve"> </w:t>
      </w:r>
    </w:p>
    <w:p w14:paraId="1EAC529B"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Laurindo, R. de S., </w:t>
      </w:r>
      <w:proofErr w:type="spellStart"/>
      <w:r w:rsidRPr="002D75B0">
        <w:rPr>
          <w:rFonts w:ascii="Times New Roman" w:hAnsi="Times New Roman" w:cs="Times New Roman"/>
          <w:color w:val="000000" w:themeColor="text1"/>
        </w:rPr>
        <w:t>Vizentin-Bugoni</w:t>
      </w:r>
      <w:proofErr w:type="spellEnd"/>
      <w:r w:rsidRPr="002D75B0">
        <w:rPr>
          <w:rFonts w:ascii="Times New Roman" w:hAnsi="Times New Roman" w:cs="Times New Roman"/>
          <w:color w:val="000000" w:themeColor="text1"/>
        </w:rPr>
        <w:t xml:space="preserve">, J., Tavares, D. C., Silva Mancini, M. C., Mello, R. de M., &amp; </w:t>
      </w:r>
      <w:proofErr w:type="spellStart"/>
      <w:r w:rsidRPr="002D75B0">
        <w:rPr>
          <w:rFonts w:ascii="Times New Roman" w:hAnsi="Times New Roman" w:cs="Times New Roman"/>
          <w:color w:val="000000" w:themeColor="text1"/>
        </w:rPr>
        <w:t>Gregorin</w:t>
      </w:r>
      <w:proofErr w:type="spellEnd"/>
      <w:r w:rsidRPr="002D75B0">
        <w:rPr>
          <w:rFonts w:ascii="Times New Roman" w:hAnsi="Times New Roman" w:cs="Times New Roman"/>
          <w:color w:val="000000" w:themeColor="text1"/>
        </w:rPr>
        <w:t xml:space="preserve">, R. (2020). Drivers of bat roles in Neotropical seed dispersal networks: Abundance is more important than functional traits. </w:t>
      </w:r>
      <w:r w:rsidRPr="002D75B0">
        <w:rPr>
          <w:rFonts w:ascii="Times New Roman" w:hAnsi="Times New Roman" w:cs="Times New Roman"/>
          <w:color w:val="000000" w:themeColor="text1"/>
          <w:lang w:val="es-EC"/>
        </w:rPr>
        <w:t>Oecologia, 193(1), 189–198. https://doi.org/10.1007/s00442-020-04662-4</w:t>
      </w:r>
    </w:p>
    <w:p w14:paraId="53E9BCE1"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Likens, G. E., &amp; Lindenmayer, D. B. (2012). </w:t>
      </w:r>
      <w:r w:rsidRPr="002D75B0">
        <w:rPr>
          <w:rFonts w:ascii="Times New Roman" w:hAnsi="Times New Roman" w:cs="Times New Roman"/>
          <w:color w:val="000000" w:themeColor="text1"/>
        </w:rPr>
        <w:t xml:space="preserve">Integrating approaches leads to more effective conservation of biodiversity. Biodiversity and Conservation, 21(13), 3323–3341. </w:t>
      </w:r>
      <w:hyperlink r:id="rId66">
        <w:r w:rsidRPr="002D75B0">
          <w:rPr>
            <w:rFonts w:ascii="Times New Roman" w:hAnsi="Times New Roman" w:cs="Times New Roman"/>
            <w:color w:val="000000" w:themeColor="text1"/>
          </w:rPr>
          <w:t>https://doi.org/10.1007/s10531-012-0364-5</w:t>
        </w:r>
      </w:hyperlink>
      <w:r w:rsidRPr="002D75B0">
        <w:rPr>
          <w:rFonts w:ascii="Times New Roman" w:hAnsi="Times New Roman" w:cs="Times New Roman"/>
          <w:color w:val="000000" w:themeColor="text1"/>
        </w:rPr>
        <w:t xml:space="preserve"> </w:t>
      </w:r>
    </w:p>
    <w:p w14:paraId="48FFE2E6"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Markl, J. S., Schleuning, M., Forget, P. M., Jordano, P., Lambert, J. E., </w:t>
      </w:r>
      <w:proofErr w:type="spellStart"/>
      <w:r w:rsidRPr="002D75B0">
        <w:rPr>
          <w:rFonts w:ascii="Times New Roman" w:hAnsi="Times New Roman" w:cs="Times New Roman"/>
          <w:color w:val="000000" w:themeColor="text1"/>
        </w:rPr>
        <w:t>Traveset</w:t>
      </w:r>
      <w:proofErr w:type="spellEnd"/>
      <w:r w:rsidRPr="002D75B0">
        <w:rPr>
          <w:rFonts w:ascii="Times New Roman" w:hAnsi="Times New Roman" w:cs="Times New Roman"/>
          <w:color w:val="000000" w:themeColor="text1"/>
        </w:rPr>
        <w:t xml:space="preserve">, A., Wright, S. J., &amp; </w:t>
      </w:r>
      <w:proofErr w:type="spellStart"/>
      <w:r w:rsidRPr="002D75B0">
        <w:rPr>
          <w:rFonts w:ascii="Times New Roman" w:hAnsi="Times New Roman" w:cs="Times New Roman"/>
          <w:color w:val="000000" w:themeColor="text1"/>
        </w:rPr>
        <w:t>Böhning‐Gaese</w:t>
      </w:r>
      <w:proofErr w:type="spellEnd"/>
      <w:r w:rsidRPr="002D75B0">
        <w:rPr>
          <w:rFonts w:ascii="Times New Roman" w:hAnsi="Times New Roman" w:cs="Times New Roman"/>
          <w:color w:val="000000" w:themeColor="text1"/>
        </w:rPr>
        <w:t xml:space="preserve">, K. (2012). Meta‐Analysis of the Effects of Human Disturbance on Seed Dispersal by Animals. Conservation Biology, 26(6), 1072–1081. </w:t>
      </w:r>
      <w:hyperlink r:id="rId67">
        <w:r w:rsidRPr="002D75B0">
          <w:rPr>
            <w:rFonts w:ascii="Times New Roman" w:hAnsi="Times New Roman" w:cs="Times New Roman"/>
            <w:color w:val="000000" w:themeColor="text1"/>
          </w:rPr>
          <w:t>https://doi.org/10.1111/j.1523-1739.2012.01927.x</w:t>
        </w:r>
      </w:hyperlink>
      <w:r w:rsidRPr="002D75B0">
        <w:rPr>
          <w:rFonts w:ascii="Times New Roman" w:hAnsi="Times New Roman" w:cs="Times New Roman"/>
          <w:color w:val="000000" w:themeColor="text1"/>
        </w:rPr>
        <w:t xml:space="preserve"> </w:t>
      </w:r>
    </w:p>
    <w:p w14:paraId="1BB05F4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Menezes Pinto, I., Emer, C., </w:t>
      </w:r>
      <w:proofErr w:type="spellStart"/>
      <w:r w:rsidRPr="002D75B0">
        <w:rPr>
          <w:rFonts w:ascii="Times New Roman" w:hAnsi="Times New Roman" w:cs="Times New Roman"/>
          <w:color w:val="000000" w:themeColor="text1"/>
        </w:rPr>
        <w:t>Cazetta</w:t>
      </w:r>
      <w:proofErr w:type="spellEnd"/>
      <w:r w:rsidRPr="002D75B0">
        <w:rPr>
          <w:rFonts w:ascii="Times New Roman" w:hAnsi="Times New Roman" w:cs="Times New Roman"/>
          <w:color w:val="000000" w:themeColor="text1"/>
        </w:rPr>
        <w:t>, E., &amp; Morante-Filho, J. C. (2021). Deforestation Simplifies Understory Bird Seed-Dispersal Networks in Human-Modified Landscapes. Frontiers in Ecology and Evolution, 9. https://doi.org/10.3389/fevo.2021.640210</w:t>
      </w:r>
    </w:p>
    <w:p w14:paraId="58432850"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Messeder</w:t>
      </w:r>
      <w:proofErr w:type="spellEnd"/>
      <w:r w:rsidRPr="002D75B0">
        <w:rPr>
          <w:rFonts w:ascii="Times New Roman" w:hAnsi="Times New Roman" w:cs="Times New Roman"/>
          <w:color w:val="000000" w:themeColor="text1"/>
        </w:rPr>
        <w:t xml:space="preserve">, J. V. S., Guerra, T. J., Dattilo, W., &amp; Silveira, F. A. O. (2020). Searching for keystone plant resources in fruit-frugivore interaction networks across the Neotropics. Biotropica, 52(5), 857–870. </w:t>
      </w:r>
      <w:hyperlink r:id="rId68">
        <w:r w:rsidRPr="002D75B0">
          <w:rPr>
            <w:rFonts w:ascii="Times New Roman" w:hAnsi="Times New Roman" w:cs="Times New Roman"/>
            <w:color w:val="000000" w:themeColor="text1"/>
          </w:rPr>
          <w:t>https://doi.org/10.1111/btp.12804</w:t>
        </w:r>
      </w:hyperlink>
      <w:r w:rsidRPr="002D75B0">
        <w:rPr>
          <w:rFonts w:ascii="Times New Roman" w:hAnsi="Times New Roman" w:cs="Times New Roman"/>
          <w:color w:val="000000" w:themeColor="text1"/>
        </w:rPr>
        <w:t xml:space="preserve"> </w:t>
      </w:r>
    </w:p>
    <w:p w14:paraId="236E6DE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lastRenderedPageBreak/>
        <w:t xml:space="preserve">Mittelman, P., </w:t>
      </w:r>
      <w:proofErr w:type="spellStart"/>
      <w:r w:rsidRPr="002D75B0">
        <w:rPr>
          <w:rFonts w:ascii="Times New Roman" w:hAnsi="Times New Roman" w:cs="Times New Roman"/>
          <w:color w:val="000000" w:themeColor="text1"/>
        </w:rPr>
        <w:t>Dracxler</w:t>
      </w:r>
      <w:proofErr w:type="spellEnd"/>
      <w:r w:rsidRPr="002D75B0">
        <w:rPr>
          <w:rFonts w:ascii="Times New Roman" w:hAnsi="Times New Roman" w:cs="Times New Roman"/>
          <w:color w:val="000000" w:themeColor="text1"/>
        </w:rPr>
        <w:t xml:space="preserve">, C. M., Santos‐Coutinho, P. R. O., &amp; Pires, A. S. (2021). Sowing forests: A synthesis of seed dispersal and predation by agoutis and their influence on plant communities. Biological Reviews, </w:t>
      </w:r>
      <w:r w:rsidRPr="002D75B0">
        <w:rPr>
          <w:rFonts w:ascii="Times New Roman" w:hAnsi="Times New Roman" w:cs="Times New Roman"/>
          <w:i/>
          <w:color w:val="000000" w:themeColor="text1"/>
        </w:rPr>
        <w:t>96</w:t>
      </w:r>
      <w:r w:rsidRPr="002D75B0">
        <w:rPr>
          <w:rFonts w:ascii="Times New Roman" w:hAnsi="Times New Roman" w:cs="Times New Roman"/>
          <w:color w:val="000000" w:themeColor="text1"/>
        </w:rPr>
        <w:t>(6), 2425–2445. https://doi.org/10.1111/brv.12761</w:t>
      </w:r>
    </w:p>
    <w:p w14:paraId="5E7A7BB9"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Mittelman, P., Landim, A. R., Genes, L., Assis, A. P. A., Starling-Manne, C., Leonardo, P. V., Fernandez, F. A. S., Guimaraes, P. R., Jr., &amp; Pires, A. S. (2022). Trophic rewilding benefits a tropical community through direct and indirect network effects. </w:t>
      </w:r>
      <w:proofErr w:type="spellStart"/>
      <w:r w:rsidRPr="002D75B0">
        <w:rPr>
          <w:rFonts w:ascii="Times New Roman" w:hAnsi="Times New Roman" w:cs="Times New Roman"/>
          <w:color w:val="000000" w:themeColor="text1"/>
        </w:rPr>
        <w:t>Ecography</w:t>
      </w:r>
      <w:proofErr w:type="spellEnd"/>
      <w:r w:rsidRPr="002D75B0">
        <w:rPr>
          <w:rFonts w:ascii="Times New Roman" w:hAnsi="Times New Roman" w:cs="Times New Roman"/>
          <w:color w:val="000000" w:themeColor="text1"/>
        </w:rPr>
        <w:t xml:space="preserve">, 2022(4, SI). </w:t>
      </w:r>
      <w:hyperlink r:id="rId69">
        <w:r w:rsidRPr="002D75B0">
          <w:rPr>
            <w:rFonts w:ascii="Times New Roman" w:hAnsi="Times New Roman" w:cs="Times New Roman"/>
            <w:color w:val="000000" w:themeColor="text1"/>
          </w:rPr>
          <w:t>https://doi.org/10.1111/ecog.05838</w:t>
        </w:r>
      </w:hyperlink>
      <w:r w:rsidRPr="002D75B0">
        <w:rPr>
          <w:rFonts w:ascii="Times New Roman" w:hAnsi="Times New Roman" w:cs="Times New Roman"/>
          <w:color w:val="000000" w:themeColor="text1"/>
        </w:rPr>
        <w:t xml:space="preserve"> </w:t>
      </w:r>
    </w:p>
    <w:p w14:paraId="1BE95561"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Montoya, J. M., Pimm, S. L., &amp; Solé, R. V. (2006). Ecological networks and their fragility. </w:t>
      </w:r>
      <w:r w:rsidRPr="002D75B0">
        <w:rPr>
          <w:rFonts w:ascii="Times New Roman" w:hAnsi="Times New Roman" w:cs="Times New Roman"/>
          <w:color w:val="000000" w:themeColor="text1"/>
          <w:lang w:val="es-EC"/>
        </w:rPr>
        <w:t>Nature, 442(7100), 259-264.</w:t>
      </w:r>
    </w:p>
    <w:p w14:paraId="617D36AA"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Moreno-Mateos, D., Alberdi, A., Morriën, E., van der Putten, W. H., Rodríguez-Uña, A., &amp; Montoya, D. (2020). </w:t>
      </w:r>
      <w:r w:rsidRPr="002D75B0">
        <w:rPr>
          <w:rFonts w:ascii="Times New Roman" w:hAnsi="Times New Roman" w:cs="Times New Roman"/>
          <w:color w:val="000000" w:themeColor="text1"/>
        </w:rPr>
        <w:t xml:space="preserve">The long-term restoration of ecosystem complexity. Nature Ecology &amp; Evolution, 4(5), 676–685. </w:t>
      </w:r>
      <w:hyperlink r:id="rId70">
        <w:r w:rsidRPr="002D75B0">
          <w:rPr>
            <w:rFonts w:ascii="Times New Roman" w:hAnsi="Times New Roman" w:cs="Times New Roman"/>
            <w:color w:val="000000" w:themeColor="text1"/>
            <w:lang w:val="es-EC"/>
          </w:rPr>
          <w:t>https://doi.org/10.1038/s41559-020-1154-1</w:t>
        </w:r>
      </w:hyperlink>
      <w:r w:rsidRPr="002D75B0">
        <w:rPr>
          <w:rFonts w:ascii="Times New Roman" w:hAnsi="Times New Roman" w:cs="Times New Roman"/>
          <w:color w:val="000000" w:themeColor="text1"/>
          <w:lang w:val="es-EC"/>
        </w:rPr>
        <w:t xml:space="preserve"> </w:t>
      </w:r>
    </w:p>
    <w:p w14:paraId="1BA6FC17"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Moulatlet, G. M., Dáttilo, W., Villalobos, F. (2023). </w:t>
      </w:r>
      <w:r w:rsidRPr="002D75B0">
        <w:rPr>
          <w:rFonts w:ascii="Times New Roman" w:hAnsi="Times New Roman" w:cs="Times New Roman"/>
          <w:color w:val="000000" w:themeColor="text1"/>
        </w:rPr>
        <w:t xml:space="preserve">Species-level drivers of avian centrality within seed-dispersal networks across different levels of </w:t>
      </w:r>
      <w:proofErr w:type="spellStart"/>
      <w:r w:rsidRPr="002D75B0">
        <w:rPr>
          <w:rFonts w:ascii="Times New Roman" w:hAnsi="Times New Roman" w:cs="Times New Roman"/>
          <w:color w:val="000000" w:themeColor="text1"/>
        </w:rPr>
        <w:t>organisation</w:t>
      </w:r>
      <w:proofErr w:type="spellEnd"/>
      <w:r w:rsidRPr="002D75B0">
        <w:rPr>
          <w:rFonts w:ascii="Times New Roman" w:hAnsi="Times New Roman" w:cs="Times New Roman"/>
          <w:color w:val="000000" w:themeColor="text1"/>
        </w:rPr>
        <w:t>. Journal of Animal Ecology, 92 (11), 2126-2137. https://doi-org.utk.idm.oclc.org/10.1111/1365-2656.13986Citations: 1</w:t>
      </w:r>
    </w:p>
    <w:p w14:paraId="7021BA2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Muscarella R, Fleming TH. The role of frugivorous bats in tropical forest succession. Biol Rev Camb </w:t>
      </w:r>
      <w:proofErr w:type="spellStart"/>
      <w:r w:rsidRPr="002D75B0">
        <w:rPr>
          <w:rFonts w:ascii="Times New Roman" w:hAnsi="Times New Roman" w:cs="Times New Roman"/>
          <w:color w:val="000000" w:themeColor="text1"/>
        </w:rPr>
        <w:t>Philos</w:t>
      </w:r>
      <w:proofErr w:type="spellEnd"/>
      <w:r w:rsidRPr="002D75B0">
        <w:rPr>
          <w:rFonts w:ascii="Times New Roman" w:hAnsi="Times New Roman" w:cs="Times New Roman"/>
          <w:color w:val="000000" w:themeColor="text1"/>
        </w:rPr>
        <w:t xml:space="preserve"> Soc. 2007 Nov;82(4):573-90. </w:t>
      </w:r>
      <w:proofErr w:type="spellStart"/>
      <w:r w:rsidRPr="002D75B0">
        <w:rPr>
          <w:rFonts w:ascii="Times New Roman" w:hAnsi="Times New Roman" w:cs="Times New Roman"/>
          <w:color w:val="000000" w:themeColor="text1"/>
        </w:rPr>
        <w:t>doi</w:t>
      </w:r>
      <w:proofErr w:type="spellEnd"/>
      <w:r w:rsidRPr="002D75B0">
        <w:rPr>
          <w:rFonts w:ascii="Times New Roman" w:hAnsi="Times New Roman" w:cs="Times New Roman"/>
          <w:color w:val="000000" w:themeColor="text1"/>
        </w:rPr>
        <w:t>: 10.1111/j.1469-185X.2007.</w:t>
      </w:r>
      <w:proofErr w:type="gramStart"/>
      <w:r w:rsidRPr="002D75B0">
        <w:rPr>
          <w:rFonts w:ascii="Times New Roman" w:hAnsi="Times New Roman" w:cs="Times New Roman"/>
          <w:color w:val="000000" w:themeColor="text1"/>
        </w:rPr>
        <w:t>00026.x.</w:t>
      </w:r>
      <w:proofErr w:type="gramEnd"/>
      <w:r w:rsidRPr="002D75B0">
        <w:rPr>
          <w:rFonts w:ascii="Times New Roman" w:hAnsi="Times New Roman" w:cs="Times New Roman"/>
          <w:color w:val="000000" w:themeColor="text1"/>
        </w:rPr>
        <w:t xml:space="preserve"> PMID: 17944618</w:t>
      </w:r>
    </w:p>
    <w:p w14:paraId="58EF1BB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Nabhan, G. P., Orlando, L., Smith Monti, L., &amp; Aronson, J. (2020). Hands-On Ecological Restoration as a Nature-Based Health Intervention: Reciprocal Restoration for People and Ecosystems. Ecopsychology, 12(3), 195–202. </w:t>
      </w:r>
      <w:hyperlink r:id="rId71">
        <w:r w:rsidRPr="002D75B0">
          <w:rPr>
            <w:rFonts w:ascii="Times New Roman" w:hAnsi="Times New Roman" w:cs="Times New Roman"/>
            <w:color w:val="000000" w:themeColor="text1"/>
          </w:rPr>
          <w:t>https://doi.org/10.1089/eco.2020.0003</w:t>
        </w:r>
      </w:hyperlink>
      <w:r w:rsidRPr="002D75B0">
        <w:rPr>
          <w:rFonts w:ascii="Times New Roman" w:hAnsi="Times New Roman" w:cs="Times New Roman"/>
          <w:color w:val="000000" w:themeColor="text1"/>
        </w:rPr>
        <w:t xml:space="preserve"> </w:t>
      </w:r>
    </w:p>
    <w:p w14:paraId="6806580C"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Naniwadekar</w:t>
      </w:r>
      <w:proofErr w:type="spellEnd"/>
      <w:r w:rsidRPr="002D75B0">
        <w:rPr>
          <w:rFonts w:ascii="Times New Roman" w:hAnsi="Times New Roman" w:cs="Times New Roman"/>
          <w:color w:val="000000" w:themeColor="text1"/>
        </w:rPr>
        <w:t xml:space="preserve">, R., </w:t>
      </w:r>
      <w:proofErr w:type="spellStart"/>
      <w:r w:rsidRPr="002D75B0">
        <w:rPr>
          <w:rFonts w:ascii="Times New Roman" w:hAnsi="Times New Roman" w:cs="Times New Roman"/>
          <w:color w:val="000000" w:themeColor="text1"/>
        </w:rPr>
        <w:t>Chaplod</w:t>
      </w:r>
      <w:proofErr w:type="spellEnd"/>
      <w:r w:rsidRPr="002D75B0">
        <w:rPr>
          <w:rFonts w:ascii="Times New Roman" w:hAnsi="Times New Roman" w:cs="Times New Roman"/>
          <w:color w:val="000000" w:themeColor="text1"/>
        </w:rPr>
        <w:t xml:space="preserve">, S., Datta, A., Rathore, A., &amp; Sridhar, H. (2019). Large frugivores matter: Insights from network and seed dispersal effectiveness approaches. Journal of Animal Ecology, 88(8), 1250–1262. </w:t>
      </w:r>
      <w:hyperlink r:id="rId72">
        <w:r w:rsidRPr="002D75B0">
          <w:rPr>
            <w:rFonts w:ascii="Times New Roman" w:hAnsi="Times New Roman" w:cs="Times New Roman"/>
            <w:color w:val="000000" w:themeColor="text1"/>
          </w:rPr>
          <w:t>https://doi.org/10.1111/1365-2656.13005</w:t>
        </w:r>
      </w:hyperlink>
      <w:r w:rsidRPr="002D75B0">
        <w:rPr>
          <w:rFonts w:ascii="Times New Roman" w:hAnsi="Times New Roman" w:cs="Times New Roman"/>
          <w:color w:val="000000" w:themeColor="text1"/>
        </w:rPr>
        <w:t xml:space="preserve"> </w:t>
      </w:r>
    </w:p>
    <w:p w14:paraId="566CC323"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Neuschulz, E. L., Mueller, T., Schleuning, M., &amp; </w:t>
      </w:r>
      <w:proofErr w:type="spellStart"/>
      <w:r w:rsidRPr="002D75B0">
        <w:rPr>
          <w:rFonts w:ascii="Times New Roman" w:hAnsi="Times New Roman" w:cs="Times New Roman"/>
          <w:color w:val="000000" w:themeColor="text1"/>
        </w:rPr>
        <w:t>Böhning-Gaese</w:t>
      </w:r>
      <w:proofErr w:type="spellEnd"/>
      <w:r w:rsidRPr="002D75B0">
        <w:rPr>
          <w:rFonts w:ascii="Times New Roman" w:hAnsi="Times New Roman" w:cs="Times New Roman"/>
          <w:color w:val="000000" w:themeColor="text1"/>
        </w:rPr>
        <w:t xml:space="preserve">, K. (2016). Pollination and seed dispersal are the most threatened processes of plant regeneration. Scientific Reports, 6(1), 29839. </w:t>
      </w:r>
      <w:hyperlink r:id="rId73">
        <w:r w:rsidRPr="002D75B0">
          <w:rPr>
            <w:rFonts w:ascii="Times New Roman" w:hAnsi="Times New Roman" w:cs="Times New Roman"/>
            <w:color w:val="000000" w:themeColor="text1"/>
          </w:rPr>
          <w:t>https://doi.org/10.1038/srep29839</w:t>
        </w:r>
      </w:hyperlink>
      <w:r w:rsidRPr="002D75B0">
        <w:rPr>
          <w:rFonts w:ascii="Times New Roman" w:hAnsi="Times New Roman" w:cs="Times New Roman"/>
          <w:color w:val="000000" w:themeColor="text1"/>
        </w:rPr>
        <w:t xml:space="preserve"> </w:t>
      </w:r>
    </w:p>
    <w:p w14:paraId="2586FC7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Newman, M. E. J. (2006). Modularity and community structure in networks. Proceedings of the National Academy of Sciences, 103(23), 8577–8582. </w:t>
      </w:r>
      <w:hyperlink r:id="rId74">
        <w:r w:rsidRPr="002D75B0">
          <w:rPr>
            <w:rFonts w:ascii="Times New Roman" w:hAnsi="Times New Roman" w:cs="Times New Roman"/>
            <w:color w:val="000000" w:themeColor="text1"/>
          </w:rPr>
          <w:t>https://doi.org/10.1073/pnas.0601602103</w:t>
        </w:r>
      </w:hyperlink>
      <w:r w:rsidRPr="002D75B0">
        <w:rPr>
          <w:rFonts w:ascii="Times New Roman" w:hAnsi="Times New Roman" w:cs="Times New Roman"/>
          <w:color w:val="000000" w:themeColor="text1"/>
        </w:rPr>
        <w:t xml:space="preserve"> </w:t>
      </w:r>
    </w:p>
    <w:p w14:paraId="468F5603"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lastRenderedPageBreak/>
        <w:t xml:space="preserve">Ohkawara, K., Kimura, K., &amp; Satoh, F. (2022). </w:t>
      </w:r>
      <w:r w:rsidRPr="002D75B0">
        <w:rPr>
          <w:rFonts w:ascii="Times New Roman" w:hAnsi="Times New Roman" w:cs="Times New Roman"/>
          <w:color w:val="000000" w:themeColor="text1"/>
        </w:rPr>
        <w:t xml:space="preserve">Long-term dynamics of the network structures in seed dispersal associated with fluctuations in bird migration and fruit abundance patterns. </w:t>
      </w:r>
      <w:r w:rsidRPr="002D75B0">
        <w:rPr>
          <w:rFonts w:ascii="Times New Roman" w:hAnsi="Times New Roman" w:cs="Times New Roman"/>
          <w:color w:val="000000" w:themeColor="text1"/>
          <w:lang w:val="es-EC"/>
        </w:rPr>
        <w:t xml:space="preserve">Oecologia, 198(2), 457–470. </w:t>
      </w:r>
      <w:hyperlink r:id="rId75">
        <w:r w:rsidRPr="002D75B0">
          <w:rPr>
            <w:rFonts w:ascii="Times New Roman" w:hAnsi="Times New Roman" w:cs="Times New Roman"/>
            <w:color w:val="000000" w:themeColor="text1"/>
            <w:lang w:val="es-EC"/>
          </w:rPr>
          <w:t>https://doi.org/10.1007/s00442-021-05102-7</w:t>
        </w:r>
      </w:hyperlink>
      <w:r w:rsidRPr="002D75B0">
        <w:rPr>
          <w:rFonts w:ascii="Times New Roman" w:hAnsi="Times New Roman" w:cs="Times New Roman"/>
          <w:color w:val="000000" w:themeColor="text1"/>
          <w:lang w:val="es-EC"/>
        </w:rPr>
        <w:t xml:space="preserve"> </w:t>
      </w:r>
    </w:p>
    <w:p w14:paraId="03E39E9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Okuyama, T., &amp; Holland, J. N. (2008). </w:t>
      </w:r>
      <w:r w:rsidRPr="002D75B0">
        <w:rPr>
          <w:rFonts w:ascii="Times New Roman" w:hAnsi="Times New Roman" w:cs="Times New Roman"/>
          <w:color w:val="000000" w:themeColor="text1"/>
        </w:rPr>
        <w:t>Network structural properties mediate the stability of mutualistic communities. Ecology letters, 11(3), 208-216.</w:t>
      </w:r>
    </w:p>
    <w:p w14:paraId="4E46BC40"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Oldham, S., Fulcher, B., Parkes, L., </w:t>
      </w:r>
      <w:proofErr w:type="spellStart"/>
      <w:r w:rsidRPr="002D75B0">
        <w:rPr>
          <w:rFonts w:ascii="Times New Roman" w:hAnsi="Times New Roman" w:cs="Times New Roman"/>
          <w:color w:val="000000" w:themeColor="text1"/>
        </w:rPr>
        <w:t>Arnatkevic̆iūtė</w:t>
      </w:r>
      <w:proofErr w:type="spellEnd"/>
      <w:r w:rsidRPr="002D75B0">
        <w:rPr>
          <w:rFonts w:ascii="Times New Roman" w:hAnsi="Times New Roman" w:cs="Times New Roman"/>
          <w:color w:val="000000" w:themeColor="text1"/>
        </w:rPr>
        <w:t xml:space="preserve">, A., Suo, C., &amp; </w:t>
      </w:r>
      <w:proofErr w:type="spellStart"/>
      <w:r w:rsidRPr="002D75B0">
        <w:rPr>
          <w:rFonts w:ascii="Times New Roman" w:hAnsi="Times New Roman" w:cs="Times New Roman"/>
          <w:color w:val="000000" w:themeColor="text1"/>
        </w:rPr>
        <w:t>Fornito</w:t>
      </w:r>
      <w:proofErr w:type="spellEnd"/>
      <w:r w:rsidRPr="002D75B0">
        <w:rPr>
          <w:rFonts w:ascii="Times New Roman" w:hAnsi="Times New Roman" w:cs="Times New Roman"/>
          <w:color w:val="000000" w:themeColor="text1"/>
        </w:rPr>
        <w:t xml:space="preserve">, A. (2019). Consistency and differences between centrality measures across distinct classes of networks. </w:t>
      </w:r>
      <w:r w:rsidRPr="002D75B0">
        <w:rPr>
          <w:rFonts w:ascii="Times New Roman" w:hAnsi="Times New Roman" w:cs="Times New Roman"/>
          <w:color w:val="000000" w:themeColor="text1"/>
          <w:lang w:val="es-EC"/>
        </w:rPr>
        <w:t>PLoS ONE, 14(7), e0220061. https://doi-org.utk.idm.oclc.org/10.1371/journal.pone.0220</w:t>
      </w:r>
    </w:p>
    <w:p w14:paraId="0AB0B719" w14:textId="77777777" w:rsidR="00860547" w:rsidRPr="002D75B0" w:rsidRDefault="00860547" w:rsidP="002D75B0">
      <w:pPr>
        <w:spacing w:before="0" w:after="0"/>
        <w:ind w:left="720" w:hanging="720"/>
        <w:rPr>
          <w:rFonts w:ascii="Times New Roman" w:hAnsi="Times New Roman" w:cs="Times New Roman"/>
          <w:color w:val="000000" w:themeColor="text1"/>
          <w:highlight w:val="white"/>
        </w:rPr>
      </w:pPr>
      <w:r w:rsidRPr="002D75B0">
        <w:rPr>
          <w:rFonts w:ascii="Times New Roman" w:hAnsi="Times New Roman" w:cs="Times New Roman"/>
          <w:color w:val="000000" w:themeColor="text1"/>
          <w:highlight w:val="white"/>
        </w:rPr>
        <w:t>Olesen, J.M. &amp; Jordano, P. (2002) Geographic patterns in plant–pollinator mutualistic networks. Ecology, 83, 2416–2424. https://doi-org.utk.idm.oclc.org/10.1890/0012-9658(2002)083</w:t>
      </w:r>
    </w:p>
    <w:p w14:paraId="386CF76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Ong, L., McConkey, K. R., &amp; Campos-</w:t>
      </w:r>
      <w:proofErr w:type="spellStart"/>
      <w:r w:rsidRPr="002D75B0">
        <w:rPr>
          <w:rFonts w:ascii="Times New Roman" w:hAnsi="Times New Roman" w:cs="Times New Roman"/>
          <w:color w:val="000000" w:themeColor="text1"/>
        </w:rPr>
        <w:t>Arceiz</w:t>
      </w:r>
      <w:proofErr w:type="spellEnd"/>
      <w:r w:rsidRPr="002D75B0">
        <w:rPr>
          <w:rFonts w:ascii="Times New Roman" w:hAnsi="Times New Roman" w:cs="Times New Roman"/>
          <w:color w:val="000000" w:themeColor="text1"/>
        </w:rPr>
        <w:t xml:space="preserve">, A. (2022). The ability to disperse large seeds, rather than body mass alone, defines the importance of animals in a hyper-diverse seed dispersal network. Journal of Ecology, 110(2), 313–326. </w:t>
      </w:r>
      <w:hyperlink r:id="rId76">
        <w:r w:rsidRPr="002D75B0">
          <w:rPr>
            <w:rFonts w:ascii="Times New Roman" w:hAnsi="Times New Roman" w:cs="Times New Roman"/>
            <w:color w:val="000000" w:themeColor="text1"/>
          </w:rPr>
          <w:t>https://doi.org/10.1111/1365-2745.13809</w:t>
        </w:r>
      </w:hyperlink>
      <w:r w:rsidRPr="002D75B0">
        <w:rPr>
          <w:rFonts w:ascii="Times New Roman" w:hAnsi="Times New Roman" w:cs="Times New Roman"/>
          <w:color w:val="000000" w:themeColor="text1"/>
        </w:rPr>
        <w:t xml:space="preserve"> </w:t>
      </w:r>
    </w:p>
    <w:p w14:paraId="475AE7AE"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Palacio, F. X., Girini, J. M., &amp; </w:t>
      </w:r>
      <w:proofErr w:type="spellStart"/>
      <w:r w:rsidRPr="002D75B0">
        <w:rPr>
          <w:rFonts w:ascii="Times New Roman" w:hAnsi="Times New Roman" w:cs="Times New Roman"/>
          <w:color w:val="000000" w:themeColor="text1"/>
        </w:rPr>
        <w:t>Ordano</w:t>
      </w:r>
      <w:proofErr w:type="spellEnd"/>
      <w:r w:rsidRPr="002D75B0">
        <w:rPr>
          <w:rFonts w:ascii="Times New Roman" w:hAnsi="Times New Roman" w:cs="Times New Roman"/>
          <w:color w:val="000000" w:themeColor="text1"/>
        </w:rPr>
        <w:t xml:space="preserve">, M. (2016). Linking the hierarchical decision-making process of fruit choice and the phenotypic selection strength on fruit traits by birds. Journal of Plant Ecology, 063. </w:t>
      </w:r>
      <w:hyperlink r:id="rId77">
        <w:r w:rsidRPr="002D75B0">
          <w:rPr>
            <w:rFonts w:ascii="Times New Roman" w:hAnsi="Times New Roman" w:cs="Times New Roman"/>
            <w:color w:val="000000" w:themeColor="text1"/>
          </w:rPr>
          <w:t>https://doi.org/10.1093/jpe/rtw063</w:t>
        </w:r>
      </w:hyperlink>
      <w:r w:rsidRPr="002D75B0">
        <w:rPr>
          <w:rFonts w:ascii="Times New Roman" w:hAnsi="Times New Roman" w:cs="Times New Roman"/>
          <w:color w:val="000000" w:themeColor="text1"/>
        </w:rPr>
        <w:t xml:space="preserve"> </w:t>
      </w:r>
    </w:p>
    <w:p w14:paraId="0576D4D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Peters, V. E., T. A. Carlo, M. A. R. Mello, R. A. Rice, D. W. Tallamy, S. A. Caudill, and T. H. Fleming. 2016. Using Plant–Animal Interactions to Inform Tree Selection in Tree-Based Agroecosystems for Enhanced Biodiversity. Bioscience 66:1046-1056</w:t>
      </w:r>
    </w:p>
    <w:p w14:paraId="3ACFA1F5"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Pizo</w:t>
      </w:r>
      <w:proofErr w:type="spellEnd"/>
      <w:r w:rsidRPr="002D75B0">
        <w:rPr>
          <w:rFonts w:ascii="Times New Roman" w:hAnsi="Times New Roman" w:cs="Times New Roman"/>
          <w:color w:val="000000" w:themeColor="text1"/>
        </w:rPr>
        <w:t xml:space="preserve">, M. A., &amp; Camargo, P. H. S. A. (2018). Temporal dynamics in the effectiveness of seed dispersal by birds visiting a tropical tree. Journal of Tropical Ecology, 34(4), 235–242. </w:t>
      </w:r>
      <w:hyperlink r:id="rId78">
        <w:r w:rsidRPr="002D75B0">
          <w:rPr>
            <w:rFonts w:ascii="Times New Roman" w:hAnsi="Times New Roman" w:cs="Times New Roman"/>
            <w:color w:val="000000" w:themeColor="text1"/>
          </w:rPr>
          <w:t>https://doi.org/10.1017/S0266467418000226</w:t>
        </w:r>
      </w:hyperlink>
      <w:r w:rsidRPr="002D75B0">
        <w:rPr>
          <w:rFonts w:ascii="Times New Roman" w:hAnsi="Times New Roman" w:cs="Times New Roman"/>
          <w:color w:val="000000" w:themeColor="text1"/>
        </w:rPr>
        <w:t xml:space="preserve"> </w:t>
      </w:r>
    </w:p>
    <w:p w14:paraId="4A84FEC8"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Pocock, M. J. O., Evans, D. M., &amp; Memmott, J. (2012). The Robustness and Restoration of a Network of Ecological Networks. </w:t>
      </w:r>
      <w:r w:rsidRPr="002D75B0">
        <w:rPr>
          <w:rFonts w:ascii="Times New Roman" w:hAnsi="Times New Roman" w:cs="Times New Roman"/>
          <w:color w:val="000000" w:themeColor="text1"/>
          <w:lang w:val="es-EC"/>
        </w:rPr>
        <w:t xml:space="preserve">Science, 335(6071), 973–977. </w:t>
      </w:r>
      <w:hyperlink r:id="rId79">
        <w:r w:rsidRPr="002D75B0">
          <w:rPr>
            <w:rFonts w:ascii="Times New Roman" w:hAnsi="Times New Roman" w:cs="Times New Roman"/>
            <w:color w:val="000000" w:themeColor="text1"/>
            <w:lang w:val="es-EC"/>
          </w:rPr>
          <w:t>https://doi.org/10.1126/science.1214915</w:t>
        </w:r>
      </w:hyperlink>
      <w:r w:rsidRPr="002D75B0">
        <w:rPr>
          <w:rFonts w:ascii="Times New Roman" w:hAnsi="Times New Roman" w:cs="Times New Roman"/>
          <w:color w:val="000000" w:themeColor="text1"/>
          <w:lang w:val="es-EC"/>
        </w:rPr>
        <w:t xml:space="preserve"> </w:t>
      </w:r>
    </w:p>
    <w:p w14:paraId="6B2F232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Quintero, E., Isla, J., &amp; Jordano, P. (2022). </w:t>
      </w:r>
      <w:r w:rsidRPr="002D75B0">
        <w:rPr>
          <w:rFonts w:ascii="Times New Roman" w:hAnsi="Times New Roman" w:cs="Times New Roman"/>
          <w:color w:val="000000" w:themeColor="text1"/>
        </w:rPr>
        <w:t xml:space="preserve">Methodological overview and data‐merging approaches in the study of plant–frugivore interactions. Oikos, 2022(2), oik.08379. </w:t>
      </w:r>
      <w:hyperlink r:id="rId80">
        <w:r w:rsidRPr="002D75B0">
          <w:rPr>
            <w:rFonts w:ascii="Times New Roman" w:hAnsi="Times New Roman" w:cs="Times New Roman"/>
            <w:color w:val="000000" w:themeColor="text1"/>
          </w:rPr>
          <w:t>https://doi.org/10.1111/oik.08379</w:t>
        </w:r>
      </w:hyperlink>
      <w:r w:rsidRPr="002D75B0">
        <w:rPr>
          <w:rFonts w:ascii="Times New Roman" w:hAnsi="Times New Roman" w:cs="Times New Roman"/>
          <w:color w:val="000000" w:themeColor="text1"/>
        </w:rPr>
        <w:t xml:space="preserve"> </w:t>
      </w:r>
    </w:p>
    <w:p w14:paraId="0A63BF73"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lastRenderedPageBreak/>
        <w:t>Quitian, M., Santillan, V., Ivan Espinosa, C., Homeier, J., Boehning-</w:t>
      </w:r>
      <w:proofErr w:type="spellStart"/>
      <w:r w:rsidRPr="002D75B0">
        <w:rPr>
          <w:rFonts w:ascii="Times New Roman" w:hAnsi="Times New Roman" w:cs="Times New Roman"/>
          <w:color w:val="000000" w:themeColor="text1"/>
        </w:rPr>
        <w:t>Gaese</w:t>
      </w:r>
      <w:proofErr w:type="spellEnd"/>
      <w:r w:rsidRPr="002D75B0">
        <w:rPr>
          <w:rFonts w:ascii="Times New Roman" w:hAnsi="Times New Roman" w:cs="Times New Roman"/>
          <w:color w:val="000000" w:themeColor="text1"/>
        </w:rPr>
        <w:t xml:space="preserve">, K., Schleuning, M., &amp; Neuschulz, E. L. (2018). Elevation-dependent effects of forest fragmentation on plant-bird interaction networks in the tropical Andes. </w:t>
      </w:r>
      <w:proofErr w:type="spellStart"/>
      <w:r w:rsidRPr="002D75B0">
        <w:rPr>
          <w:rFonts w:ascii="Times New Roman" w:hAnsi="Times New Roman" w:cs="Times New Roman"/>
          <w:color w:val="000000" w:themeColor="text1"/>
        </w:rPr>
        <w:t>Ecography</w:t>
      </w:r>
      <w:proofErr w:type="spellEnd"/>
      <w:r w:rsidRPr="002D75B0">
        <w:rPr>
          <w:rFonts w:ascii="Times New Roman" w:hAnsi="Times New Roman" w:cs="Times New Roman"/>
          <w:color w:val="000000" w:themeColor="text1"/>
        </w:rPr>
        <w:t xml:space="preserve">, 41(9), 1497–1506. </w:t>
      </w:r>
      <w:hyperlink r:id="rId81">
        <w:r w:rsidRPr="002D75B0">
          <w:rPr>
            <w:rFonts w:ascii="Times New Roman" w:hAnsi="Times New Roman" w:cs="Times New Roman"/>
            <w:color w:val="000000" w:themeColor="text1"/>
          </w:rPr>
          <w:t>https://doi.org/10.1111/ecog.03247</w:t>
        </w:r>
      </w:hyperlink>
      <w:r w:rsidRPr="002D75B0">
        <w:rPr>
          <w:rFonts w:ascii="Times New Roman" w:hAnsi="Times New Roman" w:cs="Times New Roman"/>
          <w:color w:val="000000" w:themeColor="text1"/>
        </w:rPr>
        <w:t xml:space="preserve"> </w:t>
      </w:r>
    </w:p>
    <w:p w14:paraId="2FB4481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Raimundo, R. L., Guimarães, P. R., &amp; Evans, D. M. (2018). Adaptive networks for restoration ecology. Trends in Ecology &amp; Evolution, 33(9), 664-675.</w:t>
      </w:r>
    </w:p>
    <w:p w14:paraId="323D6AE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Ramos-Robles, M., </w:t>
      </w:r>
      <w:proofErr w:type="spellStart"/>
      <w:r w:rsidRPr="002D75B0">
        <w:rPr>
          <w:rFonts w:ascii="Times New Roman" w:hAnsi="Times New Roman" w:cs="Times New Roman"/>
          <w:color w:val="000000" w:themeColor="text1"/>
        </w:rPr>
        <w:t>Dáttilo</w:t>
      </w:r>
      <w:proofErr w:type="spellEnd"/>
      <w:r w:rsidRPr="002D75B0">
        <w:rPr>
          <w:rFonts w:ascii="Times New Roman" w:hAnsi="Times New Roman" w:cs="Times New Roman"/>
          <w:color w:val="000000" w:themeColor="text1"/>
        </w:rPr>
        <w:t>, W., Díaz-</w:t>
      </w:r>
      <w:proofErr w:type="spellStart"/>
      <w:r w:rsidRPr="002D75B0">
        <w:rPr>
          <w:rFonts w:ascii="Times New Roman" w:hAnsi="Times New Roman" w:cs="Times New Roman"/>
          <w:color w:val="000000" w:themeColor="text1"/>
        </w:rPr>
        <w:t>Castelazo</w:t>
      </w:r>
      <w:proofErr w:type="spellEnd"/>
      <w:r w:rsidRPr="002D75B0">
        <w:rPr>
          <w:rFonts w:ascii="Times New Roman" w:hAnsi="Times New Roman" w:cs="Times New Roman"/>
          <w:color w:val="000000" w:themeColor="text1"/>
        </w:rPr>
        <w:t xml:space="preserve">, C., &amp; Andresen, E. (2018). Fruit traits and temporal abundance shape plant-frugivore interaction networks in a seasonal tropical forest. The Science of Nature, 105(3–4), 29. </w:t>
      </w:r>
      <w:hyperlink r:id="rId82">
        <w:r w:rsidRPr="002D75B0">
          <w:rPr>
            <w:rFonts w:ascii="Times New Roman" w:hAnsi="Times New Roman" w:cs="Times New Roman"/>
            <w:color w:val="000000" w:themeColor="text1"/>
          </w:rPr>
          <w:t>https://doi.org/10.1007/s00114-018-1556-y</w:t>
        </w:r>
      </w:hyperlink>
      <w:r w:rsidRPr="002D75B0">
        <w:rPr>
          <w:rFonts w:ascii="Times New Roman" w:hAnsi="Times New Roman" w:cs="Times New Roman"/>
          <w:color w:val="000000" w:themeColor="text1"/>
        </w:rPr>
        <w:t xml:space="preserve"> </w:t>
      </w:r>
    </w:p>
    <w:p w14:paraId="7939DDC7"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Raoelinjanakolona</w:t>
      </w:r>
      <w:proofErr w:type="spellEnd"/>
      <w:r w:rsidRPr="002D75B0">
        <w:rPr>
          <w:rFonts w:ascii="Times New Roman" w:hAnsi="Times New Roman" w:cs="Times New Roman"/>
          <w:color w:val="000000" w:themeColor="text1"/>
        </w:rPr>
        <w:t xml:space="preserve">, N. N., </w:t>
      </w:r>
      <w:proofErr w:type="spellStart"/>
      <w:r w:rsidRPr="002D75B0">
        <w:rPr>
          <w:rFonts w:ascii="Times New Roman" w:hAnsi="Times New Roman" w:cs="Times New Roman"/>
          <w:color w:val="000000" w:themeColor="text1"/>
        </w:rPr>
        <w:t>Ramananjato</w:t>
      </w:r>
      <w:proofErr w:type="spellEnd"/>
      <w:r w:rsidRPr="002D75B0">
        <w:rPr>
          <w:rFonts w:ascii="Times New Roman" w:hAnsi="Times New Roman" w:cs="Times New Roman"/>
          <w:color w:val="000000" w:themeColor="text1"/>
        </w:rPr>
        <w:t xml:space="preserve">, V., </w:t>
      </w:r>
      <w:proofErr w:type="spellStart"/>
      <w:r w:rsidRPr="002D75B0">
        <w:rPr>
          <w:rFonts w:ascii="Times New Roman" w:hAnsi="Times New Roman" w:cs="Times New Roman"/>
          <w:color w:val="000000" w:themeColor="text1"/>
        </w:rPr>
        <w:t>Andrianarimisa</w:t>
      </w:r>
      <w:proofErr w:type="spellEnd"/>
      <w:r w:rsidRPr="002D75B0">
        <w:rPr>
          <w:rFonts w:ascii="Times New Roman" w:hAnsi="Times New Roman" w:cs="Times New Roman"/>
          <w:color w:val="000000" w:themeColor="text1"/>
        </w:rPr>
        <w:t xml:space="preserve">, A., </w:t>
      </w:r>
      <w:proofErr w:type="spellStart"/>
      <w:r w:rsidRPr="002D75B0">
        <w:rPr>
          <w:rFonts w:ascii="Times New Roman" w:hAnsi="Times New Roman" w:cs="Times New Roman"/>
          <w:color w:val="000000" w:themeColor="text1"/>
        </w:rPr>
        <w:t>Andrianiaina</w:t>
      </w:r>
      <w:proofErr w:type="spellEnd"/>
      <w:r w:rsidRPr="002D75B0">
        <w:rPr>
          <w:rFonts w:ascii="Times New Roman" w:hAnsi="Times New Roman" w:cs="Times New Roman"/>
          <w:color w:val="000000" w:themeColor="text1"/>
        </w:rPr>
        <w:t xml:space="preserve">, A. F., Nantenaina, R. H., &amp; </w:t>
      </w:r>
      <w:proofErr w:type="spellStart"/>
      <w:r w:rsidRPr="002D75B0">
        <w:rPr>
          <w:rFonts w:ascii="Times New Roman" w:hAnsi="Times New Roman" w:cs="Times New Roman"/>
          <w:color w:val="000000" w:themeColor="text1"/>
        </w:rPr>
        <w:t>Razafindratsima</w:t>
      </w:r>
      <w:proofErr w:type="spellEnd"/>
      <w:r w:rsidRPr="002D75B0">
        <w:rPr>
          <w:rFonts w:ascii="Times New Roman" w:hAnsi="Times New Roman" w:cs="Times New Roman"/>
          <w:color w:val="000000" w:themeColor="text1"/>
        </w:rPr>
        <w:t xml:space="preserve">, O. H. (2023). Fragile plant-frugivore interaction networks in tropical forest edges. Biological Conservation, 277. </w:t>
      </w:r>
      <w:hyperlink r:id="rId83">
        <w:r w:rsidRPr="002D75B0">
          <w:rPr>
            <w:rFonts w:ascii="Times New Roman" w:hAnsi="Times New Roman" w:cs="Times New Roman"/>
            <w:color w:val="000000" w:themeColor="text1"/>
          </w:rPr>
          <w:t>https://doi.org/10.1016/j.biocon.2022.109822</w:t>
        </w:r>
      </w:hyperlink>
      <w:r w:rsidRPr="002D75B0">
        <w:rPr>
          <w:rFonts w:ascii="Times New Roman" w:hAnsi="Times New Roman" w:cs="Times New Roman"/>
          <w:color w:val="000000" w:themeColor="text1"/>
        </w:rPr>
        <w:t xml:space="preserve"> </w:t>
      </w:r>
    </w:p>
    <w:p w14:paraId="3BFE034B"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Rehm, E. M., Chojnacki, J., Rogers, H. S., &amp; Savidge, J. A. (2018). Differences among avian frugivores in seed dispersal to degraded habitats. Restoration Ecology, 26(4), 760–766. https://doi.org/10.1111/rec.12623</w:t>
      </w:r>
    </w:p>
    <w:p w14:paraId="1AD13295"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Reid, J. L., Holste, E. K., &amp; Zahawi, R. A. (2013). Artificial bat roosts did not accelerate forest regeneration in abandoned pastures in southern Costa Rica. </w:t>
      </w:r>
      <w:r w:rsidRPr="002D75B0">
        <w:rPr>
          <w:rFonts w:ascii="Times New Roman" w:hAnsi="Times New Roman" w:cs="Times New Roman"/>
          <w:color w:val="000000" w:themeColor="text1"/>
          <w:lang w:val="es-EC"/>
        </w:rPr>
        <w:t xml:space="preserve">Biological Conservation, 167, 9–16. </w:t>
      </w:r>
      <w:hyperlink r:id="rId84">
        <w:r w:rsidRPr="002D75B0">
          <w:rPr>
            <w:rFonts w:ascii="Times New Roman" w:hAnsi="Times New Roman" w:cs="Times New Roman"/>
            <w:color w:val="000000" w:themeColor="text1"/>
            <w:lang w:val="es-EC"/>
          </w:rPr>
          <w:t>https://doi.org/10.1016/j.biocon.2013.06.026</w:t>
        </w:r>
      </w:hyperlink>
      <w:r w:rsidRPr="002D75B0">
        <w:rPr>
          <w:rFonts w:ascii="Times New Roman" w:hAnsi="Times New Roman" w:cs="Times New Roman"/>
          <w:color w:val="000000" w:themeColor="text1"/>
          <w:lang w:val="es-EC"/>
        </w:rPr>
        <w:t xml:space="preserve"> </w:t>
      </w:r>
    </w:p>
    <w:p w14:paraId="668E4BE7"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Ribeiro da Silva, F., Montoya, D., Furtado, R., Memmott, J., Pizo, M. A., &amp; Rodrigues, R. R. (2015). </w:t>
      </w:r>
      <w:r w:rsidRPr="002D75B0">
        <w:rPr>
          <w:rFonts w:ascii="Times New Roman" w:hAnsi="Times New Roman" w:cs="Times New Roman"/>
          <w:color w:val="000000" w:themeColor="text1"/>
        </w:rPr>
        <w:t xml:space="preserve">The restoration of tropical seed dispersal networks: Restoration of tropical seed dispersal networks. </w:t>
      </w:r>
      <w:r w:rsidRPr="002D75B0">
        <w:rPr>
          <w:rFonts w:ascii="Times New Roman" w:hAnsi="Times New Roman" w:cs="Times New Roman"/>
          <w:color w:val="000000" w:themeColor="text1"/>
          <w:lang w:val="es-EC"/>
        </w:rPr>
        <w:t xml:space="preserve">Restoration Ecology, 23(6), 852–860. </w:t>
      </w:r>
      <w:hyperlink r:id="rId85">
        <w:r w:rsidRPr="002D75B0">
          <w:rPr>
            <w:rFonts w:ascii="Times New Roman" w:hAnsi="Times New Roman" w:cs="Times New Roman"/>
            <w:color w:val="000000" w:themeColor="text1"/>
            <w:lang w:val="es-EC"/>
          </w:rPr>
          <w:t>https://doi.org/10.1111/rec.12244</w:t>
        </w:r>
      </w:hyperlink>
      <w:r w:rsidRPr="002D75B0">
        <w:rPr>
          <w:rFonts w:ascii="Times New Roman" w:hAnsi="Times New Roman" w:cs="Times New Roman"/>
          <w:color w:val="000000" w:themeColor="text1"/>
          <w:lang w:val="es-EC"/>
        </w:rPr>
        <w:t xml:space="preserve"> </w:t>
      </w:r>
    </w:p>
    <w:p w14:paraId="7C02CB95"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Riberio da Silva, F. R., Montoya, D., Furtado, R., Memmott, J., Pizo, M. A., &amp; Rodrigues, R. R. (2015). </w:t>
      </w:r>
      <w:r w:rsidRPr="002D75B0">
        <w:rPr>
          <w:rFonts w:ascii="Times New Roman" w:hAnsi="Times New Roman" w:cs="Times New Roman"/>
          <w:color w:val="000000" w:themeColor="text1"/>
        </w:rPr>
        <w:t xml:space="preserve">The restoration of tropical seed dispersal networks. Restoration Ecology, 23(6), 852–860. </w:t>
      </w:r>
      <w:hyperlink r:id="rId86">
        <w:r w:rsidRPr="002D75B0">
          <w:rPr>
            <w:rFonts w:ascii="Times New Roman" w:hAnsi="Times New Roman" w:cs="Times New Roman"/>
            <w:color w:val="000000" w:themeColor="text1"/>
          </w:rPr>
          <w:t>https://doi.org/10.1111/rec.12244</w:t>
        </w:r>
      </w:hyperlink>
      <w:r w:rsidRPr="002D75B0">
        <w:rPr>
          <w:rFonts w:ascii="Times New Roman" w:hAnsi="Times New Roman" w:cs="Times New Roman"/>
          <w:color w:val="000000" w:themeColor="text1"/>
        </w:rPr>
        <w:t xml:space="preserve"> </w:t>
      </w:r>
    </w:p>
    <w:p w14:paraId="12491E33"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Ribeiro Mello, M. A., Rodrigues, F. A., Costa, L. da F., Daniel Kissling, W., Sekercioglu, C. H., Darcie Marquitti, F. M., &amp; Viktoria Kalko, E. K. (2015). </w:t>
      </w:r>
      <w:r w:rsidRPr="002D75B0">
        <w:rPr>
          <w:rFonts w:ascii="Times New Roman" w:hAnsi="Times New Roman" w:cs="Times New Roman"/>
          <w:color w:val="000000" w:themeColor="text1"/>
        </w:rPr>
        <w:t xml:space="preserve">Keystone species in seed dispersal networks are mainly determined by dietary specialization. OIKOS, 124(8), 1031–1039. </w:t>
      </w:r>
      <w:hyperlink r:id="rId87">
        <w:r w:rsidRPr="002D75B0">
          <w:rPr>
            <w:rFonts w:ascii="Times New Roman" w:hAnsi="Times New Roman" w:cs="Times New Roman"/>
            <w:color w:val="000000" w:themeColor="text1"/>
          </w:rPr>
          <w:t>https://doi.org/10.1111/oik.01613</w:t>
        </w:r>
      </w:hyperlink>
      <w:r w:rsidRPr="002D75B0">
        <w:rPr>
          <w:rFonts w:ascii="Times New Roman" w:hAnsi="Times New Roman" w:cs="Times New Roman"/>
          <w:color w:val="000000" w:themeColor="text1"/>
        </w:rPr>
        <w:t xml:space="preserve"> </w:t>
      </w:r>
    </w:p>
    <w:p w14:paraId="1A1842CD"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lastRenderedPageBreak/>
        <w:t>Ripple, W. J., Wolf, C., Newsome, T. M., Hoffmann, M., Wirsing, A. J., &amp; McCauley, D. J. (2017). Extinction risk is most acute for the world’s largest and smallest vertebrates. Proceedings of the National Academy of Sciences, 114(40), 10678–10683. https://doi.org/10.1073/pnas.1702078114</w:t>
      </w:r>
    </w:p>
    <w:p w14:paraId="2FC775C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Ruiz-Jaén, M. C., &amp; Aide, T. M. (2005). Vegetation structure, species diversity, and ecosystem processes as measures of restoration success. Forest Ecology and Management, 218(1-3), 159-173.</w:t>
      </w:r>
    </w:p>
    <w:p w14:paraId="11FD71AA"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Saavedra, F., Hensen, I., Beck, S. G., Boehning-</w:t>
      </w:r>
      <w:proofErr w:type="spellStart"/>
      <w:r w:rsidRPr="002D75B0">
        <w:rPr>
          <w:rFonts w:ascii="Times New Roman" w:hAnsi="Times New Roman" w:cs="Times New Roman"/>
          <w:color w:val="000000" w:themeColor="text1"/>
        </w:rPr>
        <w:t>Gaese</w:t>
      </w:r>
      <w:proofErr w:type="spellEnd"/>
      <w:r w:rsidRPr="002D75B0">
        <w:rPr>
          <w:rFonts w:ascii="Times New Roman" w:hAnsi="Times New Roman" w:cs="Times New Roman"/>
          <w:color w:val="000000" w:themeColor="text1"/>
        </w:rPr>
        <w:t xml:space="preserve">, K., </w:t>
      </w:r>
      <w:proofErr w:type="spellStart"/>
      <w:r w:rsidRPr="002D75B0">
        <w:rPr>
          <w:rFonts w:ascii="Times New Roman" w:hAnsi="Times New Roman" w:cs="Times New Roman"/>
          <w:color w:val="000000" w:themeColor="text1"/>
        </w:rPr>
        <w:t>Lippok</w:t>
      </w:r>
      <w:proofErr w:type="spellEnd"/>
      <w:r w:rsidRPr="002D75B0">
        <w:rPr>
          <w:rFonts w:ascii="Times New Roman" w:hAnsi="Times New Roman" w:cs="Times New Roman"/>
          <w:color w:val="000000" w:themeColor="text1"/>
        </w:rPr>
        <w:t xml:space="preserve">, D., Toepfer, T., &amp; Schleuning, M. (2014). Functional importance of avian seed dispersers changes in response to human-induced forest edges in tropical seed-dispersal networks. </w:t>
      </w:r>
      <w:proofErr w:type="spellStart"/>
      <w:r w:rsidRPr="002D75B0">
        <w:rPr>
          <w:rFonts w:ascii="Times New Roman" w:hAnsi="Times New Roman" w:cs="Times New Roman"/>
          <w:color w:val="000000" w:themeColor="text1"/>
        </w:rPr>
        <w:t>Oecologia</w:t>
      </w:r>
      <w:proofErr w:type="spellEnd"/>
      <w:r w:rsidRPr="002D75B0">
        <w:rPr>
          <w:rFonts w:ascii="Times New Roman" w:hAnsi="Times New Roman" w:cs="Times New Roman"/>
          <w:color w:val="000000" w:themeColor="text1"/>
        </w:rPr>
        <w:t xml:space="preserve">, 176(3), 837–848. </w:t>
      </w:r>
      <w:hyperlink r:id="rId88">
        <w:r w:rsidRPr="002D75B0">
          <w:rPr>
            <w:rFonts w:ascii="Times New Roman" w:hAnsi="Times New Roman" w:cs="Times New Roman"/>
            <w:color w:val="000000" w:themeColor="text1"/>
          </w:rPr>
          <w:t>https://doi.org/10.1007/s00442-014-3056-x</w:t>
        </w:r>
      </w:hyperlink>
      <w:r w:rsidRPr="002D75B0">
        <w:rPr>
          <w:rFonts w:ascii="Times New Roman" w:hAnsi="Times New Roman" w:cs="Times New Roman"/>
          <w:color w:val="000000" w:themeColor="text1"/>
        </w:rPr>
        <w:t xml:space="preserve"> </w:t>
      </w:r>
    </w:p>
    <w:p w14:paraId="42FE4699"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Schlautmann, J., Rehling, F., Albrecht, J., Jaroszewicz, B., Schabo, D. G., &amp; Farwig, N. (2021). Observing frugivores or collecting scats: A method comparison to construct quantitative seed dispersal networks. OIKOS, 130(8), 1359–1369. </w:t>
      </w:r>
      <w:hyperlink r:id="rId89">
        <w:r w:rsidRPr="002D75B0">
          <w:rPr>
            <w:rFonts w:ascii="Times New Roman" w:hAnsi="Times New Roman" w:cs="Times New Roman"/>
            <w:color w:val="000000" w:themeColor="text1"/>
          </w:rPr>
          <w:t>https://doi.org/10.1111/oik.08175</w:t>
        </w:r>
      </w:hyperlink>
      <w:r w:rsidRPr="002D75B0">
        <w:rPr>
          <w:rFonts w:ascii="Times New Roman" w:hAnsi="Times New Roman" w:cs="Times New Roman"/>
          <w:color w:val="000000" w:themeColor="text1"/>
        </w:rPr>
        <w:t xml:space="preserve"> </w:t>
      </w:r>
    </w:p>
    <w:p w14:paraId="2FE72C22"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Schleuning, M., Boehning-</w:t>
      </w:r>
      <w:proofErr w:type="spellStart"/>
      <w:r w:rsidRPr="002D75B0">
        <w:rPr>
          <w:rFonts w:ascii="Times New Roman" w:hAnsi="Times New Roman" w:cs="Times New Roman"/>
          <w:color w:val="000000" w:themeColor="text1"/>
        </w:rPr>
        <w:t>Gaese</w:t>
      </w:r>
      <w:proofErr w:type="spellEnd"/>
      <w:r w:rsidRPr="002D75B0">
        <w:rPr>
          <w:rFonts w:ascii="Times New Roman" w:hAnsi="Times New Roman" w:cs="Times New Roman"/>
          <w:color w:val="000000" w:themeColor="text1"/>
        </w:rPr>
        <w:t xml:space="preserve">, K., </w:t>
      </w:r>
      <w:proofErr w:type="spellStart"/>
      <w:r w:rsidRPr="002D75B0">
        <w:rPr>
          <w:rFonts w:ascii="Times New Roman" w:hAnsi="Times New Roman" w:cs="Times New Roman"/>
          <w:color w:val="000000" w:themeColor="text1"/>
        </w:rPr>
        <w:t>Dehling</w:t>
      </w:r>
      <w:proofErr w:type="spellEnd"/>
      <w:r w:rsidRPr="002D75B0">
        <w:rPr>
          <w:rFonts w:ascii="Times New Roman" w:hAnsi="Times New Roman" w:cs="Times New Roman"/>
          <w:color w:val="000000" w:themeColor="text1"/>
        </w:rPr>
        <w:t xml:space="preserve">, D. M., &amp; Burns, K. C. (2014). At a loss for birds: Insularity increases asymmetry in seed-dispersal networks. Global Ecology and Biogeography, 23(4), 385–394. </w:t>
      </w:r>
      <w:hyperlink r:id="rId90">
        <w:r w:rsidRPr="002D75B0">
          <w:rPr>
            <w:rFonts w:ascii="Times New Roman" w:hAnsi="Times New Roman" w:cs="Times New Roman"/>
            <w:color w:val="000000" w:themeColor="text1"/>
          </w:rPr>
          <w:t>https://doi.org/10.1111/geb.12134</w:t>
        </w:r>
      </w:hyperlink>
      <w:r w:rsidRPr="002D75B0">
        <w:rPr>
          <w:rFonts w:ascii="Times New Roman" w:hAnsi="Times New Roman" w:cs="Times New Roman"/>
          <w:color w:val="000000" w:themeColor="text1"/>
        </w:rPr>
        <w:t xml:space="preserve"> </w:t>
      </w:r>
    </w:p>
    <w:p w14:paraId="5294D1F1"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Schleuning, M., Fruend, J., &amp; Garcia, D. (2015). Predicting ecosystem functions from biodiversity and mutualistic networks: An extension of trait-based concepts to plant-animal interactions. </w:t>
      </w:r>
      <w:proofErr w:type="spellStart"/>
      <w:r w:rsidRPr="002D75B0">
        <w:rPr>
          <w:rFonts w:ascii="Times New Roman" w:hAnsi="Times New Roman" w:cs="Times New Roman"/>
          <w:color w:val="000000" w:themeColor="text1"/>
        </w:rPr>
        <w:t>Ecography</w:t>
      </w:r>
      <w:proofErr w:type="spellEnd"/>
      <w:r w:rsidRPr="002D75B0">
        <w:rPr>
          <w:rFonts w:ascii="Times New Roman" w:hAnsi="Times New Roman" w:cs="Times New Roman"/>
          <w:color w:val="000000" w:themeColor="text1"/>
        </w:rPr>
        <w:t xml:space="preserve">, 38(4, SI), 380–392. </w:t>
      </w:r>
      <w:hyperlink r:id="rId91">
        <w:r w:rsidRPr="002D75B0">
          <w:rPr>
            <w:rFonts w:ascii="Times New Roman" w:hAnsi="Times New Roman" w:cs="Times New Roman"/>
            <w:color w:val="000000" w:themeColor="text1"/>
          </w:rPr>
          <w:t>https://doi.org/10.1111/ecog.00983</w:t>
        </w:r>
      </w:hyperlink>
      <w:r w:rsidRPr="002D75B0">
        <w:rPr>
          <w:rFonts w:ascii="Times New Roman" w:hAnsi="Times New Roman" w:cs="Times New Roman"/>
          <w:color w:val="000000" w:themeColor="text1"/>
        </w:rPr>
        <w:t xml:space="preserve"> </w:t>
      </w:r>
    </w:p>
    <w:p w14:paraId="3246F03B"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Schleuning, M., </w:t>
      </w:r>
      <w:proofErr w:type="spellStart"/>
      <w:r w:rsidRPr="002D75B0">
        <w:rPr>
          <w:rFonts w:ascii="Times New Roman" w:hAnsi="Times New Roman" w:cs="Times New Roman"/>
          <w:color w:val="000000" w:themeColor="text1"/>
        </w:rPr>
        <w:t>Fründ</w:t>
      </w:r>
      <w:proofErr w:type="spellEnd"/>
      <w:r w:rsidRPr="002D75B0">
        <w:rPr>
          <w:rFonts w:ascii="Times New Roman" w:hAnsi="Times New Roman" w:cs="Times New Roman"/>
          <w:color w:val="000000" w:themeColor="text1"/>
        </w:rPr>
        <w:t xml:space="preserve">, J., Klein, A.-M., </w:t>
      </w:r>
      <w:proofErr w:type="spellStart"/>
      <w:r w:rsidRPr="002D75B0">
        <w:rPr>
          <w:rFonts w:ascii="Times New Roman" w:hAnsi="Times New Roman" w:cs="Times New Roman"/>
          <w:color w:val="000000" w:themeColor="text1"/>
        </w:rPr>
        <w:t>Abrahamczyk</w:t>
      </w:r>
      <w:proofErr w:type="spellEnd"/>
      <w:r w:rsidRPr="002D75B0">
        <w:rPr>
          <w:rFonts w:ascii="Times New Roman" w:hAnsi="Times New Roman" w:cs="Times New Roman"/>
          <w:color w:val="000000" w:themeColor="text1"/>
        </w:rPr>
        <w:t xml:space="preserve">, S., Alarcón, R., Albrecht, M., Andersson, G. K. S., Bazarian, S., </w:t>
      </w:r>
      <w:proofErr w:type="spellStart"/>
      <w:r w:rsidRPr="002D75B0">
        <w:rPr>
          <w:rFonts w:ascii="Times New Roman" w:hAnsi="Times New Roman" w:cs="Times New Roman"/>
          <w:color w:val="000000" w:themeColor="text1"/>
        </w:rPr>
        <w:t>Böhning-Gaese</w:t>
      </w:r>
      <w:proofErr w:type="spellEnd"/>
      <w:r w:rsidRPr="002D75B0">
        <w:rPr>
          <w:rFonts w:ascii="Times New Roman" w:hAnsi="Times New Roman" w:cs="Times New Roman"/>
          <w:color w:val="000000" w:themeColor="text1"/>
        </w:rPr>
        <w:t xml:space="preserve">, K., </w:t>
      </w:r>
      <w:proofErr w:type="spellStart"/>
      <w:r w:rsidRPr="002D75B0">
        <w:rPr>
          <w:rFonts w:ascii="Times New Roman" w:hAnsi="Times New Roman" w:cs="Times New Roman"/>
          <w:color w:val="000000" w:themeColor="text1"/>
        </w:rPr>
        <w:t>Bommarco</w:t>
      </w:r>
      <w:proofErr w:type="spellEnd"/>
      <w:r w:rsidRPr="002D75B0">
        <w:rPr>
          <w:rFonts w:ascii="Times New Roman" w:hAnsi="Times New Roman" w:cs="Times New Roman"/>
          <w:color w:val="000000" w:themeColor="text1"/>
        </w:rPr>
        <w:t xml:space="preserve">, R., Dalsgaard, B., </w:t>
      </w:r>
      <w:proofErr w:type="spellStart"/>
      <w:r w:rsidRPr="002D75B0">
        <w:rPr>
          <w:rFonts w:ascii="Times New Roman" w:hAnsi="Times New Roman" w:cs="Times New Roman"/>
          <w:color w:val="000000" w:themeColor="text1"/>
        </w:rPr>
        <w:t>Dehling</w:t>
      </w:r>
      <w:proofErr w:type="spellEnd"/>
      <w:r w:rsidRPr="002D75B0">
        <w:rPr>
          <w:rFonts w:ascii="Times New Roman" w:hAnsi="Times New Roman" w:cs="Times New Roman"/>
          <w:color w:val="000000" w:themeColor="text1"/>
        </w:rPr>
        <w:t xml:space="preserve">, D. M., Gotlieb, A., Hagen, M., </w:t>
      </w:r>
      <w:proofErr w:type="spellStart"/>
      <w:r w:rsidRPr="002D75B0">
        <w:rPr>
          <w:rFonts w:ascii="Times New Roman" w:hAnsi="Times New Roman" w:cs="Times New Roman"/>
          <w:color w:val="000000" w:themeColor="text1"/>
        </w:rPr>
        <w:t>Hickler</w:t>
      </w:r>
      <w:proofErr w:type="spellEnd"/>
      <w:r w:rsidRPr="002D75B0">
        <w:rPr>
          <w:rFonts w:ascii="Times New Roman" w:hAnsi="Times New Roman" w:cs="Times New Roman"/>
          <w:color w:val="000000" w:themeColor="text1"/>
        </w:rPr>
        <w:t xml:space="preserve">, T., Holzschuh, A., Kaiser-Bunbury, C. N., Kreft, H., Morris, R. J., … </w:t>
      </w:r>
      <w:proofErr w:type="spellStart"/>
      <w:r w:rsidRPr="002D75B0">
        <w:rPr>
          <w:rFonts w:ascii="Times New Roman" w:hAnsi="Times New Roman" w:cs="Times New Roman"/>
          <w:color w:val="000000" w:themeColor="text1"/>
        </w:rPr>
        <w:t>Blüthgen</w:t>
      </w:r>
      <w:proofErr w:type="spellEnd"/>
      <w:r w:rsidRPr="002D75B0">
        <w:rPr>
          <w:rFonts w:ascii="Times New Roman" w:hAnsi="Times New Roman" w:cs="Times New Roman"/>
          <w:color w:val="000000" w:themeColor="text1"/>
        </w:rPr>
        <w:t xml:space="preserve">, N. (2012). Specialization of Mutualistic Interaction Networks Decreases toward Tropical Latitudes. Current Biology, 22(20), 1925–1931. </w:t>
      </w:r>
      <w:hyperlink r:id="rId92">
        <w:r w:rsidRPr="002D75B0">
          <w:rPr>
            <w:rFonts w:ascii="Times New Roman" w:hAnsi="Times New Roman" w:cs="Times New Roman"/>
            <w:color w:val="000000" w:themeColor="text1"/>
          </w:rPr>
          <w:t>https://doi.org/10.1016/j.cub.2012.08.015</w:t>
        </w:r>
      </w:hyperlink>
      <w:r w:rsidRPr="002D75B0">
        <w:rPr>
          <w:rFonts w:ascii="Times New Roman" w:hAnsi="Times New Roman" w:cs="Times New Roman"/>
          <w:color w:val="000000" w:themeColor="text1"/>
        </w:rPr>
        <w:t xml:space="preserve"> </w:t>
      </w:r>
    </w:p>
    <w:p w14:paraId="667ACD91"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Schupp, E. W., Jordano, P., &amp; Gómez, J. M. (2010). Seed dispersal effectiveness revisited: A conceptual review. New Phytologist, 188(2), 333–353. </w:t>
      </w:r>
      <w:hyperlink r:id="rId93">
        <w:r w:rsidRPr="002D75B0">
          <w:rPr>
            <w:rFonts w:ascii="Times New Roman" w:hAnsi="Times New Roman" w:cs="Times New Roman"/>
            <w:color w:val="000000" w:themeColor="text1"/>
          </w:rPr>
          <w:t>https://doi.org/10.1111/j.1469-8137.2010.03402.x</w:t>
        </w:r>
      </w:hyperlink>
      <w:r w:rsidRPr="002D75B0">
        <w:rPr>
          <w:rFonts w:ascii="Times New Roman" w:hAnsi="Times New Roman" w:cs="Times New Roman"/>
          <w:color w:val="000000" w:themeColor="text1"/>
        </w:rPr>
        <w:t xml:space="preserve"> </w:t>
      </w:r>
    </w:p>
    <w:p w14:paraId="102D0E1E"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Sebastian-Gonzalez, E., Dalsgaard, B., Sandel, B., &amp; Guimaraes, P. R., Jr. (2015). Macroecological trends in nestedness and modularity of seed-dispersal networks: Human </w:t>
      </w:r>
      <w:r w:rsidRPr="002D75B0">
        <w:rPr>
          <w:rFonts w:ascii="Times New Roman" w:hAnsi="Times New Roman" w:cs="Times New Roman"/>
          <w:color w:val="000000" w:themeColor="text1"/>
        </w:rPr>
        <w:lastRenderedPageBreak/>
        <w:t xml:space="preserve">impact matters. Global Ecology and Biogeography, 24(3), 293–303. </w:t>
      </w:r>
      <w:hyperlink r:id="rId94">
        <w:r w:rsidRPr="002D75B0">
          <w:rPr>
            <w:rFonts w:ascii="Times New Roman" w:hAnsi="Times New Roman" w:cs="Times New Roman"/>
            <w:color w:val="000000" w:themeColor="text1"/>
          </w:rPr>
          <w:t>https://doi.org/10.1111/geb.12270</w:t>
        </w:r>
      </w:hyperlink>
      <w:r w:rsidRPr="002D75B0">
        <w:rPr>
          <w:rFonts w:ascii="Times New Roman" w:hAnsi="Times New Roman" w:cs="Times New Roman"/>
          <w:color w:val="000000" w:themeColor="text1"/>
        </w:rPr>
        <w:t xml:space="preserve"> </w:t>
      </w:r>
    </w:p>
    <w:p w14:paraId="2B835198"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Selwyn, M., Pino, J., &amp; </w:t>
      </w:r>
      <w:proofErr w:type="spellStart"/>
      <w:r w:rsidRPr="002D75B0">
        <w:rPr>
          <w:rFonts w:ascii="Times New Roman" w:hAnsi="Times New Roman" w:cs="Times New Roman"/>
          <w:color w:val="000000" w:themeColor="text1"/>
        </w:rPr>
        <w:t>Espelta</w:t>
      </w:r>
      <w:proofErr w:type="spellEnd"/>
      <w:r w:rsidRPr="002D75B0">
        <w:rPr>
          <w:rFonts w:ascii="Times New Roman" w:hAnsi="Times New Roman" w:cs="Times New Roman"/>
          <w:color w:val="000000" w:themeColor="text1"/>
        </w:rPr>
        <w:t>, J. M. (2023). Disentangling the importance of intrinsic and extrinsic seed dispersal factors in forest restoration success: A global review. Restoration Ecology, 31(4), e13868. https://doi.org/10.1111/rec.13868</w:t>
      </w:r>
    </w:p>
    <w:p w14:paraId="67DDECA3"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Silva, W. R., </w:t>
      </w:r>
      <w:proofErr w:type="spellStart"/>
      <w:r w:rsidRPr="002D75B0">
        <w:rPr>
          <w:rFonts w:ascii="Times New Roman" w:hAnsi="Times New Roman" w:cs="Times New Roman"/>
          <w:color w:val="000000" w:themeColor="text1"/>
        </w:rPr>
        <w:t>Zaniratto</w:t>
      </w:r>
      <w:proofErr w:type="spellEnd"/>
      <w:r w:rsidRPr="002D75B0">
        <w:rPr>
          <w:rFonts w:ascii="Times New Roman" w:hAnsi="Times New Roman" w:cs="Times New Roman"/>
          <w:color w:val="000000" w:themeColor="text1"/>
        </w:rPr>
        <w:t xml:space="preserve">, C. P., Ferreira, J. O. V., </w:t>
      </w:r>
      <w:proofErr w:type="spellStart"/>
      <w:r w:rsidRPr="002D75B0">
        <w:rPr>
          <w:rFonts w:ascii="Times New Roman" w:hAnsi="Times New Roman" w:cs="Times New Roman"/>
          <w:color w:val="000000" w:themeColor="text1"/>
        </w:rPr>
        <w:t>Rigacci</w:t>
      </w:r>
      <w:proofErr w:type="spellEnd"/>
      <w:r w:rsidRPr="002D75B0">
        <w:rPr>
          <w:rFonts w:ascii="Times New Roman" w:hAnsi="Times New Roman" w:cs="Times New Roman"/>
          <w:color w:val="000000" w:themeColor="text1"/>
        </w:rPr>
        <w:t xml:space="preserve">, E. D. B., Oliveira, J. F., Morandi, M. E. F., Killing, J. G., Nemes, L. G., &amp; Abreu, L. B. (2020). Inducing seed dispersal by generalist frugivores: A new technique to overcome dispersal limitation in restoration. Journal of Applied Ecology, 57(12), 2340–2348. </w:t>
      </w:r>
      <w:hyperlink r:id="rId95">
        <w:r w:rsidRPr="002D75B0">
          <w:rPr>
            <w:rFonts w:ascii="Times New Roman" w:hAnsi="Times New Roman" w:cs="Times New Roman"/>
            <w:color w:val="000000" w:themeColor="text1"/>
          </w:rPr>
          <w:t>https://doi.org/10.1111/1365-2664.13731</w:t>
        </w:r>
      </w:hyperlink>
      <w:r w:rsidRPr="002D75B0">
        <w:rPr>
          <w:rFonts w:ascii="Times New Roman" w:hAnsi="Times New Roman" w:cs="Times New Roman"/>
          <w:color w:val="000000" w:themeColor="text1"/>
        </w:rPr>
        <w:t xml:space="preserve"> </w:t>
      </w:r>
    </w:p>
    <w:p w14:paraId="47CC20CD"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 xml:space="preserve">Simonson, W. D., Miller, E., Jones, A., García-Rangel, S., Thornton, H., &amp; McOwen, C. (2021). Enhancing climate change resilience of ecological restoration—A framework for action. Perspectives in Ecology and Conservation, 19(3), 300–310. </w:t>
      </w:r>
      <w:hyperlink r:id="rId96">
        <w:r w:rsidRPr="002D75B0">
          <w:rPr>
            <w:rFonts w:ascii="Times New Roman" w:hAnsi="Times New Roman" w:cs="Times New Roman"/>
            <w:color w:val="000000" w:themeColor="text1"/>
          </w:rPr>
          <w:t>https://doi.org/10.1016/j.pecon.2021.05.002</w:t>
        </w:r>
      </w:hyperlink>
      <w:r w:rsidRPr="002D75B0">
        <w:rPr>
          <w:rFonts w:ascii="Times New Roman" w:hAnsi="Times New Roman" w:cs="Times New Roman"/>
          <w:color w:val="000000" w:themeColor="text1"/>
        </w:rPr>
        <w:t xml:space="preserve"> </w:t>
      </w:r>
    </w:p>
    <w:p w14:paraId="7D132E69"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Souza, C. S., Maruyama, P. K., Santos, K. C., Varassin, I. G., Gross, C. L., &amp; Araujo, A. C. (2021). </w:t>
      </w:r>
      <w:r w:rsidRPr="002D75B0">
        <w:rPr>
          <w:rFonts w:ascii="Times New Roman" w:hAnsi="Times New Roman" w:cs="Times New Roman"/>
          <w:color w:val="000000" w:themeColor="text1"/>
        </w:rPr>
        <w:t>Plant‐</w:t>
      </w:r>
      <w:proofErr w:type="spellStart"/>
      <w:r w:rsidRPr="002D75B0">
        <w:rPr>
          <w:rFonts w:ascii="Times New Roman" w:hAnsi="Times New Roman" w:cs="Times New Roman"/>
          <w:color w:val="000000" w:themeColor="text1"/>
        </w:rPr>
        <w:t>centred</w:t>
      </w:r>
      <w:proofErr w:type="spellEnd"/>
      <w:r w:rsidRPr="002D75B0">
        <w:rPr>
          <w:rFonts w:ascii="Times New Roman" w:hAnsi="Times New Roman" w:cs="Times New Roman"/>
          <w:color w:val="000000" w:themeColor="text1"/>
        </w:rPr>
        <w:t xml:space="preserve"> sampling estimates higher beta diversity of interactions than pollinator‐based sampling across habitats. </w:t>
      </w:r>
      <w:r w:rsidRPr="002D75B0">
        <w:rPr>
          <w:rFonts w:ascii="Times New Roman" w:hAnsi="Times New Roman" w:cs="Times New Roman"/>
          <w:color w:val="000000" w:themeColor="text1"/>
          <w:lang w:val="es-EC"/>
        </w:rPr>
        <w:t>New Phytologist, 230(6), 2501-2512.</w:t>
      </w:r>
    </w:p>
    <w:p w14:paraId="63E87F75"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Staggemeier, V. G. (n.d.). Impacto humano afeta negativamente a dispersão de sementes de frutos ornitocóricos: Uma perspectiva global. </w:t>
      </w:r>
    </w:p>
    <w:p w14:paraId="696E9B5F"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Suding, K., Spotswood, E., Chapple, D., Beller, E., &amp; Gross, K. (2016). Ecological dynamics and ecological restoration. Foundations of restoration ecology, 27-56.</w:t>
      </w:r>
    </w:p>
    <w:p w14:paraId="534B6C9E"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Terborgh</w:t>
      </w:r>
      <w:proofErr w:type="spellEnd"/>
      <w:r w:rsidRPr="002D75B0">
        <w:rPr>
          <w:rFonts w:ascii="Times New Roman" w:hAnsi="Times New Roman" w:cs="Times New Roman"/>
          <w:color w:val="000000" w:themeColor="text1"/>
        </w:rPr>
        <w:t>, J. 1986. Community aspects of frugivory in tropical forests. In: Frugivory and seed dispersal. A. Estrada and T. H. Fleming (eds.), Dr. W. Junk, Boston. pp. 371-384.</w:t>
      </w:r>
    </w:p>
    <w:p w14:paraId="0F92D2D3"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rPr>
        <w:t xml:space="preserve">Thébault, E., &amp; Fontaine, C. (2010). Stability of ecological communities and the architecture of mutualistic and trophic networks. </w:t>
      </w:r>
      <w:r w:rsidRPr="002D75B0">
        <w:rPr>
          <w:rFonts w:ascii="Times New Roman" w:hAnsi="Times New Roman" w:cs="Times New Roman"/>
          <w:color w:val="000000" w:themeColor="text1"/>
          <w:lang w:val="es-EC"/>
        </w:rPr>
        <w:t>Science, 329(5993), 853-856.</w:t>
      </w:r>
    </w:p>
    <w:p w14:paraId="0EAEB1F0"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Timoteo, S., Correia, M., Rodriguez-Echeverria, S., Freitas, H., &amp; Heleno, R. (2018). </w:t>
      </w:r>
      <w:r w:rsidRPr="002D75B0">
        <w:rPr>
          <w:rFonts w:ascii="Times New Roman" w:hAnsi="Times New Roman" w:cs="Times New Roman"/>
          <w:color w:val="000000" w:themeColor="text1"/>
        </w:rPr>
        <w:t xml:space="preserve">Multilayer networks reveal the spatial structure of seed-dispersal interactions across the Great Rift landscapes. Nature Communications, 9. </w:t>
      </w:r>
      <w:hyperlink r:id="rId97">
        <w:r w:rsidRPr="002D75B0">
          <w:rPr>
            <w:rFonts w:ascii="Times New Roman" w:hAnsi="Times New Roman" w:cs="Times New Roman"/>
            <w:color w:val="000000" w:themeColor="text1"/>
          </w:rPr>
          <w:t>https://doi.org/10.1038/s41467-017-02658-y</w:t>
        </w:r>
      </w:hyperlink>
      <w:r w:rsidRPr="002D75B0">
        <w:rPr>
          <w:rFonts w:ascii="Times New Roman" w:hAnsi="Times New Roman" w:cs="Times New Roman"/>
          <w:color w:val="000000" w:themeColor="text1"/>
        </w:rPr>
        <w:t xml:space="preserve"> Timoteo, S., Ramos, J. A., Vaughan, I. P., &amp; Memmott, J. (2016). High Resilience of Seed Dispersal Webs Highlighted by the Experimental Removal of the Dominant Disperser. Current Biology 26(7), 910–915. </w:t>
      </w:r>
      <w:hyperlink r:id="rId98">
        <w:r w:rsidRPr="002D75B0">
          <w:rPr>
            <w:rFonts w:ascii="Times New Roman" w:hAnsi="Times New Roman" w:cs="Times New Roman"/>
            <w:color w:val="000000" w:themeColor="text1"/>
          </w:rPr>
          <w:t>https://doi.org/10.1016/j.cub.2016.01.046</w:t>
        </w:r>
      </w:hyperlink>
      <w:r w:rsidRPr="002D75B0">
        <w:rPr>
          <w:rFonts w:ascii="Times New Roman" w:hAnsi="Times New Roman" w:cs="Times New Roman"/>
          <w:color w:val="000000" w:themeColor="text1"/>
        </w:rPr>
        <w:t xml:space="preserve"> </w:t>
      </w:r>
    </w:p>
    <w:p w14:paraId="5EECEA06"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lastRenderedPageBreak/>
        <w:t>Trøjelsgaard</w:t>
      </w:r>
      <w:proofErr w:type="spellEnd"/>
      <w:r w:rsidRPr="002D75B0">
        <w:rPr>
          <w:rFonts w:ascii="Times New Roman" w:hAnsi="Times New Roman" w:cs="Times New Roman"/>
          <w:color w:val="000000" w:themeColor="text1"/>
        </w:rPr>
        <w:t>, K. &amp; Olesen, J.M. (2013) Macroecology of pollination networks. Global Ecology and Biogeography, 22, 149–162.</w:t>
      </w:r>
    </w:p>
    <w:p w14:paraId="41DADDF8"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Tylianakis</w:t>
      </w:r>
      <w:proofErr w:type="spellEnd"/>
      <w:r w:rsidRPr="002D75B0">
        <w:rPr>
          <w:rFonts w:ascii="Times New Roman" w:hAnsi="Times New Roman" w:cs="Times New Roman"/>
          <w:color w:val="000000" w:themeColor="text1"/>
        </w:rPr>
        <w:t xml:space="preserve">, J. M., </w:t>
      </w:r>
      <w:proofErr w:type="spellStart"/>
      <w:r w:rsidRPr="002D75B0">
        <w:rPr>
          <w:rFonts w:ascii="Times New Roman" w:hAnsi="Times New Roman" w:cs="Times New Roman"/>
          <w:color w:val="000000" w:themeColor="text1"/>
        </w:rPr>
        <w:t>Laliberté</w:t>
      </w:r>
      <w:proofErr w:type="spellEnd"/>
      <w:r w:rsidRPr="002D75B0">
        <w:rPr>
          <w:rFonts w:ascii="Times New Roman" w:hAnsi="Times New Roman" w:cs="Times New Roman"/>
          <w:color w:val="000000" w:themeColor="text1"/>
        </w:rPr>
        <w:t xml:space="preserve">, E., Nielsen, A., &amp; </w:t>
      </w:r>
      <w:proofErr w:type="spellStart"/>
      <w:r w:rsidRPr="002D75B0">
        <w:rPr>
          <w:rFonts w:ascii="Times New Roman" w:hAnsi="Times New Roman" w:cs="Times New Roman"/>
          <w:color w:val="000000" w:themeColor="text1"/>
        </w:rPr>
        <w:t>Bascompte</w:t>
      </w:r>
      <w:proofErr w:type="spellEnd"/>
      <w:r w:rsidRPr="002D75B0">
        <w:rPr>
          <w:rFonts w:ascii="Times New Roman" w:hAnsi="Times New Roman" w:cs="Times New Roman"/>
          <w:color w:val="000000" w:themeColor="text1"/>
        </w:rPr>
        <w:t xml:space="preserve">, J. (2010). Conservation of species interaction networks. Biological Conservation, 143(10), 2270–2279. </w:t>
      </w:r>
      <w:hyperlink r:id="rId99">
        <w:r w:rsidRPr="002D75B0">
          <w:rPr>
            <w:rFonts w:ascii="Times New Roman" w:hAnsi="Times New Roman" w:cs="Times New Roman"/>
            <w:color w:val="000000" w:themeColor="text1"/>
          </w:rPr>
          <w:t>https://doi.org/10.1016/j.biocon.2009.12.004</w:t>
        </w:r>
      </w:hyperlink>
      <w:r w:rsidRPr="002D75B0">
        <w:rPr>
          <w:rFonts w:ascii="Times New Roman" w:hAnsi="Times New Roman" w:cs="Times New Roman"/>
          <w:color w:val="000000" w:themeColor="text1"/>
        </w:rPr>
        <w:t xml:space="preserve"> </w:t>
      </w:r>
    </w:p>
    <w:p w14:paraId="04823B41"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Viani, R. A. G., Vidas, N. B., Pardi, M. M., Castro, D. C. V., Gusson, E., &amp; Brancalion, P. H. S. (2015). </w:t>
      </w:r>
      <w:r w:rsidRPr="002D75B0">
        <w:rPr>
          <w:rFonts w:ascii="Times New Roman" w:hAnsi="Times New Roman" w:cs="Times New Roman"/>
          <w:color w:val="000000" w:themeColor="text1"/>
        </w:rPr>
        <w:t xml:space="preserve">Animal-dispersed pioneer trees enhance the early regeneration in Atlantic Forest restoration plantations. </w:t>
      </w:r>
      <w:r w:rsidRPr="002D75B0">
        <w:rPr>
          <w:rFonts w:ascii="Times New Roman" w:hAnsi="Times New Roman" w:cs="Times New Roman"/>
          <w:color w:val="000000" w:themeColor="text1"/>
          <w:lang w:val="es-EC"/>
        </w:rPr>
        <w:t xml:space="preserve">Natureza &amp; Conservação, 13(1), 41–46. </w:t>
      </w:r>
      <w:hyperlink r:id="rId100">
        <w:r w:rsidRPr="002D75B0">
          <w:rPr>
            <w:rFonts w:ascii="Times New Roman" w:hAnsi="Times New Roman" w:cs="Times New Roman"/>
            <w:color w:val="000000" w:themeColor="text1"/>
            <w:lang w:val="es-EC"/>
          </w:rPr>
          <w:t>https://doi.org/10.1016/j.ncon.2015.03.005</w:t>
        </w:r>
      </w:hyperlink>
      <w:r w:rsidRPr="002D75B0">
        <w:rPr>
          <w:rFonts w:ascii="Times New Roman" w:hAnsi="Times New Roman" w:cs="Times New Roman"/>
          <w:color w:val="000000" w:themeColor="text1"/>
          <w:lang w:val="es-EC"/>
        </w:rPr>
        <w:t xml:space="preserve"> </w:t>
      </w:r>
    </w:p>
    <w:p w14:paraId="1327DD05" w14:textId="77777777" w:rsidR="00860547" w:rsidRPr="002D75B0" w:rsidRDefault="00860547" w:rsidP="002D75B0">
      <w:pPr>
        <w:spacing w:before="0" w:after="0"/>
        <w:ind w:left="720" w:hanging="720"/>
        <w:rPr>
          <w:rFonts w:ascii="Times New Roman" w:hAnsi="Times New Roman" w:cs="Times New Roman"/>
          <w:color w:val="000000" w:themeColor="text1"/>
          <w:lang w:val="es-EC"/>
        </w:rPr>
      </w:pPr>
      <w:r w:rsidRPr="002D75B0">
        <w:rPr>
          <w:rFonts w:ascii="Times New Roman" w:hAnsi="Times New Roman" w:cs="Times New Roman"/>
          <w:color w:val="000000" w:themeColor="text1"/>
          <w:lang w:val="es-EC"/>
        </w:rPr>
        <w:t xml:space="preserve">Vidal, M. M., Pires, M. M., &amp; Guimaraes, P. R., Jr. </w:t>
      </w:r>
      <w:r w:rsidRPr="002D75B0">
        <w:rPr>
          <w:rFonts w:ascii="Times New Roman" w:hAnsi="Times New Roman" w:cs="Times New Roman"/>
          <w:color w:val="000000" w:themeColor="text1"/>
        </w:rPr>
        <w:t xml:space="preserve">(2013). Large vertebrates as the missing components of seed-dispersal networks. </w:t>
      </w:r>
      <w:r w:rsidRPr="002D75B0">
        <w:rPr>
          <w:rFonts w:ascii="Times New Roman" w:hAnsi="Times New Roman" w:cs="Times New Roman"/>
          <w:color w:val="000000" w:themeColor="text1"/>
          <w:lang w:val="es-EC"/>
        </w:rPr>
        <w:t xml:space="preserve">Biological Conservatoin, 163(SI), 42–48. </w:t>
      </w:r>
      <w:hyperlink r:id="rId101">
        <w:r w:rsidRPr="002D75B0">
          <w:rPr>
            <w:rFonts w:ascii="Times New Roman" w:hAnsi="Times New Roman" w:cs="Times New Roman"/>
            <w:color w:val="000000" w:themeColor="text1"/>
            <w:lang w:val="es-EC"/>
          </w:rPr>
          <w:t>https://doi.org/10.1016/j.biocon.2013.03.025</w:t>
        </w:r>
      </w:hyperlink>
      <w:r w:rsidRPr="002D75B0">
        <w:rPr>
          <w:rFonts w:ascii="Times New Roman" w:hAnsi="Times New Roman" w:cs="Times New Roman"/>
          <w:color w:val="000000" w:themeColor="text1"/>
          <w:lang w:val="es-EC"/>
        </w:rPr>
        <w:t xml:space="preserve"> </w:t>
      </w:r>
    </w:p>
    <w:p w14:paraId="7B56C954"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lang w:val="es-EC"/>
        </w:rPr>
        <w:t xml:space="preserve">Vitorino, B. D., Frota, A. V. B. da, Maruyama, P. K., Nunes, J. R. da S., &amp; Vizentin-Bugoni, J. (2022). </w:t>
      </w:r>
      <w:r w:rsidRPr="002D75B0">
        <w:rPr>
          <w:rFonts w:ascii="Times New Roman" w:hAnsi="Times New Roman" w:cs="Times New Roman"/>
          <w:color w:val="000000" w:themeColor="text1"/>
        </w:rPr>
        <w:t xml:space="preserve">Influence of sampling methods on the description of a Neotropical seed dispersal network. Acta </w:t>
      </w:r>
      <w:proofErr w:type="spellStart"/>
      <w:r w:rsidRPr="002D75B0">
        <w:rPr>
          <w:rFonts w:ascii="Times New Roman" w:hAnsi="Times New Roman" w:cs="Times New Roman"/>
          <w:color w:val="000000" w:themeColor="text1"/>
        </w:rPr>
        <w:t>Oecologica</w:t>
      </w:r>
      <w:proofErr w:type="spellEnd"/>
      <w:r w:rsidRPr="002D75B0">
        <w:rPr>
          <w:rFonts w:ascii="Times New Roman" w:hAnsi="Times New Roman" w:cs="Times New Roman"/>
          <w:color w:val="000000" w:themeColor="text1"/>
        </w:rPr>
        <w:t xml:space="preserve">, 114, 103805. </w:t>
      </w:r>
      <w:hyperlink r:id="rId102">
        <w:r w:rsidRPr="002D75B0">
          <w:rPr>
            <w:rFonts w:ascii="Times New Roman" w:hAnsi="Times New Roman" w:cs="Times New Roman"/>
            <w:color w:val="000000" w:themeColor="text1"/>
          </w:rPr>
          <w:t>https://doi.org/10.1016/j.actao.2021.103805</w:t>
        </w:r>
      </w:hyperlink>
      <w:r w:rsidRPr="002D75B0">
        <w:rPr>
          <w:rFonts w:ascii="Times New Roman" w:hAnsi="Times New Roman" w:cs="Times New Roman"/>
          <w:color w:val="000000" w:themeColor="text1"/>
        </w:rPr>
        <w:t xml:space="preserve"> </w:t>
      </w:r>
    </w:p>
    <w:p w14:paraId="4B76846A" w14:textId="77777777" w:rsidR="00860547" w:rsidRPr="002D75B0" w:rsidRDefault="00860547" w:rsidP="002D75B0">
      <w:pPr>
        <w:spacing w:before="0" w:after="0"/>
        <w:ind w:left="720" w:hanging="720"/>
        <w:rPr>
          <w:rFonts w:ascii="Times New Roman" w:hAnsi="Times New Roman" w:cs="Times New Roman"/>
          <w:color w:val="000000" w:themeColor="text1"/>
        </w:rPr>
      </w:pPr>
      <w:proofErr w:type="spellStart"/>
      <w:r w:rsidRPr="002D75B0">
        <w:rPr>
          <w:rFonts w:ascii="Times New Roman" w:hAnsi="Times New Roman" w:cs="Times New Roman"/>
          <w:color w:val="000000" w:themeColor="text1"/>
        </w:rPr>
        <w:t>Vizentin-Bugoni</w:t>
      </w:r>
      <w:proofErr w:type="spellEnd"/>
      <w:r w:rsidRPr="002D75B0">
        <w:rPr>
          <w:rFonts w:ascii="Times New Roman" w:hAnsi="Times New Roman" w:cs="Times New Roman"/>
          <w:color w:val="000000" w:themeColor="text1"/>
        </w:rPr>
        <w:t xml:space="preserve">, J., Sperry, J. H., Kelley, J. P., Foster, J. T., Drake, D. R., Case, S. B., Gleditsch, J. M., Hruska, A. M., Wilcox, R. C., &amp; Tarwater, C. E. (2022). Mechanisms underlying interaction frequencies and robustness in a novel seed dispersal network: Lessons for restoration. Proceedings of the Royal Society B: Biological Sciences, 289(1982), 20221490. </w:t>
      </w:r>
      <w:hyperlink r:id="rId103">
        <w:r w:rsidRPr="002D75B0">
          <w:rPr>
            <w:rFonts w:ascii="Times New Roman" w:hAnsi="Times New Roman" w:cs="Times New Roman"/>
            <w:color w:val="000000" w:themeColor="text1"/>
          </w:rPr>
          <w:t>https://doi.org/10.1098/rspb.2022.1490</w:t>
        </w:r>
      </w:hyperlink>
      <w:r w:rsidRPr="002D75B0">
        <w:rPr>
          <w:rFonts w:ascii="Times New Roman" w:hAnsi="Times New Roman" w:cs="Times New Roman"/>
          <w:color w:val="000000" w:themeColor="text1"/>
        </w:rPr>
        <w:t xml:space="preserve"> </w:t>
      </w:r>
    </w:p>
    <w:p w14:paraId="1CC2BBBD" w14:textId="77777777" w:rsidR="00860547" w:rsidRPr="002D75B0" w:rsidRDefault="00860547" w:rsidP="002D75B0">
      <w:pPr>
        <w:spacing w:before="0" w:after="0"/>
        <w:ind w:left="720" w:hanging="720"/>
        <w:rPr>
          <w:rFonts w:ascii="Times New Roman" w:hAnsi="Times New Roman" w:cs="Times New Roman"/>
          <w:color w:val="000000" w:themeColor="text1"/>
        </w:rPr>
      </w:pPr>
      <w:r w:rsidRPr="002D75B0">
        <w:rPr>
          <w:rFonts w:ascii="Times New Roman" w:hAnsi="Times New Roman" w:cs="Times New Roman"/>
          <w:color w:val="000000" w:themeColor="text1"/>
        </w:rPr>
        <w:t>Wenny, D. G., &amp; Levey, D. J. (1998). Directed seed dispersal by bellbirds in a tropical cloud forest. Proceedings of the National Academy of Sciences, 95(11), 6204–6207. https://doi.org/10.1073/pnas.95.11.6204</w:t>
      </w:r>
    </w:p>
    <w:p w14:paraId="75A90458" w14:textId="77777777" w:rsidR="00860547" w:rsidRPr="00860547" w:rsidRDefault="00860547" w:rsidP="002D75B0">
      <w:pPr>
        <w:spacing w:before="0" w:after="0"/>
        <w:ind w:left="720" w:hanging="720"/>
        <w:rPr>
          <w:rFonts w:ascii="Times New Roman" w:hAnsi="Times New Roman" w:cs="Times New Roman"/>
        </w:rPr>
      </w:pPr>
      <w:r w:rsidRPr="002D75B0">
        <w:rPr>
          <w:rFonts w:ascii="Times New Roman" w:hAnsi="Times New Roman" w:cs="Times New Roman"/>
          <w:color w:val="000000" w:themeColor="text1"/>
        </w:rPr>
        <w:t xml:space="preserve">Wunderle, J. M. (1997). The role of animal seed dispersal in accelerating native forest regeneration on degraded tropical lands. Forest Ecology and Management, 99(1–2), 223–235. </w:t>
      </w:r>
      <w:hyperlink r:id="rId104">
        <w:r w:rsidRPr="002D75B0">
          <w:rPr>
            <w:rFonts w:ascii="Times New Roman" w:hAnsi="Times New Roman" w:cs="Times New Roman"/>
            <w:color w:val="000000" w:themeColor="text1"/>
          </w:rPr>
          <w:t>https://doi.org/10.1016/S0378-1127(97)00208-9</w:t>
        </w:r>
      </w:hyperlink>
      <w:r w:rsidRPr="00860547">
        <w:rPr>
          <w:rFonts w:ascii="Times New Roman" w:hAnsi="Times New Roman" w:cs="Times New Roman"/>
        </w:rPr>
        <w:t xml:space="preserve"> </w:t>
      </w:r>
    </w:p>
    <w:p w14:paraId="4AC0675A" w14:textId="77777777" w:rsidR="00B1734F" w:rsidRPr="00B066C6" w:rsidRDefault="00B1734F" w:rsidP="00BD07DC">
      <w:pPr>
        <w:rPr>
          <w:rFonts w:ascii="Times New Roman" w:hAnsi="Times New Roman" w:cs="Times New Roman"/>
          <w:b/>
          <w:bCs/>
        </w:rPr>
      </w:pPr>
      <w:r w:rsidRPr="00B066C6">
        <w:rPr>
          <w:rFonts w:ascii="Times New Roman" w:hAnsi="Times New Roman" w:cs="Times New Roman"/>
          <w:b/>
          <w:bCs/>
        </w:rPr>
        <w:br w:type="page"/>
      </w:r>
    </w:p>
    <w:p w14:paraId="11D3A73F" w14:textId="7B568C76" w:rsidR="0083754D" w:rsidRDefault="001918D7" w:rsidP="001918D7">
      <w:pPr>
        <w:pStyle w:val="Heading2"/>
        <w:spacing w:before="0" w:after="0"/>
        <w:rPr>
          <w:rFonts w:ascii="Times New Roman" w:hAnsi="Times New Roman" w:cs="Times New Roman"/>
          <w:b/>
          <w:bCs/>
          <w:color w:val="000000" w:themeColor="text1"/>
          <w:sz w:val="24"/>
          <w:szCs w:val="24"/>
        </w:rPr>
      </w:pPr>
      <w:bookmarkStart w:id="80" w:name="_Toc195189622"/>
      <w:r w:rsidRPr="001918D7">
        <w:rPr>
          <w:rFonts w:ascii="Times New Roman" w:hAnsi="Times New Roman" w:cs="Times New Roman"/>
          <w:b/>
          <w:bCs/>
          <w:color w:val="000000" w:themeColor="text1"/>
          <w:sz w:val="24"/>
          <w:szCs w:val="24"/>
        </w:rPr>
        <w:lastRenderedPageBreak/>
        <w:t>Appendix</w:t>
      </w:r>
      <w:bookmarkEnd w:id="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918D7" w14:paraId="05CE2760" w14:textId="77777777" w:rsidTr="001918D7">
        <w:tc>
          <w:tcPr>
            <w:tcW w:w="9350" w:type="dxa"/>
          </w:tcPr>
          <w:p w14:paraId="48B93FB7" w14:textId="38105FDD" w:rsidR="001918D7" w:rsidRDefault="001918D7" w:rsidP="001918D7">
            <w:r>
              <w:rPr>
                <w:noProof/>
              </w:rPr>
              <w:drawing>
                <wp:inline distT="0" distB="0" distL="0" distR="0" wp14:anchorId="673A6F49" wp14:editId="3CC61FD2">
                  <wp:extent cx="5792453" cy="3036521"/>
                  <wp:effectExtent l="0" t="0" r="0" b="0"/>
                  <wp:docPr id="1644285928" name="Picture 1" descr="A diagram of a search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85928" name="Picture 1" descr="A diagram of a search results&#10;&#10;AI-generated content may be incorrect."/>
                          <pic:cNvPicPr/>
                        </pic:nvPicPr>
                        <pic:blipFill rotWithShape="1">
                          <a:blip r:embed="rId105" cstate="print">
                            <a:extLst>
                              <a:ext uri="{28A0092B-C50C-407E-A947-70E740481C1C}">
                                <a14:useLocalDpi xmlns:a14="http://schemas.microsoft.com/office/drawing/2010/main" val="0"/>
                              </a:ext>
                            </a:extLst>
                          </a:blip>
                          <a:srcRect l="361"/>
                          <a:stretch/>
                        </pic:blipFill>
                        <pic:spPr bwMode="auto">
                          <a:xfrm>
                            <a:off x="0" y="0"/>
                            <a:ext cx="5805429" cy="3043323"/>
                          </a:xfrm>
                          <a:prstGeom prst="rect">
                            <a:avLst/>
                          </a:prstGeom>
                          <a:ln>
                            <a:noFill/>
                          </a:ln>
                          <a:extLst>
                            <a:ext uri="{53640926-AAD7-44D8-BBD7-CCE9431645EC}">
                              <a14:shadowObscured xmlns:a14="http://schemas.microsoft.com/office/drawing/2010/main"/>
                            </a:ext>
                          </a:extLst>
                        </pic:spPr>
                      </pic:pic>
                    </a:graphicData>
                  </a:graphic>
                </wp:inline>
              </w:drawing>
            </w:r>
          </w:p>
        </w:tc>
      </w:tr>
      <w:tr w:rsidR="001918D7" w14:paraId="543BC719" w14:textId="77777777" w:rsidTr="001918D7">
        <w:tc>
          <w:tcPr>
            <w:tcW w:w="9350" w:type="dxa"/>
          </w:tcPr>
          <w:p w14:paraId="50C943D3" w14:textId="015DCB84" w:rsidR="001918D7" w:rsidRPr="001918D7" w:rsidRDefault="001918D7" w:rsidP="001918D7">
            <w:pPr>
              <w:pStyle w:val="Caption"/>
              <w:rPr>
                <w:rFonts w:ascii="Times New Roman" w:hAnsi="Times New Roman" w:cs="Times New Roman"/>
                <w:i w:val="0"/>
                <w:iCs w:val="0"/>
                <w:sz w:val="24"/>
                <w:szCs w:val="24"/>
              </w:rPr>
            </w:pPr>
            <w:bookmarkStart w:id="81" w:name="_Toc195189831"/>
            <w:r w:rsidRPr="001918D7">
              <w:rPr>
                <w:rFonts w:ascii="Times New Roman" w:hAnsi="Times New Roman" w:cs="Times New Roman"/>
                <w:b/>
                <w:bCs/>
                <w:i w:val="0"/>
                <w:iCs w:val="0"/>
                <w:color w:val="000000" w:themeColor="text1"/>
                <w:sz w:val="24"/>
                <w:szCs w:val="24"/>
              </w:rPr>
              <w:t xml:space="preserve">Supplementary Figure </w:t>
            </w:r>
            <w:r w:rsidRPr="001918D7">
              <w:rPr>
                <w:rFonts w:ascii="Times New Roman" w:hAnsi="Times New Roman" w:cs="Times New Roman"/>
                <w:b/>
                <w:bCs/>
                <w:i w:val="0"/>
                <w:iCs w:val="0"/>
                <w:color w:val="000000" w:themeColor="text1"/>
                <w:sz w:val="24"/>
                <w:szCs w:val="24"/>
              </w:rPr>
              <w:fldChar w:fldCharType="begin"/>
            </w:r>
            <w:r w:rsidRPr="001918D7">
              <w:rPr>
                <w:rFonts w:ascii="Times New Roman" w:hAnsi="Times New Roman" w:cs="Times New Roman"/>
                <w:b/>
                <w:bCs/>
                <w:i w:val="0"/>
                <w:iCs w:val="0"/>
                <w:color w:val="000000" w:themeColor="text1"/>
                <w:sz w:val="24"/>
                <w:szCs w:val="24"/>
              </w:rPr>
              <w:instrText xml:space="preserve"> SEQ Supplementary_Figure \* ARABIC </w:instrText>
            </w:r>
            <w:r w:rsidRPr="001918D7">
              <w:rPr>
                <w:rFonts w:ascii="Times New Roman" w:hAnsi="Times New Roman" w:cs="Times New Roman"/>
                <w:b/>
                <w:bCs/>
                <w:i w:val="0"/>
                <w:iCs w:val="0"/>
                <w:color w:val="000000" w:themeColor="text1"/>
                <w:sz w:val="24"/>
                <w:szCs w:val="24"/>
              </w:rPr>
              <w:fldChar w:fldCharType="separate"/>
            </w:r>
            <w:r w:rsidR="00577CC0">
              <w:rPr>
                <w:rFonts w:ascii="Times New Roman" w:hAnsi="Times New Roman" w:cs="Times New Roman"/>
                <w:b/>
                <w:bCs/>
                <w:i w:val="0"/>
                <w:iCs w:val="0"/>
                <w:noProof/>
                <w:color w:val="000000" w:themeColor="text1"/>
                <w:sz w:val="24"/>
                <w:szCs w:val="24"/>
              </w:rPr>
              <w:t>1</w:t>
            </w:r>
            <w:r w:rsidRPr="001918D7">
              <w:rPr>
                <w:rFonts w:ascii="Times New Roman" w:hAnsi="Times New Roman" w:cs="Times New Roman"/>
                <w:b/>
                <w:bCs/>
                <w:i w:val="0"/>
                <w:iCs w:val="0"/>
                <w:color w:val="000000" w:themeColor="text1"/>
                <w:sz w:val="24"/>
                <w:szCs w:val="24"/>
              </w:rPr>
              <w:fldChar w:fldCharType="end"/>
            </w:r>
            <w:r w:rsidRPr="001918D7">
              <w:rPr>
                <w:rFonts w:ascii="Times New Roman" w:hAnsi="Times New Roman" w:cs="Times New Roman"/>
                <w:b/>
                <w:bCs/>
                <w:i w:val="0"/>
                <w:iCs w:val="0"/>
                <w:color w:val="000000" w:themeColor="text1"/>
                <w:sz w:val="24"/>
                <w:szCs w:val="24"/>
              </w:rPr>
              <w:t>:</w:t>
            </w:r>
            <w:r w:rsidRPr="001918D7">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S</w:t>
            </w:r>
            <w:r w:rsidRPr="001918D7">
              <w:rPr>
                <w:rFonts w:ascii="Times New Roman" w:hAnsi="Times New Roman" w:cs="Times New Roman"/>
                <w:i w:val="0"/>
                <w:iCs w:val="0"/>
                <w:color w:val="000000" w:themeColor="text1"/>
                <w:sz w:val="24"/>
                <w:szCs w:val="24"/>
              </w:rPr>
              <w:t xml:space="preserve">election process used to identify studies on seed dispersal networks in tropical </w:t>
            </w:r>
            <w:r>
              <w:rPr>
                <w:rFonts w:ascii="Times New Roman" w:hAnsi="Times New Roman" w:cs="Times New Roman"/>
                <w:i w:val="0"/>
                <w:iCs w:val="0"/>
                <w:color w:val="000000" w:themeColor="text1"/>
                <w:sz w:val="24"/>
                <w:szCs w:val="24"/>
              </w:rPr>
              <w:t>ecosystems</w:t>
            </w:r>
            <w:r w:rsidRPr="001918D7">
              <w:rPr>
                <w:rFonts w:ascii="Times New Roman" w:hAnsi="Times New Roman" w:cs="Times New Roman"/>
                <w:i w:val="0"/>
                <w:iCs w:val="0"/>
                <w:color w:val="000000" w:themeColor="text1"/>
                <w:sz w:val="24"/>
                <w:szCs w:val="24"/>
              </w:rPr>
              <w:t>. Articles were compiled from multiple databases and sources, then screened based on relevance to seed dispersal networks, geographic focus on the tropics, and methodological criteria. From an initial pool of 2,916 studies, 77 met all inclusion criteria and were retained for full analysis.</w:t>
            </w:r>
            <w:bookmarkEnd w:id="81"/>
          </w:p>
        </w:tc>
      </w:tr>
    </w:tbl>
    <w:p w14:paraId="4CC0455C" w14:textId="77777777" w:rsidR="00BA0A2D" w:rsidRDefault="001918D7" w:rsidP="00BA0A2D">
      <w:pPr>
        <w:jc w:val="center"/>
        <w:rPr>
          <w:rFonts w:ascii="Times New Roman" w:hAnsi="Times New Roman" w:cs="Times New Roman"/>
          <w:b/>
          <w:bCs/>
          <w:color w:val="000000" w:themeColor="text1"/>
        </w:rPr>
      </w:pPr>
      <w:r>
        <w:rPr>
          <w:rFonts w:ascii="Times New Roman" w:hAnsi="Times New Roman" w:cs="Times New Roman"/>
          <w:b/>
          <w:bCs/>
          <w:color w:val="000000" w:themeColor="text1"/>
        </w:rPr>
        <w:br w:type="page"/>
      </w:r>
      <w:bookmarkStart w:id="82" w:name="_Toc195189623"/>
      <w:r w:rsidR="0067509F" w:rsidRPr="00D77075">
        <w:rPr>
          <w:rFonts w:ascii="Times New Roman" w:hAnsi="Times New Roman" w:cs="Times New Roman"/>
          <w:b/>
          <w:bCs/>
          <w:color w:val="000000" w:themeColor="text1"/>
        </w:rPr>
        <w:lastRenderedPageBreak/>
        <w:t>Chapter 2</w:t>
      </w:r>
      <w:r w:rsidR="0083754D" w:rsidRPr="00D77075">
        <w:rPr>
          <w:rFonts w:ascii="Times New Roman" w:hAnsi="Times New Roman" w:cs="Times New Roman"/>
          <w:b/>
          <w:bCs/>
          <w:color w:val="000000" w:themeColor="text1"/>
        </w:rPr>
        <w:t xml:space="preserve">: </w:t>
      </w:r>
      <w:r w:rsidR="0000232C" w:rsidRPr="00D77075">
        <w:rPr>
          <w:rFonts w:ascii="Times New Roman" w:hAnsi="Times New Roman" w:cs="Times New Roman"/>
          <w:b/>
          <w:bCs/>
          <w:color w:val="000000" w:themeColor="text1"/>
        </w:rPr>
        <w:t xml:space="preserve">Evaluating functional diversity indices as indicators of bird community responses to </w:t>
      </w:r>
      <w:r w:rsidR="00992B4B" w:rsidRPr="00D77075">
        <w:rPr>
          <w:rFonts w:ascii="Times New Roman" w:hAnsi="Times New Roman" w:cs="Times New Roman"/>
          <w:b/>
          <w:bCs/>
          <w:color w:val="000000" w:themeColor="text1"/>
        </w:rPr>
        <w:t xml:space="preserve">tropical </w:t>
      </w:r>
      <w:r w:rsidR="0000232C" w:rsidRPr="00D77075">
        <w:rPr>
          <w:rFonts w:ascii="Times New Roman" w:hAnsi="Times New Roman" w:cs="Times New Roman"/>
          <w:b/>
          <w:bCs/>
          <w:color w:val="000000" w:themeColor="text1"/>
        </w:rPr>
        <w:t>forest regeneration</w:t>
      </w:r>
      <w:r w:rsidR="0037129C" w:rsidRPr="00D77075">
        <w:rPr>
          <w:rFonts w:ascii="Times New Roman" w:hAnsi="Times New Roman" w:cs="Times New Roman"/>
          <w:b/>
          <w:bCs/>
          <w:color w:val="000000" w:themeColor="text1"/>
        </w:rPr>
        <w:t xml:space="preserve"> in</w:t>
      </w:r>
      <w:r w:rsidR="0000232C" w:rsidRPr="00D77075">
        <w:rPr>
          <w:rFonts w:ascii="Times New Roman" w:hAnsi="Times New Roman" w:cs="Times New Roman"/>
          <w:b/>
          <w:bCs/>
          <w:color w:val="000000" w:themeColor="text1"/>
        </w:rPr>
        <w:t xml:space="preserve"> </w:t>
      </w:r>
      <w:r w:rsidR="00F32D4B" w:rsidRPr="00D77075">
        <w:rPr>
          <w:rFonts w:ascii="Times New Roman" w:hAnsi="Times New Roman" w:cs="Times New Roman"/>
          <w:b/>
          <w:bCs/>
          <w:color w:val="000000" w:themeColor="text1"/>
        </w:rPr>
        <w:t>n</w:t>
      </w:r>
      <w:r w:rsidR="0000232C" w:rsidRPr="00D77075">
        <w:rPr>
          <w:rFonts w:ascii="Times New Roman" w:hAnsi="Times New Roman" w:cs="Times New Roman"/>
          <w:b/>
          <w:bCs/>
          <w:color w:val="000000" w:themeColor="text1"/>
        </w:rPr>
        <w:t>orthwest Ecuador</w:t>
      </w:r>
      <w:bookmarkEnd w:id="82"/>
    </w:p>
    <w:p w14:paraId="5F0C20E0" w14:textId="77777777" w:rsidR="00BA0A2D" w:rsidRDefault="00BA0A2D" w:rsidP="00BA0A2D">
      <w:pPr>
        <w:jc w:val="center"/>
        <w:rPr>
          <w:rFonts w:ascii="Times New Roman" w:hAnsi="Times New Roman" w:cs="Times New Roman"/>
          <w:b/>
          <w:bCs/>
          <w:color w:val="000000" w:themeColor="text1"/>
        </w:rPr>
      </w:pPr>
    </w:p>
    <w:p w14:paraId="734445BB" w14:textId="77777777" w:rsidR="00BA0A2D" w:rsidRDefault="00BA0A2D" w:rsidP="00BA0A2D">
      <w:pPr>
        <w:jc w:val="center"/>
        <w:rPr>
          <w:rFonts w:ascii="Times New Roman" w:hAnsi="Times New Roman" w:cs="Times New Roman"/>
          <w:b/>
          <w:bCs/>
          <w:color w:val="000000" w:themeColor="text1"/>
        </w:rPr>
      </w:pPr>
    </w:p>
    <w:p w14:paraId="03F409A9" w14:textId="77777777" w:rsidR="00BA0A2D" w:rsidRDefault="00BA0A2D" w:rsidP="00BA0A2D">
      <w:pPr>
        <w:jc w:val="center"/>
        <w:rPr>
          <w:rFonts w:ascii="Times New Roman" w:hAnsi="Times New Roman" w:cs="Times New Roman"/>
          <w:b/>
          <w:bCs/>
          <w:color w:val="000000" w:themeColor="text1"/>
        </w:rPr>
      </w:pPr>
    </w:p>
    <w:p w14:paraId="324C07C7" w14:textId="77777777" w:rsidR="00BA0A2D" w:rsidRDefault="00BA0A2D" w:rsidP="00BA0A2D">
      <w:pPr>
        <w:jc w:val="center"/>
        <w:rPr>
          <w:rFonts w:ascii="Times New Roman" w:hAnsi="Times New Roman" w:cs="Times New Roman"/>
          <w:b/>
          <w:bCs/>
          <w:color w:val="000000" w:themeColor="text1"/>
        </w:rPr>
      </w:pPr>
    </w:p>
    <w:p w14:paraId="00CCC973" w14:textId="77777777" w:rsidR="00BA0A2D" w:rsidRDefault="00BA0A2D" w:rsidP="00BA0A2D">
      <w:pPr>
        <w:jc w:val="center"/>
        <w:rPr>
          <w:rFonts w:ascii="Times New Roman" w:hAnsi="Times New Roman" w:cs="Times New Roman"/>
          <w:b/>
          <w:bCs/>
          <w:color w:val="000000" w:themeColor="text1"/>
        </w:rPr>
      </w:pPr>
    </w:p>
    <w:p w14:paraId="38BD033E" w14:textId="77777777" w:rsidR="00BA0A2D" w:rsidRDefault="00BA0A2D" w:rsidP="00BA0A2D">
      <w:pPr>
        <w:jc w:val="center"/>
        <w:rPr>
          <w:rFonts w:ascii="Times New Roman" w:hAnsi="Times New Roman" w:cs="Times New Roman"/>
          <w:b/>
          <w:bCs/>
          <w:color w:val="000000" w:themeColor="text1"/>
        </w:rPr>
      </w:pPr>
    </w:p>
    <w:p w14:paraId="56002450" w14:textId="77777777" w:rsidR="00BA0A2D" w:rsidRDefault="00BA0A2D" w:rsidP="00BA0A2D">
      <w:pPr>
        <w:jc w:val="center"/>
        <w:rPr>
          <w:rFonts w:ascii="Times New Roman" w:hAnsi="Times New Roman" w:cs="Times New Roman"/>
          <w:b/>
          <w:bCs/>
          <w:color w:val="000000" w:themeColor="text1"/>
        </w:rPr>
      </w:pPr>
    </w:p>
    <w:p w14:paraId="452704C5" w14:textId="77777777" w:rsidR="00BA0A2D" w:rsidRDefault="00BA0A2D" w:rsidP="00BA0A2D">
      <w:pPr>
        <w:jc w:val="center"/>
        <w:rPr>
          <w:rFonts w:ascii="Times New Roman" w:hAnsi="Times New Roman" w:cs="Times New Roman"/>
          <w:b/>
          <w:bCs/>
          <w:color w:val="000000" w:themeColor="text1"/>
        </w:rPr>
      </w:pPr>
    </w:p>
    <w:p w14:paraId="64EA1E4E" w14:textId="77777777" w:rsidR="00BA0A2D" w:rsidRDefault="00BA0A2D" w:rsidP="00BA0A2D">
      <w:pPr>
        <w:jc w:val="center"/>
        <w:rPr>
          <w:rFonts w:ascii="Times New Roman" w:hAnsi="Times New Roman" w:cs="Times New Roman"/>
          <w:b/>
          <w:bCs/>
          <w:color w:val="000000" w:themeColor="text1"/>
        </w:rPr>
      </w:pPr>
    </w:p>
    <w:p w14:paraId="4F921F7C" w14:textId="77777777" w:rsidR="00BA0A2D" w:rsidRDefault="00BA0A2D" w:rsidP="00BA0A2D">
      <w:pPr>
        <w:jc w:val="center"/>
        <w:rPr>
          <w:rFonts w:ascii="Times New Roman" w:hAnsi="Times New Roman" w:cs="Times New Roman"/>
          <w:b/>
          <w:bCs/>
          <w:color w:val="000000" w:themeColor="text1"/>
        </w:rPr>
      </w:pPr>
    </w:p>
    <w:p w14:paraId="2816393D" w14:textId="2E17512E" w:rsidR="0067509F" w:rsidRPr="00BA0A2D" w:rsidRDefault="0067509F" w:rsidP="00BA0A2D">
      <w:pPr>
        <w:jc w:val="center"/>
        <w:rPr>
          <w:rFonts w:ascii="Times New Roman" w:eastAsiaTheme="majorEastAsia" w:hAnsi="Times New Roman" w:cs="Times New Roman"/>
          <w:b/>
          <w:bCs/>
          <w:color w:val="000000" w:themeColor="text1"/>
        </w:rPr>
      </w:pPr>
      <w:r w:rsidRPr="00B066C6">
        <w:rPr>
          <w:rFonts w:ascii="Times New Roman" w:hAnsi="Times New Roman" w:cs="Times New Roman"/>
          <w:b/>
          <w:bCs/>
        </w:rPr>
        <w:br w:type="page"/>
      </w:r>
    </w:p>
    <w:p w14:paraId="5DDF4292" w14:textId="77777777" w:rsidR="00A42EE5" w:rsidRPr="00B066C6" w:rsidRDefault="00A42EE5" w:rsidP="00D77075">
      <w:pPr>
        <w:spacing w:before="0" w:after="0"/>
        <w:jc w:val="center"/>
        <w:rPr>
          <w:rFonts w:ascii="Times New Roman" w:hAnsi="Times New Roman" w:cs="Times New Roman"/>
          <w:shd w:val="clear" w:color="auto" w:fill="FFFFFF"/>
          <w:vertAlign w:val="superscript"/>
        </w:rPr>
      </w:pPr>
      <w:r w:rsidRPr="00B066C6">
        <w:rPr>
          <w:rStyle w:val="normaltextrun"/>
          <w:rFonts w:ascii="Times New Roman" w:hAnsi="Times New Roman" w:cs="Times New Roman"/>
          <w:shd w:val="clear" w:color="auto" w:fill="FFFFFF"/>
        </w:rPr>
        <w:lastRenderedPageBreak/>
        <w:t>Nicole M. Lussier</w:t>
      </w:r>
      <w:r w:rsidRPr="00B066C6">
        <w:rPr>
          <w:rStyle w:val="normaltextrun"/>
          <w:rFonts w:ascii="Times New Roman" w:hAnsi="Times New Roman" w:cs="Times New Roman"/>
          <w:shd w:val="clear" w:color="auto" w:fill="FFFFFF"/>
          <w:vertAlign w:val="superscript"/>
        </w:rPr>
        <w:t>1,2</w:t>
      </w:r>
      <w:r w:rsidRPr="00B066C6">
        <w:rPr>
          <w:rStyle w:val="normaltextrun"/>
          <w:rFonts w:ascii="Times New Roman" w:hAnsi="Times New Roman" w:cs="Times New Roman"/>
          <w:shd w:val="clear" w:color="auto" w:fill="FFFFFF"/>
        </w:rPr>
        <w:t>, Jacob Woodlief</w:t>
      </w:r>
      <w:r w:rsidRPr="00B066C6">
        <w:rPr>
          <w:rStyle w:val="normaltextrun"/>
          <w:rFonts w:ascii="Times New Roman" w:hAnsi="Times New Roman" w:cs="Times New Roman"/>
          <w:shd w:val="clear" w:color="auto" w:fill="FFFFFF"/>
          <w:vertAlign w:val="superscript"/>
        </w:rPr>
        <w:t>1</w:t>
      </w:r>
      <w:r w:rsidRPr="00B066C6">
        <w:rPr>
          <w:rStyle w:val="normaltextrun"/>
          <w:rFonts w:ascii="Times New Roman" w:hAnsi="Times New Roman" w:cs="Times New Roman"/>
          <w:shd w:val="clear" w:color="auto" w:fill="FFFFFF"/>
        </w:rPr>
        <w:t>, Colton B. Adams</w:t>
      </w:r>
      <w:r w:rsidRPr="00B066C6">
        <w:rPr>
          <w:rStyle w:val="normaltextrun"/>
          <w:rFonts w:ascii="Times New Roman" w:hAnsi="Times New Roman" w:cs="Times New Roman"/>
          <w:shd w:val="clear" w:color="auto" w:fill="FFFFFF"/>
          <w:vertAlign w:val="superscript"/>
        </w:rPr>
        <w:t>1,3</w:t>
      </w:r>
      <w:r w:rsidRPr="00B066C6">
        <w:rPr>
          <w:rStyle w:val="normaltextrun"/>
          <w:rFonts w:ascii="Times New Roman" w:hAnsi="Times New Roman" w:cs="Times New Roman"/>
          <w:shd w:val="clear" w:color="auto" w:fill="FFFFFF"/>
        </w:rPr>
        <w:t>, Gregory Paladines</w:t>
      </w:r>
      <w:r w:rsidRPr="00B066C6">
        <w:rPr>
          <w:rStyle w:val="normaltextrun"/>
          <w:rFonts w:ascii="Times New Roman" w:hAnsi="Times New Roman" w:cs="Times New Roman"/>
          <w:shd w:val="clear" w:color="auto" w:fill="FFFFFF"/>
          <w:vertAlign w:val="superscript"/>
        </w:rPr>
        <w:t>2</w:t>
      </w:r>
      <w:r w:rsidRPr="00B066C6">
        <w:rPr>
          <w:rStyle w:val="normaltextrun"/>
          <w:rFonts w:ascii="Times New Roman" w:hAnsi="Times New Roman" w:cs="Times New Roman"/>
          <w:shd w:val="clear" w:color="auto" w:fill="FFFFFF"/>
        </w:rPr>
        <w:t>, Jordan Karubian</w:t>
      </w:r>
      <w:r w:rsidRPr="00B066C6">
        <w:rPr>
          <w:rStyle w:val="normaltextrun"/>
          <w:rFonts w:ascii="Times New Roman" w:hAnsi="Times New Roman" w:cs="Times New Roman"/>
          <w:vertAlign w:val="superscript"/>
        </w:rPr>
        <w:t>2,4</w:t>
      </w:r>
      <w:r w:rsidRPr="00B066C6">
        <w:rPr>
          <w:rStyle w:val="normaltextrun"/>
          <w:rFonts w:ascii="Times New Roman" w:hAnsi="Times New Roman" w:cs="Times New Roman"/>
        </w:rPr>
        <w:t>,</w:t>
      </w:r>
      <w:r w:rsidRPr="00B066C6">
        <w:rPr>
          <w:rStyle w:val="normaltextrun"/>
          <w:rFonts w:ascii="Times New Roman" w:hAnsi="Times New Roman" w:cs="Times New Roman"/>
          <w:shd w:val="clear" w:color="auto" w:fill="FFFFFF"/>
        </w:rPr>
        <w:t xml:space="preserve"> J. Leighton Reid</w:t>
      </w:r>
      <w:r w:rsidRPr="00B066C6">
        <w:rPr>
          <w:rStyle w:val="normaltextrun"/>
          <w:rFonts w:ascii="Times New Roman" w:hAnsi="Times New Roman" w:cs="Times New Roman"/>
          <w:shd w:val="clear" w:color="auto" w:fill="FFFFFF"/>
          <w:vertAlign w:val="superscript"/>
        </w:rPr>
        <w:t>5</w:t>
      </w:r>
      <w:r w:rsidRPr="00B066C6">
        <w:rPr>
          <w:rStyle w:val="normaltextrun"/>
          <w:rFonts w:ascii="Times New Roman" w:hAnsi="Times New Roman" w:cs="Times New Roman"/>
          <w:shd w:val="clear" w:color="auto" w:fill="FFFFFF"/>
        </w:rPr>
        <w:t>, Charles Kwit</w:t>
      </w:r>
      <w:r w:rsidRPr="00B066C6">
        <w:rPr>
          <w:rStyle w:val="normaltextrun"/>
          <w:rFonts w:ascii="Times New Roman" w:hAnsi="Times New Roman" w:cs="Times New Roman"/>
          <w:shd w:val="clear" w:color="auto" w:fill="FFFFFF"/>
          <w:vertAlign w:val="superscript"/>
        </w:rPr>
        <w:t>1,6</w:t>
      </w:r>
    </w:p>
    <w:p w14:paraId="5909C79C" w14:textId="77777777" w:rsidR="00A42EE5" w:rsidRPr="00B066C6" w:rsidRDefault="00A42EE5" w:rsidP="00D77075">
      <w:pPr>
        <w:pStyle w:val="ListParagraph"/>
        <w:numPr>
          <w:ilvl w:val="0"/>
          <w:numId w:val="6"/>
        </w:numPr>
        <w:spacing w:before="0" w:after="0"/>
        <w:rPr>
          <w:rFonts w:ascii="Times New Roman" w:hAnsi="Times New Roman" w:cs="Times New Roman"/>
          <w:shd w:val="clear" w:color="auto" w:fill="FFFFFF"/>
        </w:rPr>
      </w:pPr>
      <w:r w:rsidRPr="00B066C6">
        <w:rPr>
          <w:rFonts w:ascii="Times New Roman" w:hAnsi="Times New Roman" w:cs="Times New Roman"/>
          <w:shd w:val="clear" w:color="auto" w:fill="FFFFFF"/>
        </w:rPr>
        <w:t xml:space="preserve">Department of Ecology and Evolutionary Biology, University of Tennessee, Knoxville TN 37996, USA. </w:t>
      </w:r>
    </w:p>
    <w:p w14:paraId="673B8D14" w14:textId="77777777" w:rsidR="00A42EE5" w:rsidRPr="00B066C6" w:rsidRDefault="00A42EE5" w:rsidP="00D77075">
      <w:pPr>
        <w:pStyle w:val="ListParagraph"/>
        <w:numPr>
          <w:ilvl w:val="0"/>
          <w:numId w:val="6"/>
        </w:numPr>
        <w:spacing w:before="0" w:after="0"/>
        <w:rPr>
          <w:rStyle w:val="normaltextrun"/>
          <w:rFonts w:ascii="Times New Roman" w:hAnsi="Times New Roman" w:cs="Times New Roman"/>
          <w:shd w:val="clear" w:color="auto" w:fill="FFFFFF"/>
          <w:lang w:val="es-EC"/>
        </w:rPr>
      </w:pPr>
      <w:r w:rsidRPr="00B066C6">
        <w:rPr>
          <w:rFonts w:ascii="Times New Roman" w:eastAsia="Calibri" w:hAnsi="Times New Roman" w:cs="Times New Roman"/>
          <w:lang w:val="es-EC"/>
        </w:rPr>
        <w:t xml:space="preserve">Fundación para la Conservación de Los Andes Tropicales, Quininde, Esmeraldas Province 080451, Ecuador. </w:t>
      </w:r>
    </w:p>
    <w:p w14:paraId="72A01732" w14:textId="77777777" w:rsidR="00A42EE5" w:rsidRPr="00B066C6" w:rsidRDefault="00A42EE5" w:rsidP="00D77075">
      <w:pPr>
        <w:pStyle w:val="ListParagraph"/>
        <w:numPr>
          <w:ilvl w:val="0"/>
          <w:numId w:val="6"/>
        </w:numPr>
        <w:spacing w:before="0" w:after="0"/>
        <w:rPr>
          <w:rFonts w:ascii="Times New Roman" w:hAnsi="Times New Roman" w:cs="Times New Roman"/>
        </w:rPr>
      </w:pPr>
      <w:r w:rsidRPr="00B066C6">
        <w:rPr>
          <w:rFonts w:ascii="Times New Roman" w:hAnsi="Times New Roman" w:cs="Times New Roman"/>
        </w:rPr>
        <w:t>Department of Psychology, University of Tennessee, Knoxville TN 37996, USA.</w:t>
      </w:r>
    </w:p>
    <w:p w14:paraId="02A6DEB1" w14:textId="77777777" w:rsidR="00A42EE5" w:rsidRPr="00B066C6" w:rsidRDefault="00A42EE5" w:rsidP="00D77075">
      <w:pPr>
        <w:pStyle w:val="ListParagraph"/>
        <w:numPr>
          <w:ilvl w:val="0"/>
          <w:numId w:val="6"/>
        </w:numPr>
        <w:spacing w:before="0" w:after="0"/>
        <w:rPr>
          <w:rStyle w:val="normaltextrun"/>
          <w:rFonts w:ascii="Times New Roman" w:hAnsi="Times New Roman" w:cs="Times New Roman"/>
          <w:shd w:val="clear" w:color="auto" w:fill="FFFFFF"/>
        </w:rPr>
      </w:pPr>
      <w:r w:rsidRPr="00B066C6">
        <w:rPr>
          <w:rStyle w:val="normaltextrun"/>
          <w:rFonts w:ascii="Times New Roman" w:hAnsi="Times New Roman" w:cs="Times New Roman"/>
          <w:shd w:val="clear" w:color="auto" w:fill="FFFFFF"/>
        </w:rPr>
        <w:t xml:space="preserve">Department of </w:t>
      </w:r>
      <w:r w:rsidRPr="00B066C6">
        <w:rPr>
          <w:rFonts w:ascii="Times New Roman" w:hAnsi="Times New Roman" w:cs="Times New Roman"/>
          <w:shd w:val="clear" w:color="auto" w:fill="FFFFFF"/>
        </w:rPr>
        <w:t>Ecology and Evolutionary Biology</w:t>
      </w:r>
      <w:r w:rsidRPr="00B066C6">
        <w:rPr>
          <w:rStyle w:val="normaltextrun"/>
          <w:rFonts w:ascii="Times New Roman" w:hAnsi="Times New Roman" w:cs="Times New Roman"/>
          <w:shd w:val="clear" w:color="auto" w:fill="FFFFFF"/>
        </w:rPr>
        <w:t>, Tulane University, New Orleans LA, 70118, USA.</w:t>
      </w:r>
    </w:p>
    <w:p w14:paraId="56B9D3A3" w14:textId="77777777" w:rsidR="00A42EE5" w:rsidRPr="00B066C6" w:rsidRDefault="00A42EE5" w:rsidP="00D77075">
      <w:pPr>
        <w:pStyle w:val="ListParagraph"/>
        <w:numPr>
          <w:ilvl w:val="0"/>
          <w:numId w:val="6"/>
        </w:numPr>
        <w:spacing w:before="0" w:after="0"/>
        <w:rPr>
          <w:rFonts w:ascii="Times New Roman" w:hAnsi="Times New Roman" w:cs="Times New Roman"/>
          <w:shd w:val="clear" w:color="auto" w:fill="FFFFFF"/>
        </w:rPr>
      </w:pPr>
      <w:r w:rsidRPr="00B066C6">
        <w:rPr>
          <w:rFonts w:ascii="Times New Roman" w:hAnsi="Times New Roman" w:cs="Times New Roman"/>
        </w:rPr>
        <w:t>School of Plant and Environmental Sciences, Virginia Tech, Blacksburg, Virginia, USA</w:t>
      </w:r>
      <w:r w:rsidRPr="00B066C6">
        <w:rPr>
          <w:rFonts w:ascii="Times New Roman" w:hAnsi="Times New Roman" w:cs="Times New Roman"/>
          <w:shd w:val="clear" w:color="auto" w:fill="FFFFFF"/>
        </w:rPr>
        <w:t xml:space="preserve"> </w:t>
      </w:r>
    </w:p>
    <w:p w14:paraId="31F8FBEB" w14:textId="77777777" w:rsidR="00A42EE5" w:rsidRPr="00B066C6" w:rsidRDefault="00A42EE5" w:rsidP="00D77075">
      <w:pPr>
        <w:pStyle w:val="ListParagraph"/>
        <w:numPr>
          <w:ilvl w:val="0"/>
          <w:numId w:val="6"/>
        </w:numPr>
        <w:spacing w:before="0" w:after="0"/>
        <w:rPr>
          <w:rStyle w:val="normaltextrun"/>
          <w:rFonts w:ascii="Times New Roman" w:hAnsi="Times New Roman" w:cs="Times New Roman"/>
          <w:shd w:val="clear" w:color="auto" w:fill="FFFFFF"/>
        </w:rPr>
      </w:pPr>
      <w:r w:rsidRPr="00B066C6">
        <w:rPr>
          <w:rFonts w:ascii="Times New Roman" w:hAnsi="Times New Roman" w:cs="Times New Roman"/>
          <w:shd w:val="clear" w:color="auto" w:fill="FFFFFF"/>
        </w:rPr>
        <w:t>School of Natural Resources, University of Tennessee, Knoxville TN 37996, USA.</w:t>
      </w:r>
    </w:p>
    <w:p w14:paraId="61BE74B5" w14:textId="66632055" w:rsidR="00CF29F8" w:rsidRPr="00B066C6" w:rsidRDefault="00CF29F8" w:rsidP="00D77075">
      <w:pPr>
        <w:spacing w:before="0" w:after="0"/>
        <w:rPr>
          <w:rStyle w:val="normaltextrun"/>
          <w:rFonts w:ascii="Times New Roman" w:hAnsi="Times New Roman" w:cs="Times New Roman"/>
        </w:rPr>
      </w:pPr>
      <w:r w:rsidRPr="00B066C6">
        <w:rPr>
          <w:rStyle w:val="normaltextrun"/>
          <w:rFonts w:ascii="Times New Roman" w:hAnsi="Times New Roman" w:cs="Times New Roman"/>
          <w:b/>
          <w:bCs/>
        </w:rPr>
        <w:t xml:space="preserve">Acknowledgements: </w:t>
      </w:r>
      <w:r w:rsidRPr="00B066C6">
        <w:rPr>
          <w:rStyle w:val="normaltextrun"/>
          <w:rFonts w:ascii="Times New Roman" w:hAnsi="Times New Roman" w:cs="Times New Roman"/>
        </w:rPr>
        <w:t xml:space="preserve">We would like to thank the staff and researchers at the </w:t>
      </w:r>
      <w:r w:rsidRPr="00B066C6">
        <w:rPr>
          <w:rFonts w:ascii="Times New Roman" w:eastAsia="Calibri" w:hAnsi="Times New Roman" w:cs="Times New Roman"/>
        </w:rPr>
        <w:t xml:space="preserve">Fundación para la Conservación de Los Andes Tropicales for their continued support and collaboration. We would also like to thank </w:t>
      </w:r>
      <w:r w:rsidRPr="00B066C6">
        <w:rPr>
          <w:rFonts w:ascii="Times New Roman" w:hAnsi="Times New Roman" w:cs="Times New Roman"/>
        </w:rPr>
        <w:t xml:space="preserve">David </w:t>
      </w:r>
      <w:proofErr w:type="spellStart"/>
      <w:r w:rsidRPr="00B066C6">
        <w:rPr>
          <w:rFonts w:ascii="Times New Roman" w:hAnsi="Times New Roman" w:cs="Times New Roman"/>
        </w:rPr>
        <w:t>Segurado</w:t>
      </w:r>
      <w:proofErr w:type="spellEnd"/>
      <w:r w:rsidRPr="00B066C6">
        <w:rPr>
          <w:rFonts w:ascii="Times New Roman" w:hAnsi="Times New Roman" w:cs="Times New Roman"/>
        </w:rPr>
        <w:t>, Miles Silman, Rakan Zahawi, and Holden Jones</w:t>
      </w:r>
      <w:r w:rsidRPr="00B066C6">
        <w:rPr>
          <w:rStyle w:val="normaltextrun"/>
          <w:rFonts w:ascii="Times New Roman" w:hAnsi="Times New Roman" w:cs="Times New Roman"/>
        </w:rPr>
        <w:t xml:space="preserve"> for allowing access to their drone imagery which was used in the data analysis of this work. Furthermore, we would like to thank the group of undergraduate researchers who aided in the data collection of this work, including Maggie Millar, John Huston, Erin Ortega, Lily Benson, Charlie Darmstadt, Taylor Mathes, and Courtney Velasquez, in addition to our field technicians and collaborators Rachel Crafford and Judith Santano. NML’s data collection for this work was supported by the British Ecological Society</w:t>
      </w:r>
      <w:r w:rsidRPr="00B066C6">
        <w:rPr>
          <w:rStyle w:val="normaltextrun"/>
          <w:rFonts w:ascii="Times New Roman" w:hAnsi="Times New Roman" w:cs="Times New Roman"/>
          <w:b/>
          <w:bCs/>
        </w:rPr>
        <w:t xml:space="preserve"> </w:t>
      </w:r>
      <w:r w:rsidRPr="00B066C6">
        <w:rPr>
          <w:rStyle w:val="normaltextrun"/>
          <w:rFonts w:ascii="Times New Roman" w:hAnsi="Times New Roman" w:cs="Times New Roman"/>
        </w:rPr>
        <w:t>(</w:t>
      </w:r>
      <w:r w:rsidRPr="00B066C6">
        <w:rPr>
          <w:rStyle w:val="Strong"/>
          <w:rFonts w:ascii="Times New Roman" w:eastAsiaTheme="majorEastAsia" w:hAnsi="Times New Roman" w:cs="Times New Roman"/>
          <w:b w:val="0"/>
          <w:bCs w:val="0"/>
        </w:rPr>
        <w:t>SR23\1280), the American Philanthropical Society, the American Ornithological Society, the Wilson Ornithological Society (</w:t>
      </w:r>
      <w:r w:rsidRPr="00B066C6">
        <w:rPr>
          <w:rFonts w:ascii="Times New Roman" w:hAnsi="Times New Roman" w:cs="Times New Roman"/>
        </w:rPr>
        <w:t>Stewart23_NL)</w:t>
      </w:r>
      <w:r w:rsidRPr="00B066C6">
        <w:rPr>
          <w:rStyle w:val="Strong"/>
          <w:rFonts w:ascii="Times New Roman" w:eastAsiaTheme="majorEastAsia" w:hAnsi="Times New Roman" w:cs="Times New Roman"/>
        </w:rPr>
        <w:t>,</w:t>
      </w:r>
      <w:r w:rsidRPr="00B066C6">
        <w:rPr>
          <w:rStyle w:val="Strong"/>
          <w:rFonts w:ascii="Times New Roman" w:eastAsiaTheme="majorEastAsia" w:hAnsi="Times New Roman" w:cs="Times New Roman"/>
          <w:b w:val="0"/>
          <w:bCs w:val="0"/>
        </w:rPr>
        <w:t xml:space="preserve"> and the University of Tennessee</w:t>
      </w:r>
      <w:r w:rsidRPr="00B066C6">
        <w:rPr>
          <w:rStyle w:val="Strong"/>
          <w:rFonts w:ascii="Times New Roman" w:eastAsiaTheme="majorEastAsia" w:hAnsi="Times New Roman" w:cs="Times New Roman"/>
        </w:rPr>
        <w:t xml:space="preserve">. </w:t>
      </w:r>
      <w:r w:rsidRPr="00B066C6">
        <w:rPr>
          <w:rFonts w:ascii="Times New Roman" w:hAnsi="Times New Roman" w:cs="Times New Roman"/>
        </w:rPr>
        <w:t>JLR was supported by the National Science Foundation (DEB 23-39839).</w:t>
      </w:r>
    </w:p>
    <w:p w14:paraId="02D34FCF" w14:textId="6CCF24AA" w:rsidR="00451968" w:rsidRPr="00B066C6" w:rsidRDefault="00451968" w:rsidP="00D77075">
      <w:pPr>
        <w:spacing w:before="0" w:after="0"/>
        <w:rPr>
          <w:rStyle w:val="normaltextrun"/>
          <w:rFonts w:ascii="Times New Roman" w:hAnsi="Times New Roman" w:cs="Times New Roman"/>
        </w:rPr>
      </w:pPr>
      <w:r w:rsidRPr="00B066C6">
        <w:rPr>
          <w:rStyle w:val="normaltextrun"/>
          <w:rFonts w:ascii="Times New Roman" w:hAnsi="Times New Roman" w:cs="Times New Roman"/>
          <w:b/>
          <w:bCs/>
        </w:rPr>
        <w:t xml:space="preserve">Author Contributions: </w:t>
      </w:r>
      <w:r w:rsidRPr="00B066C6">
        <w:rPr>
          <w:rStyle w:val="normaltextrun"/>
          <w:rFonts w:ascii="Times New Roman" w:hAnsi="Times New Roman" w:cs="Times New Roman"/>
        </w:rPr>
        <w:t>Nicole Lussier conceived and planned the study. Nicole Lussier, Jacob Woodlief, Colton Adams, and Gregory Paladines collected and analyzed data. Jordan Karubian, J. Leighton Reid, and Charles Kwit were involved in planning, supervised the work, and aided in interpreting results and editing the manuscript. Nicole Lussier wrote the manuscript. All authors discussed results and commented on the manuscript</w:t>
      </w:r>
    </w:p>
    <w:p w14:paraId="35A2D354" w14:textId="77777777" w:rsidR="002E3DEA" w:rsidRPr="00B066C6" w:rsidRDefault="002E3DEA" w:rsidP="00D77075">
      <w:pPr>
        <w:pStyle w:val="Heading2"/>
        <w:spacing w:before="0" w:after="0"/>
        <w:rPr>
          <w:rFonts w:ascii="Times New Roman" w:hAnsi="Times New Roman" w:cs="Times New Roman"/>
          <w:b/>
          <w:bCs/>
          <w:color w:val="auto"/>
          <w:sz w:val="24"/>
          <w:szCs w:val="24"/>
        </w:rPr>
      </w:pPr>
    </w:p>
    <w:p w14:paraId="754CC121" w14:textId="77777777" w:rsidR="002E3DEA" w:rsidRPr="00B066C6" w:rsidRDefault="002E3DEA" w:rsidP="00D77075">
      <w:pPr>
        <w:spacing w:before="0" w:after="0"/>
        <w:rPr>
          <w:rFonts w:ascii="Times New Roman" w:eastAsiaTheme="majorEastAsia" w:hAnsi="Times New Roman" w:cs="Times New Roman"/>
          <w:b/>
          <w:bCs/>
        </w:rPr>
      </w:pPr>
      <w:r w:rsidRPr="00B066C6">
        <w:rPr>
          <w:rFonts w:ascii="Times New Roman" w:hAnsi="Times New Roman" w:cs="Times New Roman"/>
          <w:b/>
          <w:bCs/>
        </w:rPr>
        <w:br w:type="page"/>
      </w:r>
    </w:p>
    <w:p w14:paraId="461D3306" w14:textId="6788F76A" w:rsidR="006E5A23" w:rsidRDefault="006E5A23" w:rsidP="00D77075">
      <w:pPr>
        <w:pStyle w:val="Heading2"/>
        <w:spacing w:before="0" w:after="0"/>
        <w:rPr>
          <w:rFonts w:ascii="Times New Roman" w:hAnsi="Times New Roman" w:cs="Times New Roman"/>
          <w:b/>
          <w:bCs/>
          <w:color w:val="auto"/>
          <w:sz w:val="24"/>
          <w:szCs w:val="24"/>
        </w:rPr>
      </w:pPr>
      <w:bookmarkStart w:id="83" w:name="_Toc195189624"/>
      <w:r w:rsidRPr="00B46B6D">
        <w:rPr>
          <w:rFonts w:ascii="Times New Roman" w:hAnsi="Times New Roman" w:cs="Times New Roman"/>
          <w:b/>
          <w:bCs/>
          <w:color w:val="auto"/>
          <w:sz w:val="24"/>
          <w:szCs w:val="24"/>
        </w:rPr>
        <w:lastRenderedPageBreak/>
        <w:t>Abstract</w:t>
      </w:r>
      <w:bookmarkEnd w:id="83"/>
    </w:p>
    <w:p w14:paraId="4D6FC4E0" w14:textId="33F6579E" w:rsidR="00BD4B95" w:rsidRPr="00BD4B95" w:rsidRDefault="00BD4B95" w:rsidP="00D77075">
      <w:pPr>
        <w:spacing w:before="0" w:after="0"/>
        <w:rPr>
          <w:rStyle w:val="normaltextrun"/>
          <w:rFonts w:ascii="Times New Roman" w:hAnsi="Times New Roman" w:cs="Times New Roman"/>
          <w:color w:val="000000" w:themeColor="text1"/>
        </w:rPr>
      </w:pPr>
      <w:r w:rsidRPr="00BD4B95">
        <w:rPr>
          <w:rStyle w:val="normaltextrun"/>
          <w:rFonts w:ascii="Times New Roman" w:hAnsi="Times New Roman" w:cs="Times New Roman"/>
          <w:color w:val="000000" w:themeColor="text1"/>
        </w:rPr>
        <w:t>As biodiversity recovery remains a key component of conservation and restoration goals worldwide, conducting accurate community recovery assessments remains a significant challenge for restoration ecology. Community assessments have traditionally relied on taxonomic diversity</w:t>
      </w:r>
      <w:r w:rsidR="00D129D2">
        <w:rPr>
          <w:rStyle w:val="normaltextrun"/>
          <w:rFonts w:ascii="Times New Roman" w:hAnsi="Times New Roman" w:cs="Times New Roman"/>
          <w:color w:val="000000" w:themeColor="text1"/>
        </w:rPr>
        <w:t>, such as species richness or Shannon’s diversity i</w:t>
      </w:r>
      <w:r w:rsidRPr="00BD4B95">
        <w:rPr>
          <w:rStyle w:val="normaltextrun"/>
          <w:rFonts w:ascii="Times New Roman" w:hAnsi="Times New Roman" w:cs="Times New Roman"/>
          <w:color w:val="000000" w:themeColor="text1"/>
        </w:rPr>
        <w:t>ndices</w:t>
      </w:r>
      <w:r w:rsidR="00D129D2">
        <w:rPr>
          <w:rStyle w:val="normaltextrun"/>
          <w:rFonts w:ascii="Times New Roman" w:hAnsi="Times New Roman" w:cs="Times New Roman"/>
          <w:color w:val="000000" w:themeColor="text1"/>
        </w:rPr>
        <w:t>. M</w:t>
      </w:r>
      <w:r w:rsidRPr="00BD4B95">
        <w:rPr>
          <w:rStyle w:val="normaltextrun"/>
          <w:rFonts w:ascii="Times New Roman" w:hAnsi="Times New Roman" w:cs="Times New Roman"/>
          <w:color w:val="000000" w:themeColor="text1"/>
        </w:rPr>
        <w:t>ore recently</w:t>
      </w:r>
      <w:r w:rsidR="00D129D2">
        <w:rPr>
          <w:rStyle w:val="normaltextrun"/>
          <w:rFonts w:ascii="Times New Roman" w:hAnsi="Times New Roman" w:cs="Times New Roman"/>
          <w:color w:val="000000" w:themeColor="text1"/>
        </w:rPr>
        <w:t>,</w:t>
      </w:r>
      <w:r w:rsidRPr="00BD4B95">
        <w:rPr>
          <w:rStyle w:val="normaltextrun"/>
          <w:rFonts w:ascii="Times New Roman" w:hAnsi="Times New Roman" w:cs="Times New Roman"/>
          <w:color w:val="000000" w:themeColor="text1"/>
        </w:rPr>
        <w:t xml:space="preserve"> functional diversity indices</w:t>
      </w:r>
      <w:r w:rsidR="00D129D2">
        <w:rPr>
          <w:rStyle w:val="normaltextrun"/>
          <w:rFonts w:ascii="Times New Roman" w:hAnsi="Times New Roman" w:cs="Times New Roman"/>
          <w:color w:val="000000" w:themeColor="text1"/>
        </w:rPr>
        <w:t xml:space="preserve"> such as functional richness, dispersion, divergence, and Rao’s Quadratic Entropy have been utilized</w:t>
      </w:r>
      <w:r w:rsidRPr="00BD4B95">
        <w:rPr>
          <w:rStyle w:val="normaltextrun"/>
          <w:rFonts w:ascii="Times New Roman" w:hAnsi="Times New Roman" w:cs="Times New Roman"/>
          <w:color w:val="000000" w:themeColor="text1"/>
        </w:rPr>
        <w:t xml:space="preserve"> as a potentially more informative measure of community recovery. However, the extent to which these metrics reliably predict community responses during forest regeneration remains uncertain. In this study, we test the relationship between taxonomic and functional diversity indices of understory bird communities along a naturally regenerating forest gradient in the Chocó rainforest of northwest Ecuador. We sampled avian communities within highly impacted and lightly impacted early successional vegetation, secondary forests, and old growth Chocó rainforest, and we utilized LiDAR-derived canopy-level vegetation indices to examine relationships between diversity indices and developing forest structure. Unexpectedly, we observed an inverse relationship between most taxonomic and functional diversity measures as a function of forest regeneration class. High species richness, diversity, and functional richness were associated with open-canopy habitats within the early stages of forest regeneration due to a high presence of generalist, disturbance-tolerant species. In contrast, high functional dispersion, functional divergence, and Rao’s quadratic entropy were all associated with closed-canopy habitats and later stages of forest regeneration and were mainly driven by differences in beak and wing length. Therefore, not all functional diversity indices indicate the recovery of late-successional understory bird communities. Unlike functional richness, measures such as functional dispersion, functional divergence, and Rao’s quadratic entropy are weighted by species abundances and dominant traits within each community and better explain the shifts in composition between habitats and thus could be more useful in assessing faunal communities within regenerating tropical forests. However, functional diversity measures were only indicative of changes between open and closed canopy habitats and did not differentiate between secondary and old-growth forest systems. Lastly, observed low levels of species richness in older forests were likely due to lower detection rates from mist-netting</w:t>
      </w:r>
      <w:r w:rsidR="00402627">
        <w:rPr>
          <w:rStyle w:val="normaltextrun"/>
          <w:rFonts w:ascii="Times New Roman" w:hAnsi="Times New Roman" w:cs="Times New Roman"/>
          <w:color w:val="000000" w:themeColor="text1"/>
        </w:rPr>
        <w:t>;</w:t>
      </w:r>
      <w:r w:rsidRPr="00BD4B95">
        <w:rPr>
          <w:rStyle w:val="normaltextrun"/>
          <w:rFonts w:ascii="Times New Roman" w:hAnsi="Times New Roman" w:cs="Times New Roman"/>
          <w:color w:val="000000" w:themeColor="text1"/>
        </w:rPr>
        <w:t xml:space="preserve"> higher levels of functional diversity within these habitats </w:t>
      </w:r>
      <w:r w:rsidR="00402627">
        <w:rPr>
          <w:rStyle w:val="normaltextrun"/>
          <w:rFonts w:ascii="Times New Roman" w:hAnsi="Times New Roman" w:cs="Times New Roman"/>
          <w:color w:val="000000" w:themeColor="text1"/>
        </w:rPr>
        <w:t>suggest</w:t>
      </w:r>
      <w:r w:rsidR="00402627" w:rsidRPr="00BD4B95">
        <w:rPr>
          <w:rStyle w:val="normaltextrun"/>
          <w:rFonts w:ascii="Times New Roman" w:hAnsi="Times New Roman" w:cs="Times New Roman"/>
          <w:color w:val="000000" w:themeColor="text1"/>
        </w:rPr>
        <w:t xml:space="preserve"> </w:t>
      </w:r>
      <w:r w:rsidRPr="00BD4B95">
        <w:rPr>
          <w:rStyle w:val="normaltextrun"/>
          <w:rFonts w:ascii="Times New Roman" w:hAnsi="Times New Roman" w:cs="Times New Roman"/>
          <w:color w:val="000000" w:themeColor="text1"/>
        </w:rPr>
        <w:t xml:space="preserve">that functional diversity can be </w:t>
      </w:r>
      <w:r w:rsidRPr="00BD4B95">
        <w:rPr>
          <w:rStyle w:val="normaltextrun"/>
          <w:rFonts w:ascii="Times New Roman" w:hAnsi="Times New Roman" w:cs="Times New Roman"/>
          <w:color w:val="000000" w:themeColor="text1"/>
        </w:rPr>
        <w:lastRenderedPageBreak/>
        <w:t>assessed with less sampling, offering a more efficient approach to evaluating community responses to forest regeneration.</w:t>
      </w:r>
    </w:p>
    <w:p w14:paraId="5DC5EC7C" w14:textId="4FDB1A71" w:rsidR="006E5A23" w:rsidRPr="00B066C6" w:rsidRDefault="006E5A23" w:rsidP="00D77075">
      <w:pPr>
        <w:pStyle w:val="Heading2"/>
        <w:spacing w:before="0" w:after="0"/>
        <w:rPr>
          <w:rFonts w:ascii="Times New Roman" w:eastAsiaTheme="minorHAnsi" w:hAnsi="Times New Roman" w:cs="Times New Roman"/>
          <w:color w:val="auto"/>
          <w:sz w:val="24"/>
          <w:szCs w:val="24"/>
        </w:rPr>
      </w:pPr>
      <w:bookmarkStart w:id="84" w:name="_Toc195189625"/>
      <w:r w:rsidRPr="00B066C6">
        <w:rPr>
          <w:rFonts w:ascii="Times New Roman" w:hAnsi="Times New Roman" w:cs="Times New Roman"/>
          <w:b/>
          <w:bCs/>
          <w:color w:val="auto"/>
          <w:sz w:val="24"/>
          <w:szCs w:val="24"/>
        </w:rPr>
        <w:t>Introduction</w:t>
      </w:r>
      <w:bookmarkEnd w:id="84"/>
    </w:p>
    <w:p w14:paraId="394B0DED" w14:textId="0CD0914B" w:rsidR="0061124B" w:rsidRPr="00244B71" w:rsidRDefault="0061124B" w:rsidP="00D77075">
      <w:pPr>
        <w:spacing w:before="0" w:after="0"/>
        <w:ind w:firstLine="720"/>
        <w:rPr>
          <w:rFonts w:ascii="Times New Roman" w:hAnsi="Times New Roman" w:cs="Times New Roman"/>
        </w:rPr>
      </w:pPr>
      <w:r w:rsidRPr="00244B71">
        <w:rPr>
          <w:rFonts w:ascii="Times New Roman" w:hAnsi="Times New Roman" w:cs="Times New Roman"/>
        </w:rPr>
        <w:t xml:space="preserve">Recognizing the regenerative capacity of tropical forests is crucial for addressing climate change and biodiversity loss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{"citationID":"t8lW5AiA","properties":{"formattedCitation":"(Williams et al., 2024)","plainCitation":"(Williams et al., 2024)","noteIndex":0},"citationItems":[{"id":1714,"uris":["http://zotero.org/users/12345038/items/MMVFWEE7"],"itemData":{"id":1714,"type":"article-journal","container-title":"Nature","DOI":"10.1038/s41586-024-08106-4","ISSN":"0028-0836, 1476-4687","issue":"8041","journalAbbreviation":"Nature","language":"en","page":"131-137","source":"DOI.org (Crossref)","title":"Global potential for natural regeneration in deforested tropical regions","volume":"636","author":[{"family":"Williams","given":"Brooke A."},{"family":"Beyer","given":"Hawthorne L."},{"family":"Fagan","given":"Matthew E."},{"family":"Chazdon","given":"Robin L."},{"family":"Schmoeller","given":"Marina"},{"family":"Sprenkle-Hyppolite","given":"Starry"},{"family":"Griscom","given":"Bronson W."},{"family":"Watson","given":"James E. M."},{"family":"Tedesco","given":"Anazélia M."},{"family":"Gonzalez-Roglich","given":"Mariano"},{"family":"Daldegan","given":"Gabriel A."},{"family":"Bodin","given":"Blaise"},{"family":"Celentano","given":"Danielle"},{"family":"Wilson","given":"Sarah Jane"},{"family":"Rhodes","given":"Jonathan R."},{"family":"Alexandre","given":"Nikola S."},{"family":"Kim","given":"Do-Hyung"},{"family":"Bastos","given":"Diego"},{"family":"Crouzeilles","given":"Renato"}],"issued":{"date-parts":[["2024",12,5]]}}}],"schema":"https://github.com/citation-style-language/schema/raw/master/csl-citation.json"}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(Williams et al., 2024)</w:t>
      </w:r>
      <w:r w:rsidRPr="00244B71">
        <w:rPr>
          <w:rFonts w:ascii="Times New Roman" w:hAnsi="Times New Roman" w:cs="Times New Roman"/>
        </w:rPr>
        <w:fldChar w:fldCharType="end"/>
      </w:r>
      <w:r w:rsidRPr="00244B71">
        <w:rPr>
          <w:rFonts w:ascii="Times New Roman" w:hAnsi="Times New Roman" w:cs="Times New Roman"/>
        </w:rPr>
        <w:t xml:space="preserve">. Natural regeneration offers a large-scale, cost-effective solution to forest loss, particularly in areas where forests can recover with minimal human intervention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{"citationID":"NlUd0nNE","properties":{"formattedCitation":"(Bodin et al., 2022; Chazdon &amp; Guariguata, 2016; Williams et al., 2024)","plainCitation":"(Bodin et al., 2022; Chazdon &amp; Guariguata, 2016; Williams et al., 2024)","noteIndex":0},"citationItems":[{"id":1716,"uris":["http://zotero.org/users/12345038/items/YTAJRAC2"],"itemData":{"id":1716,"type":"article-journal","abstract":"While the policy momentum behind ecosystem restoration has never been stronger, restoration finance remains insufficient. A crucial information gap to unlock finance is the lack of robust and consistent data on the costs and benefits of restoration. This is due in part to the wide variety of contexts, interventions, and objectives of restoration projects, and to the absence of well‐defined standards and protocols for cost and benefit data collection. To fill this gap, we developed a standard framework to assess the costs and benefits of restoration projects and specific restoration interventions. The associated template for data collection, which was tested for usability during a piloting phase, is the first output of The Economics of Ecosystem Restoration (TEER), a multi‐partner initiative under the aegis of the UN Decade on Ecosystem Restoration. It is the first attempt ever to improve the robustness and comparability of data on the economics of ecosystem restoration collected from the field at a global scale. Widespread adoption of this framework and associated template by a wide range of organizations implementing or financing restoration would allow for standardized data to be fed into a jointly owned database of restoration costs and benefits and serve as a basis for the further investigation of the economics of ecosystem restoration, including cost‐benefits analysis. Better information on costs and benefits will help to inform accurate budgeting access to finance for restoration projects, and make them more likely to achieve their set goals and desired quantitative outcomes (e.g. area restored).","container-title":"Restoration Ecology","DOI":"10.1111/rec.13515","ISSN":"1061-2971, 1526-100X","issue":"3","journalAbbreviation":"Restoration Ecology","language":"en","page":"e13515","source":"DOI.org (Crossref)","title":"A standard framework for assessing the costs and benefits of restoration: introducing The Economics of Ecosystem Restoration","title-short":"A standard framework for assessing the costs and benefits of restoration","volume":"30","author":[{"family":"Bodin","given":"Blaise"},{"family":"Garavaglia","given":"Valentina"},{"family":"Pingault","given":"Nathanaël"},{"family":"Ding","given":"Helen"},{"family":"Wilson","given":"Sarah"},{"family":"Meybeck","given":"Alexandre"},{"family":"Gitz","given":"Vincent"},{"family":"Andrea","given":"Sara","non-dropping-particle":"d'"},{"family":"Besacier","given":"Christophe"}],"issued":{"date-parts":[["2022",3]]}}},{"id":1490,"uris":["http://zotero.org/users/12345038/items/XPS6LC7J"],"itemData":{"id":1490,"type":"article-journal","container-title":"Biotropica","issue":"v;48(6):716-30","language":"en","title":"Natural regeneration as a tool for large‐scale forest restoration in the tropics: prospects and challenges","author":[{"family":"Chazdon","given":"R.L."},{"family":"Guariguata","given":"M.R."}],"issued":{"date-parts":[["2016"]]}}},{"id":1714,"uris":["http://zotero.org/users/12345038/items/MMVFWEE7"],"itemData":{"id":1714,"type":"article-journal","container-title":"Nature","DOI":"10.1038/s41586-024-08106-4","ISSN":"0028-0836, 1476-4687","issue":"8041","journalAbbreviation":"Nature","language":"en","page":"131-137","source":"DOI.org (Crossref)","title":"Global potential for natural regeneration in deforested tropical regions","volume":"636","author":[{"family":"Williams","given":"Brooke A."},{"family":"Beyer","given":"Hawthorne L."},{"family":"Fagan","given":"Matthew E."},{"family":"Chazdon","given":"Robin L."},{"family":"Schmoeller","given":"Marina"},{"family":"Sprenkle-Hyppolite","given":"Starry"},{"family":"Griscom","given":"Bronson W."},{"family":"Watson","given":"James E. M."},{"family":"Tedesco","given":"Anazélia M."},{"family":"Gonzalez-Roglich","given":"Mariano"},{"family":"Daldegan","given":"Gabriel A."},{"family":"Bodin","given":"Blaise"},{"family":"Celentano","given":"Danielle"},{"family":"Wilson","given":"Sarah Jane"},{"family":"Rhodes","given":"Jonathan R."},{"family":"Alexandre","given":"Nikola S."},{"family":"Kim","given":"Do-Hyung"},{"family":"Bastos","given":"Diego"},{"family":"Crouzeilles","given":"Renato"}],"issued":{"date-parts":[["2024",12,5]]}}}],"schema":"https://github.com/citation-style-language/schema/raw/master/csl-citation.json"}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(Bodin et al., 2022; Chazdon &amp; Guariguata, 2016; Williams et al., 2024)</w:t>
      </w:r>
      <w:r w:rsidRPr="00244B71">
        <w:rPr>
          <w:rFonts w:ascii="Times New Roman" w:hAnsi="Times New Roman" w:cs="Times New Roman"/>
        </w:rPr>
        <w:fldChar w:fldCharType="end"/>
      </w:r>
      <w:r w:rsidRPr="00244B71">
        <w:rPr>
          <w:rFonts w:ascii="Times New Roman" w:hAnsi="Times New Roman" w:cs="Times New Roman"/>
        </w:rPr>
        <w:t xml:space="preserve">. Biodiversity measurements of faunal communities within stages of natural regeneration are typically used as indicators of restoration trajectories, as community dynamics can </w:t>
      </w:r>
      <w:r w:rsidR="00402627">
        <w:rPr>
          <w:rFonts w:ascii="Times New Roman" w:hAnsi="Times New Roman" w:cs="Times New Roman"/>
        </w:rPr>
        <w:t>provide</w:t>
      </w:r>
      <w:r w:rsidRPr="00244B71">
        <w:rPr>
          <w:rFonts w:ascii="Times New Roman" w:hAnsi="Times New Roman" w:cs="Times New Roman"/>
        </w:rPr>
        <w:t xml:space="preserve"> insights into the recovery of tropical forests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{"citationID":"1CzHXs9D","properties":{"formattedCitation":"(Crouzeilles et al., 2016; Derh\\uc0\\u233{} et al., 2018)","plainCitation":"(Crouzeilles et al., 2016; Derhé et al., 2018)","noteIndex":0},"citationItems":[{"id":582,"uris":["http://zotero.org/users/12345038/items/SPZI4XTK"],"itemData":{"id":582,"type":"article-journal","abstract":"Abstract\n            Two billion ha have been identified globally for forest restoration. Our meta-analysis encompassing 221 study landscapes worldwide reveals forest restoration enhances biodiversity by 15–84% and vegetation structure by 36–77%, compared with degraded ecosystems. For the first time, we identify the main ecological drivers of forest restoration success (defined as a return to a reference condition, that is, old-growth forest) at both the local and landscape scale. These are as follows: the time elapsed since restoration began, disturbance type and landscape context. The time elapsed since restoration began strongly drives restoration success in secondary forests, but not in selectively logged forests (which are more ecologically similar to reference systems). Landscape restoration will be most successful when previous disturbance is less intensive and habitat is less fragmented in the landscape. Restoration does not result in full recovery of biodiversity and vegetation structure, but can complement old-growth forests if there is sufficient time for ecological succession.","container-title":"Nature Communications","DOI":"10.1038/ncomms11666","ISSN":"2041-1723","issue":"1","journalAbbreviation":"Nat Commun","language":"en","page":"11666","source":"DOI.org (Crossref)","title":"A global meta-analysis on the ecological drivers of forest restoration success","volume":"7","author":[{"family":"Crouzeilles","given":"Renato"},{"family":"Curran","given":"Michael"},{"family":"Ferreira","given":"Mariana S."},{"family":"Lindenmayer","given":"David B."},{"family":"Grelle","given":"Carlos E. V."},{"family":"Rey Benayas","given":"José M."}],"issued":{"date-parts":[["2016",5,19]]}}},{"id":1498,"uris":["http://zotero.org/users/12345038/items/HQEXVCW8"],"itemData":{"id":1498,"type":"article-journal","container-title":"Restoration Ecology","language":"en","title":"Recovery of mammal diversity in tropical forests: a functional approach to measuring restoration","author":[{"family":"Derhé","given":"M.A."},{"family":"Murphy","given":"H.T."},{"family":"Preece","given":"N.D."},{"family":"Lawes","given":"M.J."},{"family":"Menéndez","given":"R."}],"issued":{"date-parts":[["2018",7,26]]}}}],"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rPr>
        <w:t>(Crouzeilles et al., 2016; Derhé et al., 2018)</w:t>
      </w:r>
      <w:r w:rsidRPr="00244B71">
        <w:rPr>
          <w:rFonts w:ascii="Times New Roman" w:hAnsi="Times New Roman" w:cs="Times New Roman"/>
        </w:rPr>
        <w:fldChar w:fldCharType="end"/>
      </w:r>
      <w:r w:rsidRPr="00244B71">
        <w:rPr>
          <w:rFonts w:ascii="Times New Roman" w:hAnsi="Times New Roman" w:cs="Times New Roman"/>
        </w:rPr>
        <w:t xml:space="preserve">. This is typically done using taxonomic diversity indices (species richness and abundance), which may fail to capture the full range of functional contributions within a community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{"citationID":"0ap0HykL","properties":{"formattedCitation":"(Acevedo\\uc0\\u8208{}Charry &amp; Aide, 2019a; Crouzeilles et al., 2016; Moreno-Mateos et al., 2020)","plainCitation":"(Acevedo‐Charry &amp; Aide, 2019a; Crouzeilles et al., 2016; Moreno-Mateos et al., 2020)","dontUpdate":true,"noteIndex":0},"citationItems":[{"id":84,"uris":["http://zotero.org/users/12345038/items/83XIVVNE"],"itemData":{"id":84,"type":"article-journal","container-title":"Oikos","DOI":"10.1111/oik.06252","ISSN":"0030-1299, 1600-0706","issue":"8","journalAbbreviation":"Oikos","language":"en","page":"1065-1078","source":"DOI.org (Crossref)","title":"Recovery of amphibian, reptile, bird and mammal diversity during secondary forest succession in the tropics","volume":"128","author":[{"family":"Acevedo‐Charry","given":"Orlando"},{"family":"Aide","given":"T. Mitchell"}],"issued":{"date-parts":[["2019",8]]}}},{"id":582,"uris":["http://zotero.org/users/12345038/items/SPZI4XTK"],"itemData":{"id":582,"type":"article-journal","abstract":"Abstract\n            Two billion ha have been identified globally for forest restoration. Our meta-analysis encompassing 221 study landscapes worldwide reveals forest restoration enhances biodiversity by 15–84% and vegetation structure by 36–77%, compared with degraded ecosystems. For the first time, we identify the main ecological drivers of forest restoration success (defined as a return to a reference condition, that is, old-growth forest) at both the local and landscape scale. These are as follows: the time elapsed since restoration began, disturbance type and landscape context. The time elapsed since restoration began strongly drives restoration success in secondary forests, but not in selectively logged forests (which are more ecologically similar to reference systems). Landscape restoration will be most successful when previous disturbance is less intensive and habitat is less fragmented in the landscape. Restoration does not result in full recovery of biodiversity and vegetation structure, but can complement old-growth forests if there is sufficient time for ecological succession.","container-title":"Nature Communications","DOI":"10.1038/ncomms11666","ISSN":"2041-1723","issue":"1","journalAbbreviation":"Nat Commun","language":"en","page":"11666","source":"DOI.org (Crossref)","title":"A global meta-analysis on the ecological drivers of forest restoration success","volume":"7","author":[{"family":"Crouzeilles","given":"Renato"},{"family":"Curran","given":"Michael"},{"family":"Ferreira","given":"Mariana S."},{"family":"Lindenmayer","given":"David B."},{"family":"Grelle","given":"Carlos E. V."},{"family":"Rey Benayas","given":"José M."}],"issued":{"date-parts":[["2016",5,19]]}}},{"id":112,"uris":["http://zotero.org/users/12345038/items/RP576YCE"],"itemData":{"id":112,"type":"article-journal","container-title":"Nature Ecology &amp; Evolution","DOI":"10.1038/s41559-020-1154-1","ISSN":"2397-334X","issue":"5","journalAbbreviation":"Nat Ecol Evol","language":"en","page":"676-685","source":"DOI.org (Crossref)","title":"The long-term restoration of ecosystem complexity","volume":"4","author":[{"family":"Moreno-Mateos","given":"David"},{"family":"Alberdi","given":"Antton"},{"family":"Morriën","given":"Elly"},{"family":"Putten","given":"Wim H.","non-dropping-particle":"van der"},{"family":"Rodríguez-Uña","given":"Asun"},{"family":"Montoya","given":"Daniel"}],"issued":{"date-parts":[["2020",5]]}}}],"schema":"https://github.com/citation-style-language/schema/raw/master/csl-citation.json"}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rPr>
        <w:t>(Acevedo‐Charry &amp; Aide, 2019; Crouzeilles et al., 2016; Moreno-Mateos et al., 2020)</w:t>
      </w:r>
      <w:r w:rsidRPr="00244B71">
        <w:rPr>
          <w:rFonts w:ascii="Times New Roman" w:hAnsi="Times New Roman" w:cs="Times New Roman"/>
        </w:rPr>
        <w:fldChar w:fldCharType="end"/>
      </w:r>
      <w:r w:rsidRPr="00244B71">
        <w:rPr>
          <w:rFonts w:ascii="Times New Roman" w:hAnsi="Times New Roman" w:cs="Times New Roman"/>
        </w:rPr>
        <w:t xml:space="preserve">. Thus, functional diversity indices are becoming increasingly popular to evaluate community responses to topical forest regeneration, as they </w:t>
      </w:r>
      <w:r w:rsidRPr="00244B71">
        <w:rPr>
          <w:rFonts w:ascii="Times New Roman" w:hAnsi="Times New Roman" w:cs="Times New Roman"/>
          <w:color w:val="000000"/>
          <w:shd w:val="clear" w:color="auto" w:fill="FFFFFF"/>
        </w:rPr>
        <w:t xml:space="preserve">consider both species richness and abundance in combination with traits relative to species ecological roles </w:t>
      </w:r>
      <w:r w:rsidRPr="00244B71">
        <w:rPr>
          <w:rFonts w:ascii="Times New Roman" w:hAnsi="Times New Roman" w:cs="Times New Roman"/>
          <w:color w:val="000000"/>
          <w:shd w:val="clear" w:color="auto" w:fill="FFFFFF"/>
        </w:rPr>
        <w:fldChar w:fldCharType="begin"/>
      </w:r>
      <w:r w:rsidRPr="00244B71">
        <w:rPr>
          <w:rFonts w:ascii="Times New Roman" w:hAnsi="Times New Roman" w:cs="Times New Roman"/>
          <w:color w:val="000000"/>
          <w:shd w:val="clear" w:color="auto" w:fill="FFFFFF"/>
        </w:rPr>
        <w:instrText xml:space="preserve"> ADDIN ZOTERO_ITEM CSL_CITATION {"citationID":"wfqBoHl0","properties":{"formattedCitation":"(Derh\\uc0\\u233{} et al., 2018; O\\uc0\\u8217{}Brien et al., 2022)","plainCitation":"(Derhé et al., 2018; O’Brien et al., 2022)","noteIndex":0},"citationItems":[{"id":1498,"uris":["http://zotero.org/users/12345038/items/HQEXVCW8"],"itemData":{"id":1498,"type":"article-journal","container-title":"Restoration Ecology","language":"en","title":"Recovery of mammal diversity in tropical forests: a functional approach to measuring restoration","author":[{"family":"Derhé","given":"M.A."},{"family":"Murphy","given":"H.T."},{"family":"Preece","given":"N.D."},{"family":"Lawes","given":"M.J."},{"family":"Menéndez","given":"R."}],"issued":{"date-parts":[["2018",7,26]]}}},{"id":1442,"uris":["http://zotero.org/users/12345038/items/9IWVZL2G"],"itemData":{"id":1442,"type":"article-journal","abstract":"Ecological restoration aims at recovering biodiversity in degraded ecosystems, and it is commonly assessed via species richness. However, it is unclear whether increasing species richness in a site also recovers its functional diversity (FD), which has been shown to be a better representation of ecosystem functioning. We conducted a quantitative synthesis of 30 restoration projects and tested whether restoration improves FD. We compared actively and passively restored sites with degraded and reference sites with respect to four key measures of FD (functional richness, evenness, dispersion, and turnover) and two measures of species diversity (richness and evenness). We separately analyzed longitudinal studies (which monitor degraded, reference, and restored sites through time) and space-for-time substitutions (which compare at one point in time degraded and reference sites with restored sites of different ages). Space-for-time studies suggested that species diversity and FD improved over time. However, replicated longitudinal data showed no sustained benefits of active or passive restoration for FD measures, relative to degraded sites. This could suggest that the positive results in space-for-time designs may have been unreliable, but the relatively short duration of longitudinal studies suggests a need for longer-term longitudinal research to robustly demonstrate the absence of any effect. These differences across study designs may explain the variable results found in recent studies directly measuring the response of FD to restoration. We recommend that future assessments of ecological community dynamics include control sites in monitoring, to ensure that the consequences of treatments, including but not limited to restoration, are correctly partitioned from unassisted temporal changes.","container-title":"Ecology","DOI":"10.1002/ecy.3618","ISSN":"0012-9658, 1939-9170","issue":"3","journalAbbreviation":"Ecology","language":"en","page":"e3618","source":"DOI.org (Crossref)","title":"The recovery of functional diversity with restoration","volume":"103","author":[{"family":"O'Brien","given":"Sophie A."},{"family":"Dehling","given":"D. Matthias"},{"family":"Tylianakis","given":"Jason M."}],"issued":{"date-parts":[["2022",3]]}}}],"schema":"https://github.com/citation-style-language/schema/raw/master/csl-citation.json"} </w:instrText>
      </w:r>
      <w:r w:rsidRPr="00244B71">
        <w:rPr>
          <w:rFonts w:ascii="Times New Roman" w:hAnsi="Times New Roman" w:cs="Times New Roman"/>
          <w:color w:val="000000"/>
          <w:shd w:val="clear" w:color="auto" w:fill="FFFFFF"/>
        </w:rPr>
        <w:fldChar w:fldCharType="separate"/>
      </w:r>
      <w:r w:rsidRPr="00244B71">
        <w:rPr>
          <w:rFonts w:ascii="Times New Roman" w:hAnsi="Times New Roman" w:cs="Times New Roman"/>
          <w:color w:val="000000"/>
        </w:rPr>
        <w:t>(Derhé et al., 2018; O’Brien et al., 2022)</w:t>
      </w:r>
      <w:r w:rsidRPr="00244B71">
        <w:rPr>
          <w:rFonts w:ascii="Times New Roman" w:hAnsi="Times New Roman" w:cs="Times New Roman"/>
          <w:color w:val="000000"/>
          <w:shd w:val="clear" w:color="auto" w:fill="FFFFFF"/>
        </w:rPr>
        <w:fldChar w:fldCharType="end"/>
      </w:r>
      <w:r w:rsidRPr="00244B71">
        <w:rPr>
          <w:rFonts w:ascii="Times New Roman" w:hAnsi="Times New Roman" w:cs="Times New Roman"/>
          <w:color w:val="000000"/>
          <w:shd w:val="clear" w:color="auto" w:fill="FFFFFF"/>
        </w:rPr>
        <w:t>.</w:t>
      </w:r>
      <w:r w:rsidRPr="00244B71">
        <w:rPr>
          <w:rFonts w:ascii="Times New Roman" w:hAnsi="Times New Roman" w:cs="Times New Roman"/>
          <w:color w:val="000000" w:themeColor="text1"/>
        </w:rPr>
        <w:t xml:space="preserve"> </w:t>
      </w:r>
      <w:r w:rsidRPr="00244B71">
        <w:rPr>
          <w:rFonts w:ascii="Times New Roman" w:hAnsi="Times New Roman" w:cs="Times New Roman"/>
        </w:rPr>
        <w:t xml:space="preserve">However, the extent to which functional diversity indices reliably predict </w:t>
      </w:r>
      <w:r w:rsidR="00860547">
        <w:rPr>
          <w:rFonts w:ascii="Times New Roman" w:hAnsi="Times New Roman" w:cs="Times New Roman"/>
        </w:rPr>
        <w:t>community</w:t>
      </w:r>
      <w:r w:rsidRPr="00244B71">
        <w:rPr>
          <w:rFonts w:ascii="Times New Roman" w:hAnsi="Times New Roman" w:cs="Times New Roman"/>
        </w:rPr>
        <w:t xml:space="preserve"> patterns</w:t>
      </w:r>
      <w:r w:rsidR="00860547">
        <w:rPr>
          <w:rFonts w:ascii="Times New Roman" w:hAnsi="Times New Roman" w:cs="Times New Roman"/>
        </w:rPr>
        <w:t xml:space="preserve"> across stages of succession </w:t>
      </w:r>
      <w:r w:rsidRPr="00244B71">
        <w:rPr>
          <w:rFonts w:ascii="Times New Roman" w:hAnsi="Times New Roman" w:cs="Times New Roman"/>
        </w:rPr>
        <w:t xml:space="preserve">is not well understood. Therefore, this study aims to understand the drivers of functional diversity across forest regeneration and identify which diversity measures might be useful indicators for ecological restoration. </w:t>
      </w:r>
    </w:p>
    <w:p w14:paraId="782ADE0B" w14:textId="450532E1" w:rsidR="00244B71" w:rsidRPr="00244B71" w:rsidRDefault="00244B71" w:rsidP="00D77075">
      <w:pPr>
        <w:spacing w:before="0" w:after="0"/>
        <w:ind w:firstLine="720"/>
        <w:rPr>
          <w:rFonts w:ascii="Times New Roman" w:hAnsi="Times New Roman" w:cs="Times New Roman"/>
        </w:rPr>
      </w:pPr>
      <w:r w:rsidRPr="00244B71">
        <w:rPr>
          <w:rFonts w:ascii="Times New Roman" w:hAnsi="Times New Roman" w:cs="Times New Roman"/>
        </w:rPr>
        <w:t xml:space="preserve">Tropical forest regeneration depends on the reassembly of functionally significant species, such as tropical birds </w:t>
      </w:r>
      <w:r w:rsidRPr="00244B71">
        <w:rPr>
          <w:rFonts w:ascii="Times New Roman" w:hAnsi="Times New Roman" w:cs="Times New Roman"/>
          <w:color w:val="000000"/>
          <w:shd w:val="clear" w:color="auto" w:fill="FFFFFF"/>
        </w:rPr>
        <w:fldChar w:fldCharType="begin"/>
      </w:r>
      <w:r w:rsidRPr="00244B71">
        <w:rPr>
          <w:rFonts w:ascii="Times New Roman" w:hAnsi="Times New Roman" w:cs="Times New Roman"/>
          <w:color w:val="000000"/>
          <w:shd w:val="clear" w:color="auto" w:fill="FFFFFF"/>
        </w:rPr>
        <w:instrText xml:space="preserve"> ADDIN ZOTERO_ITEM CSL_CITATION {"citationID":"Xjy2MoGd","properties":{"formattedCitation":"(Bello et al., 2024; Carlo &amp; Morales, 2016; Lee, 2018)","plainCitation":"(Bello et al., 2024; Carlo &amp; Morales, 2016; Lee, 2018)","noteIndex":0},"citationItems":[{"id":1562,"uris":["http://zotero.org/users/12345038/items/85WKPAWJ"],"itemData":{"id":1562,"type":"article-journal","container-title":"Nat. Clim. Chang","language":"en","page":"636–643","title":"Frugivores enhance potential carbon recovery in fragmented landscapes","volume":"14","author":[{"family":"Bello","given":"C."},{"family":"Crowther","given":"T.W."},{"family":"Ramos","given":"D.L."}],"issued":{"date-parts":[["2024"]]}}},{"id":921,"uris":["http://zotero.org/users/12345038/items/CN7IZS9W"],"itemData":{"id":921,"type":"article-journal","container-title":"ECOLOGY","DOI":"10.1890/15-2147.1","ISSN":"0012-9658","issue":"7","page":"1819-1831","title":"Generalist birds promote tropical forest regeneration and increase plant diversity via rare-biased seed dispersal","volume":"97","author":[{"family":"Carlo","given":"Tomas A."},{"family":"Morales","given":"Juan M."}],"issued":{"date-parts":[["2016",7]]}}},{"id":690,"uris":["http://zotero.org/users/12345038/items/CPLCCCRJ"],"itemData":{"id":690,"type":"article-journal","container-title":"Ostrich","DOI":"10.2989/00306525.2018.1465788","ISSN":"0030-6525, 1727-947X","issue":"2","journalAbbreviation":"Ostrich","language":"en","page":"203-204","source":"DOI.org (Crossref)","title":"Why Birds Matter: Avian Ecological Function and Ecosystem Services","title-short":"Why Birds Matter","volume":"89","author":[{"family":"Lee","given":"Alan TK"}],"issued":{"date-parts":[["2018",4,3]]}}}],"schema":"https://github.com/citation-style-language/schema/raw/master/csl-citation.json"} </w:instrText>
      </w:r>
      <w:r w:rsidRPr="00244B71">
        <w:rPr>
          <w:rFonts w:ascii="Times New Roman" w:hAnsi="Times New Roman" w:cs="Times New Roman"/>
          <w:color w:val="000000"/>
          <w:shd w:val="clear" w:color="auto" w:fill="FFFFFF"/>
        </w:rPr>
        <w:fldChar w:fldCharType="separate"/>
      </w:r>
      <w:r w:rsidRPr="00244B71">
        <w:rPr>
          <w:rFonts w:ascii="Times New Roman" w:hAnsi="Times New Roman" w:cs="Times New Roman"/>
          <w:noProof/>
          <w:color w:val="000000"/>
          <w:shd w:val="clear" w:color="auto" w:fill="FFFFFF"/>
        </w:rPr>
        <w:t>(Bello et al., 2024; Carlo &amp; Morales, 2016; Lee, 2018)</w:t>
      </w:r>
      <w:r w:rsidRPr="00244B71">
        <w:rPr>
          <w:rFonts w:ascii="Times New Roman" w:hAnsi="Times New Roman" w:cs="Times New Roman"/>
          <w:color w:val="000000"/>
          <w:shd w:val="clear" w:color="auto" w:fill="FFFFFF"/>
        </w:rPr>
        <w:fldChar w:fldCharType="end"/>
      </w:r>
      <w:r w:rsidRPr="00244B71">
        <w:rPr>
          <w:rFonts w:ascii="Times New Roman" w:hAnsi="Times New Roman" w:cs="Times New Roman"/>
          <w:color w:val="000000"/>
          <w:shd w:val="clear" w:color="auto" w:fill="FFFFFF"/>
        </w:rPr>
        <w:t>.</w:t>
      </w:r>
      <w:r w:rsidRPr="00244B71">
        <w:rPr>
          <w:rFonts w:ascii="Times New Roman" w:hAnsi="Times New Roman" w:cs="Times New Roman"/>
        </w:rPr>
        <w:t xml:space="preserve"> Many studies have utilized bird communities as a tool to compare stages of forest regeneration and restoration success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{"citationID":"oEB5kOAT","properties":{"formattedCitation":"(Barros et al., 2022; Helms et al., 2018; Latja et al., 2016)","plainCitation":"(Barros et al., 2022; Helms et al., 2018; Latja et al., 2016)","noteIndex":0},"citationItems":[{"id":1574,"uris":["http://zotero.org/users/12345038/items/AYD29N88"],"itemData":{"id":1574,"type":"article-journal","container-title":"Ecological Engineering","DOI":"10.1016/j.ecoleng.2022.106721","ISSN":"09258574","journalAbbreviation":"Ecological Engineering","language":"en","page":"106721","source":"DOI.org (Crossref)","title":"Taxonomic and functional diversity of bird communities in mining areas undergoing passive and active restoration in eastern Amazon","volume":"182","author":[{"family":"Barros","given":"Fernanda De Carvalho"},{"family":"Almeida","given":"Sara Miranda"},{"family":"Godoy","given":"Bruno Spacek"},{"family":"Silva","given":"Ricardo Ribeiro Da"},{"family":"Silva","given":"Larissa Cardoso"},{"family":"De Moraes","given":"Kauê Felippe"},{"family":"Santos","given":"Marcos Pérsio Dantas"}],"issued":{"date-parts":[["2022",9]]}}},{"id":602,"uris":["http://zotero.org/users/12345038/items/SLL44EY8"],"itemData":{"id":602,"type":"article-journal","abstract":"The island of Borneo suffers from one of the highest deforestation rates in the world, primarily due to agriculture, logging, and other human activities. This habitat loss may be partly mitigated by reforestation programs in degraded landscapes, especially anthropogenic grasslands that have little conservation or economic value. By monitoring native bird communities, we evaluated the success of two small (&lt;20 ha) community reforestation projects in Gunung Palung National Park in Indonesian Borneo. Birds responded rapidly following reforestation, with species richness doubling over 7 years at one site, and increasing by 29% in just 3 years at the other. Final tallies (63–70 species per site) were comparable to those obtained in older secondary forests elsewhere in Borneo. Anthropogenic fire is the primary threat to reforestation success, but intensive fire prevention allows bird communities to recover from temporary setbacks. Absence of fire was thus the most important factor in recovery, and we detected no effect of replanted area on bird species richness. Our results suggest that by engaging local communities and ensuring long-term maintenance, even small reforestation sites in Borneo can provide immediate benefits for native biodiversity.","container-title":"Tropical Conservation Science","DOI":"10.1177/1940082918769460","ISSN":"1940-0829, 1940-0829","journalAbbreviation":"Tropical Conservation Science","language":"en","page":"194008291876946","source":"DOI.org (Crossref)","title":"Rapid Response of Bird Communities to Small-Scale Reforestation in Indonesian Borneo","volume":"11","author":[{"family":"Helms","given":"Jackson A."},{"family":"Woerner","given":"Christopher R."},{"family":"Fawzi","given":"Nurul I."},{"family":"MacDonald","given":"Andrew"},{"literal":"Juliansyah"},{"family":"Pohnan","given":"Erica"},{"family":"Webb","given":"Kinari"}],"issued":{"date-parts":[["2018",1]]}}},{"id":478,"uris":["http://zotero.org/users/12345038/items/Y4VZJI7A"],"itemData":{"id":478,"type":"article-journal","abstract":"Active restoration of rainforests is essential in enhancing the recovery of biodiversity in many tropical regions suffering from deforestation. However, the value of actively restored rainforests for birds is still relatively poorly understood because of the short history of active restoration programs. Here, we studied the recovery of bird communities in Kibale National Park, Uganda. We sampled birds along a restoration gradient consisting of six restoration areas (3–16 years old) and used ﬁve primary forests as reference areas. We found that bird community compositions changed in an orderly fashion along the restoration gradient. The abundance of arboreal insectivore frugivores and forest specialists increased, while that of foliage-gleaning insectivores, granivores and forest visitors decreased towards older sites. The similarity of the bird communities of the restored forests to those of the nearby primary forests increased linearly with time. If this recovery rate is extrapolated to the future, the bird communities could reach a pre-disturbance state after only approximately 20 years of active restoration. However, previous studies have shown that recovery is typically a non-linear process, and the time needed for bird communities to recover is more likely longer than this. Nevertheless, our study provides evidence that bird communities beneﬁt from active rainforest restoration after human-induced deforestation.","container-title":"Biological Conservation","DOI":"10.1016/j.biocon.2016.05.035","ISSN":"00063207","journalAbbreviation":"Biological Conservation","language":"en","page":"70-79","source":"DOI.org (Crossref)","title":"Active restoration facilitates bird community recovery in an Afrotropical rainforest","volume":"200","author":[{"family":"Latja","given":"Pirita"},{"family":"Valtonen","given":"Anu"},{"family":"Malinga","given":"Geoffrey M."},{"family":"Roininen","given":"Heikki"}],"issued":{"date-parts":[["2016",8]]}}}],"schema":"https://github.com/citation-style-language/schema/raw/master/csl-citation.json"}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(Barros et al., 2022; Helms et al., 2018; Latja et al., 2016)</w:t>
      </w:r>
      <w:r w:rsidRPr="00244B71">
        <w:rPr>
          <w:rFonts w:ascii="Times New Roman" w:hAnsi="Times New Roman" w:cs="Times New Roman"/>
        </w:rPr>
        <w:fldChar w:fldCharType="end"/>
      </w:r>
      <w:r w:rsidRPr="00244B71">
        <w:rPr>
          <w:rFonts w:ascii="Times New Roman" w:hAnsi="Times New Roman" w:cs="Times New Roman"/>
        </w:rPr>
        <w:t xml:space="preserve">. Birds play a critical role in forest regeneration by dispersing seeds for the majority of tropical woody plants (&gt;85%), especially in degraded areas where seed availability limits recovery </w:t>
      </w:r>
      <w:r w:rsidRPr="00244B71">
        <w:rPr>
          <w:rFonts w:ascii="Times New Roman" w:hAnsi="Times New Roman" w:cs="Times New Roman"/>
        </w:rPr>
        <w:fldChar w:fldCharType="begin"/>
      </w:r>
      <w:r w:rsidR="00BC132B">
        <w:rPr>
          <w:rFonts w:ascii="Times New Roman" w:hAnsi="Times New Roman" w:cs="Times New Roman"/>
        </w:rPr>
        <w:instrText xml:space="preserve"> ADDIN ZOTERO_ITEM CSL_CITATION {"citationID":"dO0jMSsH","properties":{"formattedCitation":"(Holl, 1999; Howe &amp; Smallwood, 1982; Wunderle, 1997b)","plainCitation":"(Holl, 1999; Howe &amp; Smallwood, 1982; Wunderle, 1997b)","noteIndex":0},"citationItems":[{"id":1511,"uris":["http://zotero.org/users/12345038/items/K8ARKNPM"],"itemData":{"id":1511,"type":"article-journal","container-title":"Biotropica","DOI":"10.1111/j.1744-7429.1999.tb00135.x","language":"en","page":"229–242","title":"Factors Limiting Tropical Rain Forest Regeneration in Abandoned Pasture: Seed Rain, Seed Germination, Microclimate, and Soil†","volume":"31","author":[{"family":"Holl","given":"K.D."}],"issued":{"date-parts":[["1999"]]}}},{"id":262,"uris":["http://zotero.org/users/local/0R4uToEG/items/PS9Z9RSL","http://zotero.org/users/12345038/items/PS9Z9RSL"],"itemData":{"id":262,"type":"article-journal","container-title":"Annual Review of Ecology and Systematics","DOI":"10.1146/annurev.es.13.110182.001221","ISSN":"0066-4162","issue":"1","journalAbbreviation":"Annu. Rev. Ecol. Syst.","language":"en","page":"201-228","source":"DOI.org (Crossref)","title":"Ecology of Seed Dispersal","volume":"13","author":[{"family":"Howe","given":"H F"},{"family":"Smallwood","given":"J"}],"issued":{"date-parts":[["1982",11]]}}},{"id":494,"uris":["http://zotero.org/users/12345038/items/6RVSQJJ3"],"itemData":{"id":494,"type":"article-journal","container-title":"Forest Ecology and Management","DOI":"10.1016/S0378-1127(97)00208-9","ISSN":"03781127","issue":"1-2","journalAbbreviation":"Forest Ecology and Management","language":"en","page":"223-235","source":"DOI.org (Crossref)","title":"The role of animal seed dispersal in accelerating native forest regeneration on degraded tropical lands","volume":"99","author":[{"family":"Wunderle","given":"Joseph M"}],"issued":{"date-parts":[["1997",12]]}}}],"schema":"https://github.com/citation-style-language/schema/raw/master/csl-citation.json"} </w:instrText>
      </w:r>
      <w:r w:rsidRPr="00244B71">
        <w:rPr>
          <w:rFonts w:ascii="Times New Roman" w:hAnsi="Times New Roman" w:cs="Times New Roman"/>
        </w:rPr>
        <w:fldChar w:fldCharType="separate"/>
      </w:r>
      <w:r w:rsidR="00BC132B">
        <w:rPr>
          <w:rFonts w:ascii="Times New Roman" w:hAnsi="Times New Roman" w:cs="Times New Roman"/>
          <w:noProof/>
        </w:rPr>
        <w:t>(Holl, 1999; Howe &amp; Smallwood, 1982; Wunderle, 1997b)</w:t>
      </w:r>
      <w:r w:rsidRPr="00244B71">
        <w:rPr>
          <w:rFonts w:ascii="Times New Roman" w:hAnsi="Times New Roman" w:cs="Times New Roman"/>
        </w:rPr>
        <w:fldChar w:fldCharType="end"/>
      </w:r>
      <w:r w:rsidRPr="00244B71">
        <w:rPr>
          <w:rFonts w:ascii="Times New Roman" w:hAnsi="Times New Roman" w:cs="Times New Roman"/>
        </w:rPr>
        <w:t>. In addition, nectivorous and insectivorous birds influence energy pathways critical to forest regrowth</w:t>
      </w:r>
      <w:r w:rsidR="00402627">
        <w:rPr>
          <w:rFonts w:ascii="Times New Roman" w:hAnsi="Times New Roman" w:cs="Times New Roman"/>
        </w:rPr>
        <w:t>;</w:t>
      </w:r>
      <w:r w:rsidRPr="00244B71">
        <w:rPr>
          <w:rFonts w:ascii="Times New Roman" w:hAnsi="Times New Roman" w:cs="Times New Roman"/>
        </w:rPr>
        <w:t xml:space="preserve"> studies show that they consume up to 2.5 times more resources in open forests compared to old-growth systems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{"citationID":"hPkE9aK9","properties":{"formattedCitation":"(Malhi et al., 2022)","plainCitation":"(Malhi et al., 2022)","noteIndex":0},"citationItems":[{"id":1707,"uris":["http://zotero.org/users/12345038/items/BQ8EC7IJ"],"itemData":{"id":1707,"type":"article-journal","abstract":"Abstract\n            \n              Old-growth tropical forests are widely recognized as being immensely important for their biodiversity and high biomass\n              1\n              . Conversely, logged tropical forests are usually characterized as degraded ecosystems\n              2\n              . However, whether logging results in a degradation in ecosystem functions is less clear: shifts in the strength and resilience of key ecosystem processes in large suites of species have rarely been assessed in an ecologically integrated and quantitative framework. Here we adopt an ecosystem energetics lens to gain new insight into the impacts of tropical forest disturbance on a key integrative aspect of ecological function: food pathways and community structure of birds and mammals. We focus on a gradient spanning old-growth and logged forests and oil palm plantations in Borneo. In logged forest there is a 2.5-fold increase in total resource consumption by both birds and mammals compared to that in old-growth forests, probably driven by greater resource accessibility and vegetation palatability. Most principal energetic pathways maintain high species diversity and redundancy, implying maintained resilience. Conversion of logged forest into oil palm plantation results in the collapse of most energetic pathways. Far from being degraded ecosystems, even heavily logged forests can be vibrant and diverse ecosystems with enhanced levels of ecological function.","container-title":"Nature","DOI":"10.1038/s41586-022-05523-1","ISSN":"0028-0836, 1476-4687","issue":"7941","journalAbbreviation":"Nature","language":"en","page":"707-713","source":"DOI.org (Crossref)","title":"Logged tropical forests have amplified and diverse ecosystem energetics","volume":"612","author":[{"family":"Malhi","given":"Yadvinder"},{"family":"Riutta","given":"Terhi"},{"family":"Wearn","given":"Oliver R."},{"family":"Deere","given":"Nicolas J."},{"family":"Mitchell","given":"Simon L."},{"family":"Bernard","given":"Henry"},{"family":"Majalap","given":"Noreen"},{"family":"Nilus","given":"Reuben"},{"family":"Davies","given":"Zoe G."},{"family":"Ewers","given":"Robert M."},{"family":"Struebig","given":"Matthew J."}],"issued":{"date-parts":[["2022",12,22]]}}}],"schema":"https://github.com/citation-style-language/schema/raw/master/csl-citation.json"}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(Malhi et al., 2022)</w:t>
      </w:r>
      <w:r w:rsidRPr="00244B71">
        <w:rPr>
          <w:rFonts w:ascii="Times New Roman" w:hAnsi="Times New Roman" w:cs="Times New Roman"/>
        </w:rPr>
        <w:fldChar w:fldCharType="end"/>
      </w:r>
      <w:r w:rsidRPr="00244B71">
        <w:rPr>
          <w:rFonts w:ascii="Times New Roman" w:hAnsi="Times New Roman" w:cs="Times New Roman"/>
        </w:rPr>
        <w:t xml:space="preserve">. Insectivorous birds are important predators of </w:t>
      </w:r>
      <w:r w:rsidR="00402627">
        <w:rPr>
          <w:rFonts w:ascii="Times New Roman" w:hAnsi="Times New Roman" w:cs="Times New Roman"/>
        </w:rPr>
        <w:t xml:space="preserve">insect </w:t>
      </w:r>
      <w:r w:rsidRPr="00244B71">
        <w:rPr>
          <w:rFonts w:ascii="Times New Roman" w:hAnsi="Times New Roman" w:cs="Times New Roman"/>
        </w:rPr>
        <w:t xml:space="preserve">herbivores, reducing leaf damage on regenerating trees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{"citationID":"3Gza0GR0","properties":{"formattedCitation":"(Morrison &amp; Lindell, 2012)","plainCitation":"(Morrison &amp; Lindell, 2012)","noteIndex":0},"citationItems":[{"id":1775,"uris":["http://zotero.org/users/12345038/items/LH9MCXRH"],"itemData":{"id":1775,"type":"article-journal","abstract":"Both birds and bats are important insect predators in tropical systems. However, the relative influence of birds and bats on insect populations and their indirect effects on leaf damage have not previously been investigated in tropical forest restoration sites. Leaf damage by herbivorous insects can negatively affect the growth and survival of tropical plants and thus can influence the success of tropical forest restoration efforts. We used an exclosure experiment to examine the top‐down effects of birds and bats on insects and leaf damage in a large‐scale forest restoration experiment. Given the potential influence of tree planting design on bird and bat abundances, we also investigated planting design effects on bird and bat insectivory and leaf damage. The experiment included two planting treatment plots: islands, where trees were planted in patches, and plantations, where trees were planted in rows to create continuous cover. In both types of plots, insect biomass was highest on tree branches where both birds and bats were excluded from foraging and lowest on branches without exclosures where both birds and bats were present. In the island plots, birds and bats had approximately equal impacts on insect populations, while in plantations bats appeared to have a slightly stronger effect on insects than did birds. In plantations, the levels of leaf damage were higher on branches where birds and bats were excluded than on branches where both had access. In island plots, no significant differences in leaf damage were found between exclosure treatments although potential patterns were in the same direction as in the plantations. Our results suggest that both birds and bats play important roles as top predators in restoration systems by reducing herbivorous insects and their damage to planted trees. Tropical restoration projects should include efforts to attract and provide suitable habitat for birds and bats, given their demonstrated ecological importance.","container-title":"Ecological Applications","DOI":"10.1890/11-1118.1","ISSN":"1051-0761, 1939-5582","issue":"5","journalAbbreviation":"Ecological Applications","language":"en","license":"http://onlinelibrary.wiley.com/termsAndConditions#vor","page":"1526-1534","source":"DOI.org (Crossref)","title":"Birds and bats reduce insect biomass and leaf damage in tropical forest restoration sites","volume":"22","author":[{"family":"Morrison","given":"Emily B."},{"family":"Lindell","given":"Catherine A."}],"issued":{"date-parts":[["2012",7]]}}}],"schema":"https://github.com/citation-style-language/schema/raw/master/csl-citation.json"}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(Morrison &amp; Lindell, 2012)</w:t>
      </w:r>
      <w:r w:rsidRPr="00244B71">
        <w:rPr>
          <w:rFonts w:ascii="Times New Roman" w:hAnsi="Times New Roman" w:cs="Times New Roman"/>
        </w:rPr>
        <w:fldChar w:fldCharType="end"/>
      </w:r>
      <w:r w:rsidRPr="00244B71">
        <w:rPr>
          <w:rFonts w:ascii="Times New Roman" w:hAnsi="Times New Roman" w:cs="Times New Roman"/>
        </w:rPr>
        <w:t xml:space="preserve">. </w:t>
      </w:r>
      <w:r w:rsidR="007A678D">
        <w:rPr>
          <w:rFonts w:ascii="Times New Roman" w:hAnsi="Times New Roman" w:cs="Times New Roman"/>
        </w:rPr>
        <w:t>Avian p</w:t>
      </w:r>
      <w:r w:rsidRPr="00244B71">
        <w:rPr>
          <w:rFonts w:ascii="Times New Roman" w:hAnsi="Times New Roman" w:cs="Times New Roman"/>
        </w:rPr>
        <w:t xml:space="preserve">ollinators also facilitate gene flow of </w:t>
      </w:r>
      <w:r w:rsidRPr="00244B71">
        <w:rPr>
          <w:rFonts w:ascii="Times New Roman" w:hAnsi="Times New Roman" w:cs="Times New Roman"/>
        </w:rPr>
        <w:lastRenderedPageBreak/>
        <w:t xml:space="preserve">plants, which is important for the long-term viability of plant populations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{"citationID":"kZN9OgKq","properties":{"formattedCitation":"(Kormann et al., 2016)","plainCitation":"(Kormann et al., 2016)","noteIndex":0},"citationItems":[{"id":1776,"uris":["http://zotero.org/users/12345038/items/YU49Y7BE"],"itemData":{"id":1776,"type":"article-journal","abstract":"Tropical biodiversity and associated ecosystem functions have become heavily eroded through habitat loss. Animal-mediated pollination is required in more than 94% of higher tropical plant species and 75% of the world's leading food crops, but it remains unclear if corridors avert deforestation-driven pollination breakdown in fragmented tropical landscapes. Here, we used manipulative resource experiments and field observations to show that corridors functionally connect neotropical forest fragments for forest-associated hummingbirds and increase pollen transfer. Further, corridors boosted forest-associated pollinator availability in fragments by 14.3 times compared with unconnected equivalents, increasing overall pollination success\n              .\n              Plants in patches without corridors showed pollination rates equal to bagged control flowers, indicating pollination failure in isolated fragments. This indicates, for the first time, that corridors benefit tropical forest ecosystems beyond boosting local species richness, by functionally connecting mutualistic network partners. We conclude that small-scale adjustments to landscape configuration safeguard native pollinators and associated pollination services in tropical forest landscapes.","container-title":"Proceedings of the Royal Society B: Biological Sciences","DOI":"10.1098/rspb.2015.2347","ISSN":"0962-8452, 1471-2954","issue":"1823","journalAbbreviation":"Proc. R. Soc. B.","language":"en","page":"20152347","source":"DOI.org (Crossref)","title":"Corridors restore animal-mediated pollination in fragmented tropical forest landscapes","volume":"283","author":[{"family":"Kormann","given":"Urs"},{"family":"Scherber","given":"Christoph"},{"family":"Tscharntke","given":"Teja"},{"family":"Klein","given":"Nadja"},{"family":"Larbig","given":"Manuel"},{"family":"Valente","given":"Jonathon J."},{"family":"Hadley","given":"Adam S."},{"family":"Betts","given":"Matthew G."}],"issued":{"date-parts":[["2016",1,27]]}}}],"schema":"https://github.com/citation-style-language/schema/raw/master/csl-citation.json"}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(Kormann et al., 2016)</w:t>
      </w:r>
      <w:r w:rsidRPr="00244B71">
        <w:rPr>
          <w:rFonts w:ascii="Times New Roman" w:hAnsi="Times New Roman" w:cs="Times New Roman"/>
        </w:rPr>
        <w:fldChar w:fldCharType="end"/>
      </w:r>
      <w:r w:rsidRPr="00244B71">
        <w:rPr>
          <w:rFonts w:ascii="Times New Roman" w:hAnsi="Times New Roman" w:cs="Times New Roman"/>
        </w:rPr>
        <w:t xml:space="preserve">. Furthermore, bird communities can rapidly recolonize disturbed areas depending on local environmental conditions such as vegetation structure, resource availability, and remnant vegetation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{"citationID":"QHeq6uND","properties":{"formattedCitation":"(Helms et al., 2018; Latja et al., 2016; Reid et al., 2012)","plainCitation":"(Helms et al., 2018; Latja et al., 2016; Reid et al., 2012)","noteIndex":0},"citationItems":[{"id":602,"uris":["http://zotero.org/users/12345038/items/SLL44EY8"],"itemData":{"id":602,"type":"article-journal","abstract":"The island of Borneo suffers from one of the highest deforestation rates in the world, primarily due to agriculture, logging, and other human activities. This habitat loss may be partly mitigated by reforestation programs in degraded landscapes, especially anthropogenic grasslands that have little conservation or economic value. By monitoring native bird communities, we evaluated the success of two small (&lt;20 ha) community reforestation projects in Gunung Palung National Park in Indonesian Borneo. Birds responded rapidly following reforestation, with species richness doubling over 7 years at one site, and increasing by 29% in just 3 years at the other. Final tallies (63–70 species per site) were comparable to those obtained in older secondary forests elsewhere in Borneo. Anthropogenic fire is the primary threat to reforestation success, but intensive fire prevention allows bird communities to recover from temporary setbacks. Absence of fire was thus the most important factor in recovery, and we detected no effect of replanted area on bird species richness. Our results suggest that by engaging local communities and ensuring long-term maintenance, even small reforestation sites in Borneo can provide immediate benefits for native biodiversity.","container-title":"Tropical Conservation Science","DOI":"10.1177/1940082918769460","ISSN":"1940-0829, 1940-0829","journalAbbreviation":"Tropical Conservation Science","language":"en","page":"194008291876946","source":"DOI.org (Crossref)","title":"Rapid Response of Bird Communities to Small-Scale Reforestation in Indonesian Borneo","volume":"11","author":[{"family":"Helms","given":"Jackson A."},{"family":"Woerner","given":"Christopher R."},{"family":"Fawzi","given":"Nurul I."},{"family":"MacDonald","given":"Andrew"},{"literal":"Juliansyah"},{"family":"Pohnan","given":"Erica"},{"family":"Webb","given":"Kinari"}],"issued":{"date-parts":[["2018",1]]}}},{"id":478,"uris":["http://zotero.org/users/12345038/items/Y4VZJI7A"],"itemData":{"id":478,"type":"article-journal","abstract":"Active restoration of rainforests is essential in enhancing the recovery of biodiversity in many tropical regions suffering from deforestation. However, the value of actively restored rainforests for birds is still relatively poorly understood because of the short history of active restoration programs. Here, we studied the recovery of bird communities in Kibale National Park, Uganda. We sampled birds along a restoration gradient consisting of six restoration areas (3–16 years old) and used ﬁve primary forests as reference areas. We found that bird community compositions changed in an orderly fashion along the restoration gradient. The abundance of arboreal insectivore frugivores and forest specialists increased, while that of foliage-gleaning insectivores, granivores and forest visitors decreased towards older sites. The similarity of the bird communities of the restored forests to those of the nearby primary forests increased linearly with time. If this recovery rate is extrapolated to the future, the bird communities could reach a pre-disturbance state after only approximately 20 years of active restoration. However, previous studies have shown that recovery is typically a non-linear process, and the time needed for bird communities to recover is more likely longer than this. Nevertheless, our study provides evidence that bird communities beneﬁt from active rainforest restoration after human-induced deforestation.","container-title":"Biological Conservation","DOI":"10.1016/j.biocon.2016.05.035","ISSN":"00063207","journalAbbreviation":"Biological Conservation","language":"en","page":"70-79","source":"DOI.org (Crossref)","title":"Active restoration facilitates bird community recovery in an Afrotropical rainforest","volume":"200","author":[{"family":"Latja","given":"Pirita"},{"family":"Valtonen","given":"Anu"},{"family":"Malinga","given":"Geoffrey M."},{"family":"Roininen","given":"Heikki"}],"issued":{"date-parts":[["2016",8]]}}},{"id":1594,"uris":["http://zotero.org/users/12345038/items/XFMN86VL"],"itemData":{"id":1594,"type":"article-journal","abstract":"An important question for tropical forest restoration is whether degraded lands can be actively managed to attract birds. We censused birds and measured vegetation structure at 27 stations in young (6–9‐yr old) actively and passively restored pasture and old growth forest at Las Cruces Biological Station in southern Costa Rica. During 481 10‐min point counts, we detected a high diversity—186 species—of birds using the restoration area. Surprisingly, species richness and detection frequency did not differ among habitats, and proportional similarity of bird assemblages to old growth forest did not differ between restoration treatments. Bird detection frequency was instead explained by exotic grass cover and understory stem density—vegetation structures that were not strongly impacted by active restoration. The similarity of bird assemblages in actively and passively restored forest may be attributed to differential habitat preferences within and among feeding guilds, low structural contrast between treatments, or the effect of nucleation from actively restored plots into passively restored areas. Rapid recovery of vegetation in this recently restored site is likely due to its proximity to old growth forest and the lack of barriers to effective seed dispersal. Previous restoration studies in highly binary environments (i.e., open pasture vs. tree plantation) have found strong differences in bird abundance and richness. Our data contradict this trend, and suggest that tropical restoration ecologists should carefully consider: (1) when the beneﬁts of active restoration outweigh the cost of implementation; and (2) which avian guilds should be used to measure restoration success given differential responses to habitat structure.","container-title":"Biotropica","DOI":"10.1111/j.1744-7429.2011.00814.x","ISSN":"0006-3606, 1744-7429","issue":"3","journalAbbreviation":"Biotropica","language":"en","page":"350-359","source":"DOI.org (Crossref)","title":"Avian Habitat Preference in Tropical Forest Restoration in Southern Costa Rica","volume":"44","author":[{"family":"Reid","given":"J. Leighton"},{"family":"Harris","given":"J. Berton C."},{"family":"Zahawi","given":"Rakan A."}],"issued":{"date-parts":[["2012",5]]}}}],"schema":"https://github.com/citation-style-language/schema/raw/master/csl-citation.json"}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(Helms et al., 2018; Latja et al., 2016; Reid et al., 2012)</w:t>
      </w:r>
      <w:r w:rsidRPr="00244B71">
        <w:rPr>
          <w:rFonts w:ascii="Times New Roman" w:hAnsi="Times New Roman" w:cs="Times New Roman"/>
        </w:rPr>
        <w:fldChar w:fldCharType="end"/>
      </w:r>
      <w:r w:rsidRPr="00244B71">
        <w:rPr>
          <w:rFonts w:ascii="Times New Roman" w:hAnsi="Times New Roman" w:cs="Times New Roman"/>
        </w:rPr>
        <w:t xml:space="preserve">. </w:t>
      </w:r>
    </w:p>
    <w:p w14:paraId="1F95398B" w14:textId="44197A99" w:rsidR="00244B71" w:rsidRPr="00244B71" w:rsidRDefault="00244B71" w:rsidP="00D77075">
      <w:pPr>
        <w:spacing w:before="0" w:after="0"/>
        <w:ind w:firstLine="720"/>
        <w:rPr>
          <w:rFonts w:ascii="Times New Roman" w:hAnsi="Times New Roman" w:cs="Times New Roman"/>
        </w:rPr>
      </w:pPr>
      <w:r w:rsidRPr="00244B71">
        <w:rPr>
          <w:rFonts w:ascii="Times New Roman" w:hAnsi="Times New Roman" w:cs="Times New Roman"/>
        </w:rPr>
        <w:t xml:space="preserve">Typically, bird communities transition over stages of forest regeneration to become more similar to mature forest communities over time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{"citationID":"IYjEr2Ab","properties":{"formattedCitation":"(Owen et al., 2020)","plainCitation":"(Owen et al., 2020)","noteIndex":0},"citationItems":[{"id":446,"uris":["http://zotero.org/users/12345038/items/PP7EWC7E"],"itemData":{"id":446,"type":"article-journal","abstract":"With expanding anthropogenic disturbances to forests around the world, forest restoration is increasingly important for bird conservation. Restoration monitoring is critical for understanding how birds respond to forest regeneration and for assessing the effectiveness of restoration efforts. Using bioacoustic monitoring, we recorded bird communities during both dry and wet seasons at 62 sites along a chronosequence of tropical dry forests in the Área de Conservación Guanacaste in Costa Rica. Tropical dry forests rank among the globe’s most imperiled ecosystems, adding special urgency to their restoration and accompanying restoration monitoring. We found that bird species diversity, richness, and abundance increase with measures of forest maturity. Our results show that bird communities in regenerating areas become more similar to those of undisturbed areas as forests mature. This suggests that bird communities are recovering to predisturbed conditions in regenerating sites, and that maturing tropical dry forests are home to an increasingly diverse and abundant community of birds. We conducted an additional assessment, by sampling 30 locations using point-counts that were originally surveyed 23 years ago. We found that species richness and abundance were similar across this 23-year interval, although bird community composition changed because several forest-specialist species were only detected in the later period. Our research reveals that the regenerating tropical dry forests of northwestern Costa Rica have recovered species richness and abundance levels and are currently undergoing a succession in community composition toward that of a primary tropical dry forest. Our study shows bird communities recovering in a nearly century-old chronosequence of regenerating forests.","container-title":"Avian Conservation and Ecology","DOI":"10.5751/ACE-01615-150125","ISSN":"1712-6568","issue":"1","journalAbbreviation":"ACE","language":"en","page":"art25","source":"DOI.org (Crossref)","title":"Bioacoustic analyses reveal that bird communities recover with forest succession in tropical dry forests","volume":"15","author":[{"family":"Owen","given":"Kiirsti C."},{"family":"Melin","given":"Amanda D."},{"family":"Campos","given":"Fernando A."},{"family":"Fedigan","given":"Linda M."},{"family":"Gillespie","given":"Thomas W."},{"family":"Mennill","given":"Daniel J."}],"issued":{"date-parts":[["2020"]]}}}],"schema":"https://github.com/citation-style-language/schema/raw/master/csl-citation.json"}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(Owen et al., 2020)</w:t>
      </w:r>
      <w:r w:rsidRPr="00244B71">
        <w:rPr>
          <w:rFonts w:ascii="Times New Roman" w:hAnsi="Times New Roman" w:cs="Times New Roman"/>
        </w:rPr>
        <w:fldChar w:fldCharType="end"/>
      </w:r>
      <w:r w:rsidRPr="00244B71">
        <w:rPr>
          <w:rFonts w:ascii="Times New Roman" w:hAnsi="Times New Roman" w:cs="Times New Roman"/>
        </w:rPr>
        <w:t xml:space="preserve">. However, the functional recovery of bird communities is inconsistent. Some studies report an increase in functional diversity in bird communities in areas with greater vegetation density and canopy structure in early forest regeneration types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{"citationID":"Jq2szJNV","properties":{"formattedCitation":"(Coddington et al., 2023; Reme\\uc0\\u353{} et al., 2021)","plainCitation":"(Coddington et al., 2023; Remeš et al., 2021)","noteIndex":0},"citationItems":[{"id":1441,"uris":["http://zotero.org/users/12345038/items/MI35IZZK"],"itemData":{"id":1441,"type":"article-journal","abstract":"Secondary forest has the potential to act as an important habitat for biodiversity and restoring ecological benefits. Functional diversity, which includes morphological and behavioral traits that mediate species interactions with the surrounding environment, relates to the resilience of ecosystems. To assess the relationship between habitat structural differences in primary and secondary forest and the resultant differences in functional diversity of avian species, we followed 11 mixed-­species flocks at the Biological Dynamics of Forest Fragments Project, near Manaus, Brazil. We used remote sensing LiDAR to assess which three-­dimensional forest structural features are most closely associated with variation in species richness and functional diversity in secondary and primary tropical forest flocks. The species richness of flocks in primary forest increased in areas with higher elevation and higher leaf area density in the understory and subcanopy but was not correlated with habitat structure in secondary forest. Functional diversity increased at lower elevations and with a denser subcanopy in both primary forest and secondary forest but only increased with greater understory leaf area density in primary forest. Together, these results indicate that a dense subcanopy and understory can be important for mixed-­species flocks and that flock richness and functional diversity can be predicted by vegetation structure.","container-title":"Biotropica","DOI":"10.1111/btp.13201","ISSN":"0006-3606, 1744-7429","issue":"2","journalAbbreviation":"Biotropica","language":"en","page":"467-479","source":"DOI.org (Crossref)","title":"Forest structure predicts species richness and functional diversity in Amazonian mixed‐species bird flocks","volume":"55","author":[{"family":"Coddington","given":"Charles P. J."},{"family":"Cooper","given":"W. Justin"},{"family":"Mokross","given":"Karl"},{"family":"Luther","given":"David A."}],"issued":{"date-parts":[["2023",3]]}}},{"id":1543,"uris":["http://zotero.org/users/12345038/items/6ZA9YHCB"],"itemData":{"id":1543,"type":"article-journal","container-title":"Ecology and Evolution","language":"en","title":"Functional diversity of avian communities increases with canopy height: From individual behavior to continental‐scale patterns","volume":"Sep;11(17):11839-51","author":[{"family":"Remeš","given":"V."},{"family":"Remešová","given":"E."},{"family":"Friedman","given":"N.R."},{"family":"Matysioková","given":"B."},{"family":"Rubáčová","given":"L."}],"issued":{"date-parts":[["2021"]]}}}],"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rPr>
        <w:t>(Coddington et al., 2023; Remeš et al., 2021)</w:t>
      </w:r>
      <w:r w:rsidRPr="00244B71">
        <w:rPr>
          <w:rFonts w:ascii="Times New Roman" w:hAnsi="Times New Roman" w:cs="Times New Roman"/>
        </w:rPr>
        <w:fldChar w:fldCharType="end"/>
      </w:r>
      <w:r w:rsidRPr="00244B71">
        <w:rPr>
          <w:rFonts w:ascii="Times New Roman" w:hAnsi="Times New Roman" w:cs="Times New Roman"/>
        </w:rPr>
        <w:t xml:space="preserve">, while others have found no variation across varying stages and types of tropical forest restoration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{"citationID":"GmW1r6Le","properties":{"formattedCitation":"(Barros et al., 2022)","plainCitation":"(Barros et al., 2022)","noteIndex":0},"citationItems":[{"id":1574,"uris":["http://zotero.org/users/12345038/items/AYD29N88"],"itemData":{"id":1574,"type":"article-journal","container-title":"Ecological Engineering","DOI":"10.1016/j.ecoleng.2022.106721","ISSN":"09258574","journalAbbreviation":"Ecological Engineering","language":"en","page":"106721","source":"DOI.org (Crossref)","title":"Taxonomic and functional diversity of bird communities in mining areas undergoing passive and active restoration in eastern Amazon","volume":"182","author":[{"family":"Barros","given":"Fernanda De Carvalho"},{"family":"Almeida","given":"Sara Miranda"},{"family":"Godoy","given":"Bruno Spacek"},{"family":"Silva","given":"Ricardo Ribeiro Da"},{"family":"Silva","given":"Larissa Cardoso"},{"family":"De Moraes","given":"Kauê Felippe"},{"family":"Santos","given":"Marcos Pérsio Dantas"}],"issued":{"date-parts":[["2022",9]]}}}],"schema":"https://github.com/citation-style-language/schema/raw/master/csl-citation.json"}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(Barros et al., 2022)</w:t>
      </w:r>
      <w:r w:rsidRPr="00244B71">
        <w:rPr>
          <w:rFonts w:ascii="Times New Roman" w:hAnsi="Times New Roman" w:cs="Times New Roman"/>
        </w:rPr>
        <w:fldChar w:fldCharType="end"/>
      </w:r>
      <w:r w:rsidRPr="00244B71">
        <w:rPr>
          <w:rFonts w:ascii="Times New Roman" w:hAnsi="Times New Roman" w:cs="Times New Roman"/>
        </w:rPr>
        <w:t xml:space="preserve">. Furthermore, a recent study found that both functional diversity and taxonomic diversity decreased as forest recovery progressed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{"citationID":"C1B6hMEi","properties":{"formattedCitation":"(Kortmann et al., 2025)","plainCitation":"(Kortmann et al., 2025)","noteIndex":0},"citationItems":[{"id":1748,"uris":["http://zotero.org/users/12345038/items/ZDP2UEB3"],"itemData":{"id":1748,"type":"article-journal","abstract":"Abstract\n            \n              \n                \n                  Tropical old‐growth forests continue to decline worldwide, resulting in a huge loss of biodiversity. The extent to which the expansion of second‐growth forests can counteract biodiversity loss is context‐dependent and controversial.\n                \n                \n                  To test the recovery of bird communities along a gradient from active pastures and cacao plantations, through regenerating forest on land last used for agriculture between 1 and 38 years ago, to old‐growth forest, we sampled simultaneous audio recordings from 66 plots, from which an expert identified all bird species detected at fixed time points throughout the day. The study area is characterized by typical small‐scale agriculture with remnant trees in the Ecuadorian Chocó Forest. To quantify different aspects of biodiversity, we used incidence‐based Hill numbers focusing on infrequent, frequent and highly frequent species in taxonomic, functional and phylogenetic diversity, considering sample coverage (an objective measure of sample completeness).\n                \n                \n                  Bird community composition changed with the regrowth gradient represented on the first axis of the ordination. Differences in bird communities were also very robust to changes in sample coverage.\n                \n                \n                  The sample coverage decreased significantly along the recovery gradient and affected the different measures of alpha diversity. Although the results controlled by sample coverage showed no change in taxonomic and phylogenetic diversity, the functional diversity of infrequent, frequent and highly frequent species decreased along the recovery gradient.\n                \n                \n                  Cacao plantations exhibited particularly high diversity values, highlighting the potential of these patches to support woodland and shrubland species in agriculture. Furthermore, several forest species regularly used the agricultural areas, attracted by remnant trees characteristic of the small‐scale agricultural landscape in our study region.\n                \n                \n                  \n                    Synthesis and applications\n                    . Our results highlight the importance of standardizing biodiversity measures and incorporating beta diversity in biodiversity monitoring. We demonstrate that taxonomic, phylogenetic and functional bird diversity can be high in secondary forests within smallholder agricultural landscapes. This underscores the potential for natural forest recovery, particularly when recovery patches are embedded within a forest matrix that includes old‐growth stands.\n                  \n                \n              \n            \n          , \n            Resumen\n            \n              \n                \n                  Los bosques tropicales antiguos siguen disminuyendo en todo el mundo, lo que provoca una enorme pérdida de biodiversidad. La capacidad de la expansión de los bosques de segundo crecimiento para contrarrestar la pérdida de biodiversidad depende del contexto y es controvertida.\n                \n                \n                  Para comprobar la recuperación de las comunidades de aves a lo largo de un gradiente que abarca pastos activos, plantaciones de cacao, bosques en regeneración en tierras utilizadas por última vez para la agricultura entre 1 y 38 años atrás, y bosques primarios, realizamos grabaciones de audio simultáneas en 66 parcelas. A partir de dichas grabaciones, un experto identificó todas las especies de aves detectadas en momentos estandarizados a lo largo del día. El área de estudio se caracteriza por la típica agricultura a pequeña escala con árboles remanentes en el bosque del Chocó ecuatoriano. Para cuantificar diferentes aspectos de la biodiversidad, utilizamos números de Hill basados en la incidencia, centrándonos en especies poco frecuentes, frecuentes y altamente frecuentes en diversidad taxonómica, funcional y filogenética, teniendo en cuenta la cobertura de la muestra (una medida objetiva de la completitud de la muestra).\n                \n                \n                  La composición de la comunidad de aves siguió el gradiente de rebrote representado en el primer eje de la ordenación. Las diferencias en las comunidades de aves también fueron robustas a los cambios en la cobertura de la muestra.\n                \n                \n                  La cobertura de las muestras disminuyó significativamente a lo largo del gradiente de recuperación y afectó a las distintas medidas de diversidad alfa. Aunque los resultados controlados por la cobertura muestral no mostraron cambios en la diversidad taxonómica y filogenética, la diversidad funcional de especies poco frecuentes, frecuentes y muy frecuentes disminuyó a lo largo del gradiente de recuperación.\n                \n                \n                  Las plantaciones de cacao mostraron valores de diversidad particularmente elevados, lo que pone de relieve el potencial de estos parches para sustentar especies forestales y arbustivas en la agricultura. Además, varias especies forestales utilizaron regularmente las áreas agrícolas, inducidas por árboles remanentes característicos del paisaje agrícola a pequeña escala de nuestra región de estudio.\n                \n                \n                  \n                    Síntesis y aplicaciones\n                    . Nuestros resultados ponen de manifiesto la importancia de estandarizar las medidas de biodiversidad e incorporar la diversidad beta en el seguimiento de la biodiversidad. Hemos demostrado que la diversidad taxonómica, filogenética y funcional de las aves puede ser alta en bosques secundarios dentro de paisajes agrícolas de pequeña escala. Esto pone de manifiesto el potencial de recuperación de los bosques naturales, en particular cuando las parcelas de recuperación están integradas en una matriz forestal que incluye bosques antiguos.","container-title":"Journal of Applied Ecology","DOI":"10.1111/1365-2664.14879","ISSN":"0021-8901, 1365-2664","journalAbbreviation":"Journal of Applied Ecology","language":"en","page":"1365-2664.14879","source":"DOI.org (Crossref)","title":"Sample coverage affects diversity measures of bird communities along a natural recovery gradient of abandoned agriculture in tropical lowland forests","author":[{"family":"Kortmann","given":"Mareike"},{"family":"Chao","given":"Anne"},{"family":"Schaefer","given":"H. Martin"},{"family":"Blüthgen","given":"Nico"},{"family":"Gelis","given":"Rudy"},{"family":"Tremlett","given":"Constance J."},{"family":"Busse","given":"Annika"},{"family":"Püls","given":"Marcel"},{"family":"Seibold","given":"Sebastian"},{"family":"Kriegel","given":"Peter"},{"family":"Rabl","given":"Dominik"},{"family":"De La Hoz","given":"Maria"},{"family":"Şekercioğlu","given":"Çağan H."},{"family":"Schleuning","given":"Matthias"},{"family":"Feldhaar","given":"Heike"},{"family":"Newell","given":"Felicity L."},{"family":"Kümmet","given":"Sonja"},{"family":"Mitesser","given":"Oliver"},{"family":"Peters","given":"Marcel K."},{"family":"Müller","given":"Jörg"}],"issued":{"date-parts":[["2025",1,28]]}}}],"schema":"https://github.com/citation-style-language/schema/raw/master/csl-citation.json"}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(Kortmann et al., 2025)</w:t>
      </w:r>
      <w:r w:rsidRPr="00244B71">
        <w:rPr>
          <w:rFonts w:ascii="Times New Roman" w:hAnsi="Times New Roman" w:cs="Times New Roman"/>
        </w:rPr>
        <w:fldChar w:fldCharType="end"/>
      </w:r>
      <w:r w:rsidRPr="00244B71">
        <w:rPr>
          <w:rFonts w:ascii="Times New Roman" w:hAnsi="Times New Roman" w:cs="Times New Roman"/>
        </w:rPr>
        <w:t xml:space="preserve">. These discrepancies highlight the need to understand what functional diversity indices are useful indicators of forest regeneration, and which might be less helpful in understanding community shifts related to forest succession. </w:t>
      </w:r>
    </w:p>
    <w:p w14:paraId="3ACD5267" w14:textId="48E6A717" w:rsidR="00244B71" w:rsidRPr="00244B71" w:rsidRDefault="00244B71" w:rsidP="00D77075">
      <w:pPr>
        <w:spacing w:before="0" w:after="0"/>
        <w:ind w:firstLine="720"/>
        <w:rPr>
          <w:rFonts w:ascii="Times New Roman" w:hAnsi="Times New Roman" w:cs="Times New Roman"/>
        </w:rPr>
      </w:pPr>
      <w:r w:rsidRPr="00244B71">
        <w:rPr>
          <w:rFonts w:ascii="Times New Roman" w:hAnsi="Times New Roman" w:cs="Times New Roman"/>
        </w:rPr>
        <w:t xml:space="preserve">Regenerating vegetation plays a key role in shaping bird distribution and abundance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{"citationID":"BFDLaQFo","properties":{"formattedCitation":"(Cano\\uc0\\u8208{}Barbacil et al., 2023; Gregory &amp; Gaston, 2000)","plainCitation":"(Cano‐Barbacil et al., 2023; Gregory &amp; Gaston, 2000)","noteIndex":0},"citationItems":[{"id":1712,"uris":["http://zotero.org/users/12345038/items/DLDRVJYG"],"itemData":{"id":1712,"type":"article-journal","abstract":"Abstract\n            \n              Aim\n              We estimate and compare niche position, marginality and breadth of Iberian inland fishes at three geographical extents (regional, restricted to the species’ range and global) to understand the effect of spatial scale on niche metrics. Furthermore, we investigate differences in niche metrics between native and alien fish, and test for associations with introduction date of alien species and niche characterization to better understand their invasion process.\n            \n            \n              Location\n              Iberian Peninsula and global.\n            \n            \n              Time period\n              2000–2020.\n            \n            \n              Major taxa studied\n              Fifty‐one native and 17 alien inland fish species from the Iberian Peninsula.\n            \n            \n              Methods\n              Outlying mean index (OMI) analyses were used to estimate the niche position, marginality and breadth of Iberian inland fishes. Climatic OMI analyses were computed at three different scales (regional, restricted to the species’ range and global). Permutational analyses of variance (PERMANOVAs) were used to test for differences in niche position, marginality and breath among native and alien species.\n            \n            \n              Results\n              Niche metrics differed depending on the geographical extent of the investigation, as well as with respect to species origin (native versus alien). Differences in climatic niche position between native and alien species observed at the global scale were non‐existent at the regional scale. The niche breadth of widely distributed alien species was highly underestimated when only considering the invaded region, and further influenced by the first date of of species introduction.\n            \n            \n              Main conclusions\n              Estimating niches of freshwater species, especially of alien invaders, should carefully consider the geographical extent of the investigation. We suggest that analyses that jointly consider regional and global scales will improve the estimation of niche metrics of widely distributed organisms, particularly regarding species climatic niche, and the assessment of the invasive potential of species.","container-title":"Global Ecology and Biogeography","DOI":"10.1111/geb.13630","ISSN":"1466-822X, 1466-8238","issue":"3","journalAbbreviation":"Global Ecol Biogeogr","language":"en","page":"466-477","source":"DOI.org (Crossref)","title":"Estimates of niche position and breadth vary across spatial scales for native and alien inland fishes","volume":"32","author":[{"family":"Cano‐Barbacil","given":"Carlos"},{"family":"Radinger","given":"Johannes"},{"family":"Olden","given":"Julian D."},{"family":"García‐Berthou","given":"Emili"}],"issued":{"date-parts":[["2023",3]]}}},{"id":1710,"uris":["http://zotero.org/users/12345038/items/JFNA8DEW"],"itemData":{"id":1710,"type":"article-journal","abstract":"Two of the most prominent explanations for a positive interspecific relationship between local abundance and regional distribution are the resource breadth and the resource availability hypotheses. Here we test these hypotheses by characterising habitat use of British breeding birds using extensive census and environmental data. A group of 85 bird species was considered for study along with 34 land use or environmental variables, which were used to generate four ordination axes by Canonical Correspondence Analysis. Measures of niche breadth and position were derived from these synthetic environmental axes using standard procedures. Across species, none of five measures of abundance and distribution chosen were correlated with niche breadth, whereas four out of five of these measures were correlated negatively with niche position. Repeating the analyses using a method designed to control for phylogenetic non‐independence confirmed these general patterns. Birds that tended to use resources that were more atypical of the environment tended to be rarer and thinly distributed, while those using typical resources were common and widely distributed. Performing the analyses on subsets of the data based on species sample sizes did not alter the conclusions. On the assumption that our analyses properly capture patterns of niche use by birds, we find little support for the resource breadth hypothesis, but considerable support for the resource availability hypothesis.","container-title":"Oikos","DOI":"10.1034/j.1600-0706.2000.880307.x","ISSN":"0030-1299, 1600-0706","issue":"3","journalAbbreviation":"Oikos","language":"en","page":"515-526","source":"DOI.org (Crossref)","title":"Explanations of commonness and rarity in British breeding birds: separating resource use and resource availability","title-short":"Explanations of commonness and rarity in British breeding birds","volume":"88","author":[{"family":"Gregory","given":"Richard D."},{"family":"Gaston","given":"Kevin J."}],"issued":{"date-parts":[["2000",3]]}}}],"schema":"https://github.com/citation-style-language/schema/raw/master/csl-citation.json"}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rPr>
        <w:t>(Cano‐Barbacil et al., 2023; Gregory &amp; Gaston, 2000)</w:t>
      </w:r>
      <w:r w:rsidRPr="00244B71">
        <w:rPr>
          <w:rFonts w:ascii="Times New Roman" w:hAnsi="Times New Roman" w:cs="Times New Roman"/>
        </w:rPr>
        <w:fldChar w:fldCharType="end"/>
      </w:r>
      <w:r w:rsidRPr="00244B71">
        <w:rPr>
          <w:rFonts w:ascii="Times New Roman" w:hAnsi="Times New Roman" w:cs="Times New Roman"/>
        </w:rPr>
        <w:t xml:space="preserve">. Regenerating vegetation structure can be assessed using LiDAR (Light Detection and Ranging) imagery. LiDAR imagery is emerging as a transformative tool in restoration ecology, as its ability to capture three-dimensional data makes it particularly valuable for assessing habitat structure and biodiversity within regenerating ecosystems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{"citationID":"RUGcac4l","properties":{"formattedCitation":"(Viana-Soto et al., 2022)","plainCitation":"(Viana-Soto et al., 2022)","noteIndex":0},"citationItems":[{"id":1686,"uris":["http://zotero.org/users/12345038/items/KQD25B2T"],"itemData":{"id":1686,"type":"article-journal","container-title":"International Journal of Applied Earth Observation and Geoinformation","DOI":"10.1016/j.jag.2022.102754","ISSN":"15698432","journalAbbreviation":"International Journal of Applied Earth Observation and Geoinformation","language":"en","page":"102754","source":"DOI.org (Crossref)","title":"Assessing post-fire forest structure recovery by combining LiDAR data and Landsat time series in Mediterranean pine forests","volume":"108","author":[{"family":"Viana-Soto","given":"Alba"},{"family":"García","given":"Mariano"},{"family":"Aguado","given":"Inmaculada"},{"family":"Salas","given":"Javier"}],"issued":{"date-parts":[["2022",4]]}}}],"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(Viana-Soto et al., 2022)</w:t>
      </w:r>
      <w:r w:rsidRPr="00244B71">
        <w:rPr>
          <w:rFonts w:ascii="Times New Roman" w:hAnsi="Times New Roman" w:cs="Times New Roman"/>
        </w:rPr>
        <w:fldChar w:fldCharType="end"/>
      </w:r>
      <w:r w:rsidRPr="00244B71">
        <w:rPr>
          <w:rFonts w:ascii="Times New Roman" w:hAnsi="Times New Roman" w:cs="Times New Roman"/>
        </w:rPr>
        <w:t xml:space="preserve">. LiDAR is growing particularly important for monitoring structural components of forest regeneration such as vegetation density, complexity, and health </w:t>
      </w:r>
      <w:r w:rsidRPr="00244B71">
        <w:rPr>
          <w:rFonts w:ascii="Times New Roman" w:hAnsi="Times New Roman" w:cs="Times New Roman"/>
        </w:rPr>
        <w:fldChar w:fldCharType="begin"/>
      </w:r>
      <w:r w:rsidRPr="00244B71">
        <w:rPr>
          <w:rFonts w:ascii="Times New Roman" w:hAnsi="Times New Roman" w:cs="Times New Roman"/>
        </w:rPr>
        <w:instrText xml:space="preserve"> ADDIN ZOTERO_ITEM CSL_CITATION {"citationID":"jG5T3ija","properties":{"formattedCitation":"(Coops et al., 2021)","plainCitation":"(Coops et al., 2021)","noteIndex":0},"citationItems":[{"id":1685,"uris":["http://zotero.org/users/12345038/items/B3BCUZNZ"],"itemData":{"id":1685,"type":"article-journal","container-title":"Remote Sensing of Environment","DOI":"10.1016/j.rse.2021.112477","ISSN":"00344257","journalAbbreviation":"Remote Sensing of Environment","language":"en","page":"112477","source":"DOI.org (Crossref)","title":"Modelling lidar-derived estimates of forest attributes over space and time: A review of approaches and future trends","title-short":"Modelling lidar-derived estimates of forest attributes over space and time","volume":"260","author":[{"family":"Coops","given":"Nicholas C."},{"family":"Tompalski","given":"Piotr"},{"family":"Goodbody","given":"Tristan R.H."},{"family":"Queinnec","given":"Martin"},{"family":"Luther","given":"Joan E."},{"family":"Bolton","given":"Douglas K."},{"family":"White","given":"Joanne C."},{"family":"Wulder","given":"Michael A."},{"family":"Van Lier","given":"Oliver R."},{"family":"Hermosilla","given":"Txomin"}],"issued":{"date-parts":[["2021",7]]}}}],"schema":"https://github.com/citation-style-language/schema/raw/master/csl-citation.json"} </w:instrText>
      </w:r>
      <w:r w:rsidRPr="00244B71">
        <w:rPr>
          <w:rFonts w:ascii="Times New Roman" w:hAnsi="Times New Roman" w:cs="Times New Roman"/>
        </w:rPr>
        <w:fldChar w:fldCharType="separate"/>
      </w:r>
      <w:r w:rsidRPr="00244B71">
        <w:rPr>
          <w:rFonts w:ascii="Times New Roman" w:hAnsi="Times New Roman" w:cs="Times New Roman"/>
          <w:noProof/>
        </w:rPr>
        <w:t>(Coops et al., 2021)</w:t>
      </w:r>
      <w:r w:rsidRPr="00244B71">
        <w:rPr>
          <w:rFonts w:ascii="Times New Roman" w:hAnsi="Times New Roman" w:cs="Times New Roman"/>
        </w:rPr>
        <w:fldChar w:fldCharType="end"/>
      </w:r>
      <w:r w:rsidRPr="00244B71">
        <w:rPr>
          <w:rFonts w:ascii="Times New Roman" w:hAnsi="Times New Roman" w:cs="Times New Roman"/>
        </w:rPr>
        <w:t xml:space="preserve">. </w:t>
      </w:r>
      <w:r w:rsidRPr="00244B71">
        <w:rPr>
          <w:rFonts w:ascii="Times New Roman" w:hAnsi="Times New Roman" w:cs="Times New Roman"/>
          <w:color w:val="000000"/>
          <w:shd w:val="clear" w:color="auto" w:fill="FFFFFF"/>
        </w:rPr>
        <w:t xml:space="preserve">Functional diversity measures have been shown to strongly associate with vegetation indices (e.g., </w:t>
      </w:r>
      <w:r w:rsidRPr="00244B71">
        <w:rPr>
          <w:rFonts w:ascii="Times New Roman" w:hAnsi="Times New Roman" w:cs="Times New Roman"/>
          <w:color w:val="000000" w:themeColor="text1"/>
        </w:rPr>
        <w:t>canopy height, vegetation density, leaf-area density)</w:t>
      </w:r>
      <w:r w:rsidRPr="00244B71">
        <w:rPr>
          <w:rFonts w:ascii="Times New Roman" w:hAnsi="Times New Roman" w:cs="Times New Roman"/>
          <w:color w:val="000000"/>
          <w:shd w:val="clear" w:color="auto" w:fill="FFFFFF"/>
        </w:rPr>
        <w:t xml:space="preserve"> in tropical secondary and old-growth forests </w:t>
      </w:r>
      <w:r w:rsidRPr="00244B71">
        <w:rPr>
          <w:rFonts w:ascii="Times New Roman" w:hAnsi="Times New Roman" w:cs="Times New Roman"/>
          <w:color w:val="000000"/>
          <w:shd w:val="clear" w:color="auto" w:fill="FFFFFF"/>
        </w:rPr>
        <w:fldChar w:fldCharType="begin"/>
      </w:r>
      <w:r w:rsidRPr="00244B71">
        <w:rPr>
          <w:rFonts w:ascii="Times New Roman" w:hAnsi="Times New Roman" w:cs="Times New Roman"/>
          <w:color w:val="000000"/>
          <w:shd w:val="clear" w:color="auto" w:fill="FFFFFF"/>
        </w:rPr>
        <w:instrText xml:space="preserve"> ADDIN ZOTERO_ITEM CSL_CITATION {"citationID":"cjofRIEH","properties":{"formattedCitation":"(Coddington et al., 2023; Zahawi et al., 2015)","plainCitation":"(Coddington et al., 2023; Zahawi et al., 2015)","noteIndex":0},"citationItems":[{"id":1441,"uris":["http://zotero.org/users/12345038/items/MI35IZZK"],"itemData":{"id":1441,"type":"article-journal","abstract":"Secondary forest has the potential to act as an important habitat for biodiversity and restoring ecological benefits. Functional diversity, which includes morphological and behavioral traits that mediate species interactions with the surrounding environment, relates to the resilience of ecosystems. To assess the relationship between habitat structural differences in primary and secondary forest and the resultant differences in functional diversity of avian species, we followed 11 mixed-­species flocks at the Biological Dynamics of Forest Fragments Project, near Manaus, Brazil. We used remote sensing LiDAR to assess which three-­dimensional forest structural features are most closely associated with variation in species richness and functional diversity in secondary and primary tropical forest flocks. The species richness of flocks in primary forest increased in areas with higher elevation and higher leaf area density in the understory and subcanopy but was not correlated with habitat structure in secondary forest. Functional diversity increased at lower elevations and with a denser subcanopy in both primary forest and secondary forest but only increased with greater understory leaf area density in primary forest. Together, these results indicate that a dense subcanopy and understory can be important for mixed-­species flocks and that flock richness and functional diversity can be predicted by vegetation structure.","container-title":"Biotropica","DOI":"10.1111/btp.13201","ISSN":"0006-3606, 1744-7429","issue":"2","journalAbbreviation":"Biotropica","language":"en","page":"467-479","source":"DOI.org (Crossref)","title":"Forest structure predicts species richness and functional diversity in Amazonian mixed‐species bird flocks","volume":"55","author":[{"family":"Coddington","given":"Charles P. J."},{"family":"Cooper","given":"W. Justin"},{"family":"Mokross","given":"Karl"},{"family":"Luther","given":"David A."}],"issued":{"date-parts":[["2023",3]]}}},{"id":1778,"uris":["http://zotero.org/users/12345038/items/4Q6BNSEX"],"itemData":{"id":1778,"type":"article-journal","container-title":"Biological Conservation","DOI":"10.1016/j.biocon.2015.03.031","ISSN":"00063207","journalAbbreviation":"Biological Conservation","language":"en","page":"287-295","source":"DOI.org (Crossref)","title":"Using lightweight unmanned aerial vehicles to monitor tropical forest recovery","volume":"186","author":[{"family":"Zahawi","given":"Rakan A."},{"family":"Dandois","given":"Jonathan P."},{"family":"Holl","given":"Karen D."},{"family":"Nadwodny","given":"Dana"},{"family":"Reid","given":"J. Leighton"},{"family":"Ellis","given":"Erle C."}],"issued":{"date-parts":[["2015",6]]}}}],"schema":"https://github.com/citation-style-language/schema/raw/master/csl-citation.json"} </w:instrText>
      </w:r>
      <w:r w:rsidRPr="00244B71">
        <w:rPr>
          <w:rFonts w:ascii="Times New Roman" w:hAnsi="Times New Roman" w:cs="Times New Roman"/>
          <w:color w:val="000000"/>
          <w:shd w:val="clear" w:color="auto" w:fill="FFFFFF"/>
        </w:rPr>
        <w:fldChar w:fldCharType="separate"/>
      </w:r>
      <w:r w:rsidRPr="00244B71">
        <w:rPr>
          <w:rFonts w:ascii="Times New Roman" w:hAnsi="Times New Roman" w:cs="Times New Roman"/>
          <w:noProof/>
          <w:color w:val="000000"/>
          <w:shd w:val="clear" w:color="auto" w:fill="FFFFFF"/>
        </w:rPr>
        <w:t>(Coddington et al., 2023; Zahawi et al., 2015)</w:t>
      </w:r>
      <w:r w:rsidRPr="00244B71">
        <w:rPr>
          <w:rFonts w:ascii="Times New Roman" w:hAnsi="Times New Roman" w:cs="Times New Roman"/>
          <w:color w:val="000000"/>
          <w:shd w:val="clear" w:color="auto" w:fill="FFFFFF"/>
        </w:rPr>
        <w:fldChar w:fldCharType="end"/>
      </w:r>
      <w:r w:rsidRPr="00244B71">
        <w:rPr>
          <w:rFonts w:ascii="Times New Roman" w:hAnsi="Times New Roman" w:cs="Times New Roman"/>
          <w:color w:val="000000"/>
          <w:shd w:val="clear" w:color="auto" w:fill="FFFFFF"/>
        </w:rPr>
        <w:t>. In the initial stages of forest succession, younger forests will have lower basal area, open canopies, and a lack of tall trees (Finegan 1996; Aide et al., 2000). In later stages of succession, mature forests typically consist of larger trees and denser canopies, with a range of vegetation heights and features such as tree cavities, fostering higher</w:t>
      </w:r>
      <w:r w:rsidR="00052C25">
        <w:rPr>
          <w:rFonts w:ascii="Times New Roman" w:hAnsi="Times New Roman" w:cs="Times New Roman"/>
          <w:color w:val="000000"/>
          <w:shd w:val="clear" w:color="auto" w:fill="FFFFFF"/>
        </w:rPr>
        <w:t xml:space="preserve"> plant</w:t>
      </w:r>
      <w:r w:rsidRPr="00244B71">
        <w:rPr>
          <w:rFonts w:ascii="Times New Roman" w:hAnsi="Times New Roman" w:cs="Times New Roman"/>
          <w:color w:val="000000"/>
          <w:shd w:val="clear" w:color="auto" w:fill="FFFFFF"/>
        </w:rPr>
        <w:t xml:space="preserve"> species complexity (</w:t>
      </w:r>
      <w:proofErr w:type="spellStart"/>
      <w:r w:rsidRPr="00244B71">
        <w:rPr>
          <w:rFonts w:ascii="Times New Roman" w:hAnsi="Times New Roman" w:cs="Times New Roman"/>
          <w:color w:val="000000"/>
          <w:shd w:val="clear" w:color="auto" w:fill="FFFFFF"/>
        </w:rPr>
        <w:t>Remeš</w:t>
      </w:r>
      <w:proofErr w:type="spellEnd"/>
      <w:r w:rsidRPr="00244B71">
        <w:rPr>
          <w:rFonts w:ascii="Times New Roman" w:hAnsi="Times New Roman" w:cs="Times New Roman"/>
          <w:color w:val="000000"/>
          <w:shd w:val="clear" w:color="auto" w:fill="FFFFFF"/>
        </w:rPr>
        <w:t xml:space="preserve"> et al., 2021; </w:t>
      </w:r>
      <w:proofErr w:type="spellStart"/>
      <w:r w:rsidRPr="00244B71">
        <w:rPr>
          <w:rFonts w:ascii="Times New Roman" w:hAnsi="Times New Roman" w:cs="Times New Roman"/>
          <w:color w:val="000000"/>
          <w:shd w:val="clear" w:color="auto" w:fill="FFFFFF"/>
        </w:rPr>
        <w:t>Vesk</w:t>
      </w:r>
      <w:proofErr w:type="spellEnd"/>
      <w:r w:rsidRPr="00244B71">
        <w:rPr>
          <w:rFonts w:ascii="Times New Roman" w:hAnsi="Times New Roman" w:cs="Times New Roman"/>
          <w:color w:val="000000"/>
          <w:shd w:val="clear" w:color="auto" w:fill="FFFFFF"/>
        </w:rPr>
        <w:t xml:space="preserve"> et al., 2008)</w:t>
      </w:r>
      <w:r w:rsidRPr="00244B71">
        <w:rPr>
          <w:rFonts w:ascii="Times New Roman" w:hAnsi="Times New Roman" w:cs="Times New Roman"/>
        </w:rPr>
        <w:t xml:space="preserve">. The use of LiDAR technology to analyze forest regeneration could enhance our </w:t>
      </w:r>
      <w:r w:rsidRPr="00244B71">
        <w:rPr>
          <w:rFonts w:ascii="Times New Roman" w:hAnsi="Times New Roman" w:cs="Times New Roman"/>
        </w:rPr>
        <w:lastRenderedPageBreak/>
        <w:t>ability to predict which elements of vegetation recovery are crucial for facilitating the recovery of functional</w:t>
      </w:r>
      <w:r w:rsidR="00AD32DB">
        <w:rPr>
          <w:rFonts w:ascii="Times New Roman" w:hAnsi="Times New Roman" w:cs="Times New Roman"/>
        </w:rPr>
        <w:t>ly</w:t>
      </w:r>
      <w:r w:rsidRPr="00244B71">
        <w:rPr>
          <w:rFonts w:ascii="Times New Roman" w:hAnsi="Times New Roman" w:cs="Times New Roman"/>
        </w:rPr>
        <w:t xml:space="preserve"> diverse animal communities.</w:t>
      </w:r>
    </w:p>
    <w:p w14:paraId="44C44EE8" w14:textId="766D821F" w:rsidR="001A466F" w:rsidRPr="00244B71" w:rsidRDefault="00244B71" w:rsidP="00D77075">
      <w:pPr>
        <w:spacing w:before="0" w:after="0"/>
        <w:ind w:firstLine="360"/>
        <w:rPr>
          <w:rFonts w:ascii="Times New Roman" w:hAnsi="Times New Roman" w:cs="Times New Roman"/>
          <w:color w:val="000000"/>
        </w:rPr>
      </w:pPr>
      <w:r w:rsidRPr="00244B71">
        <w:rPr>
          <w:rFonts w:ascii="Times New Roman" w:hAnsi="Times New Roman" w:cs="Times New Roman"/>
        </w:rPr>
        <w:t xml:space="preserve">In this study, we utilized a regenerating forest gradient and light detection and ranging (LiDAR)-derived vegetation indices to investigate their relationships between the composition, taxonomic diversity, and functional diversity of understory avian communities in the Chocó rainforest of northwest Ecuador. Specifically, we aimed to: (1) </w:t>
      </w:r>
      <w:r w:rsidR="00052C25">
        <w:rPr>
          <w:rFonts w:ascii="Times New Roman" w:hAnsi="Times New Roman" w:cs="Times New Roman"/>
        </w:rPr>
        <w:t>I</w:t>
      </w:r>
      <w:r w:rsidRPr="00244B71">
        <w:rPr>
          <w:rFonts w:ascii="Times New Roman" w:hAnsi="Times New Roman" w:cs="Times New Roman"/>
        </w:rPr>
        <w:t xml:space="preserve">nvestigate the composition, taxonomic diversity, and functional diversity of bird communities in relation to changes in forest regeneration, (2) </w:t>
      </w:r>
      <w:r w:rsidR="00052C25">
        <w:rPr>
          <w:rFonts w:ascii="Times New Roman" w:hAnsi="Times New Roman" w:cs="Times New Roman"/>
        </w:rPr>
        <w:t>T</w:t>
      </w:r>
      <w:r w:rsidRPr="00244B71">
        <w:rPr>
          <w:rFonts w:ascii="Times New Roman" w:hAnsi="Times New Roman" w:cs="Times New Roman"/>
        </w:rPr>
        <w:t xml:space="preserve">est for associations between diversity indices and vegetation structure, and (3) </w:t>
      </w:r>
      <w:r w:rsidR="00052C25">
        <w:rPr>
          <w:rFonts w:ascii="Times New Roman" w:hAnsi="Times New Roman" w:cs="Times New Roman"/>
        </w:rPr>
        <w:t>D</w:t>
      </w:r>
      <w:r w:rsidRPr="00244B71">
        <w:rPr>
          <w:rFonts w:ascii="Times New Roman" w:hAnsi="Times New Roman" w:cs="Times New Roman"/>
        </w:rPr>
        <w:t xml:space="preserve">etermine how functional traits shift across stages of regeneration, and which traits and environmental variables contribute most to changes in functional diversity. We hypothesize that avian community composition will vary with forest regeneration, where differences in forest structure will act as a filter on avian species composition. Furthermore, we hypothesize that both </w:t>
      </w:r>
      <w:r w:rsidR="007A678D">
        <w:rPr>
          <w:rFonts w:ascii="Times New Roman" w:hAnsi="Times New Roman" w:cs="Times New Roman"/>
        </w:rPr>
        <w:t xml:space="preserve">the </w:t>
      </w:r>
      <w:r w:rsidRPr="00244B71">
        <w:rPr>
          <w:rFonts w:ascii="Times New Roman" w:hAnsi="Times New Roman" w:cs="Times New Roman"/>
        </w:rPr>
        <w:t>taxonomic and functional diversity of avian communities will increase with forest regeneration and canopy-level attributes, as older, structurally complex habitats provide a wider range of resources and niches. The increase in avian functional diversity is expected to reflect a more specialized array of foraging behaviors and habitat use in older regenerating forests. Through this research, we aim to a</w:t>
      </w:r>
      <w:r w:rsidR="007A678D">
        <w:rPr>
          <w:rFonts w:ascii="Times New Roman" w:hAnsi="Times New Roman" w:cs="Times New Roman"/>
        </w:rPr>
        <w:t>chieve a</w:t>
      </w:r>
      <w:r w:rsidRPr="00244B71">
        <w:rPr>
          <w:rFonts w:ascii="Times New Roman" w:hAnsi="Times New Roman" w:cs="Times New Roman"/>
        </w:rPr>
        <w:t xml:space="preserve"> more comprehensive understanding</w:t>
      </w:r>
      <w:r w:rsidRPr="00244B71">
        <w:rPr>
          <w:rFonts w:ascii="Times New Roman" w:hAnsi="Times New Roman" w:cs="Times New Roman"/>
          <w:color w:val="000000"/>
        </w:rPr>
        <w:t xml:space="preserve"> of what diversity indices might be most effective, efficient, and applicable to conservation and restoration strategies as they relate to assessing community responses to tropical forest regeneration.</w:t>
      </w:r>
      <w:r w:rsidRPr="00244B71">
        <w:rPr>
          <w:rFonts w:ascii="Times New Roman" w:hAnsi="Times New Roman" w:cs="Times New Roman"/>
          <w:color w:val="000000"/>
          <w:sz w:val="26"/>
          <w:szCs w:val="26"/>
        </w:rPr>
        <w:t xml:space="preserve"> </w:t>
      </w:r>
      <w:r w:rsidR="001A466F" w:rsidRPr="00244B71">
        <w:rPr>
          <w:rFonts w:ascii="Times New Roman" w:hAnsi="Times New Roman" w:cs="Times New Roman"/>
        </w:rPr>
        <w:t xml:space="preserve"> </w:t>
      </w:r>
    </w:p>
    <w:p w14:paraId="40FA0C12" w14:textId="16B1EEFC" w:rsidR="001625A8" w:rsidRPr="00B066C6" w:rsidRDefault="001625A8" w:rsidP="00D77075">
      <w:pPr>
        <w:pStyle w:val="Heading2"/>
        <w:spacing w:before="0" w:after="0"/>
        <w:rPr>
          <w:rFonts w:ascii="Times New Roman" w:hAnsi="Times New Roman" w:cs="Times New Roman"/>
          <w:b/>
          <w:bCs/>
          <w:color w:val="auto"/>
          <w:sz w:val="24"/>
          <w:szCs w:val="24"/>
        </w:rPr>
      </w:pPr>
      <w:bookmarkStart w:id="85" w:name="_Toc195189626"/>
      <w:r w:rsidRPr="00B066C6">
        <w:rPr>
          <w:rFonts w:ascii="Times New Roman" w:hAnsi="Times New Roman" w:cs="Times New Roman"/>
          <w:b/>
          <w:bCs/>
          <w:color w:val="auto"/>
          <w:sz w:val="24"/>
          <w:szCs w:val="24"/>
        </w:rPr>
        <w:t>Methods</w:t>
      </w:r>
      <w:bookmarkEnd w:id="85"/>
      <w:r w:rsidRPr="00B066C6">
        <w:rPr>
          <w:rFonts w:ascii="Times New Roman" w:hAnsi="Times New Roman" w:cs="Times New Roman"/>
          <w:b/>
          <w:bCs/>
          <w:color w:val="auto"/>
          <w:sz w:val="24"/>
          <w:szCs w:val="24"/>
        </w:rPr>
        <w:t xml:space="preserve"> </w:t>
      </w:r>
    </w:p>
    <w:p w14:paraId="520EDF08" w14:textId="77777777" w:rsidR="001625A8" w:rsidRPr="003831AD" w:rsidRDefault="001625A8" w:rsidP="00D77075">
      <w:pPr>
        <w:pStyle w:val="Heading3"/>
        <w:spacing w:before="0" w:after="0"/>
        <w:rPr>
          <w:rFonts w:ascii="Times New Roman" w:hAnsi="Times New Roman" w:cs="Times New Roman"/>
          <w:b/>
          <w:bCs/>
          <w:i/>
          <w:iCs/>
          <w:color w:val="auto"/>
          <w:sz w:val="24"/>
          <w:szCs w:val="24"/>
        </w:rPr>
      </w:pPr>
      <w:bookmarkStart w:id="86" w:name="_Toc195189627"/>
      <w:r w:rsidRPr="003831AD">
        <w:rPr>
          <w:rFonts w:ascii="Times New Roman" w:eastAsia="Calibri" w:hAnsi="Times New Roman" w:cs="Times New Roman"/>
          <w:b/>
          <w:bCs/>
          <w:i/>
          <w:iCs/>
          <w:color w:val="auto"/>
          <w:sz w:val="24"/>
          <w:szCs w:val="24"/>
        </w:rPr>
        <w:t>Study site</w:t>
      </w:r>
      <w:bookmarkEnd w:id="86"/>
      <w:r w:rsidRPr="003831AD">
        <w:rPr>
          <w:rFonts w:ascii="Times New Roman" w:eastAsia="Calibri" w:hAnsi="Times New Roman" w:cs="Times New Roman"/>
          <w:b/>
          <w:bCs/>
          <w:i/>
          <w:iCs/>
          <w:color w:val="auto"/>
          <w:sz w:val="24"/>
          <w:szCs w:val="24"/>
        </w:rPr>
        <w:t xml:space="preserve"> </w:t>
      </w:r>
    </w:p>
    <w:p w14:paraId="54AAB641" w14:textId="77777777" w:rsidR="002515F0" w:rsidRPr="004C7A4E" w:rsidRDefault="002515F0" w:rsidP="00D77075">
      <w:pPr>
        <w:spacing w:before="0" w:after="0"/>
        <w:ind w:firstLine="720"/>
        <w:rPr>
          <w:rFonts w:ascii="Times New Roman" w:eastAsia="Calibri" w:hAnsi="Times New Roman" w:cs="Times New Roman"/>
        </w:rPr>
      </w:pPr>
      <w:r w:rsidRPr="004C7A4E">
        <w:rPr>
          <w:rFonts w:ascii="Times New Roman" w:eastAsia="Calibri" w:hAnsi="Times New Roman" w:cs="Times New Roman"/>
        </w:rPr>
        <w:t xml:space="preserve">This study was conducted at the Fundación para la Conservación de Los Andes Tropicales reserve (FCAT) within the greater Mache-Chindul Ecological Reserve (REMACH), a key remnant patch of the Chocó rainforest in northwest Ecuador. The Chocó rainforest is a globally recognized biodiversity hotspot with high levels of endemism </w:t>
      </w:r>
      <w:r w:rsidRPr="004C7A4E">
        <w:rPr>
          <w:rFonts w:ascii="Times New Roman" w:eastAsia="Calibri" w:hAnsi="Times New Roman" w:cs="Times New Roman"/>
        </w:rPr>
        <w:fldChar w:fldCharType="begin"/>
      </w:r>
      <w:r w:rsidRPr="004C7A4E">
        <w:rPr>
          <w:rFonts w:ascii="Times New Roman" w:eastAsia="Calibri" w:hAnsi="Times New Roman" w:cs="Times New Roman"/>
        </w:rPr>
        <w:instrText xml:space="preserve"> ADDIN ZOTERO_ITEM CSL_CITATION {"citationID":"a15c4u3nsbh","properties":{"formattedCitation":"(Aguilar Mugica et al., 2009)","plainCitation":"(Aguilar Mugica et al., 2009)","noteIndex":0},"citationItems":[{"id":1613,"uris":["http://zotero.org/users/12345038/items/SFVITDT5"],"itemData":{"id":1613,"type":"book","event-place":"Quito, Ecuador","ISBN":"978-9942-9959-0-2","language":"en","note":"OCLC: 646349406","publisher":"Birdlife International","publisher-place":"Quito, Ecuador","source":"Open WorldCat","title":"Important bird areas Americas: priority sites for biodiversity conservation","title-short":"Important bird areas Americas","author":[{"family":"Aguilar Mugica","given":"Susana"},{"family":"Devenish","given":"Christian"},{"family":"Wege","given":"David C."},{"family":"Anadón-Irizarry","given":"Verónica"},{"family":"Balman","given":"Mark"}],"issued":{"date-parts":[["2009"]]}}}],"schema":"https://github.com/citation-style-language/schema/raw/master/csl-citation.json"} </w:instrText>
      </w:r>
      <w:r w:rsidRPr="004C7A4E">
        <w:rPr>
          <w:rFonts w:ascii="Times New Roman" w:eastAsia="Calibri" w:hAnsi="Times New Roman" w:cs="Times New Roman"/>
        </w:rPr>
        <w:fldChar w:fldCharType="separate"/>
      </w:r>
      <w:r w:rsidRPr="004C7A4E">
        <w:rPr>
          <w:rFonts w:ascii="Times New Roman" w:hAnsi="Times New Roman" w:cs="Times New Roman"/>
        </w:rPr>
        <w:t>(Aguilar Mugica et al., 2009)</w:t>
      </w:r>
      <w:r w:rsidRPr="004C7A4E">
        <w:rPr>
          <w:rFonts w:ascii="Times New Roman" w:eastAsia="Calibri" w:hAnsi="Times New Roman" w:cs="Times New Roman"/>
        </w:rPr>
        <w:fldChar w:fldCharType="end"/>
      </w:r>
      <w:r w:rsidRPr="004C7A4E">
        <w:rPr>
          <w:rFonts w:ascii="Times New Roman" w:eastAsia="Calibri" w:hAnsi="Times New Roman" w:cs="Times New Roman"/>
        </w:rPr>
        <w:t xml:space="preserve">. REMACH encompasses 165,000 hectares (ha) of humid Chocó rainforest, wetlands, and streams within the Rio Esmeraldas drainage, though it is affected by severe rates of deforestation </w:t>
      </w:r>
      <w:r w:rsidRPr="004C7A4E">
        <w:rPr>
          <w:rFonts w:ascii="Times New Roman" w:eastAsia="Calibri" w:hAnsi="Times New Roman" w:cs="Times New Roman"/>
        </w:rPr>
        <w:fldChar w:fldCharType="begin"/>
      </w:r>
      <w:r w:rsidRPr="004C7A4E">
        <w:rPr>
          <w:rFonts w:ascii="Times New Roman" w:eastAsia="Calibri" w:hAnsi="Times New Roman" w:cs="Times New Roman"/>
        </w:rPr>
        <w:instrText xml:space="preserve"> ADDIN ZOTERO_ITEM CSL_CITATION {"citationID":"a10bci0g6d9","properties":{"formattedCitation":"(Dur\\uc0\\u227{}es et al., 2013; Kleemann et al., 2022; Van Der Hoek, 2017)","plainCitation":"(Durães et al., 2013; Kleemann et al., 2022; Van Der Hoek, 2017)","noteIndex":0},"citationItems":[{"id":570,"uris":["http://zotero.org/users/12345038/items/GAMVQ75K"],"itemData":{"id":570,"type":"article-journal","abstract":"Regenerating forests are increasingly ubiquitous in tropical landscapes. They hold great conservation potential and there is demand for assessments of their biodiversity value. Forest disturbance and forest loss often occur together, yet few studies attempt to disentangle their separate effects on biological communities. In the Ecuadorian Chocó, a biodiversity hotspot, we sampled understory birds in patches with increasing levels of disturbance (old-growth, selectively-logged, and secondary forests) within contiguous forest and in fragments. Species richness increased with disturbance but decreased with habitat loss, with a 75% reduction in endemic and threatened species in fragments compared to contiguous forest. This reduction in richness was most pronounced in secondary forest fragments, suggesting that disturbance and habitat loss interact synergistically to maximally reduce avian biodiversity. Species composition was strongly affected by habitat loss and, to a lesser extent, disturbance, with forest fragments and secondary forests presenting distinct communities dominated by generalists with medium-to-low sensitivity to anthropogenic disturbance and reduced proportions of endemics and endangered species. Capture rates also decreased (non-signiﬁcantly) with habitat loss, and the relative abundance of dietary guilds varied in response to both habitat loss and disturbance. Our study shows that regenerating patches surrounded by contiguous forest can sustain high biodiversity levels and, when past habitat disturbance is mild, present similar communities to old-growth forests. In contrast, forest loss caused reductions in richness (especially in more disturbed patches), profound changes in community composition, and loss of species of conservation concern. These results underscore the importance of considering landscape context when evaluating the conservation value of disturbed forests.","container-title":"Biological Conservation","DOI":"10.1016/j.biocon.2013.07.007","ISSN":"00063207","journalAbbreviation":"Biological Conservation","language":"en","page":"203-211","source":"DOI.org (Crossref)","title":"Effects of forest disturbance and habitat loss on avian communities in a Neotropical biodiversity hotspot","volume":"166","author":[{"family":"Durães","given":"Renata"},{"family":"Carrasco","given":"Luis"},{"family":"Smith","given":"Thomas B."},{"family":"Karubian","given":"Jordan"}],"issued":{"date-parts":[["2013",10]]}}},{"id":1575,"uris":["http://zotero.org/users/12345038/items/QBMVZ8HP"],"itemData":{"id":1575,"type":"article-journal","abstract":"Forest conservation is of particular concern in tropical regions where a large refuge of biodiversity is still existing. These areas are threatened by deforestation, forest degradation and fragmentation. Especially, pressures of anthropogenic activities adjacent to these areas significantly influence conservation effectiveness. Ecuador was chosen as study area since it is a globally relevant center of forest ecosystems and biodiversity. We identified hotspots of deforestation on the national level of continental Ecuador between 1990 and 2018, analyzed the most significant drivers of deforestation on national and biome level (the Coast, the Andes, The Amazon) as well as inside protected areas in Ecuador by using multiple regression analysis. We separated the national system of protected areas (SNAP) into higher and lower protection levels. Besides SNAP, we also considered Biosphere Reserves (BRs) and Ramsar sites. In addition, we investigated the rates and spatial patterns of deforestation in protected areas and buffer zones (5 km and 10 km outwards the protected area boundaries) using landscape metrics. Between 1990 and 2018, approximately 4% of the accumulated deforestation occurred within the boundaries of SNAP, and up to 25.5% in buffer zones. The highest rates of deforestation have been found in the 5 km buffer zone around the protected areas with the highest protection level. Protected areas and their buffer zones with higher protection status were identified as the most deforested areas among SNAP. BRs had the highest deforestation rates among all protected areas but most of these areas just became BRs after the year 2000. The most important driver of deforestation is agriculture. Other relevant drivers differ between the biomes. The results suggest that the SNAP is generally effective to prevent deforestation within their protection boundaries. However, deforestation around protected areas can undermine conservation strategies to sustain biodiversity. Actions to address such dynamics and patterns of deforestation and forest fragmentation, and developing conservation strategies of their landscape context are urgently needed especially in the buffer zones of areas with the highest protection status.","container-title":"Land","DOI":"10.3390/land11020268","ISSN":"2073-445X","issue":"2","journalAbbreviation":"Land","language":"en","license":"https://creativecommons.org/licenses/by/4.0/","page":"268","source":"DOI.org (Crossref)","title":"Deforestation in Continental Ecuador with a Focus on Protected Areas","volume":"11","author":[{"family":"Kleemann","given":"Janina"},{"family":"Zamora","given":"Camilo"},{"family":"Villacis-Chiluisa","given":"Alexandra Belen"},{"family":"Cuenca","given":"Pablo"},{"family":"Koo","given":"Hongmi"},{"family":"Noh","given":"Jin Kyoung"},{"family":"Fürst","given":"Christine"},{"family":"Thiel","given":"Michael"}],"issued":{"date-parts":[["2022",2,10]]}}},{"id":1577,"uris":["http://zotero.org/users/12345038/items/FKCBJR8A"],"itemData":{"id":1577,"type":"article-journal","abstract":"SUMMARY\n            Ecuador, a country with nearly unparalleled levels of biodiversity and endemism, has one of the highest deforestation rates of South America. I examined whether governmentally protected areas in Ecuador have been effective at reducing deforestation. After estimating deforestation rates from existing land cover change data for 2000 to 2008, I used a matching approach to compare the rates of forest loss inside and outside protected areas, which corrected for geographic biases in the locations of protected areas. I tested for the effects of protected area age, size and level of protection on the rate of deforestation using generalized linear models. Governmentally protected areas still experienced deforestation – with no apparent effect of age, size and level of protection – of nearly 10,000 ha per year, but deforestation rates were lower inside compared to outside protected areas. Governmental protection led to the avoidance of additional deforestation of 2600–7800 ha of natural forest per year. Actions to mitigate deforestation in Ecuador are of global importance and as such it is promising that protected areas can help diminish deforestation, although the effectiveness of Ecuador's protected areas can still be improved upon.","container-title":"Environmental Conservation","DOI":"10.1017/S037689291700011X","ISSN":"0376-8929, 1469-4387","issue":"2","journalAbbreviation":"Envir. Conserv.","language":"en","license":"https://www.cambridge.org/core/terms","page":"124-130","source":"DOI.org (Crossref)","title":"The potential of protected areas to halt deforestation in Ecuador","volume":"44","author":[{"family":"Van Der Hoek","given":"Yntze"}],"issued":{"date-parts":[["2017",6]]}}}],"schema":"https://github.com/citation-style-language/schema/raw/master/csl-citation.json"} </w:instrText>
      </w:r>
      <w:r w:rsidRPr="004C7A4E">
        <w:rPr>
          <w:rFonts w:ascii="Times New Roman" w:eastAsia="Calibri" w:hAnsi="Times New Roman" w:cs="Times New Roman"/>
        </w:rPr>
        <w:fldChar w:fldCharType="separate"/>
      </w:r>
      <w:r w:rsidRPr="004C7A4E">
        <w:rPr>
          <w:rFonts w:ascii="Times New Roman" w:hAnsi="Times New Roman" w:cs="Times New Roman"/>
        </w:rPr>
        <w:t>(Durães et al., 2013; Kleemann et al., 2022; Van Der Hoek, 2017)</w:t>
      </w:r>
      <w:r w:rsidRPr="004C7A4E">
        <w:rPr>
          <w:rFonts w:ascii="Times New Roman" w:eastAsia="Calibri" w:hAnsi="Times New Roman" w:cs="Times New Roman"/>
        </w:rPr>
        <w:fldChar w:fldCharType="end"/>
      </w:r>
      <w:r w:rsidRPr="004C7A4E">
        <w:rPr>
          <w:rFonts w:ascii="Times New Roman" w:eastAsia="Calibri" w:hAnsi="Times New Roman" w:cs="Times New Roman"/>
        </w:rPr>
        <w:t xml:space="preserve">. </w:t>
      </w:r>
    </w:p>
    <w:p w14:paraId="4366DB6C" w14:textId="3ACEC9ED" w:rsidR="00764399" w:rsidRDefault="00764399" w:rsidP="00D77075">
      <w:pPr>
        <w:spacing w:before="0" w:after="0"/>
        <w:ind w:firstLine="720"/>
        <w:rPr>
          <w:rFonts w:ascii="Times New Roman" w:eastAsia="Calibri" w:hAnsi="Times New Roman" w:cs="Times New Roman"/>
        </w:rPr>
      </w:pPr>
      <w:r w:rsidRPr="008A3D69">
        <w:rPr>
          <w:rFonts w:ascii="Times New Roman" w:eastAsia="Calibri" w:hAnsi="Times New Roman" w:cs="Times New Roman"/>
        </w:rPr>
        <w:t xml:space="preserve">The FCAT reserve covered 656 ha during the data collection period and ranged from 350 – 550 meters (m) above sea level (asl), with a wet season extending from January to June and a dry season from July to December. The research design included 20 plots evenly distributed </w:t>
      </w:r>
      <w:r w:rsidRPr="008A3D69">
        <w:rPr>
          <w:rFonts w:ascii="Times New Roman" w:eastAsia="Calibri" w:hAnsi="Times New Roman" w:cs="Times New Roman"/>
        </w:rPr>
        <w:lastRenderedPageBreak/>
        <w:t xml:space="preserve">across four </w:t>
      </w:r>
      <w:r w:rsidR="00052C25" w:rsidRPr="008A3D69">
        <w:rPr>
          <w:rFonts w:ascii="Times New Roman" w:eastAsia="Calibri" w:hAnsi="Times New Roman" w:cs="Times New Roman"/>
        </w:rPr>
        <w:t>habitat categories</w:t>
      </w:r>
      <w:r w:rsidRPr="008A3D69">
        <w:rPr>
          <w:rFonts w:ascii="Times New Roman" w:eastAsia="Calibri" w:hAnsi="Times New Roman" w:cs="Times New Roman"/>
        </w:rPr>
        <w:t xml:space="preserve">: </w:t>
      </w:r>
      <w:r w:rsidRPr="008A3D69">
        <w:rPr>
          <w:rFonts w:ascii="Times New Roman" w:hAnsi="Times New Roman" w:cs="Times New Roman"/>
          <w:shd w:val="clear" w:color="auto" w:fill="FFFFFF"/>
        </w:rPr>
        <w:t>highly impacted early successional habitat (HIE), low impact early successional habitat (LIE), mid-successional secondary forest (SEC), and old growth Chocó Rainforest (OG)</w:t>
      </w:r>
      <w:r w:rsidR="007F15DD" w:rsidRPr="008A3D69">
        <w:rPr>
          <w:rFonts w:ascii="Times New Roman" w:hAnsi="Times New Roman" w:cs="Times New Roman"/>
          <w:shd w:val="clear" w:color="auto" w:fill="FFFFFF"/>
        </w:rPr>
        <w:t xml:space="preserve"> (</w:t>
      </w:r>
      <w:r w:rsidR="007F15DD" w:rsidRPr="003022FF">
        <w:rPr>
          <w:rFonts w:ascii="Times New Roman" w:hAnsi="Times New Roman" w:cs="Times New Roman"/>
          <w:b/>
          <w:bCs/>
          <w:shd w:val="clear" w:color="auto" w:fill="FFFFFF"/>
        </w:rPr>
        <w:t xml:space="preserve">Supplementary Figure </w:t>
      </w:r>
      <w:r w:rsidR="001918D7">
        <w:rPr>
          <w:rFonts w:ascii="Times New Roman" w:hAnsi="Times New Roman" w:cs="Times New Roman"/>
          <w:b/>
          <w:bCs/>
          <w:shd w:val="clear" w:color="auto" w:fill="FFFFFF"/>
        </w:rPr>
        <w:t>2</w:t>
      </w:r>
      <w:r w:rsidR="007F15DD" w:rsidRPr="008A3D69">
        <w:rPr>
          <w:rFonts w:ascii="Times New Roman" w:hAnsi="Times New Roman" w:cs="Times New Roman"/>
          <w:shd w:val="clear" w:color="auto" w:fill="FFFFFF"/>
        </w:rPr>
        <w:t>)</w:t>
      </w:r>
      <w:r w:rsidRPr="008A3D69">
        <w:rPr>
          <w:rFonts w:ascii="Times New Roman" w:hAnsi="Times New Roman" w:cs="Times New Roman"/>
          <w:shd w:val="clear" w:color="auto" w:fill="FFFFFF"/>
        </w:rPr>
        <w:t xml:space="preserve">. HIE plots were cleared and used as cattle pastures for &gt;20 years until they were abandoned in 2021 when they were purchased by FCAT. LIE plots had lower levels of disturbance, where selective logging and ≤1 year of grazing cattle from 2020-2021 without fire or use of herbicides resulted in less soil compaction and more remnant trees and fruiting vegetation (M Sanchez-Julia, </w:t>
      </w:r>
      <w:r w:rsidRPr="008A3D69">
        <w:rPr>
          <w:rFonts w:ascii="Times New Roman" w:hAnsi="Times New Roman" w:cs="Times New Roman"/>
          <w:i/>
          <w:iCs/>
          <w:shd w:val="clear" w:color="auto" w:fill="FFFFFF"/>
        </w:rPr>
        <w:t>unpublished data</w:t>
      </w:r>
      <w:r w:rsidRPr="008A3D69">
        <w:rPr>
          <w:rFonts w:ascii="Times New Roman" w:hAnsi="Times New Roman" w:cs="Times New Roman"/>
          <w:shd w:val="clear" w:color="auto" w:fill="FFFFFF"/>
        </w:rPr>
        <w:t xml:space="preserve">). SEC areas were predominantly abandoned cocoa plantations that have been naturally regenerating for approximately 25 years. OG represents old growth </w:t>
      </w:r>
      <w:r w:rsidR="008A3D69" w:rsidRPr="008A3D69">
        <w:rPr>
          <w:rFonts w:ascii="Times New Roman" w:hAnsi="Times New Roman" w:cs="Times New Roman"/>
          <w:shd w:val="clear" w:color="auto" w:fill="FFFFFF"/>
        </w:rPr>
        <w:t xml:space="preserve">(undisturbed primary forest) </w:t>
      </w:r>
      <w:r w:rsidRPr="008A3D69">
        <w:rPr>
          <w:rFonts w:ascii="Times New Roman" w:hAnsi="Times New Roman" w:cs="Times New Roman"/>
          <w:shd w:val="clear" w:color="auto" w:fill="FFFFFF"/>
        </w:rPr>
        <w:t xml:space="preserve">Chocó Rainforest with limited recent human intervention (i.e., low intensity selective logging) that surrounds all other </w:t>
      </w:r>
      <w:r w:rsidR="00052C25" w:rsidRPr="008A3D69">
        <w:rPr>
          <w:rFonts w:ascii="Times New Roman" w:eastAsia="Calibri" w:hAnsi="Times New Roman" w:cs="Times New Roman"/>
        </w:rPr>
        <w:t xml:space="preserve">habitat </w:t>
      </w:r>
      <w:r w:rsidR="008A3D69" w:rsidRPr="008A3D69">
        <w:rPr>
          <w:rFonts w:ascii="Times New Roman" w:eastAsia="Calibri" w:hAnsi="Times New Roman" w:cs="Times New Roman"/>
        </w:rPr>
        <w:t>categories</w:t>
      </w:r>
      <w:r w:rsidR="008A3D69">
        <w:rPr>
          <w:rFonts w:ascii="Times New Roman" w:eastAsia="Calibri" w:hAnsi="Times New Roman" w:cs="Times New Roman"/>
        </w:rPr>
        <w:t xml:space="preserve">. </w:t>
      </w:r>
      <w:r w:rsidRPr="008A3D69">
        <w:rPr>
          <w:rFonts w:ascii="Times New Roman" w:eastAsia="Calibri" w:hAnsi="Times New Roman" w:cs="Times New Roman"/>
        </w:rPr>
        <w:t xml:space="preserve">Sampling took place in five replicates across each of the </w:t>
      </w:r>
      <w:r w:rsidR="00052C25" w:rsidRPr="008A3D69">
        <w:rPr>
          <w:rFonts w:ascii="Times New Roman" w:eastAsia="Calibri" w:hAnsi="Times New Roman" w:cs="Times New Roman"/>
        </w:rPr>
        <w:t>four</w:t>
      </w:r>
      <w:r w:rsidRPr="008A3D69">
        <w:rPr>
          <w:rFonts w:ascii="Times New Roman" w:eastAsia="Calibri" w:hAnsi="Times New Roman" w:cs="Times New Roman"/>
        </w:rPr>
        <w:t xml:space="preserve"> </w:t>
      </w:r>
      <w:r w:rsidR="00052C25" w:rsidRPr="008A3D69">
        <w:rPr>
          <w:rFonts w:ascii="Times New Roman" w:eastAsia="Calibri" w:hAnsi="Times New Roman" w:cs="Times New Roman"/>
        </w:rPr>
        <w:t>habitat</w:t>
      </w:r>
      <w:r w:rsidRPr="008A3D69">
        <w:rPr>
          <w:rFonts w:ascii="Times New Roman" w:eastAsia="Calibri" w:hAnsi="Times New Roman" w:cs="Times New Roman"/>
        </w:rPr>
        <w:t xml:space="preserve"> </w:t>
      </w:r>
      <w:r w:rsidR="00052C25" w:rsidRPr="008A3D69">
        <w:rPr>
          <w:rFonts w:ascii="Times New Roman" w:eastAsia="Calibri" w:hAnsi="Times New Roman" w:cs="Times New Roman"/>
        </w:rPr>
        <w:t>categories</w:t>
      </w:r>
      <w:r w:rsidRPr="008A3D69">
        <w:rPr>
          <w:rFonts w:ascii="Times New Roman" w:eastAsia="Calibri" w:hAnsi="Times New Roman" w:cs="Times New Roman"/>
        </w:rPr>
        <w:t xml:space="preserve"> for a total of 20 plots spaced a minimum of 100 meters (m) apart throughout the FCAT reserve</w:t>
      </w:r>
      <w:r w:rsidR="007F15DD" w:rsidRPr="008A3D69">
        <w:rPr>
          <w:rFonts w:ascii="Times New Roman" w:eastAsia="Calibri" w:hAnsi="Times New Roman" w:cs="Times New Roman"/>
        </w:rPr>
        <w:t xml:space="preserve"> </w:t>
      </w:r>
      <w:r w:rsidR="007F15DD" w:rsidRPr="008A3D69">
        <w:rPr>
          <w:rFonts w:ascii="Times New Roman" w:hAnsi="Times New Roman" w:cs="Times New Roman"/>
          <w:shd w:val="clear" w:color="auto" w:fill="FFFFFF"/>
        </w:rPr>
        <w:t>(</w:t>
      </w:r>
      <w:r w:rsidR="007F15DD" w:rsidRPr="003022FF">
        <w:rPr>
          <w:rFonts w:ascii="Times New Roman" w:hAnsi="Times New Roman" w:cs="Times New Roman"/>
          <w:b/>
          <w:bCs/>
          <w:shd w:val="clear" w:color="auto" w:fill="FFFFFF"/>
        </w:rPr>
        <w:t>Figure 3</w:t>
      </w:r>
      <w:r w:rsidR="007F15DD" w:rsidRPr="008A3D69">
        <w:rPr>
          <w:rFonts w:ascii="Times New Roman" w:hAnsi="Times New Roman" w:cs="Times New Roman"/>
          <w:shd w:val="clear" w:color="auto" w:fill="FFFFFF"/>
        </w:rPr>
        <w:t>)</w:t>
      </w:r>
      <w:r w:rsidRPr="008A3D69">
        <w:rPr>
          <w:rFonts w:ascii="Times New Roman" w:eastAsia="Calibri" w:hAnsi="Times New Roman" w:cs="Times New Roman"/>
        </w:rPr>
        <w:t>.</w:t>
      </w:r>
    </w:p>
    <w:p w14:paraId="234DC72A" w14:textId="77777777" w:rsidR="004C7A4E" w:rsidRPr="003831AD" w:rsidRDefault="004C7A4E" w:rsidP="00D77075">
      <w:pPr>
        <w:pStyle w:val="Heading3"/>
        <w:spacing w:before="0" w:after="0"/>
        <w:rPr>
          <w:rFonts w:ascii="Times New Roman" w:eastAsia="Calibri" w:hAnsi="Times New Roman" w:cs="Times New Roman"/>
          <w:b/>
          <w:bCs/>
          <w:i/>
          <w:iCs/>
          <w:color w:val="auto"/>
          <w:sz w:val="24"/>
          <w:szCs w:val="24"/>
        </w:rPr>
      </w:pPr>
      <w:bookmarkStart w:id="87" w:name="_Toc195189628"/>
      <w:r w:rsidRPr="003831AD">
        <w:rPr>
          <w:rFonts w:ascii="Times New Roman" w:eastAsia="Calibri" w:hAnsi="Times New Roman" w:cs="Times New Roman"/>
          <w:b/>
          <w:bCs/>
          <w:i/>
          <w:iCs/>
          <w:color w:val="auto"/>
          <w:sz w:val="24"/>
          <w:szCs w:val="24"/>
        </w:rPr>
        <w:t>Sampling for bird communities and functional traits</w:t>
      </w:r>
      <w:bookmarkEnd w:id="87"/>
      <w:r w:rsidRPr="003831AD">
        <w:rPr>
          <w:rFonts w:ascii="Times New Roman" w:eastAsia="Calibri" w:hAnsi="Times New Roman" w:cs="Times New Roman"/>
          <w:b/>
          <w:bCs/>
          <w:i/>
          <w:iCs/>
          <w:color w:val="auto"/>
          <w:sz w:val="24"/>
          <w:szCs w:val="24"/>
        </w:rPr>
        <w:t xml:space="preserve"> </w:t>
      </w:r>
    </w:p>
    <w:p w14:paraId="5029179B" w14:textId="0BE517E0" w:rsidR="00F914C1" w:rsidRDefault="00F914C1" w:rsidP="00D77075">
      <w:pPr>
        <w:spacing w:before="0" w:after="0"/>
        <w:ind w:firstLine="360"/>
        <w:rPr>
          <w:rFonts w:ascii="Times New Roman" w:hAnsi="Times New Roman" w:cs="Times New Roman"/>
          <w:shd w:val="clear" w:color="auto" w:fill="FFFFFF"/>
        </w:rPr>
      </w:pPr>
      <w:r w:rsidRPr="00655B5B">
        <w:rPr>
          <w:rFonts w:ascii="Times New Roman" w:eastAsia="Calibri" w:hAnsi="Times New Roman" w:cs="Times New Roman"/>
        </w:rPr>
        <w:t xml:space="preserve">We conducted bird surveys from May-August in 2022 and 2023 to coincide with the dry season and to include resident species rather than migratory species. In each plot, we used mist-netting to account for abundances of understory bird species. This took place in fair weather from sunrise (~6:30) to 12:30 for two consecutive days at each plot, and then we rotated to a randomized plot in a different regeneration type. In total, we completed 120 mist-netting hours for each plot (10 nets [120 m per net line] × 6 hours × 2 days), for a total of 2,400 netting hours across all sites. </w:t>
      </w:r>
      <w:r w:rsidR="00094014">
        <w:rPr>
          <w:rFonts w:ascii="Times New Roman" w:eastAsia="Calibri" w:hAnsi="Times New Roman" w:cs="Times New Roman"/>
        </w:rPr>
        <w:t>We checked nets</w:t>
      </w:r>
      <w:r w:rsidRPr="00655B5B">
        <w:rPr>
          <w:rFonts w:ascii="Times New Roman" w:eastAsia="Calibri" w:hAnsi="Times New Roman" w:cs="Times New Roman"/>
        </w:rPr>
        <w:t xml:space="preserve"> every 20 minutes</w:t>
      </w:r>
      <w:r w:rsidR="00094014">
        <w:rPr>
          <w:rFonts w:ascii="Times New Roman" w:eastAsia="Calibri" w:hAnsi="Times New Roman" w:cs="Times New Roman"/>
        </w:rPr>
        <w:t>, and</w:t>
      </w:r>
      <w:r w:rsidRPr="00655B5B">
        <w:rPr>
          <w:rFonts w:ascii="Times New Roman" w:eastAsia="Calibri" w:hAnsi="Times New Roman" w:cs="Times New Roman"/>
        </w:rPr>
        <w:t xml:space="preserve"> </w:t>
      </w:r>
      <w:r w:rsidR="00094014">
        <w:rPr>
          <w:rFonts w:ascii="Times New Roman" w:eastAsia="Calibri" w:hAnsi="Times New Roman" w:cs="Times New Roman"/>
        </w:rPr>
        <w:t>e</w:t>
      </w:r>
      <w:r w:rsidRPr="00655B5B">
        <w:rPr>
          <w:rFonts w:ascii="Times New Roman" w:eastAsia="Calibri" w:hAnsi="Times New Roman" w:cs="Times New Roman"/>
        </w:rPr>
        <w:t xml:space="preserve">ach time a bird was netted, it was placed in a holding bag and brought to a banding station. </w:t>
      </w:r>
      <w:r w:rsidR="00094014">
        <w:rPr>
          <w:rFonts w:ascii="Times New Roman" w:eastAsia="Calibri" w:hAnsi="Times New Roman" w:cs="Times New Roman"/>
        </w:rPr>
        <w:t>We kept i</w:t>
      </w:r>
      <w:r w:rsidRPr="00655B5B">
        <w:rPr>
          <w:rFonts w:ascii="Times New Roman" w:eastAsia="Calibri" w:hAnsi="Times New Roman" w:cs="Times New Roman"/>
        </w:rPr>
        <w:t xml:space="preserve">ndividuals in bags for no more than 15 minutes. </w:t>
      </w:r>
      <w:r w:rsidRPr="00655B5B">
        <w:rPr>
          <w:rFonts w:ascii="Times New Roman" w:hAnsi="Times New Roman" w:cs="Times New Roman"/>
        </w:rPr>
        <w:t>Each bird we captured received a uniquely numbered aluminum band</w:t>
      </w:r>
      <w:r w:rsidRPr="00655B5B">
        <w:rPr>
          <w:rFonts w:ascii="Times New Roman" w:eastAsia="Calibri" w:hAnsi="Times New Roman" w:cs="Times New Roman"/>
        </w:rPr>
        <w:t xml:space="preserve"> and was identified using </w:t>
      </w:r>
      <w:r w:rsidRPr="00655B5B">
        <w:rPr>
          <w:rFonts w:ascii="Times New Roman" w:eastAsia="Calibri" w:hAnsi="Times New Roman" w:cs="Times New Roman"/>
          <w:i/>
        </w:rPr>
        <w:t xml:space="preserve">Birds of Ecuador </w:t>
      </w:r>
      <w:r w:rsidRPr="00655B5B">
        <w:rPr>
          <w:rFonts w:ascii="Times New Roman" w:eastAsia="Calibri" w:hAnsi="Times New Roman" w:cs="Times New Roman"/>
        </w:rPr>
        <w:t xml:space="preserve">field guide </w:t>
      </w:r>
      <w:r w:rsidRPr="00655B5B">
        <w:rPr>
          <w:rFonts w:ascii="Times New Roman" w:eastAsia="Calibri" w:hAnsi="Times New Roman" w:cs="Times New Roman"/>
        </w:rPr>
        <w:fldChar w:fldCharType="begin"/>
      </w:r>
      <w:r w:rsidRPr="00655B5B">
        <w:rPr>
          <w:rFonts w:ascii="Times New Roman" w:eastAsia="Calibri" w:hAnsi="Times New Roman" w:cs="Times New Roman"/>
        </w:rPr>
        <w:instrText xml:space="preserve"> ADDIN ZOTERO_ITEM CSL_CITATION {"citationID":"a2jikqnecl7","properties":{"formattedCitation":"(Freile &amp; Restall, 2018)","plainCitation":"(Freile &amp; Restall, 2018)","noteIndex":0},"citationItems":[{"id":1503,"uris":["http://zotero.org/users/12345038/items/6HWAAHN8"],"itemData":{"id":1503,"type":"book","language":"es","publisher":"Helm, Bloomsbury Publishing Plc","title":"Birds of Ecuador","author":[{"family":"Freile","given":"J.F."},{"family":"Restall","given":"R.L."}],"issued":{"date-parts":[["2018"]]}}}],"schema":"https://github.com/citation-style-language/schema/raw/master/csl-citation.json"} </w:instrText>
      </w:r>
      <w:r w:rsidRPr="00655B5B">
        <w:rPr>
          <w:rFonts w:ascii="Times New Roman" w:eastAsia="Calibri" w:hAnsi="Times New Roman" w:cs="Times New Roman"/>
        </w:rPr>
        <w:fldChar w:fldCharType="separate"/>
      </w:r>
      <w:r w:rsidRPr="00655B5B">
        <w:rPr>
          <w:rFonts w:ascii="Times New Roman" w:hAnsi="Times New Roman" w:cs="Times New Roman"/>
        </w:rPr>
        <w:t>(Freile &amp; Restall, 2018)</w:t>
      </w:r>
      <w:r w:rsidRPr="00655B5B">
        <w:rPr>
          <w:rFonts w:ascii="Times New Roman" w:eastAsia="Calibri" w:hAnsi="Times New Roman" w:cs="Times New Roman"/>
        </w:rPr>
        <w:fldChar w:fldCharType="end"/>
      </w:r>
      <w:r w:rsidRPr="00655B5B">
        <w:rPr>
          <w:rFonts w:ascii="Times New Roman" w:eastAsia="Calibri" w:hAnsi="Times New Roman" w:cs="Times New Roman"/>
        </w:rPr>
        <w:t xml:space="preserve"> before being released at the point of capture. </w:t>
      </w:r>
      <w:r w:rsidRPr="00655B5B">
        <w:rPr>
          <w:rFonts w:ascii="Times New Roman" w:hAnsi="Times New Roman" w:cs="Times New Roman"/>
        </w:rPr>
        <w:t>Fieldwork was conducted with MAATE permission (</w:t>
      </w:r>
      <w:proofErr w:type="spellStart"/>
      <w:r w:rsidRPr="00655B5B">
        <w:rPr>
          <w:rFonts w:ascii="Times New Roman" w:hAnsi="Times New Roman" w:cs="Times New Roman"/>
          <w:i/>
          <w:iCs/>
        </w:rPr>
        <w:t>Ministerio</w:t>
      </w:r>
      <w:proofErr w:type="spellEnd"/>
      <w:r w:rsidRPr="00655B5B">
        <w:rPr>
          <w:rFonts w:ascii="Times New Roman" w:hAnsi="Times New Roman" w:cs="Times New Roman"/>
          <w:i/>
          <w:iCs/>
        </w:rPr>
        <w:t xml:space="preserve"> del </w:t>
      </w:r>
      <w:proofErr w:type="spellStart"/>
      <w:r w:rsidRPr="00655B5B">
        <w:rPr>
          <w:rFonts w:ascii="Times New Roman" w:hAnsi="Times New Roman" w:cs="Times New Roman"/>
          <w:i/>
          <w:iCs/>
        </w:rPr>
        <w:t>Ambiente</w:t>
      </w:r>
      <w:proofErr w:type="spellEnd"/>
      <w:r w:rsidRPr="00655B5B">
        <w:rPr>
          <w:rFonts w:ascii="Times New Roman" w:hAnsi="Times New Roman" w:cs="Times New Roman"/>
          <w:i/>
          <w:iCs/>
        </w:rPr>
        <w:t xml:space="preserve">, Agua y </w:t>
      </w:r>
      <w:proofErr w:type="spellStart"/>
      <w:r w:rsidRPr="00655B5B">
        <w:rPr>
          <w:rFonts w:ascii="Times New Roman" w:hAnsi="Times New Roman" w:cs="Times New Roman"/>
          <w:i/>
          <w:iCs/>
        </w:rPr>
        <w:t>Transición</w:t>
      </w:r>
      <w:proofErr w:type="spellEnd"/>
      <w:r w:rsidRPr="00655B5B">
        <w:rPr>
          <w:rFonts w:ascii="Times New Roman" w:hAnsi="Times New Roman" w:cs="Times New Roman"/>
          <w:i/>
          <w:iCs/>
        </w:rPr>
        <w:t xml:space="preserve"> </w:t>
      </w:r>
      <w:proofErr w:type="spellStart"/>
      <w:r w:rsidRPr="00655B5B">
        <w:rPr>
          <w:rFonts w:ascii="Times New Roman" w:hAnsi="Times New Roman" w:cs="Times New Roman"/>
          <w:i/>
          <w:iCs/>
        </w:rPr>
        <w:t>Ecológica</w:t>
      </w:r>
      <w:proofErr w:type="spellEnd"/>
      <w:r w:rsidRPr="00655B5B">
        <w:rPr>
          <w:rFonts w:ascii="Times New Roman" w:hAnsi="Times New Roman" w:cs="Times New Roman"/>
        </w:rPr>
        <w:t xml:space="preserve">) under permit number: </w:t>
      </w:r>
      <w:r w:rsidRPr="00655B5B">
        <w:rPr>
          <w:rFonts w:ascii="Times New Roman" w:hAnsi="Times New Roman" w:cs="Times New Roman"/>
          <w:shd w:val="clear" w:color="auto" w:fill="FFFFFF"/>
        </w:rPr>
        <w:t>MAATE-ARSFC-2022-2589.</w:t>
      </w:r>
    </w:p>
    <w:p w14:paraId="1E759FA9" w14:textId="77777777" w:rsidR="00655B5B" w:rsidRPr="003831AD" w:rsidRDefault="00655B5B" w:rsidP="00D77075">
      <w:pPr>
        <w:spacing w:before="0" w:after="0"/>
        <w:rPr>
          <w:rFonts w:ascii="Times New Roman" w:eastAsia="Calibri" w:hAnsi="Times New Roman" w:cs="Times New Roman"/>
          <w:b/>
          <w:bCs/>
          <w:i/>
          <w:iCs/>
        </w:rPr>
      </w:pPr>
      <w:r w:rsidRPr="003831AD">
        <w:rPr>
          <w:rFonts w:ascii="Times New Roman" w:hAnsi="Times New Roman" w:cs="Times New Roman"/>
          <w:b/>
          <w:bCs/>
          <w:i/>
          <w:iCs/>
          <w:shd w:val="clear" w:color="auto" w:fill="FFFFFF"/>
        </w:rPr>
        <w:t>Calculating Functional Diversity Indices</w:t>
      </w:r>
    </w:p>
    <w:p w14:paraId="4614CC80" w14:textId="6877E0F4" w:rsidR="00764399" w:rsidRPr="006B4CA5" w:rsidRDefault="006B4CA5" w:rsidP="00094014">
      <w:pPr>
        <w:spacing w:before="0" w:after="0"/>
        <w:ind w:firstLine="720"/>
        <w:rPr>
          <w:rFonts w:ascii="Times New Roman" w:eastAsia="Calibri" w:hAnsi="Times New Roman" w:cs="Times New Roman"/>
        </w:rPr>
      </w:pPr>
      <w:r w:rsidRPr="006B4CA5">
        <w:rPr>
          <w:rFonts w:ascii="Times New Roman" w:eastAsia="Calibri" w:hAnsi="Times New Roman" w:cs="Times New Roman"/>
        </w:rPr>
        <w:t xml:space="preserve">To obtain functional traits for each species, we used an open-access dataset that contained morphological, geographical, and behavioral traits for over 12,000 individual species </w:t>
      </w:r>
      <w:r w:rsidRPr="006B4CA5">
        <w:rPr>
          <w:rFonts w:ascii="Times New Roman" w:eastAsia="Calibri" w:hAnsi="Times New Roman" w:cs="Times New Roman"/>
        </w:rPr>
        <w:fldChar w:fldCharType="begin"/>
      </w:r>
      <w:r w:rsidRPr="006B4CA5">
        <w:rPr>
          <w:rFonts w:ascii="Times New Roman" w:eastAsia="Calibri" w:hAnsi="Times New Roman" w:cs="Times New Roman"/>
        </w:rPr>
        <w:instrText xml:space="preserve"> ADDIN ZOTERO_ITEM CSL_CITATION {"citationID":"a1h2vgmvr32","properties":{"formattedCitation":"(Tobias et al., 2022)","plainCitation":"(Tobias et al., 2022)","noteIndex":0},"citationItems":[{"id":616,"uris":["http://zotero.org/users/12345038/items/5H2GD34U"],"itemData":{"id":616,"type":"article-journal","abstract":"Functional traits offer a rich quantitative framework for developing and testing theories in evolutionary biology, ecology and ecosystem science. However, the potential of functional traits to drive theoretical advances and refine models of global change can only be fully realised when species-­level information is complete. Here we present the AVONET dataset containing comprehensive functional trait data for all birds, including six ecological variables, 11 continuous morphological traits, and information on range size and location. Raw morphological measurements are presented from 90,020 individuals of 11,009 extant bird species sampled from 181 countries. These data are also summarised as species averages in three taxonomic formats, allowing integration with a global phylogeny, geographical range maps, IUCN Red List data and the eBird citizen science database. The AVONET dataset provides the most detailed picture of continuous trait variation for any major radiation of organisms, offering a global template for testing hypotheses and exploring the evolutionary origins, structure and functioning of biodiversity.","container-title":"Ecology Letters","DOI":"10.1111/ele.13898","ISSN":"1461-023X, 1461-0248","issue":"3","journalAbbreviation":"Ecology Letters","language":"en","page":"581-597","source":"DOI.org (Crossref)","title":"AVONET: morphological, ecological and geographical data for all birds","title-short":"AVONET","volume":"25","author":[{"family":"Tobias","given":"Joseph A."},{"family":"Sheard","given":"Catherine"},{"family":"Pigot","given":"Alex L."},{"family":"Devenish","given":"Adam J. M."},{"family":"Yang","given":"Jingyi"},{"family":"Sayol","given":"Ferran"},{"family":"Neate‐Clegg","given":"Montague H. C."},{"family":"Alioravainen","given":"Nico"},{"family":"Weeks","given":"Thomas L."},{"family":"Barber","given":"Robert A."},{"family":"Walkden","given":"Patrick A."},{"family":"MacGregor","given":"Hannah E. A."},{"family":"Jones","given":"Samuel E. I."},{"family":"Vincent","given":"Claire"},{"family":"Phillips","given":"Anna G."},{"family":"Marples","given":"Nicola M."},{"family":"Montaño‐Centellas","given":"Flavia A."},{"family":"Leandro‐Silva","given":"Victor"},{"family":"Claramunt","given":"Santiago"},{"family":"Darski","given":"Bianca"},{"family":"Freeman","given":"Benjamin G."},{"family":"Bregman","given":"Tom P."},{"family":"Cooney","given":"Christopher R."},{"family":"Hughes","given":"Emma C."},{"family":"Capp","given":"Elliot J. R."},{"family":"Varley","given":"Zoë K."},{"family":"Friedman","given":"Nicholas R."},{"family":"Korntheuer","given":"Heiko"},{"family":"Corrales‐Vargas","given":"Andrea"},{"family":"Trisos","given":"Christopher H."},{"family":"Weeks","given":"Brian C."},{"family":"Hanz","given":"Dagmar M."},{"family":"Töpfer","given":"Till"},{"family":"Bravo","given":"Gustavo A."},{"family":"Remeš","given":"Vladimír"},{"family":"Nowak","given":"Larissa"},{"family":"Carneiro","given":"Lincoln S."},{"family":"Moncada R.","given":"Amilkar J."},{"family":"Matysioková","given":"Beata"},{"family":"Baldassarre","given":"Daniel T."},{"family":"Martínez‐Salinas","given":"Alejandra"},{"family":"Wolfe","given":"Jared D."},{"family":"Chapman","given":"Philip M."},{"family":"Daly","given":"Benjamin G."},{"family":"Sorensen","given":"Marjorie C."},{"family":"Neu","given":"Alexander"},{"family":"Ford","given":"Michael A."},{"family":"Mayhew","given":"Rebekah J."},{"family":"Fabio Silveira","given":"Luis"},{"family":"Kelly","given":"David J."},{"family":"Annorbah","given":"Nathaniel N. D."},{"family":"Pollock","given":"Henry S."},{"family":"Grabowska‐Zhang","given":"Ada M."},{"family":"McEntee","given":"Jay P."},{"family":"Carlos T. Gonzalez","given":"Juan"},{"family":"Meneses","given":"Camila G."},{"family":"Muñoz","given":"Marcia C."},{"family":"Powell","given":"Luke L."},{"family":"Jamie","given":"Gabriel A."},{"family":"Matthews","given":"Thomas J."},{"family":"Johnson","given":"Oscar"},{"family":"Brito","given":"Guilherme R. R."},{"family":"Zyskowski","given":"Kristof"},{"family":"Crates","given":"Ross"},{"family":"Harvey","given":"Michael G."},{"family":"Jurado Zevallos","given":"Maura"},{"family":"Hosner","given":"Peter A."},{"family":"Bradfer‐Lawrence","given":"Tom"},{"family":"Maley","given":"James M."},{"family":"Stiles","given":"F. Gary"},{"family":"Lima","given":"Hevana S."},{"family":"Provost","given":"Kaiya L."},{"family":"Chibesa","given":"Moses"},{"family":"Mashao","given":"Mmatjie"},{"family":"Howard","given":"Jeffrey T."},{"family":"Mlamba","given":"Edson"},{"family":"Chua","given":"Marcus A. H."},{"family":"Li","given":"Bicheng"},{"family":"Gómez","given":"M. Isabel"},{"family":"García","given":"Natalia C."},{"family":"Päckert","given":"Martin"},{"family":"Fuchs","given":"Jérôme"},{"family":"Ali","given":"Jarome R."},{"family":"Derryberry","given":"Elizabeth P."},{"family":"Carlson","given":"Monica L."},{"family":"Urriza","given":"Rolly C."},{"family":"Brzeski","given":"Kristin E."},{"family":"Prawiradilaga","given":"Dewi M."},{"family":"Rayner","given":"Matt J."},{"family":"Miller","given":"Eliot T."},{"family":"Bowie","given":"Rauri C. K."},{"family":"Lafontaine","given":"René‐Marie"},{"family":"Scofield","given":"R. Paul"},{"family":"Lou","given":"Yingqiang"},{"family":"Somarathna","given":"Lankani"},{"family":"Lepage","given":"Denis"},{"family":"Illif","given":"Marshall"},{"family":"Neuschulz","given":"Eike Lena"},{"family":"Templin","given":"Mathias"},{"family":"Dehling","given":"D. Matthias"},{"family":"Cooper","given":"Jacob C."},{"family":"Pauwels","given":"Olivier S. G."},{"family":"Analuddin","given":"Kangkuso"},{"family":"Fjeldså","given":"Jon"},{"family":"Seddon","given":"Nathalie"},{"family":"Sweet","given":"Paul R."},{"family":"DeClerck","given":"Fabrice A. J."},{"family":"Naka","given":"Luciano N."},{"family":"Brawn","given":"Jeffrey D."},{"family":"Aleixo","given":"Alexandre"},{"family":"Böhning‐Gaese","given":"Katrin"},{"family":"Rahbek","given":"Carsten"},{"family":"Fritz","given":"Susanne A."},{"family":"Thomas","given":"Gavin H."},{"family":"Schleuning","given":"Matthias"}],"editor":[{"family":"Coulson","given":"Tim"}],"issued":{"date-parts":[["2022",3]]}}}],"schema":"https://github.com/citation-style-language/schema/raw/master/csl-citation.json"} </w:instrText>
      </w:r>
      <w:r w:rsidRPr="006B4CA5">
        <w:rPr>
          <w:rFonts w:ascii="Times New Roman" w:eastAsia="Calibri" w:hAnsi="Times New Roman" w:cs="Times New Roman"/>
        </w:rPr>
        <w:fldChar w:fldCharType="separate"/>
      </w:r>
      <w:r w:rsidRPr="006B4CA5">
        <w:rPr>
          <w:rFonts w:ascii="Times New Roman" w:hAnsi="Times New Roman" w:cs="Times New Roman"/>
        </w:rPr>
        <w:t>(Tobias et al., 2022)</w:t>
      </w:r>
      <w:r w:rsidRPr="006B4CA5">
        <w:rPr>
          <w:rFonts w:ascii="Times New Roman" w:eastAsia="Calibri" w:hAnsi="Times New Roman" w:cs="Times New Roman"/>
        </w:rPr>
        <w:fldChar w:fldCharType="end"/>
      </w:r>
      <w:r w:rsidRPr="006B4CA5">
        <w:rPr>
          <w:rFonts w:ascii="Times New Roman" w:eastAsia="Calibri" w:hAnsi="Times New Roman" w:cs="Times New Roman"/>
        </w:rPr>
        <w:t xml:space="preserve">. From this data set, we extracted both morphological (beak length, beak width, wing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831AD" w:rsidRPr="00B066C6" w14:paraId="66C4F911" w14:textId="77777777" w:rsidTr="008E3F64">
        <w:tc>
          <w:tcPr>
            <w:tcW w:w="9350" w:type="dxa"/>
          </w:tcPr>
          <w:p w14:paraId="25CDE488" w14:textId="77777777" w:rsidR="003831AD" w:rsidRPr="00B066C6" w:rsidRDefault="003831AD" w:rsidP="008E3F64">
            <w:pPr>
              <w:spacing w:line="360" w:lineRule="auto"/>
              <w:rPr>
                <w:rFonts w:ascii="Times New Roman" w:eastAsia="Calibri" w:hAnsi="Times New Roman" w:cs="Times New Roman"/>
                <w:color w:val="000000" w:themeColor="text1"/>
              </w:rPr>
            </w:pPr>
            <w:r w:rsidRPr="00B066C6">
              <w:rPr>
                <w:rFonts w:ascii="Times New Roman" w:eastAsia="Calibri" w:hAnsi="Times New Roman" w:cs="Times New Roman"/>
                <w:noProof/>
                <w:color w:val="000000" w:themeColor="text1"/>
              </w:rPr>
              <w:lastRenderedPageBreak/>
              <w:drawing>
                <wp:inline distT="0" distB="0" distL="0" distR="0" wp14:anchorId="00A003D1" wp14:editId="15BF14E9">
                  <wp:extent cx="5816147" cy="4114800"/>
                  <wp:effectExtent l="0" t="0" r="635" b="0"/>
                  <wp:docPr id="860169986" name="Picture 1" descr="A map of a green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17199" name="Picture 1" descr="A map of a green land&#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5820557" cy="4117920"/>
                          </a:xfrm>
                          <a:prstGeom prst="rect">
                            <a:avLst/>
                          </a:prstGeom>
                        </pic:spPr>
                      </pic:pic>
                    </a:graphicData>
                  </a:graphic>
                </wp:inline>
              </w:drawing>
            </w:r>
          </w:p>
        </w:tc>
      </w:tr>
      <w:tr w:rsidR="003831AD" w:rsidRPr="00B066C6" w14:paraId="1C6598B4" w14:textId="77777777" w:rsidTr="008E3F64">
        <w:trPr>
          <w:trHeight w:val="284"/>
        </w:trPr>
        <w:tc>
          <w:tcPr>
            <w:tcW w:w="9350" w:type="dxa"/>
          </w:tcPr>
          <w:p w14:paraId="2D93DBD7" w14:textId="6F54FD75" w:rsidR="003831AD" w:rsidRPr="00B066C6" w:rsidRDefault="003831AD" w:rsidP="00D77075">
            <w:pPr>
              <w:pStyle w:val="Caption"/>
              <w:rPr>
                <w:rFonts w:ascii="Times New Roman" w:hAnsi="Times New Roman" w:cs="Times New Roman"/>
                <w:i w:val="0"/>
                <w:iCs w:val="0"/>
                <w:sz w:val="24"/>
                <w:szCs w:val="24"/>
              </w:rPr>
            </w:pPr>
            <w:bookmarkStart w:id="88" w:name="_Toc195189740"/>
            <w:r w:rsidRPr="00B066C6">
              <w:rPr>
                <w:rFonts w:ascii="Times New Roman" w:hAnsi="Times New Roman" w:cs="Times New Roman"/>
                <w:b/>
                <w:bCs/>
                <w:i w:val="0"/>
                <w:iCs w:val="0"/>
                <w:color w:val="auto"/>
                <w:sz w:val="24"/>
                <w:szCs w:val="24"/>
              </w:rPr>
              <w:t xml:space="preserve">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Figure \* ARABIC </w:instrText>
            </w:r>
            <w:r w:rsidRPr="00B066C6">
              <w:rPr>
                <w:rFonts w:ascii="Times New Roman" w:hAnsi="Times New Roman" w:cs="Times New Roman"/>
                <w:b/>
                <w:bCs/>
                <w:i w:val="0"/>
                <w:iCs w:val="0"/>
                <w:color w:val="auto"/>
                <w:sz w:val="24"/>
                <w:szCs w:val="24"/>
              </w:rPr>
              <w:fldChar w:fldCharType="separate"/>
            </w:r>
            <w:r w:rsidRPr="00B066C6">
              <w:rPr>
                <w:rFonts w:ascii="Times New Roman" w:hAnsi="Times New Roman" w:cs="Times New Roman"/>
                <w:b/>
                <w:bCs/>
                <w:i w:val="0"/>
                <w:iCs w:val="0"/>
                <w:noProof/>
                <w:color w:val="auto"/>
                <w:sz w:val="24"/>
                <w:szCs w:val="24"/>
              </w:rPr>
              <w:t>3</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w:t>
            </w:r>
            <w:r w:rsidRPr="00B066C6">
              <w:rPr>
                <w:rFonts w:ascii="Times New Roman" w:eastAsia="Calibri" w:hAnsi="Times New Roman" w:cs="Times New Roman"/>
                <w:i w:val="0"/>
                <w:iCs w:val="0"/>
                <w:color w:val="auto"/>
                <w:sz w:val="24"/>
                <w:szCs w:val="24"/>
              </w:rPr>
              <w:t xml:space="preserve">Sampling localities for avian communities within the FCAT reserve. Sampling took place in 20 plots among four </w:t>
            </w:r>
            <w:r w:rsidR="008A3D69">
              <w:rPr>
                <w:rFonts w:ascii="Times New Roman" w:eastAsia="Calibri" w:hAnsi="Times New Roman" w:cs="Times New Roman"/>
                <w:i w:val="0"/>
                <w:iCs w:val="0"/>
                <w:color w:val="auto"/>
                <w:sz w:val="24"/>
                <w:szCs w:val="24"/>
              </w:rPr>
              <w:t>habitat categories</w:t>
            </w:r>
            <w:r w:rsidRPr="00B066C6">
              <w:rPr>
                <w:rFonts w:ascii="Times New Roman" w:eastAsia="Calibri" w:hAnsi="Times New Roman" w:cs="Times New Roman"/>
                <w:i w:val="0"/>
                <w:iCs w:val="0"/>
                <w:color w:val="auto"/>
                <w:sz w:val="24"/>
                <w:szCs w:val="24"/>
              </w:rPr>
              <w:t xml:space="preserve">: </w:t>
            </w:r>
            <w:r w:rsidRPr="00B066C6">
              <w:rPr>
                <w:rFonts w:ascii="Times New Roman" w:hAnsi="Times New Roman" w:cs="Times New Roman"/>
                <w:i w:val="0"/>
                <w:iCs w:val="0"/>
                <w:color w:val="auto"/>
                <w:sz w:val="24"/>
                <w:szCs w:val="24"/>
                <w:shd w:val="clear" w:color="auto" w:fill="FFFFFF"/>
              </w:rPr>
              <w:t>highly impacted early successional habitat (HIE, red squares), low impact early successional habitat (LIE, yellow squares), mid-successional secondary forest (SEC, blue squares), and old growth Chocó Rainforest (OG, purple squares).</w:t>
            </w:r>
            <w:bookmarkEnd w:id="88"/>
          </w:p>
        </w:tc>
      </w:tr>
    </w:tbl>
    <w:p w14:paraId="178F4A92" w14:textId="77777777" w:rsidR="003831AD" w:rsidRDefault="003831AD">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642E2559" w14:textId="77777777" w:rsidR="00BA0A2D" w:rsidRPr="006B4CA5" w:rsidRDefault="00BA0A2D" w:rsidP="00BA0A2D">
      <w:pPr>
        <w:spacing w:before="0" w:after="0"/>
        <w:rPr>
          <w:rFonts w:ascii="Times New Roman" w:eastAsia="Calibri" w:hAnsi="Times New Roman" w:cs="Times New Roman"/>
        </w:rPr>
      </w:pPr>
      <w:r w:rsidRPr="006B4CA5">
        <w:rPr>
          <w:rFonts w:ascii="Times New Roman" w:eastAsia="Calibri" w:hAnsi="Times New Roman" w:cs="Times New Roman"/>
        </w:rPr>
        <w:lastRenderedPageBreak/>
        <w:t>length, and mass) and behavioral (primary habitat, trophic niche) functional traits for each observed species (</w:t>
      </w:r>
      <w:r w:rsidRPr="00D77075">
        <w:rPr>
          <w:rFonts w:ascii="Times New Roman" w:eastAsia="Calibri" w:hAnsi="Times New Roman" w:cs="Times New Roman"/>
          <w:b/>
          <w:bCs/>
        </w:rPr>
        <w:fldChar w:fldCharType="begin"/>
      </w:r>
      <w:r w:rsidRPr="00D77075">
        <w:rPr>
          <w:rFonts w:ascii="Times New Roman" w:eastAsia="Calibri" w:hAnsi="Times New Roman" w:cs="Times New Roman"/>
          <w:b/>
          <w:bCs/>
        </w:rPr>
        <w:instrText xml:space="preserve"> REF _Ref190179426 \h  \* MERGEFORMAT </w:instrText>
      </w:r>
      <w:r w:rsidRPr="00D77075">
        <w:rPr>
          <w:rFonts w:ascii="Times New Roman" w:eastAsia="Calibri" w:hAnsi="Times New Roman" w:cs="Times New Roman"/>
          <w:b/>
          <w:bCs/>
        </w:rPr>
      </w:r>
      <w:r w:rsidRPr="00D77075">
        <w:rPr>
          <w:rFonts w:ascii="Times New Roman" w:eastAsia="Calibri" w:hAnsi="Times New Roman" w:cs="Times New Roman"/>
          <w:b/>
          <w:bCs/>
        </w:rPr>
        <w:fldChar w:fldCharType="separate"/>
      </w:r>
      <w:r w:rsidRPr="00D77075">
        <w:rPr>
          <w:rFonts w:ascii="Times New Roman" w:hAnsi="Times New Roman" w:cs="Times New Roman"/>
          <w:b/>
          <w:bCs/>
        </w:rPr>
        <w:t xml:space="preserve">Supplementary Table </w:t>
      </w:r>
      <w:r w:rsidRPr="00D77075">
        <w:rPr>
          <w:rFonts w:ascii="Times New Roman" w:hAnsi="Times New Roman" w:cs="Times New Roman"/>
          <w:b/>
          <w:bCs/>
          <w:noProof/>
        </w:rPr>
        <w:t>1</w:t>
      </w:r>
      <w:r w:rsidRPr="00D77075">
        <w:rPr>
          <w:rFonts w:ascii="Times New Roman" w:eastAsia="Calibri" w:hAnsi="Times New Roman" w:cs="Times New Roman"/>
          <w:b/>
          <w:bCs/>
        </w:rPr>
        <w:fldChar w:fldCharType="end"/>
      </w:r>
      <w:r w:rsidRPr="006B4CA5">
        <w:rPr>
          <w:rFonts w:ascii="Times New Roman" w:eastAsia="Calibri" w:hAnsi="Times New Roman" w:cs="Times New Roman"/>
        </w:rPr>
        <w:t xml:space="preserve">). These traits are relevant to forest regeneration as </w:t>
      </w:r>
    </w:p>
    <w:p w14:paraId="5010B096" w14:textId="624B41B6" w:rsidR="00D44362" w:rsidRPr="00D44362" w:rsidRDefault="00D77075" w:rsidP="00D77075">
      <w:pPr>
        <w:spacing w:before="0" w:after="0"/>
        <w:rPr>
          <w:rFonts w:ascii="Times New Roman" w:eastAsia="Calibri" w:hAnsi="Times New Roman" w:cs="Times New Roman"/>
        </w:rPr>
      </w:pPr>
      <w:r w:rsidRPr="006B4CA5">
        <w:rPr>
          <w:rFonts w:ascii="Times New Roman" w:eastAsia="Calibri" w:hAnsi="Times New Roman" w:cs="Times New Roman"/>
        </w:rPr>
        <w:t>they</w:t>
      </w:r>
      <w:r w:rsidRPr="00D44362">
        <w:rPr>
          <w:rFonts w:ascii="Times New Roman" w:eastAsia="Calibri" w:hAnsi="Times New Roman" w:cs="Times New Roman"/>
        </w:rPr>
        <w:t xml:space="preserve"> </w:t>
      </w:r>
      <w:r w:rsidR="00D44362" w:rsidRPr="00D44362">
        <w:rPr>
          <w:rFonts w:ascii="Times New Roman" w:eastAsia="Calibri" w:hAnsi="Times New Roman" w:cs="Times New Roman"/>
        </w:rPr>
        <w:t xml:space="preserve">influence species foraging strategies, habitat usage, and dispersal abilities. For example, changes in beak morphology may reflect adaptations to specific food resources such as fruit species, and changes in wing morphology may reflect species abilities to maneuver </w:t>
      </w:r>
      <w:r w:rsidR="008A3D69">
        <w:rPr>
          <w:rFonts w:ascii="Times New Roman" w:eastAsia="Calibri" w:hAnsi="Times New Roman" w:cs="Times New Roman"/>
        </w:rPr>
        <w:t>within</w:t>
      </w:r>
      <w:r w:rsidR="00D44362" w:rsidRPr="00D44362">
        <w:rPr>
          <w:rFonts w:ascii="Times New Roman" w:eastAsia="Calibri" w:hAnsi="Times New Roman" w:cs="Times New Roman"/>
        </w:rPr>
        <w:t xml:space="preserve"> complex forest vegetation. </w:t>
      </w:r>
      <w:r w:rsidR="00094014">
        <w:rPr>
          <w:rFonts w:ascii="Times New Roman" w:eastAsia="Calibri" w:hAnsi="Times New Roman" w:cs="Times New Roman"/>
        </w:rPr>
        <w:t>We numerically coded c</w:t>
      </w:r>
      <w:r w:rsidR="00D44362" w:rsidRPr="00D44362">
        <w:rPr>
          <w:rFonts w:ascii="Times New Roman" w:eastAsia="Calibri" w:hAnsi="Times New Roman" w:cs="Times New Roman"/>
        </w:rPr>
        <w:t>ategorial traits (e.g., frugivore = 0, granivore = 1). To calculate functional diversity, we took the log transformation of each continuous trait (beak length, wing length, tail length, mass) to normalize the data. We excluded categorical traits (trophic niche, vertical habitat preference, disturbance-tolerance) from functional diversity indices because the</w:t>
      </w:r>
      <w:r w:rsidR="00AD32DB">
        <w:rPr>
          <w:rFonts w:ascii="Times New Roman" w:eastAsia="Calibri" w:hAnsi="Times New Roman" w:cs="Times New Roman"/>
        </w:rPr>
        <w:t>ir</w:t>
      </w:r>
      <w:r w:rsidR="00D44362" w:rsidRPr="00D44362">
        <w:rPr>
          <w:rFonts w:ascii="Times New Roman" w:eastAsia="Calibri" w:hAnsi="Times New Roman" w:cs="Times New Roman"/>
        </w:rPr>
        <w:t xml:space="preserve"> inclusion has been shown to reduce the quality of the functional space </w:t>
      </w:r>
      <w:r w:rsidR="00D44362" w:rsidRPr="00D44362">
        <w:rPr>
          <w:rFonts w:ascii="Times New Roman" w:eastAsia="Calibri" w:hAnsi="Times New Roman" w:cs="Times New Roman"/>
        </w:rPr>
        <w:fldChar w:fldCharType="begin"/>
      </w:r>
      <w:r w:rsidR="00D44362" w:rsidRPr="00D44362">
        <w:rPr>
          <w:rFonts w:ascii="Times New Roman" w:eastAsia="Calibri" w:hAnsi="Times New Roman" w:cs="Times New Roman"/>
        </w:rPr>
        <w:instrText xml:space="preserve"> ADDIN ZOTERO_ITEM CSL_CITATION {"citationID":"aIDhtuAF","properties":{"formattedCitation":"(Maire et al., 2015)","plainCitation":"(Maire et al., 2015)","noteIndex":0},"citationItems":[{"id":1565,"uris":["http://zotero.org/users/12345038/items/CZDXEXLS"],"itemData":{"id":1565,"type":"article-journal","container-title":"Global Ecology and Biogeography","DOI":"10.1111/geb.12299.","issue":"6","language":"en","page":"728–40","title":"How Many Dimensions Are Needed to Accurately Assess Functional Diversity? A Pragmatic Approach for Assessing the Quality of Functional Spaces","volume":"24","author":[{"family":"Maire","given":"Eva"},{"family":"Grenouillet","given":"Gaël"},{"family":"Brosse","given":"Sébastien"},{"family":"Villéger","given":"Sébastien"}],"issued":{"date-parts":[["2015"]]}}}],"schema":"https://github.com/citation-style-language/schema/raw/master/csl-citation.json"} </w:instrText>
      </w:r>
      <w:r w:rsidR="00D44362" w:rsidRPr="00D44362">
        <w:rPr>
          <w:rFonts w:ascii="Times New Roman" w:eastAsia="Calibri" w:hAnsi="Times New Roman" w:cs="Times New Roman"/>
        </w:rPr>
        <w:fldChar w:fldCharType="separate"/>
      </w:r>
      <w:r w:rsidR="00D44362" w:rsidRPr="00D44362">
        <w:rPr>
          <w:rFonts w:ascii="Times New Roman" w:eastAsia="Calibri" w:hAnsi="Times New Roman" w:cs="Times New Roman"/>
          <w:noProof/>
        </w:rPr>
        <w:t>(Maire et al., 2015)</w:t>
      </w:r>
      <w:r w:rsidR="00D44362" w:rsidRPr="00D44362">
        <w:rPr>
          <w:rFonts w:ascii="Times New Roman" w:eastAsia="Calibri" w:hAnsi="Times New Roman" w:cs="Times New Roman"/>
        </w:rPr>
        <w:fldChar w:fldCharType="end"/>
      </w:r>
      <w:r w:rsidR="00D44362" w:rsidRPr="00D44362">
        <w:rPr>
          <w:rFonts w:ascii="Times New Roman" w:eastAsia="Calibri" w:hAnsi="Times New Roman" w:cs="Times New Roman"/>
        </w:rPr>
        <w:fldChar w:fldCharType="begin"/>
      </w:r>
      <w:r w:rsidR="00D44362" w:rsidRPr="00D44362">
        <w:rPr>
          <w:rFonts w:ascii="Times New Roman" w:eastAsia="Calibri" w:hAnsi="Times New Roman" w:cs="Times New Roman"/>
        </w:rPr>
        <w:instrText xml:space="preserve"> ADDIN ZOTERO_ITEM CSL_CITATION {"citationID":"nNCbruu0","properties":{"formattedCitation":"(Maire et al., 2015)","plainCitation":"(Maire et al., 2015)","dontUpdate":true,"noteIndex":0},"citationItems":[{"id":1565,"uris":["http://zotero.org/users/12345038/items/CZDXEXLS"],"itemData":{"id":1565,"type":"article-journal","container-title":"Global Ecology and Biogeography","DOI":"10.1111/geb.12299.","issue":"6","language":"en","page":"728–40","title":"How Many Dimensions Are Needed to Accurately Assess Functional Diversity? A Pragmatic Approach for Assessing the Quality of Functional Spaces","volume":"24","author":[{"family":"Maire","given":"Eva"},{"family":"Grenouillet","given":"Gaël"},{"family":"Brosse","given":"Sébastien"},{"family":"Villéger","given":"Sébastien"}],"issued":{"date-parts":[["2015"]]}}}],"schema":"https://github.com/citation-style-language/schema/raw/master/csl-citation.json"} </w:instrText>
      </w:r>
      <w:r w:rsidR="00D44362" w:rsidRPr="00D44362">
        <w:rPr>
          <w:rFonts w:ascii="Times New Roman" w:eastAsia="Calibri" w:hAnsi="Times New Roman" w:cs="Times New Roman"/>
        </w:rPr>
        <w:fldChar w:fldCharType="end"/>
      </w:r>
      <w:r w:rsidR="00D44362" w:rsidRPr="00D44362">
        <w:rPr>
          <w:rFonts w:ascii="Times New Roman" w:eastAsia="Calibri" w:hAnsi="Times New Roman" w:cs="Times New Roman"/>
        </w:rPr>
        <w:t xml:space="preserve">. </w:t>
      </w:r>
    </w:p>
    <w:p w14:paraId="2B533CEA" w14:textId="68C215F0" w:rsidR="00D44362" w:rsidRPr="00D44362" w:rsidRDefault="00D44362" w:rsidP="00D77075">
      <w:pPr>
        <w:spacing w:before="0" w:after="0"/>
        <w:ind w:firstLine="720"/>
        <w:rPr>
          <w:rFonts w:ascii="Times New Roman" w:hAnsi="Times New Roman" w:cs="Times New Roman"/>
        </w:rPr>
      </w:pPr>
      <w:r w:rsidRPr="00D44362">
        <w:rPr>
          <w:rFonts w:ascii="Times New Roman" w:eastAsia="Calibri" w:hAnsi="Times New Roman" w:cs="Times New Roman"/>
        </w:rPr>
        <w:t>The resultant trait matrix was paired with weighted abundance</w:t>
      </w:r>
      <w:r w:rsidRPr="00D44362">
        <w:rPr>
          <w:rFonts w:ascii="Times New Roman" w:hAnsi="Times New Roman" w:cs="Times New Roman"/>
        </w:rPr>
        <w:t xml:space="preserve"> data for each regeneration type, where each mist-netting plot was classified as a community.</w:t>
      </w:r>
      <w:r w:rsidRPr="00D44362">
        <w:rPr>
          <w:rFonts w:ascii="Times New Roman" w:eastAsia="Calibri" w:hAnsi="Times New Roman" w:cs="Times New Roman"/>
        </w:rPr>
        <w:t xml:space="preserve"> Then, we used the “</w:t>
      </w:r>
      <w:proofErr w:type="spellStart"/>
      <w:r w:rsidRPr="00D44362">
        <w:rPr>
          <w:rFonts w:ascii="Times New Roman" w:eastAsia="Calibri" w:hAnsi="Times New Roman" w:cs="Times New Roman"/>
          <w:i/>
          <w:iCs/>
        </w:rPr>
        <w:t>dbFD</w:t>
      </w:r>
      <w:proofErr w:type="spellEnd"/>
      <w:r w:rsidRPr="00D44362">
        <w:rPr>
          <w:rFonts w:ascii="Times New Roman" w:eastAsia="Calibri" w:hAnsi="Times New Roman" w:cs="Times New Roman"/>
        </w:rPr>
        <w:t xml:space="preserve">” function in the </w:t>
      </w:r>
      <w:r w:rsidRPr="00D44362">
        <w:rPr>
          <w:rFonts w:ascii="Times New Roman" w:eastAsia="Calibri" w:hAnsi="Times New Roman" w:cs="Times New Roman"/>
          <w:i/>
          <w:iCs/>
        </w:rPr>
        <w:t>FD</w:t>
      </w:r>
      <w:r w:rsidRPr="00D44362">
        <w:rPr>
          <w:rFonts w:ascii="Times New Roman" w:eastAsia="Calibri" w:hAnsi="Times New Roman" w:cs="Times New Roman"/>
        </w:rPr>
        <w:t xml:space="preserve"> package in R to calculate functional diversity indices </w:t>
      </w:r>
      <w:r w:rsidRPr="00D44362">
        <w:rPr>
          <w:rFonts w:ascii="Times New Roman" w:eastAsia="Calibri" w:hAnsi="Times New Roman" w:cs="Times New Roman"/>
        </w:rPr>
        <w:fldChar w:fldCharType="begin"/>
      </w:r>
      <w:r w:rsidRPr="00D44362">
        <w:rPr>
          <w:rFonts w:ascii="Times New Roman" w:eastAsia="Calibri" w:hAnsi="Times New Roman" w:cs="Times New Roman"/>
        </w:rPr>
        <w:instrText xml:space="preserve"> ADDIN ZOTERO_ITEM CSL_CITATION {"citationID":"a16ekb6s1uh","properties":{"formattedCitation":"(Lalibert\\uc0\\u233{} et al., 2014)","plainCitation":"(Laliberté et al., 2014)","noteIndex":0},"citationItems":[{"id":1522,"uris":["http://zotero.org/users/12345038/items/AAPMSFCJ"],"itemData":{"id":1522,"type":"document","language":"en","title":"FD: measuring functional diversity from multiple traits, and other tools for functional ecology","author":[{"family":"Laliberté","given":"E."},{"family":"Legendre","given":"P."},{"family":"Shipley","given":"B."}],"issued":{"date-parts":[["2014"]]}}}],"schema":"https://github.com/citation-style-language/schema/raw/master/csl-citation.json"} </w:instrText>
      </w:r>
      <w:r w:rsidRPr="00D44362">
        <w:rPr>
          <w:rFonts w:ascii="Times New Roman" w:eastAsia="Calibri" w:hAnsi="Times New Roman" w:cs="Times New Roman"/>
        </w:rPr>
        <w:fldChar w:fldCharType="separate"/>
      </w:r>
      <w:r w:rsidRPr="00D44362">
        <w:rPr>
          <w:rFonts w:ascii="Times New Roman" w:hAnsi="Times New Roman" w:cs="Times New Roman"/>
        </w:rPr>
        <w:t>(Laliberté et al., 2014)</w:t>
      </w:r>
      <w:r w:rsidRPr="00D44362">
        <w:rPr>
          <w:rFonts w:ascii="Times New Roman" w:eastAsia="Calibri" w:hAnsi="Times New Roman" w:cs="Times New Roman"/>
        </w:rPr>
        <w:fldChar w:fldCharType="end"/>
      </w:r>
      <w:r w:rsidRPr="00D44362">
        <w:rPr>
          <w:rFonts w:ascii="Times New Roman" w:eastAsia="Calibri" w:hAnsi="Times New Roman" w:cs="Times New Roman"/>
        </w:rPr>
        <w:t>. The FD index approach was used, which is the total branch lengths of a functional dendrogram calculated with the Gower distance measure (</w:t>
      </w:r>
      <w:r w:rsidRPr="00D44362">
        <w:rPr>
          <w:rFonts w:ascii="Times New Roman" w:eastAsia="Calibri" w:hAnsi="Times New Roman" w:cs="Times New Roman"/>
        </w:rPr>
        <w:fldChar w:fldCharType="begin"/>
      </w:r>
      <w:r w:rsidRPr="00D44362">
        <w:rPr>
          <w:rFonts w:ascii="Times New Roman" w:eastAsia="Calibri" w:hAnsi="Times New Roman" w:cs="Times New Roman"/>
        </w:rPr>
        <w:instrText xml:space="preserve"> ADDIN ZOTERO_ITEM CSL_CITATION {"citationID":"a22p12ggopm","properties":{"formattedCitation":"\\uldash{(Podani, 1999)}","plainCitation":"(Podani, 1999)","dontUpdate":true,"noteIndex":0},"citationItems":[{"id":1536,"uris":["http://zotero.org/users/12345038/items/GS7WUQPM"],"itemData":{"id":1536,"type":"article-journal","container-title":"Taxon","language":"en","title":"Extending Gower's general coefficient of similarity to ordinal characters","author":[{"family":"Podani","given":"J."}],"issued":{"date-parts":[["1999",5,2]]}}}],"schema":"https://github.com/citation-style-language/schema/raw/master/csl-citation.json"} </w:instrText>
      </w:r>
      <w:r w:rsidRPr="00D44362">
        <w:rPr>
          <w:rFonts w:ascii="Times New Roman" w:eastAsia="Calibri" w:hAnsi="Times New Roman" w:cs="Times New Roman"/>
        </w:rPr>
        <w:fldChar w:fldCharType="separate"/>
      </w:r>
      <w:r w:rsidRPr="00D44362">
        <w:rPr>
          <w:rFonts w:ascii="Times New Roman" w:hAnsi="Times New Roman" w:cs="Times New Roman"/>
          <w:u w:val="dash"/>
        </w:rPr>
        <w:t>Podani, 1999)</w:t>
      </w:r>
      <w:r w:rsidRPr="00D44362">
        <w:rPr>
          <w:rFonts w:ascii="Times New Roman" w:eastAsia="Calibri" w:hAnsi="Times New Roman" w:cs="Times New Roman"/>
        </w:rPr>
        <w:fldChar w:fldCharType="end"/>
      </w:r>
      <w:r w:rsidRPr="00D44362">
        <w:rPr>
          <w:rFonts w:ascii="Times New Roman" w:eastAsia="Calibri" w:hAnsi="Times New Roman" w:cs="Times New Roman"/>
        </w:rPr>
        <w:t xml:space="preserve">. This approach uses a species-trait matrix, </w:t>
      </w:r>
      <w:r w:rsidRPr="00D44362">
        <w:rPr>
          <w:rFonts w:ascii="Times New Roman" w:hAnsi="Times New Roman" w:cs="Times New Roman"/>
        </w:rPr>
        <w:t>which is converted to a distance matrix (Gower distance), and then converted to a dendrogram via the Unweighted Pair Group Method with Arithmetic Mean (UPGMA)</w:t>
      </w:r>
      <w:r w:rsidRPr="00D44362">
        <w:rPr>
          <w:rFonts w:ascii="Times New Roman" w:eastAsia="Calibri" w:hAnsi="Times New Roman" w:cs="Times New Roman"/>
        </w:rPr>
        <w:t xml:space="preserve"> clustering method. We</w:t>
      </w:r>
      <w:r w:rsidRPr="00D44362">
        <w:rPr>
          <w:rFonts w:ascii="Times New Roman" w:hAnsi="Times New Roman" w:cs="Times New Roman"/>
        </w:rPr>
        <w:t xml:space="preserve"> calculated functional evenness (FEve) and divergence (FDiv) using the convex hull methodology</w:t>
      </w:r>
      <w:r w:rsidRPr="00D44362">
        <w:rPr>
          <w:rFonts w:ascii="Times New Roman" w:hAnsi="Times New Roman" w:cs="Times New Roman"/>
          <w:shd w:val="clear" w:color="auto" w:fill="FFFFFF"/>
        </w:rPr>
        <w:t xml:space="preserve"> </w:t>
      </w:r>
      <w:r w:rsidRPr="00D44362">
        <w:rPr>
          <w:rFonts w:ascii="Times New Roman" w:hAnsi="Times New Roman" w:cs="Times New Roman"/>
        </w:rPr>
        <w:fldChar w:fldCharType="begin"/>
      </w:r>
      <w:r w:rsidRPr="00D44362">
        <w:rPr>
          <w:rFonts w:ascii="Times New Roman" w:hAnsi="Times New Roman" w:cs="Times New Roman"/>
        </w:rPr>
        <w:instrText xml:space="preserve"> ADDIN ZOTERO_ITEM CSL_CITATION {"citationID":"a2nsbeguutn","properties":{"formattedCitation":"(Vill\\uc0\\u233{}ger et al., 2008)","plainCitation":"(Villéger et al., 2008)","noteIndex":0},"citationItems":[{"id":1555,"uris":["http://zotero.org/users/12345038/items/G8CQPTP8"],"itemData":{"id":1555,"type":"article-journal","container-title":"Ecology","language":"en","title":"New multidimensional functional diversity indices for a multifaceted framework in functional ecology","volume":"Aug;89(8):2290-301","author":[{"family":"Villéger","given":"S."},{"family":"Mason","given":"N.W."},{"family":"Mouillot","given":"D."}],"issued":{"date-parts":[["2008"]]}}}],"schema":"https://github.com/citation-style-language/schema/raw/master/csl-citation.json"} </w:instrText>
      </w:r>
      <w:r w:rsidRPr="00D44362">
        <w:rPr>
          <w:rFonts w:ascii="Times New Roman" w:hAnsi="Times New Roman" w:cs="Times New Roman"/>
        </w:rPr>
        <w:fldChar w:fldCharType="separate"/>
      </w:r>
      <w:r w:rsidRPr="00D44362">
        <w:rPr>
          <w:rFonts w:ascii="Times New Roman" w:hAnsi="Times New Roman" w:cs="Times New Roman"/>
        </w:rPr>
        <w:t>(Villéger et al., 2008)</w:t>
      </w:r>
      <w:r w:rsidRPr="00D44362">
        <w:rPr>
          <w:rFonts w:ascii="Times New Roman" w:hAnsi="Times New Roman" w:cs="Times New Roman"/>
        </w:rPr>
        <w:fldChar w:fldCharType="end"/>
      </w:r>
      <w:r w:rsidRPr="00D44362">
        <w:rPr>
          <w:rFonts w:ascii="Times New Roman" w:hAnsi="Times New Roman" w:cs="Times New Roman"/>
          <w:shd w:val="clear" w:color="auto" w:fill="FFFFFF"/>
        </w:rPr>
        <w:t xml:space="preserve">, which uses the Gower distance matrix with PCoA analysis to calculate a matrix of transformed coordinates, and then uses the PCoA matrices to calculate the functional metrics. </w:t>
      </w:r>
      <w:r w:rsidRPr="00D44362">
        <w:rPr>
          <w:rFonts w:ascii="Times New Roman" w:hAnsi="Times New Roman" w:cs="Times New Roman"/>
        </w:rPr>
        <w:t xml:space="preserve">High FDiv means species abundances are concentrated towards the extremes of the functional trait space, indicating a high degree of niche differentiation </w:t>
      </w:r>
      <w:r w:rsidRPr="00D44362">
        <w:rPr>
          <w:rFonts w:ascii="Times New Roman" w:hAnsi="Times New Roman" w:cs="Times New Roman"/>
        </w:rPr>
        <w:fldChar w:fldCharType="begin"/>
      </w:r>
      <w:r w:rsidRPr="00D44362">
        <w:rPr>
          <w:rFonts w:ascii="Times New Roman" w:hAnsi="Times New Roman" w:cs="Times New Roman"/>
        </w:rPr>
        <w:instrText xml:space="preserve"> ADDIN ZOTERO_ITEM CSL_CITATION {"citationID":"absl1bllef","properties":{"formattedCitation":"(Sayer et al., 2017)","plainCitation":"(Sayer et al., 2017)","noteIndex":0},"citationItems":[{"id":1586,"uris":["http://zotero.org/users/12345038/items/28G7A7VV"],"itemData":{"id":1586,"type":"article-journal","container-title":"Biological Conservation","DOI":"10.1016/j.biocon.2017.05.004","ISSN":"00063207","journalAbbreviation":"Biological Conservation","language":"en","page":"1-9","source":"DOI.org (Crossref)","title":"Dynamics of avian species and functional diversity in secondary tropical forests","volume":"211","author":[{"family":"Sayer","given":"C.A."},{"family":"Bullock","given":"J.M."},{"family":"Martin","given":"P.A."}],"issued":{"date-parts":[["2017",7]]}}}],"schema":"https://github.com/citation-style-language/schema/raw/master/csl-citation.json"} </w:instrText>
      </w:r>
      <w:r w:rsidRPr="00D44362">
        <w:rPr>
          <w:rFonts w:ascii="Times New Roman" w:hAnsi="Times New Roman" w:cs="Times New Roman"/>
        </w:rPr>
        <w:fldChar w:fldCharType="separate"/>
      </w:r>
      <w:r w:rsidRPr="00D44362">
        <w:rPr>
          <w:rFonts w:ascii="Times New Roman" w:hAnsi="Times New Roman" w:cs="Times New Roman"/>
        </w:rPr>
        <w:t>(Sayer et al., 2017)</w:t>
      </w:r>
      <w:r w:rsidRPr="00D44362">
        <w:rPr>
          <w:rFonts w:ascii="Times New Roman" w:hAnsi="Times New Roman" w:cs="Times New Roman"/>
        </w:rPr>
        <w:fldChar w:fldCharType="end"/>
      </w:r>
      <w:r w:rsidRPr="00D44362">
        <w:rPr>
          <w:rFonts w:ascii="Times New Roman" w:hAnsi="Times New Roman" w:cs="Times New Roman"/>
        </w:rPr>
        <w:t>. This can occur in communities where a few species have very distinct functional traits that are well-separated from each other.</w:t>
      </w:r>
      <w:r w:rsidRPr="00D44362">
        <w:rPr>
          <w:rFonts w:ascii="Times New Roman" w:hAnsi="Times New Roman" w:cs="Times New Roman"/>
          <w:shd w:val="clear" w:color="auto" w:fill="FFFFFF"/>
        </w:rPr>
        <w:t xml:space="preserve"> Finally, we calculated functional richness (FRic),</w:t>
      </w:r>
      <w:r w:rsidRPr="00D44362">
        <w:rPr>
          <w:rFonts w:ascii="Times New Roman" w:hAnsi="Times New Roman" w:cs="Times New Roman"/>
        </w:rPr>
        <w:t xml:space="preserve"> Rao’s Quadratic Entropy (Rao’s Q) </w:t>
      </w:r>
      <w:r w:rsidRPr="00D44362">
        <w:rPr>
          <w:rFonts w:ascii="Times New Roman" w:hAnsi="Times New Roman" w:cs="Times New Roman"/>
          <w:shd w:val="clear" w:color="auto" w:fill="FFFFFF"/>
        </w:rPr>
        <w:t>and functional dispersion (FDis) using the</w:t>
      </w:r>
      <w:r w:rsidRPr="00D44362">
        <w:rPr>
          <w:rFonts w:ascii="Times New Roman" w:hAnsi="Times New Roman" w:cs="Times New Roman"/>
        </w:rPr>
        <w:t xml:space="preserve"> methodology</w:t>
      </w:r>
      <w:r w:rsidRPr="00D44362">
        <w:rPr>
          <w:rFonts w:ascii="Times New Roman" w:hAnsi="Times New Roman" w:cs="Times New Roman"/>
          <w:shd w:val="clear" w:color="auto" w:fill="FFFFFF"/>
        </w:rPr>
        <w:t xml:space="preserve"> </w:t>
      </w:r>
      <w:r w:rsidRPr="00D44362">
        <w:rPr>
          <w:rFonts w:ascii="Times New Roman" w:hAnsi="Times New Roman" w:cs="Times New Roman"/>
        </w:rPr>
        <w:t xml:space="preserve">of </w:t>
      </w:r>
      <w:proofErr w:type="spellStart"/>
      <w:r w:rsidRPr="00D44362">
        <w:rPr>
          <w:rFonts w:ascii="Times New Roman" w:hAnsi="Times New Roman" w:cs="Times New Roman"/>
        </w:rPr>
        <w:t>Villéger</w:t>
      </w:r>
      <w:proofErr w:type="spellEnd"/>
      <w:r w:rsidRPr="00D44362">
        <w:rPr>
          <w:rFonts w:ascii="Times New Roman" w:hAnsi="Times New Roman" w:cs="Times New Roman"/>
        </w:rPr>
        <w:t xml:space="preserve"> et al. </w:t>
      </w:r>
      <w:r w:rsidR="00AD32DB">
        <w:rPr>
          <w:rFonts w:ascii="Times New Roman" w:hAnsi="Times New Roman" w:cs="Times New Roman"/>
        </w:rPr>
        <w:t>(</w:t>
      </w:r>
      <w:r w:rsidRPr="00D44362">
        <w:rPr>
          <w:rFonts w:ascii="Times New Roman" w:hAnsi="Times New Roman" w:cs="Times New Roman"/>
        </w:rPr>
        <w:t>2008</w:t>
      </w:r>
      <w:r w:rsidR="00AD32DB">
        <w:rPr>
          <w:rFonts w:ascii="Times New Roman" w:hAnsi="Times New Roman" w:cs="Times New Roman"/>
        </w:rPr>
        <w:t>)</w:t>
      </w:r>
      <w:r w:rsidRPr="00D44362">
        <w:rPr>
          <w:rFonts w:ascii="Times New Roman" w:hAnsi="Times New Roman" w:cs="Times New Roman"/>
        </w:rPr>
        <w:t xml:space="preserve">. FRic is the total range or variety of functional traits present among species within a given area or habitat. Rao’s Q is a measure of functional diversity that considers both species abundances and their pairwise functional dissimilarities. High Rao's Q indicates high dissimilarity among species, even if the number of species and the total range of functional traits (FRic) are low. FDis quantifies the variability or spread of species trait values within a </w:t>
      </w:r>
      <w:r w:rsidRPr="00D44362">
        <w:rPr>
          <w:rFonts w:ascii="Times New Roman" w:hAnsi="Times New Roman" w:cs="Times New Roman"/>
        </w:rPr>
        <w:lastRenderedPageBreak/>
        <w:t xml:space="preserve">community where higher FDis indicates greater variability in traits among species, suggesting a community with a wider range of ecological strategies. </w:t>
      </w:r>
    </w:p>
    <w:p w14:paraId="321C279D" w14:textId="733A48DA" w:rsidR="00623CC8" w:rsidRPr="003831AD" w:rsidRDefault="00623CC8" w:rsidP="00D77075">
      <w:pPr>
        <w:spacing w:before="0" w:after="0"/>
        <w:rPr>
          <w:rFonts w:ascii="Times New Roman" w:hAnsi="Times New Roman" w:cs="Times New Roman"/>
          <w:i/>
          <w:iCs/>
        </w:rPr>
      </w:pPr>
      <w:r w:rsidRPr="003831AD">
        <w:rPr>
          <w:rFonts w:ascii="Times New Roman" w:eastAsia="Calibri" w:hAnsi="Times New Roman" w:cs="Times New Roman"/>
          <w:b/>
          <w:bCs/>
          <w:i/>
          <w:iCs/>
        </w:rPr>
        <w:t xml:space="preserve">Calculating LiDAR-derived Vegetation Indices  </w:t>
      </w:r>
    </w:p>
    <w:p w14:paraId="46EFA25A" w14:textId="77777777" w:rsidR="00CE39F7" w:rsidRPr="00CE39F7" w:rsidRDefault="00CE39F7" w:rsidP="00D77075">
      <w:pPr>
        <w:spacing w:before="0" w:after="0"/>
        <w:ind w:firstLine="720"/>
        <w:rPr>
          <w:rFonts w:ascii="Times New Roman" w:eastAsia="Calibri" w:hAnsi="Times New Roman" w:cs="Times New Roman"/>
        </w:rPr>
      </w:pPr>
      <w:r w:rsidRPr="00CE39F7">
        <w:rPr>
          <w:rFonts w:ascii="Times New Roman" w:eastAsiaTheme="minorEastAsia" w:hAnsi="Times New Roman" w:cs="Times New Roman"/>
        </w:rPr>
        <w:t>We calculated vegetation indices from LiDAR data captured by drone (EP800, 8.8mm, resolution: 5472 x 3648</w:t>
      </w:r>
      <w:r w:rsidRPr="00CE39F7">
        <w:rPr>
          <w:rFonts w:ascii="Times New Roman" w:hAnsi="Times New Roman" w:cs="Times New Roman"/>
        </w:rPr>
        <w:t xml:space="preserve"> </w:t>
      </w:r>
      <w:r w:rsidRPr="00CE39F7">
        <w:rPr>
          <w:rFonts w:ascii="Times New Roman" w:eastAsiaTheme="minorEastAsia" w:hAnsi="Times New Roman" w:cs="Times New Roman"/>
        </w:rPr>
        <w:t>pixels) within the FCAT Reserve on March 2</w:t>
      </w:r>
      <w:r w:rsidRPr="00CE39F7">
        <w:rPr>
          <w:rFonts w:ascii="Times New Roman" w:eastAsiaTheme="minorEastAsia" w:hAnsi="Times New Roman" w:cs="Times New Roman"/>
          <w:vertAlign w:val="superscript"/>
        </w:rPr>
        <w:t>nd</w:t>
      </w:r>
      <w:r w:rsidRPr="00CE39F7">
        <w:rPr>
          <w:rFonts w:ascii="Times New Roman" w:eastAsiaTheme="minorEastAsia" w:hAnsi="Times New Roman" w:cs="Times New Roman"/>
        </w:rPr>
        <w:t>, 2023. The process involved initial data preprocessing to generate a high-resolution digital elevation model (DEM) from the LiDAR point cloud data (</w:t>
      </w:r>
      <w:proofErr w:type="spellStart"/>
      <w:r w:rsidRPr="00CE39F7">
        <w:rPr>
          <w:rFonts w:ascii="Times New Roman" w:hAnsi="Times New Roman" w:cs="Times New Roman"/>
          <w:shd w:val="clear" w:color="auto" w:fill="FFFFFF"/>
        </w:rPr>
        <w:t>Segurado</w:t>
      </w:r>
      <w:proofErr w:type="spellEnd"/>
      <w:r w:rsidRPr="00CE39F7">
        <w:rPr>
          <w:rFonts w:ascii="Times New Roman" w:hAnsi="Times New Roman" w:cs="Times New Roman"/>
          <w:shd w:val="clear" w:color="auto" w:fill="FFFFFF"/>
        </w:rPr>
        <w:t xml:space="preserve"> &amp; Silman, 2023). </w:t>
      </w:r>
      <w:r w:rsidRPr="00CE39F7">
        <w:rPr>
          <w:rFonts w:ascii="Times New Roman" w:eastAsiaTheme="minorEastAsia" w:hAnsi="Times New Roman" w:cs="Times New Roman"/>
        </w:rPr>
        <w:t>We utilized QGIS for segmentation and classification techniques to delineate canopy features and estimate height and elevation. Elevation for each point was calculated using the DEM model. Elevation among our sites ranged from 416-656 m-asl. To calculate canopy height, the LiDAR data were processed to generate a Digital Surface Model (DSM) and Digital Terrain Model (DTM), and the canopy height was calculated by subtracting the DTM from the DSM using the raster calculator in QGIS. Canopy openness, indicative of light penetration through the canopy, was derived by evaluating gaps in vegetation cover. We calculated canopy openness by setting a threshold value (15 m from ground) to classify pixels based on their height allowing for the determination of open areas within the canopy. The resulting raster layer displayed the percentage of openness across the landscape. Canopy cover, representing the extent of foliage within an area, is quantified by assessing the area occupied by the canopy in relation to the total area. For the canopy cover assessment, we manually classified LiDAR points corresponding to vegetation at a minimum of 15 m from ground level, and the ratio of classified vegetation points to the total area. Finally, we used the density tool to assess distances between canopy points and compute canopy gaps, which allowed us to obtain measures of canopy cover for each plot.</w:t>
      </w:r>
      <w:r w:rsidRPr="00CE39F7">
        <w:rPr>
          <w:rFonts w:ascii="Times New Roman" w:hAnsi="Times New Roman" w:cs="Times New Roman"/>
        </w:rPr>
        <w:t xml:space="preserve"> We then tested multicollinearity between environmental variables using Spearman’s correlation from the </w:t>
      </w:r>
      <w:r w:rsidRPr="00CE39F7">
        <w:rPr>
          <w:rFonts w:ascii="Times New Roman" w:hAnsi="Times New Roman" w:cs="Times New Roman"/>
          <w:i/>
        </w:rPr>
        <w:t>stats</w:t>
      </w:r>
      <w:r w:rsidRPr="00CE39F7">
        <w:rPr>
          <w:rFonts w:ascii="Times New Roman" w:hAnsi="Times New Roman" w:cs="Times New Roman"/>
        </w:rPr>
        <w:t xml:space="preserve"> package </w:t>
      </w:r>
      <w:r w:rsidRPr="00CE39F7">
        <w:rPr>
          <w:rFonts w:ascii="Times New Roman" w:hAnsi="Times New Roman" w:cs="Times New Roman"/>
          <w:highlight w:val="white"/>
        </w:rPr>
        <w:t>(Dormann et al., </w:t>
      </w:r>
      <w:hyperlink r:id="rId107" w:anchor="ref-dormann2013collinearity">
        <w:r w:rsidRPr="00CE39F7">
          <w:rPr>
            <w:rFonts w:ascii="Times New Roman" w:hAnsi="Times New Roman" w:cs="Times New Roman"/>
            <w:highlight w:val="white"/>
          </w:rPr>
          <w:t>2013</w:t>
        </w:r>
      </w:hyperlink>
      <w:r w:rsidRPr="00CE39F7">
        <w:rPr>
          <w:rFonts w:ascii="Times New Roman" w:hAnsi="Times New Roman" w:cs="Times New Roman"/>
          <w:highlight w:val="white"/>
        </w:rPr>
        <w:t>)</w:t>
      </w:r>
      <w:r w:rsidRPr="00CE39F7">
        <w:rPr>
          <w:rFonts w:ascii="Times New Roman" w:hAnsi="Times New Roman" w:cs="Times New Roman"/>
        </w:rPr>
        <w:t xml:space="preserve">. We found evidence of collinearity between </w:t>
      </w:r>
      <w:r w:rsidRPr="00CE39F7">
        <w:rPr>
          <w:rFonts w:ascii="Times New Roman" w:eastAsia="Calibri" w:hAnsi="Times New Roman" w:cs="Times New Roman"/>
        </w:rPr>
        <w:t>canopy height and canopy openness (S = 1932, p = 0.047), thus we removed canopy openness from models. Therefore, environmental variables included canopy height, canopy cover, and elevation.</w:t>
      </w:r>
    </w:p>
    <w:p w14:paraId="166E4EDA" w14:textId="77777777" w:rsidR="00623CC8" w:rsidRPr="003831AD" w:rsidRDefault="00623CC8" w:rsidP="00D77075">
      <w:pPr>
        <w:pStyle w:val="Heading3"/>
        <w:spacing w:before="0" w:after="0"/>
        <w:rPr>
          <w:rFonts w:ascii="Times New Roman" w:eastAsia="Calibri" w:hAnsi="Times New Roman" w:cs="Times New Roman"/>
          <w:b/>
          <w:bCs/>
          <w:i/>
          <w:iCs/>
          <w:color w:val="auto"/>
          <w:sz w:val="24"/>
          <w:szCs w:val="24"/>
        </w:rPr>
      </w:pPr>
      <w:bookmarkStart w:id="89" w:name="_Toc195189629"/>
      <w:r w:rsidRPr="003831AD">
        <w:rPr>
          <w:rFonts w:ascii="Times New Roman" w:eastAsia="Calibri" w:hAnsi="Times New Roman" w:cs="Times New Roman"/>
          <w:b/>
          <w:bCs/>
          <w:i/>
          <w:iCs/>
          <w:color w:val="auto"/>
          <w:sz w:val="24"/>
          <w:szCs w:val="24"/>
        </w:rPr>
        <w:t>Statistical analyses</w:t>
      </w:r>
      <w:bookmarkEnd w:id="89"/>
      <w:r w:rsidRPr="003831AD">
        <w:rPr>
          <w:rFonts w:ascii="Times New Roman" w:eastAsia="Calibri" w:hAnsi="Times New Roman" w:cs="Times New Roman"/>
          <w:b/>
          <w:bCs/>
          <w:i/>
          <w:iCs/>
          <w:color w:val="auto"/>
          <w:sz w:val="24"/>
          <w:szCs w:val="24"/>
        </w:rPr>
        <w:t xml:space="preserve"> </w:t>
      </w:r>
    </w:p>
    <w:p w14:paraId="06F54317" w14:textId="599C8962" w:rsidR="00E144AE" w:rsidRPr="00E144AE" w:rsidRDefault="00E144AE" w:rsidP="00D77075">
      <w:pPr>
        <w:spacing w:before="0" w:after="0"/>
        <w:ind w:firstLine="720"/>
        <w:rPr>
          <w:rFonts w:ascii="Times New Roman" w:hAnsi="Times New Roman" w:cs="Times New Roman"/>
          <w:shd w:val="clear" w:color="auto" w:fill="FFFFFF"/>
        </w:rPr>
      </w:pPr>
      <w:r w:rsidRPr="00E144AE">
        <w:rPr>
          <w:rFonts w:ascii="Times New Roman" w:hAnsi="Times New Roman" w:cs="Times New Roman"/>
        </w:rPr>
        <w:t xml:space="preserve">All statistical analyses and models were fitted in R </w:t>
      </w:r>
      <w:r w:rsidRPr="00E144AE">
        <w:rPr>
          <w:rFonts w:ascii="Times New Roman" w:hAnsi="Times New Roman" w:cs="Times New Roman"/>
        </w:rPr>
        <w:fldChar w:fldCharType="begin"/>
      </w:r>
      <w:r w:rsidRPr="00E144AE">
        <w:rPr>
          <w:rFonts w:ascii="Times New Roman" w:hAnsi="Times New Roman" w:cs="Times New Roman"/>
        </w:rPr>
        <w:instrText xml:space="preserve"> ADDIN ZOTERO_ITEM CSL_CITATION {"citationID":"a1g7n1rj8r6","properties":{"formattedCitation":"\\uldash{(Team, 2022)}","plainCitation":"(Team, 2022)","dontUpdate":true,"noteIndex":0},"citationItems":[{"id":1542,"uris":["http://zotero.org/users/12345038/items/RE7VY7DP"],"itemData":{"id":1542,"type":"document","language":"en","title":"R: A Language and Environment for Statistical Computing. R Foundation for Statistical Computing, Vienna","URL":"https://www.R-project.org","author":[{"family":"Team","given":"R.Core"}],"issued":{"date-parts":[["2022"]]}}}],"schema":"https://github.com/citation-style-language/schema/raw/master/csl-citation.json"} </w:instrText>
      </w:r>
      <w:r w:rsidRPr="00E144AE">
        <w:rPr>
          <w:rFonts w:ascii="Times New Roman" w:hAnsi="Times New Roman" w:cs="Times New Roman"/>
        </w:rPr>
        <w:fldChar w:fldCharType="separate"/>
      </w:r>
      <w:r w:rsidRPr="00E144AE">
        <w:rPr>
          <w:rFonts w:ascii="Times New Roman" w:hAnsi="Times New Roman" w:cs="Times New Roman"/>
          <w:u w:val="dash"/>
        </w:rPr>
        <w:t>(R Core Team, 2022)</w:t>
      </w:r>
      <w:r w:rsidRPr="00E144AE">
        <w:rPr>
          <w:rFonts w:ascii="Times New Roman" w:hAnsi="Times New Roman" w:cs="Times New Roman"/>
        </w:rPr>
        <w:fldChar w:fldCharType="end"/>
      </w:r>
      <w:r w:rsidRPr="00E144AE">
        <w:rPr>
          <w:rFonts w:ascii="Times New Roman" w:hAnsi="Times New Roman" w:cs="Times New Roman"/>
        </w:rPr>
        <w:t xml:space="preserve">. Abundance data from mist-netting were compiled together into a weighted matrix, where rows represented mist-netting plots (five individual communities per regeneration type), and columns represented individual bird species. Birds observed within mist-netting trials were weighted by their </w:t>
      </w:r>
      <w:r w:rsidRPr="00E144AE">
        <w:rPr>
          <w:rFonts w:ascii="Times New Roman" w:hAnsi="Times New Roman" w:cs="Times New Roman"/>
        </w:rPr>
        <w:lastRenderedPageBreak/>
        <w:t xml:space="preserve">abundance due to our ability to identify individuals from aluminum bands, which allowed us to avoid counting the same individual twice. The resultant weighted adjacency matrix was then used to assess differences in bird communities and taxonomic and functional diversity metrics across each regeneration type. </w:t>
      </w:r>
      <w:r w:rsidRPr="00E144AE">
        <w:rPr>
          <w:rFonts w:ascii="Times New Roman" w:hAnsi="Times New Roman" w:cs="Times New Roman"/>
          <w:shd w:val="clear" w:color="auto" w:fill="FFFFFF"/>
        </w:rPr>
        <w:t xml:space="preserve">We used these data to calculate Hill numbers using the </w:t>
      </w:r>
      <w:proofErr w:type="spellStart"/>
      <w:r w:rsidRPr="00E144AE">
        <w:rPr>
          <w:rFonts w:ascii="Times New Roman" w:hAnsi="Times New Roman" w:cs="Times New Roman"/>
          <w:i/>
          <w:iCs/>
          <w:shd w:val="clear" w:color="auto" w:fill="FFFFFF"/>
        </w:rPr>
        <w:t>iNEXT</w:t>
      </w:r>
      <w:proofErr w:type="spellEnd"/>
      <w:r w:rsidRPr="00E144AE">
        <w:rPr>
          <w:rFonts w:ascii="Times New Roman" w:hAnsi="Times New Roman" w:cs="Times New Roman"/>
          <w:i/>
          <w:iCs/>
          <w:shd w:val="clear" w:color="auto" w:fill="FFFFFF"/>
        </w:rPr>
        <w:t xml:space="preserve"> </w:t>
      </w:r>
      <w:r w:rsidRPr="00E144AE">
        <w:rPr>
          <w:rFonts w:ascii="Times New Roman" w:hAnsi="Times New Roman" w:cs="Times New Roman"/>
          <w:shd w:val="clear" w:color="auto" w:fill="FFFFFF"/>
        </w:rPr>
        <w:t xml:space="preserve">package in R </w:t>
      </w:r>
      <w:r w:rsidRPr="00E144AE">
        <w:rPr>
          <w:rFonts w:ascii="Times New Roman" w:hAnsi="Times New Roman" w:cs="Times New Roman"/>
          <w:shd w:val="clear" w:color="auto" w:fill="FFFFFF"/>
        </w:rPr>
        <w:fldChar w:fldCharType="begin"/>
      </w:r>
      <w:r w:rsidRPr="00E144AE">
        <w:rPr>
          <w:rFonts w:ascii="Times New Roman" w:hAnsi="Times New Roman" w:cs="Times New Roman"/>
          <w:shd w:val="clear" w:color="auto" w:fill="FFFFFF"/>
        </w:rPr>
        <w:instrText xml:space="preserve"> ADDIN ZOTERO_ITEM CSL_CITATION {"citationID":"a12c3t5m2fr","properties":{"formattedCitation":"(Chao et al., 2014)","plainCitation":"(Chao et al., 2014)","noteIndex":0},"citationItems":[{"id":1489,"uris":["http://zotero.org/users/12345038/items/96KFRTWB"],"itemData":{"id":1489,"type":"article-journal","container-title":"Ecological monographs","language":"en","title":"Rarefaction and extrapolation with Hill numbers: a framework for sampling and estimation in species diversity studies","volume":"Feb;84(1):45-67","author":[{"family":"Chao","given":"A."},{"family":"Gotelli","given":"N.J."},{"family":"Hsieh","given":"T.C."},{"family":"Sander","given":"E.L."},{"family":"Ma","given":"K.H."},{"family":"Colwell","given":"R.K."},{"family":"Ellison","given":"A.M."}],"issued":{"date-parts":[["2014"]]}}}],"schema":"https://github.com/citation-style-language/schema/raw/master/csl-citation.json"} </w:instrText>
      </w:r>
      <w:r w:rsidRPr="00E144AE">
        <w:rPr>
          <w:rFonts w:ascii="Times New Roman" w:hAnsi="Times New Roman" w:cs="Times New Roman"/>
          <w:shd w:val="clear" w:color="auto" w:fill="FFFFFF"/>
        </w:rPr>
        <w:fldChar w:fldCharType="separate"/>
      </w:r>
      <w:r w:rsidRPr="00E144AE">
        <w:rPr>
          <w:rFonts w:ascii="Times New Roman" w:hAnsi="Times New Roman" w:cs="Times New Roman"/>
        </w:rPr>
        <w:t>(Chao et al., 2014)</w:t>
      </w:r>
      <w:r w:rsidRPr="00E144AE">
        <w:rPr>
          <w:rFonts w:ascii="Times New Roman" w:hAnsi="Times New Roman" w:cs="Times New Roman"/>
          <w:shd w:val="clear" w:color="auto" w:fill="FFFFFF"/>
        </w:rPr>
        <w:fldChar w:fldCharType="end"/>
      </w:r>
      <w:r w:rsidRPr="00E144AE">
        <w:rPr>
          <w:rFonts w:ascii="Times New Roman" w:hAnsi="Times New Roman" w:cs="Times New Roman"/>
          <w:shd w:val="clear" w:color="auto" w:fill="FFFFFF"/>
        </w:rPr>
        <w:t xml:space="preserve">: q=0 (species richness), Hill q=1 (exponential of Shannon's diversity index), and Hill q=2 (inverse of Simpson's index) </w:t>
      </w:r>
      <w:r w:rsidRPr="00E144AE">
        <w:rPr>
          <w:rFonts w:ascii="Times New Roman" w:hAnsi="Times New Roman" w:cs="Times New Roman"/>
          <w:shd w:val="clear" w:color="auto" w:fill="FFFFFF"/>
        </w:rPr>
        <w:fldChar w:fldCharType="begin"/>
      </w:r>
      <w:r w:rsidRPr="00E144AE">
        <w:rPr>
          <w:rFonts w:ascii="Times New Roman" w:hAnsi="Times New Roman" w:cs="Times New Roman"/>
          <w:shd w:val="clear" w:color="auto" w:fill="FFFFFF"/>
        </w:rPr>
        <w:instrText xml:space="preserve"> ADDIN ZOTERO_ITEM CSL_CITATION {"citationID":"aq1hch85lv","properties":{"formattedCitation":"(Ellison, 2010)","plainCitation":"(Ellison, 2010)","noteIndex":0},"citationItems":[{"id":1500,"uris":["http://zotero.org/users/12345038/items/N3HK7VWB"],"itemData":{"id":1500,"type":"article-journal","container-title":"Ecology","language":"en","title":"Partitioning diversity","volume":"1;91(7):1962-3","author":[{"family":"Ellison","given":"A.M."}],"issued":{"date-parts":[["2010",7]]}}}],"schema":"https://github.com/citation-style-language/schema/raw/master/csl-citation.json"} </w:instrText>
      </w:r>
      <w:r w:rsidRPr="00E144AE">
        <w:rPr>
          <w:rFonts w:ascii="Times New Roman" w:hAnsi="Times New Roman" w:cs="Times New Roman"/>
          <w:shd w:val="clear" w:color="auto" w:fill="FFFFFF"/>
        </w:rPr>
        <w:fldChar w:fldCharType="separate"/>
      </w:r>
      <w:r w:rsidRPr="00E144AE">
        <w:rPr>
          <w:rFonts w:ascii="Times New Roman" w:hAnsi="Times New Roman" w:cs="Times New Roman"/>
        </w:rPr>
        <w:t>(Ellison, 2010)</w:t>
      </w:r>
      <w:r w:rsidRPr="00E144AE">
        <w:rPr>
          <w:rFonts w:ascii="Times New Roman" w:hAnsi="Times New Roman" w:cs="Times New Roman"/>
          <w:shd w:val="clear" w:color="auto" w:fill="FFFFFF"/>
        </w:rPr>
        <w:fldChar w:fldCharType="end"/>
      </w:r>
      <w:r w:rsidRPr="00E144AE">
        <w:rPr>
          <w:rFonts w:ascii="Times New Roman" w:hAnsi="Times New Roman" w:cs="Times New Roman"/>
          <w:shd w:val="clear" w:color="auto" w:fill="FFFFFF"/>
        </w:rPr>
        <w:t xml:space="preserve">. Rarefaction and extrapolated curves were generated to determine how taxonomic diversity increases with increasing sampling effort and completeness. Rarefaction and extrapolation of richness, Shannon diversity, and Simpson diversity were calculated for each mist-netting plot </w:t>
      </w:r>
      <w:r w:rsidRPr="00E144AE">
        <w:rPr>
          <w:rFonts w:ascii="Times New Roman" w:hAnsi="Times New Roman" w:cs="Times New Roman"/>
          <w:shd w:val="clear" w:color="auto" w:fill="FFFFFF"/>
        </w:rPr>
        <w:fldChar w:fldCharType="begin"/>
      </w:r>
      <w:r w:rsidRPr="00E144AE">
        <w:rPr>
          <w:rFonts w:ascii="Times New Roman" w:hAnsi="Times New Roman" w:cs="Times New Roman"/>
          <w:shd w:val="clear" w:color="auto" w:fill="FFFFFF"/>
        </w:rPr>
        <w:instrText xml:space="preserve"> ADDIN ZOTERO_ITEM CSL_CITATION {"citationID":"a1ift04n98s","properties":{"formattedCitation":"(Chao et al., 2014)","plainCitation":"(Chao et al., 2014)","noteIndex":0},"citationItems":[{"id":1489,"uris":["http://zotero.org/users/12345038/items/96KFRTWB"],"itemData":{"id":1489,"type":"article-journal","container-title":"Ecological monographs","language":"en","title":"Rarefaction and extrapolation with Hill numbers: a framework for sampling and estimation in species diversity studies","volume":"Feb;84(1):45-67","author":[{"family":"Chao","given":"A."},{"family":"Gotelli","given":"N.J."},{"family":"Hsieh","given":"T.C."},{"family":"Sander","given":"E.L."},{"family":"Ma","given":"K.H."},{"family":"Colwell","given":"R.K."},{"family":"Ellison","given":"A.M."}],"issued":{"date-parts":[["2014"]]}}}],"schema":"https://github.com/citation-style-language/schema/raw/master/csl-citation.json"} </w:instrText>
      </w:r>
      <w:r w:rsidRPr="00E144AE">
        <w:rPr>
          <w:rFonts w:ascii="Times New Roman" w:hAnsi="Times New Roman" w:cs="Times New Roman"/>
          <w:shd w:val="clear" w:color="auto" w:fill="FFFFFF"/>
        </w:rPr>
        <w:fldChar w:fldCharType="separate"/>
      </w:r>
      <w:r w:rsidRPr="00E144AE">
        <w:rPr>
          <w:rFonts w:ascii="Times New Roman" w:hAnsi="Times New Roman" w:cs="Times New Roman"/>
        </w:rPr>
        <w:t>(Chao et al., 2014)</w:t>
      </w:r>
      <w:r w:rsidRPr="00E144AE">
        <w:rPr>
          <w:rFonts w:ascii="Times New Roman" w:hAnsi="Times New Roman" w:cs="Times New Roman"/>
          <w:shd w:val="clear" w:color="auto" w:fill="FFFFFF"/>
        </w:rPr>
        <w:fldChar w:fldCharType="end"/>
      </w:r>
      <w:r w:rsidRPr="00E144AE">
        <w:rPr>
          <w:rFonts w:ascii="Times New Roman" w:hAnsi="Times New Roman" w:cs="Times New Roman"/>
          <w:shd w:val="clear" w:color="auto" w:fill="FFFFFF"/>
        </w:rPr>
        <w:t xml:space="preserve">. Sample-based curves evaluated the number of individuals in a sample by plotting diversity estimates in relation to the number of sampling units, while coverage-based curves were plotted against rarefied completeness in relation to sample coverage. Curves were plotted using doubling of sampling size, and 999 bootstrap replicates were used to estimate 95% confidence intervals. </w:t>
      </w:r>
    </w:p>
    <w:p w14:paraId="0A1B70FF" w14:textId="77777777" w:rsidR="00E144AE" w:rsidRPr="00E144AE" w:rsidRDefault="00E144AE" w:rsidP="00D77075">
      <w:pPr>
        <w:spacing w:before="0" w:after="0"/>
        <w:ind w:firstLine="720"/>
        <w:rPr>
          <w:rFonts w:ascii="Times New Roman" w:hAnsi="Times New Roman" w:cs="Times New Roman"/>
        </w:rPr>
      </w:pPr>
      <w:r w:rsidRPr="00E144AE">
        <w:rPr>
          <w:rFonts w:ascii="Times New Roman" w:hAnsi="Times New Roman" w:cs="Times New Roman"/>
        </w:rPr>
        <w:t>To test for differences in the composition of understory bird communities across the regeneration gradient, we used a</w:t>
      </w:r>
      <w:r w:rsidRPr="00E144AE">
        <w:rPr>
          <w:rFonts w:ascii="Times New Roman" w:eastAsia="Calibri" w:hAnsi="Times New Roman" w:cs="Times New Roman"/>
        </w:rPr>
        <w:t>bundance data from the adjacency matrix to calculate dissimilarity between plots using the Bray-Curtis dissimilarity index and the “</w:t>
      </w:r>
      <w:proofErr w:type="spellStart"/>
      <w:r w:rsidRPr="00E144AE">
        <w:rPr>
          <w:rFonts w:ascii="Times New Roman" w:eastAsia="Calibri" w:hAnsi="Times New Roman" w:cs="Times New Roman"/>
          <w:i/>
          <w:iCs/>
        </w:rPr>
        <w:t>vegdist</w:t>
      </w:r>
      <w:proofErr w:type="spellEnd"/>
      <w:r w:rsidRPr="00E144AE">
        <w:rPr>
          <w:rFonts w:ascii="Times New Roman" w:eastAsia="Calibri" w:hAnsi="Times New Roman" w:cs="Times New Roman"/>
        </w:rPr>
        <w:t>” function in the</w:t>
      </w:r>
      <w:r w:rsidRPr="00E144AE">
        <w:rPr>
          <w:rFonts w:ascii="Times New Roman" w:eastAsia="Calibri" w:hAnsi="Times New Roman" w:cs="Times New Roman"/>
          <w:i/>
          <w:iCs/>
        </w:rPr>
        <w:t xml:space="preserve"> vegan</w:t>
      </w:r>
      <w:r w:rsidRPr="00E144AE">
        <w:rPr>
          <w:rFonts w:ascii="Times New Roman" w:eastAsia="Calibri" w:hAnsi="Times New Roman" w:cs="Times New Roman"/>
        </w:rPr>
        <w:t xml:space="preserve"> package in R </w:t>
      </w:r>
      <w:r w:rsidRPr="00E144AE">
        <w:rPr>
          <w:rFonts w:ascii="Times New Roman" w:eastAsia="Calibri" w:hAnsi="Times New Roman" w:cs="Times New Roman"/>
        </w:rPr>
        <w:fldChar w:fldCharType="begin"/>
      </w:r>
      <w:r w:rsidRPr="00E144AE">
        <w:rPr>
          <w:rFonts w:ascii="Times New Roman" w:eastAsia="Calibri" w:hAnsi="Times New Roman" w:cs="Times New Roman"/>
        </w:rPr>
        <w:instrText xml:space="preserve"> ADDIN ZOTERO_ITEM CSL_CITATION {"citationID":"anibigu0je","properties":{"formattedCitation":"(Oksanen et al., 2022)","plainCitation":"(Oksanen et al., 2022)","noteIndex":0},"citationItems":[{"id":1533,"uris":["http://zotero.org/users/12345038/items/BF46NQC2"],"itemData":{"id":1533,"type":"document","language":"af","note":"page: 2 6–4","title":"Wagner H. vegan: Community Ecology Package. R package version","author":[{"family":"Oksanen","given":"J."},{"family":"Simpson","given":"G."},{"family":"Blanchet","given":"F."},{"family":"Kindt","given":"R."},{"family":"Legendre","given":"P."},{"family":"Minchin","given":"P."},{"family":"O’hara","given":"R."},{"family":"Solymos","given":"P."},{"family":"Stevens","given":"M."},{"family":"Szoecs","given":"E."}],"issued":{"date-parts":[["2022"]]}}}],"schema":"https://github.com/citation-style-language/schema/raw/master/csl-citation.json"} </w:instrText>
      </w:r>
      <w:r w:rsidRPr="00E144AE">
        <w:rPr>
          <w:rFonts w:ascii="Times New Roman" w:eastAsia="Calibri" w:hAnsi="Times New Roman" w:cs="Times New Roman"/>
        </w:rPr>
        <w:fldChar w:fldCharType="separate"/>
      </w:r>
      <w:r w:rsidRPr="00E144AE">
        <w:rPr>
          <w:rFonts w:ascii="Times New Roman" w:hAnsi="Times New Roman" w:cs="Times New Roman"/>
        </w:rPr>
        <w:t>(Oksanen et al., 2022)</w:t>
      </w:r>
      <w:r w:rsidRPr="00E144AE">
        <w:rPr>
          <w:rFonts w:ascii="Times New Roman" w:eastAsia="Calibri" w:hAnsi="Times New Roman" w:cs="Times New Roman"/>
        </w:rPr>
        <w:fldChar w:fldCharType="end"/>
      </w:r>
      <w:r w:rsidRPr="00E144AE">
        <w:rPr>
          <w:rFonts w:ascii="Times New Roman" w:eastAsia="Calibri" w:hAnsi="Times New Roman" w:cs="Times New Roman"/>
        </w:rPr>
        <w:t>. The Bray-Curtis index accounts for differences in species composition and abundance between plots, providing a measure of dissimilarity that ranges from 0 (identical communities) to 1 (completely different communities with no overlapping species). To evaluate statistical support for differences in avian communities across regenerating stages, we performed a Permutational Multivariate Analysis of Variance (</w:t>
      </w:r>
      <w:proofErr w:type="spellStart"/>
      <w:r w:rsidRPr="00E144AE">
        <w:rPr>
          <w:rFonts w:ascii="Times New Roman" w:eastAsia="Calibri" w:hAnsi="Times New Roman" w:cs="Times New Roman"/>
        </w:rPr>
        <w:t>permanova</w:t>
      </w:r>
      <w:proofErr w:type="spellEnd"/>
      <w:r w:rsidRPr="00E144AE">
        <w:rPr>
          <w:rFonts w:ascii="Times New Roman" w:eastAsia="Calibri" w:hAnsi="Times New Roman" w:cs="Times New Roman"/>
        </w:rPr>
        <w:t>) using the “</w:t>
      </w:r>
      <w:r w:rsidRPr="00E144AE">
        <w:rPr>
          <w:rFonts w:ascii="Times New Roman" w:eastAsia="Calibri" w:hAnsi="Times New Roman" w:cs="Times New Roman"/>
          <w:i/>
          <w:iCs/>
        </w:rPr>
        <w:t>adonis</w:t>
      </w:r>
      <w:r w:rsidRPr="00E144AE">
        <w:rPr>
          <w:rFonts w:ascii="Times New Roman" w:eastAsia="Calibri" w:hAnsi="Times New Roman" w:cs="Times New Roman"/>
        </w:rPr>
        <w:t xml:space="preserve">” function in the </w:t>
      </w:r>
      <w:r w:rsidRPr="00E144AE">
        <w:rPr>
          <w:rFonts w:ascii="Times New Roman" w:eastAsia="Calibri" w:hAnsi="Times New Roman" w:cs="Times New Roman"/>
          <w:i/>
          <w:iCs/>
        </w:rPr>
        <w:t>vegan</w:t>
      </w:r>
      <w:r w:rsidRPr="00E144AE">
        <w:rPr>
          <w:rFonts w:ascii="Times New Roman" w:eastAsia="Calibri" w:hAnsi="Times New Roman" w:cs="Times New Roman"/>
        </w:rPr>
        <w:t xml:space="preserve"> package. Then, to assess the relationship between bird community composition and environmental variables, we used a Redundancy Analysis (RDA).</w:t>
      </w:r>
      <w:r w:rsidRPr="00E144AE">
        <w:rPr>
          <w:rFonts w:ascii="Times New Roman" w:hAnsi="Times New Roman" w:cs="Times New Roman"/>
        </w:rPr>
        <w:t xml:space="preserve"> </w:t>
      </w:r>
      <w:r w:rsidRPr="00E144AE">
        <w:rPr>
          <w:rFonts w:ascii="Times New Roman" w:eastAsia="Calibri" w:hAnsi="Times New Roman" w:cs="Times New Roman"/>
        </w:rPr>
        <w:t xml:space="preserve">First, the abundance matrix was normalized using the Hellinger transformation </w:t>
      </w:r>
      <w:r w:rsidRPr="00E144AE">
        <w:rPr>
          <w:rFonts w:ascii="Times New Roman" w:eastAsia="Calibri" w:hAnsi="Times New Roman" w:cs="Times New Roman"/>
        </w:rPr>
        <w:fldChar w:fldCharType="begin"/>
      </w:r>
      <w:r w:rsidRPr="00E144AE">
        <w:rPr>
          <w:rFonts w:ascii="Times New Roman" w:eastAsia="Calibri" w:hAnsi="Times New Roman" w:cs="Times New Roman"/>
        </w:rPr>
        <w:instrText xml:space="preserve"> ADDIN ZOTERO_ITEM CSL_CITATION {"citationID":"a1n1ik34te3","properties":{"formattedCitation":"(Legendre &amp; Gallagher, 2001)","plainCitation":"(Legendre &amp; Gallagher, 2001)","noteIndex":0},"citationItems":[{"id":1523,"uris":["http://zotero.org/users/12345038/items/DH9BZJDG"],"itemData":{"id":1523,"type":"article-journal","container-title":"Oecologia","language":"en","title":"Ecologically meaningful transformations for ordination of species data","author":[{"family":"Legendre","given":"P."},{"family":"Gallagher","given":"E.D."}],"issued":{"date-parts":[["2001",10]]}}}],"schema":"https://github.com/citation-style-language/schema/raw/master/csl-citation.json"} </w:instrText>
      </w:r>
      <w:r w:rsidRPr="00E144AE">
        <w:rPr>
          <w:rFonts w:ascii="Times New Roman" w:eastAsia="Calibri" w:hAnsi="Times New Roman" w:cs="Times New Roman"/>
        </w:rPr>
        <w:fldChar w:fldCharType="separate"/>
      </w:r>
      <w:r w:rsidRPr="00E144AE">
        <w:rPr>
          <w:rFonts w:ascii="Times New Roman" w:hAnsi="Times New Roman" w:cs="Times New Roman"/>
        </w:rPr>
        <w:t>(Legendre &amp; Gallagher, 2001)</w:t>
      </w:r>
      <w:r w:rsidRPr="00E144AE">
        <w:rPr>
          <w:rFonts w:ascii="Times New Roman" w:eastAsia="Calibri" w:hAnsi="Times New Roman" w:cs="Times New Roman"/>
        </w:rPr>
        <w:fldChar w:fldCharType="end"/>
      </w:r>
      <w:r w:rsidRPr="00E144AE">
        <w:rPr>
          <w:rFonts w:ascii="Times New Roman" w:eastAsia="Calibri" w:hAnsi="Times New Roman" w:cs="Times New Roman"/>
        </w:rPr>
        <w:t>. We plotted the RDA using the “</w:t>
      </w:r>
      <w:proofErr w:type="spellStart"/>
      <w:r w:rsidRPr="00E144AE">
        <w:rPr>
          <w:rFonts w:ascii="Times New Roman" w:eastAsia="Calibri" w:hAnsi="Times New Roman" w:cs="Times New Roman"/>
          <w:i/>
          <w:iCs/>
        </w:rPr>
        <w:t>rda</w:t>
      </w:r>
      <w:proofErr w:type="spellEnd"/>
      <w:r w:rsidRPr="00E144AE">
        <w:rPr>
          <w:rFonts w:ascii="Times New Roman" w:eastAsia="Calibri" w:hAnsi="Times New Roman" w:cs="Times New Roman"/>
          <w:i/>
          <w:iCs/>
        </w:rPr>
        <w:t>”</w:t>
      </w:r>
      <w:r w:rsidRPr="00E144AE">
        <w:rPr>
          <w:rFonts w:ascii="Times New Roman" w:eastAsia="Calibri" w:hAnsi="Times New Roman" w:cs="Times New Roman"/>
        </w:rPr>
        <w:t xml:space="preserve"> function in the </w:t>
      </w:r>
      <w:r w:rsidRPr="00E144AE">
        <w:rPr>
          <w:rFonts w:ascii="Times New Roman" w:eastAsia="Calibri" w:hAnsi="Times New Roman" w:cs="Times New Roman"/>
          <w:i/>
        </w:rPr>
        <w:t>vegan</w:t>
      </w:r>
      <w:r w:rsidRPr="00E144AE">
        <w:rPr>
          <w:rFonts w:ascii="Times New Roman" w:eastAsia="Calibri" w:hAnsi="Times New Roman" w:cs="Times New Roman"/>
        </w:rPr>
        <w:t xml:space="preserve"> package in R and fitted relative environmental variables to the model using the “</w:t>
      </w:r>
      <w:proofErr w:type="spellStart"/>
      <w:r w:rsidRPr="00E144AE">
        <w:rPr>
          <w:rFonts w:ascii="Times New Roman" w:eastAsia="Calibri" w:hAnsi="Times New Roman" w:cs="Times New Roman"/>
          <w:i/>
          <w:iCs/>
        </w:rPr>
        <w:t>anova.cca</w:t>
      </w:r>
      <w:proofErr w:type="spellEnd"/>
      <w:r w:rsidRPr="00E144AE">
        <w:rPr>
          <w:rFonts w:ascii="Times New Roman" w:eastAsia="Calibri" w:hAnsi="Times New Roman" w:cs="Times New Roman"/>
        </w:rPr>
        <w:t xml:space="preserve">” function with 1000 null model iterations. </w:t>
      </w:r>
      <w:r w:rsidRPr="00E144AE">
        <w:rPr>
          <w:rFonts w:ascii="Times New Roman" w:hAnsi="Times New Roman" w:cs="Times New Roman"/>
        </w:rPr>
        <w:t>To determine if specific trophic niches (e.g., frugivores) within communities differed across regeneration types, we used categorical data to perform a chi-squared test using the “</w:t>
      </w:r>
      <w:proofErr w:type="spellStart"/>
      <w:r w:rsidRPr="00E144AE">
        <w:rPr>
          <w:rFonts w:ascii="Times New Roman" w:hAnsi="Times New Roman" w:cs="Times New Roman"/>
          <w:i/>
        </w:rPr>
        <w:t>chisq.test</w:t>
      </w:r>
      <w:proofErr w:type="spellEnd"/>
      <w:r w:rsidRPr="00E144AE">
        <w:rPr>
          <w:rFonts w:ascii="Times New Roman" w:hAnsi="Times New Roman" w:cs="Times New Roman"/>
        </w:rPr>
        <w:t xml:space="preserve">” function in the </w:t>
      </w:r>
      <w:r w:rsidRPr="00E144AE">
        <w:rPr>
          <w:rFonts w:ascii="Times New Roman" w:hAnsi="Times New Roman" w:cs="Times New Roman"/>
          <w:i/>
        </w:rPr>
        <w:t>stats</w:t>
      </w:r>
      <w:r w:rsidRPr="00E144AE">
        <w:rPr>
          <w:rFonts w:ascii="Times New Roman" w:hAnsi="Times New Roman" w:cs="Times New Roman"/>
        </w:rPr>
        <w:t xml:space="preserve"> package in R.</w:t>
      </w:r>
    </w:p>
    <w:p w14:paraId="59CA9D7C" w14:textId="77777777" w:rsidR="00E144AE" w:rsidRPr="00E144AE" w:rsidRDefault="00E144AE" w:rsidP="00D77075">
      <w:pPr>
        <w:spacing w:before="0" w:after="0"/>
        <w:ind w:firstLine="720"/>
        <w:rPr>
          <w:rFonts w:ascii="Times New Roman" w:eastAsia="Calibri" w:hAnsi="Times New Roman" w:cs="Times New Roman"/>
        </w:rPr>
      </w:pPr>
      <w:r w:rsidRPr="00E144AE">
        <w:rPr>
          <w:rFonts w:ascii="Times New Roman" w:eastAsia="Calibri" w:hAnsi="Times New Roman" w:cs="Times New Roman"/>
        </w:rPr>
        <w:t xml:space="preserve">When considering differences in taxonomic and functional diversity indices, we first tested for spatial autocorrelation using the </w:t>
      </w:r>
      <w:proofErr w:type="spellStart"/>
      <w:r w:rsidRPr="00E144AE">
        <w:rPr>
          <w:rFonts w:ascii="Times New Roman" w:eastAsia="Calibri" w:hAnsi="Times New Roman" w:cs="Times New Roman"/>
          <w:i/>
          <w:iCs/>
        </w:rPr>
        <w:t>spdep</w:t>
      </w:r>
      <w:proofErr w:type="spellEnd"/>
      <w:r w:rsidRPr="00E144AE">
        <w:rPr>
          <w:rFonts w:ascii="Times New Roman" w:eastAsia="Calibri" w:hAnsi="Times New Roman" w:cs="Times New Roman"/>
          <w:i/>
          <w:iCs/>
        </w:rPr>
        <w:t xml:space="preserve"> </w:t>
      </w:r>
      <w:r w:rsidRPr="00E144AE">
        <w:rPr>
          <w:rFonts w:ascii="Times New Roman" w:eastAsia="Calibri" w:hAnsi="Times New Roman" w:cs="Times New Roman"/>
        </w:rPr>
        <w:t xml:space="preserve">package in R. We created a distance matrix </w:t>
      </w:r>
      <w:r w:rsidRPr="00E144AE">
        <w:rPr>
          <w:rFonts w:ascii="Times New Roman" w:eastAsia="Calibri" w:hAnsi="Times New Roman" w:cs="Times New Roman"/>
        </w:rPr>
        <w:lastRenderedPageBreak/>
        <w:t xml:space="preserve">from the UTM Northing and Easting coordinates of each sampling location. Next, we used the </w:t>
      </w:r>
      <w:proofErr w:type="spellStart"/>
      <w:r w:rsidRPr="00E144AE">
        <w:rPr>
          <w:rFonts w:ascii="Times New Roman" w:eastAsia="Calibri" w:hAnsi="Times New Roman" w:cs="Times New Roman"/>
          <w:i/>
          <w:iCs/>
        </w:rPr>
        <w:t>spdep</w:t>
      </w:r>
      <w:proofErr w:type="spellEnd"/>
      <w:r w:rsidRPr="00E144AE">
        <w:rPr>
          <w:rFonts w:ascii="Times New Roman" w:eastAsia="Calibri" w:hAnsi="Times New Roman" w:cs="Times New Roman"/>
          <w:i/>
          <w:iCs/>
        </w:rPr>
        <w:t xml:space="preserve"> </w:t>
      </w:r>
      <w:r w:rsidRPr="00E144AE">
        <w:rPr>
          <w:rFonts w:ascii="Times New Roman" w:eastAsia="Calibri" w:hAnsi="Times New Roman" w:cs="Times New Roman"/>
        </w:rPr>
        <w:t xml:space="preserve">package to construct a neighborhood structure based on this distance matrix, converting the neighbor list into spatial weights. This allowed us to assess spatial autocorrelation through Moran’s I test. We found evidence of spatial autocorrelation for several of our response variables. Therefore, we performed Generalized Least Squares (GLS) analyses incorporating a Gaussian correlation structure. We chose Gaussian correlations because they allow for a continuous decay of spatial autocorrelation over distance, which is more appropriate for modeling the gradual environmental gradients and the spatial structure in our dataset compared to alternative correlation structures that may assume more abrupt changes. </w:t>
      </w:r>
      <w:r w:rsidRPr="00E144AE">
        <w:rPr>
          <w:rFonts w:ascii="Times New Roman" w:hAnsi="Times New Roman" w:cs="Times New Roman"/>
        </w:rPr>
        <w:t xml:space="preserve">The Gaussian correlation structure was defined using </w:t>
      </w:r>
      <w:r w:rsidRPr="00E144AE">
        <w:rPr>
          <w:rFonts w:ascii="Times New Roman" w:eastAsiaTheme="majorEastAsia" w:hAnsi="Times New Roman" w:cs="Times New Roman"/>
        </w:rPr>
        <w:t>plot coordinates (easting and northing)</w:t>
      </w:r>
      <w:r w:rsidRPr="00E144AE">
        <w:rPr>
          <w:rFonts w:ascii="Times New Roman" w:hAnsi="Times New Roman" w:cs="Times New Roman"/>
        </w:rPr>
        <w:t>.</w:t>
      </w:r>
      <w:r w:rsidRPr="00E144AE">
        <w:rPr>
          <w:rFonts w:ascii="Times New Roman" w:eastAsia="Calibri" w:hAnsi="Times New Roman" w:cs="Times New Roman"/>
        </w:rPr>
        <w:t xml:space="preserve"> </w:t>
      </w:r>
    </w:p>
    <w:p w14:paraId="4D087663" w14:textId="77777777" w:rsidR="00E144AE" w:rsidRPr="00E144AE" w:rsidRDefault="00E144AE" w:rsidP="00D77075">
      <w:pPr>
        <w:spacing w:before="0" w:after="0"/>
        <w:ind w:firstLine="720"/>
        <w:rPr>
          <w:rFonts w:ascii="Times New Roman" w:hAnsi="Times New Roman" w:cs="Times New Roman"/>
        </w:rPr>
      </w:pPr>
      <w:r w:rsidRPr="00E144AE">
        <w:rPr>
          <w:rFonts w:ascii="Times New Roman" w:hAnsi="Times New Roman" w:cs="Times New Roman"/>
        </w:rPr>
        <w:t xml:space="preserve">For diversity metrics that exhibited significant spatial autocorrelation, we applied </w:t>
      </w:r>
      <w:r w:rsidRPr="00E144AE">
        <w:rPr>
          <w:rFonts w:ascii="Times New Roman" w:eastAsiaTheme="majorEastAsia" w:hAnsi="Times New Roman" w:cs="Times New Roman"/>
        </w:rPr>
        <w:t>GLS regression</w:t>
      </w:r>
      <w:r w:rsidRPr="00E144AE">
        <w:rPr>
          <w:rFonts w:ascii="Times New Roman" w:hAnsi="Times New Roman" w:cs="Times New Roman"/>
        </w:rPr>
        <w:t xml:space="preserve"> to account for spatial dependence in model residuals. To evaluate differences in taxonomic and functional diversity across sites, we then modeled taxonomic and functional diversity metrics first as functions of </w:t>
      </w:r>
      <w:r w:rsidRPr="00E144AE">
        <w:rPr>
          <w:rFonts w:ascii="Times New Roman" w:eastAsiaTheme="majorEastAsia" w:hAnsi="Times New Roman" w:cs="Times New Roman"/>
        </w:rPr>
        <w:t>regeneration type, then as functions of environmental variables.</w:t>
      </w:r>
      <w:r w:rsidRPr="00E144AE">
        <w:rPr>
          <w:rFonts w:ascii="Times New Roman" w:hAnsi="Times New Roman" w:cs="Times New Roman"/>
        </w:rPr>
        <w:t xml:space="preserve"> Both sets of models retained the Gaussian spatial correlation structure to account for spatial dependence. We used Type II Wald chi-square tests for response variables as a function of regeneration type. We used Type III tests for response variables as a function of environmental variables due to the interaction between canopy cover and canopy height, which was included in models. </w:t>
      </w:r>
      <w:r w:rsidRPr="00E144AE">
        <w:rPr>
          <w:rFonts w:ascii="Times New Roman" w:eastAsia="Calibri" w:hAnsi="Times New Roman" w:cs="Times New Roman"/>
        </w:rPr>
        <w:t xml:space="preserve">We then plotted all relationships using the </w:t>
      </w:r>
      <w:r w:rsidRPr="00E144AE">
        <w:rPr>
          <w:rFonts w:ascii="Times New Roman" w:hAnsi="Times New Roman" w:cs="Times New Roman"/>
          <w:i/>
        </w:rPr>
        <w:t>ggplot2</w:t>
      </w:r>
      <w:r w:rsidRPr="00E144AE">
        <w:rPr>
          <w:rFonts w:ascii="Times New Roman" w:hAnsi="Times New Roman" w:cs="Times New Roman"/>
        </w:rPr>
        <w:t xml:space="preserve"> package </w:t>
      </w:r>
      <w:r w:rsidRPr="00E144AE">
        <w:rPr>
          <w:rFonts w:ascii="Times New Roman" w:hAnsi="Times New Roman" w:cs="Times New Roman"/>
        </w:rPr>
        <w:fldChar w:fldCharType="begin"/>
      </w:r>
      <w:r w:rsidRPr="00E144AE">
        <w:rPr>
          <w:rFonts w:ascii="Times New Roman" w:hAnsi="Times New Roman" w:cs="Times New Roman"/>
        </w:rPr>
        <w:instrText xml:space="preserve"> ADDIN ZOTERO_ITEM CSL_CITATION {"citationID":"arc904tku1","properties":{"formattedCitation":"(Wickham et al., 2016)","plainCitation":"(Wickham et al., 2016)","noteIndex":0},"citationItems":[{"id":1558,"uris":["http://zotero.org/users/12345038/items/VQ46EARY"],"itemData":{"id":1558,"type":"article-journal","container-title":"Version","issue":"1","language":"en","page":"1–89","title":"Package ‘ggplot2’. Create elegant data visualisations using the grammar of graphics","volume":"2","author":[{"family":"Wickham","given":"H."},{"family":"Chang","given":"W."},{"family":"Wickham","given":"M.H."}],"issued":{"date-parts":[["2016"]]}}}],"schema":"https://github.com/citation-style-language/schema/raw/master/csl-citation.json"} </w:instrText>
      </w:r>
      <w:r w:rsidRPr="00E144AE">
        <w:rPr>
          <w:rFonts w:ascii="Times New Roman" w:hAnsi="Times New Roman" w:cs="Times New Roman"/>
        </w:rPr>
        <w:fldChar w:fldCharType="separate"/>
      </w:r>
      <w:r w:rsidRPr="00E144AE">
        <w:rPr>
          <w:rFonts w:ascii="Times New Roman" w:hAnsi="Times New Roman" w:cs="Times New Roman"/>
        </w:rPr>
        <w:t>(Wickham et al., 2016)</w:t>
      </w:r>
      <w:r w:rsidRPr="00E144AE">
        <w:rPr>
          <w:rFonts w:ascii="Times New Roman" w:hAnsi="Times New Roman" w:cs="Times New Roman"/>
        </w:rPr>
        <w:fldChar w:fldCharType="end"/>
      </w:r>
      <w:r w:rsidRPr="00E144AE">
        <w:rPr>
          <w:rFonts w:ascii="Times New Roman" w:hAnsi="Times New Roman" w:cs="Times New Roman"/>
        </w:rPr>
        <w:t xml:space="preserve">. </w:t>
      </w:r>
    </w:p>
    <w:p w14:paraId="58B293B9" w14:textId="77777777" w:rsidR="00E144AE" w:rsidRDefault="00E144AE" w:rsidP="00D77075">
      <w:pPr>
        <w:spacing w:before="0" w:after="0"/>
        <w:ind w:firstLine="720"/>
      </w:pPr>
      <w:r w:rsidRPr="00E144AE">
        <w:rPr>
          <w:rFonts w:ascii="Times New Roman" w:hAnsi="Times New Roman" w:cs="Times New Roman"/>
        </w:rPr>
        <w:t>Finally, to determine how functional traits shift across stages of regeneration, and which traits contribute most to changes in functional diversity, we ran a redundancy analysis (RDA) between species abundances across regeneration types, with functional traits as explanatory variables. We tested the significance of each exploratory variable using ANOVA-like permutation tests under the “</w:t>
      </w:r>
      <w:proofErr w:type="spellStart"/>
      <w:r w:rsidRPr="00E144AE">
        <w:rPr>
          <w:rFonts w:ascii="Times New Roman" w:hAnsi="Times New Roman" w:cs="Times New Roman"/>
          <w:i/>
          <w:iCs/>
        </w:rPr>
        <w:t>anova.cca</w:t>
      </w:r>
      <w:proofErr w:type="spellEnd"/>
      <w:r w:rsidRPr="00E144AE">
        <w:rPr>
          <w:rFonts w:ascii="Times New Roman" w:hAnsi="Times New Roman" w:cs="Times New Roman"/>
          <w:i/>
          <w:iCs/>
        </w:rPr>
        <w:t>”</w:t>
      </w:r>
      <w:r w:rsidRPr="00E144AE">
        <w:rPr>
          <w:rFonts w:ascii="Times New Roman" w:hAnsi="Times New Roman" w:cs="Times New Roman"/>
        </w:rPr>
        <w:t xml:space="preserve"> function with 1,000 permutations applied to evaluate individual variable contributions. The “</w:t>
      </w:r>
      <w:proofErr w:type="spellStart"/>
      <w:r w:rsidRPr="00E144AE">
        <w:rPr>
          <w:rFonts w:ascii="Times New Roman" w:hAnsi="Times New Roman" w:cs="Times New Roman"/>
          <w:i/>
          <w:iCs/>
        </w:rPr>
        <w:t>envfit</w:t>
      </w:r>
      <w:proofErr w:type="spellEnd"/>
      <w:r w:rsidRPr="00E144AE">
        <w:rPr>
          <w:rFonts w:ascii="Times New Roman" w:hAnsi="Times New Roman" w:cs="Times New Roman"/>
          <w:i/>
          <w:iCs/>
        </w:rPr>
        <w:t>”</w:t>
      </w:r>
      <w:r w:rsidRPr="00E144AE">
        <w:rPr>
          <w:rFonts w:ascii="Times New Roman" w:hAnsi="Times New Roman" w:cs="Times New Roman"/>
        </w:rPr>
        <w:t xml:space="preserve"> function was again used to fit explanatory variables onto the RDA ordination, and p-values were extracted to determine which variables significantly influenced community structure. Variables with </w:t>
      </w:r>
      <w:r w:rsidRPr="00E144AE">
        <w:rPr>
          <w:rStyle w:val="Emphasis"/>
          <w:rFonts w:ascii="Times New Roman" w:eastAsiaTheme="majorEastAsia" w:hAnsi="Times New Roman" w:cs="Times New Roman"/>
        </w:rPr>
        <w:t>p</w:t>
      </w:r>
      <w:r w:rsidRPr="00E144AE">
        <w:rPr>
          <w:rFonts w:ascii="Times New Roman" w:hAnsi="Times New Roman" w:cs="Times New Roman"/>
        </w:rPr>
        <w:t xml:space="preserve"> &lt; 0.05 were classified as significant. </w:t>
      </w:r>
      <w:r w:rsidRPr="008012CC">
        <w:rPr>
          <w:rFonts w:ascii="Times New Roman" w:hAnsi="Times New Roman" w:cs="Times New Roman"/>
        </w:rPr>
        <w:t>To examine correlations among explanatory variables, a Pearson correlation matrix was computed using the “</w:t>
      </w:r>
      <w:proofErr w:type="spellStart"/>
      <w:r w:rsidRPr="008012CC">
        <w:rPr>
          <w:rFonts w:ascii="Times New Roman" w:hAnsi="Times New Roman" w:cs="Times New Roman"/>
          <w:i/>
          <w:iCs/>
        </w:rPr>
        <w:t>cor</w:t>
      </w:r>
      <w:proofErr w:type="spellEnd"/>
      <w:r w:rsidRPr="008012CC">
        <w:rPr>
          <w:rFonts w:ascii="Times New Roman" w:hAnsi="Times New Roman" w:cs="Times New Roman"/>
        </w:rPr>
        <w:t>” function in the vegan package for each diversity measure and functional trait.</w:t>
      </w:r>
      <w:r w:rsidRPr="00A43E10">
        <w:t xml:space="preserve"> </w:t>
      </w:r>
    </w:p>
    <w:p w14:paraId="391A6F75" w14:textId="77777777" w:rsidR="00E62F82" w:rsidRPr="00B066C6" w:rsidRDefault="00E62F82" w:rsidP="00D77075">
      <w:pPr>
        <w:pStyle w:val="Heading2"/>
        <w:spacing w:before="0" w:after="0"/>
        <w:rPr>
          <w:rFonts w:ascii="Times New Roman" w:eastAsia="Calibri" w:hAnsi="Times New Roman" w:cs="Times New Roman"/>
          <w:b/>
          <w:bCs/>
          <w:color w:val="auto"/>
          <w:sz w:val="24"/>
          <w:szCs w:val="24"/>
        </w:rPr>
      </w:pPr>
      <w:bookmarkStart w:id="90" w:name="_Toc195189630"/>
      <w:r w:rsidRPr="00B066C6">
        <w:rPr>
          <w:rFonts w:ascii="Times New Roman" w:eastAsia="Calibri" w:hAnsi="Times New Roman" w:cs="Times New Roman"/>
          <w:b/>
          <w:bCs/>
          <w:color w:val="auto"/>
          <w:sz w:val="24"/>
          <w:szCs w:val="24"/>
        </w:rPr>
        <w:lastRenderedPageBreak/>
        <w:t>Results</w:t>
      </w:r>
      <w:bookmarkEnd w:id="90"/>
    </w:p>
    <w:p w14:paraId="7E1B1201" w14:textId="37866265" w:rsidR="001D23B6" w:rsidRPr="001D23B6" w:rsidRDefault="001D23B6" w:rsidP="00D77075">
      <w:pPr>
        <w:spacing w:before="0" w:after="0"/>
        <w:ind w:firstLine="720"/>
        <w:rPr>
          <w:rFonts w:ascii="Times New Roman" w:hAnsi="Times New Roman" w:cs="Times New Roman"/>
        </w:rPr>
      </w:pPr>
      <w:r w:rsidRPr="001D23B6">
        <w:rPr>
          <w:rFonts w:ascii="Times New Roman" w:hAnsi="Times New Roman" w:cs="Times New Roman"/>
        </w:rPr>
        <w:t>We recorded a total of 940 individual birds representing 111 different species across all study sites (</w:t>
      </w:r>
      <w:r w:rsidRPr="003022FF">
        <w:rPr>
          <w:rFonts w:ascii="Times New Roman" w:hAnsi="Times New Roman" w:cs="Times New Roman"/>
          <w:b/>
          <w:bCs/>
        </w:rPr>
        <w:t xml:space="preserve">Supplementary Table </w:t>
      </w:r>
      <w:r w:rsidR="008012CC" w:rsidRPr="003022FF">
        <w:rPr>
          <w:rFonts w:ascii="Times New Roman" w:hAnsi="Times New Roman" w:cs="Times New Roman"/>
          <w:b/>
          <w:bCs/>
        </w:rPr>
        <w:t>2</w:t>
      </w:r>
      <w:r w:rsidRPr="001D23B6">
        <w:rPr>
          <w:rFonts w:ascii="Times New Roman" w:hAnsi="Times New Roman" w:cs="Times New Roman"/>
        </w:rPr>
        <w:t xml:space="preserve">). Among these, the most frequently observed species were </w:t>
      </w:r>
      <w:proofErr w:type="spellStart"/>
      <w:r w:rsidRPr="001D23B6">
        <w:rPr>
          <w:rFonts w:ascii="Times New Roman" w:hAnsi="Times New Roman" w:cs="Times New Roman"/>
          <w:i/>
          <w:iCs/>
        </w:rPr>
        <w:t>Phaethornis</w:t>
      </w:r>
      <w:proofErr w:type="spellEnd"/>
      <w:r w:rsidRPr="001D23B6">
        <w:rPr>
          <w:rFonts w:ascii="Times New Roman" w:hAnsi="Times New Roman" w:cs="Times New Roman"/>
          <w:i/>
          <w:iCs/>
        </w:rPr>
        <w:t xml:space="preserve"> </w:t>
      </w:r>
      <w:proofErr w:type="spellStart"/>
      <w:r w:rsidRPr="001D23B6">
        <w:rPr>
          <w:rFonts w:ascii="Times New Roman" w:hAnsi="Times New Roman" w:cs="Times New Roman"/>
          <w:i/>
          <w:iCs/>
        </w:rPr>
        <w:t>yaruqui</w:t>
      </w:r>
      <w:proofErr w:type="spellEnd"/>
      <w:r w:rsidRPr="001D23B6">
        <w:rPr>
          <w:rFonts w:ascii="Times New Roman" w:hAnsi="Times New Roman" w:cs="Times New Roman"/>
        </w:rPr>
        <w:t xml:space="preserve"> (White-whiskered Hermit, n = 98), </w:t>
      </w:r>
      <w:proofErr w:type="spellStart"/>
      <w:r w:rsidRPr="001D23B6">
        <w:rPr>
          <w:rFonts w:ascii="Times New Roman" w:hAnsi="Times New Roman" w:cs="Times New Roman"/>
          <w:i/>
          <w:iCs/>
        </w:rPr>
        <w:t>Asemospiza</w:t>
      </w:r>
      <w:proofErr w:type="spellEnd"/>
      <w:r w:rsidRPr="001D23B6">
        <w:rPr>
          <w:rFonts w:ascii="Times New Roman" w:hAnsi="Times New Roman" w:cs="Times New Roman"/>
          <w:i/>
          <w:iCs/>
        </w:rPr>
        <w:t xml:space="preserve"> obscura</w:t>
      </w:r>
      <w:r w:rsidRPr="001D23B6">
        <w:rPr>
          <w:rFonts w:ascii="Times New Roman" w:hAnsi="Times New Roman" w:cs="Times New Roman"/>
        </w:rPr>
        <w:t xml:space="preserve"> (Dull-colored Grassquit, n = 64), and </w:t>
      </w:r>
      <w:proofErr w:type="spellStart"/>
      <w:r w:rsidRPr="001D23B6">
        <w:rPr>
          <w:rFonts w:ascii="Times New Roman" w:hAnsi="Times New Roman" w:cs="Times New Roman"/>
          <w:i/>
          <w:iCs/>
        </w:rPr>
        <w:t>Sporophila</w:t>
      </w:r>
      <w:proofErr w:type="spellEnd"/>
      <w:r w:rsidRPr="001D23B6">
        <w:rPr>
          <w:rFonts w:ascii="Times New Roman" w:hAnsi="Times New Roman" w:cs="Times New Roman"/>
          <w:i/>
          <w:iCs/>
        </w:rPr>
        <w:t xml:space="preserve"> </w:t>
      </w:r>
      <w:proofErr w:type="spellStart"/>
      <w:r w:rsidRPr="001D23B6">
        <w:rPr>
          <w:rFonts w:ascii="Times New Roman" w:hAnsi="Times New Roman" w:cs="Times New Roman"/>
          <w:i/>
          <w:iCs/>
        </w:rPr>
        <w:t>funerea</w:t>
      </w:r>
      <w:proofErr w:type="spellEnd"/>
      <w:r w:rsidRPr="001D23B6">
        <w:rPr>
          <w:rFonts w:ascii="Times New Roman" w:hAnsi="Times New Roman" w:cs="Times New Roman"/>
        </w:rPr>
        <w:t xml:space="preserve"> (Thick-billed Seed Finch, n = 48). Rarefaction analysis showed that our sampling effort captured 83–90% of total species richness, 89% of species diversity, and 95% of community evenness (</w:t>
      </w:r>
      <w:r w:rsidRPr="003022FF">
        <w:rPr>
          <w:rFonts w:ascii="Times New Roman" w:hAnsi="Times New Roman" w:cs="Times New Roman"/>
          <w:b/>
          <w:bCs/>
        </w:rPr>
        <w:t>Supplementary Figure</w:t>
      </w:r>
      <w:r w:rsidR="001918D7">
        <w:rPr>
          <w:rFonts w:ascii="Times New Roman" w:hAnsi="Times New Roman" w:cs="Times New Roman"/>
          <w:b/>
          <w:bCs/>
        </w:rPr>
        <w:t xml:space="preserve"> 3</w:t>
      </w:r>
      <w:r w:rsidRPr="001D23B6">
        <w:rPr>
          <w:rFonts w:ascii="Times New Roman" w:hAnsi="Times New Roman" w:cs="Times New Roman"/>
        </w:rPr>
        <w:t>). Understory bird communities differed as a function of regeneration type (</w:t>
      </w:r>
      <w:r w:rsidRPr="001D23B6">
        <w:rPr>
          <w:rStyle w:val="normaltextrun"/>
          <w:rFonts w:ascii="Times New Roman" w:hAnsi="Times New Roman" w:cs="Times New Roman"/>
        </w:rPr>
        <w:t>r</w:t>
      </w:r>
      <w:r w:rsidRPr="001D23B6">
        <w:rPr>
          <w:rStyle w:val="normaltextrun"/>
          <w:rFonts w:ascii="Times New Roman" w:hAnsi="Times New Roman" w:cs="Times New Roman"/>
          <w:vertAlign w:val="superscript"/>
        </w:rPr>
        <w:t>2</w:t>
      </w:r>
      <w:r w:rsidRPr="001D23B6">
        <w:rPr>
          <w:rFonts w:ascii="Times New Roman" w:hAnsi="Times New Roman" w:cs="Times New Roman"/>
        </w:rPr>
        <w:t xml:space="preserve"> = 0.47, F = 4.68, p ≤ 0.01)</w:t>
      </w:r>
      <w:r w:rsidR="009A02AB">
        <w:rPr>
          <w:rFonts w:ascii="Times New Roman" w:hAnsi="Times New Roman" w:cs="Times New Roman"/>
        </w:rPr>
        <w:t xml:space="preserve"> (</w:t>
      </w:r>
      <w:r w:rsidR="009A02AB" w:rsidRPr="003022FF">
        <w:rPr>
          <w:rFonts w:ascii="Times New Roman" w:hAnsi="Times New Roman" w:cs="Times New Roman"/>
          <w:b/>
          <w:bCs/>
        </w:rPr>
        <w:t>Figure 4</w:t>
      </w:r>
      <w:r w:rsidR="009A02AB">
        <w:rPr>
          <w:rFonts w:ascii="Times New Roman" w:hAnsi="Times New Roman" w:cs="Times New Roman"/>
        </w:rPr>
        <w:t>)</w:t>
      </w:r>
      <w:r w:rsidRPr="001D23B6">
        <w:rPr>
          <w:rFonts w:ascii="Times New Roman" w:hAnsi="Times New Roman" w:cs="Times New Roman"/>
        </w:rPr>
        <w:t xml:space="preserve">. Richness also varied among </w:t>
      </w:r>
      <w:r w:rsidR="008A3D69">
        <w:rPr>
          <w:rFonts w:ascii="Times New Roman" w:hAnsi="Times New Roman" w:cs="Times New Roman"/>
        </w:rPr>
        <w:t xml:space="preserve">habitats </w:t>
      </w:r>
      <w:r w:rsidRPr="001D23B6">
        <w:rPr>
          <w:rFonts w:ascii="Times New Roman" w:eastAsiaTheme="majorEastAsia" w:hAnsi="Times New Roman" w:cs="Times New Roman"/>
        </w:rPr>
        <w:t>(</w:t>
      </w:r>
      <w:r w:rsidRPr="001D23B6">
        <w:rPr>
          <w:rFonts w:ascii="Times New Roman" w:hAnsi="Times New Roman" w:cs="Times New Roman"/>
        </w:rPr>
        <w:t xml:space="preserve">r² = 0.64, F = 12.40, p ≤ 0.01), where low-impacted </w:t>
      </w:r>
      <w:r w:rsidR="008A3D69">
        <w:rPr>
          <w:rFonts w:ascii="Times New Roman" w:hAnsi="Times New Roman" w:cs="Times New Roman"/>
        </w:rPr>
        <w:t>early successional vegetation</w:t>
      </w:r>
      <w:r w:rsidRPr="001D23B6">
        <w:rPr>
          <w:rFonts w:ascii="Times New Roman" w:hAnsi="Times New Roman" w:cs="Times New Roman"/>
        </w:rPr>
        <w:t xml:space="preserve"> (LIE) had the highest species richness observed (mean = 27.6, variance = 7.8), followed by high-impact early successional (HIE) plots (mean = 25.4, variance = 41.3). Furthermore, bird abundances varied significantly across </w:t>
      </w:r>
      <w:r w:rsidR="008A3D69">
        <w:rPr>
          <w:rFonts w:ascii="Times New Roman" w:hAnsi="Times New Roman" w:cs="Times New Roman"/>
        </w:rPr>
        <w:t>habitats</w:t>
      </w:r>
      <w:r w:rsidRPr="001D23B6">
        <w:rPr>
          <w:rFonts w:ascii="Times New Roman" w:hAnsi="Times New Roman" w:cs="Times New Roman"/>
        </w:rPr>
        <w:t xml:space="preserve"> (r² = 0.43, F = 5.70, p ≤ 0.01), where the highest bird abundances were recorded in HIE (mean = 56.8, variance = 796) and LIE plots (mean = 66.6, variance = 134.3), while SEC and OG plots had comparatively lower bird numbers (SEC: mean = 37.8, variance = 123.7; OG: mean = 26.8, variance = 83.7).</w:t>
      </w:r>
    </w:p>
    <w:p w14:paraId="26D0B617" w14:textId="0022EFF3" w:rsidR="00206AF7" w:rsidRDefault="001D23B6" w:rsidP="00D77075">
      <w:pPr>
        <w:spacing w:before="0" w:after="0"/>
        <w:ind w:firstLine="720"/>
        <w:rPr>
          <w:rFonts w:ascii="Times New Roman" w:hAnsi="Times New Roman" w:cs="Times New Roman"/>
        </w:rPr>
      </w:pPr>
      <w:r w:rsidRPr="001D23B6">
        <w:rPr>
          <w:rFonts w:ascii="Times New Roman" w:hAnsi="Times New Roman" w:cs="Times New Roman"/>
        </w:rPr>
        <w:t>Both canopy cover and canopy height were higher in older forests (SEC and OG) than in younger sites (HIE and LIE) (cover: r² = 0.83, p ≤ 0.01, height: r² = 0.83, p ≤ 0.01, height) (Table</w:t>
      </w:r>
      <w:r w:rsidR="009A02AB">
        <w:rPr>
          <w:rFonts w:ascii="Times New Roman" w:hAnsi="Times New Roman" w:cs="Times New Roman"/>
        </w:rPr>
        <w:t xml:space="preserve"> 4</w:t>
      </w:r>
      <w:r w:rsidRPr="001D23B6">
        <w:rPr>
          <w:rFonts w:ascii="Times New Roman" w:hAnsi="Times New Roman" w:cs="Times New Roman"/>
        </w:rPr>
        <w:t xml:space="preserve">). Elevation was also different across </w:t>
      </w:r>
      <w:r w:rsidR="008A3D69">
        <w:rPr>
          <w:rFonts w:ascii="Times New Roman" w:hAnsi="Times New Roman" w:cs="Times New Roman"/>
        </w:rPr>
        <w:t>habitats</w:t>
      </w:r>
      <w:r w:rsidRPr="001D23B6">
        <w:rPr>
          <w:rFonts w:ascii="Times New Roman" w:hAnsi="Times New Roman" w:cs="Times New Roman"/>
        </w:rPr>
        <w:t xml:space="preserve">, where younger sites (HIE and LIE) were lower in elevation than older sites (SEC and OG) (r² = 0.63, p ≤ 0.01). Considering communities of understory birds </w:t>
      </w:r>
      <w:r w:rsidR="008A3D69">
        <w:rPr>
          <w:rFonts w:ascii="Times New Roman" w:hAnsi="Times New Roman" w:cs="Times New Roman"/>
        </w:rPr>
        <w:t>across habitats</w:t>
      </w:r>
      <w:r w:rsidRPr="001D23B6">
        <w:rPr>
          <w:rFonts w:ascii="Times New Roman" w:hAnsi="Times New Roman" w:cs="Times New Roman"/>
        </w:rPr>
        <w:t>, canopy height was the biggest predictor of community differences in terms of environmental variables (</w:t>
      </w:r>
      <w:r w:rsidRPr="001D23B6">
        <w:rPr>
          <w:rStyle w:val="normaltextrun"/>
          <w:rFonts w:ascii="Times New Roman" w:hAnsi="Times New Roman" w:cs="Times New Roman"/>
        </w:rPr>
        <w:t>variance</w:t>
      </w:r>
      <w:r w:rsidRPr="001D23B6">
        <w:rPr>
          <w:rFonts w:ascii="Times New Roman" w:hAnsi="Times New Roman" w:cs="Times New Roman"/>
        </w:rPr>
        <w:t xml:space="preserve"> = 0.16, F = 5.82, p ≤ 0.01). Canopy height demonstrated strong associations with RDA 1 (0.98), whereas canopy cover exhibited a weaker and non-significant positive relationship with RDA 1 (0.98) and RDA 2 (0.05) (</w:t>
      </w:r>
      <w:r w:rsidRPr="001D23B6">
        <w:rPr>
          <w:rStyle w:val="normaltextrun"/>
          <w:rFonts w:ascii="Times New Roman" w:hAnsi="Times New Roman" w:cs="Times New Roman"/>
        </w:rPr>
        <w:t>variance</w:t>
      </w:r>
      <w:r w:rsidRPr="001D23B6">
        <w:rPr>
          <w:rFonts w:ascii="Times New Roman" w:hAnsi="Times New Roman" w:cs="Times New Roman"/>
        </w:rPr>
        <w:t xml:space="preserve"> = 0.02, F = 0.92, p = 0.47). Elevation also had a non-significant relationship (</w:t>
      </w:r>
      <w:r w:rsidRPr="001D23B6">
        <w:rPr>
          <w:rStyle w:val="normaltextrun"/>
          <w:rFonts w:ascii="Times New Roman" w:hAnsi="Times New Roman" w:cs="Times New Roman"/>
        </w:rPr>
        <w:t>variance</w:t>
      </w:r>
      <w:r w:rsidRPr="001D23B6">
        <w:rPr>
          <w:rFonts w:ascii="Times New Roman" w:hAnsi="Times New Roman" w:cs="Times New Roman"/>
        </w:rPr>
        <w:t xml:space="preserve"> = 0.03, F = 0.98, p = 0.36) with RDA 1 (0.53) and RDA 2 (-0.85) suggesting a lesser influence on the observed variation in the dataset. Constrained variables explained about 35.4% of the total variance in our RDA. </w:t>
      </w:r>
    </w:p>
    <w:p w14:paraId="2A932CA0" w14:textId="3ED436F2" w:rsidR="0067192F" w:rsidRDefault="002001DF" w:rsidP="00D77075">
      <w:pPr>
        <w:spacing w:before="0" w:after="0"/>
        <w:ind w:firstLine="720"/>
        <w:rPr>
          <w:rFonts w:ascii="Times New Roman" w:hAnsi="Times New Roman" w:cs="Times New Roman"/>
        </w:rPr>
      </w:pPr>
      <w:r w:rsidRPr="001C759D">
        <w:rPr>
          <w:rFonts w:ascii="Times New Roman" w:hAnsi="Times New Roman" w:cs="Times New Roman"/>
        </w:rPr>
        <w:t>Both taxonomic and functional diversity of understory bird communities differed as a</w:t>
      </w:r>
      <w:r w:rsidR="001C759D" w:rsidRPr="001C759D">
        <w:rPr>
          <w:rFonts w:ascii="Times New Roman" w:hAnsi="Times New Roman" w:cs="Times New Roman"/>
        </w:rPr>
        <w:t xml:space="preserve"> </w:t>
      </w:r>
      <w:r w:rsidR="0067192F" w:rsidRPr="006635C3">
        <w:rPr>
          <w:rFonts w:ascii="Times New Roman" w:hAnsi="Times New Roman" w:cs="Times New Roman"/>
        </w:rPr>
        <w:t>function of regeneration stage (</w:t>
      </w:r>
      <w:r w:rsidR="0067192F" w:rsidRPr="003022FF">
        <w:rPr>
          <w:rFonts w:ascii="Times New Roman" w:hAnsi="Times New Roman" w:cs="Times New Roman"/>
          <w:b/>
          <w:bCs/>
        </w:rPr>
        <w:t>Supplementary Table 3</w:t>
      </w:r>
      <w:r w:rsidR="0067192F" w:rsidRPr="006635C3">
        <w:rPr>
          <w:rFonts w:ascii="Times New Roman" w:hAnsi="Times New Roman" w:cs="Times New Roman"/>
        </w:rPr>
        <w:t>). Expected species richness (Q</w:t>
      </w:r>
      <w:r w:rsidR="0067192F" w:rsidRPr="006635C3">
        <w:rPr>
          <w:rFonts w:ascii="Times New Roman" w:hAnsi="Times New Roman" w:cs="Times New Roman"/>
          <w:vertAlign w:val="subscript"/>
        </w:rPr>
        <w:t>0</w:t>
      </w:r>
      <w:r w:rsidR="0067192F" w:rsidRPr="006635C3">
        <w:rPr>
          <w:rFonts w:ascii="Times New Roman" w:hAnsi="Times New Roman" w:cs="Times New Roman"/>
        </w:rPr>
        <w:t>) and</w:t>
      </w:r>
      <w:r w:rsidR="00D77075" w:rsidRPr="00D77075">
        <w:rPr>
          <w:rFonts w:ascii="Times New Roman" w:hAnsi="Times New Roman" w:cs="Times New Roman"/>
        </w:rPr>
        <w:t xml:space="preserve"> </w:t>
      </w:r>
      <w:r w:rsidR="00D77075" w:rsidRPr="006635C3">
        <w:rPr>
          <w:rFonts w:ascii="Times New Roman" w:hAnsi="Times New Roman" w:cs="Times New Roman"/>
        </w:rPr>
        <w:t>species diversity (</w:t>
      </w:r>
      <w:r w:rsidR="00D77075" w:rsidRPr="006635C3">
        <w:rPr>
          <w:rFonts w:ascii="Times New Roman" w:hAnsi="Times New Roman" w:cs="Times New Roman"/>
          <w:color w:val="000000"/>
        </w:rPr>
        <w:t>Q</w:t>
      </w:r>
      <w:r w:rsidR="00D77075" w:rsidRPr="006635C3">
        <w:rPr>
          <w:rFonts w:ascii="Times New Roman" w:hAnsi="Times New Roman" w:cs="Times New Roman"/>
          <w:color w:val="000000"/>
          <w:vertAlign w:val="subscript"/>
        </w:rPr>
        <w:t>1</w:t>
      </w:r>
      <w:r w:rsidR="00D77075" w:rsidRPr="006635C3">
        <w:rPr>
          <w:rFonts w:ascii="Times New Roman" w:hAnsi="Times New Roman" w:cs="Times New Roman"/>
        </w:rPr>
        <w:t>) were highest in</w:t>
      </w:r>
      <w:r w:rsidR="00D77075">
        <w:rPr>
          <w:rFonts w:ascii="Times New Roman" w:hAnsi="Times New Roman" w:cs="Times New Roman"/>
        </w:rPr>
        <w:t xml:space="preserve"> HIE and</w:t>
      </w:r>
      <w:r w:rsidR="00D77075" w:rsidRPr="006635C3">
        <w:rPr>
          <w:rFonts w:ascii="Times New Roman" w:hAnsi="Times New Roman" w:cs="Times New Roman"/>
        </w:rPr>
        <w:t xml:space="preserve"> </w:t>
      </w:r>
      <w:r w:rsidR="00D77075">
        <w:rPr>
          <w:rFonts w:ascii="Times New Roman" w:hAnsi="Times New Roman" w:cs="Times New Roman"/>
        </w:rPr>
        <w:t xml:space="preserve">LIE </w:t>
      </w:r>
      <w:r w:rsidR="00D77075" w:rsidRPr="006635C3">
        <w:rPr>
          <w:rFonts w:ascii="Times New Roman" w:hAnsi="Times New Roman" w:cs="Times New Roman"/>
        </w:rPr>
        <w:t xml:space="preserve">sites and declined in </w:t>
      </w:r>
      <w:r w:rsidR="00D77075">
        <w:rPr>
          <w:rFonts w:ascii="Times New Roman" w:hAnsi="Times New Roman" w:cs="Times New Roman"/>
        </w:rPr>
        <w:t xml:space="preserve">SEC and OG forests </w:t>
      </w:r>
      <w:r w:rsidR="00D77075" w:rsidRPr="006635C3">
        <w:rPr>
          <w:rFonts w:ascii="Times New Roman" w:hAnsi="Times New Roman" w:cs="Times New Roman"/>
        </w:rPr>
        <w:t>(</w:t>
      </w:r>
      <w:r w:rsidR="00D77075" w:rsidRPr="003022FF">
        <w:rPr>
          <w:rFonts w:ascii="Times New Roman" w:hAnsi="Times New Roman" w:cs="Times New Roman"/>
          <w:b/>
          <w:bCs/>
        </w:rPr>
        <w:t>Figure 5</w:t>
      </w:r>
      <w:r w:rsidR="00D77075" w:rsidRPr="006635C3">
        <w:rPr>
          <w:rFonts w:ascii="Times New Roman" w:hAnsi="Times New Roman" w:cs="Times New Roman"/>
        </w:rPr>
        <w:t xml:space="preserve">). In contract, when minimizing the influence </w:t>
      </w:r>
      <w:r w:rsidR="00D77075">
        <w:rPr>
          <w:rFonts w:ascii="Times New Roman" w:hAnsi="Times New Roman" w:cs="Times New Roman"/>
        </w:rPr>
        <w:t xml:space="preserve">of </w:t>
      </w:r>
      <w:r w:rsidR="00D77075" w:rsidRPr="006635C3">
        <w:rPr>
          <w:rFonts w:ascii="Times New Roman" w:hAnsi="Times New Roman" w:cs="Times New Roman"/>
        </w:rPr>
        <w:t>rarer species using Inverse Simpson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872EE" w:rsidRPr="00B066C6" w14:paraId="46883B4D" w14:textId="77777777" w:rsidTr="008E3F64">
        <w:tc>
          <w:tcPr>
            <w:tcW w:w="9350" w:type="dxa"/>
          </w:tcPr>
          <w:p w14:paraId="4109DC0F" w14:textId="77777777" w:rsidR="00B872EE" w:rsidRDefault="00B872EE" w:rsidP="008E3F64">
            <w:pPr>
              <w:spacing w:line="360" w:lineRule="auto"/>
              <w:rPr>
                <w:rFonts w:ascii="Times New Roman" w:hAnsi="Times New Roman" w:cs="Times New Roman"/>
                <w:b/>
                <w:bCs/>
                <w:i/>
                <w:iCs/>
              </w:rPr>
            </w:pPr>
          </w:p>
          <w:p w14:paraId="77099AE5" w14:textId="505BB69D" w:rsidR="0067192F" w:rsidRPr="00B066C6" w:rsidRDefault="0067192F" w:rsidP="008E3F64">
            <w:pPr>
              <w:spacing w:line="360" w:lineRule="auto"/>
              <w:rPr>
                <w:rFonts w:ascii="Times New Roman" w:hAnsi="Times New Roman" w:cs="Times New Roman"/>
                <w:b/>
                <w:bCs/>
                <w:i/>
                <w:iCs/>
              </w:rPr>
            </w:pPr>
          </w:p>
        </w:tc>
      </w:tr>
      <w:tr w:rsidR="00B872EE" w:rsidRPr="00B066C6" w14:paraId="0C3C3BDB" w14:textId="77777777" w:rsidTr="008E3F64">
        <w:tc>
          <w:tcPr>
            <w:tcW w:w="9350" w:type="dxa"/>
          </w:tcPr>
          <w:p w14:paraId="0B27F6A0" w14:textId="172D0250" w:rsidR="00BD78DC" w:rsidRDefault="00BD78DC" w:rsidP="008E3F64">
            <w:pPr>
              <w:pStyle w:val="Caption"/>
              <w:spacing w:line="276" w:lineRule="auto"/>
              <w:rPr>
                <w:rFonts w:ascii="Times New Roman" w:hAnsi="Times New Roman" w:cs="Times New Roman"/>
                <w:b/>
                <w:bCs/>
                <w:i w:val="0"/>
                <w:iCs w:val="0"/>
                <w:color w:val="auto"/>
                <w:sz w:val="24"/>
                <w:szCs w:val="24"/>
              </w:rPr>
            </w:pPr>
            <w:r>
              <w:rPr>
                <w:rFonts w:ascii="Arial" w:hAnsi="Arial" w:cs="Arial"/>
                <w:noProof/>
                <w:sz w:val="20"/>
                <w:szCs w:val="20"/>
              </w:rPr>
              <w:drawing>
                <wp:inline distT="0" distB="0" distL="0" distR="0" wp14:anchorId="34BE74A8" wp14:editId="098E1059">
                  <wp:extent cx="5517636" cy="4283242"/>
                  <wp:effectExtent l="0" t="0" r="0" b="0"/>
                  <wp:docPr id="1693153987" name="Picture 1" descr="A graph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53987" name="Picture 1" descr="A graph of a diagram&#10;&#10;AI-generated content may be incorrect."/>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522213" cy="4286795"/>
                          </a:xfrm>
                          <a:prstGeom prst="rect">
                            <a:avLst/>
                          </a:prstGeom>
                        </pic:spPr>
                      </pic:pic>
                    </a:graphicData>
                  </a:graphic>
                </wp:inline>
              </w:drawing>
            </w:r>
          </w:p>
          <w:p w14:paraId="7357D967" w14:textId="461E1567" w:rsidR="00B872EE" w:rsidRPr="00B066C6" w:rsidRDefault="00B872EE" w:rsidP="00D77075">
            <w:pPr>
              <w:pStyle w:val="Caption"/>
              <w:rPr>
                <w:rFonts w:ascii="Times New Roman" w:hAnsi="Times New Roman" w:cs="Times New Roman"/>
                <w:i w:val="0"/>
                <w:iCs w:val="0"/>
                <w:sz w:val="24"/>
                <w:szCs w:val="24"/>
              </w:rPr>
            </w:pPr>
            <w:bookmarkStart w:id="91" w:name="_Toc195189741"/>
            <w:r w:rsidRPr="00B066C6">
              <w:rPr>
                <w:rFonts w:ascii="Times New Roman" w:hAnsi="Times New Roman" w:cs="Times New Roman"/>
                <w:b/>
                <w:bCs/>
                <w:i w:val="0"/>
                <w:iCs w:val="0"/>
                <w:color w:val="auto"/>
                <w:sz w:val="24"/>
                <w:szCs w:val="24"/>
              </w:rPr>
              <w:t xml:space="preserve">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Figure \* ARABIC </w:instrText>
            </w:r>
            <w:r w:rsidRPr="00B066C6">
              <w:rPr>
                <w:rFonts w:ascii="Times New Roman" w:hAnsi="Times New Roman" w:cs="Times New Roman"/>
                <w:b/>
                <w:bCs/>
                <w:i w:val="0"/>
                <w:iCs w:val="0"/>
                <w:color w:val="auto"/>
                <w:sz w:val="24"/>
                <w:szCs w:val="24"/>
              </w:rPr>
              <w:fldChar w:fldCharType="separate"/>
            </w:r>
            <w:r w:rsidRPr="00B066C6">
              <w:rPr>
                <w:rFonts w:ascii="Times New Roman" w:hAnsi="Times New Roman" w:cs="Times New Roman"/>
                <w:b/>
                <w:bCs/>
                <w:i w:val="0"/>
                <w:iCs w:val="0"/>
                <w:noProof/>
                <w:color w:val="auto"/>
                <w:sz w:val="24"/>
                <w:szCs w:val="24"/>
              </w:rPr>
              <w:t>4</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w:t>
            </w:r>
            <w:r w:rsidRPr="00B066C6">
              <w:rPr>
                <w:rStyle w:val="eop"/>
                <w:rFonts w:ascii="Times New Roman" w:eastAsiaTheme="majorEastAsia" w:hAnsi="Times New Roman" w:cs="Times New Roman"/>
                <w:i w:val="0"/>
                <w:iCs w:val="0"/>
                <w:color w:val="auto"/>
                <w:sz w:val="24"/>
                <w:szCs w:val="24"/>
              </w:rPr>
              <w:t>Redundancy Analysis (RDA) biplot of bird community composition</w:t>
            </w:r>
            <w:r w:rsidRPr="00B066C6">
              <w:rPr>
                <w:rFonts w:ascii="Times New Roman" w:hAnsi="Times New Roman" w:cs="Times New Roman"/>
                <w:i w:val="0"/>
                <w:iCs w:val="0"/>
                <w:color w:val="auto"/>
                <w:sz w:val="24"/>
                <w:szCs w:val="24"/>
              </w:rPr>
              <w:t xml:space="preserve"> constrained by selected environmental variables (canopy cover, canopy height, and elevation), and grouped by regeneration stage (</w:t>
            </w:r>
            <w:r w:rsidRPr="00B066C6">
              <w:rPr>
                <w:rFonts w:ascii="Times New Roman" w:hAnsi="Times New Roman" w:cs="Times New Roman"/>
                <w:i w:val="0"/>
                <w:iCs w:val="0"/>
                <w:color w:val="auto"/>
                <w:sz w:val="24"/>
                <w:szCs w:val="24"/>
                <w:shd w:val="clear" w:color="auto" w:fill="FFFFFF"/>
              </w:rPr>
              <w:t>highly impacted early successional habitat (HIE, blue), low impact early successional habitat (LIE, green), mid-successional secondary forest (SEC, orange), and old growth Chocó Rainforest (OG, purple)</w:t>
            </w:r>
            <w:r w:rsidRPr="00B066C6">
              <w:rPr>
                <w:rFonts w:ascii="Times New Roman" w:hAnsi="Times New Roman" w:cs="Times New Roman"/>
                <w:i w:val="0"/>
                <w:iCs w:val="0"/>
                <w:color w:val="auto"/>
                <w:sz w:val="24"/>
                <w:szCs w:val="24"/>
              </w:rPr>
              <w:t>. Points in the plot represent communities or individual plots and blue arrows represent environmental variables. The x-axis (RDA1) explains 28.6% of the variation in bird community composition. The y-axis (RDA2) explains 6.8% of the variation. The direction and length of the arrows indicate the strength and direction of the relationship between each environmental variable and the ordination axes. Samples located in the same direction as an arrow are positively associated with that environmental variable.</w:t>
            </w:r>
            <w:bookmarkEnd w:id="91"/>
          </w:p>
        </w:tc>
      </w:tr>
    </w:tbl>
    <w:p w14:paraId="4F1FF945" w14:textId="52BF3E28" w:rsidR="00BD78DC" w:rsidRDefault="00BD78DC">
      <w:pPr>
        <w:rPr>
          <w:rFonts w:ascii="Times New Roman" w:hAnsi="Times New Roman" w:cs="Times New Roman"/>
        </w:rPr>
      </w:pPr>
    </w:p>
    <w:p w14:paraId="0DC05CA6" w14:textId="77777777" w:rsidR="00BD78DC" w:rsidRDefault="00BD78DC">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9A02AB" w:rsidRPr="00B066C6" w14:paraId="559D614F" w14:textId="77777777" w:rsidTr="008E3F64">
        <w:tc>
          <w:tcPr>
            <w:tcW w:w="9350" w:type="dxa"/>
            <w:gridSpan w:val="6"/>
            <w:tcBorders>
              <w:top w:val="nil"/>
              <w:left w:val="nil"/>
              <w:bottom w:val="single" w:sz="4" w:space="0" w:color="auto"/>
              <w:right w:val="nil"/>
            </w:tcBorders>
            <w:vAlign w:val="center"/>
          </w:tcPr>
          <w:p w14:paraId="795F3C68" w14:textId="409A2D65" w:rsidR="009A02AB" w:rsidRPr="00B066C6" w:rsidRDefault="009A02AB" w:rsidP="00D77075">
            <w:pPr>
              <w:pStyle w:val="Caption"/>
              <w:keepNext/>
              <w:rPr>
                <w:rFonts w:ascii="Times New Roman" w:hAnsi="Times New Roman" w:cs="Times New Roman"/>
                <w:i w:val="0"/>
                <w:iCs w:val="0"/>
                <w:sz w:val="24"/>
                <w:szCs w:val="24"/>
              </w:rPr>
            </w:pPr>
            <w:bookmarkStart w:id="92" w:name="_Toc195189689"/>
            <w:r w:rsidRPr="00B066C6">
              <w:rPr>
                <w:rFonts w:ascii="Times New Roman" w:hAnsi="Times New Roman" w:cs="Times New Roman"/>
                <w:b/>
                <w:bCs/>
                <w:i w:val="0"/>
                <w:iCs w:val="0"/>
                <w:color w:val="auto"/>
                <w:sz w:val="24"/>
                <w:szCs w:val="24"/>
              </w:rPr>
              <w:lastRenderedPageBreak/>
              <w:t xml:space="preserve">Table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Table \* ARABIC </w:instrText>
            </w:r>
            <w:r w:rsidRPr="00B066C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Ve</w:t>
            </w:r>
            <w:r w:rsidRPr="00B066C6">
              <w:rPr>
                <w:rFonts w:ascii="Times New Roman" w:eastAsiaTheme="minorEastAsia" w:hAnsi="Times New Roman" w:cs="Times New Roman"/>
                <w:i w:val="0"/>
                <w:iCs w:val="0"/>
                <w:color w:val="auto"/>
                <w:sz w:val="24"/>
                <w:szCs w:val="24"/>
              </w:rPr>
              <w:t xml:space="preserve">getation indices calculated from LiDAR data captured by drone within the FCAT Reserve. This included canopy height (m), canopy cover (%), canopy openness (%), and elevation (m-asl). “Stage” represents the four </w:t>
            </w:r>
            <w:proofErr w:type="spellStart"/>
            <w:r w:rsidR="008A3D69">
              <w:rPr>
                <w:rFonts w:ascii="Times New Roman" w:eastAsiaTheme="minorEastAsia" w:hAnsi="Times New Roman" w:cs="Times New Roman"/>
                <w:i w:val="0"/>
                <w:iCs w:val="0"/>
                <w:color w:val="auto"/>
                <w:sz w:val="24"/>
                <w:szCs w:val="24"/>
              </w:rPr>
              <w:t>habiats</w:t>
            </w:r>
            <w:proofErr w:type="spellEnd"/>
            <w:r w:rsidRPr="00B066C6">
              <w:rPr>
                <w:rFonts w:ascii="Times New Roman" w:eastAsiaTheme="minorEastAsia" w:hAnsi="Times New Roman" w:cs="Times New Roman"/>
                <w:i w:val="0"/>
                <w:iCs w:val="0"/>
                <w:color w:val="auto"/>
                <w:sz w:val="24"/>
                <w:szCs w:val="24"/>
              </w:rPr>
              <w:t xml:space="preserve">: </w:t>
            </w:r>
            <w:r w:rsidRPr="00B066C6">
              <w:rPr>
                <w:rFonts w:ascii="Times New Roman" w:hAnsi="Times New Roman" w:cs="Times New Roman"/>
                <w:i w:val="0"/>
                <w:iCs w:val="0"/>
                <w:color w:val="auto"/>
                <w:sz w:val="24"/>
                <w:szCs w:val="24"/>
                <w:shd w:val="clear" w:color="auto" w:fill="FFFFFF"/>
              </w:rPr>
              <w:t>highly impacted early successional habitat (HIE), low impact early successional habitat (LIE), mid-successional secondary forest (SEC), and old growth Chocó Rainforest (OG).</w:t>
            </w:r>
            <w:bookmarkEnd w:id="92"/>
          </w:p>
        </w:tc>
      </w:tr>
      <w:tr w:rsidR="009A02AB" w:rsidRPr="00B066C6" w14:paraId="278BC6A4" w14:textId="77777777" w:rsidTr="008E3F64">
        <w:tc>
          <w:tcPr>
            <w:tcW w:w="1558" w:type="dxa"/>
            <w:tcBorders>
              <w:top w:val="single" w:sz="4" w:space="0" w:color="auto"/>
            </w:tcBorders>
            <w:vAlign w:val="center"/>
          </w:tcPr>
          <w:p w14:paraId="11AAF363" w14:textId="77777777" w:rsidR="009A02AB" w:rsidRPr="00B066C6" w:rsidRDefault="009A02AB" w:rsidP="00EB4834">
            <w:pPr>
              <w:spacing w:after="160"/>
              <w:jc w:val="center"/>
              <w:rPr>
                <w:rFonts w:ascii="Times New Roman" w:hAnsi="Times New Roman" w:cs="Times New Roman"/>
                <w:b/>
                <w:bCs/>
              </w:rPr>
            </w:pPr>
            <w:r w:rsidRPr="00B066C6">
              <w:rPr>
                <w:rFonts w:ascii="Times New Roman" w:hAnsi="Times New Roman" w:cs="Times New Roman"/>
                <w:b/>
                <w:bCs/>
                <w:color w:val="000000"/>
              </w:rPr>
              <w:t>Stage</w:t>
            </w:r>
          </w:p>
        </w:tc>
        <w:tc>
          <w:tcPr>
            <w:tcW w:w="1558" w:type="dxa"/>
            <w:tcBorders>
              <w:top w:val="single" w:sz="4" w:space="0" w:color="auto"/>
            </w:tcBorders>
            <w:vAlign w:val="center"/>
          </w:tcPr>
          <w:p w14:paraId="6647CEB7" w14:textId="77777777" w:rsidR="009A02AB" w:rsidRPr="00B066C6" w:rsidRDefault="009A02AB" w:rsidP="00EB4834">
            <w:pPr>
              <w:spacing w:after="160"/>
              <w:jc w:val="center"/>
              <w:rPr>
                <w:rFonts w:ascii="Times New Roman" w:hAnsi="Times New Roman" w:cs="Times New Roman"/>
                <w:b/>
                <w:bCs/>
              </w:rPr>
            </w:pPr>
            <w:r w:rsidRPr="00B066C6">
              <w:rPr>
                <w:rFonts w:ascii="Times New Roman" w:hAnsi="Times New Roman" w:cs="Times New Roman"/>
                <w:b/>
                <w:bCs/>
                <w:color w:val="000000"/>
              </w:rPr>
              <w:t>Value</w:t>
            </w:r>
          </w:p>
        </w:tc>
        <w:tc>
          <w:tcPr>
            <w:tcW w:w="1558" w:type="dxa"/>
            <w:tcBorders>
              <w:top w:val="single" w:sz="4" w:space="0" w:color="auto"/>
            </w:tcBorders>
            <w:vAlign w:val="center"/>
          </w:tcPr>
          <w:p w14:paraId="6BD233B2" w14:textId="77777777" w:rsidR="009A02AB" w:rsidRPr="00B066C6" w:rsidRDefault="009A02AB" w:rsidP="00EB4834">
            <w:pPr>
              <w:spacing w:after="160"/>
              <w:jc w:val="center"/>
              <w:rPr>
                <w:rFonts w:ascii="Times New Roman" w:hAnsi="Times New Roman" w:cs="Times New Roman"/>
                <w:b/>
                <w:bCs/>
              </w:rPr>
            </w:pPr>
            <w:r w:rsidRPr="00B066C6">
              <w:rPr>
                <w:rFonts w:ascii="Times New Roman" w:hAnsi="Times New Roman" w:cs="Times New Roman"/>
                <w:b/>
                <w:bCs/>
                <w:color w:val="000000"/>
              </w:rPr>
              <w:t>Canopy Height (m)</w:t>
            </w:r>
          </w:p>
        </w:tc>
        <w:tc>
          <w:tcPr>
            <w:tcW w:w="1558" w:type="dxa"/>
            <w:tcBorders>
              <w:top w:val="single" w:sz="4" w:space="0" w:color="auto"/>
            </w:tcBorders>
            <w:vAlign w:val="center"/>
          </w:tcPr>
          <w:p w14:paraId="7A161F1C" w14:textId="77777777" w:rsidR="009A02AB" w:rsidRPr="00B066C6" w:rsidRDefault="009A02AB" w:rsidP="00EB4834">
            <w:pPr>
              <w:spacing w:after="160"/>
              <w:jc w:val="center"/>
              <w:rPr>
                <w:rFonts w:ascii="Times New Roman" w:hAnsi="Times New Roman" w:cs="Times New Roman"/>
                <w:b/>
                <w:bCs/>
              </w:rPr>
            </w:pPr>
            <w:r w:rsidRPr="00B066C6">
              <w:rPr>
                <w:rFonts w:ascii="Times New Roman" w:hAnsi="Times New Roman" w:cs="Times New Roman"/>
                <w:b/>
                <w:bCs/>
                <w:color w:val="000000"/>
              </w:rPr>
              <w:t>Canopy Cover (%)</w:t>
            </w:r>
          </w:p>
        </w:tc>
        <w:tc>
          <w:tcPr>
            <w:tcW w:w="1559" w:type="dxa"/>
            <w:tcBorders>
              <w:top w:val="single" w:sz="4" w:space="0" w:color="auto"/>
            </w:tcBorders>
            <w:vAlign w:val="center"/>
          </w:tcPr>
          <w:p w14:paraId="3DB46125" w14:textId="77777777" w:rsidR="009A02AB" w:rsidRPr="00B066C6" w:rsidRDefault="009A02AB" w:rsidP="00EB4834">
            <w:pPr>
              <w:spacing w:after="160"/>
              <w:jc w:val="center"/>
              <w:rPr>
                <w:rFonts w:ascii="Times New Roman" w:hAnsi="Times New Roman" w:cs="Times New Roman"/>
                <w:b/>
                <w:bCs/>
              </w:rPr>
            </w:pPr>
            <w:r w:rsidRPr="00B066C6">
              <w:rPr>
                <w:rFonts w:ascii="Times New Roman" w:hAnsi="Times New Roman" w:cs="Times New Roman"/>
                <w:b/>
                <w:bCs/>
                <w:color w:val="000000"/>
              </w:rPr>
              <w:t>Canopy Openness (%)</w:t>
            </w:r>
          </w:p>
        </w:tc>
        <w:tc>
          <w:tcPr>
            <w:tcW w:w="1559" w:type="dxa"/>
            <w:tcBorders>
              <w:top w:val="single" w:sz="4" w:space="0" w:color="auto"/>
            </w:tcBorders>
            <w:vAlign w:val="center"/>
          </w:tcPr>
          <w:p w14:paraId="4BFF988A" w14:textId="77777777" w:rsidR="009A02AB" w:rsidRPr="00B066C6" w:rsidRDefault="009A02AB" w:rsidP="00EB4834">
            <w:pPr>
              <w:spacing w:after="160"/>
              <w:jc w:val="center"/>
              <w:rPr>
                <w:rFonts w:ascii="Times New Roman" w:hAnsi="Times New Roman" w:cs="Times New Roman"/>
                <w:b/>
                <w:bCs/>
              </w:rPr>
            </w:pPr>
            <w:r w:rsidRPr="00B066C6">
              <w:rPr>
                <w:rFonts w:ascii="Times New Roman" w:hAnsi="Times New Roman" w:cs="Times New Roman"/>
                <w:b/>
                <w:bCs/>
                <w:color w:val="000000"/>
              </w:rPr>
              <w:t>Elevation (m-asl)</w:t>
            </w:r>
          </w:p>
        </w:tc>
      </w:tr>
      <w:tr w:rsidR="009A02AB" w:rsidRPr="00B066C6" w14:paraId="31E43244" w14:textId="77777777" w:rsidTr="008E3F64">
        <w:tc>
          <w:tcPr>
            <w:tcW w:w="1558" w:type="dxa"/>
            <w:vMerge w:val="restart"/>
            <w:shd w:val="clear" w:color="auto" w:fill="BFBFBF" w:themeFill="background1" w:themeFillShade="BF"/>
            <w:vAlign w:val="center"/>
          </w:tcPr>
          <w:p w14:paraId="3850599F"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HIE</w:t>
            </w:r>
          </w:p>
        </w:tc>
        <w:tc>
          <w:tcPr>
            <w:tcW w:w="1558" w:type="dxa"/>
            <w:shd w:val="clear" w:color="auto" w:fill="BFBFBF" w:themeFill="background1" w:themeFillShade="BF"/>
            <w:vAlign w:val="center"/>
          </w:tcPr>
          <w:p w14:paraId="7D8AECA5"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Mean</w:t>
            </w:r>
          </w:p>
        </w:tc>
        <w:tc>
          <w:tcPr>
            <w:tcW w:w="1558" w:type="dxa"/>
            <w:shd w:val="clear" w:color="auto" w:fill="BFBFBF" w:themeFill="background1" w:themeFillShade="BF"/>
            <w:vAlign w:val="center"/>
          </w:tcPr>
          <w:p w14:paraId="55A56582"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6.84</w:t>
            </w:r>
          </w:p>
        </w:tc>
        <w:tc>
          <w:tcPr>
            <w:tcW w:w="1558" w:type="dxa"/>
            <w:shd w:val="clear" w:color="auto" w:fill="BFBFBF" w:themeFill="background1" w:themeFillShade="BF"/>
            <w:vAlign w:val="center"/>
          </w:tcPr>
          <w:p w14:paraId="453417E6"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7.59</w:t>
            </w:r>
          </w:p>
        </w:tc>
        <w:tc>
          <w:tcPr>
            <w:tcW w:w="1559" w:type="dxa"/>
            <w:shd w:val="clear" w:color="auto" w:fill="BFBFBF" w:themeFill="background1" w:themeFillShade="BF"/>
            <w:vAlign w:val="center"/>
          </w:tcPr>
          <w:p w14:paraId="7A85AD11"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12.22</w:t>
            </w:r>
          </w:p>
        </w:tc>
        <w:tc>
          <w:tcPr>
            <w:tcW w:w="1559" w:type="dxa"/>
            <w:shd w:val="clear" w:color="auto" w:fill="BFBFBF" w:themeFill="background1" w:themeFillShade="BF"/>
            <w:vAlign w:val="center"/>
          </w:tcPr>
          <w:p w14:paraId="754D4F32"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466.76</w:t>
            </w:r>
          </w:p>
        </w:tc>
      </w:tr>
      <w:tr w:rsidR="009A02AB" w:rsidRPr="00B066C6" w14:paraId="19B5175A" w14:textId="77777777" w:rsidTr="008E3F64">
        <w:tc>
          <w:tcPr>
            <w:tcW w:w="1558" w:type="dxa"/>
            <w:vMerge/>
            <w:shd w:val="clear" w:color="auto" w:fill="BFBFBF" w:themeFill="background1" w:themeFillShade="BF"/>
            <w:vAlign w:val="center"/>
          </w:tcPr>
          <w:p w14:paraId="1A693359" w14:textId="77777777" w:rsidR="009A02AB" w:rsidRPr="00B066C6" w:rsidRDefault="009A02AB" w:rsidP="00EB4834">
            <w:pPr>
              <w:spacing w:after="160"/>
              <w:jc w:val="center"/>
              <w:rPr>
                <w:rFonts w:ascii="Times New Roman" w:hAnsi="Times New Roman" w:cs="Times New Roman"/>
              </w:rPr>
            </w:pPr>
          </w:p>
        </w:tc>
        <w:tc>
          <w:tcPr>
            <w:tcW w:w="1558" w:type="dxa"/>
            <w:shd w:val="clear" w:color="auto" w:fill="BFBFBF" w:themeFill="background1" w:themeFillShade="BF"/>
            <w:vAlign w:val="center"/>
          </w:tcPr>
          <w:p w14:paraId="50E38C3D"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rPr>
              <w:t>Variance</w:t>
            </w:r>
          </w:p>
        </w:tc>
        <w:tc>
          <w:tcPr>
            <w:tcW w:w="1558" w:type="dxa"/>
            <w:shd w:val="clear" w:color="auto" w:fill="BFBFBF" w:themeFill="background1" w:themeFillShade="BF"/>
            <w:vAlign w:val="center"/>
          </w:tcPr>
          <w:p w14:paraId="4487CEC3"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3.11</w:t>
            </w:r>
          </w:p>
        </w:tc>
        <w:tc>
          <w:tcPr>
            <w:tcW w:w="1558" w:type="dxa"/>
            <w:shd w:val="clear" w:color="auto" w:fill="BFBFBF" w:themeFill="background1" w:themeFillShade="BF"/>
            <w:vAlign w:val="center"/>
          </w:tcPr>
          <w:p w14:paraId="2913D713"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4.56</w:t>
            </w:r>
          </w:p>
        </w:tc>
        <w:tc>
          <w:tcPr>
            <w:tcW w:w="1559" w:type="dxa"/>
            <w:shd w:val="clear" w:color="auto" w:fill="BFBFBF" w:themeFill="background1" w:themeFillShade="BF"/>
            <w:vAlign w:val="center"/>
          </w:tcPr>
          <w:p w14:paraId="792EAB45"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1.04</w:t>
            </w:r>
          </w:p>
        </w:tc>
        <w:tc>
          <w:tcPr>
            <w:tcW w:w="1559" w:type="dxa"/>
            <w:shd w:val="clear" w:color="auto" w:fill="BFBFBF" w:themeFill="background1" w:themeFillShade="BF"/>
            <w:vAlign w:val="center"/>
          </w:tcPr>
          <w:p w14:paraId="0E6D7F30"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1876.79</w:t>
            </w:r>
          </w:p>
        </w:tc>
      </w:tr>
      <w:tr w:rsidR="009A02AB" w:rsidRPr="00B066C6" w14:paraId="28D82FC3" w14:textId="77777777" w:rsidTr="008E3F64">
        <w:tc>
          <w:tcPr>
            <w:tcW w:w="1558" w:type="dxa"/>
            <w:vMerge w:val="restart"/>
            <w:vAlign w:val="center"/>
          </w:tcPr>
          <w:p w14:paraId="534D930A"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LIE</w:t>
            </w:r>
          </w:p>
        </w:tc>
        <w:tc>
          <w:tcPr>
            <w:tcW w:w="1558" w:type="dxa"/>
            <w:vAlign w:val="center"/>
          </w:tcPr>
          <w:p w14:paraId="620EBB13"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Mean</w:t>
            </w:r>
          </w:p>
        </w:tc>
        <w:tc>
          <w:tcPr>
            <w:tcW w:w="1558" w:type="dxa"/>
            <w:vAlign w:val="center"/>
          </w:tcPr>
          <w:p w14:paraId="6A2BBCF0"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4.93</w:t>
            </w:r>
          </w:p>
        </w:tc>
        <w:tc>
          <w:tcPr>
            <w:tcW w:w="1558" w:type="dxa"/>
            <w:vAlign w:val="center"/>
          </w:tcPr>
          <w:p w14:paraId="2AFC38C0"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11.31</w:t>
            </w:r>
          </w:p>
        </w:tc>
        <w:tc>
          <w:tcPr>
            <w:tcW w:w="1559" w:type="dxa"/>
            <w:vAlign w:val="center"/>
          </w:tcPr>
          <w:p w14:paraId="2919F75E"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14.12</w:t>
            </w:r>
          </w:p>
        </w:tc>
        <w:tc>
          <w:tcPr>
            <w:tcW w:w="1559" w:type="dxa"/>
            <w:vAlign w:val="center"/>
          </w:tcPr>
          <w:p w14:paraId="64338DEA"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539.94</w:t>
            </w:r>
          </w:p>
        </w:tc>
      </w:tr>
      <w:tr w:rsidR="009A02AB" w:rsidRPr="00B066C6" w14:paraId="3643CC2F" w14:textId="77777777" w:rsidTr="008E3F64">
        <w:tc>
          <w:tcPr>
            <w:tcW w:w="1558" w:type="dxa"/>
            <w:vMerge/>
            <w:vAlign w:val="center"/>
          </w:tcPr>
          <w:p w14:paraId="08AD18F2" w14:textId="77777777" w:rsidR="009A02AB" w:rsidRPr="00B066C6" w:rsidRDefault="009A02AB" w:rsidP="00EB4834">
            <w:pPr>
              <w:spacing w:after="160"/>
              <w:jc w:val="center"/>
              <w:rPr>
                <w:rFonts w:ascii="Times New Roman" w:hAnsi="Times New Roman" w:cs="Times New Roman"/>
              </w:rPr>
            </w:pPr>
          </w:p>
        </w:tc>
        <w:tc>
          <w:tcPr>
            <w:tcW w:w="1558" w:type="dxa"/>
            <w:vAlign w:val="center"/>
          </w:tcPr>
          <w:p w14:paraId="73A2ABDE"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rPr>
              <w:t>Variance</w:t>
            </w:r>
          </w:p>
        </w:tc>
        <w:tc>
          <w:tcPr>
            <w:tcW w:w="1558" w:type="dxa"/>
            <w:vAlign w:val="center"/>
          </w:tcPr>
          <w:p w14:paraId="42A84714"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0.33</w:t>
            </w:r>
          </w:p>
        </w:tc>
        <w:tc>
          <w:tcPr>
            <w:tcW w:w="1558" w:type="dxa"/>
            <w:vAlign w:val="center"/>
          </w:tcPr>
          <w:p w14:paraId="4CBBA59A"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18.87</w:t>
            </w:r>
          </w:p>
        </w:tc>
        <w:tc>
          <w:tcPr>
            <w:tcW w:w="1559" w:type="dxa"/>
            <w:vAlign w:val="center"/>
          </w:tcPr>
          <w:p w14:paraId="55CCEEE5"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0.11</w:t>
            </w:r>
          </w:p>
        </w:tc>
        <w:tc>
          <w:tcPr>
            <w:tcW w:w="1559" w:type="dxa"/>
            <w:vAlign w:val="center"/>
          </w:tcPr>
          <w:p w14:paraId="31F59AE3"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157.50</w:t>
            </w:r>
          </w:p>
        </w:tc>
      </w:tr>
      <w:tr w:rsidR="009A02AB" w:rsidRPr="00B066C6" w14:paraId="42DCA755" w14:textId="77777777" w:rsidTr="008E3F64">
        <w:tc>
          <w:tcPr>
            <w:tcW w:w="1558" w:type="dxa"/>
            <w:vMerge w:val="restart"/>
            <w:shd w:val="clear" w:color="auto" w:fill="BFBFBF" w:themeFill="background1" w:themeFillShade="BF"/>
            <w:vAlign w:val="center"/>
          </w:tcPr>
          <w:p w14:paraId="61FCF91E"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SEC</w:t>
            </w:r>
          </w:p>
        </w:tc>
        <w:tc>
          <w:tcPr>
            <w:tcW w:w="1558" w:type="dxa"/>
            <w:shd w:val="clear" w:color="auto" w:fill="BFBFBF" w:themeFill="background1" w:themeFillShade="BF"/>
            <w:vAlign w:val="center"/>
          </w:tcPr>
          <w:p w14:paraId="40EDF021"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Mean</w:t>
            </w:r>
          </w:p>
        </w:tc>
        <w:tc>
          <w:tcPr>
            <w:tcW w:w="1558" w:type="dxa"/>
            <w:shd w:val="clear" w:color="auto" w:fill="BFBFBF" w:themeFill="background1" w:themeFillShade="BF"/>
            <w:vAlign w:val="center"/>
          </w:tcPr>
          <w:p w14:paraId="032201FA"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27.22</w:t>
            </w:r>
          </w:p>
        </w:tc>
        <w:tc>
          <w:tcPr>
            <w:tcW w:w="1558" w:type="dxa"/>
            <w:shd w:val="clear" w:color="auto" w:fill="BFBFBF" w:themeFill="background1" w:themeFillShade="BF"/>
            <w:vAlign w:val="center"/>
          </w:tcPr>
          <w:p w14:paraId="4AB27B15"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26.42</w:t>
            </w:r>
          </w:p>
        </w:tc>
        <w:tc>
          <w:tcPr>
            <w:tcW w:w="1559" w:type="dxa"/>
            <w:shd w:val="clear" w:color="auto" w:fill="BFBFBF" w:themeFill="background1" w:themeFillShade="BF"/>
            <w:vAlign w:val="center"/>
          </w:tcPr>
          <w:p w14:paraId="3C28B55D"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12.86</w:t>
            </w:r>
          </w:p>
        </w:tc>
        <w:tc>
          <w:tcPr>
            <w:tcW w:w="1559" w:type="dxa"/>
            <w:shd w:val="clear" w:color="auto" w:fill="BFBFBF" w:themeFill="background1" w:themeFillShade="BF"/>
            <w:vAlign w:val="center"/>
          </w:tcPr>
          <w:p w14:paraId="00C28E60"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533.54</w:t>
            </w:r>
          </w:p>
        </w:tc>
      </w:tr>
      <w:tr w:rsidR="009A02AB" w:rsidRPr="00B066C6" w14:paraId="14843B85" w14:textId="77777777" w:rsidTr="008E3F64">
        <w:tc>
          <w:tcPr>
            <w:tcW w:w="1558" w:type="dxa"/>
            <w:vMerge/>
            <w:shd w:val="clear" w:color="auto" w:fill="BFBFBF" w:themeFill="background1" w:themeFillShade="BF"/>
            <w:vAlign w:val="center"/>
          </w:tcPr>
          <w:p w14:paraId="260C3309" w14:textId="77777777" w:rsidR="009A02AB" w:rsidRPr="00B066C6" w:rsidRDefault="009A02AB" w:rsidP="00EB4834">
            <w:pPr>
              <w:spacing w:after="160"/>
              <w:jc w:val="center"/>
              <w:rPr>
                <w:rFonts w:ascii="Times New Roman" w:hAnsi="Times New Roman" w:cs="Times New Roman"/>
              </w:rPr>
            </w:pPr>
          </w:p>
        </w:tc>
        <w:tc>
          <w:tcPr>
            <w:tcW w:w="1558" w:type="dxa"/>
            <w:shd w:val="clear" w:color="auto" w:fill="BFBFBF" w:themeFill="background1" w:themeFillShade="BF"/>
            <w:vAlign w:val="center"/>
          </w:tcPr>
          <w:p w14:paraId="3D0EA654"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rPr>
              <w:t>Variance</w:t>
            </w:r>
          </w:p>
        </w:tc>
        <w:tc>
          <w:tcPr>
            <w:tcW w:w="1558" w:type="dxa"/>
            <w:shd w:val="clear" w:color="auto" w:fill="BFBFBF" w:themeFill="background1" w:themeFillShade="BF"/>
            <w:vAlign w:val="center"/>
          </w:tcPr>
          <w:p w14:paraId="760FB7FC"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13.76</w:t>
            </w:r>
          </w:p>
        </w:tc>
        <w:tc>
          <w:tcPr>
            <w:tcW w:w="1558" w:type="dxa"/>
            <w:shd w:val="clear" w:color="auto" w:fill="BFBFBF" w:themeFill="background1" w:themeFillShade="BF"/>
            <w:vAlign w:val="center"/>
          </w:tcPr>
          <w:p w14:paraId="541225B9"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14.41</w:t>
            </w:r>
          </w:p>
        </w:tc>
        <w:tc>
          <w:tcPr>
            <w:tcW w:w="1559" w:type="dxa"/>
            <w:shd w:val="clear" w:color="auto" w:fill="BFBFBF" w:themeFill="background1" w:themeFillShade="BF"/>
            <w:vAlign w:val="center"/>
          </w:tcPr>
          <w:p w14:paraId="573E08B1"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0.23</w:t>
            </w:r>
          </w:p>
        </w:tc>
        <w:tc>
          <w:tcPr>
            <w:tcW w:w="1559" w:type="dxa"/>
            <w:shd w:val="clear" w:color="auto" w:fill="BFBFBF" w:themeFill="background1" w:themeFillShade="BF"/>
            <w:vAlign w:val="center"/>
          </w:tcPr>
          <w:p w14:paraId="01E04A04"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color w:val="000000"/>
              </w:rPr>
              <w:t>432.5</w:t>
            </w:r>
          </w:p>
        </w:tc>
      </w:tr>
      <w:tr w:rsidR="009A02AB" w:rsidRPr="00B066C6" w14:paraId="7D2F3049" w14:textId="77777777" w:rsidTr="008E3F64">
        <w:tc>
          <w:tcPr>
            <w:tcW w:w="1558" w:type="dxa"/>
            <w:vMerge w:val="restart"/>
            <w:vAlign w:val="center"/>
          </w:tcPr>
          <w:p w14:paraId="2FEC1C69" w14:textId="77777777" w:rsidR="009A02AB" w:rsidRPr="00B066C6" w:rsidRDefault="009A02AB" w:rsidP="00EB4834">
            <w:pPr>
              <w:spacing w:after="160"/>
              <w:jc w:val="center"/>
              <w:rPr>
                <w:rFonts w:ascii="Times New Roman" w:hAnsi="Times New Roman" w:cs="Times New Roman"/>
              </w:rPr>
            </w:pPr>
            <w:r w:rsidRPr="00B066C6">
              <w:rPr>
                <w:rFonts w:ascii="Times New Roman" w:hAnsi="Times New Roman" w:cs="Times New Roman"/>
              </w:rPr>
              <w:t>OG</w:t>
            </w:r>
          </w:p>
        </w:tc>
        <w:tc>
          <w:tcPr>
            <w:tcW w:w="1558" w:type="dxa"/>
            <w:vAlign w:val="center"/>
          </w:tcPr>
          <w:p w14:paraId="100AB061"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Mean</w:t>
            </w:r>
          </w:p>
        </w:tc>
        <w:tc>
          <w:tcPr>
            <w:tcW w:w="1558" w:type="dxa"/>
            <w:vAlign w:val="center"/>
          </w:tcPr>
          <w:p w14:paraId="051D309D"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26.76</w:t>
            </w:r>
          </w:p>
        </w:tc>
        <w:tc>
          <w:tcPr>
            <w:tcW w:w="1558" w:type="dxa"/>
            <w:vAlign w:val="center"/>
          </w:tcPr>
          <w:p w14:paraId="4BDEB36D"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25.53</w:t>
            </w:r>
          </w:p>
        </w:tc>
        <w:tc>
          <w:tcPr>
            <w:tcW w:w="1559" w:type="dxa"/>
            <w:vAlign w:val="center"/>
          </w:tcPr>
          <w:p w14:paraId="399645DF"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12.89</w:t>
            </w:r>
          </w:p>
        </w:tc>
        <w:tc>
          <w:tcPr>
            <w:tcW w:w="1559" w:type="dxa"/>
            <w:vAlign w:val="center"/>
          </w:tcPr>
          <w:p w14:paraId="55035DB8"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533.76</w:t>
            </w:r>
          </w:p>
        </w:tc>
      </w:tr>
      <w:tr w:rsidR="009A02AB" w:rsidRPr="00B066C6" w14:paraId="7277F35F" w14:textId="77777777" w:rsidTr="008E3F64">
        <w:tc>
          <w:tcPr>
            <w:tcW w:w="1558" w:type="dxa"/>
            <w:vMerge/>
            <w:vAlign w:val="center"/>
          </w:tcPr>
          <w:p w14:paraId="165C558F" w14:textId="77777777" w:rsidR="009A02AB" w:rsidRPr="00B066C6" w:rsidRDefault="009A02AB" w:rsidP="00EB4834">
            <w:pPr>
              <w:spacing w:after="160"/>
              <w:jc w:val="center"/>
              <w:rPr>
                <w:rFonts w:ascii="Times New Roman" w:hAnsi="Times New Roman" w:cs="Times New Roman"/>
              </w:rPr>
            </w:pPr>
          </w:p>
        </w:tc>
        <w:tc>
          <w:tcPr>
            <w:tcW w:w="1558" w:type="dxa"/>
            <w:vAlign w:val="center"/>
          </w:tcPr>
          <w:p w14:paraId="6F4B1E25"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rPr>
              <w:t>Variance</w:t>
            </w:r>
          </w:p>
        </w:tc>
        <w:tc>
          <w:tcPr>
            <w:tcW w:w="1558" w:type="dxa"/>
            <w:vAlign w:val="center"/>
          </w:tcPr>
          <w:p w14:paraId="2FD0716C"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94.98</w:t>
            </w:r>
          </w:p>
        </w:tc>
        <w:tc>
          <w:tcPr>
            <w:tcW w:w="1558" w:type="dxa"/>
            <w:vAlign w:val="center"/>
          </w:tcPr>
          <w:p w14:paraId="6A9BF900"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33.07</w:t>
            </w:r>
          </w:p>
        </w:tc>
        <w:tc>
          <w:tcPr>
            <w:tcW w:w="1559" w:type="dxa"/>
            <w:vAlign w:val="center"/>
          </w:tcPr>
          <w:p w14:paraId="7CAC5AC0"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0.11</w:t>
            </w:r>
          </w:p>
        </w:tc>
        <w:tc>
          <w:tcPr>
            <w:tcW w:w="1559" w:type="dxa"/>
            <w:vAlign w:val="center"/>
          </w:tcPr>
          <w:p w14:paraId="7B226B36" w14:textId="77777777" w:rsidR="009A02AB" w:rsidRPr="00B066C6" w:rsidRDefault="009A02AB" w:rsidP="00EB4834">
            <w:pPr>
              <w:spacing w:after="160"/>
              <w:jc w:val="center"/>
              <w:rPr>
                <w:rFonts w:ascii="Times New Roman" w:hAnsi="Times New Roman" w:cs="Times New Roman"/>
                <w:color w:val="000000"/>
              </w:rPr>
            </w:pPr>
            <w:r w:rsidRPr="00B066C6">
              <w:rPr>
                <w:rFonts w:ascii="Times New Roman" w:hAnsi="Times New Roman" w:cs="Times New Roman"/>
                <w:color w:val="000000"/>
              </w:rPr>
              <w:t>140.65</w:t>
            </w:r>
          </w:p>
        </w:tc>
      </w:tr>
    </w:tbl>
    <w:p w14:paraId="7EC06DFB" w14:textId="77777777" w:rsidR="009A02AB" w:rsidRPr="00B066C6" w:rsidRDefault="009A02AB" w:rsidP="009A02AB">
      <w:pPr>
        <w:rPr>
          <w:rFonts w:ascii="Times New Roman" w:hAnsi="Times New Roman" w:cs="Times New Roman"/>
          <w:b/>
          <w:bCs/>
          <w:i/>
          <w:iCs/>
        </w:rPr>
      </w:pPr>
    </w:p>
    <w:p w14:paraId="18A47D15" w14:textId="69F051A2" w:rsidR="009A02AB" w:rsidRPr="009A02AB" w:rsidRDefault="009A02AB">
      <w:pPr>
        <w:rPr>
          <w:rFonts w:ascii="Times New Roman" w:hAnsi="Times New Roman" w:cs="Times New Roman"/>
          <w:b/>
          <w:bCs/>
          <w:i/>
          <w:iCs/>
        </w:rPr>
      </w:pPr>
      <w:r w:rsidRPr="00B066C6">
        <w:rPr>
          <w:rFonts w:ascii="Times New Roman" w:hAnsi="Times New Roman" w:cs="Times New Roman"/>
          <w:b/>
          <w:bCs/>
          <w:i/>
          <w:iCs/>
        </w:rPr>
        <w:br w:type="page"/>
      </w:r>
    </w:p>
    <w:p w14:paraId="6715EF82" w14:textId="6E4CBA07" w:rsidR="00637C9A" w:rsidRDefault="006635C3" w:rsidP="006635C3">
      <w:pPr>
        <w:rPr>
          <w:rFonts w:ascii="Times New Roman" w:hAnsi="Times New Roman" w:cs="Times New Roman"/>
        </w:rPr>
      </w:pPr>
      <w:r w:rsidRPr="006635C3">
        <w:rPr>
          <w:rFonts w:ascii="Times New Roman" w:hAnsi="Times New Roman" w:cs="Times New Roman"/>
        </w:rPr>
        <w:lastRenderedPageBreak/>
        <w:t>Index (Q</w:t>
      </w:r>
      <w:r w:rsidRPr="006635C3">
        <w:rPr>
          <w:rFonts w:ascii="Times New Roman" w:hAnsi="Times New Roman" w:cs="Times New Roman"/>
          <w:vertAlign w:val="subscript"/>
        </w:rPr>
        <w:t>2</w:t>
      </w:r>
      <w:r w:rsidRPr="006635C3">
        <w:rPr>
          <w:rFonts w:ascii="Times New Roman" w:hAnsi="Times New Roman" w:cs="Times New Roman"/>
        </w:rPr>
        <w:t xml:space="preserve">), we observed that older forests (SEC and OG) had higher diversity than younger successional sites. </w:t>
      </w:r>
      <w:r w:rsidRPr="006635C3">
        <w:rPr>
          <w:rFonts w:ascii="Times New Roman" w:eastAsiaTheme="majorEastAsia" w:hAnsi="Times New Roman" w:cs="Times New Roman"/>
        </w:rPr>
        <w:t>While changes in s</w:t>
      </w:r>
      <w:r w:rsidRPr="006635C3">
        <w:rPr>
          <w:rFonts w:ascii="Times New Roman" w:hAnsi="Times New Roman" w:cs="Times New Roman"/>
        </w:rPr>
        <w:t>pecies richness (Q</w:t>
      </w:r>
      <w:r w:rsidRPr="006635C3">
        <w:rPr>
          <w:rFonts w:ascii="Times New Roman" w:hAnsi="Times New Roman" w:cs="Times New Roman"/>
          <w:vertAlign w:val="subscript"/>
        </w:rPr>
        <w:t>0</w:t>
      </w:r>
      <w:r w:rsidRPr="006635C3">
        <w:rPr>
          <w:rFonts w:ascii="Times New Roman" w:hAnsi="Times New Roman" w:cs="Times New Roman"/>
        </w:rPr>
        <w:t>) and the Inverse Simpson Index (Q</w:t>
      </w:r>
      <w:r w:rsidRPr="006635C3">
        <w:rPr>
          <w:rFonts w:ascii="Times New Roman" w:hAnsi="Times New Roman" w:cs="Times New Roman"/>
          <w:vertAlign w:val="subscript"/>
        </w:rPr>
        <w:t>2</w:t>
      </w:r>
      <w:r w:rsidRPr="006635C3">
        <w:rPr>
          <w:rFonts w:ascii="Times New Roman" w:hAnsi="Times New Roman" w:cs="Times New Roman"/>
        </w:rPr>
        <w:t xml:space="preserve">) were not associated with any environmental predictor, </w:t>
      </w:r>
      <w:r w:rsidRPr="006635C3">
        <w:rPr>
          <w:rFonts w:ascii="Times New Roman" w:eastAsiaTheme="majorEastAsia" w:hAnsi="Times New Roman" w:cs="Times New Roman"/>
        </w:rPr>
        <w:t>Shannon</w:t>
      </w:r>
      <w:r w:rsidRPr="006635C3">
        <w:rPr>
          <w:rFonts w:ascii="Times New Roman" w:hAnsi="Times New Roman" w:cs="Times New Roman"/>
        </w:rPr>
        <w:t xml:space="preserve"> entropy </w:t>
      </w:r>
      <w:r w:rsidRPr="006635C3">
        <w:rPr>
          <w:rFonts w:ascii="Times New Roman" w:hAnsi="Times New Roman" w:cs="Times New Roman"/>
          <w:color w:val="000000"/>
        </w:rPr>
        <w:t>(Q</w:t>
      </w:r>
      <w:r w:rsidRPr="006635C3">
        <w:rPr>
          <w:rFonts w:ascii="Times New Roman" w:hAnsi="Times New Roman" w:cs="Times New Roman"/>
          <w:color w:val="000000"/>
          <w:vertAlign w:val="subscript"/>
        </w:rPr>
        <w:t>1</w:t>
      </w:r>
      <w:r w:rsidRPr="006635C3">
        <w:rPr>
          <w:rFonts w:ascii="Times New Roman" w:hAnsi="Times New Roman" w:cs="Times New Roman"/>
          <w:color w:val="000000"/>
        </w:rPr>
        <w:t>)</w:t>
      </w:r>
      <w:r w:rsidRPr="006635C3">
        <w:rPr>
          <w:rFonts w:ascii="Times New Roman" w:hAnsi="Times New Roman" w:cs="Times New Roman"/>
          <w:sz w:val="28"/>
          <w:szCs w:val="28"/>
        </w:rPr>
        <w:t xml:space="preserve"> </w:t>
      </w:r>
      <w:r w:rsidRPr="006635C3">
        <w:rPr>
          <w:rFonts w:ascii="Times New Roman" w:hAnsi="Times New Roman" w:cs="Times New Roman"/>
        </w:rPr>
        <w:t>was</w:t>
      </w:r>
      <w:r w:rsidRPr="006635C3">
        <w:rPr>
          <w:rFonts w:ascii="Times New Roman" w:eastAsiaTheme="majorEastAsia" w:hAnsi="Times New Roman" w:cs="Times New Roman"/>
        </w:rPr>
        <w:t xml:space="preserve"> driven by changes in </w:t>
      </w:r>
      <w:r w:rsidRPr="006635C3">
        <w:rPr>
          <w:rFonts w:ascii="Times New Roman" w:hAnsi="Times New Roman" w:cs="Times New Roman"/>
        </w:rPr>
        <w:t>canopy height and decreased with increasing canopy</w:t>
      </w:r>
      <w:r w:rsidRPr="006635C3">
        <w:rPr>
          <w:rFonts w:ascii="Times New Roman" w:eastAsiaTheme="majorEastAsia" w:hAnsi="Times New Roman" w:cs="Times New Roman"/>
        </w:rPr>
        <w:t xml:space="preserve"> (chi-squared</w:t>
      </w:r>
      <w:r w:rsidRPr="006635C3">
        <w:rPr>
          <w:rFonts w:ascii="Times New Roman" w:hAnsi="Times New Roman" w:cs="Times New Roman"/>
        </w:rPr>
        <w:t xml:space="preserve"> = 4.92, p = 0.03) (</w:t>
      </w:r>
      <w:r w:rsidRPr="003022FF">
        <w:rPr>
          <w:rFonts w:ascii="Times New Roman" w:hAnsi="Times New Roman" w:cs="Times New Roman"/>
          <w:b/>
          <w:bCs/>
        </w:rPr>
        <w:t xml:space="preserve">Table </w:t>
      </w:r>
      <w:r w:rsidR="008012CC" w:rsidRPr="003022FF">
        <w:rPr>
          <w:rFonts w:ascii="Times New Roman" w:hAnsi="Times New Roman" w:cs="Times New Roman"/>
          <w:b/>
          <w:bCs/>
        </w:rPr>
        <w:t>5</w:t>
      </w:r>
      <w:r w:rsidRPr="006635C3">
        <w:rPr>
          <w:rFonts w:ascii="Times New Roman" w:hAnsi="Times New Roman" w:cs="Times New Roman"/>
        </w:rPr>
        <w:t>).  Functional diversity indices exhibited a similar trend as Q</w:t>
      </w:r>
      <w:r w:rsidRPr="006635C3">
        <w:rPr>
          <w:rFonts w:ascii="Times New Roman" w:hAnsi="Times New Roman" w:cs="Times New Roman"/>
          <w:vertAlign w:val="subscript"/>
        </w:rPr>
        <w:t>2</w:t>
      </w:r>
      <w:r w:rsidRPr="006635C3">
        <w:rPr>
          <w:rFonts w:ascii="Times New Roman" w:hAnsi="Times New Roman" w:cs="Times New Roman"/>
        </w:rPr>
        <w:t>; functional dispersion, functional divergence, and RaoQ were all greater in mature forests (SEC and OG) than in early successional ones (HIE and LIE) (</w:t>
      </w:r>
      <w:r w:rsidRPr="003022FF">
        <w:rPr>
          <w:rFonts w:ascii="Times New Roman" w:hAnsi="Times New Roman" w:cs="Times New Roman"/>
          <w:b/>
          <w:bCs/>
        </w:rPr>
        <w:t xml:space="preserve">Figure </w:t>
      </w:r>
      <w:r w:rsidR="009A02AB" w:rsidRPr="003022FF">
        <w:rPr>
          <w:rFonts w:ascii="Times New Roman" w:hAnsi="Times New Roman" w:cs="Times New Roman"/>
          <w:b/>
          <w:bCs/>
        </w:rPr>
        <w:t>5</w:t>
      </w:r>
      <w:r w:rsidRPr="006635C3">
        <w:rPr>
          <w:rFonts w:ascii="Times New Roman" w:hAnsi="Times New Roman" w:cs="Times New Roman"/>
        </w:rPr>
        <w:t xml:space="preserve">). Pairwise tests showed that functional divergence of bird communities differed between </w:t>
      </w:r>
      <w:r w:rsidR="008A3D69">
        <w:rPr>
          <w:rFonts w:ascii="Times New Roman" w:hAnsi="Times New Roman" w:cs="Times New Roman"/>
        </w:rPr>
        <w:t xml:space="preserve">HIE </w:t>
      </w:r>
      <w:r w:rsidRPr="006635C3">
        <w:rPr>
          <w:rFonts w:ascii="Times New Roman" w:hAnsi="Times New Roman" w:cs="Times New Roman"/>
        </w:rPr>
        <w:t xml:space="preserve">and secondary forests (p = 0.05), high impact sites and old growth forests (p = 0.02), and low-impact sites and old growth forests (p = 0.03). </w:t>
      </w:r>
    </w:p>
    <w:p w14:paraId="4E1EE3E8" w14:textId="0ACF7878" w:rsidR="00637C9A" w:rsidRDefault="006635C3" w:rsidP="00637C9A">
      <w:pPr>
        <w:ind w:firstLine="720"/>
        <w:rPr>
          <w:rFonts w:ascii="Times New Roman" w:hAnsi="Times New Roman" w:cs="Times New Roman"/>
        </w:rPr>
      </w:pPr>
      <w:r w:rsidRPr="006635C3">
        <w:rPr>
          <w:rFonts w:ascii="Times New Roman" w:eastAsiaTheme="majorEastAsia" w:hAnsi="Times New Roman" w:cs="Times New Roman"/>
        </w:rPr>
        <w:t>F</w:t>
      </w:r>
      <w:r w:rsidRPr="006635C3">
        <w:rPr>
          <w:rFonts w:ascii="Times New Roman" w:hAnsi="Times New Roman" w:cs="Times New Roman"/>
        </w:rPr>
        <w:t xml:space="preserve">unctional </w:t>
      </w:r>
      <w:r w:rsidRPr="006635C3">
        <w:rPr>
          <w:rFonts w:ascii="Times New Roman" w:eastAsiaTheme="majorEastAsia" w:hAnsi="Times New Roman" w:cs="Times New Roman"/>
        </w:rPr>
        <w:t>d</w:t>
      </w:r>
      <w:r w:rsidRPr="006635C3">
        <w:rPr>
          <w:rFonts w:ascii="Times New Roman" w:hAnsi="Times New Roman" w:cs="Times New Roman"/>
        </w:rPr>
        <w:t>ivergence was strongly influenced by both canopy height (</w:t>
      </w:r>
      <w:r w:rsidRPr="006635C3">
        <w:rPr>
          <w:rFonts w:ascii="Times New Roman" w:eastAsiaTheme="majorEastAsia" w:hAnsi="Times New Roman" w:cs="Times New Roman"/>
        </w:rPr>
        <w:t>chi-squared</w:t>
      </w:r>
      <w:r w:rsidRPr="006635C3">
        <w:rPr>
          <w:rFonts w:ascii="Times New Roman" w:hAnsi="Times New Roman" w:cs="Times New Roman"/>
        </w:rPr>
        <w:t xml:space="preserve"> = 11.46, p &lt; 0.001) and the interaction between canopy cover and height (</w:t>
      </w:r>
      <w:r w:rsidRPr="006635C3">
        <w:rPr>
          <w:rFonts w:ascii="Times New Roman" w:eastAsiaTheme="majorEastAsia" w:hAnsi="Times New Roman" w:cs="Times New Roman"/>
        </w:rPr>
        <w:t>chi-squared</w:t>
      </w:r>
      <w:r w:rsidRPr="006635C3">
        <w:rPr>
          <w:rFonts w:ascii="Times New Roman" w:hAnsi="Times New Roman" w:cs="Times New Roman"/>
        </w:rPr>
        <w:t xml:space="preserve"> = 12.53, p &lt; 0.001) (</w:t>
      </w:r>
      <w:r w:rsidRPr="003022FF">
        <w:rPr>
          <w:rFonts w:ascii="Times New Roman" w:hAnsi="Times New Roman" w:cs="Times New Roman"/>
          <w:b/>
          <w:bCs/>
        </w:rPr>
        <w:t xml:space="preserve">Table </w:t>
      </w:r>
      <w:r w:rsidR="009A02AB" w:rsidRPr="003022FF">
        <w:rPr>
          <w:rFonts w:ascii="Times New Roman" w:hAnsi="Times New Roman" w:cs="Times New Roman"/>
          <w:b/>
          <w:bCs/>
        </w:rPr>
        <w:t>5</w:t>
      </w:r>
      <w:r w:rsidRPr="006635C3">
        <w:rPr>
          <w:rFonts w:ascii="Times New Roman" w:hAnsi="Times New Roman" w:cs="Times New Roman"/>
        </w:rPr>
        <w:t>). Functional dispersion followed similar patterns and was higher in later successional forests, with differences between HI</w:t>
      </w:r>
      <w:r w:rsidR="008A3D69">
        <w:rPr>
          <w:rFonts w:ascii="Times New Roman" w:hAnsi="Times New Roman" w:cs="Times New Roman"/>
        </w:rPr>
        <w:t>E sites a</w:t>
      </w:r>
      <w:r w:rsidRPr="006635C3">
        <w:rPr>
          <w:rFonts w:ascii="Times New Roman" w:hAnsi="Times New Roman" w:cs="Times New Roman"/>
        </w:rPr>
        <w:t xml:space="preserve">nd both </w:t>
      </w:r>
      <w:r w:rsidR="008A3D69">
        <w:rPr>
          <w:rFonts w:ascii="Times New Roman" w:hAnsi="Times New Roman" w:cs="Times New Roman"/>
        </w:rPr>
        <w:t xml:space="preserve">LIE </w:t>
      </w:r>
      <w:r w:rsidRPr="006635C3">
        <w:rPr>
          <w:rFonts w:ascii="Times New Roman" w:hAnsi="Times New Roman" w:cs="Times New Roman"/>
        </w:rPr>
        <w:t xml:space="preserve">and </w:t>
      </w:r>
      <w:r w:rsidR="008A3D69">
        <w:rPr>
          <w:rFonts w:ascii="Times New Roman" w:hAnsi="Times New Roman" w:cs="Times New Roman"/>
        </w:rPr>
        <w:t>OG</w:t>
      </w:r>
      <w:r w:rsidRPr="006635C3">
        <w:rPr>
          <w:rFonts w:ascii="Times New Roman" w:hAnsi="Times New Roman" w:cs="Times New Roman"/>
        </w:rPr>
        <w:t xml:space="preserve"> forests (SEC, p = 0.008; OG, p = 0.002), and between LIE and later stages (SEC, p = 0.007; OG, p = 0.002). Functional </w:t>
      </w:r>
      <w:r w:rsidRPr="006635C3">
        <w:rPr>
          <w:rFonts w:ascii="Times New Roman" w:eastAsiaTheme="majorEastAsia" w:hAnsi="Times New Roman" w:cs="Times New Roman"/>
        </w:rPr>
        <w:t>d</w:t>
      </w:r>
      <w:r w:rsidRPr="006635C3">
        <w:rPr>
          <w:rFonts w:ascii="Times New Roman" w:hAnsi="Times New Roman" w:cs="Times New Roman"/>
        </w:rPr>
        <w:t>ispersion was also associated with both canopy height (</w:t>
      </w:r>
      <w:r w:rsidRPr="006635C3">
        <w:rPr>
          <w:rFonts w:ascii="Times New Roman" w:eastAsiaTheme="majorEastAsia" w:hAnsi="Times New Roman" w:cs="Times New Roman"/>
        </w:rPr>
        <w:t>chi-squared</w:t>
      </w:r>
      <w:r w:rsidRPr="006635C3">
        <w:rPr>
          <w:rFonts w:ascii="Times New Roman" w:hAnsi="Times New Roman" w:cs="Times New Roman"/>
        </w:rPr>
        <w:t xml:space="preserve"> = 5.63, p = 0.02,) and the interaction between canopy cover and height (</w:t>
      </w:r>
      <w:r w:rsidRPr="006635C3">
        <w:rPr>
          <w:rFonts w:ascii="Times New Roman" w:eastAsiaTheme="majorEastAsia" w:hAnsi="Times New Roman" w:cs="Times New Roman"/>
        </w:rPr>
        <w:t>chi-squared</w:t>
      </w:r>
      <w:r w:rsidRPr="006635C3">
        <w:rPr>
          <w:rFonts w:ascii="Times New Roman" w:hAnsi="Times New Roman" w:cs="Times New Roman"/>
        </w:rPr>
        <w:t xml:space="preserve"> = 5.64, p = 0.02). Rao’s Quadratic Entropy also varied between </w:t>
      </w:r>
      <w:r w:rsidR="008A3D69">
        <w:rPr>
          <w:rFonts w:ascii="Times New Roman" w:hAnsi="Times New Roman" w:cs="Times New Roman"/>
        </w:rPr>
        <w:t xml:space="preserve">HIE </w:t>
      </w:r>
      <w:r w:rsidRPr="006635C3">
        <w:rPr>
          <w:rFonts w:ascii="Times New Roman" w:hAnsi="Times New Roman" w:cs="Times New Roman"/>
        </w:rPr>
        <w:t xml:space="preserve">and </w:t>
      </w:r>
      <w:r w:rsidR="008A3D69">
        <w:rPr>
          <w:rFonts w:ascii="Times New Roman" w:hAnsi="Times New Roman" w:cs="Times New Roman"/>
        </w:rPr>
        <w:t>OG</w:t>
      </w:r>
      <w:r w:rsidRPr="006635C3">
        <w:rPr>
          <w:rFonts w:ascii="Times New Roman" w:hAnsi="Times New Roman" w:cs="Times New Roman"/>
        </w:rPr>
        <w:t xml:space="preserve"> forests (p = 0.02</w:t>
      </w:r>
      <w:r w:rsidR="00CD31DF" w:rsidRPr="006635C3">
        <w:rPr>
          <w:rFonts w:ascii="Times New Roman" w:hAnsi="Times New Roman" w:cs="Times New Roman"/>
        </w:rPr>
        <w:t>) and</w:t>
      </w:r>
      <w:r w:rsidRPr="006635C3">
        <w:rPr>
          <w:rFonts w:ascii="Times New Roman" w:hAnsi="Times New Roman" w:cs="Times New Roman"/>
        </w:rPr>
        <w:t xml:space="preserve"> </w:t>
      </w:r>
      <w:r w:rsidR="008A3D69">
        <w:rPr>
          <w:rFonts w:ascii="Times New Roman" w:hAnsi="Times New Roman" w:cs="Times New Roman"/>
        </w:rPr>
        <w:t xml:space="preserve">LIE </w:t>
      </w:r>
      <w:r w:rsidRPr="006635C3">
        <w:rPr>
          <w:rFonts w:ascii="Times New Roman" w:hAnsi="Times New Roman" w:cs="Times New Roman"/>
        </w:rPr>
        <w:t xml:space="preserve">with both </w:t>
      </w:r>
      <w:r w:rsidR="008A3D69">
        <w:rPr>
          <w:rFonts w:ascii="Times New Roman" w:hAnsi="Times New Roman" w:cs="Times New Roman"/>
        </w:rPr>
        <w:t>SEC</w:t>
      </w:r>
      <w:r w:rsidRPr="006635C3">
        <w:rPr>
          <w:rFonts w:ascii="Times New Roman" w:hAnsi="Times New Roman" w:cs="Times New Roman"/>
        </w:rPr>
        <w:t xml:space="preserve"> forests (p = 0.04) and </w:t>
      </w:r>
      <w:r w:rsidR="008A3D69">
        <w:rPr>
          <w:rFonts w:ascii="Times New Roman" w:hAnsi="Times New Roman" w:cs="Times New Roman"/>
        </w:rPr>
        <w:t>OG</w:t>
      </w:r>
      <w:r w:rsidRPr="006635C3">
        <w:rPr>
          <w:rFonts w:ascii="Times New Roman" w:hAnsi="Times New Roman" w:cs="Times New Roman"/>
        </w:rPr>
        <w:t xml:space="preserve"> (p = 0.01). Like dispersion and divergence, Rao’s Quadratic Entropy was also associated with both canopy height (</w:t>
      </w:r>
      <w:r w:rsidRPr="006635C3">
        <w:rPr>
          <w:rFonts w:ascii="Times New Roman" w:eastAsiaTheme="majorEastAsia" w:hAnsi="Times New Roman" w:cs="Times New Roman"/>
        </w:rPr>
        <w:t>chi-squared</w:t>
      </w:r>
      <w:r w:rsidRPr="006635C3">
        <w:rPr>
          <w:rFonts w:ascii="Times New Roman" w:hAnsi="Times New Roman" w:cs="Times New Roman"/>
        </w:rPr>
        <w:t xml:space="preserve"> = 6.19, p = 0.01) and the interaction between canopy cover and height (</w:t>
      </w:r>
      <w:r w:rsidRPr="006635C3">
        <w:rPr>
          <w:rFonts w:ascii="Times New Roman" w:eastAsiaTheme="majorEastAsia" w:hAnsi="Times New Roman" w:cs="Times New Roman"/>
        </w:rPr>
        <w:t>chi-squared</w:t>
      </w:r>
      <w:r w:rsidRPr="006635C3">
        <w:rPr>
          <w:rFonts w:ascii="Times New Roman" w:hAnsi="Times New Roman" w:cs="Times New Roman"/>
        </w:rPr>
        <w:t xml:space="preserve"> = 6.87, p = 0.01). In contrast, the functional richness of understory bird communities was lowest in the more mature forests and highest in early successional areas (p = 0.03), and pairwise comparisons revealed that functional richness only differed between HIE and </w:t>
      </w:r>
      <w:r w:rsidR="008A3D69">
        <w:rPr>
          <w:rFonts w:ascii="Times New Roman" w:hAnsi="Times New Roman" w:cs="Times New Roman"/>
        </w:rPr>
        <w:t>OG</w:t>
      </w:r>
      <w:r w:rsidRPr="006635C3">
        <w:rPr>
          <w:rFonts w:ascii="Times New Roman" w:hAnsi="Times New Roman" w:cs="Times New Roman"/>
        </w:rPr>
        <w:t xml:space="preserve"> (p = 0.03).</w:t>
      </w:r>
      <w:r w:rsidRPr="006635C3">
        <w:rPr>
          <w:rFonts w:ascii="Times New Roman" w:eastAsiaTheme="majorEastAsia" w:hAnsi="Times New Roman" w:cs="Times New Roman"/>
        </w:rPr>
        <w:t xml:space="preserve"> Both functional richness and</w:t>
      </w:r>
      <w:r w:rsidRPr="006635C3">
        <w:rPr>
          <w:rFonts w:ascii="Times New Roman" w:hAnsi="Times New Roman" w:cs="Times New Roman"/>
        </w:rPr>
        <w:t xml:space="preserve"> </w:t>
      </w:r>
      <w:r w:rsidRPr="006635C3">
        <w:rPr>
          <w:rFonts w:ascii="Times New Roman" w:eastAsiaTheme="majorEastAsia" w:hAnsi="Times New Roman" w:cs="Times New Roman"/>
        </w:rPr>
        <w:t>functional evenness</w:t>
      </w:r>
      <w:r w:rsidRPr="006635C3">
        <w:rPr>
          <w:rFonts w:ascii="Times New Roman" w:hAnsi="Times New Roman" w:cs="Times New Roman"/>
        </w:rPr>
        <w:t xml:space="preserve"> were not </w:t>
      </w:r>
      <w:r w:rsidR="009A02AB">
        <w:rPr>
          <w:rFonts w:ascii="Times New Roman" w:hAnsi="Times New Roman" w:cs="Times New Roman"/>
        </w:rPr>
        <w:t>correlated</w:t>
      </w:r>
      <w:r w:rsidRPr="006635C3">
        <w:rPr>
          <w:rFonts w:ascii="Times New Roman" w:hAnsi="Times New Roman" w:cs="Times New Roman"/>
        </w:rPr>
        <w:t xml:space="preserve"> </w:t>
      </w:r>
      <w:r w:rsidR="009A02AB">
        <w:rPr>
          <w:rFonts w:ascii="Times New Roman" w:hAnsi="Times New Roman" w:cs="Times New Roman"/>
        </w:rPr>
        <w:t>with</w:t>
      </w:r>
      <w:r w:rsidRPr="006635C3">
        <w:rPr>
          <w:rFonts w:ascii="Times New Roman" w:hAnsi="Times New Roman" w:cs="Times New Roman"/>
        </w:rPr>
        <w:t xml:space="preserve"> </w:t>
      </w:r>
      <w:r w:rsidR="009A02AB">
        <w:rPr>
          <w:rFonts w:ascii="Times New Roman" w:hAnsi="Times New Roman" w:cs="Times New Roman"/>
        </w:rPr>
        <w:t xml:space="preserve">any </w:t>
      </w:r>
      <w:r w:rsidRPr="006635C3">
        <w:rPr>
          <w:rFonts w:ascii="Times New Roman" w:hAnsi="Times New Roman" w:cs="Times New Roman"/>
        </w:rPr>
        <w:t>environmental predictor variables.</w:t>
      </w:r>
    </w:p>
    <w:p w14:paraId="30383B6F" w14:textId="6395E252" w:rsidR="009A02AB" w:rsidRPr="00D129D2" w:rsidRDefault="00FD0106" w:rsidP="00D129D2">
      <w:pPr>
        <w:ind w:firstLine="720"/>
        <w:rPr>
          <w:rFonts w:ascii="Times New Roman" w:hAnsi="Times New Roman" w:cs="Times New Roman"/>
        </w:rPr>
      </w:pPr>
      <w:r w:rsidRPr="00831D26">
        <w:rPr>
          <w:rFonts w:ascii="Times New Roman" w:hAnsi="Times New Roman" w:cs="Times New Roman"/>
        </w:rPr>
        <w:t>Both younger sites (HIE and LIE) clustered together on the RDA, indicating greater functional similarity compared to mature forest plots (SEC and OG) (</w:t>
      </w:r>
      <w:r w:rsidRPr="003022FF">
        <w:rPr>
          <w:rFonts w:ascii="Times New Roman" w:hAnsi="Times New Roman" w:cs="Times New Roman"/>
          <w:b/>
          <w:bCs/>
        </w:rPr>
        <w:t>Figure 6</w:t>
      </w:r>
      <w:r w:rsidRPr="00831D26">
        <w:rPr>
          <w:rFonts w:ascii="Times New Roman" w:hAnsi="Times New Roman" w:cs="Times New Roman"/>
        </w:rPr>
        <w:t>). The RDA model explained 64.73% of total variation in functional diversity (constrained inertia = 0.4122). Functional richness was associated with open-canopy habitats (HIE and LIE), mainly driven by variations in beak width and tarsus length. Both beak width and tarsus length were positively associated with functional richness, yet were negatively associated with functional dispersion, functional divergence, and Rao’s Q (</w:t>
      </w:r>
      <w:r w:rsidRPr="003022FF">
        <w:rPr>
          <w:rFonts w:ascii="Times New Roman" w:hAnsi="Times New Roman" w:cs="Times New Roman"/>
          <w:b/>
          <w:bCs/>
        </w:rPr>
        <w:t>Figure 7</w:t>
      </w:r>
      <w:r w:rsidRPr="00831D26">
        <w:rPr>
          <w:rFonts w:ascii="Times New Roman" w:hAnsi="Times New Roman" w:cs="Times New Roman"/>
        </w:rPr>
        <w:t xml:space="preserve">). Functional dispersion, functional divergence, </w:t>
      </w:r>
      <w:r w:rsidR="009A02AB">
        <w:rPr>
          <w:rFonts w:ascii="Times New Roman" w:hAnsi="Times New Roman" w:cs="Times New Roman"/>
          <w:shd w:val="clear" w:color="auto" w:fill="FFFFFF"/>
        </w:rPr>
        <w:br w:type="page"/>
      </w:r>
    </w:p>
    <w:tbl>
      <w:tblPr>
        <w:tblStyle w:val="TableGrid"/>
        <w:tblW w:w="0" w:type="auto"/>
        <w:tblLook w:val="04A0" w:firstRow="1" w:lastRow="0" w:firstColumn="1" w:lastColumn="0" w:noHBand="0" w:noVBand="1"/>
      </w:tblPr>
      <w:tblGrid>
        <w:gridCol w:w="2190"/>
        <w:gridCol w:w="3617"/>
        <w:gridCol w:w="1843"/>
        <w:gridCol w:w="1548"/>
      </w:tblGrid>
      <w:tr w:rsidR="009A02AB" w:rsidRPr="00B066C6" w14:paraId="43360DF8" w14:textId="77777777" w:rsidTr="008E3F64">
        <w:tc>
          <w:tcPr>
            <w:tcW w:w="9198" w:type="dxa"/>
            <w:gridSpan w:val="4"/>
            <w:tcBorders>
              <w:top w:val="nil"/>
              <w:left w:val="nil"/>
              <w:bottom w:val="single" w:sz="4" w:space="0" w:color="auto"/>
              <w:right w:val="nil"/>
            </w:tcBorders>
            <w:vAlign w:val="center"/>
          </w:tcPr>
          <w:p w14:paraId="7B7E9C10" w14:textId="77777777" w:rsidR="009A02AB" w:rsidRPr="00B066C6" w:rsidRDefault="009A02AB" w:rsidP="00D77075">
            <w:pPr>
              <w:pStyle w:val="Caption"/>
              <w:keepNext/>
              <w:rPr>
                <w:rFonts w:ascii="Times New Roman" w:hAnsi="Times New Roman" w:cs="Times New Roman"/>
                <w:sz w:val="24"/>
                <w:szCs w:val="24"/>
              </w:rPr>
            </w:pPr>
            <w:bookmarkStart w:id="93" w:name="_Toc195189690"/>
            <w:r w:rsidRPr="00B066C6">
              <w:rPr>
                <w:rFonts w:ascii="Times New Roman" w:hAnsi="Times New Roman" w:cs="Times New Roman"/>
                <w:b/>
                <w:bCs/>
                <w:i w:val="0"/>
                <w:iCs w:val="0"/>
                <w:color w:val="auto"/>
                <w:sz w:val="24"/>
                <w:szCs w:val="24"/>
              </w:rPr>
              <w:lastRenderedPageBreak/>
              <w:t xml:space="preserve">Table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Table \* ARABIC </w:instrText>
            </w:r>
            <w:r w:rsidRPr="00B066C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Type III Wald chi-square tests assessing the effects of canopy cover, canopy height, elevation, and their interaction on taxonomic and functional diversity metrics. Generalized least squares (GLS) regression was used to account for spatial dependence in model residuals, with a Gaussian spatial correlation structure applied. Significant relationships (</w:t>
            </w:r>
            <w:r w:rsidRPr="00B066C6">
              <w:rPr>
                <w:rStyle w:val="Emphasis"/>
                <w:rFonts w:ascii="Times New Roman" w:hAnsi="Times New Roman" w:cs="Times New Roman"/>
                <w:i/>
                <w:iCs/>
                <w:color w:val="auto"/>
                <w:sz w:val="24"/>
                <w:szCs w:val="24"/>
              </w:rPr>
              <w:t>p &lt; 0.05</w:t>
            </w:r>
            <w:r w:rsidRPr="00B066C6">
              <w:rPr>
                <w:rFonts w:ascii="Times New Roman" w:hAnsi="Times New Roman" w:cs="Times New Roman"/>
                <w:i w:val="0"/>
                <w:iCs w:val="0"/>
                <w:color w:val="auto"/>
                <w:sz w:val="24"/>
                <w:szCs w:val="24"/>
              </w:rPr>
              <w:t>) are highlighted in bold with an asterisk (*).</w:t>
            </w:r>
            <w:bookmarkEnd w:id="93"/>
          </w:p>
        </w:tc>
      </w:tr>
      <w:tr w:rsidR="009A02AB" w:rsidRPr="00B066C6" w14:paraId="4F6C4D21" w14:textId="77777777" w:rsidTr="00C552BD">
        <w:tc>
          <w:tcPr>
            <w:tcW w:w="2190" w:type="dxa"/>
            <w:tcBorders>
              <w:top w:val="single" w:sz="4" w:space="0" w:color="auto"/>
            </w:tcBorders>
            <w:vAlign w:val="center"/>
          </w:tcPr>
          <w:p w14:paraId="0BC2BC30"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Response Variable</w:t>
            </w:r>
          </w:p>
        </w:tc>
        <w:tc>
          <w:tcPr>
            <w:tcW w:w="3617" w:type="dxa"/>
            <w:tcBorders>
              <w:top w:val="single" w:sz="4" w:space="0" w:color="auto"/>
            </w:tcBorders>
            <w:vAlign w:val="center"/>
          </w:tcPr>
          <w:p w14:paraId="48BA2FCA"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Predictor</w:t>
            </w:r>
          </w:p>
        </w:tc>
        <w:tc>
          <w:tcPr>
            <w:tcW w:w="1843" w:type="dxa"/>
            <w:tcBorders>
              <w:top w:val="single" w:sz="4" w:space="0" w:color="auto"/>
            </w:tcBorders>
            <w:vAlign w:val="center"/>
          </w:tcPr>
          <w:p w14:paraId="29C8349F"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Chi Squared</w:t>
            </w:r>
          </w:p>
        </w:tc>
        <w:tc>
          <w:tcPr>
            <w:tcW w:w="1548" w:type="dxa"/>
            <w:tcBorders>
              <w:top w:val="single" w:sz="4" w:space="0" w:color="auto"/>
            </w:tcBorders>
            <w:vAlign w:val="center"/>
          </w:tcPr>
          <w:p w14:paraId="0097823F"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P-value</w:t>
            </w:r>
          </w:p>
        </w:tc>
      </w:tr>
      <w:tr w:rsidR="009A02AB" w:rsidRPr="00B066C6" w14:paraId="26ED6FA5" w14:textId="77777777" w:rsidTr="00C552BD">
        <w:tc>
          <w:tcPr>
            <w:tcW w:w="2190" w:type="dxa"/>
            <w:vMerge w:val="restart"/>
            <w:shd w:val="clear" w:color="auto" w:fill="E8E8E8" w:themeFill="background2"/>
            <w:vAlign w:val="center"/>
          </w:tcPr>
          <w:p w14:paraId="08D7C535"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color w:val="000000"/>
              </w:rPr>
              <w:t>Species Richness (Q0)</w:t>
            </w:r>
          </w:p>
        </w:tc>
        <w:tc>
          <w:tcPr>
            <w:tcW w:w="3617" w:type="dxa"/>
            <w:shd w:val="clear" w:color="auto" w:fill="E8E8E8" w:themeFill="background2"/>
            <w:vAlign w:val="center"/>
          </w:tcPr>
          <w:p w14:paraId="58B53581"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shd w:val="clear" w:color="auto" w:fill="E8E8E8" w:themeFill="background2"/>
            <w:vAlign w:val="center"/>
          </w:tcPr>
          <w:p w14:paraId="3AD278FE"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0.20</w:t>
            </w:r>
          </w:p>
        </w:tc>
        <w:tc>
          <w:tcPr>
            <w:tcW w:w="1548" w:type="dxa"/>
            <w:shd w:val="clear" w:color="auto" w:fill="E8E8E8" w:themeFill="background2"/>
            <w:vAlign w:val="center"/>
          </w:tcPr>
          <w:p w14:paraId="37788E07"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0.66</w:t>
            </w:r>
          </w:p>
        </w:tc>
      </w:tr>
      <w:tr w:rsidR="009A02AB" w:rsidRPr="00B066C6" w14:paraId="158A0F88" w14:textId="77777777" w:rsidTr="00C552BD">
        <w:tc>
          <w:tcPr>
            <w:tcW w:w="2190" w:type="dxa"/>
            <w:vMerge/>
            <w:shd w:val="clear" w:color="auto" w:fill="E8E8E8" w:themeFill="background2"/>
            <w:vAlign w:val="center"/>
          </w:tcPr>
          <w:p w14:paraId="7DE0E341"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377B3E68"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Height</w:t>
            </w:r>
          </w:p>
        </w:tc>
        <w:tc>
          <w:tcPr>
            <w:tcW w:w="1843" w:type="dxa"/>
            <w:shd w:val="clear" w:color="auto" w:fill="E8E8E8" w:themeFill="background2"/>
            <w:vAlign w:val="center"/>
          </w:tcPr>
          <w:p w14:paraId="0E15F71F"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1.48</w:t>
            </w:r>
          </w:p>
        </w:tc>
        <w:tc>
          <w:tcPr>
            <w:tcW w:w="1548" w:type="dxa"/>
            <w:shd w:val="clear" w:color="auto" w:fill="E8E8E8" w:themeFill="background2"/>
            <w:vAlign w:val="center"/>
          </w:tcPr>
          <w:p w14:paraId="7BB623D8"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0.22</w:t>
            </w:r>
          </w:p>
        </w:tc>
      </w:tr>
      <w:tr w:rsidR="009A02AB" w:rsidRPr="00B066C6" w14:paraId="72E3BE47" w14:textId="77777777" w:rsidTr="00C552BD">
        <w:tc>
          <w:tcPr>
            <w:tcW w:w="2190" w:type="dxa"/>
            <w:vMerge/>
            <w:shd w:val="clear" w:color="auto" w:fill="E8E8E8" w:themeFill="background2"/>
            <w:vAlign w:val="center"/>
          </w:tcPr>
          <w:p w14:paraId="6C8283D5"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660881C1"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shd w:val="clear" w:color="auto" w:fill="E8E8E8" w:themeFill="background2"/>
            <w:vAlign w:val="center"/>
          </w:tcPr>
          <w:p w14:paraId="6F66C13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1.33</w:t>
            </w:r>
          </w:p>
        </w:tc>
        <w:tc>
          <w:tcPr>
            <w:tcW w:w="1548" w:type="dxa"/>
            <w:shd w:val="clear" w:color="auto" w:fill="E8E8E8" w:themeFill="background2"/>
            <w:vAlign w:val="center"/>
          </w:tcPr>
          <w:p w14:paraId="540F8810"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0.25</w:t>
            </w:r>
          </w:p>
        </w:tc>
      </w:tr>
      <w:tr w:rsidR="009A02AB" w:rsidRPr="00B066C6" w14:paraId="2C61BC5B" w14:textId="77777777" w:rsidTr="00C552BD">
        <w:tc>
          <w:tcPr>
            <w:tcW w:w="2190" w:type="dxa"/>
            <w:vMerge/>
            <w:shd w:val="clear" w:color="auto" w:fill="E8E8E8" w:themeFill="background2"/>
            <w:vAlign w:val="center"/>
          </w:tcPr>
          <w:p w14:paraId="26079C49"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0D0364FB"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 * Canopy Height</w:t>
            </w:r>
          </w:p>
        </w:tc>
        <w:tc>
          <w:tcPr>
            <w:tcW w:w="1843" w:type="dxa"/>
            <w:shd w:val="clear" w:color="auto" w:fill="E8E8E8" w:themeFill="background2"/>
            <w:vAlign w:val="center"/>
          </w:tcPr>
          <w:p w14:paraId="5645971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0.25</w:t>
            </w:r>
          </w:p>
        </w:tc>
        <w:tc>
          <w:tcPr>
            <w:tcW w:w="1548" w:type="dxa"/>
            <w:shd w:val="clear" w:color="auto" w:fill="E8E8E8" w:themeFill="background2"/>
            <w:vAlign w:val="center"/>
          </w:tcPr>
          <w:p w14:paraId="46C2707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0.62</w:t>
            </w:r>
          </w:p>
        </w:tc>
      </w:tr>
      <w:tr w:rsidR="009A02AB" w:rsidRPr="00B066C6" w14:paraId="3EE19330" w14:textId="77777777" w:rsidTr="00C552BD">
        <w:tc>
          <w:tcPr>
            <w:tcW w:w="2190" w:type="dxa"/>
            <w:vMerge w:val="restart"/>
            <w:vAlign w:val="center"/>
          </w:tcPr>
          <w:p w14:paraId="3C83C633"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Shannon Entropy</w:t>
            </w:r>
            <w:r w:rsidRPr="00B066C6">
              <w:rPr>
                <w:rFonts w:ascii="Times New Roman" w:hAnsi="Times New Roman" w:cs="Times New Roman"/>
                <w:color w:val="000000"/>
              </w:rPr>
              <w:t xml:space="preserve"> (Q1)</w:t>
            </w:r>
          </w:p>
        </w:tc>
        <w:tc>
          <w:tcPr>
            <w:tcW w:w="3617" w:type="dxa"/>
            <w:vAlign w:val="center"/>
          </w:tcPr>
          <w:p w14:paraId="265775E2"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vAlign w:val="center"/>
          </w:tcPr>
          <w:p w14:paraId="04523366"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0.06</w:t>
            </w:r>
          </w:p>
        </w:tc>
        <w:tc>
          <w:tcPr>
            <w:tcW w:w="1548" w:type="dxa"/>
            <w:vAlign w:val="center"/>
          </w:tcPr>
          <w:p w14:paraId="608A90CB"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0.81</w:t>
            </w:r>
          </w:p>
        </w:tc>
      </w:tr>
      <w:tr w:rsidR="009A02AB" w:rsidRPr="00B066C6" w14:paraId="617FB138" w14:textId="77777777" w:rsidTr="00C552BD">
        <w:tc>
          <w:tcPr>
            <w:tcW w:w="2190" w:type="dxa"/>
            <w:vMerge/>
            <w:vAlign w:val="center"/>
          </w:tcPr>
          <w:p w14:paraId="6ED8714D"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007F8126"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Canopy Height</w:t>
            </w:r>
          </w:p>
        </w:tc>
        <w:tc>
          <w:tcPr>
            <w:tcW w:w="1843" w:type="dxa"/>
            <w:vAlign w:val="center"/>
          </w:tcPr>
          <w:p w14:paraId="368A511E"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4.92</w:t>
            </w:r>
          </w:p>
        </w:tc>
        <w:tc>
          <w:tcPr>
            <w:tcW w:w="1548" w:type="dxa"/>
            <w:vAlign w:val="center"/>
          </w:tcPr>
          <w:p w14:paraId="7356BC38"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0.03*</w:t>
            </w:r>
          </w:p>
        </w:tc>
      </w:tr>
      <w:tr w:rsidR="009A02AB" w:rsidRPr="00B066C6" w14:paraId="7CFC70A4" w14:textId="77777777" w:rsidTr="00C552BD">
        <w:tc>
          <w:tcPr>
            <w:tcW w:w="2190" w:type="dxa"/>
            <w:vMerge/>
            <w:vAlign w:val="center"/>
          </w:tcPr>
          <w:p w14:paraId="7ABE9B5D"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7D5B3FCF"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vAlign w:val="center"/>
          </w:tcPr>
          <w:p w14:paraId="30ABE02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0.76</w:t>
            </w:r>
          </w:p>
        </w:tc>
        <w:tc>
          <w:tcPr>
            <w:tcW w:w="1548" w:type="dxa"/>
            <w:vAlign w:val="center"/>
          </w:tcPr>
          <w:p w14:paraId="4CC35764"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0.38</w:t>
            </w:r>
          </w:p>
        </w:tc>
      </w:tr>
      <w:tr w:rsidR="009A02AB" w:rsidRPr="00B066C6" w14:paraId="432D3390" w14:textId="77777777" w:rsidTr="00C552BD">
        <w:tc>
          <w:tcPr>
            <w:tcW w:w="2190" w:type="dxa"/>
            <w:vMerge/>
            <w:vAlign w:val="center"/>
          </w:tcPr>
          <w:p w14:paraId="7B7A3132"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19BE417A"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 * Canopy Height</w:t>
            </w:r>
          </w:p>
        </w:tc>
        <w:tc>
          <w:tcPr>
            <w:tcW w:w="1843" w:type="dxa"/>
            <w:vAlign w:val="center"/>
          </w:tcPr>
          <w:p w14:paraId="32E2B7F8"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1.96</w:t>
            </w:r>
          </w:p>
        </w:tc>
        <w:tc>
          <w:tcPr>
            <w:tcW w:w="1548" w:type="dxa"/>
            <w:vAlign w:val="center"/>
          </w:tcPr>
          <w:p w14:paraId="3EB865FB"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0.16</w:t>
            </w:r>
          </w:p>
        </w:tc>
      </w:tr>
      <w:tr w:rsidR="009A02AB" w:rsidRPr="00B066C6" w14:paraId="7F26AA26" w14:textId="77777777" w:rsidTr="00C552BD">
        <w:tc>
          <w:tcPr>
            <w:tcW w:w="2190" w:type="dxa"/>
            <w:vMerge w:val="restart"/>
            <w:shd w:val="clear" w:color="auto" w:fill="E8E8E8" w:themeFill="background2"/>
            <w:vAlign w:val="center"/>
          </w:tcPr>
          <w:p w14:paraId="381FEBF0"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Inverse Simpson Index</w:t>
            </w:r>
            <w:r w:rsidRPr="00B066C6">
              <w:rPr>
                <w:rFonts w:ascii="Times New Roman" w:hAnsi="Times New Roman" w:cs="Times New Roman"/>
                <w:color w:val="000000"/>
              </w:rPr>
              <w:t xml:space="preserve"> (Q2)</w:t>
            </w:r>
          </w:p>
        </w:tc>
        <w:tc>
          <w:tcPr>
            <w:tcW w:w="3617" w:type="dxa"/>
            <w:shd w:val="clear" w:color="auto" w:fill="E8E8E8" w:themeFill="background2"/>
            <w:vAlign w:val="center"/>
          </w:tcPr>
          <w:p w14:paraId="3BAB1ABF"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shd w:val="clear" w:color="auto" w:fill="E8E8E8" w:themeFill="background2"/>
            <w:vAlign w:val="center"/>
          </w:tcPr>
          <w:p w14:paraId="2E2DF2F2"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0.07</w:t>
            </w:r>
          </w:p>
        </w:tc>
        <w:tc>
          <w:tcPr>
            <w:tcW w:w="1548" w:type="dxa"/>
            <w:shd w:val="clear" w:color="auto" w:fill="E8E8E8" w:themeFill="background2"/>
            <w:vAlign w:val="center"/>
          </w:tcPr>
          <w:p w14:paraId="33CDF46C"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0.79</w:t>
            </w:r>
          </w:p>
        </w:tc>
      </w:tr>
      <w:tr w:rsidR="009A02AB" w:rsidRPr="00B066C6" w14:paraId="6CE64272" w14:textId="77777777" w:rsidTr="00C552BD">
        <w:tc>
          <w:tcPr>
            <w:tcW w:w="2190" w:type="dxa"/>
            <w:vMerge/>
            <w:shd w:val="clear" w:color="auto" w:fill="E8E8E8" w:themeFill="background2"/>
            <w:vAlign w:val="center"/>
          </w:tcPr>
          <w:p w14:paraId="095A689F"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6C6C5621"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Height</w:t>
            </w:r>
          </w:p>
        </w:tc>
        <w:tc>
          <w:tcPr>
            <w:tcW w:w="1843" w:type="dxa"/>
            <w:shd w:val="clear" w:color="auto" w:fill="E8E8E8" w:themeFill="background2"/>
            <w:vAlign w:val="center"/>
          </w:tcPr>
          <w:p w14:paraId="13311CF0"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4.36</w:t>
            </w:r>
          </w:p>
        </w:tc>
        <w:tc>
          <w:tcPr>
            <w:tcW w:w="1548" w:type="dxa"/>
            <w:shd w:val="clear" w:color="auto" w:fill="E8E8E8" w:themeFill="background2"/>
            <w:vAlign w:val="center"/>
          </w:tcPr>
          <w:p w14:paraId="5E2FDAB5"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0.04</w:t>
            </w:r>
          </w:p>
        </w:tc>
      </w:tr>
      <w:tr w:rsidR="009A02AB" w:rsidRPr="00B066C6" w14:paraId="34E7F764" w14:textId="77777777" w:rsidTr="00C552BD">
        <w:tc>
          <w:tcPr>
            <w:tcW w:w="2190" w:type="dxa"/>
            <w:vMerge/>
            <w:shd w:val="clear" w:color="auto" w:fill="E8E8E8" w:themeFill="background2"/>
            <w:vAlign w:val="center"/>
          </w:tcPr>
          <w:p w14:paraId="588FF072"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250827F2"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shd w:val="clear" w:color="auto" w:fill="E8E8E8" w:themeFill="background2"/>
            <w:vAlign w:val="center"/>
          </w:tcPr>
          <w:p w14:paraId="44F1434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0.38</w:t>
            </w:r>
          </w:p>
        </w:tc>
        <w:tc>
          <w:tcPr>
            <w:tcW w:w="1548" w:type="dxa"/>
            <w:shd w:val="clear" w:color="auto" w:fill="E8E8E8" w:themeFill="background2"/>
            <w:vAlign w:val="center"/>
          </w:tcPr>
          <w:p w14:paraId="76AF0F3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0.54</w:t>
            </w:r>
          </w:p>
        </w:tc>
      </w:tr>
      <w:tr w:rsidR="009A02AB" w:rsidRPr="00B066C6" w14:paraId="593664DA" w14:textId="77777777" w:rsidTr="00C552BD">
        <w:tc>
          <w:tcPr>
            <w:tcW w:w="2190" w:type="dxa"/>
            <w:vMerge/>
            <w:shd w:val="clear" w:color="auto" w:fill="E8E8E8" w:themeFill="background2"/>
            <w:vAlign w:val="center"/>
          </w:tcPr>
          <w:p w14:paraId="420A9091"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2A58F154"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 * Canopy Height</w:t>
            </w:r>
          </w:p>
        </w:tc>
        <w:tc>
          <w:tcPr>
            <w:tcW w:w="1843" w:type="dxa"/>
            <w:shd w:val="clear" w:color="auto" w:fill="E8E8E8" w:themeFill="background2"/>
            <w:vAlign w:val="center"/>
          </w:tcPr>
          <w:p w14:paraId="312EF783"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2.41</w:t>
            </w:r>
          </w:p>
        </w:tc>
        <w:tc>
          <w:tcPr>
            <w:tcW w:w="1548" w:type="dxa"/>
            <w:shd w:val="clear" w:color="auto" w:fill="E8E8E8" w:themeFill="background2"/>
            <w:vAlign w:val="center"/>
          </w:tcPr>
          <w:p w14:paraId="71DA27D1"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0.12</w:t>
            </w:r>
          </w:p>
        </w:tc>
      </w:tr>
      <w:tr w:rsidR="009A02AB" w:rsidRPr="00B066C6" w14:paraId="4B54323D" w14:textId="77777777" w:rsidTr="00C552BD">
        <w:tc>
          <w:tcPr>
            <w:tcW w:w="2190" w:type="dxa"/>
            <w:vMerge w:val="restart"/>
            <w:vAlign w:val="center"/>
          </w:tcPr>
          <w:p w14:paraId="16C7D6A4"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color w:val="000000"/>
              </w:rPr>
              <w:t>Functional Richness (FRic)</w:t>
            </w:r>
          </w:p>
        </w:tc>
        <w:tc>
          <w:tcPr>
            <w:tcW w:w="3617" w:type="dxa"/>
            <w:vAlign w:val="center"/>
          </w:tcPr>
          <w:p w14:paraId="0B820415"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vAlign w:val="center"/>
          </w:tcPr>
          <w:p w14:paraId="15E35D71"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0.00</w:t>
            </w:r>
          </w:p>
        </w:tc>
        <w:tc>
          <w:tcPr>
            <w:tcW w:w="1548" w:type="dxa"/>
            <w:vAlign w:val="center"/>
          </w:tcPr>
          <w:p w14:paraId="4E847A4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0.98</w:t>
            </w:r>
          </w:p>
        </w:tc>
      </w:tr>
      <w:tr w:rsidR="009A02AB" w:rsidRPr="00B066C6" w14:paraId="048080C0" w14:textId="77777777" w:rsidTr="00C552BD">
        <w:tc>
          <w:tcPr>
            <w:tcW w:w="2190" w:type="dxa"/>
            <w:vMerge/>
            <w:vAlign w:val="center"/>
          </w:tcPr>
          <w:p w14:paraId="78182154"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50C3852E"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Height</w:t>
            </w:r>
          </w:p>
        </w:tc>
        <w:tc>
          <w:tcPr>
            <w:tcW w:w="1843" w:type="dxa"/>
            <w:vAlign w:val="center"/>
          </w:tcPr>
          <w:p w14:paraId="77D924AD"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0.05</w:t>
            </w:r>
          </w:p>
        </w:tc>
        <w:tc>
          <w:tcPr>
            <w:tcW w:w="1548" w:type="dxa"/>
            <w:vAlign w:val="center"/>
          </w:tcPr>
          <w:p w14:paraId="6061016C"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0.82</w:t>
            </w:r>
          </w:p>
        </w:tc>
      </w:tr>
      <w:tr w:rsidR="009A02AB" w:rsidRPr="00B066C6" w14:paraId="354F734A" w14:textId="77777777" w:rsidTr="00C552BD">
        <w:tc>
          <w:tcPr>
            <w:tcW w:w="2190" w:type="dxa"/>
            <w:vMerge/>
            <w:vAlign w:val="center"/>
          </w:tcPr>
          <w:p w14:paraId="50D80A89"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0B18F9DF"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vAlign w:val="center"/>
          </w:tcPr>
          <w:p w14:paraId="58369A28"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1.72</w:t>
            </w:r>
          </w:p>
        </w:tc>
        <w:tc>
          <w:tcPr>
            <w:tcW w:w="1548" w:type="dxa"/>
            <w:vAlign w:val="center"/>
          </w:tcPr>
          <w:p w14:paraId="41C4C892"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0.19</w:t>
            </w:r>
          </w:p>
        </w:tc>
      </w:tr>
      <w:tr w:rsidR="009A02AB" w:rsidRPr="00B066C6" w14:paraId="49E0F7D1" w14:textId="77777777" w:rsidTr="00C552BD">
        <w:tc>
          <w:tcPr>
            <w:tcW w:w="2190" w:type="dxa"/>
            <w:vMerge/>
            <w:vAlign w:val="center"/>
          </w:tcPr>
          <w:p w14:paraId="4406A716"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4E44E297"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 * Canopy Height</w:t>
            </w:r>
          </w:p>
        </w:tc>
        <w:tc>
          <w:tcPr>
            <w:tcW w:w="1843" w:type="dxa"/>
            <w:vAlign w:val="center"/>
          </w:tcPr>
          <w:p w14:paraId="43B58E67"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0.01</w:t>
            </w:r>
          </w:p>
        </w:tc>
        <w:tc>
          <w:tcPr>
            <w:tcW w:w="1548" w:type="dxa"/>
            <w:vAlign w:val="center"/>
          </w:tcPr>
          <w:p w14:paraId="2724CD33"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0.93</w:t>
            </w:r>
          </w:p>
        </w:tc>
      </w:tr>
      <w:tr w:rsidR="009A02AB" w:rsidRPr="00B066C6" w14:paraId="2A939078" w14:textId="77777777" w:rsidTr="00C552BD">
        <w:tc>
          <w:tcPr>
            <w:tcW w:w="2190" w:type="dxa"/>
            <w:vMerge w:val="restart"/>
            <w:shd w:val="clear" w:color="auto" w:fill="E8E8E8" w:themeFill="background2"/>
            <w:vAlign w:val="center"/>
          </w:tcPr>
          <w:p w14:paraId="568FE20B"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color w:val="000000"/>
              </w:rPr>
              <w:t>Functional Divergence (FDiv)</w:t>
            </w:r>
          </w:p>
        </w:tc>
        <w:tc>
          <w:tcPr>
            <w:tcW w:w="3617" w:type="dxa"/>
            <w:shd w:val="clear" w:color="auto" w:fill="E8E8E8" w:themeFill="background2"/>
            <w:vAlign w:val="center"/>
          </w:tcPr>
          <w:p w14:paraId="68DFA705"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shd w:val="clear" w:color="auto" w:fill="E8E8E8" w:themeFill="background2"/>
            <w:vAlign w:val="center"/>
          </w:tcPr>
          <w:p w14:paraId="671761A7"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1.18</w:t>
            </w:r>
          </w:p>
        </w:tc>
        <w:tc>
          <w:tcPr>
            <w:tcW w:w="1548" w:type="dxa"/>
            <w:shd w:val="clear" w:color="auto" w:fill="E8E8E8" w:themeFill="background2"/>
            <w:vAlign w:val="center"/>
          </w:tcPr>
          <w:p w14:paraId="070A20A8"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0.28</w:t>
            </w:r>
          </w:p>
        </w:tc>
      </w:tr>
      <w:tr w:rsidR="009A02AB" w:rsidRPr="00B066C6" w14:paraId="31BB106E" w14:textId="77777777" w:rsidTr="00C552BD">
        <w:tc>
          <w:tcPr>
            <w:tcW w:w="2190" w:type="dxa"/>
            <w:vMerge/>
            <w:shd w:val="clear" w:color="auto" w:fill="E8E8E8" w:themeFill="background2"/>
            <w:vAlign w:val="center"/>
          </w:tcPr>
          <w:p w14:paraId="7A1A1159"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551887A8"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Canopy Height</w:t>
            </w:r>
          </w:p>
        </w:tc>
        <w:tc>
          <w:tcPr>
            <w:tcW w:w="1843" w:type="dxa"/>
            <w:shd w:val="clear" w:color="auto" w:fill="E8E8E8" w:themeFill="background2"/>
            <w:vAlign w:val="center"/>
          </w:tcPr>
          <w:p w14:paraId="29190955"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11.46</w:t>
            </w:r>
          </w:p>
        </w:tc>
        <w:tc>
          <w:tcPr>
            <w:tcW w:w="1548" w:type="dxa"/>
            <w:shd w:val="clear" w:color="auto" w:fill="E8E8E8" w:themeFill="background2"/>
            <w:vAlign w:val="center"/>
          </w:tcPr>
          <w:p w14:paraId="4087B86D"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&lt; 0.001 *</w:t>
            </w:r>
          </w:p>
        </w:tc>
      </w:tr>
      <w:tr w:rsidR="009A02AB" w:rsidRPr="00B066C6" w14:paraId="1D4DDE5C" w14:textId="77777777" w:rsidTr="00C552BD">
        <w:tc>
          <w:tcPr>
            <w:tcW w:w="2190" w:type="dxa"/>
            <w:vMerge/>
            <w:shd w:val="clear" w:color="auto" w:fill="E8E8E8" w:themeFill="background2"/>
            <w:vAlign w:val="center"/>
          </w:tcPr>
          <w:p w14:paraId="707215D6"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63BCB6B0"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shd w:val="clear" w:color="auto" w:fill="E8E8E8" w:themeFill="background2"/>
            <w:vAlign w:val="center"/>
          </w:tcPr>
          <w:p w14:paraId="59B97931"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3.28</w:t>
            </w:r>
          </w:p>
        </w:tc>
        <w:tc>
          <w:tcPr>
            <w:tcW w:w="1548" w:type="dxa"/>
            <w:shd w:val="clear" w:color="auto" w:fill="E8E8E8" w:themeFill="background2"/>
            <w:vAlign w:val="center"/>
          </w:tcPr>
          <w:p w14:paraId="3B6B4549"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0.07</w:t>
            </w:r>
          </w:p>
        </w:tc>
      </w:tr>
      <w:tr w:rsidR="009A02AB" w:rsidRPr="00B066C6" w14:paraId="700A0D6E" w14:textId="77777777" w:rsidTr="00C552BD">
        <w:tc>
          <w:tcPr>
            <w:tcW w:w="2190" w:type="dxa"/>
            <w:vMerge/>
            <w:shd w:val="clear" w:color="auto" w:fill="E8E8E8" w:themeFill="background2"/>
            <w:vAlign w:val="center"/>
          </w:tcPr>
          <w:p w14:paraId="4F5824EC" w14:textId="77777777" w:rsidR="009A02AB" w:rsidRPr="00B066C6" w:rsidRDefault="009A02AB" w:rsidP="00C552BD">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038D3FBD"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Canopy Cover * Canopy Height</w:t>
            </w:r>
          </w:p>
        </w:tc>
        <w:tc>
          <w:tcPr>
            <w:tcW w:w="1843" w:type="dxa"/>
            <w:shd w:val="clear" w:color="auto" w:fill="E8E8E8" w:themeFill="background2"/>
            <w:vAlign w:val="center"/>
          </w:tcPr>
          <w:p w14:paraId="5CD2EC82"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12.53</w:t>
            </w:r>
          </w:p>
        </w:tc>
        <w:tc>
          <w:tcPr>
            <w:tcW w:w="1548" w:type="dxa"/>
            <w:shd w:val="clear" w:color="auto" w:fill="E8E8E8" w:themeFill="background2"/>
            <w:vAlign w:val="center"/>
          </w:tcPr>
          <w:p w14:paraId="22C80F92" w14:textId="77777777" w:rsidR="009A02AB" w:rsidRPr="00B066C6" w:rsidRDefault="009A02AB" w:rsidP="00C552BD">
            <w:pPr>
              <w:spacing w:before="0" w:line="360" w:lineRule="auto"/>
              <w:jc w:val="center"/>
              <w:rPr>
                <w:rFonts w:ascii="Times New Roman" w:hAnsi="Times New Roman" w:cs="Times New Roman"/>
                <w:b/>
                <w:bCs/>
              </w:rPr>
            </w:pPr>
            <w:r w:rsidRPr="00B066C6">
              <w:rPr>
                <w:rFonts w:ascii="Times New Roman" w:hAnsi="Times New Roman" w:cs="Times New Roman"/>
                <w:b/>
                <w:bCs/>
              </w:rPr>
              <w:t>&lt; 0.001 *</w:t>
            </w:r>
          </w:p>
        </w:tc>
      </w:tr>
      <w:tr w:rsidR="009A02AB" w:rsidRPr="00B066C6" w14:paraId="6EBCD004" w14:textId="77777777" w:rsidTr="00C552BD">
        <w:tc>
          <w:tcPr>
            <w:tcW w:w="2190" w:type="dxa"/>
            <w:vMerge w:val="restart"/>
            <w:vAlign w:val="center"/>
          </w:tcPr>
          <w:p w14:paraId="4CB23A68"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Functional Evenness (FEve)</w:t>
            </w:r>
          </w:p>
        </w:tc>
        <w:tc>
          <w:tcPr>
            <w:tcW w:w="3617" w:type="dxa"/>
            <w:vAlign w:val="center"/>
          </w:tcPr>
          <w:p w14:paraId="6C7794F3"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vAlign w:val="center"/>
          </w:tcPr>
          <w:p w14:paraId="429A2111"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0.56</w:t>
            </w:r>
          </w:p>
        </w:tc>
        <w:tc>
          <w:tcPr>
            <w:tcW w:w="1548" w:type="dxa"/>
            <w:vAlign w:val="center"/>
          </w:tcPr>
          <w:p w14:paraId="2DF36D82"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0.45</w:t>
            </w:r>
          </w:p>
        </w:tc>
      </w:tr>
      <w:tr w:rsidR="009A02AB" w:rsidRPr="00B066C6" w14:paraId="5CC45989" w14:textId="77777777" w:rsidTr="00C552BD">
        <w:tc>
          <w:tcPr>
            <w:tcW w:w="2190" w:type="dxa"/>
            <w:vMerge/>
            <w:vAlign w:val="center"/>
          </w:tcPr>
          <w:p w14:paraId="5C8527B5"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7B512723"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Height</w:t>
            </w:r>
          </w:p>
        </w:tc>
        <w:tc>
          <w:tcPr>
            <w:tcW w:w="1843" w:type="dxa"/>
            <w:vAlign w:val="center"/>
          </w:tcPr>
          <w:p w14:paraId="7357687E"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2.22</w:t>
            </w:r>
          </w:p>
        </w:tc>
        <w:tc>
          <w:tcPr>
            <w:tcW w:w="1548" w:type="dxa"/>
            <w:vAlign w:val="center"/>
          </w:tcPr>
          <w:p w14:paraId="7B50907F"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0.14</w:t>
            </w:r>
          </w:p>
        </w:tc>
      </w:tr>
      <w:tr w:rsidR="009A02AB" w:rsidRPr="00B066C6" w14:paraId="1F28A76C" w14:textId="77777777" w:rsidTr="00C552BD">
        <w:tc>
          <w:tcPr>
            <w:tcW w:w="2190" w:type="dxa"/>
            <w:vMerge/>
            <w:vAlign w:val="center"/>
          </w:tcPr>
          <w:p w14:paraId="73ABD148"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2188A24E"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vAlign w:val="center"/>
          </w:tcPr>
          <w:p w14:paraId="11C75A70"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1.07</w:t>
            </w:r>
          </w:p>
        </w:tc>
        <w:tc>
          <w:tcPr>
            <w:tcW w:w="1548" w:type="dxa"/>
            <w:vAlign w:val="center"/>
          </w:tcPr>
          <w:p w14:paraId="27E534D5"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0.30</w:t>
            </w:r>
          </w:p>
        </w:tc>
      </w:tr>
      <w:tr w:rsidR="009A02AB" w:rsidRPr="00B066C6" w14:paraId="7305E1FC" w14:textId="77777777" w:rsidTr="00C552BD">
        <w:tc>
          <w:tcPr>
            <w:tcW w:w="2190" w:type="dxa"/>
            <w:vMerge/>
            <w:vAlign w:val="center"/>
          </w:tcPr>
          <w:p w14:paraId="75AB9E1E" w14:textId="77777777" w:rsidR="009A02AB" w:rsidRPr="00B066C6" w:rsidRDefault="009A02AB" w:rsidP="00C552BD">
            <w:pPr>
              <w:spacing w:before="0" w:line="360" w:lineRule="auto"/>
              <w:jc w:val="center"/>
              <w:rPr>
                <w:rFonts w:ascii="Times New Roman" w:hAnsi="Times New Roman" w:cs="Times New Roman"/>
              </w:rPr>
            </w:pPr>
          </w:p>
        </w:tc>
        <w:tc>
          <w:tcPr>
            <w:tcW w:w="3617" w:type="dxa"/>
            <w:vAlign w:val="center"/>
          </w:tcPr>
          <w:p w14:paraId="53DDD477"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Canopy Cover * Canopy Height</w:t>
            </w:r>
          </w:p>
        </w:tc>
        <w:tc>
          <w:tcPr>
            <w:tcW w:w="1843" w:type="dxa"/>
            <w:vAlign w:val="center"/>
          </w:tcPr>
          <w:p w14:paraId="002CC4E8"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2.64</w:t>
            </w:r>
          </w:p>
        </w:tc>
        <w:tc>
          <w:tcPr>
            <w:tcW w:w="1548" w:type="dxa"/>
            <w:vAlign w:val="center"/>
          </w:tcPr>
          <w:p w14:paraId="508AAC6E" w14:textId="77777777" w:rsidR="009A02AB" w:rsidRPr="00B066C6" w:rsidRDefault="009A02AB" w:rsidP="00C552BD">
            <w:pPr>
              <w:spacing w:before="0" w:line="360" w:lineRule="auto"/>
              <w:jc w:val="center"/>
              <w:rPr>
                <w:rFonts w:ascii="Times New Roman" w:hAnsi="Times New Roman" w:cs="Times New Roman"/>
              </w:rPr>
            </w:pPr>
            <w:r w:rsidRPr="00B066C6">
              <w:rPr>
                <w:rFonts w:ascii="Times New Roman" w:hAnsi="Times New Roman" w:cs="Times New Roman"/>
              </w:rPr>
              <w:t>0.10</w:t>
            </w:r>
          </w:p>
        </w:tc>
      </w:tr>
    </w:tbl>
    <w:p w14:paraId="5A98B3F7" w14:textId="77777777" w:rsidR="00D77075" w:rsidRDefault="00D77075" w:rsidP="00D77075">
      <w:pPr>
        <w:rPr>
          <w:rFonts w:ascii="Times New Roman" w:hAnsi="Times New Roman" w:cs="Times New Roman"/>
        </w:rPr>
      </w:pPr>
    </w:p>
    <w:p w14:paraId="0208A142" w14:textId="3E9A057A" w:rsidR="00D77075" w:rsidRDefault="00D77075" w:rsidP="005A0AC0">
      <w:pPr>
        <w:spacing w:before="0" w:after="0"/>
        <w:rPr>
          <w:rFonts w:ascii="Times New Roman" w:hAnsi="Times New Roman" w:cs="Times New Roman"/>
        </w:rPr>
      </w:pPr>
      <w:r w:rsidRPr="00D77075">
        <w:rPr>
          <w:rFonts w:ascii="Times New Roman" w:hAnsi="Times New Roman" w:cs="Times New Roman"/>
          <w:b/>
          <w:bCs/>
        </w:rPr>
        <w:lastRenderedPageBreak/>
        <w:t>Table 5</w:t>
      </w:r>
      <w:r>
        <w:rPr>
          <w:rFonts w:ascii="Times New Roman" w:hAnsi="Times New Roman" w:cs="Times New Roman"/>
        </w:rPr>
        <w:t xml:space="preserve"> Continued.</w:t>
      </w:r>
    </w:p>
    <w:tbl>
      <w:tblPr>
        <w:tblStyle w:val="TableGrid"/>
        <w:tblW w:w="0" w:type="auto"/>
        <w:tblLook w:val="04A0" w:firstRow="1" w:lastRow="0" w:firstColumn="1" w:lastColumn="0" w:noHBand="0" w:noVBand="1"/>
      </w:tblPr>
      <w:tblGrid>
        <w:gridCol w:w="2190"/>
        <w:gridCol w:w="3617"/>
        <w:gridCol w:w="1843"/>
        <w:gridCol w:w="1548"/>
      </w:tblGrid>
      <w:tr w:rsidR="00D77075" w:rsidRPr="00B066C6" w14:paraId="3ECA4873" w14:textId="77777777" w:rsidTr="000426A0">
        <w:tc>
          <w:tcPr>
            <w:tcW w:w="2190" w:type="dxa"/>
            <w:vMerge w:val="restart"/>
            <w:shd w:val="clear" w:color="auto" w:fill="E8E8E8" w:themeFill="background2"/>
            <w:vAlign w:val="center"/>
          </w:tcPr>
          <w:p w14:paraId="7340DCC7"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color w:val="000000"/>
              </w:rPr>
              <w:t>Functional Dispersion (FDis)</w:t>
            </w:r>
          </w:p>
        </w:tc>
        <w:tc>
          <w:tcPr>
            <w:tcW w:w="3617" w:type="dxa"/>
            <w:shd w:val="clear" w:color="auto" w:fill="E8E8E8" w:themeFill="background2"/>
            <w:vAlign w:val="center"/>
          </w:tcPr>
          <w:p w14:paraId="1A62C312"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shd w:val="clear" w:color="auto" w:fill="E8E8E8" w:themeFill="background2"/>
            <w:vAlign w:val="center"/>
          </w:tcPr>
          <w:p w14:paraId="59E237EB"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2.06</w:t>
            </w:r>
          </w:p>
        </w:tc>
        <w:tc>
          <w:tcPr>
            <w:tcW w:w="1548" w:type="dxa"/>
            <w:shd w:val="clear" w:color="auto" w:fill="E8E8E8" w:themeFill="background2"/>
            <w:vAlign w:val="center"/>
          </w:tcPr>
          <w:p w14:paraId="56881CEB"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0.15</w:t>
            </w:r>
          </w:p>
        </w:tc>
      </w:tr>
      <w:tr w:rsidR="00D77075" w:rsidRPr="00B066C6" w14:paraId="2E6FE5DB" w14:textId="77777777" w:rsidTr="000426A0">
        <w:tc>
          <w:tcPr>
            <w:tcW w:w="2190" w:type="dxa"/>
            <w:vMerge/>
            <w:shd w:val="clear" w:color="auto" w:fill="E8E8E8" w:themeFill="background2"/>
            <w:vAlign w:val="center"/>
          </w:tcPr>
          <w:p w14:paraId="714A3EE3" w14:textId="77777777" w:rsidR="00D77075" w:rsidRPr="00B066C6" w:rsidRDefault="00D77075" w:rsidP="000426A0">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485B85DF"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Canopy Height</w:t>
            </w:r>
          </w:p>
        </w:tc>
        <w:tc>
          <w:tcPr>
            <w:tcW w:w="1843" w:type="dxa"/>
            <w:shd w:val="clear" w:color="auto" w:fill="E8E8E8" w:themeFill="background2"/>
            <w:vAlign w:val="center"/>
          </w:tcPr>
          <w:p w14:paraId="7A2B9C24"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5.63</w:t>
            </w:r>
          </w:p>
        </w:tc>
        <w:tc>
          <w:tcPr>
            <w:tcW w:w="1548" w:type="dxa"/>
            <w:shd w:val="clear" w:color="auto" w:fill="E8E8E8" w:themeFill="background2"/>
            <w:vAlign w:val="center"/>
          </w:tcPr>
          <w:p w14:paraId="76121300"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0.02 *</w:t>
            </w:r>
          </w:p>
        </w:tc>
      </w:tr>
      <w:tr w:rsidR="00D77075" w:rsidRPr="00B066C6" w14:paraId="51875333" w14:textId="77777777" w:rsidTr="000426A0">
        <w:tc>
          <w:tcPr>
            <w:tcW w:w="2190" w:type="dxa"/>
            <w:vMerge/>
            <w:shd w:val="clear" w:color="auto" w:fill="E8E8E8" w:themeFill="background2"/>
            <w:vAlign w:val="center"/>
          </w:tcPr>
          <w:p w14:paraId="15D1C9F8" w14:textId="77777777" w:rsidR="00D77075" w:rsidRPr="00B066C6" w:rsidRDefault="00D77075" w:rsidP="000426A0">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2C3DE68B"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shd w:val="clear" w:color="auto" w:fill="E8E8E8" w:themeFill="background2"/>
            <w:vAlign w:val="center"/>
          </w:tcPr>
          <w:p w14:paraId="5DC225DB"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0.50</w:t>
            </w:r>
          </w:p>
        </w:tc>
        <w:tc>
          <w:tcPr>
            <w:tcW w:w="1548" w:type="dxa"/>
            <w:shd w:val="clear" w:color="auto" w:fill="E8E8E8" w:themeFill="background2"/>
            <w:vAlign w:val="center"/>
          </w:tcPr>
          <w:p w14:paraId="7C3327B5"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0.48</w:t>
            </w:r>
          </w:p>
        </w:tc>
      </w:tr>
      <w:tr w:rsidR="00D77075" w:rsidRPr="00B066C6" w14:paraId="7CBFDCE5" w14:textId="77777777" w:rsidTr="000426A0">
        <w:tc>
          <w:tcPr>
            <w:tcW w:w="2190" w:type="dxa"/>
            <w:vMerge/>
            <w:shd w:val="clear" w:color="auto" w:fill="E8E8E8" w:themeFill="background2"/>
            <w:vAlign w:val="center"/>
          </w:tcPr>
          <w:p w14:paraId="4F8F9C86" w14:textId="77777777" w:rsidR="00D77075" w:rsidRPr="00B066C6" w:rsidRDefault="00D77075" w:rsidP="000426A0">
            <w:pPr>
              <w:spacing w:before="0" w:line="360" w:lineRule="auto"/>
              <w:jc w:val="center"/>
              <w:rPr>
                <w:rFonts w:ascii="Times New Roman" w:hAnsi="Times New Roman" w:cs="Times New Roman"/>
              </w:rPr>
            </w:pPr>
          </w:p>
        </w:tc>
        <w:tc>
          <w:tcPr>
            <w:tcW w:w="3617" w:type="dxa"/>
            <w:shd w:val="clear" w:color="auto" w:fill="E8E8E8" w:themeFill="background2"/>
            <w:vAlign w:val="center"/>
          </w:tcPr>
          <w:p w14:paraId="5374A814"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Canopy Cover * Canopy Height</w:t>
            </w:r>
          </w:p>
        </w:tc>
        <w:tc>
          <w:tcPr>
            <w:tcW w:w="1843" w:type="dxa"/>
            <w:shd w:val="clear" w:color="auto" w:fill="E8E8E8" w:themeFill="background2"/>
            <w:vAlign w:val="center"/>
          </w:tcPr>
          <w:p w14:paraId="3D60FA95"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5.64</w:t>
            </w:r>
          </w:p>
        </w:tc>
        <w:tc>
          <w:tcPr>
            <w:tcW w:w="1548" w:type="dxa"/>
            <w:shd w:val="clear" w:color="auto" w:fill="E8E8E8" w:themeFill="background2"/>
            <w:vAlign w:val="center"/>
          </w:tcPr>
          <w:p w14:paraId="4C79EE82"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0.02 *</w:t>
            </w:r>
          </w:p>
        </w:tc>
      </w:tr>
      <w:tr w:rsidR="00D77075" w:rsidRPr="00B066C6" w14:paraId="59ABA379" w14:textId="77777777" w:rsidTr="000426A0">
        <w:tc>
          <w:tcPr>
            <w:tcW w:w="2190" w:type="dxa"/>
            <w:vMerge w:val="restart"/>
            <w:vAlign w:val="center"/>
          </w:tcPr>
          <w:p w14:paraId="678A3E11"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color w:val="000000"/>
              </w:rPr>
              <w:t>Rao's Quadratic Entropy (RaoQ)</w:t>
            </w:r>
          </w:p>
        </w:tc>
        <w:tc>
          <w:tcPr>
            <w:tcW w:w="3617" w:type="dxa"/>
            <w:vAlign w:val="center"/>
          </w:tcPr>
          <w:p w14:paraId="3D7BFC33"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Canopy Cover</w:t>
            </w:r>
          </w:p>
        </w:tc>
        <w:tc>
          <w:tcPr>
            <w:tcW w:w="1843" w:type="dxa"/>
            <w:vAlign w:val="center"/>
          </w:tcPr>
          <w:p w14:paraId="58870B30"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2.67</w:t>
            </w:r>
          </w:p>
        </w:tc>
        <w:tc>
          <w:tcPr>
            <w:tcW w:w="1548" w:type="dxa"/>
            <w:vAlign w:val="center"/>
          </w:tcPr>
          <w:p w14:paraId="4FC52866"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0.10</w:t>
            </w:r>
          </w:p>
        </w:tc>
      </w:tr>
      <w:tr w:rsidR="00D77075" w:rsidRPr="00B066C6" w14:paraId="3FE37745" w14:textId="77777777" w:rsidTr="000426A0">
        <w:tc>
          <w:tcPr>
            <w:tcW w:w="2190" w:type="dxa"/>
            <w:vMerge/>
            <w:vAlign w:val="center"/>
          </w:tcPr>
          <w:p w14:paraId="28AB51AB" w14:textId="77777777" w:rsidR="00D77075" w:rsidRPr="00B066C6" w:rsidRDefault="00D77075" w:rsidP="000426A0">
            <w:pPr>
              <w:spacing w:before="0" w:line="360" w:lineRule="auto"/>
              <w:jc w:val="center"/>
              <w:rPr>
                <w:rFonts w:ascii="Times New Roman" w:hAnsi="Times New Roman" w:cs="Times New Roman"/>
              </w:rPr>
            </w:pPr>
          </w:p>
        </w:tc>
        <w:tc>
          <w:tcPr>
            <w:tcW w:w="3617" w:type="dxa"/>
            <w:vAlign w:val="center"/>
          </w:tcPr>
          <w:p w14:paraId="4F68D880"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Canopy Height</w:t>
            </w:r>
          </w:p>
        </w:tc>
        <w:tc>
          <w:tcPr>
            <w:tcW w:w="1843" w:type="dxa"/>
            <w:vAlign w:val="center"/>
          </w:tcPr>
          <w:p w14:paraId="04467601"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6.19</w:t>
            </w:r>
          </w:p>
        </w:tc>
        <w:tc>
          <w:tcPr>
            <w:tcW w:w="1548" w:type="dxa"/>
            <w:vAlign w:val="center"/>
          </w:tcPr>
          <w:p w14:paraId="1E29AD20"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0.01 *</w:t>
            </w:r>
          </w:p>
        </w:tc>
      </w:tr>
      <w:tr w:rsidR="00D77075" w:rsidRPr="00B066C6" w14:paraId="19605628" w14:textId="77777777" w:rsidTr="000426A0">
        <w:tc>
          <w:tcPr>
            <w:tcW w:w="2190" w:type="dxa"/>
            <w:vMerge/>
            <w:vAlign w:val="center"/>
          </w:tcPr>
          <w:p w14:paraId="14637952" w14:textId="77777777" w:rsidR="00D77075" w:rsidRPr="00B066C6" w:rsidRDefault="00D77075" w:rsidP="000426A0">
            <w:pPr>
              <w:spacing w:before="0" w:line="360" w:lineRule="auto"/>
              <w:jc w:val="center"/>
              <w:rPr>
                <w:rFonts w:ascii="Times New Roman" w:hAnsi="Times New Roman" w:cs="Times New Roman"/>
              </w:rPr>
            </w:pPr>
          </w:p>
        </w:tc>
        <w:tc>
          <w:tcPr>
            <w:tcW w:w="3617" w:type="dxa"/>
            <w:vAlign w:val="center"/>
          </w:tcPr>
          <w:p w14:paraId="4731FDCE"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Elevation</w:t>
            </w:r>
          </w:p>
        </w:tc>
        <w:tc>
          <w:tcPr>
            <w:tcW w:w="1843" w:type="dxa"/>
            <w:vAlign w:val="center"/>
          </w:tcPr>
          <w:p w14:paraId="63E29875"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0.47</w:t>
            </w:r>
          </w:p>
        </w:tc>
        <w:tc>
          <w:tcPr>
            <w:tcW w:w="1548" w:type="dxa"/>
            <w:vAlign w:val="center"/>
          </w:tcPr>
          <w:p w14:paraId="06FFAB6E" w14:textId="77777777" w:rsidR="00D77075" w:rsidRPr="00B066C6" w:rsidRDefault="00D77075" w:rsidP="000426A0">
            <w:pPr>
              <w:spacing w:before="0" w:line="360" w:lineRule="auto"/>
              <w:jc w:val="center"/>
              <w:rPr>
                <w:rFonts w:ascii="Times New Roman" w:hAnsi="Times New Roman" w:cs="Times New Roman"/>
              </w:rPr>
            </w:pPr>
            <w:r w:rsidRPr="00B066C6">
              <w:rPr>
                <w:rFonts w:ascii="Times New Roman" w:hAnsi="Times New Roman" w:cs="Times New Roman"/>
              </w:rPr>
              <w:t>0.49</w:t>
            </w:r>
          </w:p>
        </w:tc>
      </w:tr>
      <w:tr w:rsidR="00D77075" w:rsidRPr="00B066C6" w14:paraId="76669DEC" w14:textId="77777777" w:rsidTr="000426A0">
        <w:tc>
          <w:tcPr>
            <w:tcW w:w="2190" w:type="dxa"/>
            <w:vMerge/>
            <w:vAlign w:val="center"/>
          </w:tcPr>
          <w:p w14:paraId="1FD6030B" w14:textId="77777777" w:rsidR="00D77075" w:rsidRPr="00B066C6" w:rsidRDefault="00D77075" w:rsidP="000426A0">
            <w:pPr>
              <w:spacing w:before="0" w:line="360" w:lineRule="auto"/>
              <w:jc w:val="center"/>
              <w:rPr>
                <w:rFonts w:ascii="Times New Roman" w:hAnsi="Times New Roman" w:cs="Times New Roman"/>
              </w:rPr>
            </w:pPr>
          </w:p>
        </w:tc>
        <w:tc>
          <w:tcPr>
            <w:tcW w:w="3617" w:type="dxa"/>
            <w:vAlign w:val="center"/>
          </w:tcPr>
          <w:p w14:paraId="703F6D8C"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Canopy Cover * Canopy Height</w:t>
            </w:r>
          </w:p>
        </w:tc>
        <w:tc>
          <w:tcPr>
            <w:tcW w:w="1843" w:type="dxa"/>
            <w:vAlign w:val="center"/>
          </w:tcPr>
          <w:p w14:paraId="4C5A88AC"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6.87</w:t>
            </w:r>
          </w:p>
        </w:tc>
        <w:tc>
          <w:tcPr>
            <w:tcW w:w="1548" w:type="dxa"/>
            <w:vAlign w:val="center"/>
          </w:tcPr>
          <w:p w14:paraId="483A0F37" w14:textId="77777777" w:rsidR="00D77075" w:rsidRPr="00B066C6" w:rsidRDefault="00D77075" w:rsidP="000426A0">
            <w:pPr>
              <w:spacing w:before="0" w:line="360" w:lineRule="auto"/>
              <w:jc w:val="center"/>
              <w:rPr>
                <w:rFonts w:ascii="Times New Roman" w:hAnsi="Times New Roman" w:cs="Times New Roman"/>
                <w:b/>
                <w:bCs/>
              </w:rPr>
            </w:pPr>
            <w:r w:rsidRPr="00B066C6">
              <w:rPr>
                <w:rFonts w:ascii="Times New Roman" w:hAnsi="Times New Roman" w:cs="Times New Roman"/>
                <w:b/>
                <w:bCs/>
              </w:rPr>
              <w:t>0.01 *</w:t>
            </w:r>
          </w:p>
        </w:tc>
      </w:tr>
    </w:tbl>
    <w:p w14:paraId="62FBDC57" w14:textId="77777777" w:rsidR="00D77075" w:rsidRDefault="00D77075" w:rsidP="00C552BD">
      <w:pPr>
        <w:ind w:firstLine="720"/>
        <w:rPr>
          <w:rFonts w:ascii="Times New Roman" w:hAnsi="Times New Roman" w:cs="Times New Roman"/>
        </w:rPr>
      </w:pPr>
    </w:p>
    <w:p w14:paraId="6C505E05" w14:textId="77777777" w:rsidR="00D129D2" w:rsidRDefault="00D129D2">
      <w:pPr>
        <w:rPr>
          <w:rFonts w:ascii="Times New Roman" w:hAnsi="Times New Roman" w:cs="Times New Roman"/>
        </w:rPr>
      </w:pPr>
      <w:r>
        <w:rPr>
          <w:rFonts w:ascii="Times New Roman" w:hAnsi="Times New Roman" w:cs="Times New Roman"/>
        </w:rPr>
        <w:br w:type="page"/>
      </w:r>
    </w:p>
    <w:p w14:paraId="43568B77" w14:textId="77777777" w:rsidR="00D129D2" w:rsidRPr="00FF02C9" w:rsidRDefault="00D129D2" w:rsidP="00D129D2">
      <w:pPr>
        <w:jc w:val="both"/>
        <w:rPr>
          <w:rFonts w:ascii="Times New Roman" w:hAnsi="Times New Roman" w:cs="Times New Roman"/>
        </w:rPr>
      </w:pPr>
      <w:r w:rsidRPr="00B066C6">
        <w:rPr>
          <w:rFonts w:ascii="Times New Roman" w:hAnsi="Times New Roman" w:cs="Times New Roman"/>
          <w:b/>
          <w:bCs/>
          <w:noProof/>
        </w:rPr>
        <w:lastRenderedPageBreak/>
        <w:drawing>
          <wp:inline distT="0" distB="0" distL="0" distR="0" wp14:anchorId="7E4ADCFB" wp14:editId="190C7E4D">
            <wp:extent cx="5631873" cy="4846659"/>
            <wp:effectExtent l="0" t="0" r="0" b="5080"/>
            <wp:docPr id="907161748"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46887" name="Picture 6" descr="A screenshot of a graph&#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665319" cy="4875442"/>
                    </a:xfrm>
                    <a:prstGeom prst="rect">
                      <a:avLst/>
                    </a:prstGeom>
                  </pic:spPr>
                </pic:pic>
              </a:graphicData>
            </a:graphic>
          </wp:inline>
        </w:drawing>
      </w:r>
    </w:p>
    <w:p w14:paraId="561D71B7" w14:textId="6A313F00" w:rsidR="00525EC0" w:rsidRDefault="00D129D2" w:rsidP="00EB4834">
      <w:pPr>
        <w:spacing w:before="0" w:after="0" w:line="240" w:lineRule="auto"/>
        <w:ind w:firstLine="360"/>
        <w:rPr>
          <w:rFonts w:ascii="Times New Roman" w:hAnsi="Times New Roman" w:cs="Times New Roman"/>
          <w:color w:val="000000"/>
        </w:rPr>
      </w:pPr>
      <w:bookmarkStart w:id="94" w:name="_Toc195189742"/>
      <w:r w:rsidRPr="00B066C6">
        <w:rPr>
          <w:rFonts w:ascii="Times New Roman" w:hAnsi="Times New Roman" w:cs="Times New Roman"/>
          <w:b/>
          <w:bCs/>
        </w:rPr>
        <w:t xml:space="preserve">Figure </w:t>
      </w:r>
      <w:r w:rsidRPr="00B066C6">
        <w:rPr>
          <w:rFonts w:ascii="Times New Roman" w:hAnsi="Times New Roman" w:cs="Times New Roman"/>
          <w:b/>
          <w:bCs/>
        </w:rPr>
        <w:fldChar w:fldCharType="begin"/>
      </w:r>
      <w:r w:rsidRPr="00B066C6">
        <w:rPr>
          <w:rFonts w:ascii="Times New Roman" w:hAnsi="Times New Roman" w:cs="Times New Roman"/>
          <w:b/>
          <w:bCs/>
        </w:rPr>
        <w:instrText xml:space="preserve"> SEQ Figure \* ARABIC </w:instrText>
      </w:r>
      <w:r w:rsidRPr="00B066C6">
        <w:rPr>
          <w:rFonts w:ascii="Times New Roman" w:hAnsi="Times New Roman" w:cs="Times New Roman"/>
          <w:b/>
          <w:bCs/>
        </w:rPr>
        <w:fldChar w:fldCharType="separate"/>
      </w:r>
      <w:r w:rsidRPr="00B066C6">
        <w:rPr>
          <w:rFonts w:ascii="Times New Roman" w:hAnsi="Times New Roman" w:cs="Times New Roman"/>
          <w:b/>
          <w:bCs/>
          <w:noProof/>
        </w:rPr>
        <w:t>5</w:t>
      </w:r>
      <w:r w:rsidRPr="00B066C6">
        <w:rPr>
          <w:rFonts w:ascii="Times New Roman" w:hAnsi="Times New Roman" w:cs="Times New Roman"/>
          <w:b/>
          <w:bCs/>
        </w:rPr>
        <w:fldChar w:fldCharType="end"/>
      </w:r>
      <w:r w:rsidRPr="00B066C6">
        <w:rPr>
          <w:rFonts w:ascii="Times New Roman" w:hAnsi="Times New Roman" w:cs="Times New Roman"/>
        </w:rPr>
        <w:t>:</w:t>
      </w:r>
      <w:r w:rsidRPr="00B066C6">
        <w:rPr>
          <w:rFonts w:ascii="Times New Roman" w:hAnsi="Times New Roman" w:cs="Times New Roman"/>
          <w:i/>
          <w:iCs/>
        </w:rPr>
        <w:t xml:space="preserve"> </w:t>
      </w:r>
      <w:r w:rsidRPr="00B066C6">
        <w:rPr>
          <w:rFonts w:ascii="Times New Roman" w:hAnsi="Times New Roman" w:cs="Times New Roman"/>
        </w:rPr>
        <w:t>Differences in Hill numbers (Q0 = species richness, Q1 = exponential of Shannon Entropy, Q2 = Inverse Simpson Index) and functional diversity metrics (FRic = functional richness</w:t>
      </w:r>
      <w:r>
        <w:rPr>
          <w:rFonts w:ascii="Times New Roman" w:hAnsi="Times New Roman" w:cs="Times New Roman"/>
        </w:rPr>
        <w:t xml:space="preserve">, </w:t>
      </w:r>
      <w:r w:rsidRPr="00B066C6">
        <w:rPr>
          <w:rFonts w:ascii="Times New Roman" w:hAnsi="Times New Roman" w:cs="Times New Roman"/>
        </w:rPr>
        <w:t xml:space="preserve">FDiv = functional divergence, FDis = functional dispersion, </w:t>
      </w:r>
      <w:r>
        <w:rPr>
          <w:rFonts w:ascii="Times New Roman" w:hAnsi="Times New Roman" w:cs="Times New Roman"/>
        </w:rPr>
        <w:t xml:space="preserve">and </w:t>
      </w:r>
      <w:r w:rsidRPr="00B066C6">
        <w:rPr>
          <w:rFonts w:ascii="Times New Roman" w:hAnsi="Times New Roman" w:cs="Times New Roman"/>
        </w:rPr>
        <w:t xml:space="preserve">RaoQ = Rao’s Quadratic Entropy) across a regenerating forest gradient. Plots include </w:t>
      </w:r>
      <w:r w:rsidRPr="00B066C6">
        <w:rPr>
          <w:rFonts w:ascii="Times New Roman" w:hAnsi="Times New Roman" w:cs="Times New Roman"/>
          <w:shd w:val="clear" w:color="auto" w:fill="FFFFFF"/>
        </w:rPr>
        <w:t>highly impacted early successional habitat (HIE, blue), low impact early successional habitat (LIE, green), mid-successional secondary forest (SEC, orange), and old growth Chocó Rainforest (OG, purple).</w:t>
      </w:r>
      <w:bookmarkEnd w:id="94"/>
      <w:r w:rsidR="00C552BD" w:rsidRPr="00D77075">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25EC0" w:rsidRPr="00B066C6" w14:paraId="0AE26F87" w14:textId="77777777" w:rsidTr="008E3F64">
        <w:tc>
          <w:tcPr>
            <w:tcW w:w="9350" w:type="dxa"/>
          </w:tcPr>
          <w:p w14:paraId="732C7070" w14:textId="77777777" w:rsidR="00525EC0" w:rsidRPr="00B066C6" w:rsidRDefault="00525EC0" w:rsidP="008E3F64">
            <w:pPr>
              <w:spacing w:after="160" w:line="360" w:lineRule="auto"/>
              <w:rPr>
                <w:rFonts w:ascii="Times New Roman" w:hAnsi="Times New Roman" w:cs="Times New Roman"/>
                <w:b/>
                <w:bCs/>
              </w:rPr>
            </w:pPr>
            <w:r w:rsidRPr="00B066C6">
              <w:rPr>
                <w:rFonts w:ascii="Times New Roman" w:eastAsiaTheme="majorEastAsia" w:hAnsi="Times New Roman" w:cs="Times New Roman"/>
                <w:b/>
                <w:bCs/>
                <w:noProof/>
              </w:rPr>
              <w:lastRenderedPageBreak/>
              <w:drawing>
                <wp:inline distT="0" distB="0" distL="0" distR="0" wp14:anchorId="32B48EB5" wp14:editId="53D393B7">
                  <wp:extent cx="5662284" cy="4956313"/>
                  <wp:effectExtent l="0" t="0" r="2540" b="0"/>
                  <wp:docPr id="1646704613" name="Picture 1" descr="A graph with arrows pointing to different siz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39273" name="Picture 1" descr="A graph with arrows pointing to different sizes&#10;&#10;AI-generated content may be incorrect."/>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669638" cy="4962750"/>
                          </a:xfrm>
                          <a:prstGeom prst="rect">
                            <a:avLst/>
                          </a:prstGeom>
                        </pic:spPr>
                      </pic:pic>
                    </a:graphicData>
                  </a:graphic>
                </wp:inline>
              </w:drawing>
            </w:r>
          </w:p>
        </w:tc>
      </w:tr>
      <w:tr w:rsidR="00525EC0" w:rsidRPr="00B066C6" w14:paraId="62A0178E" w14:textId="77777777" w:rsidTr="008E3F64">
        <w:tc>
          <w:tcPr>
            <w:tcW w:w="9350" w:type="dxa"/>
          </w:tcPr>
          <w:p w14:paraId="2BDD44AB" w14:textId="77777777" w:rsidR="00525EC0" w:rsidRPr="00B066C6" w:rsidRDefault="00525EC0" w:rsidP="00D77075">
            <w:pPr>
              <w:pStyle w:val="Caption"/>
              <w:rPr>
                <w:rFonts w:ascii="Times New Roman" w:hAnsi="Times New Roman" w:cs="Times New Roman"/>
                <w:sz w:val="24"/>
                <w:szCs w:val="24"/>
              </w:rPr>
            </w:pPr>
            <w:bookmarkStart w:id="95" w:name="_Toc195189743"/>
            <w:r w:rsidRPr="00B066C6">
              <w:rPr>
                <w:rFonts w:ascii="Times New Roman" w:hAnsi="Times New Roman" w:cs="Times New Roman"/>
                <w:b/>
                <w:bCs/>
                <w:i w:val="0"/>
                <w:iCs w:val="0"/>
                <w:color w:val="auto"/>
                <w:sz w:val="24"/>
                <w:szCs w:val="24"/>
              </w:rPr>
              <w:t xml:space="preserve">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Figure \* ARABIC </w:instrText>
            </w:r>
            <w:r w:rsidRPr="00B066C6">
              <w:rPr>
                <w:rFonts w:ascii="Times New Roman" w:hAnsi="Times New Roman" w:cs="Times New Roman"/>
                <w:b/>
                <w:bCs/>
                <w:i w:val="0"/>
                <w:iCs w:val="0"/>
                <w:color w:val="auto"/>
                <w:sz w:val="24"/>
                <w:szCs w:val="24"/>
              </w:rPr>
              <w:fldChar w:fldCharType="separate"/>
            </w:r>
            <w:r w:rsidRPr="00B066C6">
              <w:rPr>
                <w:rFonts w:ascii="Times New Roman" w:hAnsi="Times New Roman" w:cs="Times New Roman"/>
                <w:b/>
                <w:bCs/>
                <w:i w:val="0"/>
                <w:iCs w:val="0"/>
                <w:noProof/>
                <w:color w:val="auto"/>
                <w:sz w:val="24"/>
                <w:szCs w:val="24"/>
              </w:rPr>
              <w:t>6</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Redundancy Analysis (RDA) biplot illustrating the relationships between functional diversity indices, morphological traits, and community composition. Regeneration plots are represented by </w:t>
            </w:r>
            <w:r w:rsidRPr="00B066C6">
              <w:rPr>
                <w:rFonts w:ascii="Times New Roman" w:eastAsiaTheme="majorEastAsia" w:hAnsi="Times New Roman" w:cs="Times New Roman"/>
                <w:i w:val="0"/>
                <w:iCs w:val="0"/>
                <w:color w:val="auto"/>
                <w:sz w:val="24"/>
                <w:szCs w:val="24"/>
              </w:rPr>
              <w:t>green circles</w:t>
            </w:r>
            <w:r w:rsidRPr="00B066C6">
              <w:rPr>
                <w:rFonts w:ascii="Times New Roman" w:hAnsi="Times New Roman" w:cs="Times New Roman"/>
                <w:i w:val="0"/>
                <w:iCs w:val="0"/>
                <w:color w:val="auto"/>
                <w:sz w:val="24"/>
                <w:szCs w:val="24"/>
              </w:rPr>
              <w:t xml:space="preserve">, while individual bird species are represented by </w:t>
            </w:r>
            <w:r w:rsidRPr="00B066C6">
              <w:rPr>
                <w:rFonts w:ascii="Times New Roman" w:eastAsiaTheme="majorEastAsia" w:hAnsi="Times New Roman" w:cs="Times New Roman"/>
                <w:i w:val="0"/>
                <w:iCs w:val="0"/>
                <w:color w:val="auto"/>
                <w:sz w:val="24"/>
                <w:szCs w:val="24"/>
              </w:rPr>
              <w:t>red triangles</w:t>
            </w:r>
            <w:r w:rsidRPr="00B066C6">
              <w:rPr>
                <w:rFonts w:ascii="Times New Roman" w:hAnsi="Times New Roman" w:cs="Times New Roman"/>
                <w:i w:val="0"/>
                <w:iCs w:val="0"/>
                <w:color w:val="auto"/>
                <w:sz w:val="24"/>
                <w:szCs w:val="24"/>
              </w:rPr>
              <w:t xml:space="preserve">. Arrows represent exploratory vectors, with </w:t>
            </w:r>
            <w:r w:rsidRPr="00B066C6">
              <w:rPr>
                <w:rFonts w:ascii="Times New Roman" w:eastAsiaTheme="majorEastAsia" w:hAnsi="Times New Roman" w:cs="Times New Roman"/>
                <w:i w:val="0"/>
                <w:iCs w:val="0"/>
                <w:color w:val="auto"/>
                <w:sz w:val="24"/>
                <w:szCs w:val="24"/>
              </w:rPr>
              <w:t>blue arrows</w:t>
            </w:r>
            <w:r w:rsidRPr="00B066C6">
              <w:rPr>
                <w:rFonts w:ascii="Times New Roman" w:hAnsi="Times New Roman" w:cs="Times New Roman"/>
                <w:i w:val="0"/>
                <w:iCs w:val="0"/>
                <w:color w:val="auto"/>
                <w:sz w:val="24"/>
                <w:szCs w:val="24"/>
              </w:rPr>
              <w:t xml:space="preserve"> indicating variables that significantly (p &lt; 0.05) explain variation in community composition, and </w:t>
            </w:r>
            <w:r w:rsidRPr="00B066C6">
              <w:rPr>
                <w:rFonts w:ascii="Times New Roman" w:eastAsiaTheme="majorEastAsia" w:hAnsi="Times New Roman" w:cs="Times New Roman"/>
                <w:i w:val="0"/>
                <w:iCs w:val="0"/>
                <w:color w:val="auto"/>
                <w:sz w:val="24"/>
                <w:szCs w:val="24"/>
              </w:rPr>
              <w:t>gray arrows</w:t>
            </w:r>
            <w:r w:rsidRPr="00B066C6">
              <w:rPr>
                <w:rFonts w:ascii="Times New Roman" w:hAnsi="Times New Roman" w:cs="Times New Roman"/>
                <w:i w:val="0"/>
                <w:iCs w:val="0"/>
                <w:color w:val="auto"/>
                <w:sz w:val="24"/>
                <w:szCs w:val="24"/>
              </w:rPr>
              <w:t xml:space="preserve"> representing non-significant predictors. The x-axis (RDA1) explains </w:t>
            </w:r>
            <w:r w:rsidRPr="00B066C6">
              <w:rPr>
                <w:rFonts w:ascii="Times New Roman" w:eastAsiaTheme="majorEastAsia" w:hAnsi="Times New Roman" w:cs="Times New Roman"/>
                <w:i w:val="0"/>
                <w:iCs w:val="0"/>
                <w:color w:val="auto"/>
                <w:sz w:val="24"/>
                <w:szCs w:val="24"/>
              </w:rPr>
              <w:t>44.61%</w:t>
            </w:r>
            <w:r w:rsidRPr="00B066C6">
              <w:rPr>
                <w:rFonts w:ascii="Times New Roman" w:hAnsi="Times New Roman" w:cs="Times New Roman"/>
                <w:i w:val="0"/>
                <w:iCs w:val="0"/>
                <w:color w:val="auto"/>
                <w:sz w:val="24"/>
                <w:szCs w:val="24"/>
              </w:rPr>
              <w:t xml:space="preserve"> of the constrained variation, while the y-axis (RDA2) explains </w:t>
            </w:r>
            <w:r w:rsidRPr="00B066C6">
              <w:rPr>
                <w:rFonts w:ascii="Times New Roman" w:eastAsiaTheme="majorEastAsia" w:hAnsi="Times New Roman" w:cs="Times New Roman"/>
                <w:i w:val="0"/>
                <w:iCs w:val="0"/>
                <w:color w:val="auto"/>
                <w:sz w:val="24"/>
                <w:szCs w:val="24"/>
              </w:rPr>
              <w:t>10.77%</w:t>
            </w:r>
            <w:r w:rsidRPr="00B066C6">
              <w:rPr>
                <w:rFonts w:ascii="Times New Roman" w:hAnsi="Times New Roman" w:cs="Times New Roman"/>
                <w:i w:val="0"/>
                <w:iCs w:val="0"/>
                <w:color w:val="auto"/>
                <w:sz w:val="24"/>
                <w:szCs w:val="24"/>
              </w:rPr>
              <w:t>. Functional diversity indices (FDis: Functional Dispersion, FDiv: Functional Divergence, FRic: Functional Richness, RaoQ: Rao’s Quadratic Entropy) and morphological traits were used as explanatory variables. Sites and species positioned closer together share more similar trait compositions. The direction and length of arrows indicate the strength and influence of each predictor on community structure</w:t>
            </w:r>
            <w:r w:rsidRPr="00B066C6">
              <w:rPr>
                <w:rFonts w:ascii="Times New Roman" w:hAnsi="Times New Roman" w:cs="Times New Roman"/>
                <w:sz w:val="24"/>
                <w:szCs w:val="24"/>
              </w:rPr>
              <w:t>.</w:t>
            </w:r>
            <w:bookmarkEnd w:id="95"/>
          </w:p>
        </w:tc>
      </w:tr>
    </w:tbl>
    <w:p w14:paraId="604D9A44" w14:textId="3E6D49DC" w:rsidR="00525EC0" w:rsidRPr="00525EC0" w:rsidRDefault="00525EC0">
      <w:pPr>
        <w:rPr>
          <w:rFonts w:ascii="Times New Roman" w:hAnsi="Times New Roman" w:cs="Times New Roman"/>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25EC0" w:rsidRPr="00B066C6" w14:paraId="2D70C88E" w14:textId="77777777" w:rsidTr="008E3F64">
        <w:tc>
          <w:tcPr>
            <w:tcW w:w="9350" w:type="dxa"/>
          </w:tcPr>
          <w:p w14:paraId="1C2408C2" w14:textId="77777777" w:rsidR="00525EC0" w:rsidRPr="00B066C6" w:rsidRDefault="00525EC0" w:rsidP="008E3F64">
            <w:pPr>
              <w:tabs>
                <w:tab w:val="left" w:pos="2755"/>
              </w:tabs>
              <w:spacing w:line="360" w:lineRule="auto"/>
              <w:rPr>
                <w:rFonts w:ascii="Times New Roman" w:hAnsi="Times New Roman" w:cs="Times New Roman"/>
              </w:rPr>
            </w:pPr>
            <w:r w:rsidRPr="00B066C6">
              <w:rPr>
                <w:rFonts w:ascii="Times New Roman" w:hAnsi="Times New Roman" w:cs="Times New Roman"/>
                <w:b/>
                <w:noProof/>
              </w:rPr>
              <w:lastRenderedPageBreak/>
              <w:drawing>
                <wp:inline distT="0" distB="0" distL="0" distR="0" wp14:anchorId="2436795A" wp14:editId="58DA26E5">
                  <wp:extent cx="4876800" cy="4529797"/>
                  <wp:effectExtent l="0" t="0" r="0" b="4445"/>
                  <wp:docPr id="784816705" name="Picture 2" descr="A diagram of a number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86519" name="Picture 2" descr="A diagram of a number of different colored squares&#10;&#10;AI-generated content may be incorrect."/>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890344" cy="4542377"/>
                          </a:xfrm>
                          <a:prstGeom prst="rect">
                            <a:avLst/>
                          </a:prstGeom>
                        </pic:spPr>
                      </pic:pic>
                    </a:graphicData>
                  </a:graphic>
                </wp:inline>
              </w:drawing>
            </w:r>
          </w:p>
        </w:tc>
      </w:tr>
      <w:tr w:rsidR="00525EC0" w:rsidRPr="00AD1064" w14:paraId="2C6B1CA4" w14:textId="77777777" w:rsidTr="008E3F64">
        <w:trPr>
          <w:trHeight w:val="2072"/>
        </w:trPr>
        <w:tc>
          <w:tcPr>
            <w:tcW w:w="9350" w:type="dxa"/>
          </w:tcPr>
          <w:p w14:paraId="5ACAAD67" w14:textId="77777777" w:rsidR="00525EC0" w:rsidRPr="00AD1064" w:rsidRDefault="00525EC0" w:rsidP="00D77075">
            <w:pPr>
              <w:pStyle w:val="Caption"/>
              <w:rPr>
                <w:rFonts w:ascii="Times New Roman" w:hAnsi="Times New Roman" w:cs="Times New Roman"/>
                <w:i w:val="0"/>
                <w:iCs w:val="0"/>
                <w:color w:val="auto"/>
                <w:sz w:val="24"/>
                <w:szCs w:val="24"/>
              </w:rPr>
            </w:pPr>
            <w:bookmarkStart w:id="96" w:name="_Toc195189744"/>
            <w:r w:rsidRPr="00B066C6">
              <w:rPr>
                <w:rFonts w:ascii="Times New Roman" w:hAnsi="Times New Roman" w:cs="Times New Roman"/>
                <w:b/>
                <w:bCs/>
                <w:i w:val="0"/>
                <w:iCs w:val="0"/>
                <w:color w:val="auto"/>
                <w:sz w:val="24"/>
                <w:szCs w:val="24"/>
              </w:rPr>
              <w:t xml:space="preserve">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Figure \* ARABIC </w:instrText>
            </w:r>
            <w:r w:rsidRPr="00B066C6">
              <w:rPr>
                <w:rFonts w:ascii="Times New Roman" w:hAnsi="Times New Roman" w:cs="Times New Roman"/>
                <w:b/>
                <w:bCs/>
                <w:i w:val="0"/>
                <w:iCs w:val="0"/>
                <w:color w:val="auto"/>
                <w:sz w:val="24"/>
                <w:szCs w:val="24"/>
              </w:rPr>
              <w:fldChar w:fldCharType="separate"/>
            </w:r>
            <w:r w:rsidRPr="00B066C6">
              <w:rPr>
                <w:rFonts w:ascii="Times New Roman" w:hAnsi="Times New Roman" w:cs="Times New Roman"/>
                <w:b/>
                <w:bCs/>
                <w:i w:val="0"/>
                <w:iCs w:val="0"/>
                <w:noProof/>
                <w:color w:val="auto"/>
                <w:sz w:val="24"/>
                <w:szCs w:val="24"/>
              </w:rPr>
              <w:t>7</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Pearson correlation matrix illustrating the relationships between functional diversity indices (</w:t>
            </w:r>
            <w:r w:rsidRPr="00B066C6">
              <w:rPr>
                <w:rFonts w:ascii="Times New Roman" w:eastAsiaTheme="majorEastAsia" w:hAnsi="Times New Roman" w:cs="Times New Roman"/>
                <w:i w:val="0"/>
                <w:iCs w:val="0"/>
                <w:color w:val="auto"/>
                <w:sz w:val="24"/>
                <w:szCs w:val="24"/>
              </w:rPr>
              <w:t>FDis: Functional Dispersion, FDiv: Functional Divergence, FRic: Functional Richness, RaoQ: Rao’s Quadratic Entropy</w:t>
            </w:r>
            <w:r w:rsidRPr="00B066C6">
              <w:rPr>
                <w:rFonts w:ascii="Times New Roman" w:hAnsi="Times New Roman" w:cs="Times New Roman"/>
                <w:i w:val="0"/>
                <w:iCs w:val="0"/>
                <w:color w:val="auto"/>
                <w:sz w:val="24"/>
                <w:szCs w:val="24"/>
              </w:rPr>
              <w:t>) and morphological traits (</w:t>
            </w:r>
            <w:r w:rsidRPr="00B066C6">
              <w:rPr>
                <w:rFonts w:ascii="Times New Roman" w:eastAsiaTheme="majorEastAsia" w:hAnsi="Times New Roman" w:cs="Times New Roman"/>
                <w:i w:val="0"/>
                <w:iCs w:val="0"/>
                <w:color w:val="auto"/>
                <w:sz w:val="24"/>
                <w:szCs w:val="24"/>
              </w:rPr>
              <w:t>Wing Length, Beak Length, Mass, Beak Width, Tarsus, Tail Length</w:t>
            </w:r>
            <w:r w:rsidRPr="00B066C6">
              <w:rPr>
                <w:rFonts w:ascii="Times New Roman" w:hAnsi="Times New Roman" w:cs="Times New Roman"/>
                <w:i w:val="0"/>
                <w:iCs w:val="0"/>
                <w:color w:val="auto"/>
                <w:sz w:val="24"/>
                <w:szCs w:val="24"/>
              </w:rPr>
              <w:t xml:space="preserve">). The </w:t>
            </w:r>
            <w:r w:rsidRPr="00B066C6">
              <w:rPr>
                <w:rFonts w:ascii="Times New Roman" w:eastAsiaTheme="majorEastAsia" w:hAnsi="Times New Roman" w:cs="Times New Roman"/>
                <w:i w:val="0"/>
                <w:iCs w:val="0"/>
                <w:color w:val="auto"/>
                <w:sz w:val="24"/>
                <w:szCs w:val="24"/>
              </w:rPr>
              <w:t>color intensity</w:t>
            </w:r>
            <w:r w:rsidRPr="00B066C6">
              <w:rPr>
                <w:rFonts w:ascii="Times New Roman" w:hAnsi="Times New Roman" w:cs="Times New Roman"/>
                <w:i w:val="0"/>
                <w:iCs w:val="0"/>
                <w:color w:val="auto"/>
                <w:sz w:val="24"/>
                <w:szCs w:val="24"/>
              </w:rPr>
              <w:t xml:space="preserve"> and </w:t>
            </w:r>
            <w:r w:rsidRPr="00B066C6">
              <w:rPr>
                <w:rFonts w:ascii="Times New Roman" w:eastAsiaTheme="majorEastAsia" w:hAnsi="Times New Roman" w:cs="Times New Roman"/>
                <w:i w:val="0"/>
                <w:iCs w:val="0"/>
                <w:color w:val="auto"/>
                <w:sz w:val="24"/>
                <w:szCs w:val="24"/>
              </w:rPr>
              <w:t>shading</w:t>
            </w:r>
            <w:r w:rsidRPr="00B066C6">
              <w:rPr>
                <w:rFonts w:ascii="Times New Roman" w:hAnsi="Times New Roman" w:cs="Times New Roman"/>
                <w:i w:val="0"/>
                <w:iCs w:val="0"/>
                <w:color w:val="auto"/>
                <w:sz w:val="24"/>
                <w:szCs w:val="24"/>
              </w:rPr>
              <w:t xml:space="preserve"> represent the strength and direction of the correlations, with </w:t>
            </w:r>
            <w:r w:rsidRPr="00B066C6">
              <w:rPr>
                <w:rFonts w:ascii="Times New Roman" w:eastAsiaTheme="majorEastAsia" w:hAnsi="Times New Roman" w:cs="Times New Roman"/>
                <w:i w:val="0"/>
                <w:iCs w:val="0"/>
                <w:color w:val="auto"/>
                <w:sz w:val="24"/>
                <w:szCs w:val="24"/>
              </w:rPr>
              <w:t>warmer colors (red)</w:t>
            </w:r>
            <w:r w:rsidRPr="00B066C6">
              <w:rPr>
                <w:rFonts w:ascii="Times New Roman" w:hAnsi="Times New Roman" w:cs="Times New Roman"/>
                <w:i w:val="0"/>
                <w:iCs w:val="0"/>
                <w:color w:val="auto"/>
                <w:sz w:val="24"/>
                <w:szCs w:val="24"/>
              </w:rPr>
              <w:t xml:space="preserve"> indicating strong positive correlations and </w:t>
            </w:r>
            <w:r w:rsidRPr="00B066C6">
              <w:rPr>
                <w:rFonts w:ascii="Times New Roman" w:eastAsiaTheme="majorEastAsia" w:hAnsi="Times New Roman" w:cs="Times New Roman"/>
                <w:i w:val="0"/>
                <w:iCs w:val="0"/>
                <w:color w:val="auto"/>
                <w:sz w:val="24"/>
                <w:szCs w:val="24"/>
              </w:rPr>
              <w:t>cooler colors (blue)</w:t>
            </w:r>
            <w:r w:rsidRPr="00B066C6">
              <w:rPr>
                <w:rFonts w:ascii="Times New Roman" w:hAnsi="Times New Roman" w:cs="Times New Roman"/>
                <w:i w:val="0"/>
                <w:iCs w:val="0"/>
                <w:color w:val="auto"/>
                <w:sz w:val="24"/>
                <w:szCs w:val="24"/>
              </w:rPr>
              <w:t xml:space="preserve"> representing strong negative correlations. Correlation coefficients are displayed within the matrix, with significant relationships highlighted.</w:t>
            </w:r>
            <w:bookmarkEnd w:id="96"/>
          </w:p>
        </w:tc>
      </w:tr>
    </w:tbl>
    <w:p w14:paraId="6F613D22" w14:textId="00733F3C" w:rsidR="00525EC0" w:rsidRDefault="00525EC0">
      <w:pPr>
        <w:rPr>
          <w:rFonts w:ascii="Times New Roman" w:hAnsi="Times New Roman" w:cs="Times New Roman"/>
          <w:color w:val="000000"/>
          <w:kern w:val="0"/>
        </w:rPr>
      </w:pPr>
    </w:p>
    <w:p w14:paraId="4E60E4B7" w14:textId="61B39138" w:rsidR="0003071A" w:rsidRPr="00853B36" w:rsidRDefault="00357C58" w:rsidP="00853B36">
      <w:pPr>
        <w:spacing w:before="0" w:after="0"/>
        <w:ind w:firstLine="360"/>
        <w:rPr>
          <w:rFonts w:ascii="Times New Roman" w:hAnsi="Times New Roman" w:cs="Times New Roman"/>
        </w:rPr>
      </w:pPr>
      <w:r w:rsidRPr="00B066C6">
        <w:rPr>
          <w:rFonts w:ascii="Times New Roman" w:hAnsi="Times New Roman" w:cs="Times New Roman"/>
        </w:rPr>
        <w:br w:type="page"/>
      </w:r>
    </w:p>
    <w:p w14:paraId="53204B2F" w14:textId="788AD55B" w:rsidR="00FD0106" w:rsidRPr="00831D26" w:rsidRDefault="00FD0106" w:rsidP="00FD0106">
      <w:pPr>
        <w:spacing w:before="0" w:after="0"/>
        <w:rPr>
          <w:rFonts w:ascii="Times New Roman" w:hAnsi="Times New Roman" w:cs="Times New Roman"/>
        </w:rPr>
      </w:pPr>
      <w:r w:rsidRPr="00831D26">
        <w:rPr>
          <w:rFonts w:ascii="Times New Roman" w:hAnsi="Times New Roman" w:cs="Times New Roman"/>
        </w:rPr>
        <w:lastRenderedPageBreak/>
        <w:t xml:space="preserve">Rao’s Quadratic Entropy, and functional evenness were all indicators of closed canopy habitats and associated with both SEC and OG. OG and SEC forests clustered together on the RDA but exhibited distinct trait shifts. Specifically, changes in tail length, mass, and wing length were associated with old growth forests, whereas changes in beak length were more strongly associated to both OG and SEC habitats. Beak length was strongly correlated with differences in functional dispersion (0.85), functional divergence (0.79), and Rao Q (0.81), whereas wing length was positively correlated functional dispersion (0.55), and Rao’s Q (0.67). </w:t>
      </w:r>
    </w:p>
    <w:p w14:paraId="18F126B0" w14:textId="77777777" w:rsidR="00FD0106" w:rsidRPr="0019520A" w:rsidRDefault="00FD0106" w:rsidP="00FD0106">
      <w:pPr>
        <w:pStyle w:val="Heading2"/>
        <w:spacing w:before="0" w:after="0"/>
        <w:rPr>
          <w:rFonts w:ascii="Times New Roman" w:hAnsi="Times New Roman" w:cs="Times New Roman"/>
          <w:b/>
          <w:bCs/>
          <w:i/>
          <w:iCs/>
          <w:color w:val="000000" w:themeColor="text1"/>
          <w:sz w:val="24"/>
          <w:szCs w:val="24"/>
        </w:rPr>
      </w:pPr>
      <w:bookmarkStart w:id="97" w:name="_Toc195189631"/>
      <w:r w:rsidRPr="0019520A">
        <w:rPr>
          <w:rFonts w:ascii="Times New Roman" w:hAnsi="Times New Roman" w:cs="Times New Roman"/>
          <w:b/>
          <w:bCs/>
          <w:color w:val="000000" w:themeColor="text1"/>
          <w:sz w:val="24"/>
          <w:szCs w:val="24"/>
        </w:rPr>
        <w:t>Discussion</w:t>
      </w:r>
      <w:bookmarkEnd w:id="97"/>
    </w:p>
    <w:p w14:paraId="47FD1030" w14:textId="0F08494E" w:rsidR="00235DD1" w:rsidRDefault="00FD0106" w:rsidP="00FD0106">
      <w:pPr>
        <w:spacing w:before="0" w:after="0"/>
        <w:ind w:firstLine="360"/>
        <w:rPr>
          <w:rFonts w:ascii="Times New Roman" w:hAnsi="Times New Roman" w:cs="Times New Roman"/>
          <w:color w:val="000000"/>
        </w:rPr>
      </w:pPr>
      <w:r w:rsidRPr="00525EC0">
        <w:rPr>
          <w:rFonts w:ascii="Times New Roman" w:hAnsi="Times New Roman" w:cs="Times New Roman"/>
          <w:color w:val="000000"/>
          <w:shd w:val="clear" w:color="auto" w:fill="FFFFFF"/>
        </w:rPr>
        <w:t xml:space="preserve">The degree to which natural regeneration promotes functional and resilient communities is a key question for the ecological and conservation research communities. To address this question, expanding diversity assessments, which have traditionally been taxonomically based, to incorporate functional diversity indices will be an important step forward for understanding forest regeneration and restoration ecology </w:t>
      </w:r>
      <w:r w:rsidRPr="00525EC0">
        <w:rPr>
          <w:rFonts w:ascii="Times New Roman" w:hAnsi="Times New Roman" w:cs="Times New Roman"/>
          <w:color w:val="000000"/>
          <w:shd w:val="clear" w:color="auto" w:fill="FFFFFF"/>
        </w:rPr>
        <w:fldChar w:fldCharType="begin"/>
      </w:r>
      <w:r>
        <w:rPr>
          <w:rFonts w:ascii="Times New Roman" w:hAnsi="Times New Roman" w:cs="Times New Roman"/>
          <w:color w:val="000000"/>
          <w:shd w:val="clear" w:color="auto" w:fill="FFFFFF"/>
        </w:rPr>
        <w:instrText xml:space="preserve"> ADDIN ZOTERO_ITEM CSL_CITATION {"citationID":"cNkLef2u","properties":{"formattedCitation":"(Chazdon, 2008, 2013a; Lamb, 2018; Nabhan et al., 2020)","plainCitation":"(Chazdon, 2008, 2013a; Lamb, 2018; Nabhan et al., 2020)","noteIndex":0},"citationItems":[{"id":1454,"uris":["http://zotero.org/users/12345038/items/HUKT7XHN"],"itemData":{"id":1454,"type":"article-journal","abstract":"Despite continued forest conversion and degradation, forest cover is increasing in countries across the globe. New forests are regenerating on former agricultural land, and forest plantations are being established for commercial and restoration purposes. Plantations and restored forests can improve ecosystem services and enhance biodiversity conservation, but will not match the composition and structure of the original forest cover. Approaches to restoring forest ecosystems depend strongly on levels of forest and soil degradation, residual vegetation, and desired restoration outcomes. Opportunities abound to combine ambitious forest restoration and regeneration goals with sustainable rural livelihoods and community participation. New forests will require adaptive management as dynamic, resilient systems that can withstand stresses of climate change, habitat fragmentation, and other anthropogenic effects.","container-title":"Science","DOI":"10.1126/science.1155365","ISSN":"0036-8075, 1095-9203","issue":"5882","journalAbbreviation":"Science","language":"en","page":"1458-1460","source":"DOI.org (Crossref)","title":"Beyond Deforestation: Restoring Forests and Ecosystem Services on Degraded Lands","title-short":"Beyond Deforestation","volume":"320","author":[{"family":"Chazdon","given":"Robin L."}],"issued":{"date-parts":[["2008",6,13]]}}},{"id":1493,"uris":["http://zotero.org/users/12345038/items/G3KJ88ES"],"itemData":{"id":1493,"type":"article-journal","container-title":"Journal of Sustainable Forestry","language":"en","title":"Making tropical succession and landscape reforestation successful","volume":"3;32(7):649-58","author":[{"family":"Chazdon","given":"R.L."}],"issued":{"date-parts":[["2013",10]]}}},{"id":1446,"uris":["http://zotero.org/users/12345038/items/XX9QBFQQ"],"itemData":{"id":1446,"type":"article-journal","abstract":"The global community is seeking to substantially restore the world’s forest cover to improve the supply of ecosystem services. However, it is not clear what type of reforestation must be used and there is a risk that the techniques used in industrial timber plantations will become the default methodology. This is unlikely to be sufficient because of the well-known relationship between biodiversity and ecological functioning. Restoration may be achieved through natural regeneration but this may not always occur at critical locations. Ecological restoration involving species-rich plantings might also be used but can be difficult to implement at landscape scales. I review here the consequence of planting more limited numbers of species and the effects of this on the delivery of ecosystem services. Evidence suggests many commonly sought ecosystem services—though not all—may be generated by the modest levels of species richness provided these species have appropriate traits. The literature also shows that the alpha diversity of restored forests is not the only driver of functionality and that the location and extent of any reforestation are significant as well; beta and gamma diversity may also affect functionality but these relationships remain unclear. Encouraging the adoption of even moderately diverse plantings at landscape scales and at key locations will require policies and institutions to balance the type, location, and scale of restoration and make the necessary trade-offs between national and local aspirations. New approaches and metrics will have to be developed to monitor and assess restoration success at these larger scales.","container-title":"Restoration Ecology","DOI":"10.1111/rec.12706","ISSN":"1061-2971, 1526-100X","issue":"4","journalAbbreviation":"Restoration Ecology","language":"en","page":"657-666","source":"DOI.org (Crossref)","title":"Undertaking large‐scale forest restoration to generate ecosystem services","volume":"26","author":[{"family":"Lamb","given":"David"}],"issued":{"date-parts":[["2018",7]]}}},{"id":326,"uris":["http://zotero.org/users/12345038/items/H3YANG6L"],"itemData":{"id":326,"type":"article-journal","container-title":"Ecopsychology","DOI":"10.1089/eco.2020.0003","ISSN":"1942-9347","issue":"3","journalAbbreviation":"Ecopsychology","language":"en","page":"195-202","source":"DOI.org (Crossref)","title":"Hands-On Ecological Restoration as a Nature-Based Health Intervention: Reciprocal Restoration for People and Ecosystems","title-short":"Hands-On Ecological Restoration as a Nature-Based Health Intervention","volume":"12","author":[{"family":"Nabhan","given":"Gary P."},{"family":"Orlando","given":"Laura"},{"family":"Smith Monti","given":"Laura"},{"family":"Aronson","given":"James"}],"issued":{"date-parts":[["2020",9,1]]}}}],"schema":"https://github.com/citation-style-language/schema/raw/master/csl-citation.json"} </w:instrText>
      </w:r>
      <w:r w:rsidRPr="00525EC0">
        <w:rPr>
          <w:rFonts w:ascii="Times New Roman" w:hAnsi="Times New Roman" w:cs="Times New Roman"/>
          <w:color w:val="000000"/>
          <w:shd w:val="clear" w:color="auto" w:fill="FFFFFF"/>
        </w:rPr>
        <w:fldChar w:fldCharType="separate"/>
      </w:r>
      <w:r>
        <w:rPr>
          <w:rFonts w:ascii="Times New Roman" w:hAnsi="Times New Roman" w:cs="Times New Roman"/>
          <w:noProof/>
          <w:color w:val="000000"/>
          <w:shd w:val="clear" w:color="auto" w:fill="FFFFFF"/>
        </w:rPr>
        <w:t>(Chazdon, 2008, 2013a; Lamb, 2018; Nabhan et al., 2020)</w:t>
      </w:r>
      <w:r w:rsidRPr="00525EC0">
        <w:rPr>
          <w:rFonts w:ascii="Times New Roman" w:hAnsi="Times New Roman" w:cs="Times New Roman"/>
          <w:color w:val="000000"/>
          <w:shd w:val="clear" w:color="auto" w:fill="FFFFFF"/>
        </w:rPr>
        <w:fldChar w:fldCharType="end"/>
      </w:r>
      <w:r w:rsidRPr="00525EC0">
        <w:rPr>
          <w:rFonts w:ascii="Times New Roman" w:hAnsi="Times New Roman" w:cs="Times New Roman"/>
          <w:color w:val="000000"/>
          <w:shd w:val="clear" w:color="auto" w:fill="FFFFFF"/>
        </w:rPr>
        <w:t xml:space="preserve">. We found that different </w:t>
      </w:r>
      <w:r w:rsidRPr="00525EC0">
        <w:rPr>
          <w:rFonts w:ascii="Times New Roman" w:hAnsi="Times New Roman" w:cs="Times New Roman"/>
          <w:color w:val="000000"/>
        </w:rPr>
        <w:t>functional or taxonomic diversity indices provided drastically different results, and that not all measures were equally good indicators of forest regeneration. The strongest differences in bird functional and taxonomic composition were between open and closed canopy environments, where most taxonomic indices were highest in open canopy environments</w:t>
      </w:r>
      <w:r w:rsidR="00094014">
        <w:rPr>
          <w:rFonts w:ascii="Times New Roman" w:hAnsi="Times New Roman" w:cs="Times New Roman"/>
          <w:color w:val="000000"/>
        </w:rPr>
        <w:t>,</w:t>
      </w:r>
      <w:r w:rsidRPr="00525EC0">
        <w:rPr>
          <w:rFonts w:ascii="Times New Roman" w:hAnsi="Times New Roman" w:cs="Times New Roman"/>
          <w:color w:val="000000"/>
        </w:rPr>
        <w:t xml:space="preserve"> </w:t>
      </w:r>
      <w:r w:rsidR="00094014">
        <w:rPr>
          <w:rFonts w:ascii="Times New Roman" w:hAnsi="Times New Roman" w:cs="Times New Roman"/>
          <w:color w:val="000000"/>
        </w:rPr>
        <w:t>while</w:t>
      </w:r>
      <w:r w:rsidRPr="00525EC0">
        <w:rPr>
          <w:rFonts w:ascii="Times New Roman" w:hAnsi="Times New Roman" w:cs="Times New Roman"/>
          <w:color w:val="000000"/>
        </w:rPr>
        <w:t xml:space="preserve"> </w:t>
      </w:r>
      <w:r w:rsidR="00094014">
        <w:rPr>
          <w:rFonts w:ascii="Times New Roman" w:hAnsi="Times New Roman" w:cs="Times New Roman"/>
          <w:color w:val="000000"/>
        </w:rPr>
        <w:t>three</w:t>
      </w:r>
      <w:r w:rsidRPr="00525EC0">
        <w:rPr>
          <w:rFonts w:ascii="Times New Roman" w:hAnsi="Times New Roman" w:cs="Times New Roman"/>
          <w:color w:val="000000"/>
        </w:rPr>
        <w:t xml:space="preserve"> functional diversity measures were highest in closed canopy environments. Functional richness was associated with open-canopy habitats in early stages of regeneration, and functional evenness showed no changes between regeneration stages. Inversely, functional divergence, functional dispersion, and Rao’s quadratic entropy increased as a function of canopy cover and height and were indicative of </w:t>
      </w:r>
      <w:r>
        <w:rPr>
          <w:rFonts w:ascii="Times New Roman" w:hAnsi="Times New Roman" w:cs="Times New Roman"/>
          <w:color w:val="000000"/>
        </w:rPr>
        <w:t xml:space="preserve">mature </w:t>
      </w:r>
      <w:r w:rsidRPr="00525EC0">
        <w:rPr>
          <w:rFonts w:ascii="Times New Roman" w:hAnsi="Times New Roman" w:cs="Times New Roman"/>
          <w:color w:val="000000"/>
        </w:rPr>
        <w:t xml:space="preserve">forest communities. </w:t>
      </w:r>
      <w:r w:rsidR="00235DD1" w:rsidRPr="00525EC0">
        <w:rPr>
          <w:rFonts w:ascii="Times New Roman" w:hAnsi="Times New Roman" w:cs="Times New Roman"/>
          <w:color w:val="000000"/>
        </w:rPr>
        <w:t>Therefore, functional divergence, functional dispersion, and Rao’s quadratic entropy might be more valuable to consider</w:t>
      </w:r>
      <w:r w:rsidR="00094014">
        <w:rPr>
          <w:rFonts w:ascii="Times New Roman" w:hAnsi="Times New Roman" w:cs="Times New Roman"/>
          <w:color w:val="000000"/>
        </w:rPr>
        <w:t xml:space="preserve"> when assessing community responses to regeneration</w:t>
      </w:r>
      <w:r w:rsidR="00235DD1" w:rsidRPr="00525EC0">
        <w:rPr>
          <w:rFonts w:ascii="Times New Roman" w:hAnsi="Times New Roman" w:cs="Times New Roman"/>
          <w:color w:val="000000"/>
        </w:rPr>
        <w:t xml:space="preserve"> in tropical forest restoration</w:t>
      </w:r>
      <w:r w:rsidR="00094014">
        <w:rPr>
          <w:rFonts w:ascii="Times New Roman" w:hAnsi="Times New Roman" w:cs="Times New Roman"/>
          <w:color w:val="000000"/>
        </w:rPr>
        <w:t xml:space="preserve"> than taxonomic measures</w:t>
      </w:r>
      <w:r w:rsidR="00235DD1" w:rsidRPr="00525EC0">
        <w:rPr>
          <w:rFonts w:ascii="Times New Roman" w:hAnsi="Times New Roman" w:cs="Times New Roman"/>
          <w:color w:val="000000"/>
        </w:rPr>
        <w:t>.</w:t>
      </w:r>
    </w:p>
    <w:p w14:paraId="22B7EE32" w14:textId="328F8C10" w:rsidR="00973A48" w:rsidRPr="00973A48" w:rsidRDefault="00973A48" w:rsidP="00D77075">
      <w:pPr>
        <w:spacing w:before="0" w:after="0"/>
        <w:ind w:firstLine="360"/>
        <w:rPr>
          <w:rFonts w:ascii="Times New Roman" w:hAnsi="Times New Roman" w:cs="Times New Roman"/>
        </w:rPr>
      </w:pPr>
      <w:r w:rsidRPr="00973A48">
        <w:rPr>
          <w:rFonts w:ascii="Times New Roman" w:hAnsi="Times New Roman" w:cs="Times New Roman"/>
          <w:color w:val="000000"/>
        </w:rPr>
        <w:t xml:space="preserve">The strongest differences in bird functional and taxonomic composition were associated with vegetation changes between open and closed canopy environments. </w:t>
      </w:r>
      <w:r w:rsidRPr="00973A48">
        <w:rPr>
          <w:rFonts w:ascii="Times New Roman" w:hAnsi="Times New Roman" w:cs="Times New Roman"/>
        </w:rPr>
        <w:t xml:space="preserve">Functional dispersion, functional divergence, and Rao’s Q increased with canopy height and density independently of bird species richness, indicating as forests grow taller and more structurally complex, the species that persist have more distinct ecological roles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{"citationID":"a3ao42oedi","properties":{"formattedCitation":"(Reme\\uc0\\u353{} et al., 2021)","plainCitation":"(Remeš et al., 2021)","noteIndex":0},"citationItems":[{"id":1543,"uris":["http://zotero.org/users/12345038/items/6ZA9YHCB"],"itemData":{"id":1543,"type":"article-journal","container-title":"Ecology and Evolution","language":"en","title":"Functional diversity of avian communities increases with canopy height: From individual behavior to continental‐scale patterns","volume":"Sep;11(17):11839-51","author":[{"family":"Remeš","given":"V."},{"family":"Remešová","given":"E."},{"family":"Friedman","given":"N.R."},{"family":"Matysioková","given":"B."},{"family":"Rubáčová","given":"L."}],"issued":{"date-parts":[["2021"]]}}}],"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rPr>
        <w:t>(Remeš et al., 2021)</w:t>
      </w:r>
      <w:r w:rsidRPr="00973A48">
        <w:rPr>
          <w:rFonts w:ascii="Times New Roman" w:hAnsi="Times New Roman" w:cs="Times New Roman"/>
        </w:rPr>
        <w:fldChar w:fldCharType="end"/>
      </w:r>
      <w:r w:rsidRPr="00973A48">
        <w:rPr>
          <w:rFonts w:ascii="Times New Roman" w:hAnsi="Times New Roman" w:cs="Times New Roman"/>
        </w:rPr>
        <w:t xml:space="preserve">. This result is not surprising, as functional diversity measures reflect deeper ecological processes that take longer to recover </w:t>
      </w:r>
      <w:r w:rsidRPr="00973A48">
        <w:rPr>
          <w:rFonts w:ascii="Times New Roman" w:hAnsi="Times New Roman" w:cs="Times New Roman"/>
        </w:rPr>
        <w:lastRenderedPageBreak/>
        <w:t xml:space="preserve">compared to simpler metrics like species richness and abundance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{"citationID":"x8CltI3M","properties":{"formattedCitation":"(Acevedo\\uc0\\u8208{}Charry &amp; Aide, 2019b)","plainCitation":"(Acevedo‐Charry &amp; Aide, 2019b)","dontUpdate":true,"noteIndex":0},"citationItems":[{"id":511,"uris":["http://zotero.org/users/12345038/items/LXBXP3NI"],"itemData":{"id":511,"type":"article-journal","container-title":"Oikos","DOI":"10.1111/oik.06252","ISSN":"0030-1299, 1600-0706","issue":"8","journalAbbreviation":"Oikos","language":"en","page":"1065-1078","source":"DOI.org (Crossref)","title":"Recovery of amphibian, reptile, bird and mammal diversity during secondary forest succession in the tropics","volume":"128","author":[{"family":"Acevedo‐Charry","given":"Orlando"},{"family":"Aide","given":"T. Mitchell"}],"issued":{"date-parts":[["2019",8]]}}}],"schema":"https://github.com/citation-style-language/schema/raw/master/csl-citation.json"}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rPr>
        <w:t>(Acevedo‐Charry &amp; Aide, 2019)</w:t>
      </w:r>
      <w:r w:rsidRPr="00973A48">
        <w:rPr>
          <w:rFonts w:ascii="Times New Roman" w:hAnsi="Times New Roman" w:cs="Times New Roman"/>
        </w:rPr>
        <w:fldChar w:fldCharType="end"/>
      </w:r>
      <w:r w:rsidRPr="00973A48">
        <w:rPr>
          <w:rFonts w:ascii="Times New Roman" w:hAnsi="Times New Roman" w:cs="Times New Roman"/>
        </w:rPr>
        <w:t xml:space="preserve">. Resources provided by taller vegetation might allow the coexistence of species with diverse ecological strategies by providing more niche space </w:t>
      </w:r>
      <w:r w:rsidRPr="008A3D69">
        <w:rPr>
          <w:rFonts w:ascii="Times New Roman" w:hAnsi="Times New Roman" w:cs="Times New Roman"/>
        </w:rPr>
        <w:fldChar w:fldCharType="begin"/>
      </w:r>
      <w:r w:rsidRPr="008A3D69">
        <w:rPr>
          <w:rFonts w:ascii="Times New Roman" w:hAnsi="Times New Roman" w:cs="Times New Roman"/>
        </w:rPr>
        <w:instrText xml:space="preserve"> ADDIN ZOTERO_ITEM CSL_CITATION {"citationID":"a2itbf0ukt6","properties":{"formattedCitation":"(Aguirre\\uc0\\u8208{}Guti\\uc0\\u233{}rrez et al., 2017; Oliveira &amp; Scheffers, 2019)","plainCitation":"(Aguirre‐Gutiérrez et al., 2017; Oliveira &amp; Scheffers, 2019)","noteIndex":0},"citationItems":[{"id":1479,"uris":["http://zotero.org/users/12345038/items/YZH4EDZY"],"itemData":{"id":1479,"type":"article-journal","container-title":"Global Ecology and Biogeography","language":"en","title":"Butterflies show different functional and species diversity in relationship to vegetation structure and land use","volume":"Oct;26(10):1126-37","author":[{"family":"Aguirre‐Gutiérrez","given":"J."},{"family":"WallisDeVries","given":"M.F."},{"family":"Marshall","given":"L."},{"family":"Zelfde","given":"M."},{"family":"Villalobos‐Arámbula","given":"A.R."},{"family":"Boekelo","given":"B."},{"family":"Bartholomeus","given":"H."},{"family":"Franzén","given":"M."},{"family":"Biesmeijer","given":"J.C."}],"issued":{"date-parts":[["2017"]]}}},{"id":1534,"uris":["http://zotero.org/users/12345038/items/XHYVIRPE"],"itemData":{"id":1534,"type":"article-journal","container-title":"Ecography","language":"en","title":"Vertical stratification influences global patterns of biodiversity","volume":"Feb;42(2):249","author":[{"family":"Oliveira","given":"B.F."},{"family":"Scheffers","given":"B.R."}],"issued":{"date-parts":[["2019"]]}}}],"schema":"https://github.com/citation-style-language/schema/raw/master/csl-citation.json"} </w:instrText>
      </w:r>
      <w:r w:rsidRPr="008A3D69">
        <w:rPr>
          <w:rFonts w:ascii="Times New Roman" w:hAnsi="Times New Roman" w:cs="Times New Roman"/>
        </w:rPr>
        <w:fldChar w:fldCharType="separate"/>
      </w:r>
      <w:r w:rsidRPr="008A3D69">
        <w:rPr>
          <w:rFonts w:ascii="Times New Roman" w:hAnsi="Times New Roman" w:cs="Times New Roman"/>
        </w:rPr>
        <w:t>(Aguirre‐Gutiérrez et al., 2017; Oliveira &amp; Scheffers, 2019)</w:t>
      </w:r>
      <w:r w:rsidRPr="008A3D69">
        <w:rPr>
          <w:rFonts w:ascii="Times New Roman" w:hAnsi="Times New Roman" w:cs="Times New Roman"/>
        </w:rPr>
        <w:fldChar w:fldCharType="end"/>
      </w:r>
      <w:r w:rsidRPr="008A3D69">
        <w:rPr>
          <w:rFonts w:ascii="Times New Roman" w:hAnsi="Times New Roman" w:cs="Times New Roman"/>
        </w:rPr>
        <w:t xml:space="preserve">. Other work has found similar trends, where increased tree cover positively correlated with increased guild richness and a greater distribution of functional traits </w:t>
      </w:r>
      <w:r w:rsidRPr="008A3D69">
        <w:rPr>
          <w:rFonts w:ascii="Times New Roman" w:hAnsi="Times New Roman" w:cs="Times New Roman"/>
        </w:rPr>
        <w:fldChar w:fldCharType="begin"/>
      </w:r>
      <w:r w:rsidRPr="008A3D69">
        <w:rPr>
          <w:rFonts w:ascii="Times New Roman" w:hAnsi="Times New Roman" w:cs="Times New Roman"/>
        </w:rPr>
        <w:instrText xml:space="preserve"> ADDIN ZOTERO_ITEM CSL_CITATION {"citationID":"agluce7h7t","properties":{"formattedCitation":"\\uldash{(Ikin et al., 1901)}","plainCitation":"(Ikin et al., 1901)","dontUpdate":true,"noteIndex":0},"citationItems":[{"id":1514,"uris":["http://zotero.org/users/12345038/items/FCRI9GA9"],"itemData":{"id":1514,"type":"article-journal","container-title":"Proceedings of the Royal Society B. 2019 Apr","issue":"20190114","language":"en","title":"Avian functional responses to landscape recovery","volume":"286","author":[{"family":"Ikin","given":"K."},{"family":"Barton","given":"P.S."},{"family":"Blanchard","given":"W."},{"family":"Crane","given":"M."},{"family":"Stein","given":"J."},{"family":"Lindenmayer","given":"D.B."}],"issued":{"date-parts":[["2019"]]}}}],"schema":"https://github.com/citation-style-language/schema/raw/master/csl-citation.json"} </w:instrText>
      </w:r>
      <w:r w:rsidRPr="008A3D69">
        <w:rPr>
          <w:rFonts w:ascii="Times New Roman" w:hAnsi="Times New Roman" w:cs="Times New Roman"/>
        </w:rPr>
        <w:fldChar w:fldCharType="separate"/>
      </w:r>
      <w:r w:rsidRPr="008A3D69">
        <w:rPr>
          <w:rFonts w:ascii="Times New Roman" w:hAnsi="Times New Roman" w:cs="Times New Roman"/>
        </w:rPr>
        <w:t>(Ikin et al., 2019)</w:t>
      </w:r>
      <w:r w:rsidRPr="008A3D69">
        <w:rPr>
          <w:rFonts w:ascii="Times New Roman" w:hAnsi="Times New Roman" w:cs="Times New Roman"/>
        </w:rPr>
        <w:fldChar w:fldCharType="end"/>
      </w:r>
      <w:r w:rsidRPr="008A3D69">
        <w:rPr>
          <w:rFonts w:ascii="Times New Roman" w:hAnsi="Times New Roman" w:cs="Times New Roman"/>
        </w:rPr>
        <w:t xml:space="preserve">. However, canopy attributes only explained 35% of the variance in bird communities. Thus, other variables are important to consider, as factors such as food availability can also influence functional diversity by filtering trait assemblages </w:t>
      </w:r>
      <w:r w:rsidRPr="008A3D69">
        <w:rPr>
          <w:rFonts w:ascii="Times New Roman" w:hAnsi="Times New Roman" w:cs="Times New Roman"/>
        </w:rPr>
        <w:fldChar w:fldCharType="begin"/>
      </w:r>
      <w:r w:rsidRPr="008A3D69">
        <w:rPr>
          <w:rFonts w:ascii="Times New Roman" w:hAnsi="Times New Roman" w:cs="Times New Roman"/>
        </w:rPr>
        <w:instrText xml:space="preserve"> ADDIN ZOTERO_ITEM CSL_CITATION {"citationID":"MQZiFnGL","properties":{"formattedCitation":"(Flynn et al., 2011; Pena et al., 2023; Quitian et al., 2019)","plainCitation":"(Flynn et al., 2011; Pena et al., 2023; Quitian et al., 2019)","noteIndex":0},"citationItems":[{"id":1608,"uris":["http://zotero.org/users/12345038/items/A7ZKFTD8"],"itemData":{"id":1608,"type":"article-journal","abstract":"How closely does variability in ecologically important traits reﬂect evolutionary divergence? The use of phylogenetic diversity (PD) to predict biodiversity effects on ecosystem functioning, and more generally the use of phylogenetic information in community ecology, depends in part on the answer to this question. However, comparisons of the predictive power of phylogenetic diversity and functional diversity (FD) have not been conducted across a range of experiments. To address how phylogenetic diversity and functional trait variation control biodiversity effects on biomass production, we summarized the results of 29 grassland plant experiments where both the phylogeny of plant species used in the experiments is well described and where extensive trait data are available. Functional trait variation was only partially related to phylogenetic distances between species, and the resulting FD values therefore correlate only partially with PD. Despite these differences, FD and PD predicted biodiversity effects across all experiments with similar strength, including in subsets that excluded plots with legumes and that focused on fertilization experiments. Two- and threetrait combinations of the ﬁve traits used here (leaf nitrogen percentage, height, speciﬁc root length, leaf mass per unit area, and nitrogen ﬁxation) resulted in the FD values with the greatest predictive power. Both PD and FD can be valuable predictors of the effect of biodiversity on ecosystem functioning, which suggests that a focus on both community trait diversity and evolutionary history can improve understanding of the consequences of biodiversity loss.","container-title":"Ecology","DOI":"10.1890/10-1245.1","ISSN":"0012-9658","issue":"8","journalAbbreviation":"Ecology","language":"en","license":"http://doi.wiley.com/10.1002/tdm_license_1","page":"1573-1581","source":"DOI.org (Crossref)","title":"Functional and phylogenetic diversity as predictors of biodiversity–ecosystem-function relationships","volume":"92","author":[{"family":"Flynn","given":"Dan F. B."},{"family":"Mirotchnick","given":"Nicholas"},{"family":"Jain","given":"Meha"},{"family":"Palmer","given":"Matthew I."},{"family":"Naeem","given":"Shahid"}],"issued":{"date-parts":[["2011",8]]}}},{"id":917,"uris":["http://zotero.org/users/12345038/items/CQ6XELLK"],"itemData":{"id":917,"type":"article-journal","container-title":"BASIC AND APPLIED ECOLOGY","DOI":"10.1016/j.baae.2022.11.008","ISSN":"1439-1791","page":"11-21","title":"Abundance and trait-matching both shape interaction frequencies between plants and birds in seed-dispersal networks","volume":"66","author":[{"family":"Pena","given":"Rocio"},{"family":"Schleuning","given":"Matthias"},{"family":"Dalerum","given":"Fredrik"},{"family":"Donoso","given":"Isabel"},{"family":"Rodriguez-Perez","given":"Javier"},{"family":"Garcia","given":"Daniel"}],"issued":{"date-parts":[["2023",2]]}}},{"id":1175,"uris":["http://zotero.org/users/12345038/items/8MK4VBVH"],"itemData":{"id":1175,"type":"article-journal","abstract":"Partner choice in species interaction networks, that is, between frugivorous birds and fruiting plants, is largely determined by matching of functional traits. However, the composition of functional traits in plant communities changes along land-use gradients. Understanding how flexible consumers react to changes in the trait composition of resources is crucial to project consequences for ecosystem functions, such as seed dispersal. We investigated the ability of birds to consume fruits with different sets of traits in natural and fragmented tropical montane forests across an elevational gradient. We developed a novel, trait-based approach to quantify the functional shifts of consumers between resources with different functional traits. We expected the degree of functional shifts to be associated with bird traits related to food choice, such as bill width and degree of frugivory, as well as foraging behaviour, such as wing shape and foraging stratum. We sampled the plant-frugivore networks at three elevations and two habitat types (natural and fragmented forest) and measured the functional traits for each plant and bird species. We calculated the trait space of the plant community at each elevation and projected the interacting birds into it. Finally, we calculated the functional shift, which is the trait-based distance between the preferred fruit resources in the two habitat types for each bird species. We found differences in the functional trait space of the fruiting plant community between natural and fragmented forests across all elevations. Birds' observed functional shifts between habitat types at each elevation were generally larger than the shifts expected by null models. Wing shape was the most important trait related to the functional shifts across the elevational gradient, whereas bill width, degree of frugivory, foraging stratum and phylogeny were not important. We conclude that birds with pointed wings respond flexibly to changes in the trait composition of fruit resources, probably due to the high mobility of these species. Our results emphasize that linking species interaction networks and functional trait analyses yield new insights into how consumer species respond to changes in biotic factors and can improve projections of how human impacts modify trophic interactions and associated ecosystem functions. A is available for this article.","container-title":"FUNCTIONAL ECOLOGY","DOI":"10.1111/1365-2435.13255","ISSN":"0269-8463","issue":"3","page":"399-410","title":"Functional responses of avian frugivores to variation in fruit resources between natural and fragmented forests","volume":"33","author":[{"family":"Quitian","given":"Marta"},{"family":"Santillan","given":"Vinicio"},{"family":"Bender","given":"Irene M. A."},{"family":"Ivan Espinosa","given":"Carlos"},{"family":"Homeier","given":"Juergen"},{"family":"Boehning-Gaese","given":"Katrin"},{"family":"Schleuning","given":"Matthias"},{"family":"Neuschulz","given":"Eike Lena"}],"issued":{"date-parts":[["2019",3]]}}}],"schema":"https://github.com/citation-style-language/schema/raw/master/csl-citation.json"} </w:instrText>
      </w:r>
      <w:r w:rsidRPr="008A3D69">
        <w:rPr>
          <w:rFonts w:ascii="Times New Roman" w:hAnsi="Times New Roman" w:cs="Times New Roman"/>
        </w:rPr>
        <w:fldChar w:fldCharType="separate"/>
      </w:r>
      <w:r w:rsidRPr="008A3D69">
        <w:rPr>
          <w:rFonts w:ascii="Times New Roman" w:hAnsi="Times New Roman" w:cs="Times New Roman"/>
        </w:rPr>
        <w:t>(Flynn et al., 2011; Pena et al., 2023; Quitian et al., 2019)</w:t>
      </w:r>
      <w:r w:rsidRPr="008A3D69">
        <w:rPr>
          <w:rFonts w:ascii="Times New Roman" w:hAnsi="Times New Roman" w:cs="Times New Roman"/>
        </w:rPr>
        <w:fldChar w:fldCharType="end"/>
      </w:r>
      <w:r w:rsidRPr="00973A48">
        <w:rPr>
          <w:rFonts w:ascii="Times New Roman" w:hAnsi="Times New Roman" w:cs="Times New Roman"/>
        </w:rPr>
        <w:t xml:space="preserve">. For instance, in a Peruvian cloud forest, early regeneration habitats with dense understories supported more bird species with plant-based diets (flowers, fruits, and seeds), broader elevational ranges, and wider habitat breadths compared to old-growth forests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{"citationID":"npLzHoOs","properties":{"formattedCitation":"(Ausprey et al., 2022)","plainCitation":"(Ausprey et al., 2022)","noteIndex":0},"citationItems":[{"id":1692,"uris":["http://zotero.org/users/12345038/items/CUGLQGCQ"],"itemData":{"id":1692,"type":"article-journal","abstract":"Abstract\n            \n              \n                \n                  Anthropogenic disturbance contributes to global change by reshaping the ecological niche space available to biological communities. Quantifying the range of functional response traits required for species persistence is central towards understanding the mechanisms underlying community disassembly in disturbed landscapes.\n                \n                \n                  We used intensive field surveys of cloud forest bird communities across seven replicate landscapes undergoing agricultural conversion in the Peruvian Andes to examine how a suite of 16 functional response traits related to morphology, diet, foraging behaviour and environmental niche breadth predict (1) species‐specific abundance changes in countryside habitats compared to forest and (2) differential changes to the ecological niche space occupied by communities.\n                \n                \n                  Our analyses relied on (1) hierarchical distance sampling models to examine the functional predictors of abundance change across the agricultural land use gradient while accounting for imperfect detection and (2) n‐dimensional hypervolumes to quantify the expansion and contraction of ecological niche space in countryside habitats.\n                \n                \n                  Key traits related to increased abundance in early successional and mixed‐intensity agricultural areas included (1) morphological adaptations to dense understorey habitats, (2) plant‐based diets (flowers, fruit and seeds) and (3) broad elevational range limits and habitat breadth. Species occupying mixed and high‐intensity agricultural land use regimes had mean elevational range limits 20%–60% wider than species found within forests. Collectively, ecological niche space expanded within agricultural habitats for traits related to diet and environmental niche breadth, while contracting for foraging and dispersal traits. Such changes were driven by species with unique functional trait combinations.\n                \n                \n                  Our results reveal the dynamic changes to ecological niche space that underly community structure in disturbed landscapes and highlight how increased niche breadth can ameliorate disturbance sensitivity for generalist species. We emphasize that functional traits can be used to predict changes in community structure across disturbance gradients, allowing insights into specific mechanisms underlying community disassembly beyond emergent patterns of functional diversity. By identifying key functional trait groups that align with different countryside habitats, we demonstrate how conservation practitioners can contribute to the retention of avian functional diversity in agricultural landscapes throughout the world.\n                \n              \n            \n          , \n            Español\n            \n              \n                \n                  La perturbación antropogénica contribuye al cambio global al remodelar el espacio de nicho ecológico disponible para las comunidades biológicas. Cuantificar la gama de rasgos de respuesta funcional requeridos para la persistencia de las especies es fundamental para comprender los mecanismos que subyacen al desensamble de la comunidad en los paisajes perturbados.\n                \n                \n                  Utilizamos muestreos de campo intensivos de las comunidades de aves del bosque nublado en siete paisajes replicados convertidos a uso agrícola en los Andes peruanos para examinar cómo un conjunto de 16 rasgos de respuesta funcional relacionados con la morfología, dieta, comportamiento de forrajeo, y la amplitud del nicho ambiental predicen (1) cambios en las abundancias de especies específicas en paisajes agrícolas (“countrysides”) en comparación con el bosque y (2) cambios diferenciales en el espacio del nicho ecológico ocupado por las comunidades.\n                \n                \n                  Nuestros análisis se basaron en (1) modelos jerárquicos de muestreo por la distancia para examinar los predictores funcionales del cambio de abundancia a través del gradiente de uso de suelo para agricultura teniendo en cuenta la detección imperfecta, y (2) “n‐dimensional hypervolumes” para cuantificar la expansión y contracción del espacio de nicho ecológico en los hábitats agrícolas.\n                \n                \n                  Los rasgos clave relacionados con el aumento de la abundancia en áreas agrícolas de sucesión temprana y de intensidad mixta incluyeron (1) adaptaciones morfológicas a hábitats de sotobosque denso, (2) dietas basadas en plantas (flores, frutas y semillas), y (3) amplios límites de rango de elevación y amplitud de hábitat. Las especies que ocupan regímenes de suelo agrícola mixto y de alta intensidad tenían límites de rango de elevación promedio 20%–60% más amplios que las especies que se encuentran en los bosques. En conjunto, el espacio del nicho ecológico se expandió dentro de los hábitats agrícolas para los rasgos relacionadas con la dieta y la amplitud del nicho ambiental, mientras que se contrajo para los rasgos de forrajeo y dispersión. Dichos cambios fueron impulsados por especies con combinaciones de rasgos funcionales únicos.\n                \n                \n                  Nuestros resultados revelan los cambios dinámicos en el espacio del nicho ecológico que subyacen a la estructura de la comunidad en los paisajes perturbados y destacan cómo una mayor amplitud del nicho puede mejorar la sensibilidad a las perturbaciones para las especies generalistas. Enfatizamos que los rasgos funcionales pueden utilizarse para predecir los cambios en la estructura de la comunidad a través de gradientes de perturbación, lo que permite comprender los mecanismos específicos que subyacen al desensamble de la comunidad más allá de los patrones emergentes de diversidad funcional. Al identificar grupos de rasgos funcionales claves que se alinean con diferentes hábitats agrícolas como en “countrysides” demostramos cómo los profesionales de la conservación pueden contribuir a la retención de la diversidad funcional de las aves en los paisajes agrícolas en todo el mundo.","container-title":"Journal of Animal Ecology","DOI":"10.1111/1365-2656.13816","ISSN":"0021-8790, 1365-2656","issue":"11","journalAbbreviation":"Journal of Animal Ecology","language":"en","page":"2314-2328","source":"DOI.org (Crossref)","title":"Functional response traits and altered ecological niches drive the disassembly of cloud forest bird communities in tropical montane countrysides","volume":"91","author":[{"family":"Ausprey","given":"Ian J."},{"family":"Newell","given":"Felicity L."},{"family":"Robinson","given":"Scott K."}],"issued":{"date-parts":[["2022",11]]}}}],"schema":"https://github.com/citation-style-language/schema/raw/master/csl-citation.json"}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(Ausprey et al., 2022)</w:t>
      </w:r>
      <w:r w:rsidRPr="00973A48">
        <w:rPr>
          <w:rFonts w:ascii="Times New Roman" w:hAnsi="Times New Roman" w:cs="Times New Roman"/>
        </w:rPr>
        <w:fldChar w:fldCharType="end"/>
      </w:r>
      <w:r w:rsidRPr="00973A48">
        <w:rPr>
          <w:rFonts w:ascii="Times New Roman" w:hAnsi="Times New Roman" w:cs="Times New Roman"/>
        </w:rPr>
        <w:t xml:space="preserve">. Furthermore, dispersal ability and historical contingency also contribute to changes in community assembly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{"citationID":"v4Pzg7w5","properties":{"formattedCitation":"(Gao et al., 2024)","plainCitation":"(Gao et al., 2024)","noteIndex":0},"citationItems":[{"id":1780,"uris":["http://zotero.org/users/12345038/items/K9C8VI2L"],"itemData":{"id":1780,"type":"article-journal","container-title":"Global Ecology and Conservation","DOI":"10.1016/j.gecco.2024.e02997","ISSN":"23519894","journalAbbreviation":"Global Ecology and Conservation","language":"en","page":"e02997","source":"DOI.org (Crossref)","title":"Patterns and mechanisms of bird community assembly along an Afrotropical elevational gradient in Kenya","volume":"53","author":[{"family":"Gao","given":"Jianyun"},{"family":"Yan","given":"Dao"},{"family":"Ndithia","given":"Henry K."},{"family":"Imboma","given":"Titus"},{"family":"Mutati","given":"Alex S."},{"family":"Kioko","given":"Onesmus"},{"family":"Gichuki","given":"Patrick"},{"family":"Wu","given":"Fei"},{"family":"Kioko","given":"Esther N."},{"family":"Yang","given":"Xiaojun"}],"issued":{"date-parts":[["2024",9]]}}}],"schema":"https://github.com/citation-style-language/schema/raw/master/csl-citation.json"}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(Gao et al., 2024)</w:t>
      </w:r>
      <w:r w:rsidRPr="00973A48">
        <w:rPr>
          <w:rFonts w:ascii="Times New Roman" w:hAnsi="Times New Roman" w:cs="Times New Roman"/>
        </w:rPr>
        <w:fldChar w:fldCharType="end"/>
      </w:r>
      <w:r w:rsidRPr="00973A48">
        <w:rPr>
          <w:rFonts w:ascii="Times New Roman" w:hAnsi="Times New Roman" w:cs="Times New Roman"/>
        </w:rPr>
        <w:t xml:space="preserve">, therefore could also contribute to changes in functional diversity. </w:t>
      </w:r>
    </w:p>
    <w:p w14:paraId="414D0A4C" w14:textId="1D426A68" w:rsidR="007A678D" w:rsidRPr="00973A48" w:rsidRDefault="00690DE4" w:rsidP="00D129D2">
      <w:pPr>
        <w:spacing w:before="0" w:after="0"/>
        <w:ind w:firstLine="360"/>
        <w:rPr>
          <w:rFonts w:ascii="Times New Roman" w:hAnsi="Times New Roman" w:cs="Times New Roman"/>
        </w:rPr>
      </w:pPr>
      <w:r>
        <w:rPr>
          <w:rFonts w:ascii="Times New Roman" w:hAnsi="Times New Roman" w:cs="Times New Roman"/>
        </w:rPr>
        <w:t>In this study, s</w:t>
      </w:r>
      <w:r w:rsidR="00973A48" w:rsidRPr="00973A48">
        <w:rPr>
          <w:rFonts w:ascii="Times New Roman" w:hAnsi="Times New Roman" w:cs="Times New Roman"/>
        </w:rPr>
        <w:t xml:space="preserve">pecies richness and Shannon’s entropy were highest in early stages of forest regeneration, likely due to the high abundance of generalist disturbance-tolerant species. </w:t>
      </w:r>
      <w:r w:rsidR="008A3D69">
        <w:rPr>
          <w:rFonts w:ascii="Times New Roman" w:hAnsi="Times New Roman" w:cs="Times New Roman"/>
        </w:rPr>
        <w:t>Other studies have suggested that g</w:t>
      </w:r>
      <w:r w:rsidR="00973A48" w:rsidRPr="00973A48">
        <w:rPr>
          <w:rFonts w:ascii="Times New Roman" w:hAnsi="Times New Roman" w:cs="Times New Roman"/>
        </w:rPr>
        <w:t xml:space="preserve">eneralist species adapt to fast population growth in resource-rich environments dominate earlier successional stages, while species with higher competitive ability in resource-limited environments, or those that depend on resources such as higher structural vegetation complexity, dominate older-growth forests </w:t>
      </w:r>
      <w:r w:rsidR="00973A48" w:rsidRPr="00973A48">
        <w:rPr>
          <w:rFonts w:ascii="Times New Roman" w:hAnsi="Times New Roman" w:cs="Times New Roman"/>
        </w:rPr>
        <w:fldChar w:fldCharType="begin"/>
      </w:r>
      <w:r w:rsidR="00BC132B">
        <w:rPr>
          <w:rFonts w:ascii="Times New Roman" w:hAnsi="Times New Roman" w:cs="Times New Roman"/>
        </w:rPr>
        <w:instrText xml:space="preserve"> ADDIN ZOTERO_ITEM CSL_CITATION {"citationID":"ujXOtTDx","properties":{"formattedCitation":"(Pinotti et al., 2012a)","plainCitation":"(Pinotti et al., 2012a)","noteIndex":0},"citationItems":[{"id":1709,"uris":["http://zotero.org/users/12345038/items/B4PSMNCE"],"itemData":{"id":1709,"type":"article-journal","container-title":"Forest Ecology and Management","DOI":"10.1016/j.foreco.2012.07.020","ISSN":"03781127","journalAbbreviation":"Forest Ecology and Management","language":"en","license":"https://www.elsevier.com/tdm/userlicense/1.0/","page":"119-127","source":"DOI.org (Crossref)","title":"Habitat structure and food resources for wildlife across successional stages in a tropical forest","volume":"283","author":[{"family":"Pinotti","given":"Bruno T."},{"family":"Pagotto","given":"Camilla P."},{"family":"Pardini","given":"Renata"}],"issued":{"date-parts":[["2012",11]]}}}],"schema":"https://github.com/citation-style-language/schema/raw/master/csl-citation.json"} </w:instrText>
      </w:r>
      <w:r w:rsidR="00973A48" w:rsidRPr="00973A48">
        <w:rPr>
          <w:rFonts w:ascii="Times New Roman" w:hAnsi="Times New Roman" w:cs="Times New Roman"/>
        </w:rPr>
        <w:fldChar w:fldCharType="separate"/>
      </w:r>
      <w:r w:rsidR="00BC132B">
        <w:rPr>
          <w:rFonts w:ascii="Times New Roman" w:hAnsi="Times New Roman" w:cs="Times New Roman"/>
          <w:noProof/>
        </w:rPr>
        <w:t>(Pinotti et al., 2012)</w:t>
      </w:r>
      <w:r w:rsidR="00973A48" w:rsidRPr="00973A48">
        <w:rPr>
          <w:rFonts w:ascii="Times New Roman" w:hAnsi="Times New Roman" w:cs="Times New Roman"/>
        </w:rPr>
        <w:fldChar w:fldCharType="end"/>
      </w:r>
      <w:r w:rsidR="00973A48" w:rsidRPr="00973A48">
        <w:rPr>
          <w:rFonts w:ascii="Times New Roman" w:hAnsi="Times New Roman" w:cs="Times New Roman"/>
        </w:rPr>
        <w:t>. However, functional richness was also associated with open-canopy habitats (in contrast to functional dispersion, functional divergence, and Rao’s quadratic entropy)</w:t>
      </w:r>
      <w:r w:rsidR="00973A48" w:rsidRPr="00973A48">
        <w:rPr>
          <w:rFonts w:ascii="Times New Roman" w:hAnsi="Times New Roman" w:cs="Times New Roman"/>
          <w:color w:val="000000"/>
        </w:rPr>
        <w:t xml:space="preserve">. </w:t>
      </w:r>
      <w:r w:rsidR="00973A48" w:rsidRPr="00973A48">
        <w:rPr>
          <w:rFonts w:ascii="Times New Roman" w:hAnsi="Times New Roman" w:cs="Times New Roman"/>
        </w:rPr>
        <w:t xml:space="preserve">Functional richness is simply defined as the proportion of the total number of traits available that are occupied by at least one individual and may correlate with species richness </w:t>
      </w:r>
      <w:r w:rsidR="00973A48" w:rsidRPr="00973A48">
        <w:rPr>
          <w:rFonts w:ascii="Times New Roman" w:hAnsi="Times New Roman" w:cs="Times New Roman"/>
        </w:rPr>
        <w:fldChar w:fldCharType="begin"/>
      </w:r>
      <w:r w:rsidR="00973A48" w:rsidRPr="00973A48">
        <w:rPr>
          <w:rFonts w:ascii="Times New Roman" w:hAnsi="Times New Roman" w:cs="Times New Roman"/>
        </w:rPr>
        <w:instrText xml:space="preserve"> ADDIN ZOTERO_ITEM CSL_CITATION {"citationID":"a24c73mp1pl","properties":{"formattedCitation":"(Vill\\uc0\\u233{}ger et al., 2008)","plainCitation":"(Villéger et al., 2008)","noteIndex":0},"citationItems":[{"id":1555,"uris":["http://zotero.org/users/12345038/items/G8CQPTP8"],"itemData":{"id":1555,"type":"article-journal","container-title":"Ecology","language":"en","title":"New multidimensional functional diversity indices for a multifaceted framework in functional ecology","volume":"Aug;89(8):2290-301","author":[{"family":"Villéger","given":"S."},{"family":"Mason","given":"N.W."},{"family":"Mouillot","given":"D."}],"issued":{"date-parts":[["2008"]]}}}],"schema":"https://github.com/citation-style-language/schema/raw/master/csl-citation.json"} </w:instrText>
      </w:r>
      <w:r w:rsidR="00973A48" w:rsidRPr="00973A48">
        <w:rPr>
          <w:rFonts w:ascii="Times New Roman" w:hAnsi="Times New Roman" w:cs="Times New Roman"/>
        </w:rPr>
        <w:fldChar w:fldCharType="separate"/>
      </w:r>
      <w:r w:rsidR="00973A48" w:rsidRPr="00973A48">
        <w:rPr>
          <w:rFonts w:ascii="Times New Roman" w:hAnsi="Times New Roman" w:cs="Times New Roman"/>
        </w:rPr>
        <w:t>(Villéger et al., 2008)</w:t>
      </w:r>
      <w:r w:rsidR="00973A48" w:rsidRPr="00973A48">
        <w:rPr>
          <w:rFonts w:ascii="Times New Roman" w:hAnsi="Times New Roman" w:cs="Times New Roman"/>
        </w:rPr>
        <w:fldChar w:fldCharType="end"/>
      </w:r>
      <w:r w:rsidR="00973A48" w:rsidRPr="00973A48">
        <w:rPr>
          <w:rFonts w:ascii="Times New Roman" w:hAnsi="Times New Roman" w:cs="Times New Roman"/>
        </w:rPr>
        <w:t xml:space="preserve">. Therefore, functional richness is independent of species abundances </w:t>
      </w:r>
      <w:r w:rsidR="00973A48" w:rsidRPr="00973A48">
        <w:rPr>
          <w:rFonts w:ascii="Times New Roman" w:hAnsi="Times New Roman" w:cs="Times New Roman"/>
        </w:rPr>
        <w:fldChar w:fldCharType="begin"/>
      </w:r>
      <w:r w:rsidR="00973A48" w:rsidRPr="00973A48">
        <w:rPr>
          <w:rFonts w:ascii="Times New Roman" w:hAnsi="Times New Roman" w:cs="Times New Roman"/>
        </w:rPr>
        <w:instrText xml:space="preserve"> ADDIN ZOTERO_ITEM CSL_CITATION {"citationID":"ALdlho65","properties":{"formattedCitation":"(Karadimou et al., 2016)","plainCitation":"(Karadimou et al., 2016)","noteIndex":0},"citationItems":[{"id":1690,"uris":["http://zotero.org/users/12345038/items/IA88ZVWC"],"itemData":{"id":1690,"type":"article-journal","abstract":"Abstract\n            \n              The relationship between species richness and area is one of the few well-established laws in ecology, and one might expect a similar relationship with functional diversity (FD). However, only a few studies investigate the relationship between trait-based FD and area, the Functional Diversity - Area Relationship (FDAR). To examine FDAR, we constructed the species accumulation curve and the corresponding FD curve. We used plant diversity data from nested plots (1–128 m\n              2\n              ), recorded on the Volcanic islands of Santorini Archipelagos, Greece. Six multidimensional FD indices were calculated using 26 traits. We identified a typology of FDARs depending on the facet of FD analyzed: (A) strongly positive for indices quantifying the range of functional traits in the community, (B) negative correlation for indices quantifying the evenness in the distribution of abundance in the trait space, (C) no clear pattern for indices reflecting the functional similarity of species and (D) idiosyncratic patterns with area for functional divergence. As area increases, the range of traits observed in the community increases, but the abundance of traits does not increase proportionally and some traits become dominant, implying a reliance on some functions that may be located in either the center or the periphery of the trait space.","container-title":"Scientific Reports","DOI":"10.1038/srep35420","ISSN":"2045-2322","issue":"1","journalAbbreviation":"Sci Rep","language":"en","page":"35420","source":"DOI.org (Crossref)","title":"Functional diversity exhibits a diverse relationship with area, even a decreasing one","volume":"6","author":[{"family":"Karadimou","given":"Elpida K."},{"family":"Kallimanis","given":"Athanasios S."},{"family":"Tsiripidis","given":"Ioannis"},{"family":"Dimopoulos","given":"Panayotis"}],"issued":{"date-parts":[["2016",10,18]]}}}],"schema":"https://github.com/citation-style-language/schema/raw/master/csl-citation.json"} </w:instrText>
      </w:r>
      <w:r w:rsidR="00973A48" w:rsidRPr="00973A48">
        <w:rPr>
          <w:rFonts w:ascii="Times New Roman" w:hAnsi="Times New Roman" w:cs="Times New Roman"/>
        </w:rPr>
        <w:fldChar w:fldCharType="separate"/>
      </w:r>
      <w:r w:rsidR="00973A48" w:rsidRPr="00973A48">
        <w:rPr>
          <w:rFonts w:ascii="Times New Roman" w:hAnsi="Times New Roman" w:cs="Times New Roman"/>
          <w:noProof/>
        </w:rPr>
        <w:t>(Karadimou et al., 2016)</w:t>
      </w:r>
      <w:r w:rsidR="00973A48" w:rsidRPr="00973A48">
        <w:rPr>
          <w:rFonts w:ascii="Times New Roman" w:hAnsi="Times New Roman" w:cs="Times New Roman"/>
        </w:rPr>
        <w:fldChar w:fldCharType="end"/>
      </w:r>
      <w:r w:rsidR="00973A48" w:rsidRPr="00973A48">
        <w:rPr>
          <w:rFonts w:ascii="Times New Roman" w:hAnsi="Times New Roman" w:cs="Times New Roman"/>
        </w:rPr>
        <w:t>, and similar to species richness, will increase as the number of species present increases regardless of species rarity. T</w:t>
      </w:r>
      <w:r w:rsidR="007A678D" w:rsidRPr="007A678D">
        <w:rPr>
          <w:rFonts w:ascii="Times New Roman" w:hAnsi="Times New Roman" w:cs="Times New Roman"/>
        </w:rPr>
        <w:t xml:space="preserve"> </w:t>
      </w:r>
      <w:r w:rsidR="007A678D" w:rsidRPr="00973A48">
        <w:rPr>
          <w:rFonts w:ascii="Times New Roman" w:hAnsi="Times New Roman" w:cs="Times New Roman"/>
        </w:rPr>
        <w:t>Thus, high species richness in early successional plots could result in a wider range of functional traits present within a community, but not necessarily equate to a more functionally diverse community overall. Differences in functional richness across regeneration stages w</w:t>
      </w:r>
      <w:r w:rsidR="007A678D">
        <w:rPr>
          <w:rFonts w:ascii="Times New Roman" w:hAnsi="Times New Roman" w:cs="Times New Roman"/>
        </w:rPr>
        <w:t>ere</w:t>
      </w:r>
      <w:r w:rsidR="007A678D" w:rsidRPr="00973A48">
        <w:rPr>
          <w:rFonts w:ascii="Times New Roman" w:hAnsi="Times New Roman" w:cs="Times New Roman"/>
        </w:rPr>
        <w:t xml:space="preserve"> explained by changes in beak width and tarsus length. In this system, open canopy habitats were dominated by a high diversity of small, wide beaked granivorous species including </w:t>
      </w:r>
      <w:proofErr w:type="spellStart"/>
      <w:r w:rsidR="007A678D" w:rsidRPr="00973A48">
        <w:rPr>
          <w:rFonts w:ascii="Times New Roman" w:hAnsi="Times New Roman" w:cs="Times New Roman"/>
          <w:i/>
          <w:iCs/>
          <w:shd w:val="clear" w:color="auto" w:fill="FFFFFF"/>
        </w:rPr>
        <w:t>Oryzoborus</w:t>
      </w:r>
      <w:proofErr w:type="spellEnd"/>
      <w:r w:rsidR="007A678D" w:rsidRPr="00973A48">
        <w:rPr>
          <w:rFonts w:ascii="Times New Roman" w:hAnsi="Times New Roman" w:cs="Times New Roman"/>
          <w:i/>
          <w:iCs/>
          <w:shd w:val="clear" w:color="auto" w:fill="FFFFFF"/>
        </w:rPr>
        <w:t xml:space="preserve"> </w:t>
      </w:r>
      <w:proofErr w:type="spellStart"/>
      <w:r w:rsidR="007A678D" w:rsidRPr="00973A48">
        <w:rPr>
          <w:rFonts w:ascii="Times New Roman" w:hAnsi="Times New Roman" w:cs="Times New Roman"/>
          <w:i/>
          <w:iCs/>
          <w:shd w:val="clear" w:color="auto" w:fill="FFFFFF"/>
        </w:rPr>
        <w:t>funereus</w:t>
      </w:r>
      <w:proofErr w:type="spellEnd"/>
      <w:r w:rsidR="007A678D" w:rsidRPr="00973A48">
        <w:rPr>
          <w:rFonts w:ascii="Times New Roman" w:hAnsi="Times New Roman" w:cs="Times New Roman"/>
          <w:shd w:val="clear" w:color="auto" w:fill="FFFFFF"/>
        </w:rPr>
        <w:t>,</w:t>
      </w:r>
      <w:r w:rsidR="007A678D" w:rsidRPr="00973A48">
        <w:rPr>
          <w:rFonts w:ascii="Times New Roman" w:hAnsi="Times New Roman" w:cs="Times New Roman"/>
          <w:i/>
          <w:iCs/>
          <w:shd w:val="clear" w:color="auto" w:fill="FFFFFF"/>
        </w:rPr>
        <w:t xml:space="preserve"> </w:t>
      </w:r>
      <w:proofErr w:type="spellStart"/>
      <w:r w:rsidR="007A678D" w:rsidRPr="00973A48">
        <w:rPr>
          <w:rFonts w:ascii="Times New Roman" w:hAnsi="Times New Roman" w:cs="Times New Roman"/>
          <w:i/>
          <w:iCs/>
          <w:shd w:val="clear" w:color="auto" w:fill="FFFFFF"/>
        </w:rPr>
        <w:lastRenderedPageBreak/>
        <w:t>Sporophila</w:t>
      </w:r>
      <w:proofErr w:type="spellEnd"/>
      <w:r w:rsidR="007A678D" w:rsidRPr="00973A48">
        <w:rPr>
          <w:rFonts w:ascii="Times New Roman" w:hAnsi="Times New Roman" w:cs="Times New Roman"/>
          <w:i/>
          <w:iCs/>
          <w:shd w:val="clear" w:color="auto" w:fill="FFFFFF"/>
        </w:rPr>
        <w:t xml:space="preserve"> corvina,</w:t>
      </w:r>
      <w:r w:rsidR="007A678D" w:rsidRPr="00973A48">
        <w:rPr>
          <w:rFonts w:ascii="Times New Roman" w:hAnsi="Times New Roman" w:cs="Times New Roman"/>
          <w:shd w:val="clear" w:color="auto" w:fill="FFFFFF"/>
        </w:rPr>
        <w:t xml:space="preserve"> and </w:t>
      </w:r>
      <w:proofErr w:type="spellStart"/>
      <w:r w:rsidR="007A678D" w:rsidRPr="00973A48">
        <w:rPr>
          <w:rFonts w:ascii="Times New Roman" w:hAnsi="Times New Roman" w:cs="Times New Roman"/>
          <w:i/>
          <w:iCs/>
          <w:shd w:val="clear" w:color="auto" w:fill="FFFFFF"/>
        </w:rPr>
        <w:t>Sporophila</w:t>
      </w:r>
      <w:proofErr w:type="spellEnd"/>
      <w:r w:rsidR="007A678D" w:rsidRPr="00973A48">
        <w:rPr>
          <w:rFonts w:ascii="Times New Roman" w:hAnsi="Times New Roman" w:cs="Times New Roman"/>
          <w:i/>
          <w:iCs/>
          <w:shd w:val="clear" w:color="auto" w:fill="FFFFFF"/>
        </w:rPr>
        <w:t xml:space="preserve"> nigricollis. </w:t>
      </w:r>
      <w:r w:rsidR="007A678D" w:rsidRPr="00973A48">
        <w:rPr>
          <w:rFonts w:ascii="Times New Roman" w:hAnsi="Times New Roman" w:cs="Times New Roman"/>
        </w:rPr>
        <w:t xml:space="preserve">Therefore, early successional habitats likely maintain </w:t>
      </w:r>
      <w:r w:rsidR="007A678D" w:rsidRPr="00973A48">
        <w:rPr>
          <w:rFonts w:ascii="Times New Roman" w:eastAsiaTheme="majorEastAsia" w:hAnsi="Times New Roman" w:cs="Times New Roman"/>
        </w:rPr>
        <w:t>a mix of open-area specialists (e.g., ground-foraging species) and habitat-edge opportunists</w:t>
      </w:r>
      <w:r w:rsidR="007A678D" w:rsidRPr="00973A48">
        <w:rPr>
          <w:rFonts w:ascii="Times New Roman" w:hAnsi="Times New Roman" w:cs="Times New Roman"/>
        </w:rPr>
        <w:t xml:space="preserve">, but lack the ecological specialization seen in forests </w:t>
      </w:r>
      <w:r w:rsidR="007A678D" w:rsidRPr="00973A48">
        <w:rPr>
          <w:rFonts w:ascii="Times New Roman" w:hAnsi="Times New Roman" w:cs="Times New Roman"/>
        </w:rPr>
        <w:fldChar w:fldCharType="begin"/>
      </w:r>
      <w:r w:rsidR="007A678D" w:rsidRPr="00973A48">
        <w:rPr>
          <w:rFonts w:ascii="Times New Roman" w:hAnsi="Times New Roman" w:cs="Times New Roman"/>
        </w:rPr>
        <w:instrText xml:space="preserve"> ADDIN ZOTERO_ITEM CSL_CITATION {"citationID":"Zdb5F2VC","properties":{"formattedCitation":"(Ausprey et al., 2022)","plainCitation":"(Ausprey et al., 2022)","noteIndex":0},"citationItems":[{"id":1692,"uris":["http://zotero.org/users/12345038/items/CUGLQGCQ"],"itemData":{"id":1692,"type":"article-journal","abstract":"Abstract\n            \n              \n                \n                  Anthropogenic disturbance contributes to global change by reshaping the ecological niche space available to biological communities. Quantifying the range of functional response traits required for species persistence is central towards understanding the mechanisms underlying community disassembly in disturbed landscapes.\n                \n                \n                  We used intensive field surveys of cloud forest bird communities across seven replicate landscapes undergoing agricultural conversion in the Peruvian Andes to examine how a suite of 16 functional response traits related to morphology, diet, foraging behaviour and environmental niche breadth predict (1) species‐specific abundance changes in countryside habitats compared to forest and (2) differential changes to the ecological niche space occupied by communities.\n                \n                \n                  Our analyses relied on (1) hierarchical distance sampling models to examine the functional predictors of abundance change across the agricultural land use gradient while accounting for imperfect detection and (2) n‐dimensional hypervolumes to quantify the expansion and contraction of ecological niche space in countryside habitats.\n                \n                \n                  Key traits related to increased abundance in early successional and mixed‐intensity agricultural areas included (1) morphological adaptations to dense understorey habitats, (2) plant‐based diets (flowers, fruit and seeds) and (3) broad elevational range limits and habitat breadth. Species occupying mixed and high‐intensity agricultural land use regimes had mean elevational range limits 20%–60% wider than species found within forests. Collectively, ecological niche space expanded within agricultural habitats for traits related to diet and environmental niche breadth, while contracting for foraging and dispersal traits. Such changes were driven by species with unique functional trait combinations.\n                \n                \n                  Our results reveal the dynamic changes to ecological niche space that underly community structure in disturbed landscapes and highlight how increased niche breadth can ameliorate disturbance sensitivity for generalist species. We emphasize that functional traits can be used to predict changes in community structure across disturbance gradients, allowing insights into specific mechanisms underlying community disassembly beyond emergent patterns of functional diversity. By identifying key functional trait groups that align with different countryside habitats, we demonstrate how conservation practitioners can contribute to the retention of avian functional diversity in agricultural landscapes throughout the world.\n                \n              \n            \n          , \n            Español\n            \n              \n                \n                  La perturbación antropogénica contribuye al cambio global al remodelar el espacio de nicho ecológico disponible para las comunidades biológicas. Cuantificar la gama de rasgos de respuesta funcional requeridos para la persistencia de las especies es fundamental para comprender los mecanismos que subyacen al desensamble de la comunidad en los paisajes perturbados.\n                \n                \n                  Utilizamos muestreos de campo intensivos de las comunidades de aves del bosque nublado en siete paisajes replicados convertidos a uso agrícola en los Andes peruanos para examinar cómo un conjunto de 16 rasgos de respuesta funcional relacionados con la morfología, dieta, comportamiento de forrajeo, y la amplitud del nicho ambiental predicen (1) cambios en las abundancias de especies específicas en paisajes agrícolas (“countrysides”) en comparación con el bosque y (2) cambios diferenciales en el espacio del nicho ecológico ocupado por las comunidades.\n                \n                \n                  Nuestros análisis se basaron en (1) modelos jerárquicos de muestreo por la distancia para examinar los predictores funcionales del cambio de abundancia a través del gradiente de uso de suelo para agricultura teniendo en cuenta la detección imperfecta, y (2) “n‐dimensional hypervolumes” para cuantificar la expansión y contracción del espacio de nicho ecológico en los hábitats agrícolas.\n                \n                \n                  Los rasgos clave relacionados con el aumento de la abundancia en áreas agrícolas de sucesión temprana y de intensidad mixta incluyeron (1) adaptaciones morfológicas a hábitats de sotobosque denso, (2) dietas basadas en plantas (flores, frutas y semillas), y (3) amplios límites de rango de elevación y amplitud de hábitat. Las especies que ocupan regímenes de suelo agrícola mixto y de alta intensidad tenían límites de rango de elevación promedio 20%–60% más amplios que las especies que se encuentran en los bosques. En conjunto, el espacio del nicho ecológico se expandió dentro de los hábitats agrícolas para los rasgos relacionadas con la dieta y la amplitud del nicho ambiental, mientras que se contrajo para los rasgos de forrajeo y dispersión. Dichos cambios fueron impulsados por especies con combinaciones de rasgos funcionales únicos.\n                \n                \n                  Nuestros resultados revelan los cambios dinámicos en el espacio del nicho ecológico que subyacen a la estructura de la comunidad en los paisajes perturbados y destacan cómo una mayor amplitud del nicho puede mejorar la sensibilidad a las perturbaciones para las especies generalistas. Enfatizamos que los rasgos funcionales pueden utilizarse para predecir los cambios en la estructura de la comunidad a través de gradientes de perturbación, lo que permite comprender los mecanismos específicos que subyacen al desensamble de la comunidad más allá de los patrones emergentes de diversidad funcional. Al identificar grupos de rasgos funcionales claves que se alinean con diferentes hábitats agrícolas como en “countrysides” demostramos cómo los profesionales de la conservación pueden contribuir a la retención de la diversidad funcional de las aves en los paisajes agrícolas en todo el mundo.","container-title":"Journal of Animal Ecology","DOI":"10.1111/1365-2656.13816","ISSN":"0021-8790, 1365-2656","issue":"11","journalAbbreviation":"Journal of Animal Ecology","language":"en","page":"2314-2328","source":"DOI.org (Crossref)","title":"Functional response traits and altered ecological niches drive the disassembly of cloud forest bird communities in tropical montane countrysides","volume":"91","author":[{"family":"Ausprey","given":"Ian J."},{"family":"Newell","given":"Felicity L."},{"family":"Robinson","given":"Scott K."}],"issued":{"date-parts":[["2022",11]]}}}],"schema":"https://github.com/citation-style-language/schema/raw/master/csl-citation.json"} </w:instrText>
      </w:r>
      <w:r w:rsidR="007A678D" w:rsidRPr="00973A48">
        <w:rPr>
          <w:rFonts w:ascii="Times New Roman" w:hAnsi="Times New Roman" w:cs="Times New Roman"/>
        </w:rPr>
        <w:fldChar w:fldCharType="separate"/>
      </w:r>
      <w:r w:rsidR="007A678D" w:rsidRPr="00973A48">
        <w:rPr>
          <w:rFonts w:ascii="Times New Roman" w:hAnsi="Times New Roman" w:cs="Times New Roman"/>
          <w:noProof/>
        </w:rPr>
        <w:t>(Ausprey et al., 2022)</w:t>
      </w:r>
      <w:r w:rsidR="007A678D" w:rsidRPr="00973A48">
        <w:rPr>
          <w:rFonts w:ascii="Times New Roman" w:hAnsi="Times New Roman" w:cs="Times New Roman"/>
        </w:rPr>
        <w:fldChar w:fldCharType="end"/>
      </w:r>
      <w:r w:rsidR="007A678D" w:rsidRPr="00973A48">
        <w:rPr>
          <w:rFonts w:ascii="Times New Roman" w:hAnsi="Times New Roman" w:cs="Times New Roman"/>
        </w:rPr>
        <w:t xml:space="preserve">. </w:t>
      </w:r>
      <w:r w:rsidR="007A678D">
        <w:rPr>
          <w:rFonts w:ascii="Times New Roman" w:hAnsi="Times New Roman" w:cs="Times New Roman"/>
        </w:rPr>
        <w:t>F</w:t>
      </w:r>
      <w:r w:rsidR="007A678D" w:rsidRPr="00973A48">
        <w:rPr>
          <w:rFonts w:ascii="Times New Roman" w:hAnsi="Times New Roman" w:cs="Times New Roman"/>
        </w:rPr>
        <w:t>unctional richness, like species richness, may not be a good indicator of forest regeneration</w:t>
      </w:r>
      <w:r w:rsidR="007A678D">
        <w:rPr>
          <w:rFonts w:ascii="Times New Roman" w:hAnsi="Times New Roman" w:cs="Times New Roman"/>
        </w:rPr>
        <w:t xml:space="preserve"> </w:t>
      </w:r>
      <w:r w:rsidR="007A678D" w:rsidRPr="00973A48">
        <w:rPr>
          <w:rFonts w:ascii="Times New Roman" w:hAnsi="Times New Roman" w:cs="Times New Roman"/>
        </w:rPr>
        <w:t xml:space="preserve">as it </w:t>
      </w:r>
      <w:r w:rsidR="00D129D2">
        <w:rPr>
          <w:rFonts w:ascii="Times New Roman" w:hAnsi="Times New Roman" w:cs="Times New Roman"/>
        </w:rPr>
        <w:t>may not reflect community’s indicative of late stages of forest recovery</w:t>
      </w:r>
      <w:r w:rsidR="007A678D" w:rsidRPr="00973A48">
        <w:rPr>
          <w:rFonts w:ascii="Times New Roman" w:hAnsi="Times New Roman" w:cs="Times New Roman"/>
        </w:rPr>
        <w:t xml:space="preserve"> if the dominant species present are not functionally diverse.  </w:t>
      </w:r>
    </w:p>
    <w:p w14:paraId="149E19AD" w14:textId="4390EB36" w:rsidR="00973A48" w:rsidRPr="00973A48" w:rsidRDefault="00973A48" w:rsidP="00D77075">
      <w:pPr>
        <w:spacing w:before="0" w:after="0"/>
        <w:ind w:firstLine="360"/>
        <w:rPr>
          <w:rFonts w:ascii="Times New Roman" w:hAnsi="Times New Roman" w:cs="Times New Roman"/>
        </w:rPr>
      </w:pPr>
      <w:r w:rsidRPr="00973A48">
        <w:rPr>
          <w:rFonts w:ascii="Times New Roman" w:hAnsi="Times New Roman" w:cs="Times New Roman"/>
        </w:rPr>
        <w:t xml:space="preserve">Functional dispersion, functional divergence, and Rao’s quadratic entropy were all associated with closed canopy habitats and thus may serve as more accurate indicators of forest recovery. The observed increase in functional dispersion in mature forests could indicate higher degrees of niche differentiation, where lower rates of competition in older sites may enhance species co-occurrences and complementarity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{"citationID":"BSyFrq9v","properties":{"formattedCitation":"(O\\uc0\\u8217{}Brien et al., 2022)","plainCitation":"(O’Brien et al., 2022)","noteIndex":0},"citationItems":[{"id":1442,"uris":["http://zotero.org/users/12345038/items/9IWVZL2G"],"itemData":{"id":1442,"type":"article-journal","abstract":"Ecological restoration aims at recovering biodiversity in degraded ecosystems, and it is commonly assessed via species richness. However, it is unclear whether increasing species richness in a site also recovers its functional diversity (FD), which has been shown to be a better representation of ecosystem functioning. We conducted a quantitative synthesis of 30 restoration projects and tested whether restoration improves FD. We compared actively and passively restored sites with degraded and reference sites with respect to four key measures of FD (functional richness, evenness, dispersion, and turnover) and two measures of species diversity (richness and evenness). We separately analyzed longitudinal studies (which monitor degraded, reference, and restored sites through time) and space-for-time substitutions (which compare at one point in time degraded and reference sites with restored sites of different ages). Space-for-time studies suggested that species diversity and FD improved over time. However, replicated longitudinal data showed no sustained benefits of active or passive restoration for FD measures, relative to degraded sites. This could suggest that the positive results in space-for-time designs may have been unreliable, but the relatively short duration of longitudinal studies suggests a need for longer-term longitudinal research to robustly demonstrate the absence of any effect. These differences across study designs may explain the variable results found in recent studies directly measuring the response of FD to restoration. We recommend that future assessments of ecological community dynamics include control sites in monitoring, to ensure that the consequences of treatments, including but not limited to restoration, are correctly partitioned from unassisted temporal changes.","container-title":"Ecology","DOI":"10.1002/ecy.3618","ISSN":"0012-9658, 1939-9170","issue":"3","journalAbbreviation":"Ecology","language":"en","page":"e3618","source":"DOI.org (Crossref)","title":"The recovery of functional diversity with restoration","volume":"103","author":[{"family":"O'Brien","given":"Sophie A."},{"family":"Dehling","given":"D. Matthias"},{"family":"Tylianakis","given":"Jason M."}],"issued":{"date-parts":[["2022",3]]}}}],"schema":"https://github.com/citation-style-language/schema/raw/master/csl-citation.json"}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rPr>
        <w:t>(O’Brien et al., 2022)</w:t>
      </w:r>
      <w:r w:rsidRPr="00973A48">
        <w:rPr>
          <w:rFonts w:ascii="Times New Roman" w:hAnsi="Times New Roman" w:cs="Times New Roman"/>
        </w:rPr>
        <w:fldChar w:fldCharType="end"/>
      </w:r>
      <w:r w:rsidRPr="00973A48">
        <w:rPr>
          <w:rFonts w:ascii="Times New Roman" w:hAnsi="Times New Roman" w:cs="Times New Roman"/>
        </w:rPr>
        <w:t xml:space="preserve">. Studies have suggested that communities with higher functional dispersion may be better able to respond to environmental changes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{"citationID":"HVIwTGKD","properties":{"formattedCitation":"(Flynn et al., 2011; Kuebbing et al., 2018)","plainCitation":"(Flynn et al., 2011; Kuebbing et al., 2018)","noteIndex":0},"citationItems":[{"id":1608,"uris":["http://zotero.org/users/12345038/items/A7ZKFTD8"],"itemData":{"id":1608,"type":"article-journal","abstract":"How closely does variability in ecologically important traits reﬂect evolutionary divergence? The use of phylogenetic diversity (PD) to predict biodiversity effects on ecosystem functioning, and more generally the use of phylogenetic information in community ecology, depends in part on the answer to this question. However, comparisons of the predictive power of phylogenetic diversity and functional diversity (FD) have not been conducted across a range of experiments. To address how phylogenetic diversity and functional trait variation control biodiversity effects on biomass production, we summarized the results of 29 grassland plant experiments where both the phylogeny of plant species used in the experiments is well described and where extensive trait data are available. Functional trait variation was only partially related to phylogenetic distances between species, and the resulting FD values therefore correlate only partially with PD. Despite these differences, FD and PD predicted biodiversity effects across all experiments with similar strength, including in subsets that excluded plots with legumes and that focused on fertilization experiments. Two- and threetrait combinations of the ﬁve traits used here (leaf nitrogen percentage, height, speciﬁc root length, leaf mass per unit area, and nitrogen ﬁxation) resulted in the FD values with the greatest predictive power. Both PD and FD can be valuable predictors of the effect of biodiversity on ecosystem functioning, which suggests that a focus on both community trait diversity and evolutionary history can improve understanding of the consequences of biodiversity loss.","container-title":"Ecology","DOI":"10.1890/10-1245.1","ISSN":"0012-9658","issue":"8","journalAbbreviation":"Ecology","language":"en","license":"http://doi.wiley.com/10.1002/tdm_license_1","page":"1573-1581","source":"DOI.org (Crossref)","title":"Functional and phylogenetic diversity as predictors of biodiversity–ecosystem-function relationships","volume":"92","author":[{"family":"Flynn","given":"Dan F. B."},{"family":"Mirotchnick","given":"Nicholas"},{"family":"Jain","given":"Meha"},{"family":"Palmer","given":"Matthew I."},{"family":"Naeem","given":"Shahid"}],"issued":{"date-parts":[["2011",8]]}}},{"id":1749,"uris":["http://zotero.org/users/12345038/items/XH3W4QGY"],"itemData":{"id":1749,"type":"article-journal","abstract":"Abstract\n            \n              \n                \n                  \n                    Functional diversity (\n                    FD\n                    ) metrics are widely used to assess invasion ecosystem impacts, but we have limited theory to predict how\n                    FD\n                    should respond to invasion. A key challenge to effectively using\n                    FD\n                    metrics is the complexity of conceptualizing alterations to multidimensional trait space, making it difficult to select a priori the most appropriate metric for specific ecological questions.\n                  \n                \n                \n                  \n                    Here, we provide expectations on how invasion should change four commonly used\n                    FD\n                    metrics—functional richness (F\n                    Ric\n                    ), evenness (F\n                    Eve\n                    ), divergence (F\n                    Div\n                    ) and dispersion (F\n                    Dis\n                    )—and then test these expectations in a laboratory decomposition experiment. We simulate invasion of a forest by understorey plants by adding leaf litter from 18 natives and non‐natives to a representative canopy tree litter mixture to test changes in\n                    FD\n                    and decomposition.\n                  \n                \n                \n                  \n                    All four metrics changed predictably with invasion. Species that were more functionally unique or when added at greater proportions had larger impacts on\n                    FD\n                    . Overall, F\n                    Ric\n                    , F\n                    Eve\n                    and F\n                    Div\n                    were poor choices for understanding impacts of non‐native species. F\n                    Dis\n                    was the only metric that both changed predictably with addition of understorey litter and correlated intuitively with changes in carbon mineralization. Furthermore, ranking species based upon how much they changed F\n                    Dis\n                    of the litter mixture provided a fair assessment of which species had the largest impact on decomposition. As such, functional dispersion may be a key tool for predicting a priori which non‐natives will have the greatest impact on ecosystem processes.\n                  \n                \n                \n                  \n                    Synthesis\n                    . We highlight the need to assess the suitability of each functional diversity metric for the specific ecological question at hand. Our work reveals the pitfalls of considering multiple metrics or randomly choosing a single metric without suitability assessments. At the same time, it suggests a framework for metric assessment that should help lead to selection of a metric or metrics that provide robust a priori insights into how invasion by non‐native species can impact ecosystem processes.","container-title":"Journal of Ecology","DOI":"10.1111/1365-2745.12835","ISSN":"0022-0477, 1365-2745","issue":"2","journalAbbreviation":"Journal of Ecology","language":"en","license":"http://onlinelibrary.wiley.com/termsAndConditions#vor","page":"687-698","source":"DOI.org (Crossref)","title":"Linking functional diversity and ecosystem processes: A framework for using functional diversity metrics to predict the ecosystem impact of functionally unique species","title-short":"Linking functional diversity and ecosystem processes","volume":"106","author":[{"family":"Kuebbing","given":"Sara E."},{"family":"Maynard","given":"Daniel S."},{"family":"Bradford","given":"Mark A."}],"editor":[{"family":"Huenneke","given":"Laura"}],"issued":{"date-parts":[["2018",3]]}}}],"schema":"https://github.com/citation-style-language/schema/raw/master/csl-citation.json"}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(Flynn et al., 2011; Kuebbing et al., 2018)</w:t>
      </w:r>
      <w:r w:rsidRPr="00973A48">
        <w:rPr>
          <w:rFonts w:ascii="Times New Roman" w:hAnsi="Times New Roman" w:cs="Times New Roman"/>
        </w:rPr>
        <w:fldChar w:fldCharType="end"/>
      </w:r>
      <w:r w:rsidRPr="00973A48">
        <w:rPr>
          <w:rFonts w:ascii="Times New Roman" w:hAnsi="Times New Roman" w:cs="Times New Roman"/>
        </w:rPr>
        <w:t xml:space="preserve">. Similarly, the increase in functional divergence in mature forests could suggest that the distribution of traits becomes more varied and specialized in later stages of regeneration, allowing for greater resource partitioning and reduced competition among species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{"citationID":"VlwkWr7y","properties":{"formattedCitation":"(Sayer et al., 2017)","plainCitation":"(Sayer et al., 2017)","noteIndex":0},"citationItems":[{"id":1586,"uris":["http://zotero.org/users/12345038/items/28G7A7VV"],"itemData":{"id":1586,"type":"article-journal","container-title":"Biological Conservation","DOI":"10.1016/j.biocon.2017.05.004","ISSN":"00063207","journalAbbreviation":"Biological Conservation","language":"en","page":"1-9","source":"DOI.org (Crossref)","title":"Dynamics of avian species and functional diversity in secondary tropical forests","volume":"211","author":[{"family":"Sayer","given":"C.A."},{"family":"Bullock","given":"J.M."},{"family":"Martin","given":"P.A."}],"issued":{"date-parts":[["2017",7]]}}}],"schema":"https://github.com/citation-style-language/schema/raw/master/csl-citation.json"}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(Sayer et al., 2017)</w:t>
      </w:r>
      <w:r w:rsidRPr="00973A48">
        <w:rPr>
          <w:rFonts w:ascii="Times New Roman" w:hAnsi="Times New Roman" w:cs="Times New Roman"/>
        </w:rPr>
        <w:fldChar w:fldCharType="end"/>
      </w:r>
      <w:r w:rsidRPr="00973A48">
        <w:rPr>
          <w:rFonts w:ascii="Times New Roman" w:hAnsi="Times New Roman" w:cs="Times New Roman"/>
        </w:rPr>
        <w:t xml:space="preserve">. </w:t>
      </w:r>
    </w:p>
    <w:p w14:paraId="20EB9EC4" w14:textId="26E1CA79" w:rsidR="007A678D" w:rsidRPr="00973A48" w:rsidRDefault="00973A48" w:rsidP="007A678D">
      <w:pPr>
        <w:spacing w:before="0" w:after="0"/>
        <w:ind w:firstLine="360"/>
        <w:rPr>
          <w:rFonts w:ascii="Times New Roman" w:hAnsi="Times New Roman" w:cs="Times New Roman"/>
        </w:rPr>
      </w:pPr>
      <w:r w:rsidRPr="00973A48">
        <w:rPr>
          <w:rFonts w:ascii="Times New Roman" w:hAnsi="Times New Roman" w:cs="Times New Roman"/>
        </w:rPr>
        <w:t xml:space="preserve">Functional dispersion was driven by changes in both beak and wing length, whereas changes in functional divergence were more strongly associated with in beak length. Longer beaks may facilitate access to a wider range of food resources, including specialized foraging niches such as probing into tree bark or nectar. Increased wing length in closed-canopy environments could provide enhanced flight efficiency, enabling birds to navigate more complex environments. Landscapes with higher tree cover facilitate the movement of species, where birds with larger wings might have higher mobility across patches of degraded landscapes if the surrounding forest has higher levels of canopy cover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{"citationID":"a1b4qu0ba8l","properties":{"formattedCitation":"(Reme\\uc0\\u353{} et al., 2021)","plainCitation":"(Remeš et al., 2021)","noteIndex":0},"citationItems":[{"id":1543,"uris":["http://zotero.org/users/12345038/items/6ZA9YHCB"],"itemData":{"id":1543,"type":"article-journal","container-title":"Ecology and Evolution","language":"en","title":"Functional diversity of avian communities increases with canopy height: From individual behavior to continental‐scale patterns","volume":"Sep;11(17):11839-51","author":[{"family":"Remeš","given":"V."},{"family":"Remešová","given":"E."},{"family":"Friedman","given":"N.R."},{"family":"Matysioková","given":"B."},{"family":"Rubáčová","given":"L."}],"issued":{"date-parts":[["2021"]]}}}],"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rPr>
        <w:t>(Remeš et al., 2021)</w:t>
      </w:r>
      <w:r w:rsidRPr="00973A48">
        <w:rPr>
          <w:rFonts w:ascii="Times New Roman" w:hAnsi="Times New Roman" w:cs="Times New Roman"/>
        </w:rPr>
        <w:fldChar w:fldCharType="end"/>
      </w:r>
      <w:r w:rsidRPr="00973A48">
        <w:rPr>
          <w:rFonts w:ascii="Times New Roman" w:hAnsi="Times New Roman" w:cs="Times New Roman"/>
        </w:rPr>
        <w:t xml:space="preserve">. </w:t>
      </w:r>
      <w:r w:rsidR="007A678D" w:rsidRPr="00973A48">
        <w:rPr>
          <w:rFonts w:ascii="Times New Roman" w:hAnsi="Times New Roman" w:cs="Times New Roman"/>
        </w:rPr>
        <w:t xml:space="preserve">Furthermore, </w:t>
      </w:r>
      <w:r w:rsidR="007A678D" w:rsidRPr="00973A48">
        <w:rPr>
          <w:rFonts w:ascii="Times New Roman" w:hAnsi="Times New Roman" w:cs="Times New Roman"/>
          <w:spacing w:val="2"/>
          <w:shd w:val="clear" w:color="auto" w:fill="FFFFFF"/>
        </w:rPr>
        <w:t>high Rao’s quadratic entropy values in mature forests signif</w:t>
      </w:r>
      <w:r w:rsidR="007A678D">
        <w:rPr>
          <w:rFonts w:ascii="Times New Roman" w:hAnsi="Times New Roman" w:cs="Times New Roman"/>
          <w:spacing w:val="2"/>
          <w:shd w:val="clear" w:color="auto" w:fill="FFFFFF"/>
        </w:rPr>
        <w:t>y</w:t>
      </w:r>
      <w:r w:rsidR="007A678D" w:rsidRPr="00973A48">
        <w:rPr>
          <w:rFonts w:ascii="Times New Roman" w:hAnsi="Times New Roman" w:cs="Times New Roman"/>
          <w:spacing w:val="2"/>
          <w:shd w:val="clear" w:color="auto" w:fill="FFFFFF"/>
        </w:rPr>
        <w:t xml:space="preserve"> greater functional diversity overall, meaning the species within a community have more distinct functional traits and are less functionally redundant </w:t>
      </w:r>
      <w:r w:rsidR="007A678D" w:rsidRPr="00973A48">
        <w:rPr>
          <w:rFonts w:ascii="Times New Roman" w:hAnsi="Times New Roman" w:cs="Times New Roman"/>
          <w:spacing w:val="2"/>
          <w:shd w:val="clear" w:color="auto" w:fill="FFFFFF"/>
        </w:rPr>
        <w:fldChar w:fldCharType="begin"/>
      </w:r>
      <w:r w:rsidR="007A678D" w:rsidRPr="00973A48">
        <w:rPr>
          <w:rFonts w:ascii="Times New Roman" w:hAnsi="Times New Roman" w:cs="Times New Roman"/>
          <w:spacing w:val="2"/>
          <w:shd w:val="clear" w:color="auto" w:fill="FFFFFF"/>
        </w:rPr>
        <w:instrText xml:space="preserve"> ADDIN ZOTERO_ITEM CSL_CITATION {"citationID":"6iP4UYNp","properties":{"formattedCitation":"(Sayer et al., 2017)","plainCitation":"(Sayer et al., 2017)","noteIndex":0},"citationItems":[{"id":1586,"uris":["http://zotero.org/users/12345038/items/28G7A7VV"],"itemData":{"id":1586,"type":"article-journal","container-title":"Biological Conservation","DOI":"10.1016/j.biocon.2017.05.004","ISSN":"00063207","journalAbbreviation":"Biological Conservation","language":"en","page":"1-9","source":"DOI.org (Crossref)","title":"Dynamics of avian species and functional diversity in secondary tropical forests","volume":"211","author":[{"family":"Sayer","given":"C.A."},{"family":"Bullock","given":"J.M."},{"family":"Martin","given":"P.A."}],"issued":{"date-parts":[["2017",7]]}}}],"schema":"https://github.com/citation-style-language/schema/raw/master/csl-citation.json"} </w:instrText>
      </w:r>
      <w:r w:rsidR="007A678D" w:rsidRPr="00973A48">
        <w:rPr>
          <w:rFonts w:ascii="Times New Roman" w:hAnsi="Times New Roman" w:cs="Times New Roman"/>
          <w:spacing w:val="2"/>
          <w:shd w:val="clear" w:color="auto" w:fill="FFFFFF"/>
        </w:rPr>
        <w:fldChar w:fldCharType="separate"/>
      </w:r>
      <w:r w:rsidR="007A678D" w:rsidRPr="00973A48">
        <w:rPr>
          <w:rFonts w:ascii="Times New Roman" w:hAnsi="Times New Roman" w:cs="Times New Roman"/>
          <w:noProof/>
          <w:spacing w:val="2"/>
          <w:shd w:val="clear" w:color="auto" w:fill="FFFFFF"/>
        </w:rPr>
        <w:t>(Sayer et al., 2017)</w:t>
      </w:r>
      <w:r w:rsidR="007A678D" w:rsidRPr="00973A48">
        <w:rPr>
          <w:rFonts w:ascii="Times New Roman" w:hAnsi="Times New Roman" w:cs="Times New Roman"/>
          <w:spacing w:val="2"/>
          <w:shd w:val="clear" w:color="auto" w:fill="FFFFFF"/>
        </w:rPr>
        <w:fldChar w:fldCharType="end"/>
      </w:r>
      <w:r w:rsidR="007A678D" w:rsidRPr="00973A48">
        <w:rPr>
          <w:rFonts w:ascii="Times New Roman" w:hAnsi="Times New Roman" w:cs="Times New Roman"/>
          <w:spacing w:val="2"/>
          <w:shd w:val="clear" w:color="auto" w:fill="FFFFFF"/>
        </w:rPr>
        <w:t>.</w:t>
      </w:r>
      <w:r w:rsidR="007A678D" w:rsidRPr="00973A48">
        <w:rPr>
          <w:rFonts w:ascii="Times New Roman" w:hAnsi="Times New Roman" w:cs="Times New Roman"/>
        </w:rPr>
        <w:t xml:space="preserve"> </w:t>
      </w:r>
      <w:r w:rsidR="007A678D" w:rsidRPr="00973A48">
        <w:rPr>
          <w:rFonts w:ascii="Times New Roman" w:hAnsi="Times New Roman" w:cs="Times New Roman"/>
          <w:spacing w:val="2"/>
          <w:shd w:val="clear" w:color="auto" w:fill="FFFFFF"/>
        </w:rPr>
        <w:t xml:space="preserve">Changes in Rao’s quadratic entropy were also driven by beak and wing </w:t>
      </w:r>
      <w:proofErr w:type="gramStart"/>
      <w:r w:rsidR="007A678D" w:rsidRPr="00973A48">
        <w:rPr>
          <w:rFonts w:ascii="Times New Roman" w:hAnsi="Times New Roman" w:cs="Times New Roman"/>
          <w:spacing w:val="2"/>
          <w:shd w:val="clear" w:color="auto" w:fill="FFFFFF"/>
        </w:rPr>
        <w:t xml:space="preserve">length, </w:t>
      </w:r>
      <w:r w:rsidR="007A678D">
        <w:rPr>
          <w:rFonts w:ascii="Times New Roman" w:hAnsi="Times New Roman" w:cs="Times New Roman"/>
          <w:spacing w:val="2"/>
          <w:shd w:val="clear" w:color="auto" w:fill="FFFFFF"/>
        </w:rPr>
        <w:t>and</w:t>
      </w:r>
      <w:proofErr w:type="gramEnd"/>
      <w:r w:rsidR="007A678D" w:rsidRPr="00973A48">
        <w:rPr>
          <w:rFonts w:ascii="Times New Roman" w:hAnsi="Times New Roman" w:cs="Times New Roman"/>
          <w:spacing w:val="2"/>
          <w:shd w:val="clear" w:color="auto" w:fill="FFFFFF"/>
        </w:rPr>
        <w:t xml:space="preserve"> also included mass</w:t>
      </w:r>
      <w:r w:rsidR="007A678D">
        <w:rPr>
          <w:rFonts w:ascii="Times New Roman" w:hAnsi="Times New Roman" w:cs="Times New Roman"/>
          <w:spacing w:val="2"/>
          <w:shd w:val="clear" w:color="auto" w:fill="FFFFFF"/>
        </w:rPr>
        <w:t xml:space="preserve">. Mass was </w:t>
      </w:r>
      <w:r w:rsidR="007A678D" w:rsidRPr="00973A48">
        <w:rPr>
          <w:rFonts w:ascii="Times New Roman" w:hAnsi="Times New Roman" w:cs="Times New Roman"/>
        </w:rPr>
        <w:t>associated with few functional diversity indices</w:t>
      </w:r>
      <w:r w:rsidR="007A678D">
        <w:rPr>
          <w:rFonts w:ascii="Times New Roman" w:hAnsi="Times New Roman" w:cs="Times New Roman"/>
        </w:rPr>
        <w:t>,</w:t>
      </w:r>
      <w:r w:rsidR="007A678D" w:rsidRPr="00973A48">
        <w:rPr>
          <w:rFonts w:ascii="Times New Roman" w:hAnsi="Times New Roman" w:cs="Times New Roman"/>
        </w:rPr>
        <w:t xml:space="preserve"> indicat</w:t>
      </w:r>
      <w:r w:rsidR="007A678D">
        <w:rPr>
          <w:rFonts w:ascii="Times New Roman" w:hAnsi="Times New Roman" w:cs="Times New Roman"/>
        </w:rPr>
        <w:t>ing</w:t>
      </w:r>
      <w:r w:rsidR="007A678D" w:rsidRPr="00973A48">
        <w:rPr>
          <w:rFonts w:ascii="Times New Roman" w:hAnsi="Times New Roman" w:cs="Times New Roman"/>
        </w:rPr>
        <w:t xml:space="preserve"> that body size influences resource use and habitat specialization independently of other morphological traits. In structurally complex environments, larger-bodied </w:t>
      </w:r>
      <w:r w:rsidR="007A678D" w:rsidRPr="00973A48">
        <w:rPr>
          <w:rFonts w:ascii="Times New Roman" w:hAnsi="Times New Roman" w:cs="Times New Roman"/>
        </w:rPr>
        <w:lastRenderedPageBreak/>
        <w:t xml:space="preserve">species may exploit different foraging strata or require larger territories, whereas smaller species may have increased maneuverability in dense vegetation. </w:t>
      </w:r>
    </w:p>
    <w:p w14:paraId="473DD75F" w14:textId="60574372" w:rsidR="00973A48" w:rsidRPr="00973A48" w:rsidRDefault="00973A48" w:rsidP="00D77075">
      <w:pPr>
        <w:spacing w:before="0" w:after="0"/>
        <w:ind w:firstLine="360"/>
        <w:rPr>
          <w:rFonts w:ascii="Times New Roman" w:hAnsi="Times New Roman" w:cs="Times New Roman"/>
        </w:rPr>
      </w:pPr>
      <w:r w:rsidRPr="00973A48">
        <w:rPr>
          <w:rFonts w:ascii="Times New Roman" w:hAnsi="Times New Roman" w:cs="Times New Roman"/>
          <w:color w:val="000000"/>
          <w:shd w:val="clear" w:color="auto" w:fill="FFFFFF"/>
        </w:rPr>
        <w:t xml:space="preserve">Other </w:t>
      </w:r>
      <w:r w:rsidR="008A3D69">
        <w:rPr>
          <w:rFonts w:ascii="Times New Roman" w:hAnsi="Times New Roman" w:cs="Times New Roman"/>
          <w:color w:val="000000"/>
          <w:shd w:val="clear" w:color="auto" w:fill="FFFFFF"/>
        </w:rPr>
        <w:t>studies</w:t>
      </w:r>
      <w:r w:rsidRPr="00973A48">
        <w:rPr>
          <w:rFonts w:ascii="Times New Roman" w:hAnsi="Times New Roman" w:cs="Times New Roman"/>
          <w:color w:val="000000"/>
          <w:shd w:val="clear" w:color="auto" w:fill="FFFFFF"/>
        </w:rPr>
        <w:t xml:space="preserve"> have also found contrasting patterns of taxonomic and functional diversity indices in relation to forest regeneration.</w:t>
      </w:r>
      <w:r w:rsidRPr="008A3D69">
        <w:rPr>
          <w:rFonts w:ascii="Times New Roman" w:hAnsi="Times New Roman" w:cs="Times New Roman"/>
          <w:color w:val="000000"/>
          <w:shd w:val="clear" w:color="auto" w:fill="FFFFFF"/>
        </w:rPr>
        <w:t xml:space="preserve"> </w:t>
      </w:r>
      <w:r w:rsidR="009B267E" w:rsidRPr="008A3D69">
        <w:rPr>
          <w:rFonts w:ascii="Times New Roman" w:hAnsi="Times New Roman" w:cs="Times New Roman"/>
        </w:rPr>
        <w:t xml:space="preserve">Ikin et al. (2019) and </w:t>
      </w:r>
      <w:proofErr w:type="spellStart"/>
      <w:r w:rsidR="009B267E" w:rsidRPr="008A3D69">
        <w:rPr>
          <w:rFonts w:ascii="Times New Roman" w:hAnsi="Times New Roman" w:cs="Times New Roman"/>
        </w:rPr>
        <w:t>Remeš</w:t>
      </w:r>
      <w:proofErr w:type="spellEnd"/>
      <w:r w:rsidR="009B267E" w:rsidRPr="008A3D69">
        <w:rPr>
          <w:rFonts w:ascii="Times New Roman" w:hAnsi="Times New Roman" w:cs="Times New Roman"/>
        </w:rPr>
        <w:t xml:space="preserve"> et al. (202</w:t>
      </w:r>
      <w:r w:rsidR="008A3D69" w:rsidRPr="008A3D69">
        <w:rPr>
          <w:rFonts w:ascii="Times New Roman" w:hAnsi="Times New Roman" w:cs="Times New Roman"/>
        </w:rPr>
        <w:t>2</w:t>
      </w:r>
      <w:r w:rsidR="009B267E" w:rsidRPr="008A3D69">
        <w:rPr>
          <w:rFonts w:ascii="Times New Roman" w:hAnsi="Times New Roman" w:cs="Times New Roman"/>
        </w:rPr>
        <w:t>)</w:t>
      </w:r>
      <w:r w:rsidRPr="00973A48">
        <w:rPr>
          <w:rFonts w:ascii="Times New Roman" w:hAnsi="Times New Roman" w:cs="Times New Roman"/>
        </w:rPr>
        <w:t xml:space="preserve"> found that regeneration </w:t>
      </w:r>
      <w:r w:rsidR="008A3D69">
        <w:rPr>
          <w:rFonts w:ascii="Times New Roman" w:hAnsi="Times New Roman" w:cs="Times New Roman"/>
        </w:rPr>
        <w:t>stage</w:t>
      </w:r>
      <w:r w:rsidRPr="00973A48">
        <w:rPr>
          <w:rFonts w:ascii="Times New Roman" w:hAnsi="Times New Roman" w:cs="Times New Roman"/>
        </w:rPr>
        <w:t xml:space="preserve"> increases both functional diversity and species diversity of bird communities</w:t>
      </w:r>
      <w:r w:rsidR="009B267E">
        <w:rPr>
          <w:rFonts w:ascii="Times New Roman" w:hAnsi="Times New Roman" w:cs="Times New Roman"/>
        </w:rPr>
        <w:t>;</w:t>
      </w:r>
      <w:r w:rsidRPr="00973A48">
        <w:rPr>
          <w:rFonts w:ascii="Times New Roman" w:hAnsi="Times New Roman" w:cs="Times New Roman"/>
        </w:rPr>
        <w:t xml:space="preserve"> </w:t>
      </w:r>
      <w:r w:rsidR="00D129D2" w:rsidRPr="00973A48">
        <w:rPr>
          <w:rFonts w:ascii="Times New Roman" w:hAnsi="Times New Roman" w:cs="Times New Roman"/>
        </w:rPr>
        <w:t>however,</w:t>
      </w:r>
      <w:r w:rsidR="007A678D" w:rsidRPr="00973A48">
        <w:rPr>
          <w:rFonts w:ascii="Times New Roman" w:hAnsi="Times New Roman" w:cs="Times New Roman"/>
        </w:rPr>
        <w:t xml:space="preserve"> both studies only utilized one measure of functional or taxonomic diversity. Ikin et al. (2019) found that species richness correlated with functional richness and, contrasting </w:t>
      </w:r>
      <w:r w:rsidR="007A678D">
        <w:rPr>
          <w:rFonts w:ascii="Times New Roman" w:hAnsi="Times New Roman" w:cs="Times New Roman"/>
        </w:rPr>
        <w:t>with</w:t>
      </w:r>
      <w:r w:rsidR="007A678D" w:rsidRPr="00973A48">
        <w:rPr>
          <w:rFonts w:ascii="Times New Roman" w:hAnsi="Times New Roman" w:cs="Times New Roman"/>
        </w:rPr>
        <w:t xml:space="preserve"> our findings, increased with forest cover.</w:t>
      </w:r>
      <w:r w:rsidR="007A678D">
        <w:rPr>
          <w:rFonts w:ascii="Times New Roman" w:hAnsi="Times New Roman" w:cs="Times New Roman"/>
        </w:rPr>
        <w:t xml:space="preserve"> </w:t>
      </w:r>
      <w:r w:rsidRPr="00973A48">
        <w:rPr>
          <w:rFonts w:ascii="Times New Roman" w:hAnsi="Times New Roman" w:cs="Times New Roman"/>
        </w:rPr>
        <w:t xml:space="preserve">Another study </w:t>
      </w:r>
      <w:r w:rsidR="009B267E">
        <w:rPr>
          <w:rFonts w:ascii="Times New Roman" w:hAnsi="Times New Roman" w:cs="Times New Roman"/>
        </w:rPr>
        <w:t>reported</w:t>
      </w:r>
      <w:r w:rsidR="009B267E" w:rsidRPr="00973A48">
        <w:rPr>
          <w:rFonts w:ascii="Times New Roman" w:hAnsi="Times New Roman" w:cs="Times New Roman"/>
        </w:rPr>
        <w:t xml:space="preserve"> </w:t>
      </w:r>
      <w:r w:rsidRPr="00973A48">
        <w:rPr>
          <w:rFonts w:ascii="Times New Roman" w:hAnsi="Times New Roman" w:cs="Times New Roman"/>
        </w:rPr>
        <w:t>an increase in functional diversity measures as a function of forest regeneration in mammalian communities</w:t>
      </w:r>
      <w:r w:rsidR="009B267E">
        <w:rPr>
          <w:rFonts w:ascii="Times New Roman" w:hAnsi="Times New Roman" w:cs="Times New Roman"/>
        </w:rPr>
        <w:t xml:space="preserve"> but</w:t>
      </w:r>
      <w:r w:rsidRPr="00973A48">
        <w:rPr>
          <w:rFonts w:ascii="Times New Roman" w:hAnsi="Times New Roman" w:cs="Times New Roman"/>
        </w:rPr>
        <w:t xml:space="preserve"> no differences in taxonomic diversity across regeneration stages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{"citationID":"PFuu66T8","properties":{"formattedCitation":"(Derh\\uc0\\u233{} et al., 2018)","plainCitation":"(Derhé et al., 2018)","noteIndex":0},"citationItems":[{"id":1498,"uris":["http://zotero.org/users/12345038/items/HQEXVCW8"],"itemData":{"id":1498,"type":"article-journal","container-title":"Restoration Ecology","language":"en","title":"Recovery of mammal diversity in tropical forests: a functional approach to measuring restoration","author":[{"family":"Derhé","given":"M.A."},{"family":"Murphy","given":"H.T."},{"family":"Preece","given":"N.D."},{"family":"Lawes","given":"M.J."},{"family":"Menéndez","given":"R."}],"issued":{"date-parts":[["2018",7,26]]}}}],"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rPr>
        <w:t>(Derhé et al., 2018)</w:t>
      </w:r>
      <w:r w:rsidRPr="00973A48">
        <w:rPr>
          <w:rFonts w:ascii="Times New Roman" w:hAnsi="Times New Roman" w:cs="Times New Roman"/>
        </w:rPr>
        <w:fldChar w:fldCharType="end"/>
      </w:r>
      <w:r w:rsidRPr="00973A48">
        <w:rPr>
          <w:rFonts w:ascii="Times New Roman" w:hAnsi="Times New Roman" w:cs="Times New Roman"/>
        </w:rPr>
        <w:t>. In contrast, some have found that regeneration</w:t>
      </w:r>
      <w:r w:rsidR="009B267E">
        <w:rPr>
          <w:rFonts w:ascii="Times New Roman" w:hAnsi="Times New Roman" w:cs="Times New Roman"/>
        </w:rPr>
        <w:t xml:space="preserve"> stage</w:t>
      </w:r>
      <w:r w:rsidRPr="00973A48">
        <w:rPr>
          <w:rFonts w:ascii="Times New Roman" w:hAnsi="Times New Roman" w:cs="Times New Roman"/>
        </w:rPr>
        <w:t xml:space="preserve"> did not significantly increase either functional or taxonomic diversity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{"citationID":"am2oq18s4i","properties":{"formattedCitation":"(Barros et al., 2022)","plainCitation":"(Barros et al., 2022)","noteIndex":0},"citationItems":[{"id":1574,"uris":["http://zotero.org/users/12345038/items/AYD29N88"],"itemData":{"id":1574,"type":"article-journal","container-title":"Ecological Engineering","DOI":"10.1016/j.ecoleng.2022.106721","ISSN":"09258574","journalAbbreviation":"Ecological Engineering","language":"en","page":"106721","source":"DOI.org (Crossref)","title":"Taxonomic and functional diversity of bird communities in mining areas undergoing passive and active restoration in eastern Amazon","volume":"182","author":[{"family":"Barros","given":"Fernanda De Carvalho"},{"family":"Almeida","given":"Sara Miranda"},{"family":"Godoy","given":"Bruno Spacek"},{"family":"Silva","given":"Ricardo Ribeiro Da"},{"family":"Silva","given":"Larissa Cardoso"},{"family":"De Moraes","given":"Kauê Felippe"},{"family":"Santos","given":"Marcos Pérsio Dantas"}],"issued":{"date-parts":[["2022",9]]}}}],"schema":"https://github.com/citation-style-language/schema/raw/master/csl-citation.json"}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rPr>
        <w:t>(Barros et al., 2022)</w:t>
      </w:r>
      <w:r w:rsidRPr="00973A48">
        <w:rPr>
          <w:rFonts w:ascii="Times New Roman" w:hAnsi="Times New Roman" w:cs="Times New Roman"/>
        </w:rPr>
        <w:fldChar w:fldCharType="end"/>
      </w:r>
      <w:r w:rsidRPr="00973A48">
        <w:rPr>
          <w:rFonts w:ascii="Times New Roman" w:hAnsi="Times New Roman" w:cs="Times New Roman"/>
        </w:rPr>
        <w:t xml:space="preserve">. When focusing on individual functional diversity measures, one study found that functional divergence, functional richness, and functional evenness of plant communities changed independently of one another, similar to what we observed in avian communities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{"citationID":"CmQH9AFO","properties":{"formattedCitation":"(Pakeman, 2011)","plainCitation":"(Pakeman, 2011)","noteIndex":0},"citationItems":[{"id":1781,"uris":["http://zotero.org/users/12345038/items/WAQ2YQYS"],"itemData":{"id":1781,"type":"article-journal","container-title":"Journal of Ecology","DOI":"10.1111/j.1365-2745.2011.01853.x","ISSN":"00220477","issue":"5","language":"en","license":"http://doi.wiley.com/10.1002/tdm_license_1.1","page":"1143-1151","source":"DOI.org (Crossref)","title":"Functional diversity indices reveal the impacts of land use intensification on plant community assembly: Drivers of functional diversity","title-short":"Functional diversity indices reveal the impacts of land use intensification on plant community assembly","volume":"99","author":[{"family":"Pakeman","given":"Robin J."}],"issued":{"date-parts":[["2011",9]]}}}],"schema":"https://github.com/citation-style-language/schema/raw/master/csl-citation.json"}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(Pakeman, 2011)</w:t>
      </w:r>
      <w:r w:rsidRPr="00973A48">
        <w:rPr>
          <w:rFonts w:ascii="Times New Roman" w:hAnsi="Times New Roman" w:cs="Times New Roman"/>
        </w:rPr>
        <w:fldChar w:fldCharType="end"/>
      </w:r>
      <w:r w:rsidRPr="00973A48">
        <w:rPr>
          <w:rFonts w:ascii="Times New Roman" w:hAnsi="Times New Roman" w:cs="Times New Roman"/>
        </w:rPr>
        <w:t>. These contrasting findings highlight the complexity of biodiversity recovery, suggesting that taxonomic and functional diversity may respond differently to forest regeneration depending on the taxa studied, the metrics used, and the specific environmental conditions of the system.</w:t>
      </w:r>
    </w:p>
    <w:p w14:paraId="2A7C2D4E" w14:textId="68581280" w:rsidR="00973A48" w:rsidRPr="00973A48" w:rsidRDefault="00973A48" w:rsidP="00D77075">
      <w:pPr>
        <w:spacing w:before="0" w:after="0"/>
        <w:ind w:firstLine="360"/>
        <w:rPr>
          <w:rFonts w:ascii="Times New Roman" w:hAnsi="Times New Roman" w:cs="Times New Roman"/>
        </w:rPr>
      </w:pPr>
      <w:r w:rsidRPr="00973A48">
        <w:rPr>
          <w:rFonts w:ascii="Times New Roman" w:hAnsi="Times New Roman" w:cs="Times New Roman"/>
        </w:rPr>
        <w:t xml:space="preserve">The observed low rates of taxonomic diversity in closed-canopy forests could be due to low detection rates from mist-net sampling. </w:t>
      </w:r>
      <w:r w:rsidR="008A3D69">
        <w:rPr>
          <w:rFonts w:ascii="Times New Roman" w:hAnsi="Times New Roman" w:cs="Times New Roman"/>
        </w:rPr>
        <w:t>S</w:t>
      </w:r>
      <w:r w:rsidRPr="00973A48">
        <w:rPr>
          <w:rFonts w:ascii="Times New Roman" w:hAnsi="Times New Roman" w:cs="Times New Roman"/>
        </w:rPr>
        <w:t xml:space="preserve">ubstantial effort would be needed to satisfy a species accumulation curve and accurately account for a high proportion of the species residing in these habitats. </w:t>
      </w:r>
      <w:r w:rsidR="00D5034E">
        <w:rPr>
          <w:rFonts w:ascii="Times New Roman" w:hAnsi="Times New Roman" w:cs="Times New Roman"/>
        </w:rPr>
        <w:t>In contrast,</w:t>
      </w:r>
      <w:r w:rsidRPr="00973A48">
        <w:rPr>
          <w:rFonts w:ascii="Times New Roman" w:hAnsi="Times New Roman" w:cs="Times New Roman"/>
        </w:rPr>
        <w:t xml:space="preserve"> functional diversity indices were indicative of closed-canopy habitat</w:t>
      </w:r>
      <w:r w:rsidR="00D5034E">
        <w:rPr>
          <w:rFonts w:ascii="Times New Roman" w:hAnsi="Times New Roman" w:cs="Times New Roman"/>
        </w:rPr>
        <w:t>;</w:t>
      </w:r>
      <w:r w:rsidRPr="00973A48">
        <w:rPr>
          <w:rFonts w:ascii="Times New Roman" w:hAnsi="Times New Roman" w:cs="Times New Roman"/>
        </w:rPr>
        <w:t xml:space="preserve"> these measures require less sampling effort and could potentially be a faster and more efficient way of assessing community responses to forest regeneration. However, not all functional diversity indices were characteristic of regeneration, and some functional diversity indices are sensitive to under sampling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{"citationID":"7oeesYqJ","properties":{"formattedCitation":"(Kortmann et al., 2025; Van Der Plas et al., 2017)","plainCitation":"(Kortmann et al., 2025; Van Der Plas et al., 2017)","noteIndex":0},"citationItems":[{"id":1748,"uris":["http://zotero.org/users/12345038/items/ZDP2UEB3"],"itemData":{"id":1748,"type":"article-journal","abstract":"Abstract\n            \n              \n                \n                  Tropical old‐growth forests continue to decline worldwide, resulting in a huge loss of biodiversity. The extent to which the expansion of second‐growth forests can counteract biodiversity loss is context‐dependent and controversial.\n                \n                \n                  To test the recovery of bird communities along a gradient from active pastures and cacao plantations, through regenerating forest on land last used for agriculture between 1 and 38 years ago, to old‐growth forest, we sampled simultaneous audio recordings from 66 plots, from which an expert identified all bird species detected at fixed time points throughout the day. The study area is characterized by typical small‐scale agriculture with remnant trees in the Ecuadorian Chocó Forest. To quantify different aspects of biodiversity, we used incidence‐based Hill numbers focusing on infrequent, frequent and highly frequent species in taxonomic, functional and phylogenetic diversity, considering sample coverage (an objective measure of sample completeness).\n                \n                \n                  Bird community composition changed with the regrowth gradient represented on the first axis of the ordination. Differences in bird communities were also very robust to changes in sample coverage.\n                \n                \n                  The sample coverage decreased significantly along the recovery gradient and affected the different measures of alpha diversity. Although the results controlled by sample coverage showed no change in taxonomic and phylogenetic diversity, the functional diversity of infrequent, frequent and highly frequent species decreased along the recovery gradient.\n                \n                \n                  Cacao plantations exhibited particularly high diversity values, highlighting the potential of these patches to support woodland and shrubland species in agriculture. Furthermore, several forest species regularly used the agricultural areas, attracted by remnant trees characteristic of the small‐scale agricultural landscape in our study region.\n                \n                \n                  \n                    Synthesis and applications\n                    . Our results highlight the importance of standardizing biodiversity measures and incorporating beta diversity in biodiversity monitoring. We demonstrate that taxonomic, phylogenetic and functional bird diversity can be high in secondary forests within smallholder agricultural landscapes. This underscores the potential for natural forest recovery, particularly when recovery patches are embedded within a forest matrix that includes old‐growth stands.\n                  \n                \n              \n            \n          , \n            Resumen\n            \n              \n                \n                  Los bosques tropicales antiguos siguen disminuyendo en todo el mundo, lo que provoca una enorme pérdida de biodiversidad. La capacidad de la expansión de los bosques de segundo crecimiento para contrarrestar la pérdida de biodiversidad depende del contexto y es controvertida.\n                \n                \n                  Para comprobar la recuperación de las comunidades de aves a lo largo de un gradiente que abarca pastos activos, plantaciones de cacao, bosques en regeneración en tierras utilizadas por última vez para la agricultura entre 1 y 38 años atrás, y bosques primarios, realizamos grabaciones de audio simultáneas en 66 parcelas. A partir de dichas grabaciones, un experto identificó todas las especies de aves detectadas en momentos estandarizados a lo largo del día. El área de estudio se caracteriza por la típica agricultura a pequeña escala con árboles remanentes en el bosque del Chocó ecuatoriano. Para cuantificar diferentes aspectos de la biodiversidad, utilizamos números de Hill basados en la incidencia, centrándonos en especies poco frecuentes, frecuentes y altamente frecuentes en diversidad taxonómica, funcional y filogenética, teniendo en cuenta la cobertura de la muestra (una medida objetiva de la completitud de la muestra).\n                \n                \n                  La composición de la comunidad de aves siguió el gradiente de rebrote representado en el primer eje de la ordenación. Las diferencias en las comunidades de aves también fueron robustas a los cambios en la cobertura de la muestra.\n                \n                \n                  La cobertura de las muestras disminuyó significativamente a lo largo del gradiente de recuperación y afectó a las distintas medidas de diversidad alfa. Aunque los resultados controlados por la cobertura muestral no mostraron cambios en la diversidad taxonómica y filogenética, la diversidad funcional de especies poco frecuentes, frecuentes y muy frecuentes disminuyó a lo largo del gradiente de recuperación.\n                \n                \n                  Las plantaciones de cacao mostraron valores de diversidad particularmente elevados, lo que pone de relieve el potencial de estos parches para sustentar especies forestales y arbustivas en la agricultura. Además, varias especies forestales utilizaron regularmente las áreas agrícolas, inducidas por árboles remanentes característicos del paisaje agrícola a pequeña escala de nuestra región de estudio.\n                \n                \n                  \n                    Síntesis y aplicaciones\n                    . Nuestros resultados ponen de manifiesto la importancia de estandarizar las medidas de biodiversidad e incorporar la diversidad beta en el seguimiento de la biodiversidad. Hemos demostrado que la diversidad taxonómica, filogenética y funcional de las aves puede ser alta en bosques secundarios dentro de paisajes agrícolas de pequeña escala. Esto pone de manifiesto el potencial de recuperación de los bosques naturales, en particular cuando las parcelas de recuperación están integradas en una matriz forestal que incluye bosques antiguos.","container-title":"Journal of Applied Ecology","DOI":"10.1111/1365-2664.14879","ISSN":"0021-8901, 1365-2664","journalAbbreviation":"Journal of Applied Ecology","language":"en","page":"1365-2664.14879","source":"DOI.org (Crossref)","title":"Sample coverage affects diversity measures of bird communities along a natural recovery gradient of abandoned agriculture in tropical lowland forests","author":[{"family":"Kortmann","given":"Mareike"},{"family":"Chao","given":"Anne"},{"family":"Schaefer","given":"H. Martin"},{"family":"Blüthgen","given":"Nico"},{"family":"Gelis","given":"Rudy"},{"family":"Tremlett","given":"Constance J."},{"family":"Busse","given":"Annika"},{"family":"Püls","given":"Marcel"},{"family":"Seibold","given":"Sebastian"},{"family":"Kriegel","given":"Peter"},{"family":"Rabl","given":"Dominik"},{"family":"De La Hoz","given":"Maria"},{"family":"Şekercioğlu","given":"Çağan H."},{"family":"Schleuning","given":"Matthias"},{"family":"Feldhaar","given":"Heike"},{"family":"Newell","given":"Felicity L."},{"family":"Kümmet","given":"Sonja"},{"family":"Mitesser","given":"Oliver"},{"family":"Peters","given":"Marcel K."},{"family":"Müller","given":"Jörg"}],"issued":{"date-parts":[["2025",1,28]]}}},{"id":1753,"uris":["http://zotero.org/users/12345038/items/U5LCQAMM"],"itemData":{"id":1753,"type":"article-journal","abstract":"Summary\n            \n              \n                \n                  Functional diversity (FD) metrics are increasingly used in ecological research, particularly in the studies of community assembly and ecosystem functioning. However, studies using the FD metrics vary greatly in the intensity by which ecological communities were sampled and it is largely unknown how sensitive these metrics are to low sampling intensity (undersampling).\n                \n                \n                  In this study, we used a combination of simulations with theoretically assembled communities and three comprehensive, independent, empirical datasets on plant, ground beetle, and bird communities to investigate the sensitivity of nine commonly used FD metrics to undersampling.\n                \n                \n                  \n                    Simulations with both theoretical communities and empirical data showed that in a wide range of contexts, the measurement of various FD metrics requires a much higher sampling effort to reach an ‘adequate’ precision (defined as an\n                    r\n                    2\n                    of at least 0·7 between different subsets of the same population), than that required for commonly used taxonomic diversity metrics (e.g. species richness), although the ‘accuracy’ (their deviation from the diversity value of a completely sampled community) of their measurements is not more sensitive to undersampling than species richness. We also found that some FD metrics (e.g. Functional Dispersion) are consistently less sensitive to undersampling than others (e.g. nearest neighbour distance‐metrics). Problems of undersampling were generally most severe in datasets with high overall species richness and low overall abundances.\n                  \n                \n                \n                  We found that the precision of many FD metrics is highly sensitive to undersampling, and more so than commonly used taxonomic diversity metrics. Therefore, to ensure reproducible results in functional biodiversity research, we recommend that thorough sampling designs are used to sample communities and that datasets originally collected for studying taxonomic diversity should only be used for FD when it can be shown that undersampling is not a major issue. In cases where undersampling is suspected or logistically unavoidable, the FD metrics that are relatively insensitive to its effects (e.g. Functional Dispersion) should be prioritized.","container-title":"Methods in Ecology and Evolution","DOI":"10.1111/2041-210X.12728","ISSN":"2041-210X, 2041-210X","issue":"9","journalAbbreviation":"Methods Ecol Evol","language":"en","license":"http://onlinelibrary.wiley.com/termsAndConditions#vor","page":"1072-1080","source":"DOI.org (Crossref)","title":"Sensitivity of functional diversity metrics to sampling intensity","volume":"8","author":[{"family":"Van Der Plas","given":"Fons"},{"family":"Van Klink","given":"Roel"},{"family":"Manning","given":"Pete"},{"family":"Olff","given":"Han"},{"family":"Fischer","given":"Markus"}],"editor":[{"family":"Kembel","given":"Steven"}],"issued":{"date-parts":[["2017",9]]}}}],"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(Kortmann et al., 2025; Van Der Plas et al., 2017)</w:t>
      </w:r>
      <w:r w:rsidRPr="00973A48">
        <w:rPr>
          <w:rFonts w:ascii="Times New Roman" w:hAnsi="Times New Roman" w:cs="Times New Roman"/>
        </w:rPr>
        <w:fldChar w:fldCharType="end"/>
      </w:r>
      <w:r w:rsidRPr="00973A48">
        <w:rPr>
          <w:rFonts w:ascii="Times New Roman" w:hAnsi="Times New Roman" w:cs="Times New Roman"/>
        </w:rPr>
        <w:t xml:space="preserve">. Specifically, it’s been found that functional evenness is highly sensitive to under sampling, and functional richness is </w:t>
      </w:r>
      <w:r w:rsidR="008A3D69">
        <w:rPr>
          <w:rFonts w:ascii="Times New Roman" w:hAnsi="Times New Roman" w:cs="Times New Roman"/>
        </w:rPr>
        <w:t>moderately</w:t>
      </w:r>
      <w:r w:rsidRPr="00973A48">
        <w:rPr>
          <w:rFonts w:ascii="Times New Roman" w:hAnsi="Times New Roman" w:cs="Times New Roman"/>
        </w:rPr>
        <w:t xml:space="preserve"> sensitive to under sampling, making them potentially less useful in biodiversity surveys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{"citationID":"GbGE684X","properties":{"formattedCitation":"(Van Der Plas et al., 2017)","plainCitation":"(Van Der Plas et al., 2017)","noteIndex":0},"citationItems":[{"id":1753,"uris":["http://zotero.org/users/12345038/items/U5LCQAMM"],"itemData":{"id":1753,"type":"article-journal","abstract":"Summary\n            \n              \n                \n                  Functional diversity (FD) metrics are increasingly used in ecological research, particularly in the studies of community assembly and ecosystem functioning. However, studies using the FD metrics vary greatly in the intensity by which ecological communities were sampled and it is largely unknown how sensitive these metrics are to low sampling intensity (undersampling).\n                \n                \n                  In this study, we used a combination of simulations with theoretically assembled communities and three comprehensive, independent, empirical datasets on plant, ground beetle, and bird communities to investigate the sensitivity of nine commonly used FD metrics to undersampling.\n                \n                \n                  \n                    Simulations with both theoretical communities and empirical data showed that in a wide range of contexts, the measurement of various FD metrics requires a much higher sampling effort to reach an ‘adequate’ precision (defined as an\n                    r\n                    2\n                    of at least 0·7 between different subsets of the same population), than that required for commonly used taxonomic diversity metrics (e.g. species richness), although the ‘accuracy’ (their deviation from the diversity value of a completely sampled community) of their measurements is not more sensitive to undersampling than species richness. We also found that some FD metrics (e.g. Functional Dispersion) are consistently less sensitive to undersampling than others (e.g. nearest neighbour distance‐metrics). Problems of undersampling were generally most severe in datasets with high overall species richness and low overall abundances.\n                  \n                \n                \n                  We found that the precision of many FD metrics is highly sensitive to undersampling, and more so than commonly used taxonomic diversity metrics. Therefore, to ensure reproducible results in functional biodiversity research, we recommend that thorough sampling designs are used to sample communities and that datasets originally collected for studying taxonomic diversity should only be used for FD when it can be shown that undersampling is not a major issue. In cases where undersampling is suspected or logistically unavoidable, the FD metrics that are relatively insensitive to its effects (e.g. Functional Dispersion) should be prioritized.","container-title":"Methods in Ecology and Evolution","DOI":"10.1111/2041-210X.12728","ISSN":"2041-210X, 2041-210X","issue":"9","journalAbbreviation":"Methods Ecol Evol","language":"en","license":"http://onlinelibrary.wiley.com/termsAndConditions#vor","page":"1072-1080","source":"DOI.org (Crossref)","title":"Sensitivity of functional diversity metrics to sampling intensity","volume":"8","author":[{"family":"Van Der Plas","given":"Fons"},{"family":"Van Klink","given":"Roel"},{"family":"Manning","given":"Pete"},{"family":"Olff","given":"Han"},{"family":"Fischer","given":"Markus"}],"editor":[{"family":"Kembel","given":"Steven"}],"issued":{"date-parts":[["2017",9]]}}}],"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(Van Der Plas et al., 2017)</w:t>
      </w:r>
      <w:r w:rsidRPr="00973A48">
        <w:rPr>
          <w:rFonts w:ascii="Times New Roman" w:hAnsi="Times New Roman" w:cs="Times New Roman"/>
        </w:rPr>
        <w:fldChar w:fldCharType="end"/>
      </w:r>
      <w:r w:rsidRPr="00973A48">
        <w:rPr>
          <w:rFonts w:ascii="Times New Roman" w:hAnsi="Times New Roman" w:cs="Times New Roman"/>
        </w:rPr>
        <w:t>. Therefore, functional divergence, function dispersion, and Rao’s quadratic entropy, which were all less sensitive to under</w:t>
      </w:r>
      <w:r w:rsidR="00D5034E">
        <w:rPr>
          <w:rFonts w:ascii="Times New Roman" w:hAnsi="Times New Roman" w:cs="Times New Roman"/>
        </w:rPr>
        <w:t>-</w:t>
      </w:r>
      <w:r w:rsidRPr="00973A48">
        <w:rPr>
          <w:rFonts w:ascii="Times New Roman" w:hAnsi="Times New Roman" w:cs="Times New Roman"/>
        </w:rPr>
        <w:t xml:space="preserve">sampling </w:t>
      </w:r>
      <w:r w:rsidRPr="00973A48">
        <w:rPr>
          <w:rFonts w:ascii="Times New Roman" w:hAnsi="Times New Roman" w:cs="Times New Roman"/>
        </w:rPr>
        <w:fldChar w:fldCharType="begin"/>
      </w:r>
      <w:r w:rsidRPr="00973A48">
        <w:rPr>
          <w:rFonts w:ascii="Times New Roman" w:hAnsi="Times New Roman" w:cs="Times New Roman"/>
        </w:rPr>
        <w:instrText xml:space="preserve"> ADDIN ZOTERO_ITEM CSL_CITATION {"citationID":"SSVpbXsW","properties":{"formattedCitation":"(Van Der Plas et al., 2017)","plainCitation":"(Van Der Plas et al., 2017)","noteIndex":0},"citationItems":[{"id":1753,"uris":["http://zotero.org/users/12345038/items/U5LCQAMM"],"itemData":{"id":1753,"type":"article-journal","abstract":"Summary\n            \n              \n                \n                  Functional diversity (FD) metrics are increasingly used in ecological research, particularly in the studies of community assembly and ecosystem functioning. However, studies using the FD metrics vary greatly in the intensity by which ecological communities were sampled and it is largely unknown how sensitive these metrics are to low sampling intensity (undersampling).\n                \n                \n                  In this study, we used a combination of simulations with theoretically assembled communities and three comprehensive, independent, empirical datasets on plant, ground beetle, and bird communities to investigate the sensitivity of nine commonly used FD metrics to undersampling.\n                \n                \n                  \n                    Simulations with both theoretical communities and empirical data showed that in a wide range of contexts, the measurement of various FD metrics requires a much higher sampling effort to reach an ‘adequate’ precision (defined as an\n                    r\n                    2\n                    of at least 0·7 between different subsets of the same population), than that required for commonly used taxonomic diversity metrics (e.g. species richness), although the ‘accuracy’ (their deviation from the diversity value of a completely sampled community) of their measurements is not more sensitive to undersampling than species richness. We also found that some FD metrics (e.g. Functional Dispersion) are consistently less sensitive to undersampling than others (e.g. nearest neighbour distance‐metrics). Problems of undersampling were generally most severe in datasets with high overall species richness and low overall abundances.\n                  \n                \n                \n                  We found that the precision of many FD metrics is highly sensitive to undersampling, and more so than commonly used taxonomic diversity metrics. Therefore, to ensure reproducible results in functional biodiversity research, we recommend that thorough sampling designs are used to sample communities and that datasets originally collected for studying taxonomic diversity should only be used for FD when it can be shown that undersampling is not a major issue. In cases where undersampling is suspected or logistically unavoidable, the FD metrics that are relatively insensitive to its effects (e.g. Functional Dispersion) should be prioritized.","container-title":"Methods in Ecology and Evolution","DOI":"10.1111/2041-210X.12728","ISSN":"2041-210X, 2041-210X","issue":"9","journalAbbreviation":"Methods Ecol Evol","language":"en","license":"http://onlinelibrary.wiley.com/termsAndConditions#vor","page":"1072-1080","source":"DOI.org (Crossref)","title":"Sensitivity of functional diversity metrics to sampling intensity","volume":"8","author":[{"family":"Van Der Plas","given":"Fons"},{"family":"Van Klink","given":"Roel"},{"family":"Manning","given":"Pete"},{"family":"Olff","given":"Han"},{"family":"Fischer","given":"Markus"}],"editor":[{"family":"Kembel","given":"Steven"}],"issued":{"date-parts":[["2017",9]]}}}],"schema":"https://github.com/citation-style-language/schema/raw/master/csl-citation.json"} </w:instrText>
      </w:r>
      <w:r w:rsidRPr="00973A48">
        <w:rPr>
          <w:rFonts w:ascii="Times New Roman" w:hAnsi="Times New Roman" w:cs="Times New Roman"/>
        </w:rPr>
        <w:fldChar w:fldCharType="separate"/>
      </w:r>
      <w:r w:rsidRPr="00973A48">
        <w:rPr>
          <w:rFonts w:ascii="Times New Roman" w:hAnsi="Times New Roman" w:cs="Times New Roman"/>
          <w:noProof/>
        </w:rPr>
        <w:t xml:space="preserve">(Van Der Plas et al., </w:t>
      </w:r>
      <w:r w:rsidRPr="00973A48">
        <w:rPr>
          <w:rFonts w:ascii="Times New Roman" w:hAnsi="Times New Roman" w:cs="Times New Roman"/>
          <w:noProof/>
        </w:rPr>
        <w:lastRenderedPageBreak/>
        <w:t>2017)</w:t>
      </w:r>
      <w:r w:rsidRPr="00973A48">
        <w:rPr>
          <w:rFonts w:ascii="Times New Roman" w:hAnsi="Times New Roman" w:cs="Times New Roman"/>
        </w:rPr>
        <w:fldChar w:fldCharType="end"/>
      </w:r>
      <w:r w:rsidRPr="00973A48">
        <w:rPr>
          <w:rFonts w:ascii="Times New Roman" w:hAnsi="Times New Roman" w:cs="Times New Roman"/>
        </w:rPr>
        <w:t xml:space="preserve">, and were strongly associated with closed-canopy habitats might be more useful </w:t>
      </w:r>
      <w:r w:rsidR="00094014">
        <w:rPr>
          <w:rFonts w:ascii="Times New Roman" w:hAnsi="Times New Roman" w:cs="Times New Roman"/>
        </w:rPr>
        <w:t>when seeking to</w:t>
      </w:r>
      <w:r w:rsidRPr="00973A48">
        <w:rPr>
          <w:rFonts w:ascii="Times New Roman" w:hAnsi="Times New Roman" w:cs="Times New Roman"/>
        </w:rPr>
        <w:t xml:space="preserve"> understand the functional recovery of communities across forest regeneration.</w:t>
      </w:r>
    </w:p>
    <w:p w14:paraId="78E2E259" w14:textId="2922A7ED" w:rsidR="00973A48" w:rsidRPr="00973A48" w:rsidRDefault="00973A48" w:rsidP="00D77075">
      <w:pPr>
        <w:spacing w:before="0" w:after="0"/>
        <w:ind w:firstLine="360"/>
        <w:rPr>
          <w:rFonts w:ascii="Times New Roman" w:hAnsi="Times New Roman" w:cs="Times New Roman"/>
        </w:rPr>
      </w:pPr>
      <w:r w:rsidRPr="00973A48">
        <w:rPr>
          <w:rFonts w:ascii="Times New Roman" w:hAnsi="Times New Roman" w:cs="Times New Roman"/>
        </w:rPr>
        <w:t xml:space="preserve">Within our system, </w:t>
      </w:r>
      <w:r w:rsidR="008A3D69">
        <w:rPr>
          <w:rFonts w:ascii="Times New Roman" w:hAnsi="Times New Roman" w:cs="Times New Roman"/>
        </w:rPr>
        <w:t xml:space="preserve">differences in </w:t>
      </w:r>
      <w:r w:rsidRPr="00973A48">
        <w:rPr>
          <w:rFonts w:ascii="Times New Roman" w:hAnsi="Times New Roman" w:cs="Times New Roman"/>
        </w:rPr>
        <w:t>functional diversity only elucidated a split between open and closed canopy habitats</w:t>
      </w:r>
      <w:r w:rsidR="0046353A">
        <w:rPr>
          <w:rFonts w:ascii="Times New Roman" w:hAnsi="Times New Roman" w:cs="Times New Roman"/>
        </w:rPr>
        <w:t>;</w:t>
      </w:r>
      <w:r w:rsidRPr="00973A48">
        <w:rPr>
          <w:rFonts w:ascii="Times New Roman" w:hAnsi="Times New Roman" w:cs="Times New Roman"/>
        </w:rPr>
        <w:t xml:space="preserve"> no</w:t>
      </w:r>
      <w:r w:rsidR="008A3D69">
        <w:rPr>
          <w:rFonts w:ascii="Times New Roman" w:hAnsi="Times New Roman" w:cs="Times New Roman"/>
        </w:rPr>
        <w:t xml:space="preserve"> diversity</w:t>
      </w:r>
      <w:r w:rsidRPr="00973A48">
        <w:rPr>
          <w:rFonts w:ascii="Times New Roman" w:hAnsi="Times New Roman" w:cs="Times New Roman"/>
        </w:rPr>
        <w:t xml:space="preserve"> indices explained the difference between secondary and old-growth communities. This could be </w:t>
      </w:r>
      <w:r w:rsidR="0046353A">
        <w:rPr>
          <w:rFonts w:ascii="Times New Roman" w:hAnsi="Times New Roman" w:cs="Times New Roman"/>
        </w:rPr>
        <w:t>because</w:t>
      </w:r>
      <w:r w:rsidRPr="00973A48">
        <w:rPr>
          <w:rFonts w:ascii="Times New Roman" w:hAnsi="Times New Roman" w:cs="Times New Roman"/>
        </w:rPr>
        <w:t xml:space="preserve"> that we did not capture the full set of functional traits or environmental gradients associated with changes in bird communities across </w:t>
      </w:r>
      <w:r w:rsidR="00D5034E">
        <w:rPr>
          <w:rFonts w:ascii="Times New Roman" w:hAnsi="Times New Roman" w:cs="Times New Roman"/>
        </w:rPr>
        <w:t xml:space="preserve">stages of </w:t>
      </w:r>
      <w:r w:rsidRPr="00973A48">
        <w:rPr>
          <w:rFonts w:ascii="Times New Roman" w:hAnsi="Times New Roman" w:cs="Times New Roman"/>
        </w:rPr>
        <w:t xml:space="preserve">regenerating forests. For example, </w:t>
      </w:r>
      <w:r w:rsidR="0046353A">
        <w:rPr>
          <w:rFonts w:ascii="Times New Roman" w:hAnsi="Times New Roman" w:cs="Times New Roman"/>
          <w:shd w:val="clear" w:color="auto" w:fill="FFFFFF"/>
        </w:rPr>
        <w:t>Schuldt et al. (2022)</w:t>
      </w:r>
      <w:r w:rsidRPr="00973A48">
        <w:rPr>
          <w:rFonts w:ascii="Times New Roman" w:hAnsi="Times New Roman" w:cs="Times New Roman"/>
          <w:shd w:val="clear" w:color="auto" w:fill="FFFFFF"/>
        </w:rPr>
        <w:t xml:space="preserve"> found that bird functional divergence increased with increasing variability in tree diameter</w:t>
      </w:r>
      <w:r w:rsidR="0046353A">
        <w:rPr>
          <w:rFonts w:ascii="Times New Roman" w:hAnsi="Times New Roman" w:cs="Times New Roman"/>
          <w:shd w:val="clear" w:color="auto" w:fill="FFFFFF"/>
        </w:rPr>
        <w:t>, a variable that we did not measure</w:t>
      </w:r>
      <w:r w:rsidRPr="00973A48">
        <w:rPr>
          <w:rFonts w:ascii="Times New Roman" w:hAnsi="Times New Roman" w:cs="Times New Roman"/>
          <w:shd w:val="clear" w:color="auto" w:fill="FFFFFF"/>
        </w:rPr>
        <w:t>.</w:t>
      </w:r>
      <w:r w:rsidRPr="00973A48">
        <w:rPr>
          <w:rFonts w:ascii="Times New Roman" w:hAnsi="Times New Roman" w:cs="Times New Roman"/>
        </w:rPr>
        <w:t xml:space="preserve"> Th</w:t>
      </w:r>
      <w:r w:rsidR="0046353A">
        <w:rPr>
          <w:rFonts w:ascii="Times New Roman" w:hAnsi="Times New Roman" w:cs="Times New Roman"/>
        </w:rPr>
        <w:t>us</w:t>
      </w:r>
      <w:r w:rsidRPr="00973A48">
        <w:rPr>
          <w:rFonts w:ascii="Times New Roman" w:hAnsi="Times New Roman" w:cs="Times New Roman"/>
        </w:rPr>
        <w:t>, consider</w:t>
      </w:r>
      <w:r w:rsidR="0046353A">
        <w:rPr>
          <w:rFonts w:ascii="Times New Roman" w:hAnsi="Times New Roman" w:cs="Times New Roman"/>
        </w:rPr>
        <w:t>ation of</w:t>
      </w:r>
      <w:r w:rsidRPr="00973A48">
        <w:rPr>
          <w:rFonts w:ascii="Times New Roman" w:hAnsi="Times New Roman" w:cs="Times New Roman"/>
        </w:rPr>
        <w:t xml:space="preserve"> foraging behaviors such as cavity nesting, bark gleaning, and sit-and-wait foraging might have explained the variation between secondary and old growth habitats. </w:t>
      </w:r>
      <w:r w:rsidR="0046353A">
        <w:rPr>
          <w:rFonts w:ascii="Times New Roman" w:hAnsi="Times New Roman" w:cs="Times New Roman"/>
        </w:rPr>
        <w:t>In contrast, Sayer et al. (2017)</w:t>
      </w:r>
      <w:r w:rsidRPr="00973A48">
        <w:rPr>
          <w:rFonts w:ascii="Times New Roman" w:hAnsi="Times New Roman" w:cs="Times New Roman"/>
        </w:rPr>
        <w:t xml:space="preserve"> found that avian functional dispersion and functional divergence was comparable among secondary and old growth tropical forests</w:t>
      </w:r>
      <w:r w:rsidR="0046353A">
        <w:rPr>
          <w:rFonts w:ascii="Times New Roman" w:hAnsi="Times New Roman" w:cs="Times New Roman"/>
        </w:rPr>
        <w:t>, indicating that</w:t>
      </w:r>
      <w:r w:rsidRPr="00973A48">
        <w:rPr>
          <w:rFonts w:ascii="Times New Roman" w:hAnsi="Times New Roman" w:cs="Times New Roman"/>
        </w:rPr>
        <w:t xml:space="preserve"> </w:t>
      </w:r>
      <w:r w:rsidR="008A3D69">
        <w:rPr>
          <w:rFonts w:ascii="Times New Roman" w:hAnsi="Times New Roman" w:cs="Times New Roman"/>
        </w:rPr>
        <w:t>high functional diversity</w:t>
      </w:r>
      <w:r w:rsidRPr="00973A48">
        <w:rPr>
          <w:rFonts w:ascii="Times New Roman" w:hAnsi="Times New Roman" w:cs="Times New Roman"/>
        </w:rPr>
        <w:t xml:space="preserve"> </w:t>
      </w:r>
      <w:r w:rsidR="008A3D69">
        <w:rPr>
          <w:rFonts w:ascii="Times New Roman" w:hAnsi="Times New Roman" w:cs="Times New Roman"/>
        </w:rPr>
        <w:t xml:space="preserve">could </w:t>
      </w:r>
      <w:r w:rsidRPr="00973A48">
        <w:rPr>
          <w:rFonts w:ascii="Times New Roman" w:hAnsi="Times New Roman" w:cs="Times New Roman"/>
        </w:rPr>
        <w:t xml:space="preserve">pattern could be a feature of closed-canopy forests. Future research should </w:t>
      </w:r>
      <w:r w:rsidR="0046353A">
        <w:rPr>
          <w:rFonts w:ascii="Times New Roman" w:hAnsi="Times New Roman" w:cs="Times New Roman"/>
        </w:rPr>
        <w:t xml:space="preserve">include a broader </w:t>
      </w:r>
      <w:r w:rsidRPr="00973A48">
        <w:rPr>
          <w:rFonts w:ascii="Times New Roman" w:hAnsi="Times New Roman" w:cs="Times New Roman"/>
        </w:rPr>
        <w:t xml:space="preserve">scope of </w:t>
      </w:r>
      <w:r w:rsidR="0046353A">
        <w:rPr>
          <w:rFonts w:ascii="Times New Roman" w:hAnsi="Times New Roman" w:cs="Times New Roman"/>
        </w:rPr>
        <w:t>potential</w:t>
      </w:r>
      <w:r w:rsidRPr="00973A48">
        <w:rPr>
          <w:rFonts w:ascii="Times New Roman" w:hAnsi="Times New Roman" w:cs="Times New Roman"/>
        </w:rPr>
        <w:t xml:space="preserve"> drivers of functional diversity</w:t>
      </w:r>
      <w:r w:rsidR="0046353A">
        <w:rPr>
          <w:rFonts w:ascii="Times New Roman" w:hAnsi="Times New Roman" w:cs="Times New Roman"/>
        </w:rPr>
        <w:t xml:space="preserve"> in</w:t>
      </w:r>
      <w:r w:rsidRPr="00973A48">
        <w:rPr>
          <w:rFonts w:ascii="Times New Roman" w:hAnsi="Times New Roman" w:cs="Times New Roman"/>
        </w:rPr>
        <w:t xml:space="preserve"> bird community recovery</w:t>
      </w:r>
      <w:r w:rsidR="0046353A">
        <w:rPr>
          <w:rFonts w:ascii="Times New Roman" w:hAnsi="Times New Roman" w:cs="Times New Roman"/>
        </w:rPr>
        <w:t xml:space="preserve"> that</w:t>
      </w:r>
      <w:r w:rsidRPr="00973A48">
        <w:rPr>
          <w:rFonts w:ascii="Times New Roman" w:hAnsi="Times New Roman" w:cs="Times New Roman"/>
        </w:rPr>
        <w:t xml:space="preserve"> includ</w:t>
      </w:r>
      <w:r w:rsidR="0046353A">
        <w:rPr>
          <w:rFonts w:ascii="Times New Roman" w:hAnsi="Times New Roman" w:cs="Times New Roman"/>
        </w:rPr>
        <w:t>e</w:t>
      </w:r>
      <w:r w:rsidRPr="00973A48">
        <w:rPr>
          <w:rFonts w:ascii="Times New Roman" w:hAnsi="Times New Roman" w:cs="Times New Roman"/>
        </w:rPr>
        <w:t xml:space="preserve"> </w:t>
      </w:r>
      <w:r w:rsidR="0046353A">
        <w:rPr>
          <w:rFonts w:ascii="Times New Roman" w:hAnsi="Times New Roman" w:cs="Times New Roman"/>
        </w:rPr>
        <w:t>more</w:t>
      </w:r>
      <w:r w:rsidRPr="00973A48">
        <w:rPr>
          <w:rFonts w:ascii="Times New Roman" w:hAnsi="Times New Roman" w:cs="Times New Roman"/>
        </w:rPr>
        <w:t xml:space="preserve"> environmental parameters and behavioral traits. </w:t>
      </w:r>
    </w:p>
    <w:p w14:paraId="2C0BEB10" w14:textId="33126871" w:rsidR="00AD1064" w:rsidRPr="00973A48" w:rsidRDefault="00973A48" w:rsidP="00D77075">
      <w:pPr>
        <w:spacing w:before="0" w:after="0"/>
        <w:ind w:firstLine="360"/>
        <w:rPr>
          <w:rFonts w:ascii="Times New Roman" w:hAnsi="Times New Roman" w:cs="Times New Roman"/>
        </w:rPr>
      </w:pPr>
      <w:r w:rsidRPr="00973A48">
        <w:rPr>
          <w:rFonts w:ascii="Times New Roman" w:hAnsi="Times New Roman" w:cs="Times New Roman"/>
        </w:rPr>
        <w:t>Overall, our study contributes to the growing use of functional diversity indices as a means of assess biodiversity responses to forest regeneration. Our findings underscore the importance of selecting robust functional diversity indices that are both ecologically meaningful and resilient to sampling limitations when evaluating community responses to forest regeneration. By prioritizing indices like functional divergence, functional dispersion, and Rao’s quadratic entropy, restoration practitioners can more reliably assess community functional recovery, ultimately improving the effectiveness of biodiversity monitoring in regenerating forests.</w:t>
      </w:r>
    </w:p>
    <w:p w14:paraId="23A6275C" w14:textId="53B52B09" w:rsidR="00BC12D7" w:rsidRPr="00B066C6" w:rsidRDefault="000E5003" w:rsidP="00D77075">
      <w:pPr>
        <w:spacing w:before="0" w:after="0"/>
        <w:rPr>
          <w:rFonts w:ascii="Times New Roman" w:hAnsi="Times New Roman" w:cs="Times New Roman"/>
        </w:rPr>
      </w:pPr>
      <w:r w:rsidRPr="00B066C6">
        <w:rPr>
          <w:rFonts w:ascii="Times New Roman" w:hAnsi="Times New Roman" w:cs="Times New Roman"/>
        </w:rPr>
        <w:br w:type="page"/>
      </w:r>
    </w:p>
    <w:p w14:paraId="119B2115" w14:textId="77777777" w:rsidR="00263864" w:rsidRPr="00D129D2" w:rsidRDefault="00263864" w:rsidP="00D129D2">
      <w:pPr>
        <w:pStyle w:val="Heading2"/>
        <w:spacing w:before="0" w:after="0"/>
        <w:rPr>
          <w:rFonts w:ascii="Times New Roman" w:hAnsi="Times New Roman" w:cs="Times New Roman"/>
          <w:b/>
          <w:bCs/>
          <w:color w:val="000000" w:themeColor="text1"/>
          <w:sz w:val="24"/>
          <w:szCs w:val="24"/>
        </w:rPr>
      </w:pPr>
      <w:bookmarkStart w:id="98" w:name="_Toc195189632"/>
      <w:r w:rsidRPr="00D129D2">
        <w:rPr>
          <w:rFonts w:ascii="Times New Roman" w:hAnsi="Times New Roman" w:cs="Times New Roman"/>
          <w:b/>
          <w:bCs/>
          <w:color w:val="000000" w:themeColor="text1"/>
          <w:sz w:val="24"/>
          <w:szCs w:val="24"/>
        </w:rPr>
        <w:lastRenderedPageBreak/>
        <w:t>References</w:t>
      </w:r>
      <w:bookmarkEnd w:id="98"/>
      <w:r w:rsidRPr="00D129D2">
        <w:rPr>
          <w:rFonts w:ascii="Times New Roman" w:hAnsi="Times New Roman" w:cs="Times New Roman"/>
          <w:b/>
          <w:bCs/>
          <w:color w:val="000000" w:themeColor="text1"/>
          <w:sz w:val="24"/>
          <w:szCs w:val="24"/>
        </w:rPr>
        <w:t xml:space="preserve"> </w:t>
      </w:r>
    </w:p>
    <w:p w14:paraId="009B3E84"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shd w:val="clear" w:color="auto" w:fill="FFFFFF"/>
        </w:rPr>
        <w:fldChar w:fldCharType="begin"/>
      </w:r>
      <w:r w:rsidRPr="00D129D2">
        <w:rPr>
          <w:rFonts w:ascii="Times New Roman" w:hAnsi="Times New Roman" w:cs="Times New Roman"/>
          <w:color w:val="000000" w:themeColor="text1"/>
          <w:shd w:val="clear" w:color="auto" w:fill="FFFFFF"/>
        </w:rPr>
        <w:instrText xml:space="preserve"> ADDIN ZOTERO_BIBL {"uncited":[],"omitted":[],"custom":[]} CSL_BIBLIOGRAPHY </w:instrText>
      </w:r>
      <w:r w:rsidRPr="00D129D2">
        <w:rPr>
          <w:rFonts w:ascii="Times New Roman" w:hAnsi="Times New Roman" w:cs="Times New Roman"/>
          <w:color w:val="000000" w:themeColor="text1"/>
          <w:shd w:val="clear" w:color="auto" w:fill="FFFFFF"/>
        </w:rPr>
        <w:fldChar w:fldCharType="separate"/>
      </w:r>
      <w:r w:rsidRPr="00D129D2">
        <w:rPr>
          <w:rFonts w:ascii="Times New Roman" w:hAnsi="Times New Roman" w:cs="Times New Roman"/>
          <w:color w:val="000000" w:themeColor="text1"/>
        </w:rPr>
        <w:t xml:space="preserve">Acevedo‐Charry, O., &amp; Aide, T. M. (2019). Recovery of amphibian, reptile, bird and mammal diversity during secondary forest succession in the tropics. </w:t>
      </w:r>
      <w:r w:rsidRPr="00D129D2">
        <w:rPr>
          <w:rFonts w:ascii="Times New Roman" w:hAnsi="Times New Roman" w:cs="Times New Roman"/>
          <w:i/>
          <w:iCs/>
          <w:color w:val="000000" w:themeColor="text1"/>
        </w:rPr>
        <w:t>Oikos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128</w:t>
      </w:r>
      <w:r w:rsidRPr="00D129D2">
        <w:rPr>
          <w:rFonts w:ascii="Times New Roman" w:hAnsi="Times New Roman" w:cs="Times New Roman"/>
          <w:color w:val="000000" w:themeColor="text1"/>
        </w:rPr>
        <w:t>(8), 1065–1078. https://doi.org/10.1111/oik.06252</w:t>
      </w:r>
    </w:p>
    <w:p w14:paraId="5EB9F4C4"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Aguilar Mugica, S., Devenish, C., Wege, D. C., Anadón-Irizarry, V., &amp; Balman, M. (2009). </w:t>
      </w:r>
      <w:r w:rsidRPr="00D129D2">
        <w:rPr>
          <w:rFonts w:ascii="Times New Roman" w:hAnsi="Times New Roman" w:cs="Times New Roman"/>
          <w:i/>
          <w:iCs/>
          <w:color w:val="000000" w:themeColor="text1"/>
        </w:rPr>
        <w:t>Important bird areas Americas: Priority sites for biodiversity conservation</w:t>
      </w:r>
      <w:r w:rsidRPr="00D129D2">
        <w:rPr>
          <w:rFonts w:ascii="Times New Roman" w:hAnsi="Times New Roman" w:cs="Times New Roman"/>
          <w:color w:val="000000" w:themeColor="text1"/>
        </w:rPr>
        <w:t>. Birdlife International.</w:t>
      </w:r>
    </w:p>
    <w:p w14:paraId="1EEFE07E"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Aguirre‐Gutiérrez, J., WallisDeVries, M. F., Marshall, L., Zelfde, M., Villalobos‐Arámbula, A. R., Boekelo, B., Bartholomeus, H., Franzén, M., &amp; Biesmeijer, J. C. (2017). Butterflies show different functional and species diversity in relationship to vegetation structure and land use. </w:t>
      </w:r>
      <w:r w:rsidRPr="00D129D2">
        <w:rPr>
          <w:rFonts w:ascii="Times New Roman" w:hAnsi="Times New Roman" w:cs="Times New Roman"/>
          <w:i/>
          <w:iCs/>
          <w:color w:val="000000" w:themeColor="text1"/>
        </w:rPr>
        <w:t>Global Ecology and Biogeography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Oct;26(10):1126-37</w:t>
      </w:r>
      <w:r w:rsidRPr="00D129D2">
        <w:rPr>
          <w:rFonts w:ascii="Times New Roman" w:hAnsi="Times New Roman" w:cs="Times New Roman"/>
          <w:color w:val="000000" w:themeColor="text1"/>
        </w:rPr>
        <w:t>.</w:t>
      </w:r>
    </w:p>
    <w:p w14:paraId="7384062E"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Ausprey, I. J., Newell, F. L., &amp; Robinson, S. K. (2022). Functional response traits and altered ecological niches drive the disassembly of cloud forest bird communities in tropical montane countrysides. </w:t>
      </w:r>
      <w:r w:rsidRPr="00D129D2">
        <w:rPr>
          <w:rFonts w:ascii="Times New Roman" w:hAnsi="Times New Roman" w:cs="Times New Roman"/>
          <w:i/>
          <w:iCs/>
          <w:color w:val="000000" w:themeColor="text1"/>
        </w:rPr>
        <w:t>Journal of Animal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91</w:t>
      </w:r>
      <w:r w:rsidRPr="00D129D2">
        <w:rPr>
          <w:rFonts w:ascii="Times New Roman" w:hAnsi="Times New Roman" w:cs="Times New Roman"/>
          <w:color w:val="000000" w:themeColor="text1"/>
        </w:rPr>
        <w:t>(11), 2314–2328. https://doi.org/10.1111/1365-2656.13816</w:t>
      </w:r>
    </w:p>
    <w:p w14:paraId="2AEE0CB2"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Barros, F. D. C., Almeida, S. M., Godoy, B. S., Silva, R. R. D., Silva, L. C., De Moraes, K. F., &amp; Santos, M. P. D. (2022). Taxonomic and functional diversity of bird communities in mining areas undergoing passive and active restoration in eastern Amazon. </w:t>
      </w:r>
      <w:r w:rsidRPr="00D129D2">
        <w:rPr>
          <w:rFonts w:ascii="Times New Roman" w:hAnsi="Times New Roman" w:cs="Times New Roman"/>
          <w:i/>
          <w:iCs/>
          <w:color w:val="000000" w:themeColor="text1"/>
        </w:rPr>
        <w:t>Ecological Engineering</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182</w:t>
      </w:r>
      <w:r w:rsidRPr="00D129D2">
        <w:rPr>
          <w:rFonts w:ascii="Times New Roman" w:hAnsi="Times New Roman" w:cs="Times New Roman"/>
          <w:color w:val="000000" w:themeColor="text1"/>
        </w:rPr>
        <w:t>, 106721. https://doi.org/10.1016/j.ecoleng.2022.106721</w:t>
      </w:r>
    </w:p>
    <w:p w14:paraId="0969D76B"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Bello, C., Crowther, T. W., &amp; Ramos, D. L. (2024). Frugivores enhance potential carbon recovery in fragmented landscapes. </w:t>
      </w:r>
      <w:r w:rsidRPr="00D129D2">
        <w:rPr>
          <w:rFonts w:ascii="Times New Roman" w:hAnsi="Times New Roman" w:cs="Times New Roman"/>
          <w:i/>
          <w:iCs/>
          <w:color w:val="000000" w:themeColor="text1"/>
        </w:rPr>
        <w:t>Nat. Clim. Chang</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14</w:t>
      </w:r>
      <w:r w:rsidRPr="00D129D2">
        <w:rPr>
          <w:rFonts w:ascii="Times New Roman" w:hAnsi="Times New Roman" w:cs="Times New Roman"/>
          <w:color w:val="000000" w:themeColor="text1"/>
        </w:rPr>
        <w:t>, 636–643.</w:t>
      </w:r>
    </w:p>
    <w:p w14:paraId="3C79D3AD"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Bodin, B., Garavaglia, V., Pingault, N., Ding, H., Wilson, S., Meybeck, A., Gitz, V., d’Andrea, S., &amp; Besacier, C. (2022). A standard framework for assessing the costs and benefits of restoration: Introducing The Economics of Ecosystem Restoration. </w:t>
      </w:r>
      <w:r w:rsidRPr="00D129D2">
        <w:rPr>
          <w:rFonts w:ascii="Times New Roman" w:hAnsi="Times New Roman" w:cs="Times New Roman"/>
          <w:i/>
          <w:iCs/>
          <w:color w:val="000000" w:themeColor="text1"/>
        </w:rPr>
        <w:t>Restoration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30</w:t>
      </w:r>
      <w:r w:rsidRPr="00D129D2">
        <w:rPr>
          <w:rFonts w:ascii="Times New Roman" w:hAnsi="Times New Roman" w:cs="Times New Roman"/>
          <w:color w:val="000000" w:themeColor="text1"/>
        </w:rPr>
        <w:t>(3), e13515. https://doi.org/10.1111/rec.13515</w:t>
      </w:r>
    </w:p>
    <w:p w14:paraId="28BA6958"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Cano‐Barbacil, C., Radinger, J., Olden, J. D., &amp; García‐Berthou, E. (2023). Estimates of niche position and breadth vary across spatial scales for native and alien inland fishes. </w:t>
      </w:r>
      <w:r w:rsidRPr="00D129D2">
        <w:rPr>
          <w:rFonts w:ascii="Times New Roman" w:hAnsi="Times New Roman" w:cs="Times New Roman"/>
          <w:i/>
          <w:iCs/>
          <w:color w:val="000000" w:themeColor="text1"/>
        </w:rPr>
        <w:t>Global Ecology and Biogeography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32</w:t>
      </w:r>
      <w:r w:rsidRPr="00D129D2">
        <w:rPr>
          <w:rFonts w:ascii="Times New Roman" w:hAnsi="Times New Roman" w:cs="Times New Roman"/>
          <w:color w:val="000000" w:themeColor="text1"/>
        </w:rPr>
        <w:t>(3), 466–477. https://doi.org/10.1111/geb.13630</w:t>
      </w:r>
    </w:p>
    <w:p w14:paraId="1268121D"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Carlo, T. A., &amp; Morales, J. M. (2016). Generalist birds promote tropical forest regeneration and increase plant diversity via rare-biased seed dispersal. </w:t>
      </w:r>
      <w:r w:rsidRPr="00D129D2">
        <w:rPr>
          <w:rFonts w:ascii="Times New Roman" w:hAnsi="Times New Roman" w:cs="Times New Roman"/>
          <w:i/>
          <w:iCs/>
          <w:color w:val="000000" w:themeColor="text1"/>
        </w:rPr>
        <w:t>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97</w:t>
      </w:r>
      <w:r w:rsidRPr="00D129D2">
        <w:rPr>
          <w:rFonts w:ascii="Times New Roman" w:hAnsi="Times New Roman" w:cs="Times New Roman"/>
          <w:color w:val="000000" w:themeColor="text1"/>
        </w:rPr>
        <w:t>(7), 1819–1831. https://doi.org/10.1890/15-2147.1</w:t>
      </w:r>
    </w:p>
    <w:p w14:paraId="3D8B9E67"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lastRenderedPageBreak/>
        <w:t xml:space="preserve">Chao, A., Gotelli, N. J., Hsieh, T. C., Sander, E. L., Ma, K. H., Colwell, R. K., &amp; Ellison, A. M. (2014). Rarefaction and extrapolation with Hill numbers: A framework for sampling and estimation in species diversity studies. </w:t>
      </w:r>
      <w:r w:rsidRPr="00D129D2">
        <w:rPr>
          <w:rFonts w:ascii="Times New Roman" w:hAnsi="Times New Roman" w:cs="Times New Roman"/>
          <w:i/>
          <w:iCs/>
          <w:color w:val="000000" w:themeColor="text1"/>
        </w:rPr>
        <w:t>Ecological Monographs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Feb;84(1):45-67</w:t>
      </w:r>
      <w:r w:rsidRPr="00D129D2">
        <w:rPr>
          <w:rFonts w:ascii="Times New Roman" w:hAnsi="Times New Roman" w:cs="Times New Roman"/>
          <w:color w:val="000000" w:themeColor="text1"/>
        </w:rPr>
        <w:t>.</w:t>
      </w:r>
    </w:p>
    <w:p w14:paraId="3048B447"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Chazdon, R. L. (2008). Beyond Deforestation: Restoring Forests and Ecosystem Services on Degraded Lands. </w:t>
      </w:r>
      <w:r w:rsidRPr="00D129D2">
        <w:rPr>
          <w:rFonts w:ascii="Times New Roman" w:hAnsi="Times New Roman" w:cs="Times New Roman"/>
          <w:i/>
          <w:iCs/>
          <w:color w:val="000000" w:themeColor="text1"/>
        </w:rPr>
        <w:t>Science</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320</w:t>
      </w:r>
      <w:r w:rsidRPr="00D129D2">
        <w:rPr>
          <w:rFonts w:ascii="Times New Roman" w:hAnsi="Times New Roman" w:cs="Times New Roman"/>
          <w:color w:val="000000" w:themeColor="text1"/>
        </w:rPr>
        <w:t>(5882), 1458–1460. https://doi.org/10.1126/science.1155365</w:t>
      </w:r>
    </w:p>
    <w:p w14:paraId="7038DFFB"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Chazdon, R. L. (2013). Making tropical succession and landscape reforestation successful. </w:t>
      </w:r>
      <w:r w:rsidRPr="00D129D2">
        <w:rPr>
          <w:rFonts w:ascii="Times New Roman" w:hAnsi="Times New Roman" w:cs="Times New Roman"/>
          <w:i/>
          <w:iCs/>
          <w:color w:val="000000" w:themeColor="text1"/>
        </w:rPr>
        <w:t>Journal of Sustainable Forestry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3;32(7):649-58</w:t>
      </w:r>
      <w:r w:rsidRPr="00D129D2">
        <w:rPr>
          <w:rFonts w:ascii="Times New Roman" w:hAnsi="Times New Roman" w:cs="Times New Roman"/>
          <w:color w:val="000000" w:themeColor="text1"/>
        </w:rPr>
        <w:t>.</w:t>
      </w:r>
    </w:p>
    <w:p w14:paraId="50F5985E"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Chazdon, R. L., &amp; Guariguata, M. R. (2016). Natural regeneration as a tool for large‐scale forest restoration in the tropics: Prospects and challenges. </w:t>
      </w:r>
      <w:r w:rsidRPr="00D129D2">
        <w:rPr>
          <w:rFonts w:ascii="Times New Roman" w:hAnsi="Times New Roman" w:cs="Times New Roman"/>
          <w:i/>
          <w:iCs/>
          <w:color w:val="000000" w:themeColor="text1"/>
        </w:rPr>
        <w:t>Biotropica</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v;48(6):716-30</w:t>
      </w:r>
      <w:r w:rsidRPr="00D129D2">
        <w:rPr>
          <w:rFonts w:ascii="Times New Roman" w:hAnsi="Times New Roman" w:cs="Times New Roman"/>
          <w:color w:val="000000" w:themeColor="text1"/>
        </w:rPr>
        <w:t>.</w:t>
      </w:r>
    </w:p>
    <w:p w14:paraId="78E33579"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Coddington, C. P. J., Cooper, W. J., Mokross, K., &amp; Luther, D. A. (2023). Forest structure predicts species richness and functional diversity in Amazonian mixed‐species bird flocks. </w:t>
      </w:r>
      <w:r w:rsidRPr="00D129D2">
        <w:rPr>
          <w:rFonts w:ascii="Times New Roman" w:hAnsi="Times New Roman" w:cs="Times New Roman"/>
          <w:i/>
          <w:iCs/>
          <w:color w:val="000000" w:themeColor="text1"/>
        </w:rPr>
        <w:t>Biotropica</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55</w:t>
      </w:r>
      <w:r w:rsidRPr="00D129D2">
        <w:rPr>
          <w:rFonts w:ascii="Times New Roman" w:hAnsi="Times New Roman" w:cs="Times New Roman"/>
          <w:color w:val="000000" w:themeColor="text1"/>
        </w:rPr>
        <w:t>(2), 467–479. https://doi.org/10.1111/btp.13201</w:t>
      </w:r>
    </w:p>
    <w:p w14:paraId="3F874F4E"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Coops, N. C., Tompalski, P., Goodbody, T. R. H., Queinnec, M., Luther, J. E., Bolton, D. K., White, J. C., Wulder, M. A., Van Lier, O. R., &amp; Hermosilla, T. (2021). Modelling lidar-derived estimates of forest attributes over space and time: A review of approaches and future trends. </w:t>
      </w:r>
      <w:r w:rsidRPr="00D129D2">
        <w:rPr>
          <w:rFonts w:ascii="Times New Roman" w:hAnsi="Times New Roman" w:cs="Times New Roman"/>
          <w:i/>
          <w:iCs/>
          <w:color w:val="000000" w:themeColor="text1"/>
        </w:rPr>
        <w:t>Remote Sensing of Environment</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260</w:t>
      </w:r>
      <w:r w:rsidRPr="00D129D2">
        <w:rPr>
          <w:rFonts w:ascii="Times New Roman" w:hAnsi="Times New Roman" w:cs="Times New Roman"/>
          <w:color w:val="000000" w:themeColor="text1"/>
        </w:rPr>
        <w:t>, 112477. https://doi.org/10.1016/j.rse.2021.112477</w:t>
      </w:r>
    </w:p>
    <w:p w14:paraId="44FA2FD6"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Crouzeilles, R., Curran, M., Ferreira, M. S., Lindenmayer, D. B., Grelle, C. E. V., &amp; Rey Benayas, J. M. (2016). A global meta-analysis on the ecological drivers of forest restoration success. </w:t>
      </w:r>
      <w:r w:rsidRPr="00D129D2">
        <w:rPr>
          <w:rFonts w:ascii="Times New Roman" w:hAnsi="Times New Roman" w:cs="Times New Roman"/>
          <w:i/>
          <w:iCs/>
          <w:color w:val="000000" w:themeColor="text1"/>
        </w:rPr>
        <w:t>Nature Communications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7</w:t>
      </w:r>
      <w:r w:rsidRPr="00D129D2">
        <w:rPr>
          <w:rFonts w:ascii="Times New Roman" w:hAnsi="Times New Roman" w:cs="Times New Roman"/>
          <w:color w:val="000000" w:themeColor="text1"/>
        </w:rPr>
        <w:t>(1), 11666. https://doi.org/10.1038/ncomms11666</w:t>
      </w:r>
    </w:p>
    <w:p w14:paraId="4D0A100A"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Derhé, M. A., Murphy, H. T., Preece, N. D., Lawes, M. J., &amp; Menéndez, R. (2018). Recovery of mammal diversity in tropical forests: A functional approach to measuring restoration. </w:t>
      </w:r>
      <w:r w:rsidRPr="00D129D2">
        <w:rPr>
          <w:rFonts w:ascii="Times New Roman" w:hAnsi="Times New Roman" w:cs="Times New Roman"/>
          <w:i/>
          <w:iCs/>
          <w:color w:val="000000" w:themeColor="text1"/>
        </w:rPr>
        <w:t>Restoration Ecology</w:t>
      </w:r>
      <w:r w:rsidRPr="00D129D2">
        <w:rPr>
          <w:rFonts w:ascii="Times New Roman" w:hAnsi="Times New Roman" w:cs="Times New Roman"/>
          <w:color w:val="000000" w:themeColor="text1"/>
        </w:rPr>
        <w:t>.</w:t>
      </w:r>
    </w:p>
    <w:p w14:paraId="16162DAC"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Durães, R., Carrasco, L., Smith, T. B., &amp; Karubian, J. (2013). Effects of forest disturbance and habitat loss on avian communities in a Neotropical biodiversity hotspot. </w:t>
      </w:r>
      <w:r w:rsidRPr="00D129D2">
        <w:rPr>
          <w:rFonts w:ascii="Times New Roman" w:hAnsi="Times New Roman" w:cs="Times New Roman"/>
          <w:i/>
          <w:iCs/>
          <w:color w:val="000000" w:themeColor="text1"/>
        </w:rPr>
        <w:t>Biological Conservation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166</w:t>
      </w:r>
      <w:r w:rsidRPr="00D129D2">
        <w:rPr>
          <w:rFonts w:ascii="Times New Roman" w:hAnsi="Times New Roman" w:cs="Times New Roman"/>
          <w:color w:val="000000" w:themeColor="text1"/>
        </w:rPr>
        <w:t>, 203–211. https://doi.org/10.1016/j.biocon.2013.07.007</w:t>
      </w:r>
    </w:p>
    <w:p w14:paraId="6BE2D162"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Ellison, A. M. (2010). Partitioning diversity. </w:t>
      </w:r>
      <w:r w:rsidRPr="00D129D2">
        <w:rPr>
          <w:rFonts w:ascii="Times New Roman" w:hAnsi="Times New Roman" w:cs="Times New Roman"/>
          <w:i/>
          <w:iCs/>
          <w:color w:val="000000" w:themeColor="text1"/>
        </w:rPr>
        <w:t>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1;91(7):1962-3</w:t>
      </w:r>
      <w:r w:rsidRPr="00D129D2">
        <w:rPr>
          <w:rFonts w:ascii="Times New Roman" w:hAnsi="Times New Roman" w:cs="Times New Roman"/>
          <w:color w:val="000000" w:themeColor="text1"/>
        </w:rPr>
        <w:t>.</w:t>
      </w:r>
    </w:p>
    <w:p w14:paraId="77879BC0"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lastRenderedPageBreak/>
        <w:t xml:space="preserve">Flynn, D. F. B., Mirotchnick, N., Jain, M., Palmer, M. I., &amp; Naeem, S. (2011). Functional and phylogenetic diversity as predictors of biodiversity–ecosystem-function relationships. </w:t>
      </w:r>
      <w:r w:rsidRPr="00D129D2">
        <w:rPr>
          <w:rFonts w:ascii="Times New Roman" w:hAnsi="Times New Roman" w:cs="Times New Roman"/>
          <w:i/>
          <w:iCs/>
          <w:color w:val="000000" w:themeColor="text1"/>
        </w:rPr>
        <w:t>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92</w:t>
      </w:r>
      <w:r w:rsidRPr="00D129D2">
        <w:rPr>
          <w:rFonts w:ascii="Times New Roman" w:hAnsi="Times New Roman" w:cs="Times New Roman"/>
          <w:color w:val="000000" w:themeColor="text1"/>
        </w:rPr>
        <w:t>(8), 1573–1581. https://doi.org/10.1890/10-1245.1</w:t>
      </w:r>
    </w:p>
    <w:p w14:paraId="286F1E6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Freile, J. F., &amp; Restall, R. L. (2018). </w:t>
      </w:r>
      <w:r w:rsidRPr="00D129D2">
        <w:rPr>
          <w:rFonts w:ascii="Times New Roman" w:hAnsi="Times New Roman" w:cs="Times New Roman"/>
          <w:i/>
          <w:iCs/>
          <w:color w:val="000000" w:themeColor="text1"/>
        </w:rPr>
        <w:t>Birds of Ecuador</w:t>
      </w:r>
      <w:r w:rsidRPr="00D129D2">
        <w:rPr>
          <w:rFonts w:ascii="Times New Roman" w:hAnsi="Times New Roman" w:cs="Times New Roman"/>
          <w:color w:val="000000" w:themeColor="text1"/>
        </w:rPr>
        <w:t>. Helm, Bloomsbury Publishing Plc.</w:t>
      </w:r>
    </w:p>
    <w:p w14:paraId="49EDD618"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Gao, J., Yan, D., Ndithia, H. K., Imboma, T., Mutati, A. S., Kioko, O., Gichuki, P., Wu, F., Kioko, E. N., &amp; Yang, X. (2024). Patterns and mechanisms of bird community assembly along an Afrotropical elevational gradient in Kenya. </w:t>
      </w:r>
      <w:r w:rsidRPr="00D129D2">
        <w:rPr>
          <w:rFonts w:ascii="Times New Roman" w:hAnsi="Times New Roman" w:cs="Times New Roman"/>
          <w:i/>
          <w:iCs/>
          <w:color w:val="000000" w:themeColor="text1"/>
        </w:rPr>
        <w:t>Global Ecology and Conservation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53</w:t>
      </w:r>
      <w:r w:rsidRPr="00D129D2">
        <w:rPr>
          <w:rFonts w:ascii="Times New Roman" w:hAnsi="Times New Roman" w:cs="Times New Roman"/>
          <w:color w:val="000000" w:themeColor="text1"/>
        </w:rPr>
        <w:t>, e02997. https://doi.org/10.1016/j.gecco.2024.e02997</w:t>
      </w:r>
    </w:p>
    <w:p w14:paraId="443B228C"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Gregory, R. D., &amp; Gaston, K. J. (2000). Explanations of commonness and rarity in British breeding birds: Separating resource use and resource availability. </w:t>
      </w:r>
      <w:r w:rsidRPr="00D129D2">
        <w:rPr>
          <w:rFonts w:ascii="Times New Roman" w:hAnsi="Times New Roman" w:cs="Times New Roman"/>
          <w:i/>
          <w:iCs/>
          <w:color w:val="000000" w:themeColor="text1"/>
        </w:rPr>
        <w:t>Oikos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88</w:t>
      </w:r>
      <w:r w:rsidRPr="00D129D2">
        <w:rPr>
          <w:rFonts w:ascii="Times New Roman" w:hAnsi="Times New Roman" w:cs="Times New Roman"/>
          <w:color w:val="000000" w:themeColor="text1"/>
        </w:rPr>
        <w:t>(3), 515–526. https://doi.org/10.1034/j.1600-0706.2000.880307.x</w:t>
      </w:r>
    </w:p>
    <w:p w14:paraId="2BA927CE"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Helms, J. A., Woerner, C. R., Fawzi, N. I., MacDonald, A., Juliansyah, Pohnan, E., &amp; Webb, K. (2018). Rapid Response of Bird Communities to Small-Scale Reforestation in Indonesian Borneo. </w:t>
      </w:r>
      <w:r w:rsidRPr="00D129D2">
        <w:rPr>
          <w:rFonts w:ascii="Times New Roman" w:hAnsi="Times New Roman" w:cs="Times New Roman"/>
          <w:i/>
          <w:iCs/>
          <w:color w:val="000000" w:themeColor="text1"/>
        </w:rPr>
        <w:t>Tropical Conservation Science</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11</w:t>
      </w:r>
      <w:r w:rsidRPr="00D129D2">
        <w:rPr>
          <w:rFonts w:ascii="Times New Roman" w:hAnsi="Times New Roman" w:cs="Times New Roman"/>
          <w:color w:val="000000" w:themeColor="text1"/>
        </w:rPr>
        <w:t>, 194008291876946. https://doi.org/10.1177/1940082918769460</w:t>
      </w:r>
    </w:p>
    <w:p w14:paraId="1368E69A"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Holl, K. D. (1999). Factors Limiting Tropical Rain Forest Regeneration in Abandoned Pasture: Seed Rain, Seed Germination, Microclimate, and Soil†. </w:t>
      </w:r>
      <w:r w:rsidRPr="00D129D2">
        <w:rPr>
          <w:rFonts w:ascii="Times New Roman" w:hAnsi="Times New Roman" w:cs="Times New Roman"/>
          <w:i/>
          <w:iCs/>
          <w:color w:val="000000" w:themeColor="text1"/>
        </w:rPr>
        <w:t>Biotropica</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31</w:t>
      </w:r>
      <w:r w:rsidRPr="00D129D2">
        <w:rPr>
          <w:rFonts w:ascii="Times New Roman" w:hAnsi="Times New Roman" w:cs="Times New Roman"/>
          <w:color w:val="000000" w:themeColor="text1"/>
        </w:rPr>
        <w:t>, 229–242. https://doi.org/10.1111/j.1744-7429.1999.tb00135.x</w:t>
      </w:r>
    </w:p>
    <w:p w14:paraId="3A63507A"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Howe, H. F., &amp; Smallwood, J. (1982). Ecology of Seed Dispersal. </w:t>
      </w:r>
      <w:r w:rsidRPr="00D129D2">
        <w:rPr>
          <w:rFonts w:ascii="Times New Roman" w:hAnsi="Times New Roman" w:cs="Times New Roman"/>
          <w:i/>
          <w:iCs/>
          <w:color w:val="000000" w:themeColor="text1"/>
        </w:rPr>
        <w:t>Annual Review of Ecology and Systematics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13</w:t>
      </w:r>
      <w:r w:rsidRPr="00D129D2">
        <w:rPr>
          <w:rFonts w:ascii="Times New Roman" w:hAnsi="Times New Roman" w:cs="Times New Roman"/>
          <w:color w:val="000000" w:themeColor="text1"/>
        </w:rPr>
        <w:t>(1), 201–228. https://doi.org/10.1146/annurev.es.13.110182.001221</w:t>
      </w:r>
    </w:p>
    <w:p w14:paraId="0F132A72"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Ikin, K., Barton, P. S., Blanchard, W., Crane, M., Stein, J., &amp; Lindenmayer, D. B. (2019). Avian functional responses to landscape recovery. </w:t>
      </w:r>
      <w:r w:rsidRPr="00D129D2">
        <w:rPr>
          <w:rFonts w:ascii="Times New Roman" w:hAnsi="Times New Roman" w:cs="Times New Roman"/>
          <w:i/>
          <w:iCs/>
          <w:color w:val="000000" w:themeColor="text1"/>
        </w:rPr>
        <w:t>Proceedings of the Royal Society B. 2019 Apr</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286</w:t>
      </w:r>
      <w:r w:rsidRPr="00D129D2">
        <w:rPr>
          <w:rFonts w:ascii="Times New Roman" w:hAnsi="Times New Roman" w:cs="Times New Roman"/>
          <w:color w:val="000000" w:themeColor="text1"/>
        </w:rPr>
        <w:t>(20190114).</w:t>
      </w:r>
    </w:p>
    <w:p w14:paraId="6D500DE2"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lang w:val="es-EC"/>
        </w:rPr>
      </w:pPr>
      <w:r w:rsidRPr="00D129D2">
        <w:rPr>
          <w:rFonts w:ascii="Times New Roman" w:hAnsi="Times New Roman" w:cs="Times New Roman"/>
          <w:color w:val="000000" w:themeColor="text1"/>
        </w:rPr>
        <w:t xml:space="preserve">Karadimou, E. K., Kallimanis, A. S., Tsiripidis, I., &amp; Dimopoulos, P. (2016). Functional diversity exhibits a diverse relationship with area, even a decreasing one. </w:t>
      </w:r>
      <w:r w:rsidRPr="00D129D2">
        <w:rPr>
          <w:rFonts w:ascii="Times New Roman" w:hAnsi="Times New Roman" w:cs="Times New Roman"/>
          <w:i/>
          <w:iCs/>
          <w:color w:val="000000" w:themeColor="text1"/>
          <w:lang w:val="es-EC"/>
        </w:rPr>
        <w:t>Scientific Reports</w:t>
      </w:r>
      <w:r w:rsidRPr="00D129D2">
        <w:rPr>
          <w:rFonts w:ascii="Times New Roman" w:hAnsi="Times New Roman" w:cs="Times New Roman"/>
          <w:color w:val="000000" w:themeColor="text1"/>
          <w:lang w:val="es-EC"/>
        </w:rPr>
        <w:t xml:space="preserve">, </w:t>
      </w:r>
      <w:r w:rsidRPr="00D129D2">
        <w:rPr>
          <w:rFonts w:ascii="Times New Roman" w:hAnsi="Times New Roman" w:cs="Times New Roman"/>
          <w:i/>
          <w:iCs/>
          <w:color w:val="000000" w:themeColor="text1"/>
          <w:lang w:val="es-EC"/>
        </w:rPr>
        <w:t>6</w:t>
      </w:r>
      <w:r w:rsidRPr="00D129D2">
        <w:rPr>
          <w:rFonts w:ascii="Times New Roman" w:hAnsi="Times New Roman" w:cs="Times New Roman"/>
          <w:color w:val="000000" w:themeColor="text1"/>
          <w:lang w:val="es-EC"/>
        </w:rPr>
        <w:t>(1), 35420. https://doi.org/10.1038/srep35420</w:t>
      </w:r>
    </w:p>
    <w:p w14:paraId="33319954"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lang w:val="es-EC"/>
        </w:rPr>
        <w:t xml:space="preserve">Kleemann, J., Zamora, C., Villacis-Chiluisa, A. B., Cuenca, P., Koo, H., Noh, J. K., Fürst, C., &amp; Thiel, M. (2022). </w:t>
      </w:r>
      <w:r w:rsidRPr="00D129D2">
        <w:rPr>
          <w:rFonts w:ascii="Times New Roman" w:hAnsi="Times New Roman" w:cs="Times New Roman"/>
          <w:color w:val="000000" w:themeColor="text1"/>
        </w:rPr>
        <w:t xml:space="preserve">Deforestation in Continental Ecuador with a Focus on Protected Areas. </w:t>
      </w:r>
      <w:r w:rsidRPr="00D129D2">
        <w:rPr>
          <w:rFonts w:ascii="Times New Roman" w:hAnsi="Times New Roman" w:cs="Times New Roman"/>
          <w:i/>
          <w:iCs/>
          <w:color w:val="000000" w:themeColor="text1"/>
        </w:rPr>
        <w:t>Land</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11</w:t>
      </w:r>
      <w:r w:rsidRPr="00D129D2">
        <w:rPr>
          <w:rFonts w:ascii="Times New Roman" w:hAnsi="Times New Roman" w:cs="Times New Roman"/>
          <w:color w:val="000000" w:themeColor="text1"/>
        </w:rPr>
        <w:t>(2), 268. https://doi.org/10.3390/land11020268</w:t>
      </w:r>
    </w:p>
    <w:p w14:paraId="10D3F98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Kormann, U., Scherber, C., Tscharntke, T., Klein, N., Larbig, M., Valente, J. J., Hadley, A. S., &amp; Betts, M. G. (2016). Corridors restore animal-mediated pollination in fragmented </w:t>
      </w:r>
      <w:r w:rsidRPr="00D129D2">
        <w:rPr>
          <w:rFonts w:ascii="Times New Roman" w:hAnsi="Times New Roman" w:cs="Times New Roman"/>
          <w:color w:val="000000" w:themeColor="text1"/>
        </w:rPr>
        <w:lastRenderedPageBreak/>
        <w:t xml:space="preserve">tropical forest landscapes. </w:t>
      </w:r>
      <w:r w:rsidRPr="00D129D2">
        <w:rPr>
          <w:rFonts w:ascii="Times New Roman" w:hAnsi="Times New Roman" w:cs="Times New Roman"/>
          <w:i/>
          <w:iCs/>
          <w:color w:val="000000" w:themeColor="text1"/>
        </w:rPr>
        <w:t>Proceedings of the Royal Society B: Biological Sciences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283</w:t>
      </w:r>
      <w:r w:rsidRPr="00D129D2">
        <w:rPr>
          <w:rFonts w:ascii="Times New Roman" w:hAnsi="Times New Roman" w:cs="Times New Roman"/>
          <w:color w:val="000000" w:themeColor="text1"/>
        </w:rPr>
        <w:t>(1823), 20152347. https://doi.org/10.1098/rspb.2015.2347</w:t>
      </w:r>
    </w:p>
    <w:p w14:paraId="2F181A2A"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Kortmann, M., Chao, A., Schaefer, H. M., Blüthgen, N., Gelis, R., Tremlett, C. J., Busse, A., Püls, M., Seibold, S., Kriegel, P., Rabl, D., De La Hoz, M., Şekercioğlu, Ç. H., Schleuning, M., Feldhaar, H., Newell, F. L., Kümmet, S., Mitesser, O., Peters, M. K., &amp; Müller, J. (2025). Sample coverage affects diversity measures of bird communities along a natural recovery gradient of abandoned agriculture in tropical lowland forests. </w:t>
      </w:r>
      <w:r w:rsidRPr="00D129D2">
        <w:rPr>
          <w:rFonts w:ascii="Times New Roman" w:hAnsi="Times New Roman" w:cs="Times New Roman"/>
          <w:i/>
          <w:iCs/>
          <w:color w:val="000000" w:themeColor="text1"/>
        </w:rPr>
        <w:t>Journal of Applied Ecology</w:t>
      </w:r>
      <w:r w:rsidRPr="00D129D2">
        <w:rPr>
          <w:rFonts w:ascii="Times New Roman" w:hAnsi="Times New Roman" w:cs="Times New Roman"/>
          <w:color w:val="000000" w:themeColor="text1"/>
        </w:rPr>
        <w:t>, 1365-2664.14879. https://doi.org/10.1111/1365-2664.14879</w:t>
      </w:r>
    </w:p>
    <w:p w14:paraId="4AB09599"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Kuebbing, S. E., Maynard, D. S., &amp; Bradford, M. A. (2018). Linking functional diversity and ecosystem processes: A framework for using functional diversity metrics to predict the ecosystem impact of functionally unique species. </w:t>
      </w:r>
      <w:r w:rsidRPr="00D129D2">
        <w:rPr>
          <w:rFonts w:ascii="Times New Roman" w:hAnsi="Times New Roman" w:cs="Times New Roman"/>
          <w:i/>
          <w:iCs/>
          <w:color w:val="000000" w:themeColor="text1"/>
        </w:rPr>
        <w:t>Journal of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106</w:t>
      </w:r>
      <w:r w:rsidRPr="00D129D2">
        <w:rPr>
          <w:rFonts w:ascii="Times New Roman" w:hAnsi="Times New Roman" w:cs="Times New Roman"/>
          <w:color w:val="000000" w:themeColor="text1"/>
        </w:rPr>
        <w:t>(2), 687–698. https://doi.org/10.1111/1365-2745.12835</w:t>
      </w:r>
    </w:p>
    <w:p w14:paraId="7367EE56"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Laliberté, E., Legendre, P., &amp; Shipley, B. (2014). </w:t>
      </w:r>
      <w:r w:rsidRPr="00D129D2">
        <w:rPr>
          <w:rFonts w:ascii="Times New Roman" w:hAnsi="Times New Roman" w:cs="Times New Roman"/>
          <w:i/>
          <w:iCs/>
          <w:color w:val="000000" w:themeColor="text1"/>
        </w:rPr>
        <w:t>FD: measuring functional diversity from multiple traits, and other tools for functional ecology</w:t>
      </w:r>
      <w:r w:rsidRPr="00D129D2">
        <w:rPr>
          <w:rFonts w:ascii="Times New Roman" w:hAnsi="Times New Roman" w:cs="Times New Roman"/>
          <w:color w:val="000000" w:themeColor="text1"/>
        </w:rPr>
        <w:t>.</w:t>
      </w:r>
    </w:p>
    <w:p w14:paraId="752F5EB0"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Lamb, D. (2018). Undertaking large‐scale forest restoration to generate ecosystem services. </w:t>
      </w:r>
      <w:r w:rsidRPr="00D129D2">
        <w:rPr>
          <w:rFonts w:ascii="Times New Roman" w:hAnsi="Times New Roman" w:cs="Times New Roman"/>
          <w:i/>
          <w:iCs/>
          <w:color w:val="000000" w:themeColor="text1"/>
        </w:rPr>
        <w:t>Restoration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26</w:t>
      </w:r>
      <w:r w:rsidRPr="00D129D2">
        <w:rPr>
          <w:rFonts w:ascii="Times New Roman" w:hAnsi="Times New Roman" w:cs="Times New Roman"/>
          <w:color w:val="000000" w:themeColor="text1"/>
        </w:rPr>
        <w:t>(4), 657–666. https://doi.org/10.1111/rec.12706</w:t>
      </w:r>
    </w:p>
    <w:p w14:paraId="3550731C"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Latja, P., Valtonen, A., Malinga, G. M., &amp; Roininen, H. (2016). Active restoration facilitates bird community recovery in an Afrotropical rainforest. </w:t>
      </w:r>
      <w:r w:rsidRPr="00D129D2">
        <w:rPr>
          <w:rFonts w:ascii="Times New Roman" w:hAnsi="Times New Roman" w:cs="Times New Roman"/>
          <w:i/>
          <w:iCs/>
          <w:color w:val="000000" w:themeColor="text1"/>
        </w:rPr>
        <w:t>Biological Conservation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200</w:t>
      </w:r>
      <w:r w:rsidRPr="00D129D2">
        <w:rPr>
          <w:rFonts w:ascii="Times New Roman" w:hAnsi="Times New Roman" w:cs="Times New Roman"/>
          <w:color w:val="000000" w:themeColor="text1"/>
        </w:rPr>
        <w:t>, 70–79. https://doi.org/10.1016/j.biocon.2016.05.035</w:t>
      </w:r>
    </w:p>
    <w:p w14:paraId="6A5CC5AC"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Lee, A. T. (2018). Why Birds Matter: Avian Ecological Function and Ecosystem Services. </w:t>
      </w:r>
      <w:r w:rsidRPr="00D129D2">
        <w:rPr>
          <w:rFonts w:ascii="Times New Roman" w:hAnsi="Times New Roman" w:cs="Times New Roman"/>
          <w:i/>
          <w:iCs/>
          <w:color w:val="000000" w:themeColor="text1"/>
        </w:rPr>
        <w:t>Ostrich</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89</w:t>
      </w:r>
      <w:r w:rsidRPr="00D129D2">
        <w:rPr>
          <w:rFonts w:ascii="Times New Roman" w:hAnsi="Times New Roman" w:cs="Times New Roman"/>
          <w:color w:val="000000" w:themeColor="text1"/>
        </w:rPr>
        <w:t>(2), 203–204. https://doi.org/10.2989/00306525.2018.1465788</w:t>
      </w:r>
    </w:p>
    <w:p w14:paraId="041842C9"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Legendre, P., &amp; Gallagher, E. D. (2001). Ecologically meaningful transformations for ordination of species data. </w:t>
      </w:r>
      <w:r w:rsidRPr="00D129D2">
        <w:rPr>
          <w:rFonts w:ascii="Times New Roman" w:hAnsi="Times New Roman" w:cs="Times New Roman"/>
          <w:i/>
          <w:iCs/>
          <w:color w:val="000000" w:themeColor="text1"/>
        </w:rPr>
        <w:t>Oecologia</w:t>
      </w:r>
      <w:r w:rsidRPr="00D129D2">
        <w:rPr>
          <w:rFonts w:ascii="Times New Roman" w:hAnsi="Times New Roman" w:cs="Times New Roman"/>
          <w:color w:val="000000" w:themeColor="text1"/>
        </w:rPr>
        <w:t>.</w:t>
      </w:r>
    </w:p>
    <w:p w14:paraId="31C6D0B1"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Maire, E., Grenouillet, G., Brosse, S., &amp; Villéger, S. (2015). How Many Dimensions Are Needed to Accurately Assess Functional Diversity? A Pragmatic Approach for Assessing the Quality of Functional Spaces. </w:t>
      </w:r>
      <w:r w:rsidRPr="00D129D2">
        <w:rPr>
          <w:rFonts w:ascii="Times New Roman" w:hAnsi="Times New Roman" w:cs="Times New Roman"/>
          <w:i/>
          <w:iCs/>
          <w:color w:val="000000" w:themeColor="text1"/>
        </w:rPr>
        <w:t>Global Ecology and Biogeography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24</w:t>
      </w:r>
      <w:r w:rsidRPr="00D129D2">
        <w:rPr>
          <w:rFonts w:ascii="Times New Roman" w:hAnsi="Times New Roman" w:cs="Times New Roman"/>
          <w:color w:val="000000" w:themeColor="text1"/>
        </w:rPr>
        <w:t>(6), 728–740. https://doi.org/10.1111/geb.12299.</w:t>
      </w:r>
    </w:p>
    <w:p w14:paraId="3340EE91"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Malhi, Y., Riutta, T., Wearn, O. R., Deere, N. J., Mitchell, S. L., Bernard, H., Majalap, N., Nilus, R., Davies, Z. G., Ewers, R. M., &amp; Struebig, M. J. (2022). Logged tropical forests have </w:t>
      </w:r>
      <w:r w:rsidRPr="00D129D2">
        <w:rPr>
          <w:rFonts w:ascii="Times New Roman" w:hAnsi="Times New Roman" w:cs="Times New Roman"/>
          <w:color w:val="000000" w:themeColor="text1"/>
        </w:rPr>
        <w:lastRenderedPageBreak/>
        <w:t xml:space="preserve">amplified and diverse ecosystem energetics. </w:t>
      </w:r>
      <w:r w:rsidRPr="00D129D2">
        <w:rPr>
          <w:rFonts w:ascii="Times New Roman" w:hAnsi="Times New Roman" w:cs="Times New Roman"/>
          <w:i/>
          <w:iCs/>
          <w:color w:val="000000" w:themeColor="text1"/>
        </w:rPr>
        <w:t>Nature</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612</w:t>
      </w:r>
      <w:r w:rsidRPr="00D129D2">
        <w:rPr>
          <w:rFonts w:ascii="Times New Roman" w:hAnsi="Times New Roman" w:cs="Times New Roman"/>
          <w:color w:val="000000" w:themeColor="text1"/>
        </w:rPr>
        <w:t>(7941), 707–713. https://doi.org/10.1038/s41586-022-05523-1</w:t>
      </w:r>
    </w:p>
    <w:p w14:paraId="5D0D0977"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lang w:val="es-EC"/>
        </w:rPr>
      </w:pPr>
      <w:r w:rsidRPr="00D129D2">
        <w:rPr>
          <w:rFonts w:ascii="Times New Roman" w:hAnsi="Times New Roman" w:cs="Times New Roman"/>
          <w:color w:val="000000" w:themeColor="text1"/>
        </w:rPr>
        <w:t xml:space="preserve">Modiba, R. V., Joseph, G. S., Seymour, C. L., Fouché, P., &amp; Foord, S. H. (2017). Restoration of riparian systems through clearing of invasive plant species improves functional diversity of Odonate assemblages. </w:t>
      </w:r>
      <w:r w:rsidRPr="00D129D2">
        <w:rPr>
          <w:rFonts w:ascii="Times New Roman" w:hAnsi="Times New Roman" w:cs="Times New Roman"/>
          <w:i/>
          <w:iCs/>
          <w:color w:val="000000" w:themeColor="text1"/>
          <w:lang w:val="es-EC"/>
        </w:rPr>
        <w:t>Biological Conservation</w:t>
      </w:r>
      <w:r w:rsidRPr="00D129D2">
        <w:rPr>
          <w:rFonts w:ascii="Times New Roman" w:hAnsi="Times New Roman" w:cs="Times New Roman"/>
          <w:color w:val="000000" w:themeColor="text1"/>
          <w:lang w:val="es-EC"/>
        </w:rPr>
        <w:t xml:space="preserve">, </w:t>
      </w:r>
      <w:r w:rsidRPr="00D129D2">
        <w:rPr>
          <w:rFonts w:ascii="Times New Roman" w:hAnsi="Times New Roman" w:cs="Times New Roman"/>
          <w:i/>
          <w:iCs/>
          <w:color w:val="000000" w:themeColor="text1"/>
          <w:lang w:val="es-EC"/>
        </w:rPr>
        <w:t>214</w:t>
      </w:r>
      <w:r w:rsidRPr="00D129D2">
        <w:rPr>
          <w:rFonts w:ascii="Times New Roman" w:hAnsi="Times New Roman" w:cs="Times New Roman"/>
          <w:color w:val="000000" w:themeColor="text1"/>
          <w:lang w:val="es-EC"/>
        </w:rPr>
        <w:t>, 46–54.</w:t>
      </w:r>
    </w:p>
    <w:p w14:paraId="5830FD6F"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lang w:val="es-EC"/>
        </w:rPr>
        <w:t xml:space="preserve">Moreno-Mateos, D., Alberdi, A., Morriën, E., van der Putten, W. H., Rodríguez-Uña, A., &amp; Montoya, D. (2020). </w:t>
      </w:r>
      <w:r w:rsidRPr="00D129D2">
        <w:rPr>
          <w:rFonts w:ascii="Times New Roman" w:hAnsi="Times New Roman" w:cs="Times New Roman"/>
          <w:color w:val="000000" w:themeColor="text1"/>
        </w:rPr>
        <w:t xml:space="preserve">The long-term restoration of ecosystem complexity. </w:t>
      </w:r>
      <w:r w:rsidRPr="00D129D2">
        <w:rPr>
          <w:rFonts w:ascii="Times New Roman" w:hAnsi="Times New Roman" w:cs="Times New Roman"/>
          <w:i/>
          <w:iCs/>
          <w:color w:val="000000" w:themeColor="text1"/>
        </w:rPr>
        <w:t>Nature Ecology &amp; Evolution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4</w:t>
      </w:r>
      <w:r w:rsidRPr="00D129D2">
        <w:rPr>
          <w:rFonts w:ascii="Times New Roman" w:hAnsi="Times New Roman" w:cs="Times New Roman"/>
          <w:color w:val="000000" w:themeColor="text1"/>
        </w:rPr>
        <w:t>(5), 676–685. https://doi.org/10.1038/s41559-020-1154-1</w:t>
      </w:r>
    </w:p>
    <w:p w14:paraId="6A77780B"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Morrison, E. B., &amp; Lindell, C. A. (2012). Birds and bats reduce insect biomass and leaf damage in tropical forest restoration sites. </w:t>
      </w:r>
      <w:r w:rsidRPr="00D129D2">
        <w:rPr>
          <w:rFonts w:ascii="Times New Roman" w:hAnsi="Times New Roman" w:cs="Times New Roman"/>
          <w:i/>
          <w:iCs/>
          <w:color w:val="000000" w:themeColor="text1"/>
        </w:rPr>
        <w:t>Ecological Applications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22</w:t>
      </w:r>
      <w:r w:rsidRPr="00D129D2">
        <w:rPr>
          <w:rFonts w:ascii="Times New Roman" w:hAnsi="Times New Roman" w:cs="Times New Roman"/>
          <w:color w:val="000000" w:themeColor="text1"/>
        </w:rPr>
        <w:t>(5), 1526–1534. https://doi.org/10.1890/11-1118.1</w:t>
      </w:r>
    </w:p>
    <w:p w14:paraId="04452D58"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Nabhan, G. P., Orlando, L., Smith Monti, L., &amp; Aronson, J. (2020). Hands-On Ecological Restoration as a Nature-Based Health Intervention: Reciprocal Restoration for People and Ecosystems. </w:t>
      </w:r>
      <w:r w:rsidRPr="00D129D2">
        <w:rPr>
          <w:rFonts w:ascii="Times New Roman" w:hAnsi="Times New Roman" w:cs="Times New Roman"/>
          <w:i/>
          <w:iCs/>
          <w:color w:val="000000" w:themeColor="text1"/>
        </w:rPr>
        <w:t>Ecopsychology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12</w:t>
      </w:r>
      <w:r w:rsidRPr="00D129D2">
        <w:rPr>
          <w:rFonts w:ascii="Times New Roman" w:hAnsi="Times New Roman" w:cs="Times New Roman"/>
          <w:color w:val="000000" w:themeColor="text1"/>
        </w:rPr>
        <w:t>(3), 195–202. https://doi.org/10.1089/eco.2020.0003</w:t>
      </w:r>
    </w:p>
    <w:p w14:paraId="6CE9394C"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O’Brien, S. A., Dehling, D. M., &amp; Tylianakis, J. M. (2022). The recovery of functional diversity with restoration. </w:t>
      </w:r>
      <w:r w:rsidRPr="00D129D2">
        <w:rPr>
          <w:rFonts w:ascii="Times New Roman" w:hAnsi="Times New Roman" w:cs="Times New Roman"/>
          <w:i/>
          <w:iCs/>
          <w:color w:val="000000" w:themeColor="text1"/>
        </w:rPr>
        <w:t>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103</w:t>
      </w:r>
      <w:r w:rsidRPr="00D129D2">
        <w:rPr>
          <w:rFonts w:ascii="Times New Roman" w:hAnsi="Times New Roman" w:cs="Times New Roman"/>
          <w:color w:val="000000" w:themeColor="text1"/>
        </w:rPr>
        <w:t>(3), e3618. https://doi.org/10.1002/ecy.3618</w:t>
      </w:r>
    </w:p>
    <w:p w14:paraId="4A47F884"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Oksanen, J., Simpson, G., Blanchet, F., Kindt, R., Legendre, P., Minchin, P., O’hara, R., Solymos, P., Stevens, M., &amp; Szoecs, E. (2022). </w:t>
      </w:r>
      <w:r w:rsidRPr="00D129D2">
        <w:rPr>
          <w:rFonts w:ascii="Times New Roman" w:hAnsi="Times New Roman" w:cs="Times New Roman"/>
          <w:i/>
          <w:iCs/>
          <w:color w:val="000000" w:themeColor="text1"/>
        </w:rPr>
        <w:t>Wagner H. vegan: Community Ecology Package. R package version</w:t>
      </w:r>
      <w:r w:rsidRPr="00D129D2">
        <w:rPr>
          <w:rFonts w:ascii="Times New Roman" w:hAnsi="Times New Roman" w:cs="Times New Roman"/>
          <w:color w:val="000000" w:themeColor="text1"/>
        </w:rPr>
        <w:t xml:space="preserve"> (p. 2 6-4).</w:t>
      </w:r>
    </w:p>
    <w:p w14:paraId="4615CCF9"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Oliveira, B. F., &amp; Scheffers, B. R. (2019). Vertical stratification influences global patterns of biodiversity. </w:t>
      </w:r>
      <w:r w:rsidRPr="00D129D2">
        <w:rPr>
          <w:rFonts w:ascii="Times New Roman" w:hAnsi="Times New Roman" w:cs="Times New Roman"/>
          <w:i/>
          <w:iCs/>
          <w:color w:val="000000" w:themeColor="text1"/>
        </w:rPr>
        <w:t>Ecography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Feb;42(2):249</w:t>
      </w:r>
      <w:r w:rsidRPr="00D129D2">
        <w:rPr>
          <w:rFonts w:ascii="Times New Roman" w:hAnsi="Times New Roman" w:cs="Times New Roman"/>
          <w:color w:val="000000" w:themeColor="text1"/>
        </w:rPr>
        <w:t>.</w:t>
      </w:r>
    </w:p>
    <w:p w14:paraId="4D65514F"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Owen, K. C., Melin, A. D., Campos, F. A., Fedigan, L. M., Gillespie, T. W., &amp; Mennill, D. J. (2020). Bioacoustic analyses reveal that bird communities recover with forest succession in tropical dry forests. </w:t>
      </w:r>
      <w:r w:rsidRPr="00D129D2">
        <w:rPr>
          <w:rFonts w:ascii="Times New Roman" w:hAnsi="Times New Roman" w:cs="Times New Roman"/>
          <w:i/>
          <w:iCs/>
          <w:color w:val="000000" w:themeColor="text1"/>
        </w:rPr>
        <w:t>Avian Conservation and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15</w:t>
      </w:r>
      <w:r w:rsidRPr="00D129D2">
        <w:rPr>
          <w:rFonts w:ascii="Times New Roman" w:hAnsi="Times New Roman" w:cs="Times New Roman"/>
          <w:color w:val="000000" w:themeColor="text1"/>
        </w:rPr>
        <w:t>(1), art25. https://doi.org/10.5751/ACE-01615-150125</w:t>
      </w:r>
    </w:p>
    <w:p w14:paraId="42ED304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Pakeman, R. J. (2011). Functional diversity indices reveal the impacts of land use intensification on plant community assembly: Drivers of functional diversity. </w:t>
      </w:r>
      <w:r w:rsidRPr="00D129D2">
        <w:rPr>
          <w:rFonts w:ascii="Times New Roman" w:hAnsi="Times New Roman" w:cs="Times New Roman"/>
          <w:i/>
          <w:iCs/>
          <w:color w:val="000000" w:themeColor="text1"/>
        </w:rPr>
        <w:t>Journal of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99</w:t>
      </w:r>
      <w:r w:rsidRPr="00D129D2">
        <w:rPr>
          <w:rFonts w:ascii="Times New Roman" w:hAnsi="Times New Roman" w:cs="Times New Roman"/>
          <w:color w:val="000000" w:themeColor="text1"/>
        </w:rPr>
        <w:t>(5), 1143–1151. https://doi.org/10.1111/j.1365-2745.2011.01853.x</w:t>
      </w:r>
    </w:p>
    <w:p w14:paraId="2061A87A" w14:textId="7432BF29"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Pena, R., Schleuning, M., Dalerum, F., Donoso, I., Rodriguez-Perez, J., &amp; Garcia, D. (2023). Abundance and trait-matching both shape interaction frequencies between plants and </w:t>
      </w:r>
      <w:r w:rsidRPr="00D129D2">
        <w:rPr>
          <w:rFonts w:ascii="Times New Roman" w:hAnsi="Times New Roman" w:cs="Times New Roman"/>
          <w:color w:val="000000" w:themeColor="text1"/>
        </w:rPr>
        <w:lastRenderedPageBreak/>
        <w:t xml:space="preserve">birds in seed-dispersal networks. </w:t>
      </w:r>
      <w:r w:rsidR="00D129D2" w:rsidRPr="00D129D2">
        <w:rPr>
          <w:rFonts w:ascii="Times New Roman" w:hAnsi="Times New Roman" w:cs="Times New Roman"/>
          <w:i/>
          <w:iCs/>
          <w:color w:val="000000" w:themeColor="text1"/>
        </w:rPr>
        <w:t>Basic and Applied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66</w:t>
      </w:r>
      <w:r w:rsidRPr="00D129D2">
        <w:rPr>
          <w:rFonts w:ascii="Times New Roman" w:hAnsi="Times New Roman" w:cs="Times New Roman"/>
          <w:color w:val="000000" w:themeColor="text1"/>
        </w:rPr>
        <w:t>, 11–21. https://doi.org/10.1016/j.baae.2022.11.008</w:t>
      </w:r>
    </w:p>
    <w:p w14:paraId="5D8908E4"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Pinotti, B. T., Pagotto, C. P., &amp; Pardini, R. (2012). Habitat structure and food resources for wildlife across successional stages in a tropical forest. </w:t>
      </w:r>
      <w:r w:rsidRPr="00D129D2">
        <w:rPr>
          <w:rFonts w:ascii="Times New Roman" w:hAnsi="Times New Roman" w:cs="Times New Roman"/>
          <w:i/>
          <w:iCs/>
          <w:color w:val="000000" w:themeColor="text1"/>
        </w:rPr>
        <w:t>Forest Ecology and Management</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283</w:t>
      </w:r>
      <w:r w:rsidRPr="00D129D2">
        <w:rPr>
          <w:rFonts w:ascii="Times New Roman" w:hAnsi="Times New Roman" w:cs="Times New Roman"/>
          <w:color w:val="000000" w:themeColor="text1"/>
        </w:rPr>
        <w:t>, 119–127. https://doi.org/10.1016/j.foreco.2012.07.020</w:t>
      </w:r>
    </w:p>
    <w:p w14:paraId="6D26F1FC"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Podani, J. (1999). Extending Gower’s general coefficient of similarity to ordinal characters. </w:t>
      </w:r>
      <w:r w:rsidRPr="00D129D2">
        <w:rPr>
          <w:rFonts w:ascii="Times New Roman" w:hAnsi="Times New Roman" w:cs="Times New Roman"/>
          <w:i/>
          <w:iCs/>
          <w:color w:val="000000" w:themeColor="text1"/>
        </w:rPr>
        <w:t>Taxon</w:t>
      </w:r>
      <w:r w:rsidRPr="00D129D2">
        <w:rPr>
          <w:rFonts w:ascii="Times New Roman" w:hAnsi="Times New Roman" w:cs="Times New Roman"/>
          <w:color w:val="000000" w:themeColor="text1"/>
        </w:rPr>
        <w:t>.</w:t>
      </w:r>
    </w:p>
    <w:p w14:paraId="0A1E449D" w14:textId="0E7FEF38"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Quitian, M., Santillan, V., Bender, I. M. A., Ivan Espinosa, C., Homeier, J., Boehning-Gaese, K., Schleuning, M., &amp; Neuschulz, E. L. (2019). Functional responses of avian frugivores to variation in fruit resources between natural and fragmented forests. </w:t>
      </w:r>
      <w:r w:rsidR="00CD31DF" w:rsidRPr="00D129D2">
        <w:rPr>
          <w:rFonts w:ascii="Times New Roman" w:hAnsi="Times New Roman" w:cs="Times New Roman"/>
          <w:i/>
          <w:iCs/>
          <w:color w:val="000000" w:themeColor="text1"/>
        </w:rPr>
        <w:t>Functional Ecology</w:t>
      </w:r>
      <w:r w:rsidRPr="00D129D2">
        <w:rPr>
          <w:rFonts w:ascii="Times New Roman" w:hAnsi="Times New Roman" w:cs="Times New Roman"/>
          <w:i/>
          <w:iCs/>
          <w:color w:val="000000" w:themeColor="text1"/>
        </w:rPr>
        <w:t>,</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33</w:t>
      </w:r>
      <w:r w:rsidRPr="00D129D2">
        <w:rPr>
          <w:rFonts w:ascii="Times New Roman" w:hAnsi="Times New Roman" w:cs="Times New Roman"/>
          <w:color w:val="000000" w:themeColor="text1"/>
        </w:rPr>
        <w:t>(3), 399–410. https://doi.org/10.1111/1365-2435.13255</w:t>
      </w:r>
    </w:p>
    <w:p w14:paraId="463AFC73"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lang w:val="es-EC"/>
        </w:rPr>
      </w:pPr>
      <w:r w:rsidRPr="00D129D2">
        <w:rPr>
          <w:rFonts w:ascii="Times New Roman" w:hAnsi="Times New Roman" w:cs="Times New Roman"/>
          <w:color w:val="000000" w:themeColor="text1"/>
        </w:rPr>
        <w:t xml:space="preserve">Reid, J. L., Harris, J. B. C., &amp; Zahawi, R. A. (2012). Avian Habitat Preference in Tropical Forest Restoration in Southern Costa Rica. </w:t>
      </w:r>
      <w:r w:rsidRPr="00D129D2">
        <w:rPr>
          <w:rFonts w:ascii="Times New Roman" w:hAnsi="Times New Roman" w:cs="Times New Roman"/>
          <w:i/>
          <w:iCs/>
          <w:color w:val="000000" w:themeColor="text1"/>
          <w:lang w:val="es-EC"/>
        </w:rPr>
        <w:t>Biotropica</w:t>
      </w:r>
      <w:r w:rsidRPr="00D129D2">
        <w:rPr>
          <w:rFonts w:ascii="Times New Roman" w:hAnsi="Times New Roman" w:cs="Times New Roman"/>
          <w:color w:val="000000" w:themeColor="text1"/>
          <w:lang w:val="es-EC"/>
        </w:rPr>
        <w:t xml:space="preserve">, </w:t>
      </w:r>
      <w:r w:rsidRPr="00D129D2">
        <w:rPr>
          <w:rFonts w:ascii="Times New Roman" w:hAnsi="Times New Roman" w:cs="Times New Roman"/>
          <w:i/>
          <w:iCs/>
          <w:color w:val="000000" w:themeColor="text1"/>
          <w:lang w:val="es-EC"/>
        </w:rPr>
        <w:t>44</w:t>
      </w:r>
      <w:r w:rsidRPr="00D129D2">
        <w:rPr>
          <w:rFonts w:ascii="Times New Roman" w:hAnsi="Times New Roman" w:cs="Times New Roman"/>
          <w:color w:val="000000" w:themeColor="text1"/>
          <w:lang w:val="es-EC"/>
        </w:rPr>
        <w:t>(3), 350–359. https://doi.org/10.1111/j.1744-7429.2011.00814.x</w:t>
      </w:r>
    </w:p>
    <w:p w14:paraId="5FF3913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lang w:val="es-EC"/>
        </w:rPr>
        <w:t xml:space="preserve">Remeš, V., Remešová, E., Friedman, N. R., Matysioková, B., &amp; Rubáčová, L. (2021). </w:t>
      </w:r>
      <w:r w:rsidRPr="00D129D2">
        <w:rPr>
          <w:rFonts w:ascii="Times New Roman" w:hAnsi="Times New Roman" w:cs="Times New Roman"/>
          <w:color w:val="000000" w:themeColor="text1"/>
        </w:rPr>
        <w:t xml:space="preserve">Functional diversity of avian communities increases with canopy height: From individual behavior to continental‐scale patterns. </w:t>
      </w:r>
      <w:r w:rsidRPr="00D129D2">
        <w:rPr>
          <w:rFonts w:ascii="Times New Roman" w:hAnsi="Times New Roman" w:cs="Times New Roman"/>
          <w:i/>
          <w:iCs/>
          <w:color w:val="000000" w:themeColor="text1"/>
        </w:rPr>
        <w:t>Ecology and Evolution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Sep;11(17):11839-51</w:t>
      </w:r>
      <w:r w:rsidRPr="00D129D2">
        <w:rPr>
          <w:rFonts w:ascii="Times New Roman" w:hAnsi="Times New Roman" w:cs="Times New Roman"/>
          <w:color w:val="000000" w:themeColor="text1"/>
        </w:rPr>
        <w:t>.</w:t>
      </w:r>
    </w:p>
    <w:p w14:paraId="1E16786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Sayer, C. A., Bullock, J. M., &amp; Martin, P. A. (2017). Dynamics of avian species and functional diversity in secondary tropical forests. </w:t>
      </w:r>
      <w:r w:rsidRPr="00D129D2">
        <w:rPr>
          <w:rFonts w:ascii="Times New Roman" w:hAnsi="Times New Roman" w:cs="Times New Roman"/>
          <w:i/>
          <w:iCs/>
          <w:color w:val="000000" w:themeColor="text1"/>
        </w:rPr>
        <w:t>Biological Conservation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211</w:t>
      </w:r>
      <w:r w:rsidRPr="00D129D2">
        <w:rPr>
          <w:rFonts w:ascii="Times New Roman" w:hAnsi="Times New Roman" w:cs="Times New Roman"/>
          <w:color w:val="000000" w:themeColor="text1"/>
        </w:rPr>
        <w:t>, 1–9. https://doi.org/10.1016/j.biocon.2017.05.004</w:t>
      </w:r>
    </w:p>
    <w:p w14:paraId="5F1581DF"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Schuldt, A., Huke, P., Glatthorn, J., Hagge, J., Wildermuth, B., &amp; Matevski, D. (2022). Tree mixtures mediate negative effects of introduced tree species on bird taxonomic and functional diversity. </w:t>
      </w:r>
      <w:r w:rsidRPr="00D129D2">
        <w:rPr>
          <w:rFonts w:ascii="Times New Roman" w:hAnsi="Times New Roman" w:cs="Times New Roman"/>
          <w:i/>
          <w:iCs/>
          <w:color w:val="000000" w:themeColor="text1"/>
        </w:rPr>
        <w:t>Journal of Applied 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59</w:t>
      </w:r>
      <w:r w:rsidRPr="00D129D2">
        <w:rPr>
          <w:rFonts w:ascii="Times New Roman" w:hAnsi="Times New Roman" w:cs="Times New Roman"/>
          <w:color w:val="000000" w:themeColor="text1"/>
        </w:rPr>
        <w:t>(12), 3049–3060. https://doi.org/10.1111/1365-2664.14300</w:t>
      </w:r>
    </w:p>
    <w:p w14:paraId="57243747" w14:textId="77777777" w:rsidR="00417269" w:rsidRPr="00D129D2" w:rsidRDefault="00417269" w:rsidP="00EB4834">
      <w:pPr>
        <w:tabs>
          <w:tab w:val="left" w:pos="709"/>
        </w:tabs>
        <w:spacing w:before="0" w:after="0"/>
        <w:ind w:left="851" w:right="4" w:hanging="851"/>
        <w:rPr>
          <w:rFonts w:ascii="Times New Roman" w:hAnsi="Times New Roman" w:cs="Times New Roman"/>
          <w:color w:val="000000" w:themeColor="text1"/>
          <w:shd w:val="clear" w:color="auto" w:fill="FFFFFF"/>
        </w:rPr>
      </w:pPr>
      <w:r w:rsidRPr="00D129D2">
        <w:rPr>
          <w:rFonts w:ascii="Times New Roman" w:hAnsi="Times New Roman" w:cs="Times New Roman"/>
          <w:color w:val="000000" w:themeColor="text1"/>
          <w:shd w:val="clear" w:color="auto" w:fill="FFFFFF"/>
        </w:rPr>
        <w:t xml:space="preserve">Segurado, D., and Silman, M. (2023). Restauracion Processing Report. Unpublished data. Accessed August 2023. </w:t>
      </w:r>
    </w:p>
    <w:p w14:paraId="236994E2"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Team, R. C. (2022). </w:t>
      </w:r>
      <w:r w:rsidRPr="00D129D2">
        <w:rPr>
          <w:rFonts w:ascii="Times New Roman" w:hAnsi="Times New Roman" w:cs="Times New Roman"/>
          <w:i/>
          <w:iCs/>
          <w:color w:val="000000" w:themeColor="text1"/>
        </w:rPr>
        <w:t>R: A Language and Environment for Statistical Computing. R Foundation for Statistical Computing, Vienna</w:t>
      </w:r>
      <w:r w:rsidRPr="00D129D2">
        <w:rPr>
          <w:rFonts w:ascii="Times New Roman" w:hAnsi="Times New Roman" w:cs="Times New Roman"/>
          <w:color w:val="000000" w:themeColor="text1"/>
        </w:rPr>
        <w:t>. https://www.R-project.org</w:t>
      </w:r>
    </w:p>
    <w:p w14:paraId="24815FC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Tobias, J. A., Sheard, C., Pigot, A. L., Devenish, A. J. M., Yang, J., Sayol, F., Neate‐Clegg, M. H. C., Alioravainen, N., Weeks, T. L., Barber, R. A., Walkden, P. A., MacGregor, H. E. A., Jones, S. E. I., Vincent, C., Phillips, A. G., Marples, N. M., Montaño‐Centellas, F. A., </w:t>
      </w:r>
      <w:r w:rsidRPr="00D129D2">
        <w:rPr>
          <w:rFonts w:ascii="Times New Roman" w:hAnsi="Times New Roman" w:cs="Times New Roman"/>
          <w:color w:val="000000" w:themeColor="text1"/>
        </w:rPr>
        <w:lastRenderedPageBreak/>
        <w:t xml:space="preserve">Leandro‐Silva, V., Claramunt, S., … Schleuning, M. (2022). AVONET: Morphological, ecological and geographical data for all birds. </w:t>
      </w:r>
      <w:r w:rsidRPr="00D129D2">
        <w:rPr>
          <w:rFonts w:ascii="Times New Roman" w:hAnsi="Times New Roman" w:cs="Times New Roman"/>
          <w:i/>
          <w:iCs/>
          <w:color w:val="000000" w:themeColor="text1"/>
        </w:rPr>
        <w:t>Ecology Letters</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25</w:t>
      </w:r>
      <w:r w:rsidRPr="00D129D2">
        <w:rPr>
          <w:rFonts w:ascii="Times New Roman" w:hAnsi="Times New Roman" w:cs="Times New Roman"/>
          <w:color w:val="000000" w:themeColor="text1"/>
        </w:rPr>
        <w:t>(3), 581–597. https://doi.org/10.1111/ele.13898</w:t>
      </w:r>
    </w:p>
    <w:p w14:paraId="1243CEDA"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Van Der Hoek, Y. (2017). The potential of protected areas to halt deforestation in Ecuador. </w:t>
      </w:r>
      <w:r w:rsidRPr="00D129D2">
        <w:rPr>
          <w:rFonts w:ascii="Times New Roman" w:hAnsi="Times New Roman" w:cs="Times New Roman"/>
          <w:i/>
          <w:iCs/>
          <w:color w:val="000000" w:themeColor="text1"/>
        </w:rPr>
        <w:t>Environmental Conservation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44</w:t>
      </w:r>
      <w:r w:rsidRPr="00D129D2">
        <w:rPr>
          <w:rFonts w:ascii="Times New Roman" w:hAnsi="Times New Roman" w:cs="Times New Roman"/>
          <w:color w:val="000000" w:themeColor="text1"/>
        </w:rPr>
        <w:t>(2), 124–130. https://doi.org/10.1017/S037689291700011X</w:t>
      </w:r>
    </w:p>
    <w:p w14:paraId="4E63433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Van Der Plas, F., Van Klink, R., Manning, P., Olff, H., &amp; Fischer, M. (2017). Sensitivity of functional diversity metrics to sampling intensity. </w:t>
      </w:r>
      <w:r w:rsidRPr="00D129D2">
        <w:rPr>
          <w:rFonts w:ascii="Times New Roman" w:hAnsi="Times New Roman" w:cs="Times New Roman"/>
          <w:i/>
          <w:iCs/>
          <w:color w:val="000000" w:themeColor="text1"/>
        </w:rPr>
        <w:t>Methods in Ecology and Evolution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8</w:t>
      </w:r>
      <w:r w:rsidRPr="00D129D2">
        <w:rPr>
          <w:rFonts w:ascii="Times New Roman" w:hAnsi="Times New Roman" w:cs="Times New Roman"/>
          <w:color w:val="000000" w:themeColor="text1"/>
        </w:rPr>
        <w:t>(9), 1072–1080. https://doi.org/10.1111/2041-210X.12728</w:t>
      </w:r>
    </w:p>
    <w:p w14:paraId="51162311"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lang w:val="es-EC"/>
        </w:rPr>
        <w:t xml:space="preserve">Viana-Soto, A., García, M., Aguado, I., &amp; Salas, J. (2022). </w:t>
      </w:r>
      <w:r w:rsidRPr="00D129D2">
        <w:rPr>
          <w:rFonts w:ascii="Times New Roman" w:hAnsi="Times New Roman" w:cs="Times New Roman"/>
          <w:color w:val="000000" w:themeColor="text1"/>
        </w:rPr>
        <w:t xml:space="preserve">Assessing post-fire forest structure recovery by combining LiDAR data and Landsat time series in Mediterranean pine forests. </w:t>
      </w:r>
      <w:r w:rsidRPr="00D129D2">
        <w:rPr>
          <w:rFonts w:ascii="Times New Roman" w:hAnsi="Times New Roman" w:cs="Times New Roman"/>
          <w:i/>
          <w:iCs/>
          <w:color w:val="000000" w:themeColor="text1"/>
        </w:rPr>
        <w:t>International Journal of Applied Earth Observation and Geoinformation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108</w:t>
      </w:r>
      <w:r w:rsidRPr="00D129D2">
        <w:rPr>
          <w:rFonts w:ascii="Times New Roman" w:hAnsi="Times New Roman" w:cs="Times New Roman"/>
          <w:color w:val="000000" w:themeColor="text1"/>
        </w:rPr>
        <w:t>, 102754. https://doi.org/10.1016/j.jag.2022.102754</w:t>
      </w:r>
    </w:p>
    <w:p w14:paraId="594C22B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Villéger, S., Mason, N. W., &amp; Mouillot, D. (2008). New multidimensional functional diversity indices for a multifaceted framework in functional ecology. </w:t>
      </w:r>
      <w:r w:rsidRPr="00D129D2">
        <w:rPr>
          <w:rFonts w:ascii="Times New Roman" w:hAnsi="Times New Roman" w:cs="Times New Roman"/>
          <w:i/>
          <w:iCs/>
          <w:color w:val="000000" w:themeColor="text1"/>
        </w:rPr>
        <w:t>Ecology</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Aug;89(8):2290-301</w:t>
      </w:r>
      <w:r w:rsidRPr="00D129D2">
        <w:rPr>
          <w:rFonts w:ascii="Times New Roman" w:hAnsi="Times New Roman" w:cs="Times New Roman"/>
          <w:color w:val="000000" w:themeColor="text1"/>
        </w:rPr>
        <w:t>.</w:t>
      </w:r>
    </w:p>
    <w:p w14:paraId="58DC6A4C"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Wickham, H., Chang, W., &amp; Wickham, M. H. (2016). Package ‘ggplot2’. Create elegant data visualisations using the grammar of graphics. </w:t>
      </w:r>
      <w:r w:rsidRPr="00D129D2">
        <w:rPr>
          <w:rFonts w:ascii="Times New Roman" w:hAnsi="Times New Roman" w:cs="Times New Roman"/>
          <w:i/>
          <w:iCs/>
          <w:color w:val="000000" w:themeColor="text1"/>
        </w:rPr>
        <w:t>Version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2</w:t>
      </w:r>
      <w:r w:rsidRPr="00D129D2">
        <w:rPr>
          <w:rFonts w:ascii="Times New Roman" w:hAnsi="Times New Roman" w:cs="Times New Roman"/>
          <w:color w:val="000000" w:themeColor="text1"/>
        </w:rPr>
        <w:t>(1), 1–89.</w:t>
      </w:r>
    </w:p>
    <w:p w14:paraId="1AE6B8B5"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Williams, B. A., Beyer, H. L., Fagan, M. E., Chazdon, R. L., Schmoeller, M., Sprenkle-Hyppolite, S., Griscom, B. W., Watson, J. E. M., Tedesco, A. M., Gonzalez-Roglich, M., Daldegan, G. A., Bodin, B., Celentano, D., Wilson, S. J., Rhodes, J. R., Alexandre, N. S., Kim, D.-H., Bastos, D., &amp; Crouzeilles, R. (2024). Global potential for natural regeneration in deforested tropical regions. </w:t>
      </w:r>
      <w:r w:rsidRPr="00D129D2">
        <w:rPr>
          <w:rFonts w:ascii="Times New Roman" w:hAnsi="Times New Roman" w:cs="Times New Roman"/>
          <w:i/>
          <w:iCs/>
          <w:color w:val="000000" w:themeColor="text1"/>
        </w:rPr>
        <w:t>Nature</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636</w:t>
      </w:r>
      <w:r w:rsidRPr="00D129D2">
        <w:rPr>
          <w:rFonts w:ascii="Times New Roman" w:hAnsi="Times New Roman" w:cs="Times New Roman"/>
          <w:color w:val="000000" w:themeColor="text1"/>
        </w:rPr>
        <w:t>(8041), 131–137. https://doi.org/10.1038/s41586-024-08106-4</w:t>
      </w:r>
    </w:p>
    <w:p w14:paraId="2048BC17"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Wunderle, J. M. (1997). The role of animal seed dispersal in accelerating native forest regeneration on degraded tropical lands. </w:t>
      </w:r>
      <w:r w:rsidRPr="00D129D2">
        <w:rPr>
          <w:rFonts w:ascii="Times New Roman" w:hAnsi="Times New Roman" w:cs="Times New Roman"/>
          <w:i/>
          <w:iCs/>
          <w:color w:val="000000" w:themeColor="text1"/>
        </w:rPr>
        <w:t>Forest Ecology and Management</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99</w:t>
      </w:r>
      <w:r w:rsidRPr="00D129D2">
        <w:rPr>
          <w:rFonts w:ascii="Times New Roman" w:hAnsi="Times New Roman" w:cs="Times New Roman"/>
          <w:color w:val="000000" w:themeColor="text1"/>
        </w:rPr>
        <w:t>(1–2), 223–235. https://doi.org/10.1016/S0378-1127(97)00208-9</w:t>
      </w:r>
    </w:p>
    <w:p w14:paraId="21648B02" w14:textId="77777777" w:rsidR="00417269" w:rsidRPr="00D129D2" w:rsidRDefault="00417269" w:rsidP="00EB4834">
      <w:pPr>
        <w:pStyle w:val="Bibliography"/>
        <w:tabs>
          <w:tab w:val="left" w:pos="709"/>
        </w:tabs>
        <w:spacing w:before="0" w:line="360" w:lineRule="auto"/>
        <w:ind w:left="851" w:right="4" w:hanging="851"/>
        <w:rPr>
          <w:rFonts w:ascii="Times New Roman" w:hAnsi="Times New Roman" w:cs="Times New Roman"/>
          <w:color w:val="000000" w:themeColor="text1"/>
        </w:rPr>
      </w:pPr>
      <w:r w:rsidRPr="00D129D2">
        <w:rPr>
          <w:rFonts w:ascii="Times New Roman" w:hAnsi="Times New Roman" w:cs="Times New Roman"/>
          <w:color w:val="000000" w:themeColor="text1"/>
        </w:rPr>
        <w:t xml:space="preserve">Zahawi, R. A., Dandois, J. P., Holl, K. D., Nadwodny, D., Reid, J. L., &amp; Ellis, E. C. (2015). Using lightweight unmanned aerial vehicles to monitor tropical forest recovery. </w:t>
      </w:r>
      <w:r w:rsidRPr="00D129D2">
        <w:rPr>
          <w:rFonts w:ascii="Times New Roman" w:hAnsi="Times New Roman" w:cs="Times New Roman"/>
          <w:i/>
          <w:iCs/>
          <w:color w:val="000000" w:themeColor="text1"/>
        </w:rPr>
        <w:t>Biological Conservation</w:t>
      </w:r>
      <w:r w:rsidRPr="00D129D2">
        <w:rPr>
          <w:rFonts w:ascii="Times New Roman" w:hAnsi="Times New Roman" w:cs="Times New Roman"/>
          <w:color w:val="000000" w:themeColor="text1"/>
        </w:rPr>
        <w:t xml:space="preserve">, </w:t>
      </w:r>
      <w:r w:rsidRPr="00D129D2">
        <w:rPr>
          <w:rFonts w:ascii="Times New Roman" w:hAnsi="Times New Roman" w:cs="Times New Roman"/>
          <w:i/>
          <w:iCs/>
          <w:color w:val="000000" w:themeColor="text1"/>
        </w:rPr>
        <w:t>186</w:t>
      </w:r>
      <w:r w:rsidRPr="00D129D2">
        <w:rPr>
          <w:rFonts w:ascii="Times New Roman" w:hAnsi="Times New Roman" w:cs="Times New Roman"/>
          <w:color w:val="000000" w:themeColor="text1"/>
        </w:rPr>
        <w:t>, 287–295. https://doi.org/10.1016/j.biocon.2015.03.031</w:t>
      </w:r>
    </w:p>
    <w:p w14:paraId="13718C25" w14:textId="29359E99" w:rsidR="00F70664" w:rsidRPr="00B066C6" w:rsidRDefault="00417269" w:rsidP="00EB4834">
      <w:pPr>
        <w:pStyle w:val="Bibliography"/>
        <w:tabs>
          <w:tab w:val="left" w:pos="709"/>
        </w:tabs>
        <w:spacing w:before="0" w:line="360" w:lineRule="auto"/>
        <w:ind w:right="4"/>
        <w:rPr>
          <w:rFonts w:ascii="Times New Roman" w:eastAsiaTheme="majorEastAsia" w:hAnsi="Times New Roman" w:cs="Times New Roman"/>
          <w:b/>
          <w:bCs/>
        </w:rPr>
      </w:pPr>
      <w:r w:rsidRPr="00D129D2">
        <w:rPr>
          <w:rFonts w:ascii="Times New Roman" w:hAnsi="Times New Roman" w:cs="Times New Roman"/>
          <w:color w:val="000000" w:themeColor="text1"/>
          <w:shd w:val="clear" w:color="auto" w:fill="FFFFFF"/>
        </w:rPr>
        <w:fldChar w:fldCharType="end"/>
      </w:r>
      <w:r w:rsidR="00F70664" w:rsidRPr="00B066C6">
        <w:rPr>
          <w:rFonts w:ascii="Times New Roman" w:hAnsi="Times New Roman" w:cs="Times New Roman"/>
          <w:b/>
          <w:bCs/>
        </w:rPr>
        <w:br w:type="page"/>
      </w:r>
    </w:p>
    <w:tbl>
      <w:tblPr>
        <w:tblpPr w:leftFromText="180" w:rightFromText="180" w:vertAnchor="page" w:horzAnchor="margin" w:tblpY="183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17"/>
        <w:gridCol w:w="2699"/>
        <w:gridCol w:w="3821"/>
      </w:tblGrid>
      <w:tr w:rsidR="005A0AC0" w:rsidRPr="00B066C6" w14:paraId="041763DA" w14:textId="77777777" w:rsidTr="005A0AC0">
        <w:tc>
          <w:tcPr>
            <w:tcW w:w="9350" w:type="dxa"/>
            <w:gridSpan w:val="4"/>
            <w:tcBorders>
              <w:top w:val="nil"/>
              <w:left w:val="nil"/>
              <w:bottom w:val="single" w:sz="4" w:space="0" w:color="auto"/>
              <w:right w:val="nil"/>
            </w:tcBorders>
          </w:tcPr>
          <w:p w14:paraId="67DC28D5" w14:textId="77777777" w:rsidR="005A0AC0" w:rsidRPr="00B066C6" w:rsidRDefault="005A0AC0" w:rsidP="005A0AC0">
            <w:pPr>
              <w:pStyle w:val="Caption"/>
              <w:spacing w:before="0" w:after="0"/>
              <w:rPr>
                <w:rFonts w:ascii="Times New Roman" w:hAnsi="Times New Roman" w:cs="Times New Roman"/>
                <w:i w:val="0"/>
                <w:iCs w:val="0"/>
                <w:sz w:val="24"/>
                <w:szCs w:val="24"/>
              </w:rPr>
            </w:pPr>
            <w:bookmarkStart w:id="99" w:name="_Ref190179426"/>
            <w:bookmarkStart w:id="100" w:name="_Toc195189692"/>
            <w:r w:rsidRPr="00B066C6">
              <w:rPr>
                <w:rFonts w:ascii="Times New Roman" w:hAnsi="Times New Roman" w:cs="Times New Roman"/>
                <w:b/>
                <w:bCs/>
                <w:i w:val="0"/>
                <w:iCs w:val="0"/>
                <w:sz w:val="24"/>
                <w:szCs w:val="24"/>
              </w:rPr>
              <w:lastRenderedPageBreak/>
              <w:t xml:space="preserve">Supplementary Table </w:t>
            </w:r>
            <w:r w:rsidRPr="00B066C6">
              <w:rPr>
                <w:rFonts w:ascii="Times New Roman" w:hAnsi="Times New Roman" w:cs="Times New Roman"/>
                <w:b/>
                <w:bCs/>
                <w:i w:val="0"/>
                <w:iCs w:val="0"/>
                <w:sz w:val="24"/>
                <w:szCs w:val="24"/>
              </w:rPr>
              <w:fldChar w:fldCharType="begin"/>
            </w:r>
            <w:r w:rsidRPr="00B066C6">
              <w:rPr>
                <w:rFonts w:ascii="Times New Roman" w:hAnsi="Times New Roman" w:cs="Times New Roman"/>
                <w:b/>
                <w:bCs/>
                <w:i w:val="0"/>
                <w:iCs w:val="0"/>
                <w:sz w:val="24"/>
                <w:szCs w:val="24"/>
              </w:rPr>
              <w:instrText xml:space="preserve"> SEQ Supplementary_Table \* ARABIC </w:instrText>
            </w:r>
            <w:r w:rsidRPr="00B066C6">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1</w:t>
            </w:r>
            <w:r w:rsidRPr="00B066C6">
              <w:rPr>
                <w:rFonts w:ascii="Times New Roman" w:hAnsi="Times New Roman" w:cs="Times New Roman"/>
                <w:b/>
                <w:bCs/>
                <w:i w:val="0"/>
                <w:iCs w:val="0"/>
                <w:sz w:val="24"/>
                <w:szCs w:val="24"/>
              </w:rPr>
              <w:fldChar w:fldCharType="end"/>
            </w:r>
            <w:bookmarkEnd w:id="99"/>
            <w:r w:rsidRPr="00B066C6">
              <w:rPr>
                <w:rFonts w:ascii="Times New Roman" w:hAnsi="Times New Roman" w:cs="Times New Roman"/>
                <w:b/>
                <w:bCs/>
                <w:i w:val="0"/>
                <w:iCs w:val="0"/>
                <w:sz w:val="24"/>
                <w:szCs w:val="24"/>
              </w:rPr>
              <w:t>:</w:t>
            </w:r>
            <w:r w:rsidRPr="00B066C6">
              <w:rPr>
                <w:rFonts w:ascii="Times New Roman" w:hAnsi="Times New Roman" w:cs="Times New Roman"/>
                <w:i w:val="0"/>
                <w:iCs w:val="0"/>
                <w:sz w:val="24"/>
                <w:szCs w:val="24"/>
              </w:rPr>
              <w:t xml:space="preserve"> </w:t>
            </w:r>
            <w:r w:rsidRPr="00B066C6">
              <w:rPr>
                <w:rFonts w:ascii="Times New Roman" w:eastAsia="Calibri" w:hAnsi="Times New Roman" w:cs="Times New Roman"/>
                <w:i w:val="0"/>
                <w:iCs w:val="0"/>
                <w:color w:val="000000" w:themeColor="text1"/>
                <w:sz w:val="24"/>
                <w:szCs w:val="24"/>
              </w:rPr>
              <w:t>Description of each functional trait obtained for each bird species, including its variable type, measurement metric, and functional importance.</w:t>
            </w:r>
            <w:bookmarkEnd w:id="100"/>
          </w:p>
        </w:tc>
      </w:tr>
      <w:tr w:rsidR="005A0AC0" w:rsidRPr="00B066C6" w14:paraId="60567F98" w14:textId="77777777" w:rsidTr="005A0AC0">
        <w:tc>
          <w:tcPr>
            <w:tcW w:w="1413" w:type="dxa"/>
            <w:tcBorders>
              <w:top w:val="single" w:sz="4" w:space="0" w:color="auto"/>
            </w:tcBorders>
          </w:tcPr>
          <w:p w14:paraId="105E47F6" w14:textId="77777777" w:rsidR="005A0AC0" w:rsidRPr="00B066C6" w:rsidRDefault="005A0AC0" w:rsidP="005A0AC0">
            <w:pPr>
              <w:spacing w:line="240" w:lineRule="auto"/>
              <w:rPr>
                <w:rFonts w:ascii="Times New Roman" w:eastAsia="Calibri" w:hAnsi="Times New Roman" w:cs="Times New Roman"/>
                <w:b/>
                <w:bCs/>
              </w:rPr>
            </w:pPr>
            <w:r w:rsidRPr="00B066C6">
              <w:rPr>
                <w:rFonts w:ascii="Times New Roman" w:eastAsia="Calibri" w:hAnsi="Times New Roman" w:cs="Times New Roman"/>
                <w:b/>
                <w:bCs/>
              </w:rPr>
              <w:t>Trait</w:t>
            </w:r>
          </w:p>
        </w:tc>
        <w:tc>
          <w:tcPr>
            <w:tcW w:w="1417" w:type="dxa"/>
            <w:tcBorders>
              <w:top w:val="single" w:sz="4" w:space="0" w:color="auto"/>
            </w:tcBorders>
          </w:tcPr>
          <w:p w14:paraId="0BFB70D4" w14:textId="77777777" w:rsidR="005A0AC0" w:rsidRPr="00B066C6" w:rsidRDefault="005A0AC0" w:rsidP="005A0AC0">
            <w:pPr>
              <w:spacing w:line="240" w:lineRule="auto"/>
              <w:rPr>
                <w:rFonts w:ascii="Times New Roman" w:eastAsia="Calibri" w:hAnsi="Times New Roman" w:cs="Times New Roman"/>
                <w:b/>
                <w:bCs/>
              </w:rPr>
            </w:pPr>
            <w:r w:rsidRPr="00B066C6">
              <w:rPr>
                <w:rFonts w:ascii="Times New Roman" w:eastAsia="Calibri" w:hAnsi="Times New Roman" w:cs="Times New Roman"/>
                <w:b/>
                <w:bCs/>
              </w:rPr>
              <w:t xml:space="preserve">Variable </w:t>
            </w:r>
          </w:p>
        </w:tc>
        <w:tc>
          <w:tcPr>
            <w:tcW w:w="2699" w:type="dxa"/>
            <w:tcBorders>
              <w:top w:val="single" w:sz="4" w:space="0" w:color="auto"/>
            </w:tcBorders>
          </w:tcPr>
          <w:p w14:paraId="48241AEE" w14:textId="77777777" w:rsidR="005A0AC0" w:rsidRPr="00B066C6" w:rsidRDefault="005A0AC0" w:rsidP="005A0AC0">
            <w:pPr>
              <w:spacing w:line="240" w:lineRule="auto"/>
              <w:rPr>
                <w:rFonts w:ascii="Times New Roman" w:eastAsia="Calibri" w:hAnsi="Times New Roman" w:cs="Times New Roman"/>
                <w:b/>
                <w:bCs/>
              </w:rPr>
            </w:pPr>
            <w:r w:rsidRPr="00B066C6">
              <w:rPr>
                <w:rFonts w:ascii="Times New Roman" w:eastAsia="Calibri" w:hAnsi="Times New Roman" w:cs="Times New Roman"/>
                <w:b/>
                <w:bCs/>
              </w:rPr>
              <w:t xml:space="preserve">Description </w:t>
            </w:r>
          </w:p>
        </w:tc>
        <w:tc>
          <w:tcPr>
            <w:tcW w:w="3821" w:type="dxa"/>
            <w:tcBorders>
              <w:top w:val="single" w:sz="4" w:space="0" w:color="auto"/>
            </w:tcBorders>
          </w:tcPr>
          <w:p w14:paraId="2C29F2DB" w14:textId="77777777" w:rsidR="005A0AC0" w:rsidRPr="00B066C6" w:rsidRDefault="005A0AC0" w:rsidP="005A0AC0">
            <w:pPr>
              <w:spacing w:line="240" w:lineRule="auto"/>
              <w:rPr>
                <w:rFonts w:ascii="Times New Roman" w:eastAsia="Calibri" w:hAnsi="Times New Roman" w:cs="Times New Roman"/>
                <w:b/>
                <w:bCs/>
              </w:rPr>
            </w:pPr>
            <w:r w:rsidRPr="00B066C6">
              <w:rPr>
                <w:rFonts w:ascii="Times New Roman" w:eastAsia="Calibri" w:hAnsi="Times New Roman" w:cs="Times New Roman"/>
                <w:b/>
                <w:bCs/>
              </w:rPr>
              <w:t>Functional Importance</w:t>
            </w:r>
          </w:p>
        </w:tc>
      </w:tr>
      <w:tr w:rsidR="005A0AC0" w:rsidRPr="00B066C6" w14:paraId="48512A29" w14:textId="77777777" w:rsidTr="005A0AC0">
        <w:tc>
          <w:tcPr>
            <w:tcW w:w="1413" w:type="dxa"/>
          </w:tcPr>
          <w:p w14:paraId="7169C15C"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Beak Length (mm)</w:t>
            </w:r>
          </w:p>
        </w:tc>
        <w:tc>
          <w:tcPr>
            <w:tcW w:w="1417" w:type="dxa"/>
          </w:tcPr>
          <w:p w14:paraId="012BC9C8"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 xml:space="preserve">Continuous </w:t>
            </w:r>
          </w:p>
        </w:tc>
        <w:tc>
          <w:tcPr>
            <w:tcW w:w="2699" w:type="dxa"/>
          </w:tcPr>
          <w:p w14:paraId="07E8AB97"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Length from the tip of the beak to the base of the skull</w:t>
            </w:r>
          </w:p>
        </w:tc>
        <w:tc>
          <w:tcPr>
            <w:tcW w:w="3821" w:type="dxa"/>
          </w:tcPr>
          <w:p w14:paraId="040B8099"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Refers to different feeding strategies relating to functional role of species (e.g., seed-dispersers, pollinators).</w:t>
            </w:r>
          </w:p>
        </w:tc>
      </w:tr>
      <w:tr w:rsidR="005A0AC0" w:rsidRPr="00B066C6" w14:paraId="3865E704" w14:textId="77777777" w:rsidTr="005A0AC0">
        <w:tc>
          <w:tcPr>
            <w:tcW w:w="1413" w:type="dxa"/>
          </w:tcPr>
          <w:p w14:paraId="6CCB4E68"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Beak Width (mm)</w:t>
            </w:r>
          </w:p>
        </w:tc>
        <w:tc>
          <w:tcPr>
            <w:tcW w:w="1417" w:type="dxa"/>
          </w:tcPr>
          <w:p w14:paraId="4E8BD667"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Continuous</w:t>
            </w:r>
          </w:p>
        </w:tc>
        <w:tc>
          <w:tcPr>
            <w:tcW w:w="2699" w:type="dxa"/>
          </w:tcPr>
          <w:p w14:paraId="65AD198A"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Width of the beak at the anterior edge of the nostrils</w:t>
            </w:r>
          </w:p>
        </w:tc>
        <w:tc>
          <w:tcPr>
            <w:tcW w:w="3821" w:type="dxa"/>
          </w:tcPr>
          <w:p w14:paraId="3CB9A118"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Refers to different feeding strategies relating to functional role of species (e.g., seed-dispersers, pollinators).</w:t>
            </w:r>
          </w:p>
        </w:tc>
      </w:tr>
      <w:tr w:rsidR="005A0AC0" w:rsidRPr="00B066C6" w14:paraId="544FF50E" w14:textId="77777777" w:rsidTr="005A0AC0">
        <w:tc>
          <w:tcPr>
            <w:tcW w:w="1413" w:type="dxa"/>
          </w:tcPr>
          <w:p w14:paraId="385C615D"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Wing Length (mm)</w:t>
            </w:r>
          </w:p>
        </w:tc>
        <w:tc>
          <w:tcPr>
            <w:tcW w:w="1417" w:type="dxa"/>
          </w:tcPr>
          <w:p w14:paraId="4B100F9D"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Continuous</w:t>
            </w:r>
          </w:p>
        </w:tc>
        <w:tc>
          <w:tcPr>
            <w:tcW w:w="2699" w:type="dxa"/>
          </w:tcPr>
          <w:p w14:paraId="4233EA47"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Length from the carpal joint (bend of the wing) to the tip of the longest primary feather on the flattened wing</w:t>
            </w:r>
          </w:p>
        </w:tc>
        <w:tc>
          <w:tcPr>
            <w:tcW w:w="3821" w:type="dxa"/>
          </w:tcPr>
          <w:p w14:paraId="5CAF8361"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Flight performance, migration, feeding ability. Birds with shorter wings are typically suited for denser vegetation, while birds with larger wings can cover more range and aid in habitat connectivity.</w:t>
            </w:r>
          </w:p>
        </w:tc>
      </w:tr>
      <w:tr w:rsidR="005A0AC0" w:rsidRPr="00B066C6" w14:paraId="41E1A6CA" w14:textId="77777777" w:rsidTr="005A0AC0">
        <w:tc>
          <w:tcPr>
            <w:tcW w:w="1413" w:type="dxa"/>
          </w:tcPr>
          <w:p w14:paraId="1A790B9B"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Mass (g)</w:t>
            </w:r>
          </w:p>
        </w:tc>
        <w:tc>
          <w:tcPr>
            <w:tcW w:w="1417" w:type="dxa"/>
          </w:tcPr>
          <w:p w14:paraId="30BEF3E7"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 xml:space="preserve">Continuous </w:t>
            </w:r>
          </w:p>
        </w:tc>
        <w:tc>
          <w:tcPr>
            <w:tcW w:w="2699" w:type="dxa"/>
          </w:tcPr>
          <w:p w14:paraId="289FC068"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Body mass given as species average (incorporating both male and female body mass)</w:t>
            </w:r>
          </w:p>
        </w:tc>
        <w:tc>
          <w:tcPr>
            <w:tcW w:w="3821" w:type="dxa"/>
          </w:tcPr>
          <w:p w14:paraId="13A5274E"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 xml:space="preserve">Energy requirements, activity levels, environmental conditions. Larger-bodied birds require more food to maintain energy and, thus, may play important environmental roles such as dispersing large seeds across landscapes. </w:t>
            </w:r>
          </w:p>
        </w:tc>
      </w:tr>
      <w:tr w:rsidR="005A0AC0" w:rsidRPr="00B066C6" w14:paraId="61418DB4" w14:textId="77777777" w:rsidTr="005A0AC0">
        <w:tc>
          <w:tcPr>
            <w:tcW w:w="1413" w:type="dxa"/>
          </w:tcPr>
          <w:p w14:paraId="08C869DB"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Primary Habitat</w:t>
            </w:r>
          </w:p>
        </w:tc>
        <w:tc>
          <w:tcPr>
            <w:tcW w:w="1417" w:type="dxa"/>
          </w:tcPr>
          <w:p w14:paraId="0B919B34"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Categorical</w:t>
            </w:r>
          </w:p>
        </w:tc>
        <w:tc>
          <w:tcPr>
            <w:tcW w:w="2699" w:type="dxa"/>
          </w:tcPr>
          <w:p w14:paraId="6BFBC68C"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Primary habitat species are found in, including human-modified, shrubland, and forests</w:t>
            </w:r>
          </w:p>
        </w:tc>
        <w:tc>
          <w:tcPr>
            <w:tcW w:w="3821" w:type="dxa"/>
          </w:tcPr>
          <w:p w14:paraId="34FCCC97"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 xml:space="preserve">Refers to species' ability to perform functional roles across multiple landscapes. Species adapted to human-modified landscapes may be important in connecting disturbed areas to non-disturbed areas. </w:t>
            </w:r>
          </w:p>
        </w:tc>
      </w:tr>
      <w:tr w:rsidR="005A0AC0" w:rsidRPr="00B066C6" w14:paraId="40CBD319" w14:textId="77777777" w:rsidTr="005A0AC0">
        <w:tc>
          <w:tcPr>
            <w:tcW w:w="1413" w:type="dxa"/>
          </w:tcPr>
          <w:p w14:paraId="2AE60BDB"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Trophic Niche/Diet Type</w:t>
            </w:r>
          </w:p>
        </w:tc>
        <w:tc>
          <w:tcPr>
            <w:tcW w:w="1417" w:type="dxa"/>
          </w:tcPr>
          <w:p w14:paraId="5661A5C0"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 xml:space="preserve">Categorical </w:t>
            </w:r>
          </w:p>
        </w:tc>
        <w:tc>
          <w:tcPr>
            <w:tcW w:w="2699" w:type="dxa"/>
          </w:tcPr>
          <w:p w14:paraId="7B20A4BE"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Species are put into certain categories if over 60% of their diet is made up of one food source (e.g., frugivore, nectarivore)</w:t>
            </w:r>
          </w:p>
        </w:tc>
        <w:tc>
          <w:tcPr>
            <w:tcW w:w="3821" w:type="dxa"/>
          </w:tcPr>
          <w:p w14:paraId="2E5CFFBD" w14:textId="77777777" w:rsidR="005A0AC0" w:rsidRPr="00B066C6" w:rsidRDefault="005A0AC0" w:rsidP="005A0AC0">
            <w:pPr>
              <w:spacing w:line="240" w:lineRule="auto"/>
              <w:rPr>
                <w:rFonts w:ascii="Times New Roman" w:eastAsia="Calibri" w:hAnsi="Times New Roman" w:cs="Times New Roman"/>
              </w:rPr>
            </w:pPr>
            <w:r w:rsidRPr="00B066C6">
              <w:rPr>
                <w:rFonts w:ascii="Times New Roman" w:eastAsia="Calibri" w:hAnsi="Times New Roman" w:cs="Times New Roman"/>
              </w:rPr>
              <w:t>Refers to different feeding strategies relating to the functional role of species (e.g., seed-dispersers, pollinators).</w:t>
            </w:r>
          </w:p>
        </w:tc>
      </w:tr>
    </w:tbl>
    <w:p w14:paraId="64426EED" w14:textId="760AB292" w:rsidR="000072F7" w:rsidRPr="00B066C6" w:rsidRDefault="000072F7" w:rsidP="00D77075">
      <w:pPr>
        <w:pStyle w:val="Heading2"/>
        <w:spacing w:before="0" w:after="0"/>
        <w:rPr>
          <w:rFonts w:ascii="Times New Roman" w:hAnsi="Times New Roman" w:cs="Times New Roman"/>
          <w:b/>
          <w:bCs/>
          <w:color w:val="auto"/>
          <w:sz w:val="24"/>
          <w:szCs w:val="24"/>
        </w:rPr>
      </w:pPr>
      <w:bookmarkStart w:id="101" w:name="_Toc195189633"/>
      <w:r w:rsidRPr="00B066C6">
        <w:rPr>
          <w:rFonts w:ascii="Times New Roman" w:hAnsi="Times New Roman" w:cs="Times New Roman"/>
          <w:b/>
          <w:bCs/>
          <w:color w:val="auto"/>
          <w:sz w:val="24"/>
          <w:szCs w:val="24"/>
        </w:rPr>
        <w:t>Appendix</w:t>
      </w:r>
      <w:bookmarkEnd w:id="101"/>
    </w:p>
    <w:p w14:paraId="3C525167" w14:textId="58B2F3DE" w:rsidR="00B55333" w:rsidRPr="00B066C6" w:rsidRDefault="00B55333" w:rsidP="00BD07DC">
      <w:pPr>
        <w:rPr>
          <w:rFonts w:ascii="Times New Roman" w:hAnsi="Times New Roman" w:cs="Times New Roman"/>
        </w:rPr>
      </w:pPr>
      <w:r w:rsidRPr="00B066C6">
        <w:rPr>
          <w:rFonts w:ascii="Times New Roman" w:hAnsi="Times New Roman" w:cs="Times New Roman"/>
        </w:rPr>
        <w:br w:type="page"/>
      </w:r>
    </w:p>
    <w:tbl>
      <w:tblPr>
        <w:tblStyle w:val="TableGrid"/>
        <w:tblW w:w="5000" w:type="pct"/>
        <w:tblLayout w:type="fixed"/>
        <w:tblLook w:val="04A0" w:firstRow="1" w:lastRow="0" w:firstColumn="1" w:lastColumn="0" w:noHBand="0" w:noVBand="1"/>
      </w:tblPr>
      <w:tblGrid>
        <w:gridCol w:w="988"/>
        <w:gridCol w:w="1850"/>
        <w:gridCol w:w="1561"/>
        <w:gridCol w:w="1181"/>
        <w:gridCol w:w="629"/>
        <w:gridCol w:w="631"/>
        <w:gridCol w:w="747"/>
        <w:gridCol w:w="517"/>
        <w:gridCol w:w="638"/>
        <w:gridCol w:w="618"/>
      </w:tblGrid>
      <w:tr w:rsidR="00130B43" w:rsidRPr="00B066C6" w14:paraId="45685898" w14:textId="77777777">
        <w:trPr>
          <w:trHeight w:val="1266"/>
        </w:trPr>
        <w:tc>
          <w:tcPr>
            <w:tcW w:w="5000" w:type="pct"/>
            <w:gridSpan w:val="10"/>
            <w:tcBorders>
              <w:top w:val="nil"/>
              <w:left w:val="nil"/>
              <w:bottom w:val="single" w:sz="4" w:space="0" w:color="auto"/>
              <w:right w:val="nil"/>
            </w:tcBorders>
            <w:noWrap/>
            <w:vAlign w:val="center"/>
          </w:tcPr>
          <w:p w14:paraId="4DFEDCC5" w14:textId="646DDF30" w:rsidR="00130B43" w:rsidRPr="00B066C6" w:rsidRDefault="00F377FE" w:rsidP="00D77075">
            <w:pPr>
              <w:pStyle w:val="Caption"/>
              <w:spacing w:before="0" w:after="0" w:line="276" w:lineRule="auto"/>
              <w:rPr>
                <w:rFonts w:ascii="Times New Roman" w:hAnsi="Times New Roman" w:cs="Times New Roman"/>
                <w:i w:val="0"/>
                <w:iCs w:val="0"/>
                <w:sz w:val="24"/>
                <w:szCs w:val="24"/>
              </w:rPr>
            </w:pPr>
            <w:bookmarkStart w:id="102" w:name="_Ref190179669"/>
            <w:bookmarkStart w:id="103" w:name="_Toc195189693"/>
            <w:r w:rsidRPr="00B066C6">
              <w:rPr>
                <w:rFonts w:ascii="Times New Roman" w:hAnsi="Times New Roman" w:cs="Times New Roman"/>
                <w:b/>
                <w:bCs/>
                <w:i w:val="0"/>
                <w:iCs w:val="0"/>
                <w:color w:val="auto"/>
                <w:sz w:val="24"/>
                <w:szCs w:val="24"/>
              </w:rPr>
              <w:lastRenderedPageBreak/>
              <w:t xml:space="preserve">Supplementary Table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Supplementary_Table \* ARABIC </w:instrText>
            </w:r>
            <w:r w:rsidRPr="00B066C6">
              <w:rPr>
                <w:rFonts w:ascii="Times New Roman" w:hAnsi="Times New Roman" w:cs="Times New Roman"/>
                <w:b/>
                <w:bCs/>
                <w:i w:val="0"/>
                <w:iCs w:val="0"/>
                <w:color w:val="auto"/>
                <w:sz w:val="24"/>
                <w:szCs w:val="24"/>
              </w:rPr>
              <w:fldChar w:fldCharType="separate"/>
            </w:r>
            <w:r w:rsidR="007F0836">
              <w:rPr>
                <w:rFonts w:ascii="Times New Roman" w:hAnsi="Times New Roman" w:cs="Times New Roman"/>
                <w:b/>
                <w:bCs/>
                <w:i w:val="0"/>
                <w:iCs w:val="0"/>
                <w:noProof/>
                <w:color w:val="auto"/>
                <w:sz w:val="24"/>
                <w:szCs w:val="24"/>
              </w:rPr>
              <w:t>2</w:t>
            </w:r>
            <w:r w:rsidRPr="00B066C6">
              <w:rPr>
                <w:rFonts w:ascii="Times New Roman" w:hAnsi="Times New Roman" w:cs="Times New Roman"/>
                <w:b/>
                <w:bCs/>
                <w:i w:val="0"/>
                <w:iCs w:val="0"/>
                <w:color w:val="auto"/>
                <w:sz w:val="24"/>
                <w:szCs w:val="24"/>
              </w:rPr>
              <w:fldChar w:fldCharType="end"/>
            </w:r>
            <w:bookmarkEnd w:id="102"/>
            <w:r w:rsidR="00130B43" w:rsidRPr="00B066C6">
              <w:rPr>
                <w:rFonts w:ascii="Times New Roman" w:hAnsi="Times New Roman" w:cs="Times New Roman"/>
                <w:b/>
                <w:bCs/>
                <w:i w:val="0"/>
                <w:iCs w:val="0"/>
                <w:color w:val="auto"/>
                <w:sz w:val="24"/>
                <w:szCs w:val="24"/>
              </w:rPr>
              <w:t xml:space="preserve">: </w:t>
            </w:r>
            <w:r w:rsidR="00130B43" w:rsidRPr="00B066C6">
              <w:rPr>
                <w:rFonts w:ascii="Times New Roman" w:hAnsi="Times New Roman" w:cs="Times New Roman"/>
                <w:i w:val="0"/>
                <w:iCs w:val="0"/>
                <w:color w:val="auto"/>
                <w:sz w:val="24"/>
                <w:szCs w:val="24"/>
              </w:rPr>
              <w:t>Bird community data for species surveyed across the entire FCAT reserve. Species codes represent 4-digit codes based of each species common name. Trait data, including trophic niches, habitat associations, and morphological traits for each species were collected using an open access data set provided by Tobias et al., 2022. Morphological traits include average mass (g), beak length (mm), beak width (mm), wing length (mm), and tail length (mm). Abundance represents the total number of individuals observed during the study.</w:t>
            </w:r>
            <w:bookmarkEnd w:id="103"/>
          </w:p>
        </w:tc>
      </w:tr>
      <w:tr w:rsidR="00130B43" w:rsidRPr="00B066C6" w14:paraId="7228995F" w14:textId="77777777" w:rsidTr="00B661ED">
        <w:trPr>
          <w:trHeight w:val="2117"/>
        </w:trPr>
        <w:tc>
          <w:tcPr>
            <w:tcW w:w="528" w:type="pct"/>
            <w:tcBorders>
              <w:top w:val="single" w:sz="4" w:space="0" w:color="auto"/>
            </w:tcBorders>
            <w:noWrap/>
            <w:textDirection w:val="btLr"/>
            <w:vAlign w:val="center"/>
            <w:hideMark/>
          </w:tcPr>
          <w:p w14:paraId="4F1B8FB1"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Code</w:t>
            </w:r>
          </w:p>
        </w:tc>
        <w:tc>
          <w:tcPr>
            <w:tcW w:w="988" w:type="pct"/>
            <w:tcBorders>
              <w:top w:val="single" w:sz="4" w:space="0" w:color="auto"/>
            </w:tcBorders>
            <w:noWrap/>
            <w:textDirection w:val="btLr"/>
            <w:vAlign w:val="center"/>
            <w:hideMark/>
          </w:tcPr>
          <w:p w14:paraId="6F645649"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Scientific Name</w:t>
            </w:r>
          </w:p>
        </w:tc>
        <w:tc>
          <w:tcPr>
            <w:tcW w:w="834" w:type="pct"/>
            <w:tcBorders>
              <w:top w:val="single" w:sz="4" w:space="0" w:color="auto"/>
            </w:tcBorders>
            <w:noWrap/>
            <w:textDirection w:val="btLr"/>
            <w:vAlign w:val="center"/>
            <w:hideMark/>
          </w:tcPr>
          <w:p w14:paraId="774F1851"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Trophic Niche</w:t>
            </w:r>
          </w:p>
        </w:tc>
        <w:tc>
          <w:tcPr>
            <w:tcW w:w="631" w:type="pct"/>
            <w:tcBorders>
              <w:top w:val="single" w:sz="4" w:space="0" w:color="auto"/>
            </w:tcBorders>
            <w:noWrap/>
            <w:textDirection w:val="btLr"/>
            <w:vAlign w:val="center"/>
            <w:hideMark/>
          </w:tcPr>
          <w:p w14:paraId="3064C78C"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Habitat</w:t>
            </w:r>
          </w:p>
        </w:tc>
        <w:tc>
          <w:tcPr>
            <w:tcW w:w="336" w:type="pct"/>
            <w:tcBorders>
              <w:top w:val="single" w:sz="4" w:space="0" w:color="auto"/>
            </w:tcBorders>
            <w:noWrap/>
            <w:textDirection w:val="btLr"/>
            <w:vAlign w:val="center"/>
            <w:hideMark/>
          </w:tcPr>
          <w:p w14:paraId="254823E5"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Abundance</w:t>
            </w:r>
          </w:p>
        </w:tc>
        <w:tc>
          <w:tcPr>
            <w:tcW w:w="337" w:type="pct"/>
            <w:tcBorders>
              <w:top w:val="single" w:sz="4" w:space="0" w:color="auto"/>
            </w:tcBorders>
            <w:noWrap/>
            <w:textDirection w:val="btLr"/>
            <w:vAlign w:val="center"/>
            <w:hideMark/>
          </w:tcPr>
          <w:p w14:paraId="5B95E075"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Mass</w:t>
            </w:r>
          </w:p>
        </w:tc>
        <w:tc>
          <w:tcPr>
            <w:tcW w:w="399" w:type="pct"/>
            <w:tcBorders>
              <w:top w:val="single" w:sz="4" w:space="0" w:color="auto"/>
            </w:tcBorders>
            <w:noWrap/>
            <w:textDirection w:val="btLr"/>
            <w:vAlign w:val="center"/>
            <w:hideMark/>
          </w:tcPr>
          <w:p w14:paraId="1FD0C14C"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Beak Length</w:t>
            </w:r>
          </w:p>
        </w:tc>
        <w:tc>
          <w:tcPr>
            <w:tcW w:w="276" w:type="pct"/>
            <w:tcBorders>
              <w:top w:val="single" w:sz="4" w:space="0" w:color="auto"/>
            </w:tcBorders>
            <w:noWrap/>
            <w:textDirection w:val="btLr"/>
            <w:vAlign w:val="center"/>
            <w:hideMark/>
          </w:tcPr>
          <w:p w14:paraId="26943D74"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Beak Width</w:t>
            </w:r>
          </w:p>
        </w:tc>
        <w:tc>
          <w:tcPr>
            <w:tcW w:w="341" w:type="pct"/>
            <w:tcBorders>
              <w:top w:val="single" w:sz="4" w:space="0" w:color="auto"/>
            </w:tcBorders>
            <w:noWrap/>
            <w:textDirection w:val="btLr"/>
            <w:vAlign w:val="center"/>
            <w:hideMark/>
          </w:tcPr>
          <w:p w14:paraId="20065180"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Wing Length</w:t>
            </w:r>
          </w:p>
        </w:tc>
        <w:tc>
          <w:tcPr>
            <w:tcW w:w="330" w:type="pct"/>
            <w:tcBorders>
              <w:top w:val="single" w:sz="4" w:space="0" w:color="auto"/>
            </w:tcBorders>
            <w:noWrap/>
            <w:textDirection w:val="btLr"/>
            <w:vAlign w:val="center"/>
            <w:hideMark/>
          </w:tcPr>
          <w:p w14:paraId="2D71647B" w14:textId="77777777" w:rsidR="00130B43" w:rsidRPr="00B066C6" w:rsidRDefault="00130B43" w:rsidP="002A312F">
            <w:pPr>
              <w:spacing w:before="0"/>
              <w:ind w:left="113" w:right="113"/>
              <w:jc w:val="center"/>
              <w:rPr>
                <w:rFonts w:ascii="Times New Roman" w:hAnsi="Times New Roman" w:cs="Times New Roman"/>
                <w:b/>
                <w:bCs/>
              </w:rPr>
            </w:pPr>
            <w:r w:rsidRPr="00B066C6">
              <w:rPr>
                <w:rFonts w:ascii="Times New Roman" w:hAnsi="Times New Roman" w:cs="Times New Roman"/>
                <w:b/>
                <w:bCs/>
              </w:rPr>
              <w:t>Tail Length</w:t>
            </w:r>
          </w:p>
        </w:tc>
      </w:tr>
      <w:tr w:rsidR="00130B43" w:rsidRPr="00B066C6" w14:paraId="76012D64" w14:textId="77777777" w:rsidTr="00B661ED">
        <w:trPr>
          <w:trHeight w:val="320"/>
        </w:trPr>
        <w:tc>
          <w:tcPr>
            <w:tcW w:w="528" w:type="pct"/>
            <w:noWrap/>
            <w:vAlign w:val="center"/>
            <w:hideMark/>
          </w:tcPr>
          <w:p w14:paraId="1A90D7C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AMHB</w:t>
            </w:r>
          </w:p>
        </w:tc>
        <w:tc>
          <w:tcPr>
            <w:tcW w:w="988" w:type="pct"/>
            <w:noWrap/>
            <w:vAlign w:val="center"/>
            <w:hideMark/>
          </w:tcPr>
          <w:p w14:paraId="41B300AD" w14:textId="77777777" w:rsidR="00130B43" w:rsidRPr="00992B4B" w:rsidRDefault="00130B43" w:rsidP="002A312F">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Amazilia </w:t>
            </w:r>
            <w:proofErr w:type="spellStart"/>
            <w:r w:rsidRPr="00992B4B">
              <w:rPr>
                <w:rFonts w:ascii="Times New Roman" w:hAnsi="Times New Roman" w:cs="Times New Roman"/>
                <w:i/>
                <w:iCs/>
                <w:sz w:val="22"/>
                <w:szCs w:val="22"/>
              </w:rPr>
              <w:t>amazilia</w:t>
            </w:r>
            <w:proofErr w:type="spellEnd"/>
          </w:p>
        </w:tc>
        <w:tc>
          <w:tcPr>
            <w:tcW w:w="834" w:type="pct"/>
            <w:noWrap/>
            <w:vAlign w:val="center"/>
            <w:hideMark/>
          </w:tcPr>
          <w:p w14:paraId="0B2DD1B4"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31" w:type="pct"/>
            <w:noWrap/>
            <w:vAlign w:val="center"/>
            <w:hideMark/>
          </w:tcPr>
          <w:p w14:paraId="77D2AC9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36" w:type="pct"/>
            <w:noWrap/>
            <w:vAlign w:val="center"/>
            <w:hideMark/>
          </w:tcPr>
          <w:p w14:paraId="68344AF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37" w:type="pct"/>
            <w:noWrap/>
            <w:vAlign w:val="center"/>
            <w:hideMark/>
          </w:tcPr>
          <w:p w14:paraId="392DAAD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4.3</w:t>
            </w:r>
          </w:p>
        </w:tc>
        <w:tc>
          <w:tcPr>
            <w:tcW w:w="399" w:type="pct"/>
            <w:noWrap/>
            <w:vAlign w:val="center"/>
            <w:hideMark/>
          </w:tcPr>
          <w:p w14:paraId="27FFFFA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20.7</w:t>
            </w:r>
          </w:p>
        </w:tc>
        <w:tc>
          <w:tcPr>
            <w:tcW w:w="276" w:type="pct"/>
            <w:noWrap/>
            <w:vAlign w:val="center"/>
            <w:hideMark/>
          </w:tcPr>
          <w:p w14:paraId="22FE913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2.9</w:t>
            </w:r>
          </w:p>
        </w:tc>
        <w:tc>
          <w:tcPr>
            <w:tcW w:w="341" w:type="pct"/>
            <w:noWrap/>
            <w:vAlign w:val="center"/>
            <w:hideMark/>
          </w:tcPr>
          <w:p w14:paraId="1B14C624"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61.8</w:t>
            </w:r>
          </w:p>
        </w:tc>
        <w:tc>
          <w:tcPr>
            <w:tcW w:w="330" w:type="pct"/>
            <w:noWrap/>
            <w:vAlign w:val="center"/>
            <w:hideMark/>
          </w:tcPr>
          <w:p w14:paraId="0702158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37.6</w:t>
            </w:r>
          </w:p>
        </w:tc>
      </w:tr>
      <w:tr w:rsidR="00130B43" w:rsidRPr="00B066C6" w14:paraId="4F2EF49C" w14:textId="77777777" w:rsidTr="00B661ED">
        <w:trPr>
          <w:trHeight w:val="320"/>
        </w:trPr>
        <w:tc>
          <w:tcPr>
            <w:tcW w:w="528" w:type="pct"/>
            <w:noWrap/>
            <w:vAlign w:val="center"/>
            <w:hideMark/>
          </w:tcPr>
          <w:p w14:paraId="2637428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BABW</w:t>
            </w:r>
          </w:p>
        </w:tc>
        <w:tc>
          <w:tcPr>
            <w:tcW w:w="988" w:type="pct"/>
            <w:noWrap/>
            <w:vAlign w:val="center"/>
            <w:hideMark/>
          </w:tcPr>
          <w:p w14:paraId="30FEF501"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Campylorhynchus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zonatus</w:t>
            </w:r>
            <w:proofErr w:type="spellEnd"/>
          </w:p>
        </w:tc>
        <w:tc>
          <w:tcPr>
            <w:tcW w:w="834" w:type="pct"/>
            <w:noWrap/>
            <w:vAlign w:val="center"/>
            <w:hideMark/>
          </w:tcPr>
          <w:p w14:paraId="4009EC4C"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31" w:type="pct"/>
            <w:noWrap/>
            <w:vAlign w:val="center"/>
            <w:hideMark/>
          </w:tcPr>
          <w:p w14:paraId="57BAFDA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3BA17B3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3D00790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34.6</w:t>
            </w:r>
          </w:p>
        </w:tc>
        <w:tc>
          <w:tcPr>
            <w:tcW w:w="399" w:type="pct"/>
            <w:noWrap/>
            <w:vAlign w:val="center"/>
            <w:hideMark/>
          </w:tcPr>
          <w:p w14:paraId="56307E33"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24</w:t>
            </w:r>
          </w:p>
        </w:tc>
        <w:tc>
          <w:tcPr>
            <w:tcW w:w="276" w:type="pct"/>
            <w:noWrap/>
            <w:vAlign w:val="center"/>
            <w:hideMark/>
          </w:tcPr>
          <w:p w14:paraId="1D66574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3.9</w:t>
            </w:r>
          </w:p>
        </w:tc>
        <w:tc>
          <w:tcPr>
            <w:tcW w:w="341" w:type="pct"/>
            <w:noWrap/>
            <w:vAlign w:val="center"/>
            <w:hideMark/>
          </w:tcPr>
          <w:p w14:paraId="7A2DFB3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78.4</w:t>
            </w:r>
          </w:p>
        </w:tc>
        <w:tc>
          <w:tcPr>
            <w:tcW w:w="330" w:type="pct"/>
            <w:noWrap/>
            <w:vAlign w:val="center"/>
            <w:hideMark/>
          </w:tcPr>
          <w:p w14:paraId="510BDD2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82</w:t>
            </w:r>
          </w:p>
        </w:tc>
      </w:tr>
      <w:tr w:rsidR="00130B43" w:rsidRPr="00B066C6" w14:paraId="75C53B90" w14:textId="77777777" w:rsidTr="00B661ED">
        <w:trPr>
          <w:trHeight w:val="320"/>
        </w:trPr>
        <w:tc>
          <w:tcPr>
            <w:tcW w:w="528" w:type="pct"/>
            <w:noWrap/>
            <w:vAlign w:val="center"/>
            <w:hideMark/>
          </w:tcPr>
          <w:p w14:paraId="576AD24C"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BANA</w:t>
            </w:r>
          </w:p>
        </w:tc>
        <w:tc>
          <w:tcPr>
            <w:tcW w:w="988" w:type="pct"/>
            <w:noWrap/>
            <w:vAlign w:val="center"/>
            <w:hideMark/>
          </w:tcPr>
          <w:p w14:paraId="38128E58"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Coereba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flaveola</w:t>
            </w:r>
            <w:proofErr w:type="spellEnd"/>
          </w:p>
        </w:tc>
        <w:tc>
          <w:tcPr>
            <w:tcW w:w="834" w:type="pct"/>
            <w:noWrap/>
            <w:vAlign w:val="center"/>
            <w:hideMark/>
          </w:tcPr>
          <w:p w14:paraId="3AEB8C8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31" w:type="pct"/>
            <w:noWrap/>
            <w:vAlign w:val="center"/>
            <w:hideMark/>
          </w:tcPr>
          <w:p w14:paraId="797BDB1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36" w:type="pct"/>
            <w:noWrap/>
            <w:vAlign w:val="center"/>
            <w:hideMark/>
          </w:tcPr>
          <w:p w14:paraId="1F918B8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24</w:t>
            </w:r>
          </w:p>
        </w:tc>
        <w:tc>
          <w:tcPr>
            <w:tcW w:w="337" w:type="pct"/>
            <w:noWrap/>
            <w:vAlign w:val="center"/>
            <w:hideMark/>
          </w:tcPr>
          <w:p w14:paraId="2DA18E8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10</w:t>
            </w:r>
          </w:p>
        </w:tc>
        <w:tc>
          <w:tcPr>
            <w:tcW w:w="399" w:type="pct"/>
            <w:noWrap/>
            <w:vAlign w:val="center"/>
            <w:hideMark/>
          </w:tcPr>
          <w:p w14:paraId="29E5D9D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13.2</w:t>
            </w:r>
          </w:p>
        </w:tc>
        <w:tc>
          <w:tcPr>
            <w:tcW w:w="276" w:type="pct"/>
            <w:noWrap/>
            <w:vAlign w:val="center"/>
            <w:hideMark/>
          </w:tcPr>
          <w:p w14:paraId="71E3C0A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c>
          <w:tcPr>
            <w:tcW w:w="341" w:type="pct"/>
            <w:noWrap/>
            <w:vAlign w:val="center"/>
            <w:hideMark/>
          </w:tcPr>
          <w:p w14:paraId="4963EBC4"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54.6</w:t>
            </w:r>
          </w:p>
        </w:tc>
        <w:tc>
          <w:tcPr>
            <w:tcW w:w="330" w:type="pct"/>
            <w:noWrap/>
            <w:vAlign w:val="center"/>
            <w:hideMark/>
          </w:tcPr>
          <w:p w14:paraId="1958912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34.1</w:t>
            </w:r>
          </w:p>
        </w:tc>
      </w:tr>
      <w:tr w:rsidR="00130B43" w:rsidRPr="00B066C6" w14:paraId="3EFCE20C" w14:textId="77777777" w:rsidTr="00B661ED">
        <w:trPr>
          <w:trHeight w:val="320"/>
        </w:trPr>
        <w:tc>
          <w:tcPr>
            <w:tcW w:w="528" w:type="pct"/>
            <w:noWrap/>
            <w:vAlign w:val="center"/>
            <w:hideMark/>
          </w:tcPr>
          <w:p w14:paraId="2A8AFE92"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BAWS</w:t>
            </w:r>
          </w:p>
        </w:tc>
        <w:tc>
          <w:tcPr>
            <w:tcW w:w="988" w:type="pct"/>
            <w:noWrap/>
            <w:vAlign w:val="center"/>
            <w:hideMark/>
          </w:tcPr>
          <w:p w14:paraId="3154F93D"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Pygochelidon</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cyanoleuca</w:t>
            </w:r>
            <w:proofErr w:type="spellEnd"/>
          </w:p>
        </w:tc>
        <w:tc>
          <w:tcPr>
            <w:tcW w:w="834" w:type="pct"/>
            <w:noWrap/>
            <w:vAlign w:val="center"/>
            <w:hideMark/>
          </w:tcPr>
          <w:p w14:paraId="23EA569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31" w:type="pct"/>
            <w:noWrap/>
            <w:vAlign w:val="center"/>
            <w:hideMark/>
          </w:tcPr>
          <w:p w14:paraId="700929A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Human Modified</w:t>
            </w:r>
          </w:p>
        </w:tc>
        <w:tc>
          <w:tcPr>
            <w:tcW w:w="336" w:type="pct"/>
            <w:noWrap/>
            <w:vAlign w:val="center"/>
            <w:hideMark/>
          </w:tcPr>
          <w:p w14:paraId="2A91135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1A9EBDC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9.7</w:t>
            </w:r>
          </w:p>
        </w:tc>
        <w:tc>
          <w:tcPr>
            <w:tcW w:w="399" w:type="pct"/>
            <w:noWrap/>
            <w:vAlign w:val="center"/>
            <w:hideMark/>
          </w:tcPr>
          <w:p w14:paraId="56E258D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8.6</w:t>
            </w:r>
          </w:p>
        </w:tc>
        <w:tc>
          <w:tcPr>
            <w:tcW w:w="276" w:type="pct"/>
            <w:noWrap/>
            <w:vAlign w:val="center"/>
            <w:hideMark/>
          </w:tcPr>
          <w:p w14:paraId="44775E7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c>
          <w:tcPr>
            <w:tcW w:w="341" w:type="pct"/>
            <w:noWrap/>
            <w:vAlign w:val="center"/>
            <w:hideMark/>
          </w:tcPr>
          <w:p w14:paraId="326FC8B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92.3</w:t>
            </w:r>
          </w:p>
        </w:tc>
        <w:tc>
          <w:tcPr>
            <w:tcW w:w="330" w:type="pct"/>
            <w:noWrap/>
            <w:vAlign w:val="center"/>
            <w:hideMark/>
          </w:tcPr>
          <w:p w14:paraId="05739A8E"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48.8</w:t>
            </w:r>
          </w:p>
        </w:tc>
      </w:tr>
      <w:tr w:rsidR="00130B43" w:rsidRPr="00B066C6" w14:paraId="72B5D506" w14:textId="77777777" w:rsidTr="00B661ED">
        <w:trPr>
          <w:trHeight w:val="320"/>
        </w:trPr>
        <w:tc>
          <w:tcPr>
            <w:tcW w:w="528" w:type="pct"/>
            <w:noWrap/>
            <w:vAlign w:val="center"/>
            <w:hideMark/>
          </w:tcPr>
          <w:p w14:paraId="0678C38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BAYW</w:t>
            </w:r>
          </w:p>
        </w:tc>
        <w:tc>
          <w:tcPr>
            <w:tcW w:w="988" w:type="pct"/>
            <w:noWrap/>
            <w:vAlign w:val="center"/>
            <w:hideMark/>
          </w:tcPr>
          <w:p w14:paraId="61F0B082"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Cantorchilus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nigricapillus</w:t>
            </w:r>
            <w:proofErr w:type="spellEnd"/>
          </w:p>
        </w:tc>
        <w:tc>
          <w:tcPr>
            <w:tcW w:w="834" w:type="pct"/>
            <w:noWrap/>
            <w:vAlign w:val="center"/>
            <w:hideMark/>
          </w:tcPr>
          <w:p w14:paraId="69B04F1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31" w:type="pct"/>
            <w:noWrap/>
            <w:vAlign w:val="center"/>
            <w:hideMark/>
          </w:tcPr>
          <w:p w14:paraId="2BD79D8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09C2C193"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37" w:type="pct"/>
            <w:noWrap/>
            <w:vAlign w:val="center"/>
            <w:hideMark/>
          </w:tcPr>
          <w:p w14:paraId="0F88D81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23.9</w:t>
            </w:r>
          </w:p>
        </w:tc>
        <w:tc>
          <w:tcPr>
            <w:tcW w:w="399" w:type="pct"/>
            <w:noWrap/>
            <w:vAlign w:val="center"/>
            <w:hideMark/>
          </w:tcPr>
          <w:p w14:paraId="0FD7440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19.2</w:t>
            </w:r>
          </w:p>
        </w:tc>
        <w:tc>
          <w:tcPr>
            <w:tcW w:w="276" w:type="pct"/>
            <w:noWrap/>
            <w:vAlign w:val="center"/>
            <w:hideMark/>
          </w:tcPr>
          <w:p w14:paraId="5059673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4.2</w:t>
            </w:r>
          </w:p>
        </w:tc>
        <w:tc>
          <w:tcPr>
            <w:tcW w:w="341" w:type="pct"/>
            <w:noWrap/>
            <w:vAlign w:val="center"/>
            <w:hideMark/>
          </w:tcPr>
          <w:p w14:paraId="10D92B9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65.8</w:t>
            </w:r>
          </w:p>
        </w:tc>
        <w:tc>
          <w:tcPr>
            <w:tcW w:w="330" w:type="pct"/>
            <w:noWrap/>
            <w:vAlign w:val="center"/>
            <w:hideMark/>
          </w:tcPr>
          <w:p w14:paraId="766A9A7E"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54.3</w:t>
            </w:r>
          </w:p>
        </w:tc>
      </w:tr>
      <w:tr w:rsidR="00130B43" w:rsidRPr="00B066C6" w14:paraId="143F7C69" w14:textId="77777777" w:rsidTr="00B661ED">
        <w:trPr>
          <w:trHeight w:val="320"/>
        </w:trPr>
        <w:tc>
          <w:tcPr>
            <w:tcW w:w="528" w:type="pct"/>
            <w:noWrap/>
            <w:vAlign w:val="center"/>
            <w:hideMark/>
          </w:tcPr>
          <w:p w14:paraId="44BA2DC2"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BBSC</w:t>
            </w:r>
          </w:p>
        </w:tc>
        <w:tc>
          <w:tcPr>
            <w:tcW w:w="988" w:type="pct"/>
            <w:noWrap/>
            <w:vAlign w:val="center"/>
            <w:hideMark/>
          </w:tcPr>
          <w:p w14:paraId="357A3894"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Campylorhamphus</w:t>
            </w:r>
            <w:proofErr w:type="spellEnd"/>
            <w:r w:rsidRPr="00992B4B">
              <w:rPr>
                <w:rFonts w:ascii="Times New Roman" w:hAnsi="Times New Roman" w:cs="Times New Roman"/>
                <w:i/>
                <w:iCs/>
                <w:sz w:val="22"/>
                <w:szCs w:val="22"/>
              </w:rPr>
              <w:t xml:space="preserve"> pusillus</w:t>
            </w:r>
          </w:p>
        </w:tc>
        <w:tc>
          <w:tcPr>
            <w:tcW w:w="834" w:type="pct"/>
            <w:noWrap/>
            <w:vAlign w:val="center"/>
            <w:hideMark/>
          </w:tcPr>
          <w:p w14:paraId="2CD95C16"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31" w:type="pct"/>
            <w:noWrap/>
            <w:vAlign w:val="center"/>
            <w:hideMark/>
          </w:tcPr>
          <w:p w14:paraId="29AE750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24CD9BB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7EDB781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40.5</w:t>
            </w:r>
          </w:p>
        </w:tc>
        <w:tc>
          <w:tcPr>
            <w:tcW w:w="399" w:type="pct"/>
            <w:noWrap/>
            <w:vAlign w:val="center"/>
            <w:hideMark/>
          </w:tcPr>
          <w:p w14:paraId="449B2EE6"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55</w:t>
            </w:r>
          </w:p>
        </w:tc>
        <w:tc>
          <w:tcPr>
            <w:tcW w:w="276" w:type="pct"/>
            <w:noWrap/>
            <w:vAlign w:val="center"/>
            <w:hideMark/>
          </w:tcPr>
          <w:p w14:paraId="106302E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4.2</w:t>
            </w:r>
          </w:p>
        </w:tc>
        <w:tc>
          <w:tcPr>
            <w:tcW w:w="341" w:type="pct"/>
            <w:noWrap/>
            <w:vAlign w:val="center"/>
            <w:hideMark/>
          </w:tcPr>
          <w:p w14:paraId="4173071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95.6</w:t>
            </w:r>
          </w:p>
        </w:tc>
        <w:tc>
          <w:tcPr>
            <w:tcW w:w="330" w:type="pct"/>
            <w:noWrap/>
            <w:vAlign w:val="center"/>
            <w:hideMark/>
          </w:tcPr>
          <w:p w14:paraId="74E51AB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95</w:t>
            </w:r>
          </w:p>
        </w:tc>
      </w:tr>
      <w:tr w:rsidR="00130B43" w:rsidRPr="00B066C6" w14:paraId="0C110B50" w14:textId="77777777" w:rsidTr="00B661ED">
        <w:trPr>
          <w:trHeight w:val="320"/>
        </w:trPr>
        <w:tc>
          <w:tcPr>
            <w:tcW w:w="528" w:type="pct"/>
            <w:noWrap/>
            <w:vAlign w:val="center"/>
            <w:hideMark/>
          </w:tcPr>
          <w:p w14:paraId="62948103"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BCAS</w:t>
            </w:r>
          </w:p>
        </w:tc>
        <w:tc>
          <w:tcPr>
            <w:tcW w:w="988" w:type="pct"/>
            <w:noWrap/>
            <w:vAlign w:val="center"/>
            <w:hideMark/>
          </w:tcPr>
          <w:p w14:paraId="76264B1E"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Thamnophilus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atrinucha</w:t>
            </w:r>
            <w:proofErr w:type="spellEnd"/>
          </w:p>
        </w:tc>
        <w:tc>
          <w:tcPr>
            <w:tcW w:w="834" w:type="pct"/>
            <w:noWrap/>
            <w:vAlign w:val="center"/>
            <w:hideMark/>
          </w:tcPr>
          <w:p w14:paraId="361CC7D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31" w:type="pct"/>
            <w:noWrap/>
            <w:vAlign w:val="center"/>
            <w:hideMark/>
          </w:tcPr>
          <w:p w14:paraId="092B6C62"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61E9A6F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37" w:type="pct"/>
            <w:noWrap/>
            <w:vAlign w:val="center"/>
            <w:hideMark/>
          </w:tcPr>
          <w:p w14:paraId="5BB6665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23.6</w:t>
            </w:r>
          </w:p>
        </w:tc>
        <w:tc>
          <w:tcPr>
            <w:tcW w:w="399" w:type="pct"/>
            <w:noWrap/>
            <w:vAlign w:val="center"/>
            <w:hideMark/>
          </w:tcPr>
          <w:p w14:paraId="7F81A61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19.4</w:t>
            </w:r>
          </w:p>
        </w:tc>
        <w:tc>
          <w:tcPr>
            <w:tcW w:w="276" w:type="pct"/>
            <w:noWrap/>
            <w:vAlign w:val="center"/>
            <w:hideMark/>
          </w:tcPr>
          <w:p w14:paraId="2BCDDC4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5.4</w:t>
            </w:r>
          </w:p>
        </w:tc>
        <w:tc>
          <w:tcPr>
            <w:tcW w:w="341" w:type="pct"/>
            <w:noWrap/>
            <w:vAlign w:val="center"/>
            <w:hideMark/>
          </w:tcPr>
          <w:p w14:paraId="13888FD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67.9</w:t>
            </w:r>
          </w:p>
        </w:tc>
        <w:tc>
          <w:tcPr>
            <w:tcW w:w="330" w:type="pct"/>
            <w:noWrap/>
            <w:vAlign w:val="center"/>
            <w:hideMark/>
          </w:tcPr>
          <w:p w14:paraId="79033B9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56.1</w:t>
            </w:r>
          </w:p>
        </w:tc>
      </w:tr>
      <w:tr w:rsidR="00130B43" w:rsidRPr="00B066C6" w14:paraId="4D8BFD86" w14:textId="77777777" w:rsidTr="00B661ED">
        <w:trPr>
          <w:trHeight w:val="320"/>
        </w:trPr>
        <w:tc>
          <w:tcPr>
            <w:tcW w:w="528" w:type="pct"/>
            <w:noWrap/>
            <w:vAlign w:val="center"/>
            <w:hideMark/>
          </w:tcPr>
          <w:p w14:paraId="04EBA34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BCHH</w:t>
            </w:r>
          </w:p>
        </w:tc>
        <w:tc>
          <w:tcPr>
            <w:tcW w:w="988" w:type="pct"/>
            <w:noWrap/>
            <w:vAlign w:val="center"/>
            <w:hideMark/>
          </w:tcPr>
          <w:p w14:paraId="5EE2A803" w14:textId="77777777" w:rsidR="00130B43" w:rsidRPr="00992B4B" w:rsidRDefault="00130B43" w:rsidP="002A312F">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Amazilia amabilis</w:t>
            </w:r>
          </w:p>
        </w:tc>
        <w:tc>
          <w:tcPr>
            <w:tcW w:w="834" w:type="pct"/>
            <w:noWrap/>
            <w:vAlign w:val="center"/>
            <w:hideMark/>
          </w:tcPr>
          <w:p w14:paraId="38546C2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31" w:type="pct"/>
            <w:noWrap/>
            <w:vAlign w:val="center"/>
            <w:hideMark/>
          </w:tcPr>
          <w:p w14:paraId="19C6180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5F952BD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20</w:t>
            </w:r>
          </w:p>
        </w:tc>
        <w:tc>
          <w:tcPr>
            <w:tcW w:w="337" w:type="pct"/>
            <w:noWrap/>
            <w:vAlign w:val="center"/>
            <w:hideMark/>
          </w:tcPr>
          <w:p w14:paraId="78BFF31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4.3</w:t>
            </w:r>
          </w:p>
        </w:tc>
        <w:tc>
          <w:tcPr>
            <w:tcW w:w="399" w:type="pct"/>
            <w:noWrap/>
            <w:vAlign w:val="center"/>
            <w:hideMark/>
          </w:tcPr>
          <w:p w14:paraId="76DE3363"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21.3</w:t>
            </w:r>
          </w:p>
        </w:tc>
        <w:tc>
          <w:tcPr>
            <w:tcW w:w="276" w:type="pct"/>
            <w:noWrap/>
            <w:vAlign w:val="center"/>
            <w:hideMark/>
          </w:tcPr>
          <w:p w14:paraId="4566626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41" w:type="pct"/>
            <w:noWrap/>
            <w:vAlign w:val="center"/>
            <w:hideMark/>
          </w:tcPr>
          <w:p w14:paraId="03DA4352"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52.3</w:t>
            </w:r>
          </w:p>
        </w:tc>
        <w:tc>
          <w:tcPr>
            <w:tcW w:w="330" w:type="pct"/>
            <w:noWrap/>
            <w:vAlign w:val="center"/>
            <w:hideMark/>
          </w:tcPr>
          <w:p w14:paraId="675546D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29.2</w:t>
            </w:r>
          </w:p>
        </w:tc>
      </w:tr>
      <w:tr w:rsidR="00130B43" w:rsidRPr="00B066C6" w14:paraId="3A9C5E70" w14:textId="77777777" w:rsidTr="00B661ED">
        <w:trPr>
          <w:trHeight w:val="320"/>
        </w:trPr>
        <w:tc>
          <w:tcPr>
            <w:tcW w:w="528" w:type="pct"/>
            <w:noWrap/>
            <w:vAlign w:val="center"/>
            <w:hideMark/>
          </w:tcPr>
          <w:p w14:paraId="0E89DFD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BCOF</w:t>
            </w:r>
          </w:p>
        </w:tc>
        <w:tc>
          <w:tcPr>
            <w:tcW w:w="988" w:type="pct"/>
            <w:noWrap/>
            <w:vAlign w:val="center"/>
            <w:hideMark/>
          </w:tcPr>
          <w:p w14:paraId="5A5CECA2"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Myiophobus</w:t>
            </w:r>
            <w:proofErr w:type="spellEnd"/>
            <w:r w:rsidRPr="00992B4B">
              <w:rPr>
                <w:rFonts w:ascii="Times New Roman" w:hAnsi="Times New Roman" w:cs="Times New Roman"/>
                <w:i/>
                <w:iCs/>
                <w:sz w:val="22"/>
                <w:szCs w:val="22"/>
              </w:rPr>
              <w:t xml:space="preserve"> fasciatus</w:t>
            </w:r>
          </w:p>
        </w:tc>
        <w:tc>
          <w:tcPr>
            <w:tcW w:w="834" w:type="pct"/>
            <w:noWrap/>
            <w:vAlign w:val="center"/>
            <w:hideMark/>
          </w:tcPr>
          <w:p w14:paraId="39EEDF2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31" w:type="pct"/>
            <w:noWrap/>
            <w:vAlign w:val="center"/>
            <w:hideMark/>
          </w:tcPr>
          <w:p w14:paraId="1BF41FB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36" w:type="pct"/>
            <w:noWrap/>
            <w:vAlign w:val="center"/>
            <w:hideMark/>
          </w:tcPr>
          <w:p w14:paraId="7F71273C"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7</w:t>
            </w:r>
          </w:p>
        </w:tc>
        <w:tc>
          <w:tcPr>
            <w:tcW w:w="337" w:type="pct"/>
            <w:noWrap/>
            <w:vAlign w:val="center"/>
            <w:hideMark/>
          </w:tcPr>
          <w:p w14:paraId="32FB29C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9.9</w:t>
            </w:r>
          </w:p>
        </w:tc>
        <w:tc>
          <w:tcPr>
            <w:tcW w:w="399" w:type="pct"/>
            <w:noWrap/>
            <w:vAlign w:val="center"/>
            <w:hideMark/>
          </w:tcPr>
          <w:p w14:paraId="687D7574"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13.5</w:t>
            </w:r>
          </w:p>
        </w:tc>
        <w:tc>
          <w:tcPr>
            <w:tcW w:w="276" w:type="pct"/>
            <w:noWrap/>
            <w:vAlign w:val="center"/>
            <w:hideMark/>
          </w:tcPr>
          <w:p w14:paraId="300FC0A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41" w:type="pct"/>
            <w:noWrap/>
            <w:vAlign w:val="center"/>
            <w:hideMark/>
          </w:tcPr>
          <w:p w14:paraId="675E9484"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58.9</w:t>
            </w:r>
          </w:p>
        </w:tc>
        <w:tc>
          <w:tcPr>
            <w:tcW w:w="330" w:type="pct"/>
            <w:noWrap/>
            <w:vAlign w:val="center"/>
            <w:hideMark/>
          </w:tcPr>
          <w:p w14:paraId="3274819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54.1</w:t>
            </w:r>
          </w:p>
        </w:tc>
      </w:tr>
      <w:tr w:rsidR="00130B43" w:rsidRPr="00B066C6" w14:paraId="58C3ACA1" w14:textId="77777777" w:rsidTr="00B661ED">
        <w:trPr>
          <w:trHeight w:val="320"/>
        </w:trPr>
        <w:tc>
          <w:tcPr>
            <w:tcW w:w="528" w:type="pct"/>
            <w:noWrap/>
            <w:vAlign w:val="center"/>
            <w:hideMark/>
          </w:tcPr>
          <w:p w14:paraId="1BDFCDB3"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BCRM</w:t>
            </w:r>
          </w:p>
        </w:tc>
        <w:tc>
          <w:tcPr>
            <w:tcW w:w="988" w:type="pct"/>
            <w:noWrap/>
            <w:vAlign w:val="center"/>
            <w:hideMark/>
          </w:tcPr>
          <w:p w14:paraId="73E30BCA"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Lepidothrix</w:t>
            </w:r>
            <w:proofErr w:type="spellEnd"/>
            <w:r w:rsidRPr="00992B4B">
              <w:rPr>
                <w:rFonts w:ascii="Times New Roman" w:hAnsi="Times New Roman" w:cs="Times New Roman"/>
                <w:i/>
                <w:iCs/>
                <w:sz w:val="22"/>
                <w:szCs w:val="22"/>
              </w:rPr>
              <w:t xml:space="preserve"> coronata</w:t>
            </w:r>
          </w:p>
        </w:tc>
        <w:tc>
          <w:tcPr>
            <w:tcW w:w="834" w:type="pct"/>
            <w:noWrap/>
            <w:vAlign w:val="center"/>
            <w:hideMark/>
          </w:tcPr>
          <w:p w14:paraId="68483453"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31" w:type="pct"/>
            <w:noWrap/>
            <w:vAlign w:val="center"/>
            <w:hideMark/>
          </w:tcPr>
          <w:p w14:paraId="350C3C3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316F626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16</w:t>
            </w:r>
          </w:p>
        </w:tc>
        <w:tc>
          <w:tcPr>
            <w:tcW w:w="337" w:type="pct"/>
            <w:noWrap/>
            <w:vAlign w:val="center"/>
            <w:hideMark/>
          </w:tcPr>
          <w:p w14:paraId="191DC68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8.3</w:t>
            </w:r>
          </w:p>
        </w:tc>
        <w:tc>
          <w:tcPr>
            <w:tcW w:w="399" w:type="pct"/>
            <w:noWrap/>
            <w:vAlign w:val="center"/>
            <w:hideMark/>
          </w:tcPr>
          <w:p w14:paraId="2656181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10.9</w:t>
            </w:r>
          </w:p>
        </w:tc>
        <w:tc>
          <w:tcPr>
            <w:tcW w:w="276" w:type="pct"/>
            <w:noWrap/>
            <w:vAlign w:val="center"/>
            <w:hideMark/>
          </w:tcPr>
          <w:p w14:paraId="4FE6E52C"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3.7</w:t>
            </w:r>
          </w:p>
        </w:tc>
        <w:tc>
          <w:tcPr>
            <w:tcW w:w="341" w:type="pct"/>
            <w:noWrap/>
            <w:vAlign w:val="center"/>
            <w:hideMark/>
          </w:tcPr>
          <w:p w14:paraId="67F2B96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56.8</w:t>
            </w:r>
          </w:p>
        </w:tc>
        <w:tc>
          <w:tcPr>
            <w:tcW w:w="330" w:type="pct"/>
            <w:noWrap/>
            <w:vAlign w:val="center"/>
            <w:hideMark/>
          </w:tcPr>
          <w:p w14:paraId="65BE836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26.6</w:t>
            </w:r>
          </w:p>
        </w:tc>
      </w:tr>
      <w:tr w:rsidR="00130B43" w:rsidRPr="00B066C6" w14:paraId="340A9437" w14:textId="77777777" w:rsidTr="00B661ED">
        <w:trPr>
          <w:trHeight w:val="320"/>
        </w:trPr>
        <w:tc>
          <w:tcPr>
            <w:tcW w:w="528" w:type="pct"/>
            <w:noWrap/>
            <w:vAlign w:val="center"/>
            <w:hideMark/>
          </w:tcPr>
          <w:p w14:paraId="65C28EC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BFDA</w:t>
            </w:r>
          </w:p>
        </w:tc>
        <w:tc>
          <w:tcPr>
            <w:tcW w:w="988" w:type="pct"/>
            <w:noWrap/>
            <w:vAlign w:val="center"/>
            <w:hideMark/>
          </w:tcPr>
          <w:p w14:paraId="73EB5C06"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Dacnis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lineata</w:t>
            </w:r>
            <w:proofErr w:type="spellEnd"/>
          </w:p>
        </w:tc>
        <w:tc>
          <w:tcPr>
            <w:tcW w:w="834" w:type="pct"/>
            <w:noWrap/>
            <w:vAlign w:val="center"/>
            <w:hideMark/>
          </w:tcPr>
          <w:p w14:paraId="2736512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31" w:type="pct"/>
            <w:noWrap/>
            <w:vAlign w:val="center"/>
            <w:hideMark/>
          </w:tcPr>
          <w:p w14:paraId="69D54D6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3707D77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37" w:type="pct"/>
            <w:noWrap/>
            <w:vAlign w:val="center"/>
            <w:hideMark/>
          </w:tcPr>
          <w:p w14:paraId="42E0CE2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11</w:t>
            </w:r>
          </w:p>
        </w:tc>
        <w:tc>
          <w:tcPr>
            <w:tcW w:w="399" w:type="pct"/>
            <w:noWrap/>
            <w:vAlign w:val="center"/>
            <w:hideMark/>
          </w:tcPr>
          <w:p w14:paraId="4551D90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13</w:t>
            </w:r>
          </w:p>
        </w:tc>
        <w:tc>
          <w:tcPr>
            <w:tcW w:w="276" w:type="pct"/>
            <w:noWrap/>
            <w:vAlign w:val="center"/>
            <w:hideMark/>
          </w:tcPr>
          <w:p w14:paraId="6FFEDA9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3.5</w:t>
            </w:r>
          </w:p>
        </w:tc>
        <w:tc>
          <w:tcPr>
            <w:tcW w:w="341" w:type="pct"/>
            <w:noWrap/>
            <w:vAlign w:val="center"/>
            <w:hideMark/>
          </w:tcPr>
          <w:p w14:paraId="1F14F44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58</w:t>
            </w:r>
          </w:p>
        </w:tc>
        <w:tc>
          <w:tcPr>
            <w:tcW w:w="330" w:type="pct"/>
            <w:noWrap/>
            <w:vAlign w:val="center"/>
            <w:hideMark/>
          </w:tcPr>
          <w:p w14:paraId="01EB1ED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40.6</w:t>
            </w:r>
          </w:p>
        </w:tc>
      </w:tr>
      <w:tr w:rsidR="00130B43" w:rsidRPr="00B066C6" w14:paraId="68532F0E" w14:textId="77777777" w:rsidTr="00B661ED">
        <w:trPr>
          <w:trHeight w:val="320"/>
        </w:trPr>
        <w:tc>
          <w:tcPr>
            <w:tcW w:w="528" w:type="pct"/>
            <w:noWrap/>
            <w:vAlign w:val="center"/>
            <w:hideMark/>
          </w:tcPr>
          <w:p w14:paraId="14E4DCB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BGRA</w:t>
            </w:r>
          </w:p>
        </w:tc>
        <w:tc>
          <w:tcPr>
            <w:tcW w:w="988" w:type="pct"/>
            <w:noWrap/>
            <w:vAlign w:val="center"/>
            <w:hideMark/>
          </w:tcPr>
          <w:p w14:paraId="2AF46E6A"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Volatinia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jacarina</w:t>
            </w:r>
            <w:proofErr w:type="spellEnd"/>
          </w:p>
        </w:tc>
        <w:tc>
          <w:tcPr>
            <w:tcW w:w="834" w:type="pct"/>
            <w:noWrap/>
            <w:vAlign w:val="center"/>
            <w:hideMark/>
          </w:tcPr>
          <w:p w14:paraId="7E3C9DB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Granivore</w:t>
            </w:r>
          </w:p>
        </w:tc>
        <w:tc>
          <w:tcPr>
            <w:tcW w:w="631" w:type="pct"/>
            <w:noWrap/>
            <w:vAlign w:val="center"/>
            <w:hideMark/>
          </w:tcPr>
          <w:p w14:paraId="767C559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Human Modified</w:t>
            </w:r>
          </w:p>
        </w:tc>
        <w:tc>
          <w:tcPr>
            <w:tcW w:w="336" w:type="pct"/>
            <w:noWrap/>
            <w:vAlign w:val="center"/>
            <w:hideMark/>
          </w:tcPr>
          <w:p w14:paraId="1AEB89E6"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37" w:type="pct"/>
            <w:noWrap/>
            <w:vAlign w:val="center"/>
            <w:hideMark/>
          </w:tcPr>
          <w:p w14:paraId="5915F786"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9.9</w:t>
            </w:r>
          </w:p>
        </w:tc>
        <w:tc>
          <w:tcPr>
            <w:tcW w:w="399" w:type="pct"/>
            <w:noWrap/>
            <w:vAlign w:val="center"/>
            <w:hideMark/>
          </w:tcPr>
          <w:p w14:paraId="3AC5A7A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10.4</w:t>
            </w:r>
          </w:p>
        </w:tc>
        <w:tc>
          <w:tcPr>
            <w:tcW w:w="276" w:type="pct"/>
            <w:noWrap/>
            <w:vAlign w:val="center"/>
            <w:hideMark/>
          </w:tcPr>
          <w:p w14:paraId="4BBD483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4.3</w:t>
            </w:r>
          </w:p>
        </w:tc>
        <w:tc>
          <w:tcPr>
            <w:tcW w:w="341" w:type="pct"/>
            <w:noWrap/>
            <w:vAlign w:val="center"/>
            <w:hideMark/>
          </w:tcPr>
          <w:p w14:paraId="3788800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47.8</w:t>
            </w:r>
          </w:p>
        </w:tc>
        <w:tc>
          <w:tcPr>
            <w:tcW w:w="330" w:type="pct"/>
            <w:noWrap/>
            <w:vAlign w:val="center"/>
            <w:hideMark/>
          </w:tcPr>
          <w:p w14:paraId="0AA49E22"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42.8</w:t>
            </w:r>
          </w:p>
        </w:tc>
      </w:tr>
      <w:tr w:rsidR="00130B43" w:rsidRPr="00B066C6" w14:paraId="41C4D275" w14:textId="77777777" w:rsidTr="00B661ED">
        <w:trPr>
          <w:trHeight w:val="320"/>
        </w:trPr>
        <w:tc>
          <w:tcPr>
            <w:tcW w:w="528" w:type="pct"/>
            <w:noWrap/>
            <w:vAlign w:val="center"/>
            <w:hideMark/>
          </w:tcPr>
          <w:p w14:paraId="5A41087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BGRO</w:t>
            </w:r>
          </w:p>
        </w:tc>
        <w:tc>
          <w:tcPr>
            <w:tcW w:w="988" w:type="pct"/>
            <w:noWrap/>
            <w:vAlign w:val="center"/>
            <w:hideMark/>
          </w:tcPr>
          <w:p w14:paraId="0BEEE260"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Cyanoloxia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cyanoides</w:t>
            </w:r>
            <w:proofErr w:type="spellEnd"/>
          </w:p>
        </w:tc>
        <w:tc>
          <w:tcPr>
            <w:tcW w:w="834" w:type="pct"/>
            <w:noWrap/>
            <w:vAlign w:val="center"/>
            <w:hideMark/>
          </w:tcPr>
          <w:p w14:paraId="666F3D3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Granivore</w:t>
            </w:r>
          </w:p>
        </w:tc>
        <w:tc>
          <w:tcPr>
            <w:tcW w:w="631" w:type="pct"/>
            <w:noWrap/>
            <w:vAlign w:val="center"/>
            <w:hideMark/>
          </w:tcPr>
          <w:p w14:paraId="548D281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46491AB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37" w:type="pct"/>
            <w:noWrap/>
            <w:vAlign w:val="center"/>
            <w:hideMark/>
          </w:tcPr>
          <w:p w14:paraId="7D93603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32.5</w:t>
            </w:r>
          </w:p>
        </w:tc>
        <w:tc>
          <w:tcPr>
            <w:tcW w:w="399" w:type="pct"/>
            <w:noWrap/>
            <w:vAlign w:val="center"/>
            <w:hideMark/>
          </w:tcPr>
          <w:p w14:paraId="19DFB1A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19.6</w:t>
            </w:r>
          </w:p>
        </w:tc>
        <w:tc>
          <w:tcPr>
            <w:tcW w:w="276" w:type="pct"/>
            <w:noWrap/>
            <w:vAlign w:val="center"/>
            <w:hideMark/>
          </w:tcPr>
          <w:p w14:paraId="35AEC44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10.2</w:t>
            </w:r>
          </w:p>
        </w:tc>
        <w:tc>
          <w:tcPr>
            <w:tcW w:w="341" w:type="pct"/>
            <w:noWrap/>
            <w:vAlign w:val="center"/>
            <w:hideMark/>
          </w:tcPr>
          <w:p w14:paraId="0CADDB7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79.6</w:t>
            </w:r>
          </w:p>
        </w:tc>
        <w:tc>
          <w:tcPr>
            <w:tcW w:w="330" w:type="pct"/>
            <w:noWrap/>
            <w:vAlign w:val="center"/>
            <w:hideMark/>
          </w:tcPr>
          <w:p w14:paraId="04C9837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66.8</w:t>
            </w:r>
          </w:p>
        </w:tc>
      </w:tr>
      <w:tr w:rsidR="00130B43" w:rsidRPr="00B066C6" w14:paraId="79E02946" w14:textId="77777777" w:rsidTr="00B661ED">
        <w:trPr>
          <w:trHeight w:val="320"/>
        </w:trPr>
        <w:tc>
          <w:tcPr>
            <w:tcW w:w="528" w:type="pct"/>
            <w:noWrap/>
            <w:vAlign w:val="center"/>
            <w:hideMark/>
          </w:tcPr>
          <w:p w14:paraId="36CA99C3"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BGTA</w:t>
            </w:r>
          </w:p>
        </w:tc>
        <w:tc>
          <w:tcPr>
            <w:tcW w:w="988" w:type="pct"/>
            <w:noWrap/>
            <w:vAlign w:val="center"/>
            <w:hideMark/>
          </w:tcPr>
          <w:p w14:paraId="15799DB7" w14:textId="77777777" w:rsidR="00130B43" w:rsidRPr="00992B4B" w:rsidRDefault="00130B43" w:rsidP="002A312F">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Tangara episcopus</w:t>
            </w:r>
          </w:p>
        </w:tc>
        <w:tc>
          <w:tcPr>
            <w:tcW w:w="834" w:type="pct"/>
            <w:noWrap/>
            <w:vAlign w:val="center"/>
            <w:hideMark/>
          </w:tcPr>
          <w:p w14:paraId="75A4411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31" w:type="pct"/>
            <w:noWrap/>
            <w:vAlign w:val="center"/>
            <w:hideMark/>
          </w:tcPr>
          <w:p w14:paraId="3961A70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7251C70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7</w:t>
            </w:r>
          </w:p>
        </w:tc>
        <w:tc>
          <w:tcPr>
            <w:tcW w:w="337" w:type="pct"/>
            <w:noWrap/>
            <w:vAlign w:val="center"/>
            <w:hideMark/>
          </w:tcPr>
          <w:p w14:paraId="464D51A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35</w:t>
            </w:r>
          </w:p>
        </w:tc>
        <w:tc>
          <w:tcPr>
            <w:tcW w:w="399" w:type="pct"/>
            <w:noWrap/>
            <w:vAlign w:val="center"/>
            <w:hideMark/>
          </w:tcPr>
          <w:p w14:paraId="1F43368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14.2</w:t>
            </w:r>
          </w:p>
        </w:tc>
        <w:tc>
          <w:tcPr>
            <w:tcW w:w="276" w:type="pct"/>
            <w:noWrap/>
            <w:vAlign w:val="center"/>
            <w:hideMark/>
          </w:tcPr>
          <w:p w14:paraId="708FF3B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6.4</w:t>
            </w:r>
          </w:p>
        </w:tc>
        <w:tc>
          <w:tcPr>
            <w:tcW w:w="341" w:type="pct"/>
            <w:noWrap/>
            <w:vAlign w:val="center"/>
            <w:hideMark/>
          </w:tcPr>
          <w:p w14:paraId="5D84C9E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87.3</w:t>
            </w:r>
          </w:p>
        </w:tc>
        <w:tc>
          <w:tcPr>
            <w:tcW w:w="330" w:type="pct"/>
            <w:noWrap/>
            <w:vAlign w:val="center"/>
            <w:hideMark/>
          </w:tcPr>
          <w:p w14:paraId="4A42A5D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64</w:t>
            </w:r>
          </w:p>
        </w:tc>
      </w:tr>
      <w:tr w:rsidR="00130B43" w:rsidRPr="00B066C6" w14:paraId="0DE2E024" w14:textId="77777777" w:rsidTr="00B661ED">
        <w:trPr>
          <w:trHeight w:val="320"/>
        </w:trPr>
        <w:tc>
          <w:tcPr>
            <w:tcW w:w="528" w:type="pct"/>
            <w:noWrap/>
            <w:vAlign w:val="center"/>
            <w:hideMark/>
          </w:tcPr>
          <w:p w14:paraId="279C674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BHTA</w:t>
            </w:r>
          </w:p>
        </w:tc>
        <w:tc>
          <w:tcPr>
            <w:tcW w:w="988" w:type="pct"/>
            <w:noWrap/>
            <w:vAlign w:val="center"/>
            <w:hideMark/>
          </w:tcPr>
          <w:p w14:paraId="3632EA95" w14:textId="77777777" w:rsidR="00130B43" w:rsidRPr="00992B4B" w:rsidRDefault="00130B43" w:rsidP="002A312F">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Tangara </w:t>
            </w:r>
            <w:proofErr w:type="spellStart"/>
            <w:r w:rsidRPr="00992B4B">
              <w:rPr>
                <w:rFonts w:ascii="Times New Roman" w:hAnsi="Times New Roman" w:cs="Times New Roman"/>
                <w:i/>
                <w:iCs/>
                <w:sz w:val="22"/>
                <w:szCs w:val="22"/>
              </w:rPr>
              <w:t>gyrola</w:t>
            </w:r>
            <w:proofErr w:type="spellEnd"/>
          </w:p>
        </w:tc>
        <w:tc>
          <w:tcPr>
            <w:tcW w:w="834" w:type="pct"/>
            <w:noWrap/>
            <w:vAlign w:val="center"/>
            <w:hideMark/>
          </w:tcPr>
          <w:p w14:paraId="5A5E1D2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31" w:type="pct"/>
            <w:noWrap/>
            <w:vAlign w:val="center"/>
            <w:hideMark/>
          </w:tcPr>
          <w:p w14:paraId="67918F3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56307C09"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37" w:type="pct"/>
            <w:noWrap/>
            <w:vAlign w:val="center"/>
            <w:hideMark/>
          </w:tcPr>
          <w:p w14:paraId="1D13488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21</w:t>
            </w:r>
          </w:p>
        </w:tc>
        <w:tc>
          <w:tcPr>
            <w:tcW w:w="399" w:type="pct"/>
            <w:noWrap/>
            <w:vAlign w:val="center"/>
            <w:hideMark/>
          </w:tcPr>
          <w:p w14:paraId="07D3168D"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12.7</w:t>
            </w:r>
          </w:p>
        </w:tc>
        <w:tc>
          <w:tcPr>
            <w:tcW w:w="276" w:type="pct"/>
            <w:noWrap/>
            <w:vAlign w:val="center"/>
            <w:hideMark/>
          </w:tcPr>
          <w:p w14:paraId="4814E41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4.8</w:t>
            </w:r>
          </w:p>
        </w:tc>
        <w:tc>
          <w:tcPr>
            <w:tcW w:w="341" w:type="pct"/>
            <w:noWrap/>
            <w:vAlign w:val="center"/>
            <w:hideMark/>
          </w:tcPr>
          <w:p w14:paraId="647ED0B2"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73.5</w:t>
            </w:r>
          </w:p>
        </w:tc>
        <w:tc>
          <w:tcPr>
            <w:tcW w:w="330" w:type="pct"/>
            <w:noWrap/>
            <w:vAlign w:val="center"/>
            <w:hideMark/>
          </w:tcPr>
          <w:p w14:paraId="7019190C"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51.4</w:t>
            </w:r>
          </w:p>
        </w:tc>
      </w:tr>
      <w:tr w:rsidR="00130B43" w:rsidRPr="00B066C6" w14:paraId="7B985422" w14:textId="77777777" w:rsidTr="00B661ED">
        <w:trPr>
          <w:trHeight w:val="320"/>
        </w:trPr>
        <w:tc>
          <w:tcPr>
            <w:tcW w:w="528" w:type="pct"/>
            <w:noWrap/>
            <w:vAlign w:val="center"/>
            <w:hideMark/>
          </w:tcPr>
          <w:p w14:paraId="53BD8571"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BIAN</w:t>
            </w:r>
          </w:p>
        </w:tc>
        <w:tc>
          <w:tcPr>
            <w:tcW w:w="988" w:type="pct"/>
            <w:noWrap/>
            <w:vAlign w:val="center"/>
            <w:hideMark/>
          </w:tcPr>
          <w:p w14:paraId="28B51B04" w14:textId="77777777" w:rsidR="00130B43" w:rsidRPr="00992B4B" w:rsidRDefault="00130B43" w:rsidP="002A312F">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Gymnopithys</w:t>
            </w:r>
            <w:proofErr w:type="spellEnd"/>
            <w:r w:rsidRPr="00992B4B">
              <w:rPr>
                <w:rFonts w:ascii="Times New Roman" w:hAnsi="Times New Roman" w:cs="Times New Roman"/>
                <w:i/>
                <w:iCs/>
                <w:sz w:val="22"/>
                <w:szCs w:val="22"/>
              </w:rPr>
              <w:t xml:space="preserve"> bicolor</w:t>
            </w:r>
          </w:p>
        </w:tc>
        <w:tc>
          <w:tcPr>
            <w:tcW w:w="834" w:type="pct"/>
            <w:noWrap/>
            <w:vAlign w:val="center"/>
            <w:hideMark/>
          </w:tcPr>
          <w:p w14:paraId="46DA2F8F"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31" w:type="pct"/>
            <w:noWrap/>
            <w:vAlign w:val="center"/>
            <w:hideMark/>
          </w:tcPr>
          <w:p w14:paraId="3B5F694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5655901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7</w:t>
            </w:r>
          </w:p>
        </w:tc>
        <w:tc>
          <w:tcPr>
            <w:tcW w:w="337" w:type="pct"/>
            <w:noWrap/>
            <w:vAlign w:val="center"/>
            <w:hideMark/>
          </w:tcPr>
          <w:p w14:paraId="2B85CC6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31.1</w:t>
            </w:r>
          </w:p>
        </w:tc>
        <w:tc>
          <w:tcPr>
            <w:tcW w:w="399" w:type="pct"/>
            <w:noWrap/>
            <w:vAlign w:val="center"/>
            <w:hideMark/>
          </w:tcPr>
          <w:p w14:paraId="46FE48AE"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18.5</w:t>
            </w:r>
          </w:p>
        </w:tc>
        <w:tc>
          <w:tcPr>
            <w:tcW w:w="276" w:type="pct"/>
            <w:noWrap/>
            <w:vAlign w:val="center"/>
            <w:hideMark/>
          </w:tcPr>
          <w:p w14:paraId="243711D4"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5.1</w:t>
            </w:r>
          </w:p>
        </w:tc>
        <w:tc>
          <w:tcPr>
            <w:tcW w:w="341" w:type="pct"/>
            <w:noWrap/>
            <w:vAlign w:val="center"/>
            <w:hideMark/>
          </w:tcPr>
          <w:p w14:paraId="6FB3CAF4"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75.3</w:t>
            </w:r>
          </w:p>
        </w:tc>
        <w:tc>
          <w:tcPr>
            <w:tcW w:w="330" w:type="pct"/>
            <w:noWrap/>
            <w:vAlign w:val="center"/>
            <w:hideMark/>
          </w:tcPr>
          <w:p w14:paraId="5F7DE3C8"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46.6</w:t>
            </w:r>
          </w:p>
        </w:tc>
      </w:tr>
      <w:tr w:rsidR="00130B43" w:rsidRPr="00B066C6" w14:paraId="632F6220" w14:textId="77777777" w:rsidTr="00B661ED">
        <w:trPr>
          <w:trHeight w:val="320"/>
        </w:trPr>
        <w:tc>
          <w:tcPr>
            <w:tcW w:w="528" w:type="pct"/>
            <w:noWrap/>
            <w:vAlign w:val="center"/>
            <w:hideMark/>
          </w:tcPr>
          <w:p w14:paraId="1DE08C72"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BNTA</w:t>
            </w:r>
          </w:p>
        </w:tc>
        <w:tc>
          <w:tcPr>
            <w:tcW w:w="988" w:type="pct"/>
            <w:noWrap/>
            <w:vAlign w:val="center"/>
            <w:hideMark/>
          </w:tcPr>
          <w:p w14:paraId="4A78C110" w14:textId="77777777" w:rsidR="00130B43" w:rsidRPr="00992B4B" w:rsidRDefault="00130B43" w:rsidP="002A312F">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Tangara </w:t>
            </w:r>
            <w:proofErr w:type="spellStart"/>
            <w:r w:rsidRPr="00992B4B">
              <w:rPr>
                <w:rFonts w:ascii="Times New Roman" w:hAnsi="Times New Roman" w:cs="Times New Roman"/>
                <w:i/>
                <w:iCs/>
                <w:sz w:val="22"/>
                <w:szCs w:val="22"/>
              </w:rPr>
              <w:t>cyanicollis</w:t>
            </w:r>
            <w:proofErr w:type="spellEnd"/>
          </w:p>
        </w:tc>
        <w:tc>
          <w:tcPr>
            <w:tcW w:w="834" w:type="pct"/>
            <w:noWrap/>
            <w:vAlign w:val="center"/>
            <w:hideMark/>
          </w:tcPr>
          <w:p w14:paraId="15935FE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31" w:type="pct"/>
            <w:noWrap/>
            <w:vAlign w:val="center"/>
            <w:hideMark/>
          </w:tcPr>
          <w:p w14:paraId="51D1DEC7"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6" w:type="pct"/>
            <w:noWrap/>
            <w:vAlign w:val="center"/>
            <w:hideMark/>
          </w:tcPr>
          <w:p w14:paraId="7B5C604A"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9</w:t>
            </w:r>
          </w:p>
        </w:tc>
        <w:tc>
          <w:tcPr>
            <w:tcW w:w="337" w:type="pct"/>
            <w:noWrap/>
            <w:vAlign w:val="center"/>
            <w:hideMark/>
          </w:tcPr>
          <w:p w14:paraId="21E6FB95"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17</w:t>
            </w:r>
          </w:p>
        </w:tc>
        <w:tc>
          <w:tcPr>
            <w:tcW w:w="399" w:type="pct"/>
            <w:noWrap/>
            <w:vAlign w:val="center"/>
            <w:hideMark/>
          </w:tcPr>
          <w:p w14:paraId="354E50FB"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12.3</w:t>
            </w:r>
          </w:p>
        </w:tc>
        <w:tc>
          <w:tcPr>
            <w:tcW w:w="276" w:type="pct"/>
            <w:noWrap/>
            <w:vAlign w:val="center"/>
            <w:hideMark/>
          </w:tcPr>
          <w:p w14:paraId="18857C76"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4.5</w:t>
            </w:r>
          </w:p>
        </w:tc>
        <w:tc>
          <w:tcPr>
            <w:tcW w:w="341" w:type="pct"/>
            <w:noWrap/>
            <w:vAlign w:val="center"/>
            <w:hideMark/>
          </w:tcPr>
          <w:p w14:paraId="54047516"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66.1</w:t>
            </w:r>
          </w:p>
        </w:tc>
        <w:tc>
          <w:tcPr>
            <w:tcW w:w="330" w:type="pct"/>
            <w:noWrap/>
            <w:vAlign w:val="center"/>
            <w:hideMark/>
          </w:tcPr>
          <w:p w14:paraId="4A0CAC00" w14:textId="77777777" w:rsidR="00130B43" w:rsidRPr="00B066C6" w:rsidRDefault="00130B43" w:rsidP="002A312F">
            <w:pPr>
              <w:spacing w:before="0"/>
              <w:jc w:val="center"/>
              <w:rPr>
                <w:rFonts w:ascii="Times New Roman" w:hAnsi="Times New Roman" w:cs="Times New Roman"/>
                <w:sz w:val="22"/>
                <w:szCs w:val="22"/>
              </w:rPr>
            </w:pPr>
            <w:r w:rsidRPr="00B066C6">
              <w:rPr>
                <w:rFonts w:ascii="Times New Roman" w:hAnsi="Times New Roman" w:cs="Times New Roman"/>
                <w:sz w:val="22"/>
                <w:szCs w:val="22"/>
              </w:rPr>
              <w:t>46.5</w:t>
            </w:r>
          </w:p>
        </w:tc>
      </w:tr>
    </w:tbl>
    <w:p w14:paraId="5867E35D" w14:textId="77777777" w:rsidR="001918D7" w:rsidRDefault="001918D7">
      <w:r>
        <w:br w:type="page"/>
      </w:r>
    </w:p>
    <w:tbl>
      <w:tblPr>
        <w:tblStyle w:val="TableGrid"/>
        <w:tblW w:w="5000" w:type="pct"/>
        <w:tblLayout w:type="fixed"/>
        <w:tblLook w:val="04A0" w:firstRow="1" w:lastRow="0" w:firstColumn="1" w:lastColumn="0" w:noHBand="0" w:noVBand="1"/>
      </w:tblPr>
      <w:tblGrid>
        <w:gridCol w:w="898"/>
        <w:gridCol w:w="1935"/>
        <w:gridCol w:w="1305"/>
        <w:gridCol w:w="1170"/>
        <w:gridCol w:w="631"/>
        <w:gridCol w:w="721"/>
        <w:gridCol w:w="629"/>
        <w:gridCol w:w="541"/>
        <w:gridCol w:w="811"/>
        <w:gridCol w:w="719"/>
      </w:tblGrid>
      <w:tr w:rsidR="00D56D09" w:rsidRPr="00B066C6" w14:paraId="01E8B352" w14:textId="77777777" w:rsidTr="00BA36F1">
        <w:trPr>
          <w:trHeight w:val="320"/>
        </w:trPr>
        <w:tc>
          <w:tcPr>
            <w:tcW w:w="5000" w:type="pct"/>
            <w:gridSpan w:val="10"/>
            <w:tcBorders>
              <w:top w:val="nil"/>
              <w:left w:val="nil"/>
              <w:bottom w:val="single" w:sz="4" w:space="0" w:color="auto"/>
              <w:right w:val="nil"/>
            </w:tcBorders>
            <w:noWrap/>
            <w:vAlign w:val="center"/>
          </w:tcPr>
          <w:p w14:paraId="5AEE4562" w14:textId="39797BB5" w:rsidR="00D56D09" w:rsidRPr="00B066C6" w:rsidRDefault="00D56D09" w:rsidP="00BA36F1">
            <w:pPr>
              <w:spacing w:before="0"/>
              <w:rPr>
                <w:rFonts w:ascii="Times New Roman" w:hAnsi="Times New Roman" w:cs="Times New Roman"/>
                <w:sz w:val="22"/>
                <w:szCs w:val="22"/>
              </w:rPr>
            </w:pPr>
            <w:r w:rsidRPr="00B33A86">
              <w:rPr>
                <w:rFonts w:ascii="Times New Roman" w:hAnsi="Times New Roman" w:cs="Times New Roman"/>
                <w:b/>
                <w:bCs/>
              </w:rPr>
              <w:lastRenderedPageBreak/>
              <w:t>Supplementary Table 2</w:t>
            </w:r>
            <w:r w:rsidRPr="00B33A86">
              <w:rPr>
                <w:rFonts w:ascii="Times New Roman" w:hAnsi="Times New Roman" w:cs="Times New Roman"/>
              </w:rPr>
              <w:t xml:space="preserve"> Continued. </w:t>
            </w:r>
          </w:p>
        </w:tc>
      </w:tr>
      <w:tr w:rsidR="00B661ED" w:rsidRPr="00B066C6" w14:paraId="64614E5E" w14:textId="77777777" w:rsidTr="00B661ED">
        <w:trPr>
          <w:trHeight w:val="320"/>
        </w:trPr>
        <w:tc>
          <w:tcPr>
            <w:tcW w:w="480" w:type="pct"/>
            <w:tcBorders>
              <w:top w:val="single" w:sz="4" w:space="0" w:color="auto"/>
            </w:tcBorders>
            <w:noWrap/>
            <w:vAlign w:val="center"/>
            <w:hideMark/>
          </w:tcPr>
          <w:p w14:paraId="573407C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BRAT</w:t>
            </w:r>
          </w:p>
        </w:tc>
        <w:tc>
          <w:tcPr>
            <w:tcW w:w="1034" w:type="pct"/>
            <w:tcBorders>
              <w:top w:val="single" w:sz="4" w:space="0" w:color="auto"/>
            </w:tcBorders>
            <w:noWrap/>
            <w:vAlign w:val="center"/>
            <w:hideMark/>
          </w:tcPr>
          <w:p w14:paraId="021B904E"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Attila </w:t>
            </w:r>
            <w:proofErr w:type="spellStart"/>
            <w:r w:rsidRPr="00992B4B">
              <w:rPr>
                <w:rFonts w:ascii="Times New Roman" w:hAnsi="Times New Roman" w:cs="Times New Roman"/>
                <w:i/>
                <w:iCs/>
                <w:sz w:val="22"/>
                <w:szCs w:val="22"/>
              </w:rPr>
              <w:t>spadiceus</w:t>
            </w:r>
            <w:proofErr w:type="spellEnd"/>
          </w:p>
        </w:tc>
        <w:tc>
          <w:tcPr>
            <w:tcW w:w="697" w:type="pct"/>
            <w:tcBorders>
              <w:top w:val="single" w:sz="4" w:space="0" w:color="auto"/>
            </w:tcBorders>
            <w:noWrap/>
            <w:vAlign w:val="center"/>
            <w:hideMark/>
          </w:tcPr>
          <w:p w14:paraId="767BA22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tcBorders>
              <w:top w:val="single" w:sz="4" w:space="0" w:color="auto"/>
            </w:tcBorders>
            <w:noWrap/>
            <w:vAlign w:val="center"/>
            <w:hideMark/>
          </w:tcPr>
          <w:p w14:paraId="0007A2C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tcBorders>
              <w:top w:val="single" w:sz="4" w:space="0" w:color="auto"/>
            </w:tcBorders>
            <w:noWrap/>
            <w:vAlign w:val="center"/>
            <w:hideMark/>
          </w:tcPr>
          <w:p w14:paraId="3FFBC3E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tcBorders>
              <w:top w:val="single" w:sz="4" w:space="0" w:color="auto"/>
            </w:tcBorders>
            <w:noWrap/>
            <w:vAlign w:val="center"/>
            <w:hideMark/>
          </w:tcPr>
          <w:p w14:paraId="3897E73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39.1</w:t>
            </w:r>
          </w:p>
        </w:tc>
        <w:tc>
          <w:tcPr>
            <w:tcW w:w="336" w:type="pct"/>
            <w:tcBorders>
              <w:top w:val="single" w:sz="4" w:space="0" w:color="auto"/>
            </w:tcBorders>
            <w:noWrap/>
            <w:vAlign w:val="center"/>
            <w:hideMark/>
          </w:tcPr>
          <w:p w14:paraId="368EE09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22.3</w:t>
            </w:r>
          </w:p>
        </w:tc>
        <w:tc>
          <w:tcPr>
            <w:tcW w:w="289" w:type="pct"/>
            <w:tcBorders>
              <w:top w:val="single" w:sz="4" w:space="0" w:color="auto"/>
            </w:tcBorders>
            <w:noWrap/>
            <w:vAlign w:val="center"/>
            <w:hideMark/>
          </w:tcPr>
          <w:p w14:paraId="224B852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7.3</w:t>
            </w:r>
          </w:p>
        </w:tc>
        <w:tc>
          <w:tcPr>
            <w:tcW w:w="433" w:type="pct"/>
            <w:tcBorders>
              <w:top w:val="single" w:sz="4" w:space="0" w:color="auto"/>
            </w:tcBorders>
            <w:noWrap/>
            <w:vAlign w:val="center"/>
            <w:hideMark/>
          </w:tcPr>
          <w:p w14:paraId="46402A1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85.6</w:t>
            </w:r>
          </w:p>
        </w:tc>
        <w:tc>
          <w:tcPr>
            <w:tcW w:w="385" w:type="pct"/>
            <w:tcBorders>
              <w:top w:val="single" w:sz="4" w:space="0" w:color="auto"/>
            </w:tcBorders>
            <w:noWrap/>
            <w:vAlign w:val="center"/>
            <w:hideMark/>
          </w:tcPr>
          <w:p w14:paraId="269CB1E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67.8</w:t>
            </w:r>
          </w:p>
        </w:tc>
      </w:tr>
      <w:tr w:rsidR="00B661ED" w:rsidRPr="00B066C6" w14:paraId="08981200" w14:textId="77777777" w:rsidTr="00B661ED">
        <w:trPr>
          <w:trHeight w:val="320"/>
        </w:trPr>
        <w:tc>
          <w:tcPr>
            <w:tcW w:w="480" w:type="pct"/>
            <w:noWrap/>
            <w:vAlign w:val="center"/>
            <w:hideMark/>
          </w:tcPr>
          <w:p w14:paraId="0408647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BTBA</w:t>
            </w:r>
          </w:p>
        </w:tc>
        <w:tc>
          <w:tcPr>
            <w:tcW w:w="1034" w:type="pct"/>
            <w:noWrap/>
            <w:vAlign w:val="center"/>
            <w:hideMark/>
          </w:tcPr>
          <w:p w14:paraId="5103B7F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Threnetes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ruckeri</w:t>
            </w:r>
            <w:proofErr w:type="spellEnd"/>
          </w:p>
        </w:tc>
        <w:tc>
          <w:tcPr>
            <w:tcW w:w="697" w:type="pct"/>
            <w:noWrap/>
            <w:vAlign w:val="center"/>
            <w:hideMark/>
          </w:tcPr>
          <w:p w14:paraId="16B4A30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25" w:type="pct"/>
            <w:noWrap/>
            <w:vAlign w:val="center"/>
            <w:hideMark/>
          </w:tcPr>
          <w:p w14:paraId="2ADEC41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3F14A46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w:t>
            </w:r>
          </w:p>
        </w:tc>
        <w:tc>
          <w:tcPr>
            <w:tcW w:w="385" w:type="pct"/>
            <w:noWrap/>
            <w:vAlign w:val="center"/>
            <w:hideMark/>
          </w:tcPr>
          <w:p w14:paraId="15F4EB2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w:t>
            </w:r>
          </w:p>
        </w:tc>
        <w:tc>
          <w:tcPr>
            <w:tcW w:w="336" w:type="pct"/>
            <w:noWrap/>
            <w:vAlign w:val="center"/>
            <w:hideMark/>
          </w:tcPr>
          <w:p w14:paraId="6FEDECD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33.4</w:t>
            </w:r>
          </w:p>
        </w:tc>
        <w:tc>
          <w:tcPr>
            <w:tcW w:w="289" w:type="pct"/>
            <w:noWrap/>
            <w:vAlign w:val="center"/>
            <w:hideMark/>
          </w:tcPr>
          <w:p w14:paraId="15A2E9D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433" w:type="pct"/>
            <w:noWrap/>
            <w:vAlign w:val="center"/>
            <w:hideMark/>
          </w:tcPr>
          <w:p w14:paraId="25F2985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56.6</w:t>
            </w:r>
          </w:p>
        </w:tc>
        <w:tc>
          <w:tcPr>
            <w:tcW w:w="385" w:type="pct"/>
            <w:noWrap/>
            <w:vAlign w:val="center"/>
            <w:hideMark/>
          </w:tcPr>
          <w:p w14:paraId="66CAAE9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36.3</w:t>
            </w:r>
          </w:p>
        </w:tc>
      </w:tr>
      <w:tr w:rsidR="00B661ED" w:rsidRPr="00B066C6" w14:paraId="7956ED41" w14:textId="77777777" w:rsidTr="00B661ED">
        <w:trPr>
          <w:trHeight w:val="320"/>
        </w:trPr>
        <w:tc>
          <w:tcPr>
            <w:tcW w:w="480" w:type="pct"/>
            <w:noWrap/>
            <w:vAlign w:val="center"/>
            <w:hideMark/>
          </w:tcPr>
          <w:p w14:paraId="4CF7403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BTFG</w:t>
            </w:r>
          </w:p>
        </w:tc>
        <w:tc>
          <w:tcPr>
            <w:tcW w:w="1034" w:type="pct"/>
            <w:noWrap/>
            <w:vAlign w:val="center"/>
            <w:hideMark/>
          </w:tcPr>
          <w:p w14:paraId="44689E35"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Automolus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ochrolaemus</w:t>
            </w:r>
            <w:proofErr w:type="spellEnd"/>
          </w:p>
        </w:tc>
        <w:tc>
          <w:tcPr>
            <w:tcW w:w="697" w:type="pct"/>
            <w:noWrap/>
            <w:vAlign w:val="center"/>
            <w:hideMark/>
          </w:tcPr>
          <w:p w14:paraId="7C8A319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5C9E567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4168B60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noWrap/>
            <w:vAlign w:val="center"/>
            <w:hideMark/>
          </w:tcPr>
          <w:p w14:paraId="691C025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40.2</w:t>
            </w:r>
          </w:p>
        </w:tc>
        <w:tc>
          <w:tcPr>
            <w:tcW w:w="336" w:type="pct"/>
            <w:noWrap/>
            <w:vAlign w:val="center"/>
            <w:hideMark/>
          </w:tcPr>
          <w:p w14:paraId="729358C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22.7</w:t>
            </w:r>
          </w:p>
        </w:tc>
        <w:tc>
          <w:tcPr>
            <w:tcW w:w="289" w:type="pct"/>
            <w:noWrap/>
            <w:vAlign w:val="center"/>
            <w:hideMark/>
          </w:tcPr>
          <w:p w14:paraId="19C12CC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w:t>
            </w:r>
          </w:p>
        </w:tc>
        <w:tc>
          <w:tcPr>
            <w:tcW w:w="433" w:type="pct"/>
            <w:noWrap/>
            <w:vAlign w:val="center"/>
            <w:hideMark/>
          </w:tcPr>
          <w:p w14:paraId="22DF6C0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87.1</w:t>
            </w:r>
          </w:p>
        </w:tc>
        <w:tc>
          <w:tcPr>
            <w:tcW w:w="385" w:type="pct"/>
            <w:noWrap/>
            <w:vAlign w:val="center"/>
            <w:hideMark/>
          </w:tcPr>
          <w:p w14:paraId="704099B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74.8</w:t>
            </w:r>
          </w:p>
        </w:tc>
      </w:tr>
      <w:tr w:rsidR="00B661ED" w:rsidRPr="00B066C6" w14:paraId="37E0B1C6" w14:textId="77777777" w:rsidTr="00B661ED">
        <w:trPr>
          <w:trHeight w:val="320"/>
        </w:trPr>
        <w:tc>
          <w:tcPr>
            <w:tcW w:w="480" w:type="pct"/>
            <w:noWrap/>
            <w:vAlign w:val="center"/>
            <w:hideMark/>
          </w:tcPr>
          <w:p w14:paraId="16D8D1B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BTSA</w:t>
            </w:r>
          </w:p>
        </w:tc>
        <w:tc>
          <w:tcPr>
            <w:tcW w:w="1034" w:type="pct"/>
            <w:noWrap/>
            <w:vAlign w:val="center"/>
            <w:hideMark/>
          </w:tcPr>
          <w:p w14:paraId="16F26A78"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Saltator maximus</w:t>
            </w:r>
          </w:p>
        </w:tc>
        <w:tc>
          <w:tcPr>
            <w:tcW w:w="697" w:type="pct"/>
            <w:noWrap/>
            <w:vAlign w:val="center"/>
            <w:hideMark/>
          </w:tcPr>
          <w:p w14:paraId="6CEB43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5" w:type="pct"/>
            <w:noWrap/>
            <w:vAlign w:val="center"/>
            <w:hideMark/>
          </w:tcPr>
          <w:p w14:paraId="1880D1C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37" w:type="pct"/>
            <w:noWrap/>
            <w:vAlign w:val="center"/>
            <w:hideMark/>
          </w:tcPr>
          <w:p w14:paraId="20FCE18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w:t>
            </w:r>
          </w:p>
        </w:tc>
        <w:tc>
          <w:tcPr>
            <w:tcW w:w="385" w:type="pct"/>
            <w:noWrap/>
            <w:vAlign w:val="center"/>
            <w:hideMark/>
          </w:tcPr>
          <w:p w14:paraId="2064421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47.6</w:t>
            </w:r>
          </w:p>
        </w:tc>
        <w:tc>
          <w:tcPr>
            <w:tcW w:w="336" w:type="pct"/>
            <w:noWrap/>
            <w:vAlign w:val="center"/>
            <w:hideMark/>
          </w:tcPr>
          <w:p w14:paraId="414874F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20.7</w:t>
            </w:r>
          </w:p>
        </w:tc>
        <w:tc>
          <w:tcPr>
            <w:tcW w:w="289" w:type="pct"/>
            <w:noWrap/>
            <w:vAlign w:val="center"/>
            <w:hideMark/>
          </w:tcPr>
          <w:p w14:paraId="13BB6D2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8.9</w:t>
            </w:r>
          </w:p>
        </w:tc>
        <w:tc>
          <w:tcPr>
            <w:tcW w:w="433" w:type="pct"/>
            <w:noWrap/>
            <w:vAlign w:val="center"/>
            <w:hideMark/>
          </w:tcPr>
          <w:p w14:paraId="1856AFE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96.1</w:t>
            </w:r>
          </w:p>
        </w:tc>
        <w:tc>
          <w:tcPr>
            <w:tcW w:w="385" w:type="pct"/>
            <w:noWrap/>
            <w:vAlign w:val="center"/>
            <w:hideMark/>
          </w:tcPr>
          <w:p w14:paraId="50A7291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88.9</w:t>
            </w:r>
          </w:p>
        </w:tc>
      </w:tr>
      <w:tr w:rsidR="00B661ED" w:rsidRPr="00B066C6" w14:paraId="516B9A02" w14:textId="77777777" w:rsidTr="00B661ED">
        <w:trPr>
          <w:trHeight w:val="320"/>
        </w:trPr>
        <w:tc>
          <w:tcPr>
            <w:tcW w:w="480" w:type="pct"/>
            <w:noWrap/>
            <w:vAlign w:val="center"/>
            <w:hideMark/>
          </w:tcPr>
          <w:p w14:paraId="4210BEE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BURW</w:t>
            </w:r>
          </w:p>
        </w:tc>
        <w:tc>
          <w:tcPr>
            <w:tcW w:w="1034" w:type="pct"/>
            <w:noWrap/>
            <w:vAlign w:val="center"/>
            <w:hideMark/>
          </w:tcPr>
          <w:p w14:paraId="1778E383"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Myiothlypis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fulvicauda</w:t>
            </w:r>
            <w:proofErr w:type="spellEnd"/>
          </w:p>
        </w:tc>
        <w:tc>
          <w:tcPr>
            <w:tcW w:w="697" w:type="pct"/>
            <w:noWrap/>
            <w:vAlign w:val="center"/>
            <w:hideMark/>
          </w:tcPr>
          <w:p w14:paraId="13BCDD8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4F8B3BB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2B7EB3B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85" w:type="pct"/>
            <w:noWrap/>
            <w:vAlign w:val="center"/>
            <w:hideMark/>
          </w:tcPr>
          <w:p w14:paraId="36C27F2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14.9</w:t>
            </w:r>
          </w:p>
        </w:tc>
        <w:tc>
          <w:tcPr>
            <w:tcW w:w="336" w:type="pct"/>
            <w:noWrap/>
            <w:vAlign w:val="center"/>
            <w:hideMark/>
          </w:tcPr>
          <w:p w14:paraId="5E95C48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14.3</w:t>
            </w:r>
          </w:p>
        </w:tc>
        <w:tc>
          <w:tcPr>
            <w:tcW w:w="289" w:type="pct"/>
            <w:noWrap/>
            <w:vAlign w:val="center"/>
            <w:hideMark/>
          </w:tcPr>
          <w:p w14:paraId="32A241F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4.5</w:t>
            </w:r>
          </w:p>
        </w:tc>
        <w:tc>
          <w:tcPr>
            <w:tcW w:w="433" w:type="pct"/>
            <w:noWrap/>
            <w:vAlign w:val="center"/>
            <w:hideMark/>
          </w:tcPr>
          <w:p w14:paraId="15C8A9E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63.3</w:t>
            </w:r>
          </w:p>
        </w:tc>
        <w:tc>
          <w:tcPr>
            <w:tcW w:w="385" w:type="pct"/>
            <w:noWrap/>
            <w:vAlign w:val="center"/>
            <w:hideMark/>
          </w:tcPr>
          <w:p w14:paraId="4E2A8CE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49.7</w:t>
            </w:r>
          </w:p>
        </w:tc>
      </w:tr>
      <w:tr w:rsidR="00B661ED" w:rsidRPr="00B066C6" w14:paraId="4C7002E2" w14:textId="77777777" w:rsidTr="00B661ED">
        <w:trPr>
          <w:trHeight w:val="320"/>
        </w:trPr>
        <w:tc>
          <w:tcPr>
            <w:tcW w:w="480" w:type="pct"/>
            <w:noWrap/>
            <w:vAlign w:val="center"/>
            <w:hideMark/>
          </w:tcPr>
          <w:p w14:paraId="28002BC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CBAN</w:t>
            </w:r>
          </w:p>
        </w:tc>
        <w:tc>
          <w:tcPr>
            <w:tcW w:w="1034" w:type="pct"/>
            <w:noWrap/>
            <w:vAlign w:val="center"/>
            <w:hideMark/>
          </w:tcPr>
          <w:p w14:paraId="299B233E"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Poliocrania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exsul</w:t>
            </w:r>
            <w:proofErr w:type="spellEnd"/>
          </w:p>
        </w:tc>
        <w:tc>
          <w:tcPr>
            <w:tcW w:w="697" w:type="pct"/>
            <w:noWrap/>
            <w:vAlign w:val="center"/>
            <w:hideMark/>
          </w:tcPr>
          <w:p w14:paraId="3FA3C7B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0932325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65C2128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85" w:type="pct"/>
            <w:noWrap/>
            <w:vAlign w:val="center"/>
            <w:hideMark/>
          </w:tcPr>
          <w:p w14:paraId="614E174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26.5</w:t>
            </w:r>
          </w:p>
        </w:tc>
        <w:tc>
          <w:tcPr>
            <w:tcW w:w="336" w:type="pct"/>
            <w:noWrap/>
            <w:vAlign w:val="center"/>
            <w:hideMark/>
          </w:tcPr>
          <w:p w14:paraId="0BE065F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21.1</w:t>
            </w:r>
          </w:p>
        </w:tc>
        <w:tc>
          <w:tcPr>
            <w:tcW w:w="289" w:type="pct"/>
            <w:noWrap/>
            <w:vAlign w:val="center"/>
            <w:hideMark/>
          </w:tcPr>
          <w:p w14:paraId="3AB3DC9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433" w:type="pct"/>
            <w:noWrap/>
            <w:vAlign w:val="center"/>
            <w:hideMark/>
          </w:tcPr>
          <w:p w14:paraId="21235BD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66.6</w:t>
            </w:r>
          </w:p>
        </w:tc>
        <w:tc>
          <w:tcPr>
            <w:tcW w:w="385" w:type="pct"/>
            <w:noWrap/>
            <w:vAlign w:val="center"/>
            <w:hideMark/>
          </w:tcPr>
          <w:p w14:paraId="6487E52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47.3</w:t>
            </w:r>
          </w:p>
        </w:tc>
      </w:tr>
      <w:tr w:rsidR="00B661ED" w:rsidRPr="00B066C6" w14:paraId="03301632" w14:textId="77777777" w:rsidTr="00B661ED">
        <w:trPr>
          <w:trHeight w:val="320"/>
        </w:trPr>
        <w:tc>
          <w:tcPr>
            <w:tcW w:w="480" w:type="pct"/>
            <w:noWrap/>
            <w:vAlign w:val="center"/>
            <w:hideMark/>
          </w:tcPr>
          <w:p w14:paraId="002B648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CHTY</w:t>
            </w:r>
          </w:p>
        </w:tc>
        <w:tc>
          <w:tcPr>
            <w:tcW w:w="1034" w:type="pct"/>
            <w:noWrap/>
            <w:vAlign w:val="center"/>
            <w:hideMark/>
          </w:tcPr>
          <w:p w14:paraId="1BBC7360"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Zimmerius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albigularis</w:t>
            </w:r>
            <w:proofErr w:type="spellEnd"/>
          </w:p>
        </w:tc>
        <w:tc>
          <w:tcPr>
            <w:tcW w:w="697" w:type="pct"/>
            <w:noWrap/>
            <w:vAlign w:val="center"/>
            <w:hideMark/>
          </w:tcPr>
          <w:p w14:paraId="27A2E5A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2F51B76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6CF59B9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w:t>
            </w:r>
          </w:p>
        </w:tc>
        <w:tc>
          <w:tcPr>
            <w:tcW w:w="385" w:type="pct"/>
            <w:noWrap/>
            <w:vAlign w:val="center"/>
            <w:hideMark/>
          </w:tcPr>
          <w:p w14:paraId="255E0FE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10.4</w:t>
            </w:r>
          </w:p>
        </w:tc>
        <w:tc>
          <w:tcPr>
            <w:tcW w:w="336" w:type="pct"/>
            <w:noWrap/>
            <w:vAlign w:val="center"/>
            <w:hideMark/>
          </w:tcPr>
          <w:p w14:paraId="2493C42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w:t>
            </w:r>
          </w:p>
        </w:tc>
        <w:tc>
          <w:tcPr>
            <w:tcW w:w="289" w:type="pct"/>
            <w:noWrap/>
            <w:vAlign w:val="center"/>
            <w:hideMark/>
          </w:tcPr>
          <w:p w14:paraId="53D862A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w:t>
            </w:r>
          </w:p>
        </w:tc>
        <w:tc>
          <w:tcPr>
            <w:tcW w:w="433" w:type="pct"/>
            <w:noWrap/>
            <w:vAlign w:val="center"/>
            <w:hideMark/>
          </w:tcPr>
          <w:p w14:paraId="2F4DAF1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49.6</w:t>
            </w:r>
          </w:p>
        </w:tc>
        <w:tc>
          <w:tcPr>
            <w:tcW w:w="385" w:type="pct"/>
            <w:noWrap/>
            <w:vAlign w:val="center"/>
            <w:hideMark/>
          </w:tcPr>
          <w:p w14:paraId="5243841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44.5</w:t>
            </w:r>
          </w:p>
        </w:tc>
      </w:tr>
      <w:tr w:rsidR="00B661ED" w:rsidRPr="00B066C6" w14:paraId="43FABCE9" w14:textId="77777777" w:rsidTr="00B661ED">
        <w:trPr>
          <w:trHeight w:val="320"/>
        </w:trPr>
        <w:tc>
          <w:tcPr>
            <w:tcW w:w="480" w:type="pct"/>
            <w:noWrap/>
            <w:vAlign w:val="center"/>
            <w:hideMark/>
          </w:tcPr>
          <w:p w14:paraId="66D01E7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CHWA</w:t>
            </w:r>
          </w:p>
        </w:tc>
        <w:tc>
          <w:tcPr>
            <w:tcW w:w="1034" w:type="pct"/>
            <w:noWrap/>
            <w:vAlign w:val="center"/>
            <w:hideMark/>
          </w:tcPr>
          <w:p w14:paraId="592E35DE"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Myiothlypis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chlorophrys</w:t>
            </w:r>
            <w:proofErr w:type="spellEnd"/>
          </w:p>
        </w:tc>
        <w:tc>
          <w:tcPr>
            <w:tcW w:w="697" w:type="pct"/>
            <w:noWrap/>
            <w:vAlign w:val="center"/>
            <w:hideMark/>
          </w:tcPr>
          <w:p w14:paraId="5CD566A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01D103A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4A86848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5" w:type="pct"/>
            <w:noWrap/>
            <w:vAlign w:val="center"/>
            <w:hideMark/>
          </w:tcPr>
          <w:p w14:paraId="2596D48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16.2</w:t>
            </w:r>
          </w:p>
        </w:tc>
        <w:tc>
          <w:tcPr>
            <w:tcW w:w="336" w:type="pct"/>
            <w:noWrap/>
            <w:vAlign w:val="center"/>
            <w:hideMark/>
          </w:tcPr>
          <w:p w14:paraId="2663692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12.9</w:t>
            </w:r>
          </w:p>
        </w:tc>
        <w:tc>
          <w:tcPr>
            <w:tcW w:w="289" w:type="pct"/>
            <w:noWrap/>
            <w:vAlign w:val="center"/>
            <w:hideMark/>
          </w:tcPr>
          <w:p w14:paraId="4EC6B70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4.6</w:t>
            </w:r>
          </w:p>
        </w:tc>
        <w:tc>
          <w:tcPr>
            <w:tcW w:w="433" w:type="pct"/>
            <w:noWrap/>
            <w:vAlign w:val="center"/>
            <w:hideMark/>
          </w:tcPr>
          <w:p w14:paraId="3868F6B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61</w:t>
            </w:r>
          </w:p>
        </w:tc>
        <w:tc>
          <w:tcPr>
            <w:tcW w:w="385" w:type="pct"/>
            <w:noWrap/>
            <w:vAlign w:val="center"/>
            <w:hideMark/>
          </w:tcPr>
          <w:p w14:paraId="2DCD9C8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48.1</w:t>
            </w:r>
          </w:p>
        </w:tc>
      </w:tr>
      <w:tr w:rsidR="00B661ED" w:rsidRPr="00B066C6" w14:paraId="32404433" w14:textId="77777777" w:rsidTr="00B661ED">
        <w:trPr>
          <w:trHeight w:val="320"/>
        </w:trPr>
        <w:tc>
          <w:tcPr>
            <w:tcW w:w="480" w:type="pct"/>
            <w:noWrap/>
            <w:vAlign w:val="center"/>
            <w:hideMark/>
          </w:tcPr>
          <w:p w14:paraId="052E16A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CIMB</w:t>
            </w:r>
          </w:p>
        </w:tc>
        <w:tc>
          <w:tcPr>
            <w:tcW w:w="1034" w:type="pct"/>
            <w:noWrap/>
            <w:vAlign w:val="center"/>
            <w:hideMark/>
          </w:tcPr>
          <w:p w14:paraId="5426EC1D"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Pachyramphus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cinnamomeus</w:t>
            </w:r>
            <w:proofErr w:type="spellEnd"/>
          </w:p>
        </w:tc>
        <w:tc>
          <w:tcPr>
            <w:tcW w:w="697" w:type="pct"/>
            <w:noWrap/>
            <w:vAlign w:val="center"/>
            <w:hideMark/>
          </w:tcPr>
          <w:p w14:paraId="743CF54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619A1EA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7096A43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5" w:type="pct"/>
            <w:noWrap/>
            <w:vAlign w:val="center"/>
            <w:hideMark/>
          </w:tcPr>
          <w:p w14:paraId="5E25B62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20.3</w:t>
            </w:r>
          </w:p>
        </w:tc>
        <w:tc>
          <w:tcPr>
            <w:tcW w:w="336" w:type="pct"/>
            <w:noWrap/>
            <w:vAlign w:val="center"/>
            <w:hideMark/>
          </w:tcPr>
          <w:p w14:paraId="67C8F10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16.8</w:t>
            </w:r>
          </w:p>
        </w:tc>
        <w:tc>
          <w:tcPr>
            <w:tcW w:w="289" w:type="pct"/>
            <w:noWrap/>
            <w:vAlign w:val="center"/>
            <w:hideMark/>
          </w:tcPr>
          <w:p w14:paraId="22D32F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7.6</w:t>
            </w:r>
          </w:p>
        </w:tc>
        <w:tc>
          <w:tcPr>
            <w:tcW w:w="433" w:type="pct"/>
            <w:noWrap/>
            <w:vAlign w:val="center"/>
            <w:hideMark/>
          </w:tcPr>
          <w:p w14:paraId="1AC95DD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77</w:t>
            </w:r>
          </w:p>
        </w:tc>
        <w:tc>
          <w:tcPr>
            <w:tcW w:w="385" w:type="pct"/>
            <w:noWrap/>
            <w:vAlign w:val="center"/>
            <w:hideMark/>
          </w:tcPr>
          <w:p w14:paraId="3A2180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59.4</w:t>
            </w:r>
          </w:p>
        </w:tc>
      </w:tr>
      <w:tr w:rsidR="00B661ED" w:rsidRPr="00B066C6" w14:paraId="6AB6BCA1" w14:textId="77777777" w:rsidTr="00B661ED">
        <w:trPr>
          <w:trHeight w:val="320"/>
        </w:trPr>
        <w:tc>
          <w:tcPr>
            <w:tcW w:w="480" w:type="pct"/>
            <w:noWrap/>
            <w:vAlign w:val="center"/>
            <w:hideMark/>
          </w:tcPr>
          <w:p w14:paraId="6685354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CIVI</w:t>
            </w:r>
          </w:p>
        </w:tc>
        <w:tc>
          <w:tcPr>
            <w:tcW w:w="1034" w:type="pct"/>
            <w:noWrap/>
            <w:vAlign w:val="center"/>
            <w:hideMark/>
          </w:tcPr>
          <w:p w14:paraId="1F5A2CC7"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Vireo </w:t>
            </w:r>
            <w:proofErr w:type="spellStart"/>
            <w:r w:rsidRPr="00992B4B">
              <w:rPr>
                <w:rFonts w:ascii="Times New Roman" w:hAnsi="Times New Roman" w:cs="Times New Roman"/>
                <w:i/>
                <w:iCs/>
                <w:sz w:val="22"/>
                <w:szCs w:val="22"/>
              </w:rPr>
              <w:t>chivi</w:t>
            </w:r>
            <w:proofErr w:type="spellEnd"/>
          </w:p>
        </w:tc>
        <w:tc>
          <w:tcPr>
            <w:tcW w:w="697" w:type="pct"/>
            <w:noWrap/>
            <w:vAlign w:val="center"/>
            <w:hideMark/>
          </w:tcPr>
          <w:p w14:paraId="6174A06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523ADF5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37970ED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w:t>
            </w:r>
          </w:p>
        </w:tc>
        <w:tc>
          <w:tcPr>
            <w:tcW w:w="385" w:type="pct"/>
            <w:noWrap/>
            <w:vAlign w:val="center"/>
            <w:hideMark/>
          </w:tcPr>
          <w:p w14:paraId="3920CF6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16.1</w:t>
            </w:r>
          </w:p>
        </w:tc>
        <w:tc>
          <w:tcPr>
            <w:tcW w:w="336" w:type="pct"/>
            <w:noWrap/>
            <w:vAlign w:val="center"/>
            <w:hideMark/>
          </w:tcPr>
          <w:p w14:paraId="3AC0997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w:t>
            </w:r>
          </w:p>
        </w:tc>
        <w:tc>
          <w:tcPr>
            <w:tcW w:w="289" w:type="pct"/>
            <w:noWrap/>
            <w:vAlign w:val="center"/>
            <w:hideMark/>
          </w:tcPr>
          <w:p w14:paraId="09CBA91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4.4</w:t>
            </w:r>
          </w:p>
        </w:tc>
        <w:tc>
          <w:tcPr>
            <w:tcW w:w="433" w:type="pct"/>
            <w:noWrap/>
            <w:vAlign w:val="center"/>
            <w:hideMark/>
          </w:tcPr>
          <w:p w14:paraId="6523C3A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68</w:t>
            </w:r>
          </w:p>
        </w:tc>
        <w:tc>
          <w:tcPr>
            <w:tcW w:w="385" w:type="pct"/>
            <w:noWrap/>
            <w:vAlign w:val="center"/>
            <w:hideMark/>
          </w:tcPr>
          <w:p w14:paraId="2815E31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52.1</w:t>
            </w:r>
          </w:p>
        </w:tc>
      </w:tr>
      <w:tr w:rsidR="00B661ED" w:rsidRPr="00B066C6" w14:paraId="24092543" w14:textId="77777777" w:rsidTr="00B661ED">
        <w:trPr>
          <w:trHeight w:val="320"/>
        </w:trPr>
        <w:tc>
          <w:tcPr>
            <w:tcW w:w="480" w:type="pct"/>
            <w:noWrap/>
            <w:vAlign w:val="center"/>
            <w:hideMark/>
          </w:tcPr>
          <w:p w14:paraId="7F6F584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COAR</w:t>
            </w:r>
          </w:p>
        </w:tc>
        <w:tc>
          <w:tcPr>
            <w:tcW w:w="1034" w:type="pct"/>
            <w:noWrap/>
            <w:vAlign w:val="center"/>
            <w:hideMark/>
          </w:tcPr>
          <w:p w14:paraId="6D9BB726"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Pteroglossus</w:t>
            </w:r>
            <w:proofErr w:type="spellEnd"/>
            <w:r w:rsidRPr="00992B4B">
              <w:rPr>
                <w:rFonts w:ascii="Times New Roman" w:hAnsi="Times New Roman" w:cs="Times New Roman"/>
                <w:i/>
                <w:iCs/>
                <w:sz w:val="22"/>
                <w:szCs w:val="22"/>
              </w:rPr>
              <w:t xml:space="preserve"> torquatus</w:t>
            </w:r>
          </w:p>
        </w:tc>
        <w:tc>
          <w:tcPr>
            <w:tcW w:w="697" w:type="pct"/>
            <w:noWrap/>
            <w:vAlign w:val="center"/>
            <w:hideMark/>
          </w:tcPr>
          <w:p w14:paraId="09CE0E9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5" w:type="pct"/>
            <w:noWrap/>
            <w:vAlign w:val="center"/>
            <w:hideMark/>
          </w:tcPr>
          <w:p w14:paraId="41126BF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7AC54DB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noWrap/>
            <w:vAlign w:val="center"/>
            <w:hideMark/>
          </w:tcPr>
          <w:p w14:paraId="7E42E43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219.1</w:t>
            </w:r>
          </w:p>
        </w:tc>
        <w:tc>
          <w:tcPr>
            <w:tcW w:w="336" w:type="pct"/>
            <w:noWrap/>
            <w:vAlign w:val="center"/>
            <w:hideMark/>
          </w:tcPr>
          <w:p w14:paraId="67399BC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104</w:t>
            </w:r>
          </w:p>
        </w:tc>
        <w:tc>
          <w:tcPr>
            <w:tcW w:w="289" w:type="pct"/>
            <w:noWrap/>
            <w:vAlign w:val="center"/>
            <w:hideMark/>
          </w:tcPr>
          <w:p w14:paraId="281AB32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22.9</w:t>
            </w:r>
          </w:p>
        </w:tc>
        <w:tc>
          <w:tcPr>
            <w:tcW w:w="433" w:type="pct"/>
            <w:noWrap/>
            <w:vAlign w:val="center"/>
            <w:hideMark/>
          </w:tcPr>
          <w:p w14:paraId="2357DB6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146.9</w:t>
            </w:r>
          </w:p>
        </w:tc>
        <w:tc>
          <w:tcPr>
            <w:tcW w:w="385" w:type="pct"/>
            <w:noWrap/>
            <w:vAlign w:val="center"/>
            <w:hideMark/>
          </w:tcPr>
          <w:p w14:paraId="7C88B80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150.5</w:t>
            </w:r>
          </w:p>
        </w:tc>
      </w:tr>
      <w:tr w:rsidR="00B661ED" w:rsidRPr="00B066C6" w14:paraId="04C7F4F1" w14:textId="77777777" w:rsidTr="00B661ED">
        <w:trPr>
          <w:trHeight w:val="320"/>
        </w:trPr>
        <w:tc>
          <w:tcPr>
            <w:tcW w:w="480" w:type="pct"/>
            <w:noWrap/>
            <w:vAlign w:val="center"/>
            <w:hideMark/>
          </w:tcPr>
          <w:p w14:paraId="0DE735B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COTF</w:t>
            </w:r>
          </w:p>
        </w:tc>
        <w:tc>
          <w:tcPr>
            <w:tcW w:w="1034" w:type="pct"/>
            <w:noWrap/>
            <w:vAlign w:val="center"/>
            <w:hideMark/>
          </w:tcPr>
          <w:p w14:paraId="7A044DB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Todirostrum</w:t>
            </w:r>
            <w:proofErr w:type="spellEnd"/>
            <w:r w:rsidRPr="00992B4B">
              <w:rPr>
                <w:rFonts w:ascii="Times New Roman" w:hAnsi="Times New Roman" w:cs="Times New Roman"/>
                <w:i/>
                <w:iCs/>
                <w:sz w:val="22"/>
                <w:szCs w:val="22"/>
              </w:rPr>
              <w:t xml:space="preserve"> cinereum</w:t>
            </w:r>
          </w:p>
        </w:tc>
        <w:tc>
          <w:tcPr>
            <w:tcW w:w="697" w:type="pct"/>
            <w:noWrap/>
            <w:vAlign w:val="center"/>
            <w:hideMark/>
          </w:tcPr>
          <w:p w14:paraId="1225A9E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49F4406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37" w:type="pct"/>
            <w:noWrap/>
            <w:vAlign w:val="center"/>
            <w:hideMark/>
          </w:tcPr>
          <w:p w14:paraId="3A57E42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w:t>
            </w:r>
          </w:p>
        </w:tc>
        <w:tc>
          <w:tcPr>
            <w:tcW w:w="385" w:type="pct"/>
            <w:noWrap/>
            <w:vAlign w:val="center"/>
            <w:hideMark/>
          </w:tcPr>
          <w:p w14:paraId="58D83DC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6.3</w:t>
            </w:r>
          </w:p>
        </w:tc>
        <w:tc>
          <w:tcPr>
            <w:tcW w:w="336" w:type="pct"/>
            <w:noWrap/>
            <w:vAlign w:val="center"/>
            <w:hideMark/>
          </w:tcPr>
          <w:p w14:paraId="7AC6C91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14.8</w:t>
            </w:r>
          </w:p>
        </w:tc>
        <w:tc>
          <w:tcPr>
            <w:tcW w:w="289" w:type="pct"/>
            <w:noWrap/>
            <w:vAlign w:val="center"/>
            <w:hideMark/>
          </w:tcPr>
          <w:p w14:paraId="371C7FD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w:t>
            </w:r>
          </w:p>
        </w:tc>
        <w:tc>
          <w:tcPr>
            <w:tcW w:w="433" w:type="pct"/>
            <w:noWrap/>
            <w:vAlign w:val="center"/>
            <w:hideMark/>
          </w:tcPr>
          <w:p w14:paraId="5B61663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42.5</w:t>
            </w:r>
          </w:p>
        </w:tc>
        <w:tc>
          <w:tcPr>
            <w:tcW w:w="385" w:type="pct"/>
            <w:noWrap/>
            <w:vAlign w:val="center"/>
            <w:hideMark/>
          </w:tcPr>
          <w:p w14:paraId="429C647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33.8</w:t>
            </w:r>
          </w:p>
        </w:tc>
      </w:tr>
      <w:tr w:rsidR="00B661ED" w:rsidRPr="00B066C6" w14:paraId="463BC61E" w14:textId="77777777" w:rsidTr="00B661ED">
        <w:trPr>
          <w:trHeight w:val="320"/>
        </w:trPr>
        <w:tc>
          <w:tcPr>
            <w:tcW w:w="480" w:type="pct"/>
            <w:noWrap/>
            <w:vAlign w:val="center"/>
            <w:hideMark/>
          </w:tcPr>
          <w:p w14:paraId="060C79C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CRWO</w:t>
            </w:r>
          </w:p>
        </w:tc>
        <w:tc>
          <w:tcPr>
            <w:tcW w:w="1034" w:type="pct"/>
            <w:noWrap/>
            <w:vAlign w:val="center"/>
            <w:hideMark/>
          </w:tcPr>
          <w:p w14:paraId="27A7771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Thalurania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colombica</w:t>
            </w:r>
            <w:proofErr w:type="spellEnd"/>
          </w:p>
        </w:tc>
        <w:tc>
          <w:tcPr>
            <w:tcW w:w="697" w:type="pct"/>
            <w:noWrap/>
            <w:vAlign w:val="center"/>
            <w:hideMark/>
          </w:tcPr>
          <w:p w14:paraId="5E8FA97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25" w:type="pct"/>
            <w:noWrap/>
            <w:vAlign w:val="center"/>
            <w:hideMark/>
          </w:tcPr>
          <w:p w14:paraId="4865B98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018AAAA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w:t>
            </w:r>
          </w:p>
        </w:tc>
        <w:tc>
          <w:tcPr>
            <w:tcW w:w="385" w:type="pct"/>
            <w:noWrap/>
            <w:vAlign w:val="center"/>
            <w:hideMark/>
          </w:tcPr>
          <w:p w14:paraId="3FC1E79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4.5</w:t>
            </w:r>
          </w:p>
        </w:tc>
        <w:tc>
          <w:tcPr>
            <w:tcW w:w="336" w:type="pct"/>
            <w:noWrap/>
            <w:vAlign w:val="center"/>
            <w:hideMark/>
          </w:tcPr>
          <w:p w14:paraId="0CDE6FA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20.4</w:t>
            </w:r>
          </w:p>
        </w:tc>
        <w:tc>
          <w:tcPr>
            <w:tcW w:w="289" w:type="pct"/>
            <w:noWrap/>
            <w:vAlign w:val="center"/>
            <w:hideMark/>
          </w:tcPr>
          <w:p w14:paraId="4C6E899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2.3</w:t>
            </w:r>
          </w:p>
        </w:tc>
        <w:tc>
          <w:tcPr>
            <w:tcW w:w="433" w:type="pct"/>
            <w:noWrap/>
            <w:vAlign w:val="center"/>
            <w:hideMark/>
          </w:tcPr>
          <w:p w14:paraId="47A19F4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52.3</w:t>
            </w:r>
          </w:p>
        </w:tc>
        <w:tc>
          <w:tcPr>
            <w:tcW w:w="385" w:type="pct"/>
            <w:noWrap/>
            <w:vAlign w:val="center"/>
            <w:hideMark/>
          </w:tcPr>
          <w:p w14:paraId="1E693C5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33.1</w:t>
            </w:r>
          </w:p>
        </w:tc>
      </w:tr>
      <w:tr w:rsidR="00B661ED" w:rsidRPr="00B066C6" w14:paraId="3EC5C4A7" w14:textId="77777777" w:rsidTr="00B661ED">
        <w:trPr>
          <w:trHeight w:val="320"/>
        </w:trPr>
        <w:tc>
          <w:tcPr>
            <w:tcW w:w="480" w:type="pct"/>
            <w:noWrap/>
            <w:vAlign w:val="center"/>
            <w:hideMark/>
          </w:tcPr>
          <w:p w14:paraId="7E2C4CC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CTST</w:t>
            </w:r>
          </w:p>
        </w:tc>
        <w:tc>
          <w:tcPr>
            <w:tcW w:w="1034" w:type="pct"/>
            <w:noWrap/>
            <w:vAlign w:val="center"/>
            <w:hideMark/>
          </w:tcPr>
          <w:p w14:paraId="048B67DC"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Epinecrophylla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fulviventris</w:t>
            </w:r>
            <w:proofErr w:type="spellEnd"/>
          </w:p>
        </w:tc>
        <w:tc>
          <w:tcPr>
            <w:tcW w:w="697" w:type="pct"/>
            <w:noWrap/>
            <w:vAlign w:val="center"/>
            <w:hideMark/>
          </w:tcPr>
          <w:p w14:paraId="731C217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193D859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683AA8C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85" w:type="pct"/>
            <w:noWrap/>
            <w:vAlign w:val="center"/>
            <w:hideMark/>
          </w:tcPr>
          <w:p w14:paraId="2D69B99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10.4</w:t>
            </w:r>
          </w:p>
        </w:tc>
        <w:tc>
          <w:tcPr>
            <w:tcW w:w="336" w:type="pct"/>
            <w:noWrap/>
            <w:vAlign w:val="center"/>
            <w:hideMark/>
          </w:tcPr>
          <w:p w14:paraId="4C0224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w:t>
            </w:r>
          </w:p>
        </w:tc>
        <w:tc>
          <w:tcPr>
            <w:tcW w:w="289" w:type="pct"/>
            <w:noWrap/>
            <w:vAlign w:val="center"/>
            <w:hideMark/>
          </w:tcPr>
          <w:p w14:paraId="0942479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4.1</w:t>
            </w:r>
          </w:p>
        </w:tc>
        <w:tc>
          <w:tcPr>
            <w:tcW w:w="433" w:type="pct"/>
            <w:noWrap/>
            <w:vAlign w:val="center"/>
            <w:hideMark/>
          </w:tcPr>
          <w:p w14:paraId="4EC12F1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50.9</w:t>
            </w:r>
          </w:p>
        </w:tc>
        <w:tc>
          <w:tcPr>
            <w:tcW w:w="385" w:type="pct"/>
            <w:noWrap/>
            <w:vAlign w:val="center"/>
            <w:hideMark/>
          </w:tcPr>
          <w:p w14:paraId="6437766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33.2</w:t>
            </w:r>
          </w:p>
        </w:tc>
      </w:tr>
      <w:tr w:rsidR="00B661ED" w:rsidRPr="00B066C6" w14:paraId="07BFB8A5" w14:textId="77777777" w:rsidTr="00B661ED">
        <w:trPr>
          <w:trHeight w:val="320"/>
        </w:trPr>
        <w:tc>
          <w:tcPr>
            <w:tcW w:w="480" w:type="pct"/>
            <w:noWrap/>
            <w:vAlign w:val="center"/>
            <w:hideMark/>
          </w:tcPr>
          <w:p w14:paraId="44160AD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DCGQ</w:t>
            </w:r>
          </w:p>
        </w:tc>
        <w:tc>
          <w:tcPr>
            <w:tcW w:w="1034" w:type="pct"/>
            <w:noWrap/>
            <w:vAlign w:val="center"/>
            <w:hideMark/>
          </w:tcPr>
          <w:p w14:paraId="1CAAC195"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Asemospiza</w:t>
            </w:r>
            <w:proofErr w:type="spellEnd"/>
            <w:r w:rsidRPr="00992B4B">
              <w:rPr>
                <w:rFonts w:ascii="Times New Roman" w:hAnsi="Times New Roman" w:cs="Times New Roman"/>
                <w:i/>
                <w:iCs/>
                <w:sz w:val="22"/>
                <w:szCs w:val="22"/>
              </w:rPr>
              <w:t xml:space="preserve"> obscura</w:t>
            </w:r>
          </w:p>
        </w:tc>
        <w:tc>
          <w:tcPr>
            <w:tcW w:w="697" w:type="pct"/>
            <w:noWrap/>
            <w:vAlign w:val="center"/>
            <w:hideMark/>
          </w:tcPr>
          <w:p w14:paraId="5DD1450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Granivore</w:t>
            </w:r>
          </w:p>
        </w:tc>
        <w:tc>
          <w:tcPr>
            <w:tcW w:w="625" w:type="pct"/>
            <w:noWrap/>
            <w:vAlign w:val="center"/>
            <w:hideMark/>
          </w:tcPr>
          <w:p w14:paraId="4052C7F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37" w:type="pct"/>
            <w:noWrap/>
            <w:vAlign w:val="center"/>
            <w:hideMark/>
          </w:tcPr>
          <w:p w14:paraId="42CED43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64</w:t>
            </w:r>
          </w:p>
        </w:tc>
        <w:tc>
          <w:tcPr>
            <w:tcW w:w="385" w:type="pct"/>
            <w:noWrap/>
            <w:vAlign w:val="center"/>
            <w:hideMark/>
          </w:tcPr>
          <w:p w14:paraId="13B0B26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11.2</w:t>
            </w:r>
          </w:p>
        </w:tc>
        <w:tc>
          <w:tcPr>
            <w:tcW w:w="336" w:type="pct"/>
            <w:noWrap/>
            <w:vAlign w:val="center"/>
            <w:hideMark/>
          </w:tcPr>
          <w:p w14:paraId="7CB9D50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10.4</w:t>
            </w:r>
          </w:p>
        </w:tc>
        <w:tc>
          <w:tcPr>
            <w:tcW w:w="289" w:type="pct"/>
            <w:noWrap/>
            <w:vAlign w:val="center"/>
            <w:hideMark/>
          </w:tcPr>
          <w:p w14:paraId="002DD6F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w:t>
            </w:r>
          </w:p>
        </w:tc>
        <w:tc>
          <w:tcPr>
            <w:tcW w:w="433" w:type="pct"/>
            <w:noWrap/>
            <w:vAlign w:val="center"/>
            <w:hideMark/>
          </w:tcPr>
          <w:p w14:paraId="799D8E5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52.4</w:t>
            </w:r>
          </w:p>
        </w:tc>
        <w:tc>
          <w:tcPr>
            <w:tcW w:w="385" w:type="pct"/>
            <w:noWrap/>
            <w:vAlign w:val="center"/>
            <w:hideMark/>
          </w:tcPr>
          <w:p w14:paraId="2C6A5EB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42.3</w:t>
            </w:r>
          </w:p>
        </w:tc>
      </w:tr>
      <w:tr w:rsidR="00B661ED" w:rsidRPr="00B066C6" w14:paraId="791C3A77" w14:textId="77777777" w:rsidTr="00B661ED">
        <w:trPr>
          <w:trHeight w:val="320"/>
        </w:trPr>
        <w:tc>
          <w:tcPr>
            <w:tcW w:w="480" w:type="pct"/>
            <w:noWrap/>
            <w:vAlign w:val="center"/>
            <w:hideMark/>
          </w:tcPr>
          <w:p w14:paraId="611B4D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DUAN</w:t>
            </w:r>
          </w:p>
        </w:tc>
        <w:tc>
          <w:tcPr>
            <w:tcW w:w="1034" w:type="pct"/>
            <w:noWrap/>
            <w:vAlign w:val="center"/>
            <w:hideMark/>
          </w:tcPr>
          <w:p w14:paraId="6F7C3D7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Cercomacroides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tyrannina</w:t>
            </w:r>
            <w:proofErr w:type="spellEnd"/>
          </w:p>
        </w:tc>
        <w:tc>
          <w:tcPr>
            <w:tcW w:w="697" w:type="pct"/>
            <w:noWrap/>
            <w:vAlign w:val="center"/>
            <w:hideMark/>
          </w:tcPr>
          <w:p w14:paraId="0C4E22F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2CA054C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1DE1BB4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77DA49D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16.3</w:t>
            </w:r>
          </w:p>
        </w:tc>
        <w:tc>
          <w:tcPr>
            <w:tcW w:w="336" w:type="pct"/>
            <w:noWrap/>
            <w:vAlign w:val="center"/>
            <w:hideMark/>
          </w:tcPr>
          <w:p w14:paraId="0C50908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18.2</w:t>
            </w:r>
          </w:p>
        </w:tc>
        <w:tc>
          <w:tcPr>
            <w:tcW w:w="289" w:type="pct"/>
            <w:noWrap/>
            <w:vAlign w:val="center"/>
            <w:hideMark/>
          </w:tcPr>
          <w:p w14:paraId="09C584C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4.9</w:t>
            </w:r>
          </w:p>
        </w:tc>
        <w:tc>
          <w:tcPr>
            <w:tcW w:w="433" w:type="pct"/>
            <w:noWrap/>
            <w:vAlign w:val="center"/>
            <w:hideMark/>
          </w:tcPr>
          <w:p w14:paraId="79848CA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62.7</w:t>
            </w:r>
          </w:p>
        </w:tc>
        <w:tc>
          <w:tcPr>
            <w:tcW w:w="385" w:type="pct"/>
            <w:noWrap/>
            <w:vAlign w:val="center"/>
            <w:hideMark/>
          </w:tcPr>
          <w:p w14:paraId="6D15D1B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60.4</w:t>
            </w:r>
          </w:p>
        </w:tc>
      </w:tr>
      <w:tr w:rsidR="00B661ED" w:rsidRPr="00B066C6" w14:paraId="6FEB7D64" w14:textId="77777777" w:rsidTr="00B661ED">
        <w:trPr>
          <w:trHeight w:val="320"/>
        </w:trPr>
        <w:tc>
          <w:tcPr>
            <w:tcW w:w="480" w:type="pct"/>
            <w:noWrap/>
            <w:vAlign w:val="center"/>
            <w:hideMark/>
          </w:tcPr>
          <w:p w14:paraId="4AFBDC5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DUPI</w:t>
            </w:r>
          </w:p>
        </w:tc>
        <w:tc>
          <w:tcPr>
            <w:tcW w:w="1034" w:type="pct"/>
            <w:noWrap/>
            <w:vAlign w:val="center"/>
            <w:hideMark/>
          </w:tcPr>
          <w:p w14:paraId="3B40F236"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Patagioenas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goodsoni</w:t>
            </w:r>
            <w:proofErr w:type="spellEnd"/>
          </w:p>
        </w:tc>
        <w:tc>
          <w:tcPr>
            <w:tcW w:w="697" w:type="pct"/>
            <w:noWrap/>
            <w:vAlign w:val="center"/>
            <w:hideMark/>
          </w:tcPr>
          <w:p w14:paraId="4598DE1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5" w:type="pct"/>
            <w:noWrap/>
            <w:vAlign w:val="center"/>
            <w:hideMark/>
          </w:tcPr>
          <w:p w14:paraId="148C84A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6DC9B6E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6E7AE3F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176</w:t>
            </w:r>
          </w:p>
        </w:tc>
        <w:tc>
          <w:tcPr>
            <w:tcW w:w="336" w:type="pct"/>
            <w:noWrap/>
            <w:vAlign w:val="center"/>
            <w:hideMark/>
          </w:tcPr>
          <w:p w14:paraId="7B88FE3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17</w:t>
            </w:r>
          </w:p>
        </w:tc>
        <w:tc>
          <w:tcPr>
            <w:tcW w:w="289" w:type="pct"/>
            <w:noWrap/>
            <w:vAlign w:val="center"/>
            <w:hideMark/>
          </w:tcPr>
          <w:p w14:paraId="518D11F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433" w:type="pct"/>
            <w:noWrap/>
            <w:vAlign w:val="center"/>
            <w:hideMark/>
          </w:tcPr>
          <w:p w14:paraId="2BF815E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148.7</w:t>
            </w:r>
          </w:p>
        </w:tc>
        <w:tc>
          <w:tcPr>
            <w:tcW w:w="385" w:type="pct"/>
            <w:noWrap/>
            <w:vAlign w:val="center"/>
            <w:hideMark/>
          </w:tcPr>
          <w:p w14:paraId="676D87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99.6</w:t>
            </w:r>
          </w:p>
        </w:tc>
      </w:tr>
      <w:tr w:rsidR="00B661ED" w:rsidRPr="00B066C6" w14:paraId="0036BD12" w14:textId="77777777" w:rsidTr="00B661ED">
        <w:trPr>
          <w:trHeight w:val="320"/>
        </w:trPr>
        <w:tc>
          <w:tcPr>
            <w:tcW w:w="480" w:type="pct"/>
            <w:noWrap/>
            <w:vAlign w:val="center"/>
            <w:hideMark/>
          </w:tcPr>
          <w:p w14:paraId="383653E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DWAN</w:t>
            </w:r>
          </w:p>
        </w:tc>
        <w:tc>
          <w:tcPr>
            <w:tcW w:w="1034" w:type="pct"/>
            <w:noWrap/>
            <w:vAlign w:val="center"/>
            <w:hideMark/>
          </w:tcPr>
          <w:p w14:paraId="173E6279"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Microrhopias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quixensis</w:t>
            </w:r>
            <w:proofErr w:type="spellEnd"/>
          </w:p>
        </w:tc>
        <w:tc>
          <w:tcPr>
            <w:tcW w:w="697" w:type="pct"/>
            <w:noWrap/>
            <w:vAlign w:val="center"/>
            <w:hideMark/>
          </w:tcPr>
          <w:p w14:paraId="4F54785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7699D79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06F1370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noWrap/>
            <w:vAlign w:val="center"/>
            <w:hideMark/>
          </w:tcPr>
          <w:p w14:paraId="6ED868E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7.9</w:t>
            </w:r>
          </w:p>
        </w:tc>
        <w:tc>
          <w:tcPr>
            <w:tcW w:w="336" w:type="pct"/>
            <w:noWrap/>
            <w:vAlign w:val="center"/>
            <w:hideMark/>
          </w:tcPr>
          <w:p w14:paraId="7F3D0E3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15.6</w:t>
            </w:r>
          </w:p>
        </w:tc>
        <w:tc>
          <w:tcPr>
            <w:tcW w:w="289" w:type="pct"/>
            <w:noWrap/>
            <w:vAlign w:val="center"/>
            <w:hideMark/>
          </w:tcPr>
          <w:p w14:paraId="6457BCA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4.1</w:t>
            </w:r>
          </w:p>
        </w:tc>
        <w:tc>
          <w:tcPr>
            <w:tcW w:w="433" w:type="pct"/>
            <w:noWrap/>
            <w:vAlign w:val="center"/>
            <w:hideMark/>
          </w:tcPr>
          <w:p w14:paraId="14EC6C8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53</w:t>
            </w:r>
          </w:p>
        </w:tc>
        <w:tc>
          <w:tcPr>
            <w:tcW w:w="385" w:type="pct"/>
            <w:noWrap/>
            <w:vAlign w:val="center"/>
            <w:hideMark/>
          </w:tcPr>
          <w:p w14:paraId="4D0CD43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52.7</w:t>
            </w:r>
          </w:p>
        </w:tc>
      </w:tr>
      <w:tr w:rsidR="00B661ED" w:rsidRPr="00B066C6" w14:paraId="19DE3AB9" w14:textId="77777777" w:rsidTr="00B661ED">
        <w:trPr>
          <w:trHeight w:val="320"/>
        </w:trPr>
        <w:tc>
          <w:tcPr>
            <w:tcW w:w="480" w:type="pct"/>
            <w:noWrap/>
            <w:vAlign w:val="center"/>
            <w:hideMark/>
          </w:tcPr>
          <w:p w14:paraId="4F0002A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ECTR</w:t>
            </w:r>
          </w:p>
        </w:tc>
        <w:tc>
          <w:tcPr>
            <w:tcW w:w="1034" w:type="pct"/>
            <w:noWrap/>
            <w:vAlign w:val="center"/>
            <w:hideMark/>
          </w:tcPr>
          <w:p w14:paraId="4E729377"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Turdus </w:t>
            </w:r>
            <w:proofErr w:type="spellStart"/>
            <w:r w:rsidRPr="00992B4B">
              <w:rPr>
                <w:rFonts w:ascii="Times New Roman" w:hAnsi="Times New Roman" w:cs="Times New Roman"/>
                <w:i/>
                <w:iCs/>
                <w:sz w:val="22"/>
                <w:szCs w:val="22"/>
              </w:rPr>
              <w:t>maculirostris</w:t>
            </w:r>
            <w:proofErr w:type="spellEnd"/>
          </w:p>
        </w:tc>
        <w:tc>
          <w:tcPr>
            <w:tcW w:w="697" w:type="pct"/>
            <w:noWrap/>
            <w:vAlign w:val="center"/>
            <w:hideMark/>
          </w:tcPr>
          <w:p w14:paraId="1C90197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25" w:type="pct"/>
            <w:noWrap/>
            <w:vAlign w:val="center"/>
            <w:hideMark/>
          </w:tcPr>
          <w:p w14:paraId="5F2CDC6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570FC81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85" w:type="pct"/>
            <w:noWrap/>
            <w:vAlign w:val="center"/>
            <w:hideMark/>
          </w:tcPr>
          <w:p w14:paraId="137BD31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69.6</w:t>
            </w:r>
          </w:p>
        </w:tc>
        <w:tc>
          <w:tcPr>
            <w:tcW w:w="336" w:type="pct"/>
            <w:noWrap/>
            <w:vAlign w:val="center"/>
            <w:hideMark/>
          </w:tcPr>
          <w:p w14:paraId="105D6D0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22.5</w:t>
            </w:r>
          </w:p>
        </w:tc>
        <w:tc>
          <w:tcPr>
            <w:tcW w:w="289" w:type="pct"/>
            <w:noWrap/>
            <w:vAlign w:val="center"/>
            <w:hideMark/>
          </w:tcPr>
          <w:p w14:paraId="6B2B5E7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4.9</w:t>
            </w:r>
          </w:p>
        </w:tc>
        <w:tc>
          <w:tcPr>
            <w:tcW w:w="433" w:type="pct"/>
            <w:noWrap/>
            <w:vAlign w:val="center"/>
            <w:hideMark/>
          </w:tcPr>
          <w:p w14:paraId="79D396F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112.6</w:t>
            </w:r>
          </w:p>
        </w:tc>
        <w:tc>
          <w:tcPr>
            <w:tcW w:w="385" w:type="pct"/>
            <w:noWrap/>
            <w:vAlign w:val="center"/>
            <w:hideMark/>
          </w:tcPr>
          <w:p w14:paraId="4552F06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97.7</w:t>
            </w:r>
          </w:p>
        </w:tc>
      </w:tr>
      <w:tr w:rsidR="00B661ED" w:rsidRPr="00B066C6" w14:paraId="2BE1AEE0" w14:textId="77777777" w:rsidTr="00B661ED">
        <w:trPr>
          <w:trHeight w:val="320"/>
        </w:trPr>
        <w:tc>
          <w:tcPr>
            <w:tcW w:w="480" w:type="pct"/>
            <w:noWrap/>
            <w:vAlign w:val="center"/>
            <w:hideMark/>
          </w:tcPr>
          <w:p w14:paraId="7D7F9CB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FRTA</w:t>
            </w:r>
          </w:p>
        </w:tc>
        <w:tc>
          <w:tcPr>
            <w:tcW w:w="1034" w:type="pct"/>
            <w:noWrap/>
            <w:vAlign w:val="center"/>
            <w:hideMark/>
          </w:tcPr>
          <w:p w14:paraId="23AC7D63"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Ramphocelus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flammigerus</w:t>
            </w:r>
            <w:proofErr w:type="spellEnd"/>
          </w:p>
        </w:tc>
        <w:tc>
          <w:tcPr>
            <w:tcW w:w="697" w:type="pct"/>
            <w:noWrap/>
            <w:vAlign w:val="center"/>
            <w:hideMark/>
          </w:tcPr>
          <w:p w14:paraId="2B53158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5" w:type="pct"/>
            <w:noWrap/>
            <w:vAlign w:val="center"/>
            <w:hideMark/>
          </w:tcPr>
          <w:p w14:paraId="2D6CEE3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46FAE96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w:t>
            </w:r>
          </w:p>
        </w:tc>
        <w:tc>
          <w:tcPr>
            <w:tcW w:w="385" w:type="pct"/>
            <w:noWrap/>
            <w:vAlign w:val="center"/>
            <w:hideMark/>
          </w:tcPr>
          <w:p w14:paraId="22D9DEB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w:t>
            </w:r>
          </w:p>
        </w:tc>
        <w:tc>
          <w:tcPr>
            <w:tcW w:w="336" w:type="pct"/>
            <w:noWrap/>
            <w:vAlign w:val="center"/>
            <w:hideMark/>
          </w:tcPr>
          <w:p w14:paraId="1B416CA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18.4</w:t>
            </w:r>
          </w:p>
        </w:tc>
        <w:tc>
          <w:tcPr>
            <w:tcW w:w="289" w:type="pct"/>
            <w:noWrap/>
            <w:vAlign w:val="center"/>
            <w:hideMark/>
          </w:tcPr>
          <w:p w14:paraId="37F1B3D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8.2</w:t>
            </w:r>
          </w:p>
        </w:tc>
        <w:tc>
          <w:tcPr>
            <w:tcW w:w="433" w:type="pct"/>
            <w:noWrap/>
            <w:vAlign w:val="center"/>
            <w:hideMark/>
          </w:tcPr>
          <w:p w14:paraId="4E8CCD9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88.6</w:t>
            </w:r>
          </w:p>
        </w:tc>
        <w:tc>
          <w:tcPr>
            <w:tcW w:w="385" w:type="pct"/>
            <w:noWrap/>
            <w:vAlign w:val="center"/>
            <w:hideMark/>
          </w:tcPr>
          <w:p w14:paraId="0AB70FB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74.8</w:t>
            </w:r>
          </w:p>
        </w:tc>
      </w:tr>
      <w:tr w:rsidR="00B661ED" w:rsidRPr="00B066C6" w14:paraId="10B90600" w14:textId="77777777" w:rsidTr="00B661ED">
        <w:trPr>
          <w:trHeight w:val="320"/>
        </w:trPr>
        <w:tc>
          <w:tcPr>
            <w:tcW w:w="480" w:type="pct"/>
            <w:noWrap/>
            <w:vAlign w:val="center"/>
            <w:hideMark/>
          </w:tcPr>
          <w:p w14:paraId="0BFE9C5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GAGW</w:t>
            </w:r>
          </w:p>
        </w:tc>
        <w:tc>
          <w:tcPr>
            <w:tcW w:w="1034" w:type="pct"/>
            <w:noWrap/>
            <w:vAlign w:val="center"/>
            <w:hideMark/>
          </w:tcPr>
          <w:p w14:paraId="41C0B50F"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Myiothlypis</w:t>
            </w:r>
            <w:proofErr w:type="spellEnd"/>
            <w:r w:rsidRPr="00992B4B">
              <w:rPr>
                <w:rFonts w:ascii="Times New Roman" w:hAnsi="Times New Roman" w:cs="Times New Roman"/>
                <w:i/>
                <w:iCs/>
                <w:sz w:val="22"/>
                <w:szCs w:val="22"/>
              </w:rPr>
              <w:t xml:space="preserve"> fraseri</w:t>
            </w:r>
          </w:p>
        </w:tc>
        <w:tc>
          <w:tcPr>
            <w:tcW w:w="697" w:type="pct"/>
            <w:noWrap/>
            <w:vAlign w:val="center"/>
            <w:hideMark/>
          </w:tcPr>
          <w:p w14:paraId="18EED92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1E0DFC7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Woodland</w:t>
            </w:r>
          </w:p>
        </w:tc>
        <w:tc>
          <w:tcPr>
            <w:tcW w:w="337" w:type="pct"/>
            <w:noWrap/>
            <w:vAlign w:val="center"/>
            <w:hideMark/>
          </w:tcPr>
          <w:p w14:paraId="199C5E9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1EE69C0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11.6</w:t>
            </w:r>
          </w:p>
        </w:tc>
        <w:tc>
          <w:tcPr>
            <w:tcW w:w="336" w:type="pct"/>
            <w:noWrap/>
            <w:vAlign w:val="center"/>
            <w:hideMark/>
          </w:tcPr>
          <w:p w14:paraId="0FFBAC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13.5</w:t>
            </w:r>
          </w:p>
        </w:tc>
        <w:tc>
          <w:tcPr>
            <w:tcW w:w="289" w:type="pct"/>
            <w:noWrap/>
            <w:vAlign w:val="center"/>
            <w:hideMark/>
          </w:tcPr>
          <w:p w14:paraId="451877E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433" w:type="pct"/>
            <w:noWrap/>
            <w:vAlign w:val="center"/>
            <w:hideMark/>
          </w:tcPr>
          <w:p w14:paraId="56BD372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65</w:t>
            </w:r>
          </w:p>
        </w:tc>
        <w:tc>
          <w:tcPr>
            <w:tcW w:w="385" w:type="pct"/>
            <w:noWrap/>
            <w:vAlign w:val="center"/>
            <w:hideMark/>
          </w:tcPr>
          <w:p w14:paraId="33F9C9A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55.7</w:t>
            </w:r>
          </w:p>
        </w:tc>
      </w:tr>
      <w:tr w:rsidR="00B661ED" w:rsidRPr="00B066C6" w14:paraId="270B7EA3" w14:textId="77777777" w:rsidTr="00B661ED">
        <w:trPr>
          <w:trHeight w:val="320"/>
        </w:trPr>
        <w:tc>
          <w:tcPr>
            <w:tcW w:w="480" w:type="pct"/>
            <w:noWrap/>
            <w:vAlign w:val="center"/>
            <w:hideMark/>
          </w:tcPr>
          <w:p w14:paraId="2527DFA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GANT</w:t>
            </w:r>
          </w:p>
        </w:tc>
        <w:tc>
          <w:tcPr>
            <w:tcW w:w="1034" w:type="pct"/>
            <w:noWrap/>
            <w:vAlign w:val="center"/>
            <w:hideMark/>
          </w:tcPr>
          <w:p w14:paraId="05BCDA1A"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Taraba major</w:t>
            </w:r>
          </w:p>
        </w:tc>
        <w:tc>
          <w:tcPr>
            <w:tcW w:w="697" w:type="pct"/>
            <w:noWrap/>
            <w:vAlign w:val="center"/>
            <w:hideMark/>
          </w:tcPr>
          <w:p w14:paraId="3907BA4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78826E1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3EC7487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7E33054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59.2</w:t>
            </w:r>
          </w:p>
        </w:tc>
        <w:tc>
          <w:tcPr>
            <w:tcW w:w="336" w:type="pct"/>
            <w:noWrap/>
            <w:vAlign w:val="center"/>
            <w:hideMark/>
          </w:tcPr>
          <w:p w14:paraId="065E095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26.3</w:t>
            </w:r>
          </w:p>
        </w:tc>
        <w:tc>
          <w:tcPr>
            <w:tcW w:w="289" w:type="pct"/>
            <w:noWrap/>
            <w:vAlign w:val="center"/>
            <w:hideMark/>
          </w:tcPr>
          <w:p w14:paraId="6098862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w:t>
            </w:r>
          </w:p>
        </w:tc>
        <w:tc>
          <w:tcPr>
            <w:tcW w:w="433" w:type="pct"/>
            <w:noWrap/>
            <w:vAlign w:val="center"/>
            <w:hideMark/>
          </w:tcPr>
          <w:p w14:paraId="565F473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90.6</w:t>
            </w:r>
          </w:p>
        </w:tc>
        <w:tc>
          <w:tcPr>
            <w:tcW w:w="385" w:type="pct"/>
            <w:noWrap/>
            <w:vAlign w:val="center"/>
            <w:hideMark/>
          </w:tcPr>
          <w:p w14:paraId="203B89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81</w:t>
            </w:r>
          </w:p>
        </w:tc>
      </w:tr>
      <w:tr w:rsidR="00B661ED" w:rsidRPr="00B066C6" w14:paraId="4A43EECD" w14:textId="77777777" w:rsidTr="00B661ED">
        <w:trPr>
          <w:trHeight w:val="320"/>
        </w:trPr>
        <w:tc>
          <w:tcPr>
            <w:tcW w:w="480" w:type="pct"/>
            <w:noWrap/>
            <w:vAlign w:val="center"/>
            <w:hideMark/>
          </w:tcPr>
          <w:p w14:paraId="7F05F88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GBAN</w:t>
            </w:r>
          </w:p>
        </w:tc>
        <w:tc>
          <w:tcPr>
            <w:tcW w:w="1034" w:type="pct"/>
            <w:noWrap/>
            <w:vAlign w:val="center"/>
            <w:hideMark/>
          </w:tcPr>
          <w:p w14:paraId="231C073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Crotophaga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sulcirostris</w:t>
            </w:r>
            <w:proofErr w:type="spellEnd"/>
          </w:p>
        </w:tc>
        <w:tc>
          <w:tcPr>
            <w:tcW w:w="697" w:type="pct"/>
            <w:noWrap/>
            <w:vAlign w:val="center"/>
            <w:hideMark/>
          </w:tcPr>
          <w:p w14:paraId="054CCCD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5" w:type="pct"/>
            <w:noWrap/>
            <w:vAlign w:val="center"/>
            <w:hideMark/>
          </w:tcPr>
          <w:p w14:paraId="6E5A955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Human Modified</w:t>
            </w:r>
          </w:p>
        </w:tc>
        <w:tc>
          <w:tcPr>
            <w:tcW w:w="337" w:type="pct"/>
            <w:noWrap/>
            <w:vAlign w:val="center"/>
            <w:hideMark/>
          </w:tcPr>
          <w:p w14:paraId="241F160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579CB6A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82</w:t>
            </w:r>
          </w:p>
        </w:tc>
        <w:tc>
          <w:tcPr>
            <w:tcW w:w="336" w:type="pct"/>
            <w:noWrap/>
            <w:vAlign w:val="center"/>
            <w:hideMark/>
          </w:tcPr>
          <w:p w14:paraId="3218E42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26.9</w:t>
            </w:r>
          </w:p>
        </w:tc>
        <w:tc>
          <w:tcPr>
            <w:tcW w:w="289" w:type="pct"/>
            <w:noWrap/>
            <w:vAlign w:val="center"/>
            <w:hideMark/>
          </w:tcPr>
          <w:p w14:paraId="7FF5E68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9.5</w:t>
            </w:r>
          </w:p>
        </w:tc>
        <w:tc>
          <w:tcPr>
            <w:tcW w:w="433" w:type="pct"/>
            <w:noWrap/>
            <w:vAlign w:val="center"/>
            <w:hideMark/>
          </w:tcPr>
          <w:p w14:paraId="179925D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129.3</w:t>
            </w:r>
          </w:p>
        </w:tc>
        <w:tc>
          <w:tcPr>
            <w:tcW w:w="385" w:type="pct"/>
            <w:noWrap/>
            <w:vAlign w:val="center"/>
            <w:hideMark/>
          </w:tcPr>
          <w:p w14:paraId="694D019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162.7</w:t>
            </w:r>
          </w:p>
        </w:tc>
      </w:tr>
      <w:tr w:rsidR="00B661ED" w:rsidRPr="00B066C6" w14:paraId="02676567" w14:textId="77777777" w:rsidTr="00B661ED">
        <w:trPr>
          <w:trHeight w:val="320"/>
        </w:trPr>
        <w:tc>
          <w:tcPr>
            <w:tcW w:w="480" w:type="pct"/>
            <w:noWrap/>
            <w:vAlign w:val="center"/>
            <w:hideMark/>
          </w:tcPr>
          <w:p w14:paraId="2B2D179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GCBR</w:t>
            </w:r>
          </w:p>
        </w:tc>
        <w:tc>
          <w:tcPr>
            <w:tcW w:w="1034" w:type="pct"/>
            <w:noWrap/>
            <w:vAlign w:val="center"/>
            <w:hideMark/>
          </w:tcPr>
          <w:p w14:paraId="7BEF1C59"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Heliodoxa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jacula</w:t>
            </w:r>
            <w:proofErr w:type="spellEnd"/>
          </w:p>
        </w:tc>
        <w:tc>
          <w:tcPr>
            <w:tcW w:w="697" w:type="pct"/>
            <w:noWrap/>
            <w:vAlign w:val="center"/>
            <w:hideMark/>
          </w:tcPr>
          <w:p w14:paraId="1F1F856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25" w:type="pct"/>
            <w:noWrap/>
            <w:vAlign w:val="center"/>
            <w:hideMark/>
          </w:tcPr>
          <w:p w14:paraId="174CCE9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789EC72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85" w:type="pct"/>
            <w:noWrap/>
            <w:vAlign w:val="center"/>
            <w:hideMark/>
          </w:tcPr>
          <w:p w14:paraId="7E4B21D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8.1</w:t>
            </w:r>
          </w:p>
        </w:tc>
        <w:tc>
          <w:tcPr>
            <w:tcW w:w="336" w:type="pct"/>
            <w:noWrap/>
            <w:vAlign w:val="center"/>
            <w:hideMark/>
          </w:tcPr>
          <w:p w14:paraId="235F47D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26.4</w:t>
            </w:r>
          </w:p>
        </w:tc>
        <w:tc>
          <w:tcPr>
            <w:tcW w:w="289" w:type="pct"/>
            <w:noWrap/>
            <w:vAlign w:val="center"/>
            <w:hideMark/>
          </w:tcPr>
          <w:p w14:paraId="19540F9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2.5</w:t>
            </w:r>
          </w:p>
        </w:tc>
        <w:tc>
          <w:tcPr>
            <w:tcW w:w="433" w:type="pct"/>
            <w:noWrap/>
            <w:vAlign w:val="center"/>
            <w:hideMark/>
          </w:tcPr>
          <w:p w14:paraId="48E72A2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70.3</w:t>
            </w:r>
          </w:p>
        </w:tc>
        <w:tc>
          <w:tcPr>
            <w:tcW w:w="385" w:type="pct"/>
            <w:noWrap/>
            <w:vAlign w:val="center"/>
            <w:hideMark/>
          </w:tcPr>
          <w:p w14:paraId="67494EF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44.2</w:t>
            </w:r>
          </w:p>
        </w:tc>
      </w:tr>
      <w:tr w:rsidR="00B661ED" w:rsidRPr="00B066C6" w14:paraId="038ECD87" w14:textId="77777777" w:rsidTr="00B661ED">
        <w:trPr>
          <w:trHeight w:val="320"/>
        </w:trPr>
        <w:tc>
          <w:tcPr>
            <w:tcW w:w="480" w:type="pct"/>
            <w:noWrap/>
            <w:vAlign w:val="center"/>
            <w:hideMark/>
          </w:tcPr>
          <w:p w14:paraId="53A9C3B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GMAK</w:t>
            </w:r>
          </w:p>
        </w:tc>
        <w:tc>
          <w:tcPr>
            <w:tcW w:w="1034" w:type="pct"/>
            <w:noWrap/>
            <w:vAlign w:val="center"/>
            <w:hideMark/>
          </w:tcPr>
          <w:p w14:paraId="32C5E5CD"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Cryptopipo</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litae</w:t>
            </w:r>
            <w:proofErr w:type="spellEnd"/>
          </w:p>
        </w:tc>
        <w:tc>
          <w:tcPr>
            <w:tcW w:w="697" w:type="pct"/>
            <w:noWrap/>
            <w:vAlign w:val="center"/>
            <w:hideMark/>
          </w:tcPr>
          <w:p w14:paraId="6D0DBB4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5" w:type="pct"/>
            <w:noWrap/>
            <w:vAlign w:val="center"/>
            <w:hideMark/>
          </w:tcPr>
          <w:p w14:paraId="42D7139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37" w:type="pct"/>
            <w:noWrap/>
            <w:vAlign w:val="center"/>
            <w:hideMark/>
          </w:tcPr>
          <w:p w14:paraId="5016B47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w:t>
            </w:r>
          </w:p>
        </w:tc>
        <w:tc>
          <w:tcPr>
            <w:tcW w:w="385" w:type="pct"/>
            <w:noWrap/>
            <w:vAlign w:val="center"/>
            <w:hideMark/>
          </w:tcPr>
          <w:p w14:paraId="1215E65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14.9</w:t>
            </w:r>
          </w:p>
        </w:tc>
        <w:tc>
          <w:tcPr>
            <w:tcW w:w="336" w:type="pct"/>
            <w:noWrap/>
            <w:vAlign w:val="center"/>
            <w:hideMark/>
          </w:tcPr>
          <w:p w14:paraId="6D32586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13.3</w:t>
            </w:r>
          </w:p>
        </w:tc>
        <w:tc>
          <w:tcPr>
            <w:tcW w:w="289" w:type="pct"/>
            <w:noWrap/>
            <w:vAlign w:val="center"/>
            <w:hideMark/>
          </w:tcPr>
          <w:p w14:paraId="3F76DF4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4.3</w:t>
            </w:r>
          </w:p>
        </w:tc>
        <w:tc>
          <w:tcPr>
            <w:tcW w:w="433" w:type="pct"/>
            <w:noWrap/>
            <w:vAlign w:val="center"/>
            <w:hideMark/>
          </w:tcPr>
          <w:p w14:paraId="4E60A1E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69.2</w:t>
            </w:r>
          </w:p>
        </w:tc>
        <w:tc>
          <w:tcPr>
            <w:tcW w:w="385" w:type="pct"/>
            <w:noWrap/>
            <w:vAlign w:val="center"/>
            <w:hideMark/>
          </w:tcPr>
          <w:p w14:paraId="6C2FDF1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46.8</w:t>
            </w:r>
          </w:p>
        </w:tc>
      </w:tr>
    </w:tbl>
    <w:p w14:paraId="186F68DF" w14:textId="77777777" w:rsidR="00D56D09" w:rsidRDefault="00D56D09" w:rsidP="00D56D09"/>
    <w:p w14:paraId="081FFAA0" w14:textId="77777777" w:rsidR="00B661ED" w:rsidRDefault="00B661ED" w:rsidP="00D56D09"/>
    <w:tbl>
      <w:tblPr>
        <w:tblStyle w:val="TableGrid"/>
        <w:tblW w:w="5000" w:type="pct"/>
        <w:tblLayout w:type="fixed"/>
        <w:tblLook w:val="04A0" w:firstRow="1" w:lastRow="0" w:firstColumn="1" w:lastColumn="0" w:noHBand="0" w:noVBand="1"/>
      </w:tblPr>
      <w:tblGrid>
        <w:gridCol w:w="986"/>
        <w:gridCol w:w="1848"/>
        <w:gridCol w:w="1393"/>
        <w:gridCol w:w="1168"/>
        <w:gridCol w:w="541"/>
        <w:gridCol w:w="631"/>
        <w:gridCol w:w="721"/>
        <w:gridCol w:w="721"/>
        <w:gridCol w:w="726"/>
        <w:gridCol w:w="625"/>
      </w:tblGrid>
      <w:tr w:rsidR="00D56D09" w:rsidRPr="00B066C6" w14:paraId="5AE87755" w14:textId="77777777" w:rsidTr="00BA36F1">
        <w:trPr>
          <w:trHeight w:val="320"/>
        </w:trPr>
        <w:tc>
          <w:tcPr>
            <w:tcW w:w="5000" w:type="pct"/>
            <w:gridSpan w:val="10"/>
            <w:tcBorders>
              <w:top w:val="nil"/>
              <w:left w:val="nil"/>
              <w:bottom w:val="single" w:sz="4" w:space="0" w:color="auto"/>
              <w:right w:val="nil"/>
            </w:tcBorders>
            <w:noWrap/>
            <w:vAlign w:val="center"/>
          </w:tcPr>
          <w:p w14:paraId="0516E8AA" w14:textId="7FADC60B" w:rsidR="00D56D09" w:rsidRPr="00B066C6" w:rsidRDefault="00D56D09" w:rsidP="00BA36F1">
            <w:pPr>
              <w:spacing w:before="0"/>
              <w:rPr>
                <w:rFonts w:ascii="Times New Roman" w:hAnsi="Times New Roman" w:cs="Times New Roman"/>
                <w:sz w:val="22"/>
                <w:szCs w:val="22"/>
              </w:rPr>
            </w:pPr>
            <w:r w:rsidRPr="00B33A86">
              <w:rPr>
                <w:rFonts w:ascii="Times New Roman" w:hAnsi="Times New Roman" w:cs="Times New Roman"/>
                <w:b/>
                <w:bCs/>
              </w:rPr>
              <w:lastRenderedPageBreak/>
              <w:t>Supplementary Table 2</w:t>
            </w:r>
            <w:r w:rsidRPr="00B33A86">
              <w:rPr>
                <w:rFonts w:ascii="Times New Roman" w:hAnsi="Times New Roman" w:cs="Times New Roman"/>
              </w:rPr>
              <w:t xml:space="preserve"> Continued.</w:t>
            </w:r>
          </w:p>
        </w:tc>
      </w:tr>
      <w:tr w:rsidR="00D56D09" w:rsidRPr="00B066C6" w14:paraId="5EB0A7AA" w14:textId="77777777" w:rsidTr="00B661ED">
        <w:trPr>
          <w:trHeight w:val="320"/>
        </w:trPr>
        <w:tc>
          <w:tcPr>
            <w:tcW w:w="527" w:type="pct"/>
            <w:tcBorders>
              <w:top w:val="single" w:sz="4" w:space="0" w:color="auto"/>
            </w:tcBorders>
            <w:noWrap/>
            <w:vAlign w:val="center"/>
          </w:tcPr>
          <w:p w14:paraId="2336CCD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GOWO</w:t>
            </w:r>
          </w:p>
        </w:tc>
        <w:tc>
          <w:tcPr>
            <w:tcW w:w="987" w:type="pct"/>
            <w:tcBorders>
              <w:top w:val="single" w:sz="4" w:space="0" w:color="auto"/>
            </w:tcBorders>
            <w:noWrap/>
            <w:vAlign w:val="center"/>
          </w:tcPr>
          <w:p w14:paraId="085D79ED"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Colaptes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rubiginosus</w:t>
            </w:r>
            <w:proofErr w:type="spellEnd"/>
          </w:p>
        </w:tc>
        <w:tc>
          <w:tcPr>
            <w:tcW w:w="744" w:type="pct"/>
            <w:tcBorders>
              <w:top w:val="single" w:sz="4" w:space="0" w:color="auto"/>
            </w:tcBorders>
            <w:noWrap/>
            <w:vAlign w:val="center"/>
          </w:tcPr>
          <w:p w14:paraId="051B2B7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tcBorders>
              <w:top w:val="single" w:sz="4" w:space="0" w:color="auto"/>
            </w:tcBorders>
            <w:noWrap/>
            <w:vAlign w:val="center"/>
          </w:tcPr>
          <w:p w14:paraId="7E5EB70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tcBorders>
              <w:top w:val="single" w:sz="4" w:space="0" w:color="auto"/>
            </w:tcBorders>
            <w:noWrap/>
            <w:vAlign w:val="center"/>
          </w:tcPr>
          <w:p w14:paraId="129FDEE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tcBorders>
              <w:top w:val="single" w:sz="4" w:space="0" w:color="auto"/>
            </w:tcBorders>
            <w:noWrap/>
            <w:vAlign w:val="center"/>
          </w:tcPr>
          <w:p w14:paraId="1A383F6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55.8</w:t>
            </w:r>
          </w:p>
        </w:tc>
        <w:tc>
          <w:tcPr>
            <w:tcW w:w="385" w:type="pct"/>
            <w:tcBorders>
              <w:top w:val="single" w:sz="4" w:space="0" w:color="auto"/>
            </w:tcBorders>
            <w:noWrap/>
            <w:vAlign w:val="center"/>
          </w:tcPr>
          <w:p w14:paraId="7AE6392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27</w:t>
            </w:r>
          </w:p>
        </w:tc>
        <w:tc>
          <w:tcPr>
            <w:tcW w:w="385" w:type="pct"/>
            <w:tcBorders>
              <w:top w:val="single" w:sz="4" w:space="0" w:color="auto"/>
            </w:tcBorders>
            <w:noWrap/>
            <w:vAlign w:val="center"/>
          </w:tcPr>
          <w:p w14:paraId="6D2C417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7.1</w:t>
            </w:r>
          </w:p>
        </w:tc>
        <w:tc>
          <w:tcPr>
            <w:tcW w:w="388" w:type="pct"/>
            <w:tcBorders>
              <w:top w:val="single" w:sz="4" w:space="0" w:color="auto"/>
            </w:tcBorders>
            <w:noWrap/>
            <w:vAlign w:val="center"/>
          </w:tcPr>
          <w:p w14:paraId="55D9905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123.7</w:t>
            </w:r>
          </w:p>
        </w:tc>
        <w:tc>
          <w:tcPr>
            <w:tcW w:w="333" w:type="pct"/>
            <w:tcBorders>
              <w:top w:val="single" w:sz="4" w:space="0" w:color="auto"/>
            </w:tcBorders>
            <w:noWrap/>
            <w:vAlign w:val="center"/>
          </w:tcPr>
          <w:p w14:paraId="1683F09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76.3</w:t>
            </w:r>
          </w:p>
        </w:tc>
      </w:tr>
      <w:tr w:rsidR="00D56D09" w:rsidRPr="00B066C6" w14:paraId="53E53B48" w14:textId="77777777" w:rsidTr="00B661ED">
        <w:trPr>
          <w:trHeight w:val="320"/>
        </w:trPr>
        <w:tc>
          <w:tcPr>
            <w:tcW w:w="527" w:type="pct"/>
            <w:noWrap/>
            <w:vAlign w:val="center"/>
            <w:hideMark/>
          </w:tcPr>
          <w:p w14:paraId="3A1D1F6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GRET</w:t>
            </w:r>
          </w:p>
        </w:tc>
        <w:tc>
          <w:tcPr>
            <w:tcW w:w="987" w:type="pct"/>
            <w:noWrap/>
            <w:vAlign w:val="center"/>
            <w:hideMark/>
          </w:tcPr>
          <w:p w14:paraId="0A4B0C9D"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Discosura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conversii</w:t>
            </w:r>
            <w:proofErr w:type="spellEnd"/>
          </w:p>
        </w:tc>
        <w:tc>
          <w:tcPr>
            <w:tcW w:w="744" w:type="pct"/>
            <w:noWrap/>
            <w:vAlign w:val="center"/>
            <w:hideMark/>
          </w:tcPr>
          <w:p w14:paraId="7C2F941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24" w:type="pct"/>
            <w:noWrap/>
            <w:vAlign w:val="center"/>
            <w:hideMark/>
          </w:tcPr>
          <w:p w14:paraId="4851F56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0B40343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37" w:type="pct"/>
            <w:noWrap/>
            <w:vAlign w:val="center"/>
            <w:hideMark/>
          </w:tcPr>
          <w:p w14:paraId="39207DA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5" w:type="pct"/>
            <w:noWrap/>
            <w:vAlign w:val="center"/>
            <w:hideMark/>
          </w:tcPr>
          <w:p w14:paraId="2E81F8D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14.4</w:t>
            </w:r>
          </w:p>
        </w:tc>
        <w:tc>
          <w:tcPr>
            <w:tcW w:w="385" w:type="pct"/>
            <w:noWrap/>
            <w:vAlign w:val="center"/>
            <w:hideMark/>
          </w:tcPr>
          <w:p w14:paraId="4B34234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w:t>
            </w:r>
          </w:p>
        </w:tc>
        <w:tc>
          <w:tcPr>
            <w:tcW w:w="388" w:type="pct"/>
            <w:noWrap/>
            <w:vAlign w:val="center"/>
            <w:hideMark/>
          </w:tcPr>
          <w:p w14:paraId="2A3A261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42.2</w:t>
            </w:r>
          </w:p>
        </w:tc>
        <w:tc>
          <w:tcPr>
            <w:tcW w:w="333" w:type="pct"/>
            <w:noWrap/>
            <w:vAlign w:val="center"/>
            <w:hideMark/>
          </w:tcPr>
          <w:p w14:paraId="13D4559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w:t>
            </w:r>
          </w:p>
        </w:tc>
      </w:tr>
      <w:tr w:rsidR="00D56D09" w:rsidRPr="00B066C6" w14:paraId="5F3F6EB2" w14:textId="77777777" w:rsidTr="00B661ED">
        <w:trPr>
          <w:trHeight w:val="320"/>
        </w:trPr>
        <w:tc>
          <w:tcPr>
            <w:tcW w:w="527" w:type="pct"/>
            <w:noWrap/>
            <w:vAlign w:val="center"/>
            <w:hideMark/>
          </w:tcPr>
          <w:p w14:paraId="1C200B6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GRHO</w:t>
            </w:r>
          </w:p>
        </w:tc>
        <w:tc>
          <w:tcPr>
            <w:tcW w:w="987" w:type="pct"/>
            <w:noWrap/>
            <w:vAlign w:val="center"/>
            <w:hideMark/>
          </w:tcPr>
          <w:p w14:paraId="14633F60"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Chlorophanes </w:t>
            </w:r>
            <w:proofErr w:type="spellStart"/>
            <w:r w:rsidRPr="00992B4B">
              <w:rPr>
                <w:rFonts w:ascii="Times New Roman" w:hAnsi="Times New Roman" w:cs="Times New Roman"/>
                <w:i/>
                <w:iCs/>
                <w:sz w:val="22"/>
                <w:szCs w:val="22"/>
              </w:rPr>
              <w:t>spiza</w:t>
            </w:r>
            <w:proofErr w:type="spellEnd"/>
          </w:p>
        </w:tc>
        <w:tc>
          <w:tcPr>
            <w:tcW w:w="744" w:type="pct"/>
            <w:noWrap/>
            <w:vAlign w:val="center"/>
            <w:hideMark/>
          </w:tcPr>
          <w:p w14:paraId="3E82F32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4" w:type="pct"/>
            <w:noWrap/>
            <w:vAlign w:val="center"/>
            <w:hideMark/>
          </w:tcPr>
          <w:p w14:paraId="40B62E1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2813719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37" w:type="pct"/>
            <w:noWrap/>
            <w:vAlign w:val="center"/>
            <w:hideMark/>
          </w:tcPr>
          <w:p w14:paraId="0CFA698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19</w:t>
            </w:r>
          </w:p>
        </w:tc>
        <w:tc>
          <w:tcPr>
            <w:tcW w:w="385" w:type="pct"/>
            <w:noWrap/>
            <w:vAlign w:val="center"/>
            <w:hideMark/>
          </w:tcPr>
          <w:p w14:paraId="7DAF438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15.9</w:t>
            </w:r>
          </w:p>
        </w:tc>
        <w:tc>
          <w:tcPr>
            <w:tcW w:w="385" w:type="pct"/>
            <w:noWrap/>
            <w:vAlign w:val="center"/>
            <w:hideMark/>
          </w:tcPr>
          <w:p w14:paraId="47BF341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4.5</w:t>
            </w:r>
          </w:p>
        </w:tc>
        <w:tc>
          <w:tcPr>
            <w:tcW w:w="388" w:type="pct"/>
            <w:noWrap/>
            <w:vAlign w:val="center"/>
            <w:hideMark/>
          </w:tcPr>
          <w:p w14:paraId="0D3E354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68.3</w:t>
            </w:r>
          </w:p>
        </w:tc>
        <w:tc>
          <w:tcPr>
            <w:tcW w:w="333" w:type="pct"/>
            <w:noWrap/>
            <w:vAlign w:val="center"/>
            <w:hideMark/>
          </w:tcPr>
          <w:p w14:paraId="268F370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48.2</w:t>
            </w:r>
          </w:p>
        </w:tc>
      </w:tr>
      <w:tr w:rsidR="00D56D09" w:rsidRPr="00B066C6" w14:paraId="2433DD79" w14:textId="77777777" w:rsidTr="00B661ED">
        <w:trPr>
          <w:trHeight w:val="320"/>
        </w:trPr>
        <w:tc>
          <w:tcPr>
            <w:tcW w:w="527" w:type="pct"/>
            <w:noWrap/>
            <w:vAlign w:val="center"/>
            <w:hideMark/>
          </w:tcPr>
          <w:p w14:paraId="1F868A5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GYBM</w:t>
            </w:r>
          </w:p>
        </w:tc>
        <w:tc>
          <w:tcPr>
            <w:tcW w:w="987" w:type="pct"/>
            <w:noWrap/>
            <w:vAlign w:val="center"/>
            <w:hideMark/>
          </w:tcPr>
          <w:p w14:paraId="0776FA9D"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Progne</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chalybea</w:t>
            </w:r>
            <w:proofErr w:type="spellEnd"/>
          </w:p>
        </w:tc>
        <w:tc>
          <w:tcPr>
            <w:tcW w:w="744" w:type="pct"/>
            <w:noWrap/>
            <w:vAlign w:val="center"/>
            <w:hideMark/>
          </w:tcPr>
          <w:p w14:paraId="7A7910E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118B67A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89" w:type="pct"/>
            <w:noWrap/>
            <w:vAlign w:val="center"/>
            <w:hideMark/>
          </w:tcPr>
          <w:p w14:paraId="2C137E5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02E32DF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50</w:t>
            </w:r>
          </w:p>
        </w:tc>
        <w:tc>
          <w:tcPr>
            <w:tcW w:w="385" w:type="pct"/>
            <w:noWrap/>
            <w:vAlign w:val="center"/>
            <w:hideMark/>
          </w:tcPr>
          <w:p w14:paraId="6068474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15.3</w:t>
            </w:r>
          </w:p>
        </w:tc>
        <w:tc>
          <w:tcPr>
            <w:tcW w:w="385" w:type="pct"/>
            <w:noWrap/>
            <w:vAlign w:val="center"/>
            <w:hideMark/>
          </w:tcPr>
          <w:p w14:paraId="1B8479F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5.6</w:t>
            </w:r>
          </w:p>
        </w:tc>
        <w:tc>
          <w:tcPr>
            <w:tcW w:w="388" w:type="pct"/>
            <w:noWrap/>
            <w:vAlign w:val="center"/>
            <w:hideMark/>
          </w:tcPr>
          <w:p w14:paraId="4447E88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130.6</w:t>
            </w:r>
          </w:p>
        </w:tc>
        <w:tc>
          <w:tcPr>
            <w:tcW w:w="333" w:type="pct"/>
            <w:noWrap/>
            <w:vAlign w:val="center"/>
            <w:hideMark/>
          </w:tcPr>
          <w:p w14:paraId="15B036D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66.4</w:t>
            </w:r>
          </w:p>
        </w:tc>
      </w:tr>
      <w:tr w:rsidR="00D56D09" w:rsidRPr="00B066C6" w14:paraId="203C931F" w14:textId="77777777" w:rsidTr="00B661ED">
        <w:trPr>
          <w:trHeight w:val="320"/>
        </w:trPr>
        <w:tc>
          <w:tcPr>
            <w:tcW w:w="527" w:type="pct"/>
            <w:noWrap/>
            <w:vAlign w:val="center"/>
            <w:hideMark/>
          </w:tcPr>
          <w:p w14:paraId="74C433D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HOWR</w:t>
            </w:r>
          </w:p>
        </w:tc>
        <w:tc>
          <w:tcPr>
            <w:tcW w:w="987" w:type="pct"/>
            <w:noWrap/>
            <w:vAlign w:val="center"/>
            <w:hideMark/>
          </w:tcPr>
          <w:p w14:paraId="26067503"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Troglodytes </w:t>
            </w:r>
            <w:proofErr w:type="spellStart"/>
            <w:r w:rsidRPr="00992B4B">
              <w:rPr>
                <w:rFonts w:ascii="Times New Roman" w:hAnsi="Times New Roman" w:cs="Times New Roman"/>
                <w:i/>
                <w:iCs/>
                <w:sz w:val="22"/>
                <w:szCs w:val="22"/>
              </w:rPr>
              <w:t>aedon</w:t>
            </w:r>
            <w:proofErr w:type="spellEnd"/>
          </w:p>
        </w:tc>
        <w:tc>
          <w:tcPr>
            <w:tcW w:w="744" w:type="pct"/>
            <w:noWrap/>
            <w:vAlign w:val="center"/>
            <w:hideMark/>
          </w:tcPr>
          <w:p w14:paraId="60C3B1C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4E8725C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89" w:type="pct"/>
            <w:noWrap/>
            <w:vAlign w:val="center"/>
            <w:hideMark/>
          </w:tcPr>
          <w:p w14:paraId="31C06BD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19</w:t>
            </w:r>
          </w:p>
        </w:tc>
        <w:tc>
          <w:tcPr>
            <w:tcW w:w="337" w:type="pct"/>
            <w:noWrap/>
            <w:vAlign w:val="center"/>
            <w:hideMark/>
          </w:tcPr>
          <w:p w14:paraId="3DF6650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10.9</w:t>
            </w:r>
          </w:p>
        </w:tc>
        <w:tc>
          <w:tcPr>
            <w:tcW w:w="385" w:type="pct"/>
            <w:noWrap/>
            <w:vAlign w:val="center"/>
            <w:hideMark/>
          </w:tcPr>
          <w:p w14:paraId="308DDD4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15.9</w:t>
            </w:r>
          </w:p>
        </w:tc>
        <w:tc>
          <w:tcPr>
            <w:tcW w:w="385" w:type="pct"/>
            <w:noWrap/>
            <w:vAlign w:val="center"/>
            <w:hideMark/>
          </w:tcPr>
          <w:p w14:paraId="4D6E1D8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8" w:type="pct"/>
            <w:noWrap/>
            <w:vAlign w:val="center"/>
            <w:hideMark/>
          </w:tcPr>
          <w:p w14:paraId="146F4A6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51.4</w:t>
            </w:r>
          </w:p>
        </w:tc>
        <w:tc>
          <w:tcPr>
            <w:tcW w:w="333" w:type="pct"/>
            <w:noWrap/>
            <w:vAlign w:val="center"/>
            <w:hideMark/>
          </w:tcPr>
          <w:p w14:paraId="0C8688D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41.1</w:t>
            </w:r>
          </w:p>
        </w:tc>
      </w:tr>
      <w:tr w:rsidR="00D56D09" w:rsidRPr="00B066C6" w14:paraId="7D59DB4C" w14:textId="77777777" w:rsidTr="00B661ED">
        <w:trPr>
          <w:trHeight w:val="320"/>
        </w:trPr>
        <w:tc>
          <w:tcPr>
            <w:tcW w:w="527" w:type="pct"/>
            <w:noWrap/>
            <w:vAlign w:val="center"/>
            <w:hideMark/>
          </w:tcPr>
          <w:p w14:paraId="4EE4DF2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LBST</w:t>
            </w:r>
          </w:p>
        </w:tc>
        <w:tc>
          <w:tcPr>
            <w:tcW w:w="987" w:type="pct"/>
            <w:noWrap/>
            <w:vAlign w:val="center"/>
            <w:hideMark/>
          </w:tcPr>
          <w:p w14:paraId="3D50F125"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Heliomaster</w:t>
            </w:r>
            <w:proofErr w:type="spellEnd"/>
            <w:r w:rsidRPr="00992B4B">
              <w:rPr>
                <w:rFonts w:ascii="Times New Roman" w:hAnsi="Times New Roman" w:cs="Times New Roman"/>
                <w:i/>
                <w:iCs/>
                <w:sz w:val="22"/>
                <w:szCs w:val="22"/>
              </w:rPr>
              <w:t xml:space="preserve"> longirostris</w:t>
            </w:r>
          </w:p>
        </w:tc>
        <w:tc>
          <w:tcPr>
            <w:tcW w:w="744" w:type="pct"/>
            <w:noWrap/>
            <w:vAlign w:val="center"/>
            <w:hideMark/>
          </w:tcPr>
          <w:p w14:paraId="653FF17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24" w:type="pct"/>
            <w:noWrap/>
            <w:vAlign w:val="center"/>
            <w:hideMark/>
          </w:tcPr>
          <w:p w14:paraId="611EE74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799A629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32C5C4C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6.6</w:t>
            </w:r>
          </w:p>
        </w:tc>
        <w:tc>
          <w:tcPr>
            <w:tcW w:w="385" w:type="pct"/>
            <w:noWrap/>
            <w:vAlign w:val="center"/>
            <w:hideMark/>
          </w:tcPr>
          <w:p w14:paraId="681AD27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35</w:t>
            </w:r>
          </w:p>
        </w:tc>
        <w:tc>
          <w:tcPr>
            <w:tcW w:w="385" w:type="pct"/>
            <w:noWrap/>
            <w:vAlign w:val="center"/>
            <w:hideMark/>
          </w:tcPr>
          <w:p w14:paraId="680A218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2.7</w:t>
            </w:r>
          </w:p>
        </w:tc>
        <w:tc>
          <w:tcPr>
            <w:tcW w:w="388" w:type="pct"/>
            <w:noWrap/>
            <w:vAlign w:val="center"/>
            <w:hideMark/>
          </w:tcPr>
          <w:p w14:paraId="67B6597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58.4</w:t>
            </w:r>
          </w:p>
        </w:tc>
        <w:tc>
          <w:tcPr>
            <w:tcW w:w="333" w:type="pct"/>
            <w:noWrap/>
            <w:vAlign w:val="center"/>
            <w:hideMark/>
          </w:tcPr>
          <w:p w14:paraId="5993275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30.7</w:t>
            </w:r>
          </w:p>
        </w:tc>
      </w:tr>
      <w:tr w:rsidR="00D56D09" w:rsidRPr="00B066C6" w14:paraId="7E6C1709" w14:textId="77777777" w:rsidTr="00B661ED">
        <w:trPr>
          <w:trHeight w:val="320"/>
        </w:trPr>
        <w:tc>
          <w:tcPr>
            <w:tcW w:w="527" w:type="pct"/>
            <w:noWrap/>
            <w:vAlign w:val="center"/>
            <w:hideMark/>
          </w:tcPr>
          <w:p w14:paraId="7B3EDB8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MUTO</w:t>
            </w:r>
          </w:p>
        </w:tc>
        <w:tc>
          <w:tcPr>
            <w:tcW w:w="987" w:type="pct"/>
            <w:noWrap/>
            <w:vAlign w:val="center"/>
            <w:hideMark/>
          </w:tcPr>
          <w:p w14:paraId="3577EF75"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Ciccaba</w:t>
            </w:r>
            <w:proofErr w:type="spellEnd"/>
            <w:r w:rsidRPr="00992B4B">
              <w:rPr>
                <w:rFonts w:ascii="Times New Roman" w:hAnsi="Times New Roman" w:cs="Times New Roman"/>
                <w:i/>
                <w:iCs/>
                <w:sz w:val="22"/>
                <w:szCs w:val="22"/>
              </w:rPr>
              <w:t xml:space="preserve"> virgata</w:t>
            </w:r>
          </w:p>
        </w:tc>
        <w:tc>
          <w:tcPr>
            <w:tcW w:w="744" w:type="pct"/>
            <w:noWrap/>
            <w:vAlign w:val="center"/>
            <w:hideMark/>
          </w:tcPr>
          <w:p w14:paraId="552A1E4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24" w:type="pct"/>
            <w:noWrap/>
            <w:vAlign w:val="center"/>
            <w:hideMark/>
          </w:tcPr>
          <w:p w14:paraId="4BD7EA7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354B00A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196487D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284</w:t>
            </w:r>
          </w:p>
        </w:tc>
        <w:tc>
          <w:tcPr>
            <w:tcW w:w="385" w:type="pct"/>
            <w:noWrap/>
            <w:vAlign w:val="center"/>
            <w:hideMark/>
          </w:tcPr>
          <w:p w14:paraId="40BD25E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w:t>
            </w:r>
          </w:p>
        </w:tc>
        <w:tc>
          <w:tcPr>
            <w:tcW w:w="385" w:type="pct"/>
            <w:noWrap/>
            <w:vAlign w:val="center"/>
            <w:hideMark/>
          </w:tcPr>
          <w:p w14:paraId="3363784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w:t>
            </w:r>
          </w:p>
        </w:tc>
        <w:tc>
          <w:tcPr>
            <w:tcW w:w="388" w:type="pct"/>
            <w:noWrap/>
            <w:vAlign w:val="center"/>
            <w:hideMark/>
          </w:tcPr>
          <w:p w14:paraId="0A0A8E4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240.6</w:t>
            </w:r>
          </w:p>
        </w:tc>
        <w:tc>
          <w:tcPr>
            <w:tcW w:w="333" w:type="pct"/>
            <w:noWrap/>
            <w:vAlign w:val="center"/>
            <w:hideMark/>
          </w:tcPr>
          <w:p w14:paraId="5200A94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149.1</w:t>
            </w:r>
          </w:p>
        </w:tc>
      </w:tr>
      <w:tr w:rsidR="00D56D09" w:rsidRPr="00B066C6" w14:paraId="409DE8A4" w14:textId="77777777" w:rsidTr="00B661ED">
        <w:trPr>
          <w:trHeight w:val="320"/>
        </w:trPr>
        <w:tc>
          <w:tcPr>
            <w:tcW w:w="527" w:type="pct"/>
            <w:noWrap/>
            <w:vAlign w:val="center"/>
            <w:hideMark/>
          </w:tcPr>
          <w:p w14:paraId="13BC9E3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NOSC</w:t>
            </w:r>
          </w:p>
        </w:tc>
        <w:tc>
          <w:tcPr>
            <w:tcW w:w="987" w:type="pct"/>
            <w:noWrap/>
            <w:vAlign w:val="center"/>
            <w:hideMark/>
          </w:tcPr>
          <w:p w14:paraId="460E9E0A"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Schiffornis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veraepacis</w:t>
            </w:r>
            <w:proofErr w:type="spellEnd"/>
          </w:p>
        </w:tc>
        <w:tc>
          <w:tcPr>
            <w:tcW w:w="744" w:type="pct"/>
            <w:noWrap/>
            <w:vAlign w:val="center"/>
            <w:hideMark/>
          </w:tcPr>
          <w:p w14:paraId="39D1BB5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24" w:type="pct"/>
            <w:noWrap/>
            <w:vAlign w:val="center"/>
            <w:hideMark/>
          </w:tcPr>
          <w:p w14:paraId="3E0D3DB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1D0677E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37" w:type="pct"/>
            <w:noWrap/>
            <w:vAlign w:val="center"/>
            <w:hideMark/>
          </w:tcPr>
          <w:p w14:paraId="1C3245D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31.1</w:t>
            </w:r>
          </w:p>
        </w:tc>
        <w:tc>
          <w:tcPr>
            <w:tcW w:w="385" w:type="pct"/>
            <w:noWrap/>
            <w:vAlign w:val="center"/>
            <w:hideMark/>
          </w:tcPr>
          <w:p w14:paraId="4FAD0A3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21.2</w:t>
            </w:r>
          </w:p>
        </w:tc>
        <w:tc>
          <w:tcPr>
            <w:tcW w:w="385" w:type="pct"/>
            <w:noWrap/>
            <w:vAlign w:val="center"/>
            <w:hideMark/>
          </w:tcPr>
          <w:p w14:paraId="3C6CB42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5.3</w:t>
            </w:r>
          </w:p>
        </w:tc>
        <w:tc>
          <w:tcPr>
            <w:tcW w:w="388" w:type="pct"/>
            <w:noWrap/>
            <w:vAlign w:val="center"/>
            <w:hideMark/>
          </w:tcPr>
          <w:p w14:paraId="3148C29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87.3</w:t>
            </w:r>
          </w:p>
        </w:tc>
        <w:tc>
          <w:tcPr>
            <w:tcW w:w="333" w:type="pct"/>
            <w:noWrap/>
            <w:vAlign w:val="center"/>
            <w:hideMark/>
          </w:tcPr>
          <w:p w14:paraId="4F5D128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70.2</w:t>
            </w:r>
          </w:p>
        </w:tc>
      </w:tr>
      <w:tr w:rsidR="00D56D09" w:rsidRPr="00B066C6" w14:paraId="793D523C" w14:textId="77777777" w:rsidTr="00B661ED">
        <w:trPr>
          <w:trHeight w:val="320"/>
        </w:trPr>
        <w:tc>
          <w:tcPr>
            <w:tcW w:w="527" w:type="pct"/>
            <w:noWrap/>
            <w:vAlign w:val="center"/>
            <w:hideMark/>
          </w:tcPr>
          <w:p w14:paraId="04F2BC9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OBEE</w:t>
            </w:r>
          </w:p>
        </w:tc>
        <w:tc>
          <w:tcPr>
            <w:tcW w:w="987" w:type="pct"/>
            <w:noWrap/>
            <w:vAlign w:val="center"/>
            <w:hideMark/>
          </w:tcPr>
          <w:p w14:paraId="6F3A8F20"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Euphonia </w:t>
            </w:r>
            <w:proofErr w:type="spellStart"/>
            <w:r w:rsidRPr="00992B4B">
              <w:rPr>
                <w:rFonts w:ascii="Times New Roman" w:hAnsi="Times New Roman" w:cs="Times New Roman"/>
                <w:i/>
                <w:iCs/>
                <w:sz w:val="22"/>
                <w:szCs w:val="22"/>
              </w:rPr>
              <w:t>xanthogaster</w:t>
            </w:r>
            <w:proofErr w:type="spellEnd"/>
          </w:p>
        </w:tc>
        <w:tc>
          <w:tcPr>
            <w:tcW w:w="744" w:type="pct"/>
            <w:noWrap/>
            <w:vAlign w:val="center"/>
            <w:hideMark/>
          </w:tcPr>
          <w:p w14:paraId="3491B26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4" w:type="pct"/>
            <w:noWrap/>
            <w:vAlign w:val="center"/>
            <w:hideMark/>
          </w:tcPr>
          <w:p w14:paraId="5475723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38AC1B5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w:t>
            </w:r>
          </w:p>
        </w:tc>
        <w:tc>
          <w:tcPr>
            <w:tcW w:w="337" w:type="pct"/>
            <w:noWrap/>
            <w:vAlign w:val="center"/>
            <w:hideMark/>
          </w:tcPr>
          <w:p w14:paraId="3DA1FDF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w:t>
            </w:r>
          </w:p>
        </w:tc>
        <w:tc>
          <w:tcPr>
            <w:tcW w:w="385" w:type="pct"/>
            <w:noWrap/>
            <w:vAlign w:val="center"/>
            <w:hideMark/>
          </w:tcPr>
          <w:p w14:paraId="0A990EB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10.7</w:t>
            </w:r>
          </w:p>
        </w:tc>
        <w:tc>
          <w:tcPr>
            <w:tcW w:w="385" w:type="pct"/>
            <w:noWrap/>
            <w:vAlign w:val="center"/>
            <w:hideMark/>
          </w:tcPr>
          <w:p w14:paraId="2CD6C42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w:t>
            </w:r>
          </w:p>
        </w:tc>
        <w:tc>
          <w:tcPr>
            <w:tcW w:w="388" w:type="pct"/>
            <w:noWrap/>
            <w:vAlign w:val="center"/>
            <w:hideMark/>
          </w:tcPr>
          <w:p w14:paraId="4630943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61.4</w:t>
            </w:r>
          </w:p>
        </w:tc>
        <w:tc>
          <w:tcPr>
            <w:tcW w:w="333" w:type="pct"/>
            <w:noWrap/>
            <w:vAlign w:val="center"/>
            <w:hideMark/>
          </w:tcPr>
          <w:p w14:paraId="50B2DFB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r>
      <w:tr w:rsidR="00D56D09" w:rsidRPr="00B066C6" w14:paraId="3CFDE301" w14:textId="77777777" w:rsidTr="00B661ED">
        <w:trPr>
          <w:trHeight w:val="320"/>
        </w:trPr>
        <w:tc>
          <w:tcPr>
            <w:tcW w:w="527" w:type="pct"/>
            <w:noWrap/>
            <w:vAlign w:val="center"/>
            <w:hideMark/>
          </w:tcPr>
          <w:p w14:paraId="4088B11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OBFL</w:t>
            </w:r>
          </w:p>
        </w:tc>
        <w:tc>
          <w:tcPr>
            <w:tcW w:w="987" w:type="pct"/>
            <w:noWrap/>
            <w:vAlign w:val="center"/>
            <w:hideMark/>
          </w:tcPr>
          <w:p w14:paraId="56FDE15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Mionectes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oleagineus</w:t>
            </w:r>
            <w:proofErr w:type="spellEnd"/>
          </w:p>
        </w:tc>
        <w:tc>
          <w:tcPr>
            <w:tcW w:w="744" w:type="pct"/>
            <w:noWrap/>
            <w:vAlign w:val="center"/>
            <w:hideMark/>
          </w:tcPr>
          <w:p w14:paraId="64B9E23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4" w:type="pct"/>
            <w:noWrap/>
            <w:vAlign w:val="center"/>
            <w:hideMark/>
          </w:tcPr>
          <w:p w14:paraId="4A27AF7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6F8277F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21</w:t>
            </w:r>
          </w:p>
        </w:tc>
        <w:tc>
          <w:tcPr>
            <w:tcW w:w="337" w:type="pct"/>
            <w:noWrap/>
            <w:vAlign w:val="center"/>
            <w:hideMark/>
          </w:tcPr>
          <w:p w14:paraId="7B41FB0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11.2</w:t>
            </w:r>
          </w:p>
        </w:tc>
        <w:tc>
          <w:tcPr>
            <w:tcW w:w="385" w:type="pct"/>
            <w:noWrap/>
            <w:vAlign w:val="center"/>
            <w:hideMark/>
          </w:tcPr>
          <w:p w14:paraId="2D4723F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11.8</w:t>
            </w:r>
          </w:p>
        </w:tc>
        <w:tc>
          <w:tcPr>
            <w:tcW w:w="385" w:type="pct"/>
            <w:noWrap/>
            <w:vAlign w:val="center"/>
            <w:hideMark/>
          </w:tcPr>
          <w:p w14:paraId="1D3B830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w:t>
            </w:r>
          </w:p>
        </w:tc>
        <w:tc>
          <w:tcPr>
            <w:tcW w:w="388" w:type="pct"/>
            <w:noWrap/>
            <w:vAlign w:val="center"/>
            <w:hideMark/>
          </w:tcPr>
          <w:p w14:paraId="0F1ED4F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60.5</w:t>
            </w:r>
          </w:p>
        </w:tc>
        <w:tc>
          <w:tcPr>
            <w:tcW w:w="333" w:type="pct"/>
            <w:noWrap/>
            <w:vAlign w:val="center"/>
            <w:hideMark/>
          </w:tcPr>
          <w:p w14:paraId="2CDD331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48.2</w:t>
            </w:r>
          </w:p>
        </w:tc>
      </w:tr>
      <w:tr w:rsidR="00D56D09" w:rsidRPr="00B066C6" w14:paraId="1906CC87" w14:textId="77777777" w:rsidTr="00B661ED">
        <w:trPr>
          <w:trHeight w:val="320"/>
        </w:trPr>
        <w:tc>
          <w:tcPr>
            <w:tcW w:w="527" w:type="pct"/>
            <w:noWrap/>
            <w:vAlign w:val="center"/>
            <w:hideMark/>
          </w:tcPr>
          <w:p w14:paraId="72FA7B8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OBSP</w:t>
            </w:r>
          </w:p>
        </w:tc>
        <w:tc>
          <w:tcPr>
            <w:tcW w:w="987" w:type="pct"/>
            <w:noWrap/>
            <w:vAlign w:val="center"/>
            <w:hideMark/>
          </w:tcPr>
          <w:p w14:paraId="0E629011"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Arremon</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aurantiirostris</w:t>
            </w:r>
            <w:proofErr w:type="spellEnd"/>
          </w:p>
        </w:tc>
        <w:tc>
          <w:tcPr>
            <w:tcW w:w="744" w:type="pct"/>
            <w:noWrap/>
            <w:vAlign w:val="center"/>
            <w:hideMark/>
          </w:tcPr>
          <w:p w14:paraId="763D865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24" w:type="pct"/>
            <w:noWrap/>
            <w:vAlign w:val="center"/>
            <w:hideMark/>
          </w:tcPr>
          <w:p w14:paraId="31585B6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25B6578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37" w:type="pct"/>
            <w:noWrap/>
            <w:vAlign w:val="center"/>
            <w:hideMark/>
          </w:tcPr>
          <w:p w14:paraId="5F49A8B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34.5</w:t>
            </w:r>
          </w:p>
        </w:tc>
        <w:tc>
          <w:tcPr>
            <w:tcW w:w="385" w:type="pct"/>
            <w:noWrap/>
            <w:vAlign w:val="center"/>
            <w:hideMark/>
          </w:tcPr>
          <w:p w14:paraId="27DA754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w:t>
            </w:r>
          </w:p>
        </w:tc>
        <w:tc>
          <w:tcPr>
            <w:tcW w:w="385" w:type="pct"/>
            <w:noWrap/>
            <w:vAlign w:val="center"/>
            <w:hideMark/>
          </w:tcPr>
          <w:p w14:paraId="02D22E3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6.6</w:t>
            </w:r>
          </w:p>
        </w:tc>
        <w:tc>
          <w:tcPr>
            <w:tcW w:w="388" w:type="pct"/>
            <w:noWrap/>
            <w:vAlign w:val="center"/>
            <w:hideMark/>
          </w:tcPr>
          <w:p w14:paraId="5443AC6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72.7</w:t>
            </w:r>
          </w:p>
        </w:tc>
        <w:tc>
          <w:tcPr>
            <w:tcW w:w="333" w:type="pct"/>
            <w:noWrap/>
            <w:vAlign w:val="center"/>
            <w:hideMark/>
          </w:tcPr>
          <w:p w14:paraId="4339BCA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66.4</w:t>
            </w:r>
          </w:p>
        </w:tc>
      </w:tr>
      <w:tr w:rsidR="00D56D09" w:rsidRPr="00B066C6" w14:paraId="40B9A0B8" w14:textId="77777777" w:rsidTr="00B661ED">
        <w:trPr>
          <w:trHeight w:val="320"/>
        </w:trPr>
        <w:tc>
          <w:tcPr>
            <w:tcW w:w="527" w:type="pct"/>
            <w:noWrap/>
            <w:vAlign w:val="center"/>
            <w:hideMark/>
          </w:tcPr>
          <w:p w14:paraId="34E10E9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OCEE</w:t>
            </w:r>
          </w:p>
        </w:tc>
        <w:tc>
          <w:tcPr>
            <w:tcW w:w="987" w:type="pct"/>
            <w:noWrap/>
            <w:vAlign w:val="center"/>
            <w:hideMark/>
          </w:tcPr>
          <w:p w14:paraId="38F89B01"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Euphonia </w:t>
            </w:r>
            <w:proofErr w:type="spellStart"/>
            <w:r w:rsidRPr="00992B4B">
              <w:rPr>
                <w:rFonts w:ascii="Times New Roman" w:hAnsi="Times New Roman" w:cs="Times New Roman"/>
                <w:i/>
                <w:iCs/>
                <w:sz w:val="22"/>
                <w:szCs w:val="22"/>
              </w:rPr>
              <w:t>saturata</w:t>
            </w:r>
            <w:proofErr w:type="spellEnd"/>
          </w:p>
        </w:tc>
        <w:tc>
          <w:tcPr>
            <w:tcW w:w="744" w:type="pct"/>
            <w:noWrap/>
            <w:vAlign w:val="center"/>
            <w:hideMark/>
          </w:tcPr>
          <w:p w14:paraId="345F566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4" w:type="pct"/>
            <w:noWrap/>
            <w:vAlign w:val="center"/>
            <w:hideMark/>
          </w:tcPr>
          <w:p w14:paraId="4882432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4856D6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37" w:type="pct"/>
            <w:noWrap/>
            <w:vAlign w:val="center"/>
            <w:hideMark/>
          </w:tcPr>
          <w:p w14:paraId="46647B1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13.3</w:t>
            </w:r>
          </w:p>
        </w:tc>
        <w:tc>
          <w:tcPr>
            <w:tcW w:w="385" w:type="pct"/>
            <w:noWrap/>
            <w:vAlign w:val="center"/>
            <w:hideMark/>
          </w:tcPr>
          <w:p w14:paraId="17D2A79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w:t>
            </w:r>
          </w:p>
        </w:tc>
        <w:tc>
          <w:tcPr>
            <w:tcW w:w="385" w:type="pct"/>
            <w:noWrap/>
            <w:vAlign w:val="center"/>
            <w:hideMark/>
          </w:tcPr>
          <w:p w14:paraId="07738F2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3.9</w:t>
            </w:r>
          </w:p>
        </w:tc>
        <w:tc>
          <w:tcPr>
            <w:tcW w:w="388" w:type="pct"/>
            <w:noWrap/>
            <w:vAlign w:val="center"/>
            <w:hideMark/>
          </w:tcPr>
          <w:p w14:paraId="7748132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57.7</w:t>
            </w:r>
          </w:p>
        </w:tc>
        <w:tc>
          <w:tcPr>
            <w:tcW w:w="333" w:type="pct"/>
            <w:noWrap/>
            <w:vAlign w:val="center"/>
            <w:hideMark/>
          </w:tcPr>
          <w:p w14:paraId="2313914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32.3</w:t>
            </w:r>
          </w:p>
        </w:tc>
      </w:tr>
      <w:tr w:rsidR="00D56D09" w:rsidRPr="00B066C6" w14:paraId="6A687EC7" w14:textId="77777777" w:rsidTr="00B661ED">
        <w:trPr>
          <w:trHeight w:val="320"/>
        </w:trPr>
        <w:tc>
          <w:tcPr>
            <w:tcW w:w="527" w:type="pct"/>
            <w:noWrap/>
            <w:vAlign w:val="center"/>
            <w:hideMark/>
          </w:tcPr>
          <w:p w14:paraId="2C578EB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OCYE</w:t>
            </w:r>
          </w:p>
        </w:tc>
        <w:tc>
          <w:tcPr>
            <w:tcW w:w="987" w:type="pct"/>
            <w:noWrap/>
            <w:vAlign w:val="center"/>
            <w:hideMark/>
          </w:tcPr>
          <w:p w14:paraId="360A83C1"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Geothlypis </w:t>
            </w:r>
            <w:proofErr w:type="spellStart"/>
            <w:r w:rsidRPr="00992B4B">
              <w:rPr>
                <w:rFonts w:ascii="Times New Roman" w:hAnsi="Times New Roman" w:cs="Times New Roman"/>
                <w:i/>
                <w:iCs/>
                <w:sz w:val="22"/>
                <w:szCs w:val="22"/>
              </w:rPr>
              <w:t>semiflava</w:t>
            </w:r>
            <w:proofErr w:type="spellEnd"/>
          </w:p>
        </w:tc>
        <w:tc>
          <w:tcPr>
            <w:tcW w:w="744" w:type="pct"/>
            <w:noWrap/>
            <w:vAlign w:val="center"/>
            <w:hideMark/>
          </w:tcPr>
          <w:p w14:paraId="4C6D605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1B15287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89" w:type="pct"/>
            <w:noWrap/>
            <w:vAlign w:val="center"/>
            <w:hideMark/>
          </w:tcPr>
          <w:p w14:paraId="15BF498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37" w:type="pct"/>
            <w:noWrap/>
            <w:vAlign w:val="center"/>
            <w:hideMark/>
          </w:tcPr>
          <w:p w14:paraId="6674C57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17.2</w:t>
            </w:r>
          </w:p>
        </w:tc>
        <w:tc>
          <w:tcPr>
            <w:tcW w:w="385" w:type="pct"/>
            <w:noWrap/>
            <w:vAlign w:val="center"/>
            <w:hideMark/>
          </w:tcPr>
          <w:p w14:paraId="28C9398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14.7</w:t>
            </w:r>
          </w:p>
        </w:tc>
        <w:tc>
          <w:tcPr>
            <w:tcW w:w="385" w:type="pct"/>
            <w:noWrap/>
            <w:vAlign w:val="center"/>
            <w:hideMark/>
          </w:tcPr>
          <w:p w14:paraId="4AAFF5A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w:t>
            </w:r>
          </w:p>
        </w:tc>
        <w:tc>
          <w:tcPr>
            <w:tcW w:w="388" w:type="pct"/>
            <w:noWrap/>
            <w:vAlign w:val="center"/>
            <w:hideMark/>
          </w:tcPr>
          <w:p w14:paraId="5B71230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59.7</w:t>
            </w:r>
          </w:p>
        </w:tc>
        <w:tc>
          <w:tcPr>
            <w:tcW w:w="333" w:type="pct"/>
            <w:noWrap/>
            <w:vAlign w:val="center"/>
            <w:hideMark/>
          </w:tcPr>
          <w:p w14:paraId="1E597EF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52.7</w:t>
            </w:r>
          </w:p>
        </w:tc>
      </w:tr>
      <w:tr w:rsidR="00D56D09" w:rsidRPr="00B066C6" w14:paraId="6516568B" w14:textId="77777777" w:rsidTr="00B661ED">
        <w:trPr>
          <w:trHeight w:val="320"/>
        </w:trPr>
        <w:tc>
          <w:tcPr>
            <w:tcW w:w="527" w:type="pct"/>
            <w:noWrap/>
            <w:vAlign w:val="center"/>
            <w:hideMark/>
          </w:tcPr>
          <w:p w14:paraId="45D4893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ORFC</w:t>
            </w:r>
          </w:p>
        </w:tc>
        <w:tc>
          <w:tcPr>
            <w:tcW w:w="987" w:type="pct"/>
            <w:noWrap/>
            <w:vAlign w:val="center"/>
            <w:hideMark/>
          </w:tcPr>
          <w:p w14:paraId="05A0AC3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Myiotriccus</w:t>
            </w:r>
            <w:proofErr w:type="spellEnd"/>
            <w:r w:rsidRPr="00992B4B">
              <w:rPr>
                <w:rFonts w:ascii="Times New Roman" w:hAnsi="Times New Roman" w:cs="Times New Roman"/>
                <w:i/>
                <w:iCs/>
                <w:sz w:val="22"/>
                <w:szCs w:val="22"/>
              </w:rPr>
              <w:t xml:space="preserve"> ornatus</w:t>
            </w:r>
          </w:p>
        </w:tc>
        <w:tc>
          <w:tcPr>
            <w:tcW w:w="744" w:type="pct"/>
            <w:noWrap/>
            <w:vAlign w:val="center"/>
            <w:hideMark/>
          </w:tcPr>
          <w:p w14:paraId="7FFAA9E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4E5484B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1B74481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37" w:type="pct"/>
            <w:noWrap/>
            <w:vAlign w:val="center"/>
            <w:hideMark/>
          </w:tcPr>
          <w:p w14:paraId="56FF15A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10.6</w:t>
            </w:r>
          </w:p>
        </w:tc>
        <w:tc>
          <w:tcPr>
            <w:tcW w:w="385" w:type="pct"/>
            <w:noWrap/>
            <w:vAlign w:val="center"/>
            <w:hideMark/>
          </w:tcPr>
          <w:p w14:paraId="12EEFD2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10.3</w:t>
            </w:r>
          </w:p>
        </w:tc>
        <w:tc>
          <w:tcPr>
            <w:tcW w:w="385" w:type="pct"/>
            <w:noWrap/>
            <w:vAlign w:val="center"/>
            <w:hideMark/>
          </w:tcPr>
          <w:p w14:paraId="7572148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c>
          <w:tcPr>
            <w:tcW w:w="388" w:type="pct"/>
            <w:noWrap/>
            <w:vAlign w:val="center"/>
            <w:hideMark/>
          </w:tcPr>
          <w:p w14:paraId="3489B58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52.4</w:t>
            </w:r>
          </w:p>
        </w:tc>
        <w:tc>
          <w:tcPr>
            <w:tcW w:w="333" w:type="pct"/>
            <w:noWrap/>
            <w:vAlign w:val="center"/>
            <w:hideMark/>
          </w:tcPr>
          <w:p w14:paraId="220641C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26.5</w:t>
            </w:r>
          </w:p>
        </w:tc>
      </w:tr>
      <w:tr w:rsidR="00D56D09" w:rsidRPr="00B066C6" w14:paraId="7E2F13FA" w14:textId="77777777" w:rsidTr="00B661ED">
        <w:trPr>
          <w:trHeight w:val="320"/>
        </w:trPr>
        <w:tc>
          <w:tcPr>
            <w:tcW w:w="527" w:type="pct"/>
            <w:noWrap/>
            <w:vAlign w:val="center"/>
            <w:hideMark/>
          </w:tcPr>
          <w:p w14:paraId="2502F7E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OLPI</w:t>
            </w:r>
          </w:p>
        </w:tc>
        <w:tc>
          <w:tcPr>
            <w:tcW w:w="987" w:type="pct"/>
            <w:noWrap/>
            <w:vAlign w:val="center"/>
            <w:hideMark/>
          </w:tcPr>
          <w:p w14:paraId="7DEC1CFF"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Picumnus</w:t>
            </w:r>
            <w:proofErr w:type="spellEnd"/>
            <w:r w:rsidRPr="00992B4B">
              <w:rPr>
                <w:rFonts w:ascii="Times New Roman" w:hAnsi="Times New Roman" w:cs="Times New Roman"/>
                <w:i/>
                <w:iCs/>
                <w:sz w:val="22"/>
                <w:szCs w:val="22"/>
              </w:rPr>
              <w:t xml:space="preserve"> olivaceus</w:t>
            </w:r>
          </w:p>
        </w:tc>
        <w:tc>
          <w:tcPr>
            <w:tcW w:w="744" w:type="pct"/>
            <w:noWrap/>
            <w:vAlign w:val="center"/>
            <w:hideMark/>
          </w:tcPr>
          <w:p w14:paraId="66214D8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26A948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4752499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37" w:type="pct"/>
            <w:noWrap/>
            <w:vAlign w:val="center"/>
            <w:hideMark/>
          </w:tcPr>
          <w:p w14:paraId="3ADE921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10.6</w:t>
            </w:r>
          </w:p>
        </w:tc>
        <w:tc>
          <w:tcPr>
            <w:tcW w:w="385" w:type="pct"/>
            <w:noWrap/>
            <w:vAlign w:val="center"/>
            <w:hideMark/>
          </w:tcPr>
          <w:p w14:paraId="0797E4A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10.3</w:t>
            </w:r>
          </w:p>
        </w:tc>
        <w:tc>
          <w:tcPr>
            <w:tcW w:w="385" w:type="pct"/>
            <w:noWrap/>
            <w:vAlign w:val="center"/>
            <w:hideMark/>
          </w:tcPr>
          <w:p w14:paraId="692AF7F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c>
          <w:tcPr>
            <w:tcW w:w="388" w:type="pct"/>
            <w:noWrap/>
            <w:vAlign w:val="center"/>
            <w:hideMark/>
          </w:tcPr>
          <w:p w14:paraId="3078764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52.4</w:t>
            </w:r>
          </w:p>
        </w:tc>
        <w:tc>
          <w:tcPr>
            <w:tcW w:w="333" w:type="pct"/>
            <w:noWrap/>
            <w:vAlign w:val="center"/>
            <w:hideMark/>
          </w:tcPr>
          <w:p w14:paraId="185E8C0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26.5</w:t>
            </w:r>
          </w:p>
        </w:tc>
      </w:tr>
      <w:tr w:rsidR="00D56D09" w:rsidRPr="00B066C6" w14:paraId="15187297" w14:textId="77777777" w:rsidTr="00B661ED">
        <w:trPr>
          <w:trHeight w:val="320"/>
        </w:trPr>
        <w:tc>
          <w:tcPr>
            <w:tcW w:w="527" w:type="pct"/>
            <w:noWrap/>
            <w:vAlign w:val="center"/>
            <w:hideMark/>
          </w:tcPr>
          <w:p w14:paraId="6F1E4E6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OLWO</w:t>
            </w:r>
          </w:p>
        </w:tc>
        <w:tc>
          <w:tcPr>
            <w:tcW w:w="987" w:type="pct"/>
            <w:noWrap/>
            <w:vAlign w:val="center"/>
            <w:hideMark/>
          </w:tcPr>
          <w:p w14:paraId="78B3F8D3"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Sittasomus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griseicapillus</w:t>
            </w:r>
            <w:proofErr w:type="spellEnd"/>
          </w:p>
        </w:tc>
        <w:tc>
          <w:tcPr>
            <w:tcW w:w="744" w:type="pct"/>
            <w:noWrap/>
            <w:vAlign w:val="center"/>
            <w:hideMark/>
          </w:tcPr>
          <w:p w14:paraId="2B5DA4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4273E16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729A18C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37" w:type="pct"/>
            <w:noWrap/>
            <w:vAlign w:val="center"/>
            <w:hideMark/>
          </w:tcPr>
          <w:p w14:paraId="1CB69D7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13.1</w:t>
            </w:r>
          </w:p>
        </w:tc>
        <w:tc>
          <w:tcPr>
            <w:tcW w:w="385" w:type="pct"/>
            <w:noWrap/>
            <w:vAlign w:val="center"/>
            <w:hideMark/>
          </w:tcPr>
          <w:p w14:paraId="24C4614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16.1</w:t>
            </w:r>
          </w:p>
        </w:tc>
        <w:tc>
          <w:tcPr>
            <w:tcW w:w="385" w:type="pct"/>
            <w:noWrap/>
            <w:vAlign w:val="center"/>
            <w:hideMark/>
          </w:tcPr>
          <w:p w14:paraId="1CD3F83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88" w:type="pct"/>
            <w:noWrap/>
            <w:vAlign w:val="center"/>
            <w:hideMark/>
          </w:tcPr>
          <w:p w14:paraId="0AE55A2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76.7</w:t>
            </w:r>
          </w:p>
        </w:tc>
        <w:tc>
          <w:tcPr>
            <w:tcW w:w="333" w:type="pct"/>
            <w:noWrap/>
            <w:vAlign w:val="center"/>
            <w:hideMark/>
          </w:tcPr>
          <w:p w14:paraId="1BBF4DC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76.5</w:t>
            </w:r>
          </w:p>
        </w:tc>
      </w:tr>
      <w:tr w:rsidR="00D56D09" w:rsidRPr="00B066C6" w14:paraId="5DAB9337" w14:textId="77777777" w:rsidTr="00B661ED">
        <w:trPr>
          <w:trHeight w:val="320"/>
        </w:trPr>
        <w:tc>
          <w:tcPr>
            <w:tcW w:w="527" w:type="pct"/>
            <w:noWrap/>
            <w:vAlign w:val="center"/>
            <w:hideMark/>
          </w:tcPr>
          <w:p w14:paraId="65F0B86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ORFL</w:t>
            </w:r>
          </w:p>
        </w:tc>
        <w:tc>
          <w:tcPr>
            <w:tcW w:w="987" w:type="pct"/>
            <w:noWrap/>
            <w:vAlign w:val="center"/>
            <w:hideMark/>
          </w:tcPr>
          <w:p w14:paraId="5EDF7EC4"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Myiotriccus</w:t>
            </w:r>
            <w:proofErr w:type="spellEnd"/>
            <w:r w:rsidRPr="00992B4B">
              <w:rPr>
                <w:rFonts w:ascii="Times New Roman" w:hAnsi="Times New Roman" w:cs="Times New Roman"/>
                <w:i/>
                <w:iCs/>
                <w:sz w:val="22"/>
                <w:szCs w:val="22"/>
              </w:rPr>
              <w:t xml:space="preserve"> ornatus</w:t>
            </w:r>
          </w:p>
        </w:tc>
        <w:tc>
          <w:tcPr>
            <w:tcW w:w="744" w:type="pct"/>
            <w:noWrap/>
            <w:vAlign w:val="center"/>
            <w:hideMark/>
          </w:tcPr>
          <w:p w14:paraId="3F0F114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40159B3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17F16EF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37" w:type="pct"/>
            <w:noWrap/>
            <w:vAlign w:val="center"/>
            <w:hideMark/>
          </w:tcPr>
          <w:p w14:paraId="2439F01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9.9</w:t>
            </w:r>
          </w:p>
        </w:tc>
        <w:tc>
          <w:tcPr>
            <w:tcW w:w="385" w:type="pct"/>
            <w:noWrap/>
            <w:vAlign w:val="center"/>
            <w:hideMark/>
          </w:tcPr>
          <w:p w14:paraId="5DBC625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13.2</w:t>
            </w:r>
          </w:p>
        </w:tc>
        <w:tc>
          <w:tcPr>
            <w:tcW w:w="385" w:type="pct"/>
            <w:noWrap/>
            <w:vAlign w:val="center"/>
            <w:hideMark/>
          </w:tcPr>
          <w:p w14:paraId="1F15A87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5.4</w:t>
            </w:r>
          </w:p>
        </w:tc>
        <w:tc>
          <w:tcPr>
            <w:tcW w:w="388" w:type="pct"/>
            <w:noWrap/>
            <w:vAlign w:val="center"/>
            <w:hideMark/>
          </w:tcPr>
          <w:p w14:paraId="1CEC45D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59.6</w:t>
            </w:r>
          </w:p>
        </w:tc>
        <w:tc>
          <w:tcPr>
            <w:tcW w:w="333" w:type="pct"/>
            <w:noWrap/>
            <w:vAlign w:val="center"/>
            <w:hideMark/>
          </w:tcPr>
          <w:p w14:paraId="2F40A2A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41.2</w:t>
            </w:r>
          </w:p>
        </w:tc>
      </w:tr>
      <w:tr w:rsidR="00D56D09" w:rsidRPr="00B066C6" w14:paraId="3626E3B6" w14:textId="77777777" w:rsidTr="00B661ED">
        <w:trPr>
          <w:trHeight w:val="320"/>
        </w:trPr>
        <w:tc>
          <w:tcPr>
            <w:tcW w:w="527" w:type="pct"/>
            <w:noWrap/>
            <w:vAlign w:val="center"/>
            <w:hideMark/>
          </w:tcPr>
          <w:p w14:paraId="1A3B7C9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OSFT</w:t>
            </w:r>
          </w:p>
        </w:tc>
        <w:tc>
          <w:tcPr>
            <w:tcW w:w="987" w:type="pct"/>
            <w:noWrap/>
            <w:vAlign w:val="center"/>
            <w:hideMark/>
          </w:tcPr>
          <w:p w14:paraId="7726D3D6"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Mionectes</w:t>
            </w:r>
            <w:proofErr w:type="spellEnd"/>
            <w:r w:rsidRPr="00992B4B">
              <w:rPr>
                <w:rFonts w:ascii="Times New Roman" w:hAnsi="Times New Roman" w:cs="Times New Roman"/>
                <w:i/>
                <w:iCs/>
                <w:sz w:val="22"/>
                <w:szCs w:val="22"/>
              </w:rPr>
              <w:t xml:space="preserve"> olivaceus</w:t>
            </w:r>
          </w:p>
        </w:tc>
        <w:tc>
          <w:tcPr>
            <w:tcW w:w="744" w:type="pct"/>
            <w:noWrap/>
            <w:vAlign w:val="center"/>
            <w:hideMark/>
          </w:tcPr>
          <w:p w14:paraId="2799C10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24" w:type="pct"/>
            <w:noWrap/>
            <w:vAlign w:val="center"/>
            <w:hideMark/>
          </w:tcPr>
          <w:p w14:paraId="508F5FB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2756F8F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w:t>
            </w:r>
          </w:p>
        </w:tc>
        <w:tc>
          <w:tcPr>
            <w:tcW w:w="337" w:type="pct"/>
            <w:noWrap/>
            <w:vAlign w:val="center"/>
            <w:hideMark/>
          </w:tcPr>
          <w:p w14:paraId="4E99281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15.3</w:t>
            </w:r>
          </w:p>
        </w:tc>
        <w:tc>
          <w:tcPr>
            <w:tcW w:w="385" w:type="pct"/>
            <w:noWrap/>
            <w:vAlign w:val="center"/>
            <w:hideMark/>
          </w:tcPr>
          <w:p w14:paraId="64A4D65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13.7</w:t>
            </w:r>
          </w:p>
        </w:tc>
        <w:tc>
          <w:tcPr>
            <w:tcW w:w="385" w:type="pct"/>
            <w:noWrap/>
            <w:vAlign w:val="center"/>
            <w:hideMark/>
          </w:tcPr>
          <w:p w14:paraId="22BEF64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4.1</w:t>
            </w:r>
          </w:p>
        </w:tc>
        <w:tc>
          <w:tcPr>
            <w:tcW w:w="388" w:type="pct"/>
            <w:noWrap/>
            <w:vAlign w:val="center"/>
            <w:hideMark/>
          </w:tcPr>
          <w:p w14:paraId="12FC0B7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69</w:t>
            </w:r>
          </w:p>
        </w:tc>
        <w:tc>
          <w:tcPr>
            <w:tcW w:w="333" w:type="pct"/>
            <w:noWrap/>
            <w:vAlign w:val="center"/>
            <w:hideMark/>
          </w:tcPr>
          <w:p w14:paraId="6A50BB1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40</w:t>
            </w:r>
          </w:p>
        </w:tc>
      </w:tr>
      <w:tr w:rsidR="00D56D09" w:rsidRPr="00B066C6" w14:paraId="405F71BF" w14:textId="77777777" w:rsidTr="00B661ED">
        <w:trPr>
          <w:trHeight w:val="320"/>
        </w:trPr>
        <w:tc>
          <w:tcPr>
            <w:tcW w:w="527" w:type="pct"/>
            <w:noWrap/>
            <w:vAlign w:val="center"/>
            <w:hideMark/>
          </w:tcPr>
          <w:p w14:paraId="0CFA7BF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PAAN</w:t>
            </w:r>
          </w:p>
        </w:tc>
        <w:tc>
          <w:tcPr>
            <w:tcW w:w="987" w:type="pct"/>
            <w:noWrap/>
            <w:vAlign w:val="center"/>
            <w:hideMark/>
          </w:tcPr>
          <w:p w14:paraId="0073353D"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Myrmotherula</w:t>
            </w:r>
            <w:proofErr w:type="spellEnd"/>
            <w:r w:rsidRPr="00992B4B">
              <w:rPr>
                <w:rFonts w:ascii="Times New Roman" w:hAnsi="Times New Roman" w:cs="Times New Roman"/>
                <w:i/>
                <w:iCs/>
                <w:sz w:val="22"/>
                <w:szCs w:val="22"/>
              </w:rPr>
              <w:t xml:space="preserve"> pacifica</w:t>
            </w:r>
          </w:p>
        </w:tc>
        <w:tc>
          <w:tcPr>
            <w:tcW w:w="744" w:type="pct"/>
            <w:noWrap/>
            <w:vAlign w:val="center"/>
            <w:hideMark/>
          </w:tcPr>
          <w:p w14:paraId="5ECE0B9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219FCD6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89" w:type="pct"/>
            <w:noWrap/>
            <w:vAlign w:val="center"/>
            <w:hideMark/>
          </w:tcPr>
          <w:p w14:paraId="0A974E5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37" w:type="pct"/>
            <w:noWrap/>
            <w:vAlign w:val="center"/>
            <w:hideMark/>
          </w:tcPr>
          <w:p w14:paraId="69A557B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10.1</w:t>
            </w:r>
          </w:p>
        </w:tc>
        <w:tc>
          <w:tcPr>
            <w:tcW w:w="385" w:type="pct"/>
            <w:noWrap/>
            <w:vAlign w:val="center"/>
            <w:hideMark/>
          </w:tcPr>
          <w:p w14:paraId="0722E7D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15.3</w:t>
            </w:r>
          </w:p>
        </w:tc>
        <w:tc>
          <w:tcPr>
            <w:tcW w:w="385" w:type="pct"/>
            <w:noWrap/>
            <w:vAlign w:val="center"/>
            <w:hideMark/>
          </w:tcPr>
          <w:p w14:paraId="6124ED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c>
          <w:tcPr>
            <w:tcW w:w="388" w:type="pct"/>
            <w:noWrap/>
            <w:vAlign w:val="center"/>
            <w:hideMark/>
          </w:tcPr>
          <w:p w14:paraId="60ACFCB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50.6</w:t>
            </w:r>
          </w:p>
        </w:tc>
        <w:tc>
          <w:tcPr>
            <w:tcW w:w="333" w:type="pct"/>
            <w:noWrap/>
            <w:vAlign w:val="center"/>
            <w:hideMark/>
          </w:tcPr>
          <w:p w14:paraId="6768F3D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28</w:t>
            </w:r>
          </w:p>
        </w:tc>
      </w:tr>
      <w:tr w:rsidR="00D56D09" w:rsidRPr="00B066C6" w14:paraId="523A11F3" w14:textId="77777777" w:rsidTr="00B661ED">
        <w:trPr>
          <w:trHeight w:val="320"/>
        </w:trPr>
        <w:tc>
          <w:tcPr>
            <w:tcW w:w="527" w:type="pct"/>
            <w:noWrap/>
            <w:vAlign w:val="center"/>
            <w:hideMark/>
          </w:tcPr>
          <w:p w14:paraId="289B82C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PAPA</w:t>
            </w:r>
          </w:p>
        </w:tc>
        <w:tc>
          <w:tcPr>
            <w:tcW w:w="987" w:type="pct"/>
            <w:noWrap/>
            <w:vAlign w:val="center"/>
            <w:hideMark/>
          </w:tcPr>
          <w:p w14:paraId="70F4F6B0"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Forpus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coelestis</w:t>
            </w:r>
            <w:proofErr w:type="spellEnd"/>
          </w:p>
        </w:tc>
        <w:tc>
          <w:tcPr>
            <w:tcW w:w="744" w:type="pct"/>
            <w:noWrap/>
            <w:vAlign w:val="center"/>
            <w:hideMark/>
          </w:tcPr>
          <w:p w14:paraId="00A8BB7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24" w:type="pct"/>
            <w:noWrap/>
            <w:vAlign w:val="center"/>
            <w:hideMark/>
          </w:tcPr>
          <w:p w14:paraId="642BC17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89" w:type="pct"/>
            <w:noWrap/>
            <w:vAlign w:val="center"/>
            <w:hideMark/>
          </w:tcPr>
          <w:p w14:paraId="7DAA66F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0D3C405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26.1</w:t>
            </w:r>
          </w:p>
        </w:tc>
        <w:tc>
          <w:tcPr>
            <w:tcW w:w="385" w:type="pct"/>
            <w:noWrap/>
            <w:vAlign w:val="center"/>
            <w:hideMark/>
          </w:tcPr>
          <w:p w14:paraId="5B7DD93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16.6</w:t>
            </w:r>
          </w:p>
        </w:tc>
        <w:tc>
          <w:tcPr>
            <w:tcW w:w="385" w:type="pct"/>
            <w:noWrap/>
            <w:vAlign w:val="center"/>
            <w:hideMark/>
          </w:tcPr>
          <w:p w14:paraId="0603245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9.4</w:t>
            </w:r>
          </w:p>
        </w:tc>
        <w:tc>
          <w:tcPr>
            <w:tcW w:w="388" w:type="pct"/>
            <w:noWrap/>
            <w:vAlign w:val="center"/>
            <w:hideMark/>
          </w:tcPr>
          <w:p w14:paraId="4196062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76.8</w:t>
            </w:r>
          </w:p>
        </w:tc>
        <w:tc>
          <w:tcPr>
            <w:tcW w:w="333" w:type="pct"/>
            <w:noWrap/>
            <w:vAlign w:val="center"/>
            <w:hideMark/>
          </w:tcPr>
          <w:p w14:paraId="337608B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39.4</w:t>
            </w:r>
          </w:p>
        </w:tc>
      </w:tr>
      <w:tr w:rsidR="00D56D09" w:rsidRPr="00B066C6" w14:paraId="0250D470" w14:textId="77777777" w:rsidTr="00B661ED">
        <w:trPr>
          <w:trHeight w:val="320"/>
        </w:trPr>
        <w:tc>
          <w:tcPr>
            <w:tcW w:w="527" w:type="pct"/>
            <w:noWrap/>
            <w:vAlign w:val="center"/>
            <w:hideMark/>
          </w:tcPr>
          <w:p w14:paraId="18CF889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PATA</w:t>
            </w:r>
          </w:p>
        </w:tc>
        <w:tc>
          <w:tcPr>
            <w:tcW w:w="987" w:type="pct"/>
            <w:noWrap/>
            <w:vAlign w:val="center"/>
            <w:hideMark/>
          </w:tcPr>
          <w:p w14:paraId="6CB71517"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Tangara palmarum</w:t>
            </w:r>
          </w:p>
        </w:tc>
        <w:tc>
          <w:tcPr>
            <w:tcW w:w="744" w:type="pct"/>
            <w:noWrap/>
            <w:vAlign w:val="center"/>
            <w:hideMark/>
          </w:tcPr>
          <w:p w14:paraId="46B0FB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24" w:type="pct"/>
            <w:noWrap/>
            <w:vAlign w:val="center"/>
            <w:hideMark/>
          </w:tcPr>
          <w:p w14:paraId="0EA1F0A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759A0CA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37" w:type="pct"/>
            <w:noWrap/>
            <w:vAlign w:val="center"/>
            <w:hideMark/>
          </w:tcPr>
          <w:p w14:paraId="31E5837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39</w:t>
            </w:r>
          </w:p>
        </w:tc>
        <w:tc>
          <w:tcPr>
            <w:tcW w:w="385" w:type="pct"/>
            <w:noWrap/>
            <w:vAlign w:val="center"/>
            <w:hideMark/>
          </w:tcPr>
          <w:p w14:paraId="4CF2649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w:t>
            </w:r>
          </w:p>
        </w:tc>
        <w:tc>
          <w:tcPr>
            <w:tcW w:w="385" w:type="pct"/>
            <w:noWrap/>
            <w:vAlign w:val="center"/>
            <w:hideMark/>
          </w:tcPr>
          <w:p w14:paraId="0A0A03A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5.9</w:t>
            </w:r>
          </w:p>
        </w:tc>
        <w:tc>
          <w:tcPr>
            <w:tcW w:w="388" w:type="pct"/>
            <w:noWrap/>
            <w:vAlign w:val="center"/>
            <w:hideMark/>
          </w:tcPr>
          <w:p w14:paraId="3D3B98E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92.5</w:t>
            </w:r>
          </w:p>
        </w:tc>
        <w:tc>
          <w:tcPr>
            <w:tcW w:w="333" w:type="pct"/>
            <w:noWrap/>
            <w:vAlign w:val="center"/>
            <w:hideMark/>
          </w:tcPr>
          <w:p w14:paraId="3265B15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70.4</w:t>
            </w:r>
          </w:p>
        </w:tc>
      </w:tr>
      <w:tr w:rsidR="00D56D09" w:rsidRPr="00B066C6" w14:paraId="764F3072" w14:textId="77777777" w:rsidTr="00B661ED">
        <w:trPr>
          <w:trHeight w:val="320"/>
        </w:trPr>
        <w:tc>
          <w:tcPr>
            <w:tcW w:w="527" w:type="pct"/>
            <w:noWrap/>
            <w:vAlign w:val="center"/>
            <w:hideMark/>
          </w:tcPr>
          <w:p w14:paraId="71F275E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PBRW</w:t>
            </w:r>
          </w:p>
        </w:tc>
        <w:tc>
          <w:tcPr>
            <w:tcW w:w="987" w:type="pct"/>
            <w:noWrap/>
            <w:vAlign w:val="center"/>
            <w:hideMark/>
          </w:tcPr>
          <w:p w14:paraId="7DA1CEA5"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Dendrocincla</w:t>
            </w:r>
            <w:proofErr w:type="spellEnd"/>
            <w:r w:rsidRPr="00992B4B">
              <w:rPr>
                <w:rFonts w:ascii="Times New Roman" w:hAnsi="Times New Roman" w:cs="Times New Roman"/>
                <w:i/>
                <w:iCs/>
                <w:sz w:val="22"/>
                <w:szCs w:val="22"/>
              </w:rPr>
              <w:t xml:space="preserve"> fuliginosa</w:t>
            </w:r>
          </w:p>
        </w:tc>
        <w:tc>
          <w:tcPr>
            <w:tcW w:w="744" w:type="pct"/>
            <w:noWrap/>
            <w:vAlign w:val="center"/>
            <w:hideMark/>
          </w:tcPr>
          <w:p w14:paraId="43819BD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5E44190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758071B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37" w:type="pct"/>
            <w:noWrap/>
            <w:vAlign w:val="center"/>
            <w:hideMark/>
          </w:tcPr>
          <w:p w14:paraId="5B983DD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38.7</w:t>
            </w:r>
          </w:p>
        </w:tc>
        <w:tc>
          <w:tcPr>
            <w:tcW w:w="385" w:type="pct"/>
            <w:noWrap/>
            <w:vAlign w:val="center"/>
            <w:hideMark/>
          </w:tcPr>
          <w:p w14:paraId="7A896DB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29.9</w:t>
            </w:r>
          </w:p>
        </w:tc>
        <w:tc>
          <w:tcPr>
            <w:tcW w:w="385" w:type="pct"/>
            <w:noWrap/>
            <w:vAlign w:val="center"/>
            <w:hideMark/>
          </w:tcPr>
          <w:p w14:paraId="05440FE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6.4</w:t>
            </w:r>
          </w:p>
        </w:tc>
        <w:tc>
          <w:tcPr>
            <w:tcW w:w="388" w:type="pct"/>
            <w:noWrap/>
            <w:vAlign w:val="center"/>
            <w:hideMark/>
          </w:tcPr>
          <w:p w14:paraId="1F22F0C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104.9</w:t>
            </w:r>
          </w:p>
        </w:tc>
        <w:tc>
          <w:tcPr>
            <w:tcW w:w="333" w:type="pct"/>
            <w:noWrap/>
            <w:vAlign w:val="center"/>
            <w:hideMark/>
          </w:tcPr>
          <w:p w14:paraId="1A7ADBC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86.7</w:t>
            </w:r>
          </w:p>
        </w:tc>
      </w:tr>
      <w:tr w:rsidR="00D56D09" w:rsidRPr="00B066C6" w14:paraId="56C33E13" w14:textId="77777777" w:rsidTr="00B661ED">
        <w:trPr>
          <w:trHeight w:val="320"/>
        </w:trPr>
        <w:tc>
          <w:tcPr>
            <w:tcW w:w="527" w:type="pct"/>
            <w:noWrap/>
            <w:vAlign w:val="center"/>
            <w:hideMark/>
          </w:tcPr>
          <w:p w14:paraId="5702719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PCFA</w:t>
            </w:r>
          </w:p>
        </w:tc>
        <w:tc>
          <w:tcPr>
            <w:tcW w:w="987" w:type="pct"/>
            <w:noWrap/>
            <w:vAlign w:val="center"/>
            <w:hideMark/>
          </w:tcPr>
          <w:p w14:paraId="13CD529A"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Heliothryx</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barroti</w:t>
            </w:r>
            <w:proofErr w:type="spellEnd"/>
          </w:p>
        </w:tc>
        <w:tc>
          <w:tcPr>
            <w:tcW w:w="744" w:type="pct"/>
            <w:noWrap/>
            <w:vAlign w:val="center"/>
            <w:hideMark/>
          </w:tcPr>
          <w:p w14:paraId="46E6AB1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24" w:type="pct"/>
            <w:noWrap/>
            <w:vAlign w:val="center"/>
            <w:hideMark/>
          </w:tcPr>
          <w:p w14:paraId="1A3FA18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1625572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37" w:type="pct"/>
            <w:noWrap/>
            <w:vAlign w:val="center"/>
            <w:hideMark/>
          </w:tcPr>
          <w:p w14:paraId="318DE84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5.5</w:t>
            </w:r>
          </w:p>
        </w:tc>
        <w:tc>
          <w:tcPr>
            <w:tcW w:w="385" w:type="pct"/>
            <w:noWrap/>
            <w:vAlign w:val="center"/>
            <w:hideMark/>
          </w:tcPr>
          <w:p w14:paraId="2C140B7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21.9</w:t>
            </w:r>
          </w:p>
        </w:tc>
        <w:tc>
          <w:tcPr>
            <w:tcW w:w="385" w:type="pct"/>
            <w:noWrap/>
            <w:vAlign w:val="center"/>
            <w:hideMark/>
          </w:tcPr>
          <w:p w14:paraId="18078AE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w:t>
            </w:r>
          </w:p>
        </w:tc>
        <w:tc>
          <w:tcPr>
            <w:tcW w:w="388" w:type="pct"/>
            <w:noWrap/>
            <w:vAlign w:val="center"/>
            <w:hideMark/>
          </w:tcPr>
          <w:p w14:paraId="746870C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63.8</w:t>
            </w:r>
          </w:p>
        </w:tc>
        <w:tc>
          <w:tcPr>
            <w:tcW w:w="333" w:type="pct"/>
            <w:noWrap/>
            <w:vAlign w:val="center"/>
            <w:hideMark/>
          </w:tcPr>
          <w:p w14:paraId="65BB1FE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57</w:t>
            </w:r>
          </w:p>
        </w:tc>
      </w:tr>
      <w:tr w:rsidR="00D56D09" w:rsidRPr="00B066C6" w14:paraId="49EEF158" w14:textId="77777777" w:rsidTr="00B661ED">
        <w:trPr>
          <w:trHeight w:val="320"/>
        </w:trPr>
        <w:tc>
          <w:tcPr>
            <w:tcW w:w="527" w:type="pct"/>
            <w:noWrap/>
            <w:vAlign w:val="center"/>
            <w:hideMark/>
          </w:tcPr>
          <w:p w14:paraId="1B314D5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PCHU</w:t>
            </w:r>
          </w:p>
        </w:tc>
        <w:tc>
          <w:tcPr>
            <w:tcW w:w="987" w:type="pct"/>
            <w:noWrap/>
            <w:vAlign w:val="center"/>
            <w:hideMark/>
          </w:tcPr>
          <w:p w14:paraId="4D711F21"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Amazilia </w:t>
            </w:r>
            <w:proofErr w:type="spellStart"/>
            <w:r w:rsidRPr="00992B4B">
              <w:rPr>
                <w:rFonts w:ascii="Times New Roman" w:hAnsi="Times New Roman" w:cs="Times New Roman"/>
                <w:i/>
                <w:iCs/>
                <w:sz w:val="22"/>
                <w:szCs w:val="22"/>
              </w:rPr>
              <w:t>rosenbergi</w:t>
            </w:r>
            <w:proofErr w:type="spellEnd"/>
          </w:p>
        </w:tc>
        <w:tc>
          <w:tcPr>
            <w:tcW w:w="744" w:type="pct"/>
            <w:noWrap/>
            <w:vAlign w:val="center"/>
            <w:hideMark/>
          </w:tcPr>
          <w:p w14:paraId="07C41FF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24" w:type="pct"/>
            <w:noWrap/>
            <w:vAlign w:val="center"/>
            <w:hideMark/>
          </w:tcPr>
          <w:p w14:paraId="0A0BEF1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06DF6E4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37" w:type="pct"/>
            <w:noWrap/>
            <w:vAlign w:val="center"/>
            <w:hideMark/>
          </w:tcPr>
          <w:p w14:paraId="4496E42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3.7</w:t>
            </w:r>
          </w:p>
        </w:tc>
        <w:tc>
          <w:tcPr>
            <w:tcW w:w="385" w:type="pct"/>
            <w:noWrap/>
            <w:vAlign w:val="center"/>
            <w:hideMark/>
          </w:tcPr>
          <w:p w14:paraId="6BBC5D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23.9</w:t>
            </w:r>
          </w:p>
        </w:tc>
        <w:tc>
          <w:tcPr>
            <w:tcW w:w="385" w:type="pct"/>
            <w:noWrap/>
            <w:vAlign w:val="center"/>
            <w:hideMark/>
          </w:tcPr>
          <w:p w14:paraId="345338D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w:t>
            </w:r>
          </w:p>
        </w:tc>
        <w:tc>
          <w:tcPr>
            <w:tcW w:w="388" w:type="pct"/>
            <w:noWrap/>
            <w:vAlign w:val="center"/>
            <w:hideMark/>
          </w:tcPr>
          <w:p w14:paraId="77B89E6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52.8</w:t>
            </w:r>
          </w:p>
        </w:tc>
        <w:tc>
          <w:tcPr>
            <w:tcW w:w="333" w:type="pct"/>
            <w:noWrap/>
            <w:vAlign w:val="center"/>
            <w:hideMark/>
          </w:tcPr>
          <w:p w14:paraId="00A1601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30</w:t>
            </w:r>
          </w:p>
        </w:tc>
      </w:tr>
      <w:tr w:rsidR="00D56D09" w:rsidRPr="00B066C6" w14:paraId="4803C227" w14:textId="77777777" w:rsidTr="00B661ED">
        <w:trPr>
          <w:trHeight w:val="320"/>
        </w:trPr>
        <w:tc>
          <w:tcPr>
            <w:tcW w:w="527" w:type="pct"/>
            <w:noWrap/>
            <w:vAlign w:val="center"/>
            <w:hideMark/>
          </w:tcPr>
          <w:p w14:paraId="6EADAB4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PLXE</w:t>
            </w:r>
          </w:p>
        </w:tc>
        <w:tc>
          <w:tcPr>
            <w:tcW w:w="987" w:type="pct"/>
            <w:noWrap/>
            <w:vAlign w:val="center"/>
            <w:hideMark/>
          </w:tcPr>
          <w:p w14:paraId="17901D08"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Xenops</w:t>
            </w:r>
            <w:proofErr w:type="spellEnd"/>
            <w:r w:rsidRPr="00992B4B">
              <w:rPr>
                <w:rFonts w:ascii="Times New Roman" w:hAnsi="Times New Roman" w:cs="Times New Roman"/>
                <w:i/>
                <w:iCs/>
                <w:sz w:val="22"/>
                <w:szCs w:val="22"/>
              </w:rPr>
              <w:t xml:space="preserve"> minutus</w:t>
            </w:r>
          </w:p>
        </w:tc>
        <w:tc>
          <w:tcPr>
            <w:tcW w:w="744" w:type="pct"/>
            <w:noWrap/>
            <w:vAlign w:val="center"/>
            <w:hideMark/>
          </w:tcPr>
          <w:p w14:paraId="0EB680C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24" w:type="pct"/>
            <w:noWrap/>
            <w:vAlign w:val="center"/>
            <w:hideMark/>
          </w:tcPr>
          <w:p w14:paraId="0A76B6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89" w:type="pct"/>
            <w:noWrap/>
            <w:vAlign w:val="center"/>
            <w:hideMark/>
          </w:tcPr>
          <w:p w14:paraId="073B517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37" w:type="pct"/>
            <w:noWrap/>
            <w:vAlign w:val="center"/>
            <w:hideMark/>
          </w:tcPr>
          <w:p w14:paraId="09B0A78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10.6</w:t>
            </w:r>
          </w:p>
        </w:tc>
        <w:tc>
          <w:tcPr>
            <w:tcW w:w="385" w:type="pct"/>
            <w:noWrap/>
            <w:vAlign w:val="center"/>
            <w:hideMark/>
          </w:tcPr>
          <w:p w14:paraId="5918D95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13.1</w:t>
            </w:r>
          </w:p>
        </w:tc>
        <w:tc>
          <w:tcPr>
            <w:tcW w:w="385" w:type="pct"/>
            <w:noWrap/>
            <w:vAlign w:val="center"/>
            <w:hideMark/>
          </w:tcPr>
          <w:p w14:paraId="2955AD0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2.8</w:t>
            </w:r>
          </w:p>
        </w:tc>
        <w:tc>
          <w:tcPr>
            <w:tcW w:w="388" w:type="pct"/>
            <w:noWrap/>
            <w:vAlign w:val="center"/>
            <w:hideMark/>
          </w:tcPr>
          <w:p w14:paraId="56DBACA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55.7</w:t>
            </w:r>
          </w:p>
        </w:tc>
        <w:tc>
          <w:tcPr>
            <w:tcW w:w="333" w:type="pct"/>
            <w:noWrap/>
            <w:vAlign w:val="center"/>
            <w:hideMark/>
          </w:tcPr>
          <w:p w14:paraId="447B449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43.6</w:t>
            </w:r>
          </w:p>
        </w:tc>
      </w:tr>
    </w:tbl>
    <w:p w14:paraId="533C35D2" w14:textId="77777777" w:rsidR="00D56D09" w:rsidRDefault="00D56D09" w:rsidP="00D56D09">
      <w:pPr>
        <w:spacing w:after="0" w:line="240" w:lineRule="auto"/>
      </w:pPr>
    </w:p>
    <w:tbl>
      <w:tblPr>
        <w:tblStyle w:val="TableGrid"/>
        <w:tblW w:w="5000" w:type="pct"/>
        <w:tblLayout w:type="fixed"/>
        <w:tblLook w:val="04A0" w:firstRow="1" w:lastRow="0" w:firstColumn="1" w:lastColumn="0" w:noHBand="0" w:noVBand="1"/>
      </w:tblPr>
      <w:tblGrid>
        <w:gridCol w:w="898"/>
        <w:gridCol w:w="1937"/>
        <w:gridCol w:w="1303"/>
        <w:gridCol w:w="1260"/>
        <w:gridCol w:w="543"/>
        <w:gridCol w:w="721"/>
        <w:gridCol w:w="719"/>
        <w:gridCol w:w="539"/>
        <w:gridCol w:w="721"/>
        <w:gridCol w:w="719"/>
      </w:tblGrid>
      <w:tr w:rsidR="00D56D09" w:rsidRPr="00B066C6" w14:paraId="6A16C41E" w14:textId="77777777" w:rsidTr="00BA36F1">
        <w:trPr>
          <w:trHeight w:val="320"/>
        </w:trPr>
        <w:tc>
          <w:tcPr>
            <w:tcW w:w="5000" w:type="pct"/>
            <w:gridSpan w:val="10"/>
            <w:tcBorders>
              <w:top w:val="nil"/>
              <w:left w:val="nil"/>
              <w:bottom w:val="single" w:sz="4" w:space="0" w:color="auto"/>
              <w:right w:val="nil"/>
            </w:tcBorders>
            <w:noWrap/>
            <w:vAlign w:val="center"/>
          </w:tcPr>
          <w:p w14:paraId="47E9A975" w14:textId="4893A31C" w:rsidR="00D56D09" w:rsidRPr="00B066C6" w:rsidRDefault="00D56D09" w:rsidP="00BA36F1">
            <w:pPr>
              <w:spacing w:before="0"/>
              <w:rPr>
                <w:rFonts w:ascii="Times New Roman" w:hAnsi="Times New Roman" w:cs="Times New Roman"/>
                <w:sz w:val="22"/>
                <w:szCs w:val="22"/>
              </w:rPr>
            </w:pPr>
            <w:r w:rsidRPr="00B33A86">
              <w:rPr>
                <w:rFonts w:ascii="Times New Roman" w:hAnsi="Times New Roman" w:cs="Times New Roman"/>
                <w:b/>
                <w:bCs/>
              </w:rPr>
              <w:lastRenderedPageBreak/>
              <w:t>Supplementary Table 2</w:t>
            </w:r>
            <w:r w:rsidRPr="00B33A86">
              <w:rPr>
                <w:rFonts w:ascii="Times New Roman" w:hAnsi="Times New Roman" w:cs="Times New Roman"/>
              </w:rPr>
              <w:t xml:space="preserve"> Continued.</w:t>
            </w:r>
          </w:p>
        </w:tc>
      </w:tr>
      <w:tr w:rsidR="00B661ED" w:rsidRPr="00B066C6" w14:paraId="2B14426E" w14:textId="77777777" w:rsidTr="00B661ED">
        <w:trPr>
          <w:trHeight w:val="320"/>
        </w:trPr>
        <w:tc>
          <w:tcPr>
            <w:tcW w:w="480" w:type="pct"/>
            <w:tcBorders>
              <w:top w:val="single" w:sz="4" w:space="0" w:color="auto"/>
            </w:tcBorders>
            <w:noWrap/>
            <w:vAlign w:val="center"/>
          </w:tcPr>
          <w:p w14:paraId="066EB2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PVTH</w:t>
            </w:r>
          </w:p>
        </w:tc>
        <w:tc>
          <w:tcPr>
            <w:tcW w:w="1035" w:type="pct"/>
            <w:tcBorders>
              <w:top w:val="single" w:sz="4" w:space="0" w:color="auto"/>
            </w:tcBorders>
            <w:noWrap/>
            <w:vAlign w:val="center"/>
          </w:tcPr>
          <w:p w14:paraId="5FB73FAB"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Turdus obsoletus</w:t>
            </w:r>
          </w:p>
        </w:tc>
        <w:tc>
          <w:tcPr>
            <w:tcW w:w="696" w:type="pct"/>
            <w:tcBorders>
              <w:top w:val="single" w:sz="4" w:space="0" w:color="auto"/>
            </w:tcBorders>
            <w:noWrap/>
            <w:vAlign w:val="center"/>
          </w:tcPr>
          <w:p w14:paraId="1412679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73" w:type="pct"/>
            <w:tcBorders>
              <w:top w:val="single" w:sz="4" w:space="0" w:color="auto"/>
            </w:tcBorders>
            <w:noWrap/>
            <w:vAlign w:val="center"/>
          </w:tcPr>
          <w:p w14:paraId="211D48A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tcBorders>
              <w:top w:val="single" w:sz="4" w:space="0" w:color="auto"/>
            </w:tcBorders>
            <w:noWrap/>
            <w:vAlign w:val="center"/>
          </w:tcPr>
          <w:p w14:paraId="7B79E47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tcBorders>
              <w:top w:val="single" w:sz="4" w:space="0" w:color="auto"/>
            </w:tcBorders>
            <w:noWrap/>
            <w:vAlign w:val="center"/>
          </w:tcPr>
          <w:p w14:paraId="0E3FB93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74.8</w:t>
            </w:r>
          </w:p>
        </w:tc>
        <w:tc>
          <w:tcPr>
            <w:tcW w:w="384" w:type="pct"/>
            <w:tcBorders>
              <w:top w:val="single" w:sz="4" w:space="0" w:color="auto"/>
            </w:tcBorders>
            <w:noWrap/>
            <w:vAlign w:val="center"/>
          </w:tcPr>
          <w:p w14:paraId="3DB0A3E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22.2</w:t>
            </w:r>
          </w:p>
        </w:tc>
        <w:tc>
          <w:tcPr>
            <w:tcW w:w="288" w:type="pct"/>
            <w:tcBorders>
              <w:top w:val="single" w:sz="4" w:space="0" w:color="auto"/>
            </w:tcBorders>
            <w:noWrap/>
            <w:vAlign w:val="center"/>
          </w:tcPr>
          <w:p w14:paraId="3C8DC97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85" w:type="pct"/>
            <w:tcBorders>
              <w:top w:val="single" w:sz="4" w:space="0" w:color="auto"/>
            </w:tcBorders>
            <w:noWrap/>
            <w:vAlign w:val="center"/>
          </w:tcPr>
          <w:p w14:paraId="2676923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116</w:t>
            </w:r>
          </w:p>
        </w:tc>
        <w:tc>
          <w:tcPr>
            <w:tcW w:w="385" w:type="pct"/>
            <w:tcBorders>
              <w:top w:val="single" w:sz="4" w:space="0" w:color="auto"/>
            </w:tcBorders>
            <w:noWrap/>
            <w:vAlign w:val="center"/>
          </w:tcPr>
          <w:p w14:paraId="2DD3A2A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86.1</w:t>
            </w:r>
          </w:p>
        </w:tc>
      </w:tr>
      <w:tr w:rsidR="00B661ED" w:rsidRPr="00B066C6" w14:paraId="67326D8E" w14:textId="77777777" w:rsidTr="00B661ED">
        <w:trPr>
          <w:trHeight w:val="320"/>
        </w:trPr>
        <w:tc>
          <w:tcPr>
            <w:tcW w:w="480" w:type="pct"/>
            <w:noWrap/>
            <w:vAlign w:val="center"/>
            <w:hideMark/>
          </w:tcPr>
          <w:p w14:paraId="4345344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RCMA</w:t>
            </w:r>
          </w:p>
        </w:tc>
        <w:tc>
          <w:tcPr>
            <w:tcW w:w="1035" w:type="pct"/>
            <w:noWrap/>
            <w:vAlign w:val="center"/>
            <w:hideMark/>
          </w:tcPr>
          <w:p w14:paraId="50F44C9B"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Ceratopipra</w:t>
            </w:r>
            <w:proofErr w:type="spellEnd"/>
            <w:r w:rsidRPr="00992B4B">
              <w:rPr>
                <w:rFonts w:ascii="Times New Roman" w:hAnsi="Times New Roman" w:cs="Times New Roman"/>
                <w:i/>
                <w:iCs/>
                <w:sz w:val="22"/>
                <w:szCs w:val="22"/>
              </w:rPr>
              <w:t xml:space="preserve"> mentalis</w:t>
            </w:r>
          </w:p>
        </w:tc>
        <w:tc>
          <w:tcPr>
            <w:tcW w:w="696" w:type="pct"/>
            <w:noWrap/>
            <w:vAlign w:val="center"/>
            <w:hideMark/>
          </w:tcPr>
          <w:p w14:paraId="472BBFF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73" w:type="pct"/>
            <w:noWrap/>
            <w:vAlign w:val="center"/>
            <w:hideMark/>
          </w:tcPr>
          <w:p w14:paraId="746FF83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06912FA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w:t>
            </w:r>
          </w:p>
        </w:tc>
        <w:tc>
          <w:tcPr>
            <w:tcW w:w="385" w:type="pct"/>
            <w:noWrap/>
            <w:vAlign w:val="center"/>
            <w:hideMark/>
          </w:tcPr>
          <w:p w14:paraId="0ADD772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w:t>
            </w:r>
          </w:p>
        </w:tc>
        <w:tc>
          <w:tcPr>
            <w:tcW w:w="384" w:type="pct"/>
            <w:noWrap/>
            <w:vAlign w:val="center"/>
            <w:hideMark/>
          </w:tcPr>
          <w:p w14:paraId="6D2FEA9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12.1</w:t>
            </w:r>
          </w:p>
        </w:tc>
        <w:tc>
          <w:tcPr>
            <w:tcW w:w="288" w:type="pct"/>
            <w:noWrap/>
            <w:vAlign w:val="center"/>
            <w:hideMark/>
          </w:tcPr>
          <w:p w14:paraId="6247157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4.4</w:t>
            </w:r>
          </w:p>
        </w:tc>
        <w:tc>
          <w:tcPr>
            <w:tcW w:w="385" w:type="pct"/>
            <w:noWrap/>
            <w:vAlign w:val="center"/>
            <w:hideMark/>
          </w:tcPr>
          <w:p w14:paraId="5C0E7C9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58.5</w:t>
            </w:r>
          </w:p>
        </w:tc>
        <w:tc>
          <w:tcPr>
            <w:tcW w:w="385" w:type="pct"/>
            <w:noWrap/>
            <w:vAlign w:val="center"/>
            <w:hideMark/>
          </w:tcPr>
          <w:p w14:paraId="32CFC12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28</w:t>
            </w:r>
          </w:p>
        </w:tc>
      </w:tr>
      <w:tr w:rsidR="00B661ED" w:rsidRPr="00B066C6" w14:paraId="402D31BE" w14:textId="77777777" w:rsidTr="00B661ED">
        <w:trPr>
          <w:trHeight w:val="320"/>
        </w:trPr>
        <w:tc>
          <w:tcPr>
            <w:tcW w:w="480" w:type="pct"/>
            <w:noWrap/>
            <w:vAlign w:val="center"/>
            <w:hideMark/>
          </w:tcPr>
          <w:p w14:paraId="14A1BFB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RFSP</w:t>
            </w:r>
          </w:p>
        </w:tc>
        <w:tc>
          <w:tcPr>
            <w:tcW w:w="1035" w:type="pct"/>
            <w:noWrap/>
            <w:vAlign w:val="center"/>
            <w:hideMark/>
          </w:tcPr>
          <w:p w14:paraId="1C45D017"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Cranioleuca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erythrops</w:t>
            </w:r>
            <w:proofErr w:type="spellEnd"/>
          </w:p>
        </w:tc>
        <w:tc>
          <w:tcPr>
            <w:tcW w:w="696" w:type="pct"/>
            <w:noWrap/>
            <w:vAlign w:val="center"/>
            <w:hideMark/>
          </w:tcPr>
          <w:p w14:paraId="3D4CC3B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44FC462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1D1B17E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337026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16.9</w:t>
            </w:r>
          </w:p>
        </w:tc>
        <w:tc>
          <w:tcPr>
            <w:tcW w:w="384" w:type="pct"/>
            <w:noWrap/>
            <w:vAlign w:val="center"/>
            <w:hideMark/>
          </w:tcPr>
          <w:p w14:paraId="707917D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14.6</w:t>
            </w:r>
          </w:p>
        </w:tc>
        <w:tc>
          <w:tcPr>
            <w:tcW w:w="288" w:type="pct"/>
            <w:noWrap/>
            <w:vAlign w:val="center"/>
            <w:hideMark/>
          </w:tcPr>
          <w:p w14:paraId="709510E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w:t>
            </w:r>
          </w:p>
        </w:tc>
        <w:tc>
          <w:tcPr>
            <w:tcW w:w="385" w:type="pct"/>
            <w:noWrap/>
            <w:vAlign w:val="center"/>
            <w:hideMark/>
          </w:tcPr>
          <w:p w14:paraId="21B5B6B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64.8</w:t>
            </w:r>
          </w:p>
        </w:tc>
        <w:tc>
          <w:tcPr>
            <w:tcW w:w="385" w:type="pct"/>
            <w:noWrap/>
            <w:vAlign w:val="center"/>
            <w:hideMark/>
          </w:tcPr>
          <w:p w14:paraId="532EA99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71.4</w:t>
            </w:r>
          </w:p>
        </w:tc>
      </w:tr>
      <w:tr w:rsidR="00B661ED" w:rsidRPr="00B066C6" w14:paraId="42791365" w14:textId="77777777" w:rsidTr="00B661ED">
        <w:trPr>
          <w:trHeight w:val="320"/>
        </w:trPr>
        <w:tc>
          <w:tcPr>
            <w:tcW w:w="480" w:type="pct"/>
            <w:noWrap/>
            <w:vAlign w:val="center"/>
            <w:hideMark/>
          </w:tcPr>
          <w:p w14:paraId="20DA13B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RMFL</w:t>
            </w:r>
          </w:p>
        </w:tc>
        <w:tc>
          <w:tcPr>
            <w:tcW w:w="1035" w:type="pct"/>
            <w:noWrap/>
            <w:vAlign w:val="center"/>
            <w:hideMark/>
          </w:tcPr>
          <w:p w14:paraId="693387E8"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Myiozetetes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cayanensis</w:t>
            </w:r>
            <w:proofErr w:type="spellEnd"/>
          </w:p>
        </w:tc>
        <w:tc>
          <w:tcPr>
            <w:tcW w:w="696" w:type="pct"/>
            <w:noWrap/>
            <w:vAlign w:val="center"/>
            <w:hideMark/>
          </w:tcPr>
          <w:p w14:paraId="78F1B81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6C30C21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90" w:type="pct"/>
            <w:noWrap/>
            <w:vAlign w:val="center"/>
            <w:hideMark/>
          </w:tcPr>
          <w:p w14:paraId="2591F35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6B3169D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25.9</w:t>
            </w:r>
          </w:p>
        </w:tc>
        <w:tc>
          <w:tcPr>
            <w:tcW w:w="384" w:type="pct"/>
            <w:noWrap/>
            <w:vAlign w:val="center"/>
            <w:hideMark/>
          </w:tcPr>
          <w:p w14:paraId="61B5FBA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14.4</w:t>
            </w:r>
          </w:p>
        </w:tc>
        <w:tc>
          <w:tcPr>
            <w:tcW w:w="288" w:type="pct"/>
            <w:noWrap/>
            <w:vAlign w:val="center"/>
            <w:hideMark/>
          </w:tcPr>
          <w:p w14:paraId="1D84F9E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5.4</w:t>
            </w:r>
          </w:p>
        </w:tc>
        <w:tc>
          <w:tcPr>
            <w:tcW w:w="385" w:type="pct"/>
            <w:noWrap/>
            <w:vAlign w:val="center"/>
            <w:hideMark/>
          </w:tcPr>
          <w:p w14:paraId="11732B5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84.1</w:t>
            </w:r>
          </w:p>
        </w:tc>
        <w:tc>
          <w:tcPr>
            <w:tcW w:w="385" w:type="pct"/>
            <w:noWrap/>
            <w:vAlign w:val="center"/>
            <w:hideMark/>
          </w:tcPr>
          <w:p w14:paraId="0A538DF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71.4</w:t>
            </w:r>
          </w:p>
        </w:tc>
      </w:tr>
      <w:tr w:rsidR="00B661ED" w:rsidRPr="00B066C6" w14:paraId="21255006" w14:textId="77777777" w:rsidTr="00B661ED">
        <w:trPr>
          <w:trHeight w:val="320"/>
        </w:trPr>
        <w:tc>
          <w:tcPr>
            <w:tcW w:w="480" w:type="pct"/>
            <w:noWrap/>
            <w:vAlign w:val="center"/>
            <w:hideMark/>
          </w:tcPr>
          <w:p w14:paraId="39E9D00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RTAH</w:t>
            </w:r>
          </w:p>
        </w:tc>
        <w:tc>
          <w:tcPr>
            <w:tcW w:w="1035" w:type="pct"/>
            <w:noWrap/>
            <w:vAlign w:val="center"/>
            <w:hideMark/>
          </w:tcPr>
          <w:p w14:paraId="59DF4BB4"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Amazilia </w:t>
            </w:r>
            <w:proofErr w:type="spellStart"/>
            <w:r w:rsidRPr="00992B4B">
              <w:rPr>
                <w:rFonts w:ascii="Times New Roman" w:hAnsi="Times New Roman" w:cs="Times New Roman"/>
                <w:i/>
                <w:iCs/>
                <w:sz w:val="22"/>
                <w:szCs w:val="22"/>
              </w:rPr>
              <w:t>tzacatl</w:t>
            </w:r>
            <w:proofErr w:type="spellEnd"/>
          </w:p>
        </w:tc>
        <w:tc>
          <w:tcPr>
            <w:tcW w:w="696" w:type="pct"/>
            <w:noWrap/>
            <w:vAlign w:val="center"/>
            <w:hideMark/>
          </w:tcPr>
          <w:p w14:paraId="66680F1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73" w:type="pct"/>
            <w:noWrap/>
            <w:vAlign w:val="center"/>
            <w:hideMark/>
          </w:tcPr>
          <w:p w14:paraId="4117788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3C780CC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w:t>
            </w:r>
          </w:p>
        </w:tc>
        <w:tc>
          <w:tcPr>
            <w:tcW w:w="385" w:type="pct"/>
            <w:noWrap/>
            <w:vAlign w:val="center"/>
            <w:hideMark/>
          </w:tcPr>
          <w:p w14:paraId="648F863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w:t>
            </w:r>
          </w:p>
        </w:tc>
        <w:tc>
          <w:tcPr>
            <w:tcW w:w="384" w:type="pct"/>
            <w:noWrap/>
            <w:vAlign w:val="center"/>
            <w:hideMark/>
          </w:tcPr>
          <w:p w14:paraId="711D985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21.9</w:t>
            </w:r>
          </w:p>
        </w:tc>
        <w:tc>
          <w:tcPr>
            <w:tcW w:w="288" w:type="pct"/>
            <w:noWrap/>
            <w:vAlign w:val="center"/>
            <w:hideMark/>
          </w:tcPr>
          <w:p w14:paraId="176B2F8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3.1</w:t>
            </w:r>
          </w:p>
        </w:tc>
        <w:tc>
          <w:tcPr>
            <w:tcW w:w="385" w:type="pct"/>
            <w:noWrap/>
            <w:vAlign w:val="center"/>
            <w:hideMark/>
          </w:tcPr>
          <w:p w14:paraId="060C398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56.4</w:t>
            </w:r>
          </w:p>
        </w:tc>
        <w:tc>
          <w:tcPr>
            <w:tcW w:w="385" w:type="pct"/>
            <w:noWrap/>
            <w:vAlign w:val="center"/>
            <w:hideMark/>
          </w:tcPr>
          <w:p w14:paraId="1E07827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34.2</w:t>
            </w:r>
          </w:p>
        </w:tc>
      </w:tr>
      <w:tr w:rsidR="00B661ED" w:rsidRPr="00B066C6" w14:paraId="23BCADF1" w14:textId="77777777" w:rsidTr="00B661ED">
        <w:trPr>
          <w:trHeight w:val="320"/>
        </w:trPr>
        <w:tc>
          <w:tcPr>
            <w:tcW w:w="480" w:type="pct"/>
            <w:noWrap/>
            <w:vAlign w:val="center"/>
            <w:hideMark/>
          </w:tcPr>
          <w:p w14:paraId="2F7BB78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RUFP</w:t>
            </w:r>
          </w:p>
        </w:tc>
        <w:tc>
          <w:tcPr>
            <w:tcW w:w="1035" w:type="pct"/>
            <w:noWrap/>
            <w:vAlign w:val="center"/>
            <w:hideMark/>
          </w:tcPr>
          <w:p w14:paraId="383C2BC7"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Lipaugus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unirufus</w:t>
            </w:r>
            <w:proofErr w:type="spellEnd"/>
          </w:p>
        </w:tc>
        <w:tc>
          <w:tcPr>
            <w:tcW w:w="696" w:type="pct"/>
            <w:noWrap/>
            <w:vAlign w:val="center"/>
            <w:hideMark/>
          </w:tcPr>
          <w:p w14:paraId="77684F8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73" w:type="pct"/>
            <w:noWrap/>
            <w:vAlign w:val="center"/>
            <w:hideMark/>
          </w:tcPr>
          <w:p w14:paraId="77C0C16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38C80C3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6D889F2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82.1</w:t>
            </w:r>
          </w:p>
        </w:tc>
        <w:tc>
          <w:tcPr>
            <w:tcW w:w="384" w:type="pct"/>
            <w:noWrap/>
            <w:vAlign w:val="center"/>
            <w:hideMark/>
          </w:tcPr>
          <w:p w14:paraId="2D4F3FF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24</w:t>
            </w:r>
          </w:p>
        </w:tc>
        <w:tc>
          <w:tcPr>
            <w:tcW w:w="288" w:type="pct"/>
            <w:noWrap/>
            <w:vAlign w:val="center"/>
            <w:hideMark/>
          </w:tcPr>
          <w:p w14:paraId="5456A10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7.2</w:t>
            </w:r>
          </w:p>
        </w:tc>
        <w:tc>
          <w:tcPr>
            <w:tcW w:w="385" w:type="pct"/>
            <w:noWrap/>
            <w:vAlign w:val="center"/>
            <w:hideMark/>
          </w:tcPr>
          <w:p w14:paraId="1A6D6F4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132.4</w:t>
            </w:r>
          </w:p>
        </w:tc>
        <w:tc>
          <w:tcPr>
            <w:tcW w:w="385" w:type="pct"/>
            <w:noWrap/>
            <w:vAlign w:val="center"/>
            <w:hideMark/>
          </w:tcPr>
          <w:p w14:paraId="7351C9E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112</w:t>
            </w:r>
          </w:p>
        </w:tc>
      </w:tr>
      <w:tr w:rsidR="00B661ED" w:rsidRPr="00B066C6" w14:paraId="681B269F" w14:textId="77777777" w:rsidTr="00B661ED">
        <w:trPr>
          <w:trHeight w:val="320"/>
        </w:trPr>
        <w:tc>
          <w:tcPr>
            <w:tcW w:w="480" w:type="pct"/>
            <w:noWrap/>
            <w:vAlign w:val="center"/>
            <w:hideMark/>
          </w:tcPr>
          <w:p w14:paraId="1869C16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SBAN</w:t>
            </w:r>
          </w:p>
        </w:tc>
        <w:tc>
          <w:tcPr>
            <w:tcW w:w="1035" w:type="pct"/>
            <w:noWrap/>
            <w:vAlign w:val="center"/>
            <w:hideMark/>
          </w:tcPr>
          <w:p w14:paraId="2C2D77DE"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Crotophaga</w:t>
            </w:r>
            <w:proofErr w:type="spellEnd"/>
            <w:r w:rsidRPr="00992B4B">
              <w:rPr>
                <w:rFonts w:ascii="Times New Roman" w:hAnsi="Times New Roman" w:cs="Times New Roman"/>
                <w:i/>
                <w:iCs/>
                <w:sz w:val="22"/>
                <w:szCs w:val="22"/>
              </w:rPr>
              <w:t xml:space="preserve"> ani</w:t>
            </w:r>
          </w:p>
        </w:tc>
        <w:tc>
          <w:tcPr>
            <w:tcW w:w="696" w:type="pct"/>
            <w:noWrap/>
            <w:vAlign w:val="center"/>
            <w:hideMark/>
          </w:tcPr>
          <w:p w14:paraId="675C454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Omnivore</w:t>
            </w:r>
          </w:p>
        </w:tc>
        <w:tc>
          <w:tcPr>
            <w:tcW w:w="673" w:type="pct"/>
            <w:noWrap/>
            <w:vAlign w:val="center"/>
            <w:hideMark/>
          </w:tcPr>
          <w:p w14:paraId="59D9C50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Human Modified</w:t>
            </w:r>
          </w:p>
        </w:tc>
        <w:tc>
          <w:tcPr>
            <w:tcW w:w="290" w:type="pct"/>
            <w:noWrap/>
            <w:vAlign w:val="center"/>
            <w:hideMark/>
          </w:tcPr>
          <w:p w14:paraId="12676A8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noWrap/>
            <w:vAlign w:val="center"/>
            <w:hideMark/>
          </w:tcPr>
          <w:p w14:paraId="246F0C4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110.1</w:t>
            </w:r>
          </w:p>
        </w:tc>
        <w:tc>
          <w:tcPr>
            <w:tcW w:w="384" w:type="pct"/>
            <w:noWrap/>
            <w:vAlign w:val="center"/>
            <w:hideMark/>
          </w:tcPr>
          <w:p w14:paraId="5337831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30.6</w:t>
            </w:r>
          </w:p>
        </w:tc>
        <w:tc>
          <w:tcPr>
            <w:tcW w:w="288" w:type="pct"/>
            <w:noWrap/>
            <w:vAlign w:val="center"/>
            <w:hideMark/>
          </w:tcPr>
          <w:p w14:paraId="13AE08F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9.9</w:t>
            </w:r>
          </w:p>
        </w:tc>
        <w:tc>
          <w:tcPr>
            <w:tcW w:w="385" w:type="pct"/>
            <w:noWrap/>
            <w:vAlign w:val="center"/>
            <w:hideMark/>
          </w:tcPr>
          <w:p w14:paraId="169BABC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144</w:t>
            </w:r>
          </w:p>
        </w:tc>
        <w:tc>
          <w:tcPr>
            <w:tcW w:w="385" w:type="pct"/>
            <w:noWrap/>
            <w:vAlign w:val="center"/>
            <w:hideMark/>
          </w:tcPr>
          <w:p w14:paraId="6D18B66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180.6</w:t>
            </w:r>
          </w:p>
        </w:tc>
      </w:tr>
      <w:tr w:rsidR="00B661ED" w:rsidRPr="00B066C6" w14:paraId="14178313" w14:textId="77777777" w:rsidTr="00B661ED">
        <w:trPr>
          <w:trHeight w:val="320"/>
        </w:trPr>
        <w:tc>
          <w:tcPr>
            <w:tcW w:w="480" w:type="pct"/>
            <w:noWrap/>
            <w:vAlign w:val="center"/>
            <w:hideMark/>
          </w:tcPr>
          <w:p w14:paraId="74A5966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SCBW</w:t>
            </w:r>
          </w:p>
        </w:tc>
        <w:tc>
          <w:tcPr>
            <w:tcW w:w="1035" w:type="pct"/>
            <w:noWrap/>
            <w:vAlign w:val="center"/>
            <w:hideMark/>
          </w:tcPr>
          <w:p w14:paraId="0F88A65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Microcerculus</w:t>
            </w:r>
            <w:proofErr w:type="spellEnd"/>
            <w:r w:rsidRPr="00992B4B">
              <w:rPr>
                <w:rFonts w:ascii="Times New Roman" w:hAnsi="Times New Roman" w:cs="Times New Roman"/>
                <w:i/>
                <w:iCs/>
                <w:sz w:val="22"/>
                <w:szCs w:val="22"/>
              </w:rPr>
              <w:t xml:space="preserve"> marginatus</w:t>
            </w:r>
          </w:p>
        </w:tc>
        <w:tc>
          <w:tcPr>
            <w:tcW w:w="696" w:type="pct"/>
            <w:noWrap/>
            <w:vAlign w:val="center"/>
            <w:hideMark/>
          </w:tcPr>
          <w:p w14:paraId="08615FA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1A9F1E3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65565B8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noWrap/>
            <w:vAlign w:val="center"/>
            <w:hideMark/>
          </w:tcPr>
          <w:p w14:paraId="3D020B1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18.2</w:t>
            </w:r>
          </w:p>
        </w:tc>
        <w:tc>
          <w:tcPr>
            <w:tcW w:w="384" w:type="pct"/>
            <w:noWrap/>
            <w:vAlign w:val="center"/>
            <w:hideMark/>
          </w:tcPr>
          <w:p w14:paraId="126FF1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19.2</w:t>
            </w:r>
          </w:p>
        </w:tc>
        <w:tc>
          <w:tcPr>
            <w:tcW w:w="288" w:type="pct"/>
            <w:noWrap/>
            <w:vAlign w:val="center"/>
            <w:hideMark/>
          </w:tcPr>
          <w:p w14:paraId="6B93A98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w:t>
            </w:r>
          </w:p>
        </w:tc>
        <w:tc>
          <w:tcPr>
            <w:tcW w:w="385" w:type="pct"/>
            <w:noWrap/>
            <w:vAlign w:val="center"/>
            <w:hideMark/>
          </w:tcPr>
          <w:p w14:paraId="1ADACBE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58.7</w:t>
            </w:r>
          </w:p>
        </w:tc>
        <w:tc>
          <w:tcPr>
            <w:tcW w:w="385" w:type="pct"/>
            <w:noWrap/>
            <w:vAlign w:val="center"/>
            <w:hideMark/>
          </w:tcPr>
          <w:p w14:paraId="56CD112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24.2</w:t>
            </w:r>
          </w:p>
        </w:tc>
      </w:tr>
      <w:tr w:rsidR="00B661ED" w:rsidRPr="00B066C6" w14:paraId="26A44127" w14:textId="77777777" w:rsidTr="00B661ED">
        <w:trPr>
          <w:trHeight w:val="320"/>
        </w:trPr>
        <w:tc>
          <w:tcPr>
            <w:tcW w:w="480" w:type="pct"/>
            <w:noWrap/>
            <w:vAlign w:val="center"/>
            <w:hideMark/>
          </w:tcPr>
          <w:p w14:paraId="650C201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SCFC</w:t>
            </w:r>
          </w:p>
        </w:tc>
        <w:tc>
          <w:tcPr>
            <w:tcW w:w="1035" w:type="pct"/>
            <w:noWrap/>
            <w:vAlign w:val="center"/>
            <w:hideMark/>
          </w:tcPr>
          <w:p w14:paraId="1D37979A"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Myiarchus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phaeocephalus</w:t>
            </w:r>
            <w:proofErr w:type="spellEnd"/>
          </w:p>
        </w:tc>
        <w:tc>
          <w:tcPr>
            <w:tcW w:w="696" w:type="pct"/>
            <w:noWrap/>
            <w:vAlign w:val="center"/>
            <w:hideMark/>
          </w:tcPr>
          <w:p w14:paraId="78BFBDD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6EE2EB9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Woodland</w:t>
            </w:r>
          </w:p>
        </w:tc>
        <w:tc>
          <w:tcPr>
            <w:tcW w:w="290" w:type="pct"/>
            <w:noWrap/>
            <w:vAlign w:val="center"/>
            <w:hideMark/>
          </w:tcPr>
          <w:p w14:paraId="127433A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0EEE720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26.3</w:t>
            </w:r>
          </w:p>
        </w:tc>
        <w:tc>
          <w:tcPr>
            <w:tcW w:w="384" w:type="pct"/>
            <w:noWrap/>
            <w:vAlign w:val="center"/>
            <w:hideMark/>
          </w:tcPr>
          <w:p w14:paraId="6C9825C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22.5</w:t>
            </w:r>
          </w:p>
        </w:tc>
        <w:tc>
          <w:tcPr>
            <w:tcW w:w="288" w:type="pct"/>
            <w:noWrap/>
            <w:vAlign w:val="center"/>
            <w:hideMark/>
          </w:tcPr>
          <w:p w14:paraId="23EEB4A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7.1</w:t>
            </w:r>
          </w:p>
        </w:tc>
        <w:tc>
          <w:tcPr>
            <w:tcW w:w="385" w:type="pct"/>
            <w:noWrap/>
            <w:vAlign w:val="center"/>
            <w:hideMark/>
          </w:tcPr>
          <w:p w14:paraId="1794AD9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93</w:t>
            </w:r>
          </w:p>
        </w:tc>
        <w:tc>
          <w:tcPr>
            <w:tcW w:w="385" w:type="pct"/>
            <w:noWrap/>
            <w:vAlign w:val="center"/>
            <w:hideMark/>
          </w:tcPr>
          <w:p w14:paraId="3DD4C55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89.8</w:t>
            </w:r>
          </w:p>
        </w:tc>
      </w:tr>
      <w:tr w:rsidR="00B661ED" w:rsidRPr="00B066C6" w14:paraId="5D901670" w14:textId="77777777" w:rsidTr="00B661ED">
        <w:trPr>
          <w:trHeight w:val="320"/>
        </w:trPr>
        <w:tc>
          <w:tcPr>
            <w:tcW w:w="480" w:type="pct"/>
            <w:noWrap/>
            <w:vAlign w:val="center"/>
            <w:hideMark/>
          </w:tcPr>
          <w:p w14:paraId="066429C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SCPT</w:t>
            </w:r>
          </w:p>
        </w:tc>
        <w:tc>
          <w:tcPr>
            <w:tcW w:w="1035" w:type="pct"/>
            <w:noWrap/>
            <w:vAlign w:val="center"/>
            <w:hideMark/>
          </w:tcPr>
          <w:p w14:paraId="4BA331AC"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Lophotriccus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pileatus</w:t>
            </w:r>
            <w:proofErr w:type="spellEnd"/>
          </w:p>
        </w:tc>
        <w:tc>
          <w:tcPr>
            <w:tcW w:w="696" w:type="pct"/>
            <w:noWrap/>
            <w:vAlign w:val="center"/>
            <w:hideMark/>
          </w:tcPr>
          <w:p w14:paraId="4EB57BC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235AA1D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67007EF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noWrap/>
            <w:vAlign w:val="center"/>
            <w:hideMark/>
          </w:tcPr>
          <w:p w14:paraId="1912AD5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7.5</w:t>
            </w:r>
          </w:p>
        </w:tc>
        <w:tc>
          <w:tcPr>
            <w:tcW w:w="384" w:type="pct"/>
            <w:noWrap/>
            <w:vAlign w:val="center"/>
            <w:hideMark/>
          </w:tcPr>
          <w:p w14:paraId="7C9152A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13.2</w:t>
            </w:r>
          </w:p>
        </w:tc>
        <w:tc>
          <w:tcPr>
            <w:tcW w:w="288" w:type="pct"/>
            <w:noWrap/>
            <w:vAlign w:val="center"/>
            <w:hideMark/>
          </w:tcPr>
          <w:p w14:paraId="6E1D8FC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c>
          <w:tcPr>
            <w:tcW w:w="385" w:type="pct"/>
            <w:noWrap/>
            <w:vAlign w:val="center"/>
            <w:hideMark/>
          </w:tcPr>
          <w:p w14:paraId="7F22033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48.9</w:t>
            </w:r>
          </w:p>
        </w:tc>
        <w:tc>
          <w:tcPr>
            <w:tcW w:w="385" w:type="pct"/>
            <w:noWrap/>
            <w:vAlign w:val="center"/>
            <w:hideMark/>
          </w:tcPr>
          <w:p w14:paraId="56E3005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39.3</w:t>
            </w:r>
          </w:p>
        </w:tc>
      </w:tr>
      <w:tr w:rsidR="00B661ED" w:rsidRPr="00B066C6" w14:paraId="61B5DA94" w14:textId="77777777" w:rsidTr="00B661ED">
        <w:trPr>
          <w:trHeight w:val="320"/>
        </w:trPr>
        <w:tc>
          <w:tcPr>
            <w:tcW w:w="480" w:type="pct"/>
            <w:noWrap/>
            <w:vAlign w:val="center"/>
            <w:hideMark/>
          </w:tcPr>
          <w:p w14:paraId="7BB9BFE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SHTY</w:t>
            </w:r>
          </w:p>
        </w:tc>
        <w:tc>
          <w:tcPr>
            <w:tcW w:w="1035" w:type="pct"/>
            <w:noWrap/>
            <w:vAlign w:val="center"/>
            <w:hideMark/>
          </w:tcPr>
          <w:p w14:paraId="20049688"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Phyllomyias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griseiceps</w:t>
            </w:r>
            <w:proofErr w:type="spellEnd"/>
          </w:p>
        </w:tc>
        <w:tc>
          <w:tcPr>
            <w:tcW w:w="696" w:type="pct"/>
            <w:noWrap/>
            <w:vAlign w:val="center"/>
            <w:hideMark/>
          </w:tcPr>
          <w:p w14:paraId="6B0F922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4F65FB1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165D976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1F8687F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7.2</w:t>
            </w:r>
          </w:p>
        </w:tc>
        <w:tc>
          <w:tcPr>
            <w:tcW w:w="384" w:type="pct"/>
            <w:noWrap/>
            <w:vAlign w:val="center"/>
            <w:hideMark/>
          </w:tcPr>
          <w:p w14:paraId="071BBD8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w:t>
            </w:r>
          </w:p>
        </w:tc>
        <w:tc>
          <w:tcPr>
            <w:tcW w:w="288" w:type="pct"/>
            <w:noWrap/>
            <w:vAlign w:val="center"/>
            <w:hideMark/>
          </w:tcPr>
          <w:p w14:paraId="4E424B2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3.7</w:t>
            </w:r>
          </w:p>
        </w:tc>
        <w:tc>
          <w:tcPr>
            <w:tcW w:w="385" w:type="pct"/>
            <w:noWrap/>
            <w:vAlign w:val="center"/>
            <w:hideMark/>
          </w:tcPr>
          <w:p w14:paraId="604A7EC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51.6</w:t>
            </w:r>
          </w:p>
        </w:tc>
        <w:tc>
          <w:tcPr>
            <w:tcW w:w="385" w:type="pct"/>
            <w:noWrap/>
            <w:vAlign w:val="center"/>
            <w:hideMark/>
          </w:tcPr>
          <w:p w14:paraId="24EE36B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45.2</w:t>
            </w:r>
          </w:p>
        </w:tc>
      </w:tr>
      <w:tr w:rsidR="00B661ED" w:rsidRPr="00B066C6" w14:paraId="04F1FE09" w14:textId="77777777" w:rsidTr="00B661ED">
        <w:trPr>
          <w:trHeight w:val="320"/>
        </w:trPr>
        <w:tc>
          <w:tcPr>
            <w:tcW w:w="480" w:type="pct"/>
            <w:noWrap/>
            <w:vAlign w:val="center"/>
            <w:hideMark/>
          </w:tcPr>
          <w:p w14:paraId="188F404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SHWO</w:t>
            </w:r>
          </w:p>
        </w:tc>
        <w:tc>
          <w:tcPr>
            <w:tcW w:w="1035" w:type="pct"/>
            <w:noWrap/>
            <w:vAlign w:val="center"/>
            <w:hideMark/>
          </w:tcPr>
          <w:p w14:paraId="4AA19578"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Lepidocolaptes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souleyetii</w:t>
            </w:r>
            <w:proofErr w:type="spellEnd"/>
          </w:p>
        </w:tc>
        <w:tc>
          <w:tcPr>
            <w:tcW w:w="696" w:type="pct"/>
            <w:noWrap/>
            <w:vAlign w:val="center"/>
            <w:hideMark/>
          </w:tcPr>
          <w:p w14:paraId="33F006D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1A4355A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Woodland</w:t>
            </w:r>
          </w:p>
        </w:tc>
        <w:tc>
          <w:tcPr>
            <w:tcW w:w="290" w:type="pct"/>
            <w:noWrap/>
            <w:vAlign w:val="center"/>
            <w:hideMark/>
          </w:tcPr>
          <w:p w14:paraId="243A931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5" w:type="pct"/>
            <w:noWrap/>
            <w:vAlign w:val="center"/>
            <w:hideMark/>
          </w:tcPr>
          <w:p w14:paraId="7629602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25.7</w:t>
            </w:r>
          </w:p>
        </w:tc>
        <w:tc>
          <w:tcPr>
            <w:tcW w:w="384" w:type="pct"/>
            <w:noWrap/>
            <w:vAlign w:val="center"/>
            <w:hideMark/>
          </w:tcPr>
          <w:p w14:paraId="2C5B662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32.7</w:t>
            </w:r>
          </w:p>
        </w:tc>
        <w:tc>
          <w:tcPr>
            <w:tcW w:w="288" w:type="pct"/>
            <w:noWrap/>
            <w:vAlign w:val="center"/>
            <w:hideMark/>
          </w:tcPr>
          <w:p w14:paraId="4969DA4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4.1</w:t>
            </w:r>
          </w:p>
        </w:tc>
        <w:tc>
          <w:tcPr>
            <w:tcW w:w="385" w:type="pct"/>
            <w:noWrap/>
            <w:vAlign w:val="center"/>
            <w:hideMark/>
          </w:tcPr>
          <w:p w14:paraId="7CE7AAE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92.3</w:t>
            </w:r>
          </w:p>
        </w:tc>
        <w:tc>
          <w:tcPr>
            <w:tcW w:w="385" w:type="pct"/>
            <w:noWrap/>
            <w:vAlign w:val="center"/>
            <w:hideMark/>
          </w:tcPr>
          <w:p w14:paraId="5E9493A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84.5</w:t>
            </w:r>
          </w:p>
        </w:tc>
      </w:tr>
      <w:tr w:rsidR="00B661ED" w:rsidRPr="00B066C6" w14:paraId="3AEF7802" w14:textId="77777777" w:rsidTr="00B661ED">
        <w:trPr>
          <w:trHeight w:val="320"/>
        </w:trPr>
        <w:tc>
          <w:tcPr>
            <w:tcW w:w="480" w:type="pct"/>
            <w:noWrap/>
            <w:vAlign w:val="center"/>
            <w:hideMark/>
          </w:tcPr>
          <w:p w14:paraId="52AB5CD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SLAN</w:t>
            </w:r>
          </w:p>
        </w:tc>
        <w:tc>
          <w:tcPr>
            <w:tcW w:w="1035" w:type="pct"/>
            <w:noWrap/>
            <w:vAlign w:val="center"/>
            <w:hideMark/>
          </w:tcPr>
          <w:p w14:paraId="1316499A"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Myrmotherula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schisticolor</w:t>
            </w:r>
            <w:proofErr w:type="spellEnd"/>
          </w:p>
        </w:tc>
        <w:tc>
          <w:tcPr>
            <w:tcW w:w="696" w:type="pct"/>
            <w:noWrap/>
            <w:vAlign w:val="center"/>
            <w:hideMark/>
          </w:tcPr>
          <w:p w14:paraId="59125F1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30D65CB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2AAF487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5" w:type="pct"/>
            <w:noWrap/>
            <w:vAlign w:val="center"/>
            <w:hideMark/>
          </w:tcPr>
          <w:p w14:paraId="217B1C3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9.6</w:t>
            </w:r>
          </w:p>
        </w:tc>
        <w:tc>
          <w:tcPr>
            <w:tcW w:w="384" w:type="pct"/>
            <w:noWrap/>
            <w:vAlign w:val="center"/>
            <w:hideMark/>
          </w:tcPr>
          <w:p w14:paraId="0AF5A1C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15.5</w:t>
            </w:r>
          </w:p>
        </w:tc>
        <w:tc>
          <w:tcPr>
            <w:tcW w:w="288" w:type="pct"/>
            <w:noWrap/>
            <w:vAlign w:val="center"/>
            <w:hideMark/>
          </w:tcPr>
          <w:p w14:paraId="0C4B18B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w:t>
            </w:r>
          </w:p>
        </w:tc>
        <w:tc>
          <w:tcPr>
            <w:tcW w:w="385" w:type="pct"/>
            <w:noWrap/>
            <w:vAlign w:val="center"/>
            <w:hideMark/>
          </w:tcPr>
          <w:p w14:paraId="37FF254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54.9</w:t>
            </w:r>
          </w:p>
        </w:tc>
        <w:tc>
          <w:tcPr>
            <w:tcW w:w="385" w:type="pct"/>
            <w:noWrap/>
            <w:vAlign w:val="center"/>
            <w:hideMark/>
          </w:tcPr>
          <w:p w14:paraId="5244F81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36.9</w:t>
            </w:r>
          </w:p>
        </w:tc>
      </w:tr>
      <w:tr w:rsidR="00B661ED" w:rsidRPr="00B066C6" w14:paraId="7ED61270" w14:textId="77777777" w:rsidTr="00B661ED">
        <w:trPr>
          <w:trHeight w:val="320"/>
        </w:trPr>
        <w:tc>
          <w:tcPr>
            <w:tcW w:w="480" w:type="pct"/>
            <w:noWrap/>
            <w:vAlign w:val="center"/>
            <w:hideMark/>
          </w:tcPr>
          <w:p w14:paraId="0FDBA7C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SLSP</w:t>
            </w:r>
          </w:p>
        </w:tc>
        <w:tc>
          <w:tcPr>
            <w:tcW w:w="1035" w:type="pct"/>
            <w:noWrap/>
            <w:vAlign w:val="center"/>
            <w:hideMark/>
          </w:tcPr>
          <w:p w14:paraId="78C0B9A9"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Synallaxis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brachyura</w:t>
            </w:r>
            <w:proofErr w:type="spellEnd"/>
          </w:p>
        </w:tc>
        <w:tc>
          <w:tcPr>
            <w:tcW w:w="696" w:type="pct"/>
            <w:noWrap/>
            <w:vAlign w:val="center"/>
            <w:hideMark/>
          </w:tcPr>
          <w:p w14:paraId="149F7AF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453CFED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90" w:type="pct"/>
            <w:noWrap/>
            <w:vAlign w:val="center"/>
            <w:hideMark/>
          </w:tcPr>
          <w:p w14:paraId="500A59C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28</w:t>
            </w:r>
          </w:p>
        </w:tc>
        <w:tc>
          <w:tcPr>
            <w:tcW w:w="385" w:type="pct"/>
            <w:noWrap/>
            <w:vAlign w:val="center"/>
            <w:hideMark/>
          </w:tcPr>
          <w:p w14:paraId="3822D39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18.3</w:t>
            </w:r>
          </w:p>
        </w:tc>
        <w:tc>
          <w:tcPr>
            <w:tcW w:w="384" w:type="pct"/>
            <w:noWrap/>
            <w:vAlign w:val="center"/>
            <w:hideMark/>
          </w:tcPr>
          <w:p w14:paraId="2B1B95A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16.3</w:t>
            </w:r>
          </w:p>
        </w:tc>
        <w:tc>
          <w:tcPr>
            <w:tcW w:w="288" w:type="pct"/>
            <w:noWrap/>
            <w:vAlign w:val="center"/>
            <w:hideMark/>
          </w:tcPr>
          <w:p w14:paraId="5C490D0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w:t>
            </w:r>
          </w:p>
        </w:tc>
        <w:tc>
          <w:tcPr>
            <w:tcW w:w="385" w:type="pct"/>
            <w:noWrap/>
            <w:vAlign w:val="center"/>
            <w:hideMark/>
          </w:tcPr>
          <w:p w14:paraId="798655F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57.9</w:t>
            </w:r>
          </w:p>
        </w:tc>
        <w:tc>
          <w:tcPr>
            <w:tcW w:w="385" w:type="pct"/>
            <w:noWrap/>
            <w:vAlign w:val="center"/>
            <w:hideMark/>
          </w:tcPr>
          <w:p w14:paraId="319D691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76.7</w:t>
            </w:r>
          </w:p>
        </w:tc>
      </w:tr>
      <w:tr w:rsidR="00B661ED" w:rsidRPr="00B066C6" w14:paraId="7A7AAB36" w14:textId="77777777" w:rsidTr="00B661ED">
        <w:trPr>
          <w:trHeight w:val="320"/>
        </w:trPr>
        <w:tc>
          <w:tcPr>
            <w:tcW w:w="480" w:type="pct"/>
            <w:noWrap/>
            <w:vAlign w:val="center"/>
            <w:hideMark/>
          </w:tcPr>
          <w:p w14:paraId="758E468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SOBT</w:t>
            </w:r>
          </w:p>
        </w:tc>
        <w:tc>
          <w:tcPr>
            <w:tcW w:w="1035" w:type="pct"/>
            <w:noWrap/>
            <w:vAlign w:val="center"/>
            <w:hideMark/>
          </w:tcPr>
          <w:p w14:paraId="6E347BD6"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Camptostoma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obsoletum</w:t>
            </w:r>
            <w:proofErr w:type="spellEnd"/>
          </w:p>
        </w:tc>
        <w:tc>
          <w:tcPr>
            <w:tcW w:w="696" w:type="pct"/>
            <w:noWrap/>
            <w:vAlign w:val="center"/>
            <w:hideMark/>
          </w:tcPr>
          <w:p w14:paraId="6E7FB60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3476288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90" w:type="pct"/>
            <w:noWrap/>
            <w:vAlign w:val="center"/>
            <w:hideMark/>
          </w:tcPr>
          <w:p w14:paraId="33FE30C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85" w:type="pct"/>
            <w:noWrap/>
            <w:vAlign w:val="center"/>
            <w:hideMark/>
          </w:tcPr>
          <w:p w14:paraId="39A29C7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8.1</w:t>
            </w:r>
          </w:p>
        </w:tc>
        <w:tc>
          <w:tcPr>
            <w:tcW w:w="384" w:type="pct"/>
            <w:noWrap/>
            <w:vAlign w:val="center"/>
            <w:hideMark/>
          </w:tcPr>
          <w:p w14:paraId="2E5A187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9.8</w:t>
            </w:r>
          </w:p>
        </w:tc>
        <w:tc>
          <w:tcPr>
            <w:tcW w:w="288" w:type="pct"/>
            <w:noWrap/>
            <w:vAlign w:val="center"/>
            <w:hideMark/>
          </w:tcPr>
          <w:p w14:paraId="516A4C4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w:t>
            </w:r>
          </w:p>
        </w:tc>
        <w:tc>
          <w:tcPr>
            <w:tcW w:w="385" w:type="pct"/>
            <w:noWrap/>
            <w:vAlign w:val="center"/>
            <w:hideMark/>
          </w:tcPr>
          <w:p w14:paraId="75FD039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52.3</w:t>
            </w:r>
          </w:p>
        </w:tc>
        <w:tc>
          <w:tcPr>
            <w:tcW w:w="385" w:type="pct"/>
            <w:noWrap/>
            <w:vAlign w:val="center"/>
            <w:hideMark/>
          </w:tcPr>
          <w:p w14:paraId="0680138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40.9</w:t>
            </w:r>
          </w:p>
        </w:tc>
      </w:tr>
      <w:tr w:rsidR="00B661ED" w:rsidRPr="00B066C6" w14:paraId="2978426D" w14:textId="77777777" w:rsidTr="00B661ED">
        <w:trPr>
          <w:trHeight w:val="320"/>
        </w:trPr>
        <w:tc>
          <w:tcPr>
            <w:tcW w:w="480" w:type="pct"/>
            <w:noWrap/>
            <w:vAlign w:val="center"/>
            <w:hideMark/>
          </w:tcPr>
          <w:p w14:paraId="4F07302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SPWO</w:t>
            </w:r>
          </w:p>
        </w:tc>
        <w:tc>
          <w:tcPr>
            <w:tcW w:w="1035" w:type="pct"/>
            <w:noWrap/>
            <w:vAlign w:val="center"/>
            <w:hideMark/>
          </w:tcPr>
          <w:p w14:paraId="61CF1378"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Xiphorhynchus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erythropygius</w:t>
            </w:r>
            <w:proofErr w:type="spellEnd"/>
          </w:p>
        </w:tc>
        <w:tc>
          <w:tcPr>
            <w:tcW w:w="696" w:type="pct"/>
            <w:noWrap/>
            <w:vAlign w:val="center"/>
            <w:hideMark/>
          </w:tcPr>
          <w:p w14:paraId="602AD17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65B37BA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319BAE4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5" w:type="pct"/>
            <w:noWrap/>
            <w:vAlign w:val="center"/>
            <w:hideMark/>
          </w:tcPr>
          <w:p w14:paraId="3C7AAAB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46.8</w:t>
            </w:r>
          </w:p>
        </w:tc>
        <w:tc>
          <w:tcPr>
            <w:tcW w:w="384" w:type="pct"/>
            <w:noWrap/>
            <w:vAlign w:val="center"/>
            <w:hideMark/>
          </w:tcPr>
          <w:p w14:paraId="48F5350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34.8</w:t>
            </w:r>
          </w:p>
        </w:tc>
        <w:tc>
          <w:tcPr>
            <w:tcW w:w="288" w:type="pct"/>
            <w:noWrap/>
            <w:vAlign w:val="center"/>
            <w:hideMark/>
          </w:tcPr>
          <w:p w14:paraId="01FF5C7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5.4</w:t>
            </w:r>
          </w:p>
        </w:tc>
        <w:tc>
          <w:tcPr>
            <w:tcW w:w="385" w:type="pct"/>
            <w:noWrap/>
            <w:vAlign w:val="center"/>
            <w:hideMark/>
          </w:tcPr>
          <w:p w14:paraId="3C8B8A7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115.6</w:t>
            </w:r>
          </w:p>
        </w:tc>
        <w:tc>
          <w:tcPr>
            <w:tcW w:w="385" w:type="pct"/>
            <w:noWrap/>
            <w:vAlign w:val="center"/>
            <w:hideMark/>
          </w:tcPr>
          <w:p w14:paraId="504CB2E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108.1</w:t>
            </w:r>
          </w:p>
        </w:tc>
      </w:tr>
      <w:tr w:rsidR="00B661ED" w:rsidRPr="00B066C6" w14:paraId="5B1D5016" w14:textId="77777777" w:rsidTr="00B661ED">
        <w:trPr>
          <w:trHeight w:val="320"/>
        </w:trPr>
        <w:tc>
          <w:tcPr>
            <w:tcW w:w="480" w:type="pct"/>
            <w:noWrap/>
            <w:vAlign w:val="center"/>
            <w:hideMark/>
          </w:tcPr>
          <w:p w14:paraId="059928C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SQCU</w:t>
            </w:r>
          </w:p>
        </w:tc>
        <w:tc>
          <w:tcPr>
            <w:tcW w:w="1035" w:type="pct"/>
            <w:noWrap/>
            <w:vAlign w:val="center"/>
            <w:hideMark/>
          </w:tcPr>
          <w:p w14:paraId="5FBDA086"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Piaya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cayana</w:t>
            </w:r>
            <w:proofErr w:type="spellEnd"/>
          </w:p>
        </w:tc>
        <w:tc>
          <w:tcPr>
            <w:tcW w:w="696" w:type="pct"/>
            <w:noWrap/>
            <w:vAlign w:val="center"/>
            <w:hideMark/>
          </w:tcPr>
          <w:p w14:paraId="08C40CC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642BB8F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7C63A0D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151D378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102</w:t>
            </w:r>
          </w:p>
        </w:tc>
        <w:tc>
          <w:tcPr>
            <w:tcW w:w="384" w:type="pct"/>
            <w:noWrap/>
            <w:vAlign w:val="center"/>
            <w:hideMark/>
          </w:tcPr>
          <w:p w14:paraId="1CE852D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w:t>
            </w:r>
          </w:p>
        </w:tc>
        <w:tc>
          <w:tcPr>
            <w:tcW w:w="288" w:type="pct"/>
            <w:noWrap/>
            <w:vAlign w:val="center"/>
            <w:hideMark/>
          </w:tcPr>
          <w:p w14:paraId="17BFEF2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8.8</w:t>
            </w:r>
          </w:p>
        </w:tc>
        <w:tc>
          <w:tcPr>
            <w:tcW w:w="385" w:type="pct"/>
            <w:noWrap/>
            <w:vAlign w:val="center"/>
            <w:hideMark/>
          </w:tcPr>
          <w:p w14:paraId="3946A99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145.5</w:t>
            </w:r>
          </w:p>
        </w:tc>
        <w:tc>
          <w:tcPr>
            <w:tcW w:w="385" w:type="pct"/>
            <w:noWrap/>
            <w:vAlign w:val="center"/>
            <w:hideMark/>
          </w:tcPr>
          <w:p w14:paraId="66E4304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278.6</w:t>
            </w:r>
          </w:p>
        </w:tc>
      </w:tr>
      <w:tr w:rsidR="00B661ED" w:rsidRPr="00B066C6" w14:paraId="7159F4A7" w14:textId="77777777" w:rsidTr="00B661ED">
        <w:trPr>
          <w:trHeight w:val="320"/>
        </w:trPr>
        <w:tc>
          <w:tcPr>
            <w:tcW w:w="480" w:type="pct"/>
            <w:noWrap/>
            <w:vAlign w:val="center"/>
            <w:hideMark/>
          </w:tcPr>
          <w:p w14:paraId="0E96479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SRFL</w:t>
            </w:r>
          </w:p>
        </w:tc>
        <w:tc>
          <w:tcPr>
            <w:tcW w:w="1035" w:type="pct"/>
            <w:noWrap/>
            <w:vAlign w:val="center"/>
            <w:hideMark/>
          </w:tcPr>
          <w:p w14:paraId="36453F67"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Myiobius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sulphureipygius</w:t>
            </w:r>
            <w:proofErr w:type="spellEnd"/>
          </w:p>
        </w:tc>
        <w:tc>
          <w:tcPr>
            <w:tcW w:w="696" w:type="pct"/>
            <w:noWrap/>
            <w:vAlign w:val="center"/>
            <w:hideMark/>
          </w:tcPr>
          <w:p w14:paraId="199E1A3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615FF0D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38A6570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85" w:type="pct"/>
            <w:noWrap/>
            <w:vAlign w:val="center"/>
            <w:hideMark/>
          </w:tcPr>
          <w:p w14:paraId="6066280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11.6</w:t>
            </w:r>
          </w:p>
        </w:tc>
        <w:tc>
          <w:tcPr>
            <w:tcW w:w="384" w:type="pct"/>
            <w:noWrap/>
            <w:vAlign w:val="center"/>
            <w:hideMark/>
          </w:tcPr>
          <w:p w14:paraId="4A1A3EA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14.6</w:t>
            </w:r>
          </w:p>
        </w:tc>
        <w:tc>
          <w:tcPr>
            <w:tcW w:w="288" w:type="pct"/>
            <w:noWrap/>
            <w:vAlign w:val="center"/>
            <w:hideMark/>
          </w:tcPr>
          <w:p w14:paraId="6BE269A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w:t>
            </w:r>
          </w:p>
        </w:tc>
        <w:tc>
          <w:tcPr>
            <w:tcW w:w="385" w:type="pct"/>
            <w:noWrap/>
            <w:vAlign w:val="center"/>
            <w:hideMark/>
          </w:tcPr>
          <w:p w14:paraId="67FC157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66.4</w:t>
            </w:r>
          </w:p>
        </w:tc>
        <w:tc>
          <w:tcPr>
            <w:tcW w:w="385" w:type="pct"/>
            <w:noWrap/>
            <w:vAlign w:val="center"/>
            <w:hideMark/>
          </w:tcPr>
          <w:p w14:paraId="4CD0625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56.2</w:t>
            </w:r>
          </w:p>
        </w:tc>
      </w:tr>
      <w:tr w:rsidR="00B661ED" w:rsidRPr="00B066C6" w14:paraId="5C043713" w14:textId="77777777" w:rsidTr="00B661ED">
        <w:trPr>
          <w:trHeight w:val="320"/>
        </w:trPr>
        <w:tc>
          <w:tcPr>
            <w:tcW w:w="480" w:type="pct"/>
            <w:noWrap/>
            <w:vAlign w:val="center"/>
            <w:hideMark/>
          </w:tcPr>
          <w:p w14:paraId="230BA25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SRWS</w:t>
            </w:r>
          </w:p>
        </w:tc>
        <w:tc>
          <w:tcPr>
            <w:tcW w:w="1035" w:type="pct"/>
            <w:noWrap/>
            <w:vAlign w:val="center"/>
            <w:hideMark/>
          </w:tcPr>
          <w:p w14:paraId="105F4D81"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Stelgidopteryx</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serripennis</w:t>
            </w:r>
            <w:proofErr w:type="spellEnd"/>
          </w:p>
        </w:tc>
        <w:tc>
          <w:tcPr>
            <w:tcW w:w="696" w:type="pct"/>
            <w:noWrap/>
            <w:vAlign w:val="center"/>
            <w:hideMark/>
          </w:tcPr>
          <w:p w14:paraId="332D114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62FD7CB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290" w:type="pct"/>
            <w:noWrap/>
            <w:vAlign w:val="center"/>
            <w:hideMark/>
          </w:tcPr>
          <w:p w14:paraId="31A6EFE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5" w:type="pct"/>
            <w:noWrap/>
            <w:vAlign w:val="center"/>
            <w:hideMark/>
          </w:tcPr>
          <w:p w14:paraId="6C4DF57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15.7</w:t>
            </w:r>
          </w:p>
        </w:tc>
        <w:tc>
          <w:tcPr>
            <w:tcW w:w="384" w:type="pct"/>
            <w:noWrap/>
            <w:vAlign w:val="center"/>
            <w:hideMark/>
          </w:tcPr>
          <w:p w14:paraId="05CF995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10.5</w:t>
            </w:r>
          </w:p>
        </w:tc>
        <w:tc>
          <w:tcPr>
            <w:tcW w:w="288" w:type="pct"/>
            <w:noWrap/>
            <w:vAlign w:val="center"/>
            <w:hideMark/>
          </w:tcPr>
          <w:p w14:paraId="0839C1A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w:t>
            </w:r>
          </w:p>
        </w:tc>
        <w:tc>
          <w:tcPr>
            <w:tcW w:w="385" w:type="pct"/>
            <w:noWrap/>
            <w:vAlign w:val="center"/>
            <w:hideMark/>
          </w:tcPr>
          <w:p w14:paraId="2AC5BAA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107.5</w:t>
            </w:r>
          </w:p>
        </w:tc>
        <w:tc>
          <w:tcPr>
            <w:tcW w:w="385" w:type="pct"/>
            <w:noWrap/>
            <w:vAlign w:val="center"/>
            <w:hideMark/>
          </w:tcPr>
          <w:p w14:paraId="7E96032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47.8</w:t>
            </w:r>
          </w:p>
        </w:tc>
      </w:tr>
      <w:tr w:rsidR="00B661ED" w:rsidRPr="00B066C6" w14:paraId="4A33A5A7" w14:textId="77777777" w:rsidTr="00B661ED">
        <w:trPr>
          <w:trHeight w:val="320"/>
        </w:trPr>
        <w:tc>
          <w:tcPr>
            <w:tcW w:w="480" w:type="pct"/>
            <w:noWrap/>
            <w:vAlign w:val="center"/>
            <w:hideMark/>
          </w:tcPr>
          <w:p w14:paraId="28C1C56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STFL</w:t>
            </w:r>
          </w:p>
        </w:tc>
        <w:tc>
          <w:tcPr>
            <w:tcW w:w="1035" w:type="pct"/>
            <w:noWrap/>
            <w:vAlign w:val="center"/>
            <w:hideMark/>
          </w:tcPr>
          <w:p w14:paraId="2CBF7AD4"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Mionectes</w:t>
            </w:r>
            <w:proofErr w:type="spellEnd"/>
            <w:r w:rsidRPr="00992B4B">
              <w:rPr>
                <w:rFonts w:ascii="Times New Roman" w:hAnsi="Times New Roman" w:cs="Times New Roman"/>
                <w:i/>
                <w:iCs/>
                <w:sz w:val="22"/>
                <w:szCs w:val="22"/>
              </w:rPr>
              <w:t xml:space="preserve"> olivaceus</w:t>
            </w:r>
          </w:p>
        </w:tc>
        <w:tc>
          <w:tcPr>
            <w:tcW w:w="696" w:type="pct"/>
            <w:noWrap/>
            <w:vAlign w:val="center"/>
            <w:hideMark/>
          </w:tcPr>
          <w:p w14:paraId="48D7F28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73" w:type="pct"/>
            <w:noWrap/>
            <w:vAlign w:val="center"/>
            <w:hideMark/>
          </w:tcPr>
          <w:p w14:paraId="1F7F106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68A4716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85" w:type="pct"/>
            <w:noWrap/>
            <w:vAlign w:val="center"/>
            <w:hideMark/>
          </w:tcPr>
          <w:p w14:paraId="079FEC5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15.3</w:t>
            </w:r>
          </w:p>
        </w:tc>
        <w:tc>
          <w:tcPr>
            <w:tcW w:w="384" w:type="pct"/>
            <w:noWrap/>
            <w:vAlign w:val="center"/>
            <w:hideMark/>
          </w:tcPr>
          <w:p w14:paraId="1D3A909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13.7</w:t>
            </w:r>
          </w:p>
        </w:tc>
        <w:tc>
          <w:tcPr>
            <w:tcW w:w="288" w:type="pct"/>
            <w:noWrap/>
            <w:vAlign w:val="center"/>
            <w:hideMark/>
          </w:tcPr>
          <w:p w14:paraId="6ACA83B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4.1</w:t>
            </w:r>
          </w:p>
        </w:tc>
        <w:tc>
          <w:tcPr>
            <w:tcW w:w="385" w:type="pct"/>
            <w:noWrap/>
            <w:vAlign w:val="center"/>
            <w:hideMark/>
          </w:tcPr>
          <w:p w14:paraId="762B010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69</w:t>
            </w:r>
          </w:p>
        </w:tc>
        <w:tc>
          <w:tcPr>
            <w:tcW w:w="385" w:type="pct"/>
            <w:noWrap/>
            <w:vAlign w:val="center"/>
            <w:hideMark/>
          </w:tcPr>
          <w:p w14:paraId="6AD360C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40</w:t>
            </w:r>
          </w:p>
        </w:tc>
      </w:tr>
      <w:tr w:rsidR="00B661ED" w:rsidRPr="00B066C6" w14:paraId="6BAF0242" w14:textId="77777777" w:rsidTr="00B661ED">
        <w:trPr>
          <w:trHeight w:val="320"/>
        </w:trPr>
        <w:tc>
          <w:tcPr>
            <w:tcW w:w="480" w:type="pct"/>
            <w:noWrap/>
            <w:vAlign w:val="center"/>
            <w:hideMark/>
          </w:tcPr>
          <w:p w14:paraId="3A66D3E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STHR</w:t>
            </w:r>
          </w:p>
        </w:tc>
        <w:tc>
          <w:tcPr>
            <w:tcW w:w="1035" w:type="pct"/>
            <w:noWrap/>
            <w:vAlign w:val="center"/>
            <w:hideMark/>
          </w:tcPr>
          <w:p w14:paraId="15DC35C3"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Phaethornis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striigularis</w:t>
            </w:r>
            <w:proofErr w:type="spellEnd"/>
          </w:p>
        </w:tc>
        <w:tc>
          <w:tcPr>
            <w:tcW w:w="696" w:type="pct"/>
            <w:noWrap/>
            <w:vAlign w:val="center"/>
            <w:hideMark/>
          </w:tcPr>
          <w:p w14:paraId="3C07427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73" w:type="pct"/>
            <w:noWrap/>
            <w:vAlign w:val="center"/>
            <w:hideMark/>
          </w:tcPr>
          <w:p w14:paraId="7D8CE9A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21EB93A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85" w:type="pct"/>
            <w:noWrap/>
            <w:vAlign w:val="center"/>
            <w:hideMark/>
          </w:tcPr>
          <w:p w14:paraId="658BBF6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84" w:type="pct"/>
            <w:noWrap/>
            <w:vAlign w:val="center"/>
            <w:hideMark/>
          </w:tcPr>
          <w:p w14:paraId="3D3C02C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23.7</w:t>
            </w:r>
          </w:p>
        </w:tc>
        <w:tc>
          <w:tcPr>
            <w:tcW w:w="288" w:type="pct"/>
            <w:noWrap/>
            <w:vAlign w:val="center"/>
            <w:hideMark/>
          </w:tcPr>
          <w:p w14:paraId="4242828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2.4</w:t>
            </w:r>
          </w:p>
        </w:tc>
        <w:tc>
          <w:tcPr>
            <w:tcW w:w="385" w:type="pct"/>
            <w:noWrap/>
            <w:vAlign w:val="center"/>
            <w:hideMark/>
          </w:tcPr>
          <w:p w14:paraId="0C9540E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39.1</w:t>
            </w:r>
          </w:p>
        </w:tc>
        <w:tc>
          <w:tcPr>
            <w:tcW w:w="385" w:type="pct"/>
            <w:noWrap/>
            <w:vAlign w:val="center"/>
            <w:hideMark/>
          </w:tcPr>
          <w:p w14:paraId="54E837B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36.4</w:t>
            </w:r>
          </w:p>
        </w:tc>
      </w:tr>
      <w:tr w:rsidR="00B661ED" w:rsidRPr="00B066C6" w14:paraId="690B76CC" w14:textId="77777777" w:rsidTr="00B661ED">
        <w:trPr>
          <w:trHeight w:val="320"/>
        </w:trPr>
        <w:tc>
          <w:tcPr>
            <w:tcW w:w="480" w:type="pct"/>
            <w:noWrap/>
            <w:vAlign w:val="center"/>
            <w:hideMark/>
          </w:tcPr>
          <w:p w14:paraId="33F68B7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STTA</w:t>
            </w:r>
          </w:p>
        </w:tc>
        <w:tc>
          <w:tcPr>
            <w:tcW w:w="1035" w:type="pct"/>
            <w:noWrap/>
            <w:vAlign w:val="center"/>
            <w:hideMark/>
          </w:tcPr>
          <w:p w14:paraId="14507CCB"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Tangara </w:t>
            </w:r>
            <w:proofErr w:type="spellStart"/>
            <w:r w:rsidRPr="00992B4B">
              <w:rPr>
                <w:rFonts w:ascii="Times New Roman" w:hAnsi="Times New Roman" w:cs="Times New Roman"/>
                <w:i/>
                <w:iCs/>
                <w:sz w:val="22"/>
                <w:szCs w:val="22"/>
              </w:rPr>
              <w:t>icterocephala</w:t>
            </w:r>
            <w:proofErr w:type="spellEnd"/>
          </w:p>
        </w:tc>
        <w:tc>
          <w:tcPr>
            <w:tcW w:w="696" w:type="pct"/>
            <w:noWrap/>
            <w:vAlign w:val="center"/>
            <w:hideMark/>
          </w:tcPr>
          <w:p w14:paraId="6ED02C3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73" w:type="pct"/>
            <w:noWrap/>
            <w:vAlign w:val="center"/>
            <w:hideMark/>
          </w:tcPr>
          <w:p w14:paraId="433C59B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7D49F24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85" w:type="pct"/>
            <w:noWrap/>
            <w:vAlign w:val="center"/>
            <w:hideMark/>
          </w:tcPr>
          <w:p w14:paraId="18E08E3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22</w:t>
            </w:r>
          </w:p>
        </w:tc>
        <w:tc>
          <w:tcPr>
            <w:tcW w:w="384" w:type="pct"/>
            <w:noWrap/>
            <w:vAlign w:val="center"/>
            <w:hideMark/>
          </w:tcPr>
          <w:p w14:paraId="79BCE0E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12.6</w:t>
            </w:r>
          </w:p>
        </w:tc>
        <w:tc>
          <w:tcPr>
            <w:tcW w:w="288" w:type="pct"/>
            <w:noWrap/>
            <w:vAlign w:val="center"/>
            <w:hideMark/>
          </w:tcPr>
          <w:p w14:paraId="5E0D8AC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5.1</w:t>
            </w:r>
          </w:p>
        </w:tc>
        <w:tc>
          <w:tcPr>
            <w:tcW w:w="385" w:type="pct"/>
            <w:noWrap/>
            <w:vAlign w:val="center"/>
            <w:hideMark/>
          </w:tcPr>
          <w:p w14:paraId="48912A3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70.5</w:t>
            </w:r>
          </w:p>
        </w:tc>
        <w:tc>
          <w:tcPr>
            <w:tcW w:w="385" w:type="pct"/>
            <w:noWrap/>
            <w:vAlign w:val="center"/>
            <w:hideMark/>
          </w:tcPr>
          <w:p w14:paraId="040C5AF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45</w:t>
            </w:r>
          </w:p>
        </w:tc>
      </w:tr>
      <w:tr w:rsidR="00B661ED" w:rsidRPr="00B066C6" w14:paraId="24E53340" w14:textId="77777777" w:rsidTr="00B661ED">
        <w:trPr>
          <w:trHeight w:val="320"/>
        </w:trPr>
        <w:tc>
          <w:tcPr>
            <w:tcW w:w="480" w:type="pct"/>
            <w:noWrap/>
            <w:vAlign w:val="center"/>
            <w:hideMark/>
          </w:tcPr>
          <w:p w14:paraId="77D9569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STXE</w:t>
            </w:r>
          </w:p>
        </w:tc>
        <w:tc>
          <w:tcPr>
            <w:tcW w:w="1035" w:type="pct"/>
            <w:noWrap/>
            <w:vAlign w:val="center"/>
            <w:hideMark/>
          </w:tcPr>
          <w:p w14:paraId="67DC8B17"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Xenops</w:t>
            </w:r>
            <w:proofErr w:type="spellEnd"/>
            <w:r w:rsidRPr="00992B4B">
              <w:rPr>
                <w:rFonts w:ascii="Times New Roman" w:hAnsi="Times New Roman" w:cs="Times New Roman"/>
                <w:i/>
                <w:iCs/>
                <w:sz w:val="22"/>
                <w:szCs w:val="22"/>
              </w:rPr>
              <w:t xml:space="preserve"> rutilus</w:t>
            </w:r>
          </w:p>
        </w:tc>
        <w:tc>
          <w:tcPr>
            <w:tcW w:w="696" w:type="pct"/>
            <w:noWrap/>
            <w:vAlign w:val="center"/>
            <w:hideMark/>
          </w:tcPr>
          <w:p w14:paraId="12D0EB4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73" w:type="pct"/>
            <w:noWrap/>
            <w:vAlign w:val="center"/>
            <w:hideMark/>
          </w:tcPr>
          <w:p w14:paraId="73DE577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33CF0A5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85" w:type="pct"/>
            <w:noWrap/>
            <w:vAlign w:val="center"/>
            <w:hideMark/>
          </w:tcPr>
          <w:p w14:paraId="28CC5A7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11.2</w:t>
            </w:r>
          </w:p>
        </w:tc>
        <w:tc>
          <w:tcPr>
            <w:tcW w:w="384" w:type="pct"/>
            <w:noWrap/>
            <w:vAlign w:val="center"/>
            <w:hideMark/>
          </w:tcPr>
          <w:p w14:paraId="42B6425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13.3</w:t>
            </w:r>
          </w:p>
        </w:tc>
        <w:tc>
          <w:tcPr>
            <w:tcW w:w="288" w:type="pct"/>
            <w:noWrap/>
            <w:vAlign w:val="center"/>
            <w:hideMark/>
          </w:tcPr>
          <w:p w14:paraId="651B102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2.9</w:t>
            </w:r>
          </w:p>
        </w:tc>
        <w:tc>
          <w:tcPr>
            <w:tcW w:w="385" w:type="pct"/>
            <w:noWrap/>
            <w:vAlign w:val="center"/>
            <w:hideMark/>
          </w:tcPr>
          <w:p w14:paraId="5A47127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65.8</w:t>
            </w:r>
          </w:p>
        </w:tc>
        <w:tc>
          <w:tcPr>
            <w:tcW w:w="385" w:type="pct"/>
            <w:noWrap/>
            <w:vAlign w:val="center"/>
            <w:hideMark/>
          </w:tcPr>
          <w:p w14:paraId="739B38F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49</w:t>
            </w:r>
          </w:p>
        </w:tc>
      </w:tr>
      <w:tr w:rsidR="00B661ED" w:rsidRPr="00B066C6" w14:paraId="7BFB5B89" w14:textId="77777777" w:rsidTr="00B661ED">
        <w:trPr>
          <w:trHeight w:val="320"/>
        </w:trPr>
        <w:tc>
          <w:tcPr>
            <w:tcW w:w="480" w:type="pct"/>
            <w:noWrap/>
            <w:vAlign w:val="center"/>
            <w:hideMark/>
          </w:tcPr>
          <w:p w14:paraId="07EBD7B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TBEU</w:t>
            </w:r>
          </w:p>
        </w:tc>
        <w:tc>
          <w:tcPr>
            <w:tcW w:w="1035" w:type="pct"/>
            <w:noWrap/>
            <w:vAlign w:val="center"/>
            <w:hideMark/>
          </w:tcPr>
          <w:p w14:paraId="7DBF93E5"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Euphonia </w:t>
            </w:r>
            <w:proofErr w:type="spellStart"/>
            <w:r w:rsidRPr="00992B4B">
              <w:rPr>
                <w:rFonts w:ascii="Times New Roman" w:hAnsi="Times New Roman" w:cs="Times New Roman"/>
                <w:i/>
                <w:iCs/>
                <w:sz w:val="22"/>
                <w:szCs w:val="22"/>
              </w:rPr>
              <w:t>laniirostris</w:t>
            </w:r>
            <w:proofErr w:type="spellEnd"/>
          </w:p>
        </w:tc>
        <w:tc>
          <w:tcPr>
            <w:tcW w:w="696" w:type="pct"/>
            <w:noWrap/>
            <w:vAlign w:val="center"/>
            <w:hideMark/>
          </w:tcPr>
          <w:p w14:paraId="3999A12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73" w:type="pct"/>
            <w:noWrap/>
            <w:vAlign w:val="center"/>
            <w:hideMark/>
          </w:tcPr>
          <w:p w14:paraId="55C8B48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290" w:type="pct"/>
            <w:noWrap/>
            <w:vAlign w:val="center"/>
            <w:hideMark/>
          </w:tcPr>
          <w:p w14:paraId="0FC28AF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28</w:t>
            </w:r>
          </w:p>
        </w:tc>
        <w:tc>
          <w:tcPr>
            <w:tcW w:w="385" w:type="pct"/>
            <w:noWrap/>
            <w:vAlign w:val="center"/>
            <w:hideMark/>
          </w:tcPr>
          <w:p w14:paraId="3559089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w:t>
            </w:r>
          </w:p>
        </w:tc>
        <w:tc>
          <w:tcPr>
            <w:tcW w:w="384" w:type="pct"/>
            <w:noWrap/>
            <w:vAlign w:val="center"/>
            <w:hideMark/>
          </w:tcPr>
          <w:p w14:paraId="33ABFFF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10.1</w:t>
            </w:r>
          </w:p>
        </w:tc>
        <w:tc>
          <w:tcPr>
            <w:tcW w:w="288" w:type="pct"/>
            <w:noWrap/>
            <w:vAlign w:val="center"/>
            <w:hideMark/>
          </w:tcPr>
          <w:p w14:paraId="6887A8E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5.6</w:t>
            </w:r>
          </w:p>
        </w:tc>
        <w:tc>
          <w:tcPr>
            <w:tcW w:w="385" w:type="pct"/>
            <w:noWrap/>
            <w:vAlign w:val="center"/>
            <w:hideMark/>
          </w:tcPr>
          <w:p w14:paraId="3766AD2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61</w:t>
            </w:r>
          </w:p>
        </w:tc>
        <w:tc>
          <w:tcPr>
            <w:tcW w:w="385" w:type="pct"/>
            <w:noWrap/>
            <w:vAlign w:val="center"/>
            <w:hideMark/>
          </w:tcPr>
          <w:p w14:paraId="790CD2A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37.1</w:t>
            </w:r>
          </w:p>
        </w:tc>
      </w:tr>
    </w:tbl>
    <w:p w14:paraId="7B927091" w14:textId="77777777" w:rsidR="00B62991" w:rsidRDefault="00B62991">
      <w:r>
        <w:br w:type="page"/>
      </w:r>
    </w:p>
    <w:tbl>
      <w:tblPr>
        <w:tblStyle w:val="TableGrid"/>
        <w:tblW w:w="5000" w:type="pct"/>
        <w:tblLayout w:type="fixed"/>
        <w:tblLook w:val="04A0" w:firstRow="1" w:lastRow="0" w:firstColumn="1" w:lastColumn="0" w:noHBand="0" w:noVBand="1"/>
      </w:tblPr>
      <w:tblGrid>
        <w:gridCol w:w="1133"/>
        <w:gridCol w:w="1704"/>
        <w:gridCol w:w="1561"/>
        <w:gridCol w:w="1273"/>
        <w:gridCol w:w="567"/>
        <w:gridCol w:w="709"/>
        <w:gridCol w:w="636"/>
        <w:gridCol w:w="532"/>
        <w:gridCol w:w="622"/>
        <w:gridCol w:w="623"/>
      </w:tblGrid>
      <w:tr w:rsidR="00D56D09" w:rsidRPr="00B066C6" w14:paraId="46FDE98C" w14:textId="77777777" w:rsidTr="00BA36F1">
        <w:trPr>
          <w:trHeight w:val="320"/>
        </w:trPr>
        <w:tc>
          <w:tcPr>
            <w:tcW w:w="5000" w:type="pct"/>
            <w:gridSpan w:val="10"/>
            <w:tcBorders>
              <w:top w:val="nil"/>
              <w:left w:val="nil"/>
              <w:bottom w:val="single" w:sz="4" w:space="0" w:color="auto"/>
              <w:right w:val="nil"/>
            </w:tcBorders>
            <w:noWrap/>
            <w:vAlign w:val="center"/>
          </w:tcPr>
          <w:p w14:paraId="415DCFE9" w14:textId="1194266A" w:rsidR="00D56D09" w:rsidRPr="00B066C6" w:rsidRDefault="00D56D09" w:rsidP="00BA36F1">
            <w:pPr>
              <w:spacing w:before="0"/>
              <w:rPr>
                <w:rFonts w:ascii="Times New Roman" w:hAnsi="Times New Roman" w:cs="Times New Roman"/>
                <w:sz w:val="22"/>
                <w:szCs w:val="22"/>
              </w:rPr>
            </w:pPr>
            <w:r w:rsidRPr="00B33A86">
              <w:rPr>
                <w:rFonts w:ascii="Times New Roman" w:hAnsi="Times New Roman" w:cs="Times New Roman"/>
                <w:b/>
                <w:bCs/>
              </w:rPr>
              <w:lastRenderedPageBreak/>
              <w:t>Supplementary Table 2</w:t>
            </w:r>
            <w:r w:rsidRPr="00B33A86">
              <w:rPr>
                <w:rFonts w:ascii="Times New Roman" w:hAnsi="Times New Roman" w:cs="Times New Roman"/>
              </w:rPr>
              <w:t xml:space="preserve"> Continued.</w:t>
            </w:r>
          </w:p>
        </w:tc>
      </w:tr>
      <w:tr w:rsidR="00D56D09" w:rsidRPr="00B066C6" w14:paraId="3F527756" w14:textId="77777777" w:rsidTr="00B62991">
        <w:trPr>
          <w:trHeight w:val="320"/>
        </w:trPr>
        <w:tc>
          <w:tcPr>
            <w:tcW w:w="605" w:type="pct"/>
            <w:tcBorders>
              <w:top w:val="single" w:sz="4" w:space="0" w:color="auto"/>
            </w:tcBorders>
            <w:noWrap/>
            <w:vAlign w:val="center"/>
          </w:tcPr>
          <w:p w14:paraId="15F579C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TBSF</w:t>
            </w:r>
          </w:p>
        </w:tc>
        <w:tc>
          <w:tcPr>
            <w:tcW w:w="910" w:type="pct"/>
            <w:tcBorders>
              <w:top w:val="single" w:sz="4" w:space="0" w:color="auto"/>
            </w:tcBorders>
            <w:noWrap/>
            <w:vAlign w:val="center"/>
          </w:tcPr>
          <w:p w14:paraId="054D7993"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Sporophila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funerea</w:t>
            </w:r>
            <w:proofErr w:type="spellEnd"/>
          </w:p>
        </w:tc>
        <w:tc>
          <w:tcPr>
            <w:tcW w:w="834" w:type="pct"/>
            <w:tcBorders>
              <w:top w:val="single" w:sz="4" w:space="0" w:color="auto"/>
            </w:tcBorders>
            <w:noWrap/>
            <w:vAlign w:val="center"/>
          </w:tcPr>
          <w:p w14:paraId="083DAB5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Granivore</w:t>
            </w:r>
          </w:p>
        </w:tc>
        <w:tc>
          <w:tcPr>
            <w:tcW w:w="680" w:type="pct"/>
            <w:tcBorders>
              <w:top w:val="single" w:sz="4" w:space="0" w:color="auto"/>
            </w:tcBorders>
            <w:noWrap/>
            <w:vAlign w:val="center"/>
          </w:tcPr>
          <w:p w14:paraId="40E1C44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Human Modified</w:t>
            </w:r>
          </w:p>
        </w:tc>
        <w:tc>
          <w:tcPr>
            <w:tcW w:w="303" w:type="pct"/>
            <w:tcBorders>
              <w:top w:val="single" w:sz="4" w:space="0" w:color="auto"/>
            </w:tcBorders>
            <w:noWrap/>
            <w:vAlign w:val="center"/>
          </w:tcPr>
          <w:p w14:paraId="3034863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w:t>
            </w:r>
          </w:p>
        </w:tc>
        <w:tc>
          <w:tcPr>
            <w:tcW w:w="379" w:type="pct"/>
            <w:tcBorders>
              <w:top w:val="single" w:sz="4" w:space="0" w:color="auto"/>
            </w:tcBorders>
            <w:noWrap/>
            <w:vAlign w:val="center"/>
          </w:tcPr>
          <w:p w14:paraId="6A0D56A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w:t>
            </w:r>
          </w:p>
        </w:tc>
        <w:tc>
          <w:tcPr>
            <w:tcW w:w="340" w:type="pct"/>
            <w:tcBorders>
              <w:top w:val="single" w:sz="4" w:space="0" w:color="auto"/>
            </w:tcBorders>
            <w:noWrap/>
            <w:vAlign w:val="center"/>
          </w:tcPr>
          <w:p w14:paraId="1CC11AE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12.6</w:t>
            </w:r>
          </w:p>
        </w:tc>
        <w:tc>
          <w:tcPr>
            <w:tcW w:w="284" w:type="pct"/>
            <w:tcBorders>
              <w:top w:val="single" w:sz="4" w:space="0" w:color="auto"/>
            </w:tcBorders>
            <w:noWrap/>
            <w:vAlign w:val="center"/>
          </w:tcPr>
          <w:p w14:paraId="3731130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6.9</w:t>
            </w:r>
          </w:p>
        </w:tc>
        <w:tc>
          <w:tcPr>
            <w:tcW w:w="332" w:type="pct"/>
            <w:tcBorders>
              <w:top w:val="single" w:sz="4" w:space="0" w:color="auto"/>
            </w:tcBorders>
            <w:noWrap/>
            <w:vAlign w:val="center"/>
          </w:tcPr>
          <w:p w14:paraId="70B33BC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55</w:t>
            </w:r>
          </w:p>
        </w:tc>
        <w:tc>
          <w:tcPr>
            <w:tcW w:w="333" w:type="pct"/>
            <w:tcBorders>
              <w:top w:val="single" w:sz="4" w:space="0" w:color="auto"/>
            </w:tcBorders>
            <w:noWrap/>
            <w:vAlign w:val="center"/>
          </w:tcPr>
          <w:p w14:paraId="2709D58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48.7</w:t>
            </w:r>
          </w:p>
        </w:tc>
      </w:tr>
      <w:tr w:rsidR="00D56D09" w:rsidRPr="00B066C6" w14:paraId="0BA0F127" w14:textId="77777777" w:rsidTr="00B62991">
        <w:trPr>
          <w:trHeight w:val="320"/>
        </w:trPr>
        <w:tc>
          <w:tcPr>
            <w:tcW w:w="605" w:type="pct"/>
            <w:noWrap/>
            <w:vAlign w:val="center"/>
          </w:tcPr>
          <w:p w14:paraId="59B8F46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TCTA</w:t>
            </w:r>
          </w:p>
        </w:tc>
        <w:tc>
          <w:tcPr>
            <w:tcW w:w="910" w:type="pct"/>
            <w:noWrap/>
            <w:vAlign w:val="center"/>
          </w:tcPr>
          <w:p w14:paraId="278535A4"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Chrysocorypha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delatrii</w:t>
            </w:r>
            <w:proofErr w:type="spellEnd"/>
          </w:p>
        </w:tc>
        <w:tc>
          <w:tcPr>
            <w:tcW w:w="834" w:type="pct"/>
            <w:noWrap/>
            <w:vAlign w:val="center"/>
          </w:tcPr>
          <w:p w14:paraId="3C6791B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tcPr>
          <w:p w14:paraId="6C4E221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tcPr>
          <w:p w14:paraId="0C7E11C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79" w:type="pct"/>
            <w:noWrap/>
            <w:vAlign w:val="center"/>
          </w:tcPr>
          <w:p w14:paraId="5B7C3E0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18</w:t>
            </w:r>
          </w:p>
        </w:tc>
        <w:tc>
          <w:tcPr>
            <w:tcW w:w="340" w:type="pct"/>
            <w:noWrap/>
            <w:vAlign w:val="center"/>
          </w:tcPr>
          <w:p w14:paraId="48648AB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15.2</w:t>
            </w:r>
          </w:p>
        </w:tc>
        <w:tc>
          <w:tcPr>
            <w:tcW w:w="284" w:type="pct"/>
            <w:noWrap/>
            <w:vAlign w:val="center"/>
          </w:tcPr>
          <w:p w14:paraId="542AE8E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4.9</w:t>
            </w:r>
          </w:p>
        </w:tc>
        <w:tc>
          <w:tcPr>
            <w:tcW w:w="332" w:type="pct"/>
            <w:noWrap/>
            <w:vAlign w:val="center"/>
          </w:tcPr>
          <w:p w14:paraId="0D35858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71.4</w:t>
            </w:r>
          </w:p>
        </w:tc>
        <w:tc>
          <w:tcPr>
            <w:tcW w:w="333" w:type="pct"/>
            <w:noWrap/>
            <w:vAlign w:val="center"/>
          </w:tcPr>
          <w:p w14:paraId="5950CBA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58.1</w:t>
            </w:r>
          </w:p>
        </w:tc>
      </w:tr>
      <w:tr w:rsidR="00D56D09" w:rsidRPr="00B066C6" w14:paraId="5E6B94AB" w14:textId="77777777" w:rsidTr="00B62991">
        <w:trPr>
          <w:trHeight w:val="320"/>
        </w:trPr>
        <w:tc>
          <w:tcPr>
            <w:tcW w:w="605" w:type="pct"/>
            <w:noWrap/>
            <w:vAlign w:val="center"/>
            <w:hideMark/>
          </w:tcPr>
          <w:p w14:paraId="38501CD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VASE</w:t>
            </w:r>
          </w:p>
        </w:tc>
        <w:tc>
          <w:tcPr>
            <w:tcW w:w="910" w:type="pct"/>
            <w:noWrap/>
            <w:vAlign w:val="center"/>
            <w:hideMark/>
          </w:tcPr>
          <w:p w14:paraId="746F3C5E"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Sporophila</w:t>
            </w:r>
            <w:proofErr w:type="spellEnd"/>
            <w:r w:rsidRPr="00992B4B">
              <w:rPr>
                <w:rFonts w:ascii="Times New Roman" w:hAnsi="Times New Roman" w:cs="Times New Roman"/>
                <w:i/>
                <w:iCs/>
                <w:sz w:val="22"/>
                <w:szCs w:val="22"/>
              </w:rPr>
              <w:t xml:space="preserve"> corvina</w:t>
            </w:r>
          </w:p>
        </w:tc>
        <w:tc>
          <w:tcPr>
            <w:tcW w:w="834" w:type="pct"/>
            <w:noWrap/>
            <w:vAlign w:val="center"/>
            <w:hideMark/>
          </w:tcPr>
          <w:p w14:paraId="6A6BE14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Granivore</w:t>
            </w:r>
          </w:p>
        </w:tc>
        <w:tc>
          <w:tcPr>
            <w:tcW w:w="680" w:type="pct"/>
            <w:noWrap/>
            <w:vAlign w:val="center"/>
            <w:hideMark/>
          </w:tcPr>
          <w:p w14:paraId="47AF2A4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Human Modified</w:t>
            </w:r>
          </w:p>
        </w:tc>
        <w:tc>
          <w:tcPr>
            <w:tcW w:w="303" w:type="pct"/>
            <w:noWrap/>
            <w:vAlign w:val="center"/>
            <w:hideMark/>
          </w:tcPr>
          <w:p w14:paraId="25F4CCF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40</w:t>
            </w:r>
          </w:p>
        </w:tc>
        <w:tc>
          <w:tcPr>
            <w:tcW w:w="379" w:type="pct"/>
            <w:noWrap/>
            <w:vAlign w:val="center"/>
            <w:hideMark/>
          </w:tcPr>
          <w:p w14:paraId="3B66FE6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10.6</w:t>
            </w:r>
          </w:p>
        </w:tc>
        <w:tc>
          <w:tcPr>
            <w:tcW w:w="340" w:type="pct"/>
            <w:noWrap/>
            <w:vAlign w:val="center"/>
            <w:hideMark/>
          </w:tcPr>
          <w:p w14:paraId="793AD9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10.7</w:t>
            </w:r>
          </w:p>
        </w:tc>
        <w:tc>
          <w:tcPr>
            <w:tcW w:w="284" w:type="pct"/>
            <w:noWrap/>
            <w:vAlign w:val="center"/>
            <w:hideMark/>
          </w:tcPr>
          <w:p w14:paraId="61ABC90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5.3</w:t>
            </w:r>
          </w:p>
        </w:tc>
        <w:tc>
          <w:tcPr>
            <w:tcW w:w="332" w:type="pct"/>
            <w:noWrap/>
            <w:vAlign w:val="center"/>
            <w:hideMark/>
          </w:tcPr>
          <w:p w14:paraId="164B03D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52.9</w:t>
            </w:r>
          </w:p>
        </w:tc>
        <w:tc>
          <w:tcPr>
            <w:tcW w:w="333" w:type="pct"/>
            <w:noWrap/>
            <w:vAlign w:val="center"/>
            <w:hideMark/>
          </w:tcPr>
          <w:p w14:paraId="56DFAFE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42.8</w:t>
            </w:r>
          </w:p>
        </w:tc>
      </w:tr>
      <w:tr w:rsidR="00D56D09" w:rsidRPr="00B066C6" w14:paraId="02B6E2BF" w14:textId="77777777" w:rsidTr="00B62991">
        <w:trPr>
          <w:trHeight w:val="320"/>
        </w:trPr>
        <w:tc>
          <w:tcPr>
            <w:tcW w:w="605" w:type="pct"/>
            <w:noWrap/>
            <w:vAlign w:val="center"/>
            <w:hideMark/>
          </w:tcPr>
          <w:p w14:paraId="603351F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VBHU</w:t>
            </w:r>
          </w:p>
        </w:tc>
        <w:tc>
          <w:tcPr>
            <w:tcW w:w="910" w:type="pct"/>
            <w:noWrap/>
            <w:vAlign w:val="center"/>
            <w:hideMark/>
          </w:tcPr>
          <w:p w14:paraId="2BDC5583"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Amazilia </w:t>
            </w:r>
            <w:proofErr w:type="spellStart"/>
            <w:r w:rsidRPr="00992B4B">
              <w:rPr>
                <w:rFonts w:ascii="Times New Roman" w:hAnsi="Times New Roman" w:cs="Times New Roman"/>
                <w:i/>
                <w:iCs/>
                <w:sz w:val="22"/>
                <w:szCs w:val="22"/>
              </w:rPr>
              <w:t>julie</w:t>
            </w:r>
            <w:proofErr w:type="spellEnd"/>
          </w:p>
        </w:tc>
        <w:tc>
          <w:tcPr>
            <w:tcW w:w="834" w:type="pct"/>
            <w:noWrap/>
            <w:vAlign w:val="center"/>
            <w:hideMark/>
          </w:tcPr>
          <w:p w14:paraId="3EC941D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80" w:type="pct"/>
            <w:noWrap/>
            <w:vAlign w:val="center"/>
            <w:hideMark/>
          </w:tcPr>
          <w:p w14:paraId="49EF478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7B987E0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w:t>
            </w:r>
          </w:p>
        </w:tc>
        <w:tc>
          <w:tcPr>
            <w:tcW w:w="379" w:type="pct"/>
            <w:noWrap/>
            <w:vAlign w:val="center"/>
            <w:hideMark/>
          </w:tcPr>
          <w:p w14:paraId="2428C1C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3.3</w:t>
            </w:r>
          </w:p>
        </w:tc>
        <w:tc>
          <w:tcPr>
            <w:tcW w:w="340" w:type="pct"/>
            <w:noWrap/>
            <w:vAlign w:val="center"/>
            <w:hideMark/>
          </w:tcPr>
          <w:p w14:paraId="4A9E5E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w:t>
            </w:r>
          </w:p>
        </w:tc>
        <w:tc>
          <w:tcPr>
            <w:tcW w:w="284" w:type="pct"/>
            <w:noWrap/>
            <w:vAlign w:val="center"/>
            <w:hideMark/>
          </w:tcPr>
          <w:p w14:paraId="389F66E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w:t>
            </w:r>
          </w:p>
        </w:tc>
        <w:tc>
          <w:tcPr>
            <w:tcW w:w="332" w:type="pct"/>
            <w:noWrap/>
            <w:vAlign w:val="center"/>
            <w:hideMark/>
          </w:tcPr>
          <w:p w14:paraId="563C620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43.1</w:t>
            </w:r>
          </w:p>
        </w:tc>
        <w:tc>
          <w:tcPr>
            <w:tcW w:w="333" w:type="pct"/>
            <w:noWrap/>
            <w:vAlign w:val="center"/>
            <w:hideMark/>
          </w:tcPr>
          <w:p w14:paraId="658A38E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w:t>
            </w:r>
          </w:p>
        </w:tc>
      </w:tr>
      <w:tr w:rsidR="00D56D09" w:rsidRPr="00B066C6" w14:paraId="4DDDF6B3" w14:textId="77777777" w:rsidTr="00B62991">
        <w:trPr>
          <w:trHeight w:val="320"/>
        </w:trPr>
        <w:tc>
          <w:tcPr>
            <w:tcW w:w="605" w:type="pct"/>
            <w:noWrap/>
            <w:vAlign w:val="center"/>
            <w:hideMark/>
          </w:tcPr>
          <w:p w14:paraId="3D257C8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WBMA</w:t>
            </w:r>
          </w:p>
        </w:tc>
        <w:tc>
          <w:tcPr>
            <w:tcW w:w="910" w:type="pct"/>
            <w:noWrap/>
            <w:vAlign w:val="center"/>
            <w:hideMark/>
          </w:tcPr>
          <w:p w14:paraId="6226F0EE"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Manacus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manacus</w:t>
            </w:r>
            <w:proofErr w:type="spellEnd"/>
          </w:p>
        </w:tc>
        <w:tc>
          <w:tcPr>
            <w:tcW w:w="834" w:type="pct"/>
            <w:noWrap/>
            <w:vAlign w:val="center"/>
            <w:hideMark/>
          </w:tcPr>
          <w:p w14:paraId="0AF5B98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Frugivore</w:t>
            </w:r>
          </w:p>
        </w:tc>
        <w:tc>
          <w:tcPr>
            <w:tcW w:w="680" w:type="pct"/>
            <w:noWrap/>
            <w:vAlign w:val="center"/>
            <w:hideMark/>
          </w:tcPr>
          <w:p w14:paraId="0FDBF69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048FEAA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w:t>
            </w:r>
          </w:p>
        </w:tc>
        <w:tc>
          <w:tcPr>
            <w:tcW w:w="379" w:type="pct"/>
            <w:noWrap/>
            <w:vAlign w:val="center"/>
            <w:hideMark/>
          </w:tcPr>
          <w:p w14:paraId="202AD74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16.7</w:t>
            </w:r>
          </w:p>
        </w:tc>
        <w:tc>
          <w:tcPr>
            <w:tcW w:w="340" w:type="pct"/>
            <w:noWrap/>
            <w:vAlign w:val="center"/>
            <w:hideMark/>
          </w:tcPr>
          <w:p w14:paraId="2692606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11.5</w:t>
            </w:r>
          </w:p>
        </w:tc>
        <w:tc>
          <w:tcPr>
            <w:tcW w:w="284" w:type="pct"/>
            <w:noWrap/>
            <w:vAlign w:val="center"/>
            <w:hideMark/>
          </w:tcPr>
          <w:p w14:paraId="5888B7B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4.4</w:t>
            </w:r>
          </w:p>
        </w:tc>
        <w:tc>
          <w:tcPr>
            <w:tcW w:w="332" w:type="pct"/>
            <w:noWrap/>
            <w:vAlign w:val="center"/>
            <w:hideMark/>
          </w:tcPr>
          <w:p w14:paraId="0FFDBE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52.2</w:t>
            </w:r>
          </w:p>
        </w:tc>
        <w:tc>
          <w:tcPr>
            <w:tcW w:w="333" w:type="pct"/>
            <w:noWrap/>
            <w:vAlign w:val="center"/>
            <w:hideMark/>
          </w:tcPr>
          <w:p w14:paraId="1485035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32.8</w:t>
            </w:r>
          </w:p>
        </w:tc>
      </w:tr>
      <w:tr w:rsidR="00D56D09" w:rsidRPr="00B066C6" w14:paraId="4D1DD155" w14:textId="77777777" w:rsidTr="00B62991">
        <w:trPr>
          <w:trHeight w:val="320"/>
        </w:trPr>
        <w:tc>
          <w:tcPr>
            <w:tcW w:w="605" w:type="pct"/>
            <w:noWrap/>
            <w:vAlign w:val="center"/>
            <w:hideMark/>
          </w:tcPr>
          <w:p w14:paraId="574DFF8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WBWO</w:t>
            </w:r>
          </w:p>
        </w:tc>
        <w:tc>
          <w:tcPr>
            <w:tcW w:w="910" w:type="pct"/>
            <w:noWrap/>
            <w:vAlign w:val="center"/>
            <w:hideMark/>
          </w:tcPr>
          <w:p w14:paraId="6651ABD9"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Glyphorynchus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spirurus</w:t>
            </w:r>
            <w:proofErr w:type="spellEnd"/>
          </w:p>
        </w:tc>
        <w:tc>
          <w:tcPr>
            <w:tcW w:w="834" w:type="pct"/>
            <w:noWrap/>
            <w:vAlign w:val="center"/>
            <w:hideMark/>
          </w:tcPr>
          <w:p w14:paraId="663A85B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6E27935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7F4B773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79" w:type="pct"/>
            <w:noWrap/>
            <w:vAlign w:val="center"/>
            <w:hideMark/>
          </w:tcPr>
          <w:p w14:paraId="0D2995A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14.6</w:t>
            </w:r>
          </w:p>
        </w:tc>
        <w:tc>
          <w:tcPr>
            <w:tcW w:w="340" w:type="pct"/>
            <w:noWrap/>
            <w:vAlign w:val="center"/>
            <w:hideMark/>
          </w:tcPr>
          <w:p w14:paraId="0F5F20A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13.7</w:t>
            </w:r>
          </w:p>
        </w:tc>
        <w:tc>
          <w:tcPr>
            <w:tcW w:w="284" w:type="pct"/>
            <w:noWrap/>
            <w:vAlign w:val="center"/>
            <w:hideMark/>
          </w:tcPr>
          <w:p w14:paraId="4F75741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4.4</w:t>
            </w:r>
          </w:p>
        </w:tc>
        <w:tc>
          <w:tcPr>
            <w:tcW w:w="332" w:type="pct"/>
            <w:noWrap/>
            <w:vAlign w:val="center"/>
            <w:hideMark/>
          </w:tcPr>
          <w:p w14:paraId="67F3C87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68.7</w:t>
            </w:r>
          </w:p>
        </w:tc>
        <w:tc>
          <w:tcPr>
            <w:tcW w:w="333" w:type="pct"/>
            <w:noWrap/>
            <w:vAlign w:val="center"/>
            <w:hideMark/>
          </w:tcPr>
          <w:p w14:paraId="0E5E277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66</w:t>
            </w:r>
          </w:p>
        </w:tc>
      </w:tr>
      <w:tr w:rsidR="00D56D09" w:rsidRPr="00B066C6" w14:paraId="538E781D" w14:textId="77777777" w:rsidTr="00B62991">
        <w:trPr>
          <w:trHeight w:val="320"/>
        </w:trPr>
        <w:tc>
          <w:tcPr>
            <w:tcW w:w="605" w:type="pct"/>
            <w:noWrap/>
            <w:vAlign w:val="center"/>
            <w:hideMark/>
          </w:tcPr>
          <w:p w14:paraId="0BF48B7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WFLA</w:t>
            </w:r>
          </w:p>
        </w:tc>
        <w:tc>
          <w:tcPr>
            <w:tcW w:w="910" w:type="pct"/>
            <w:noWrap/>
            <w:vAlign w:val="center"/>
            <w:hideMark/>
          </w:tcPr>
          <w:p w14:paraId="3F960E32"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Myrmotherula</w:t>
            </w:r>
            <w:proofErr w:type="spellEnd"/>
            <w:r w:rsidRPr="00992B4B">
              <w:rPr>
                <w:rFonts w:ascii="Times New Roman" w:hAnsi="Times New Roman" w:cs="Times New Roman"/>
                <w:i/>
                <w:iCs/>
                <w:sz w:val="22"/>
                <w:szCs w:val="22"/>
              </w:rPr>
              <w:t xml:space="preserve"> axillaris</w:t>
            </w:r>
          </w:p>
        </w:tc>
        <w:tc>
          <w:tcPr>
            <w:tcW w:w="834" w:type="pct"/>
            <w:noWrap/>
            <w:vAlign w:val="center"/>
            <w:hideMark/>
          </w:tcPr>
          <w:p w14:paraId="7AAB6B1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1D37D31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01A9870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79" w:type="pct"/>
            <w:noWrap/>
            <w:vAlign w:val="center"/>
            <w:hideMark/>
          </w:tcPr>
          <w:p w14:paraId="5FACD1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8.1</w:t>
            </w:r>
          </w:p>
        </w:tc>
        <w:tc>
          <w:tcPr>
            <w:tcW w:w="340" w:type="pct"/>
            <w:noWrap/>
            <w:vAlign w:val="center"/>
            <w:hideMark/>
          </w:tcPr>
          <w:p w14:paraId="03F11F0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15</w:t>
            </w:r>
          </w:p>
        </w:tc>
        <w:tc>
          <w:tcPr>
            <w:tcW w:w="284" w:type="pct"/>
            <w:noWrap/>
            <w:vAlign w:val="center"/>
            <w:hideMark/>
          </w:tcPr>
          <w:p w14:paraId="543FB23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w:t>
            </w:r>
          </w:p>
        </w:tc>
        <w:tc>
          <w:tcPr>
            <w:tcW w:w="332" w:type="pct"/>
            <w:noWrap/>
            <w:vAlign w:val="center"/>
            <w:hideMark/>
          </w:tcPr>
          <w:p w14:paraId="2AA5F3E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50.9</w:t>
            </w:r>
          </w:p>
        </w:tc>
        <w:tc>
          <w:tcPr>
            <w:tcW w:w="333" w:type="pct"/>
            <w:noWrap/>
            <w:vAlign w:val="center"/>
            <w:hideMark/>
          </w:tcPr>
          <w:p w14:paraId="3B8AB6A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36.5</w:t>
            </w:r>
          </w:p>
        </w:tc>
      </w:tr>
      <w:tr w:rsidR="00D56D09" w:rsidRPr="00B066C6" w14:paraId="40174BF0" w14:textId="77777777" w:rsidTr="00B62991">
        <w:trPr>
          <w:trHeight w:val="320"/>
        </w:trPr>
        <w:tc>
          <w:tcPr>
            <w:tcW w:w="605" w:type="pct"/>
            <w:noWrap/>
            <w:vAlign w:val="center"/>
            <w:hideMark/>
          </w:tcPr>
          <w:p w14:paraId="1BA2E10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WSTA</w:t>
            </w:r>
          </w:p>
        </w:tc>
        <w:tc>
          <w:tcPr>
            <w:tcW w:w="910" w:type="pct"/>
            <w:noWrap/>
            <w:vAlign w:val="center"/>
            <w:hideMark/>
          </w:tcPr>
          <w:p w14:paraId="529EAF7D"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Tachyphonus</w:t>
            </w:r>
            <w:proofErr w:type="spellEnd"/>
            <w:r w:rsidRPr="00992B4B">
              <w:rPr>
                <w:rFonts w:ascii="Times New Roman" w:hAnsi="Times New Roman" w:cs="Times New Roman"/>
                <w:i/>
                <w:iCs/>
                <w:sz w:val="22"/>
                <w:szCs w:val="22"/>
              </w:rPr>
              <w:t xml:space="preserve"> rufus</w:t>
            </w:r>
          </w:p>
        </w:tc>
        <w:tc>
          <w:tcPr>
            <w:tcW w:w="834" w:type="pct"/>
            <w:noWrap/>
            <w:vAlign w:val="center"/>
            <w:hideMark/>
          </w:tcPr>
          <w:p w14:paraId="2CBF3D3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3F9CCCB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03" w:type="pct"/>
            <w:noWrap/>
            <w:vAlign w:val="center"/>
            <w:hideMark/>
          </w:tcPr>
          <w:p w14:paraId="7D66388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79" w:type="pct"/>
            <w:noWrap/>
            <w:vAlign w:val="center"/>
            <w:hideMark/>
          </w:tcPr>
          <w:p w14:paraId="5592BDA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34.4</w:t>
            </w:r>
          </w:p>
        </w:tc>
        <w:tc>
          <w:tcPr>
            <w:tcW w:w="340" w:type="pct"/>
            <w:noWrap/>
            <w:vAlign w:val="center"/>
            <w:hideMark/>
          </w:tcPr>
          <w:p w14:paraId="79817A4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18.7</w:t>
            </w:r>
          </w:p>
        </w:tc>
        <w:tc>
          <w:tcPr>
            <w:tcW w:w="284" w:type="pct"/>
            <w:noWrap/>
            <w:vAlign w:val="center"/>
            <w:hideMark/>
          </w:tcPr>
          <w:p w14:paraId="773C660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6.1</w:t>
            </w:r>
          </w:p>
        </w:tc>
        <w:tc>
          <w:tcPr>
            <w:tcW w:w="332" w:type="pct"/>
            <w:noWrap/>
            <w:vAlign w:val="center"/>
            <w:hideMark/>
          </w:tcPr>
          <w:p w14:paraId="632421B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83</w:t>
            </w:r>
          </w:p>
        </w:tc>
        <w:tc>
          <w:tcPr>
            <w:tcW w:w="333" w:type="pct"/>
            <w:noWrap/>
            <w:vAlign w:val="center"/>
            <w:hideMark/>
          </w:tcPr>
          <w:p w14:paraId="7C2F5D3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77.2</w:t>
            </w:r>
          </w:p>
        </w:tc>
      </w:tr>
      <w:tr w:rsidR="00D56D09" w:rsidRPr="00B066C6" w14:paraId="3CD5DE4A" w14:textId="77777777" w:rsidTr="00B62991">
        <w:trPr>
          <w:trHeight w:val="320"/>
        </w:trPr>
        <w:tc>
          <w:tcPr>
            <w:tcW w:w="605" w:type="pct"/>
            <w:noWrap/>
            <w:vAlign w:val="center"/>
            <w:hideMark/>
          </w:tcPr>
          <w:p w14:paraId="58C90AE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WTGS</w:t>
            </w:r>
          </w:p>
        </w:tc>
        <w:tc>
          <w:tcPr>
            <w:tcW w:w="910" w:type="pct"/>
            <w:noWrap/>
            <w:vAlign w:val="center"/>
            <w:hideMark/>
          </w:tcPr>
          <w:p w14:paraId="33B53703"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Atticora</w:t>
            </w:r>
            <w:proofErr w:type="spellEnd"/>
            <w:r w:rsidRPr="00992B4B">
              <w:rPr>
                <w:rFonts w:ascii="Times New Roman" w:hAnsi="Times New Roman" w:cs="Times New Roman"/>
                <w:i/>
                <w:iCs/>
                <w:sz w:val="22"/>
                <w:szCs w:val="22"/>
              </w:rPr>
              <w:t xml:space="preserve"> tibialis</w:t>
            </w:r>
          </w:p>
        </w:tc>
        <w:tc>
          <w:tcPr>
            <w:tcW w:w="834" w:type="pct"/>
            <w:noWrap/>
            <w:vAlign w:val="center"/>
            <w:hideMark/>
          </w:tcPr>
          <w:p w14:paraId="4A0C2CC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501FB5F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6B94005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79" w:type="pct"/>
            <w:noWrap/>
            <w:vAlign w:val="center"/>
            <w:hideMark/>
          </w:tcPr>
          <w:p w14:paraId="27DD29D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10.6</w:t>
            </w:r>
          </w:p>
        </w:tc>
        <w:tc>
          <w:tcPr>
            <w:tcW w:w="340" w:type="pct"/>
            <w:noWrap/>
            <w:vAlign w:val="center"/>
            <w:hideMark/>
          </w:tcPr>
          <w:p w14:paraId="6A9B3E6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7.4</w:t>
            </w:r>
          </w:p>
        </w:tc>
        <w:tc>
          <w:tcPr>
            <w:tcW w:w="284" w:type="pct"/>
            <w:noWrap/>
            <w:vAlign w:val="center"/>
            <w:hideMark/>
          </w:tcPr>
          <w:p w14:paraId="60B6B83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3.4</w:t>
            </w:r>
          </w:p>
        </w:tc>
        <w:tc>
          <w:tcPr>
            <w:tcW w:w="332" w:type="pct"/>
            <w:noWrap/>
            <w:vAlign w:val="center"/>
            <w:hideMark/>
          </w:tcPr>
          <w:p w14:paraId="5CC5B69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88.2</w:t>
            </w:r>
          </w:p>
        </w:tc>
        <w:tc>
          <w:tcPr>
            <w:tcW w:w="333" w:type="pct"/>
            <w:noWrap/>
            <w:vAlign w:val="center"/>
            <w:hideMark/>
          </w:tcPr>
          <w:p w14:paraId="27F9FFC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53</w:t>
            </w:r>
          </w:p>
        </w:tc>
      </w:tr>
      <w:tr w:rsidR="00D56D09" w:rsidRPr="00B066C6" w14:paraId="0ABC4766" w14:textId="77777777" w:rsidTr="00B62991">
        <w:trPr>
          <w:trHeight w:val="320"/>
        </w:trPr>
        <w:tc>
          <w:tcPr>
            <w:tcW w:w="605" w:type="pct"/>
            <w:noWrap/>
            <w:vAlign w:val="center"/>
            <w:hideMark/>
          </w:tcPr>
          <w:p w14:paraId="73BD9FC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WTRS</w:t>
            </w:r>
          </w:p>
        </w:tc>
        <w:tc>
          <w:tcPr>
            <w:tcW w:w="910" w:type="pct"/>
            <w:noWrap/>
            <w:vAlign w:val="center"/>
            <w:hideMark/>
          </w:tcPr>
          <w:p w14:paraId="4CA7D93B"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Platyrinchus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mystaceus</w:t>
            </w:r>
            <w:proofErr w:type="spellEnd"/>
          </w:p>
        </w:tc>
        <w:tc>
          <w:tcPr>
            <w:tcW w:w="834" w:type="pct"/>
            <w:noWrap/>
            <w:vAlign w:val="center"/>
            <w:hideMark/>
          </w:tcPr>
          <w:p w14:paraId="5E4585F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2C317D9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01AD004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w:t>
            </w:r>
          </w:p>
        </w:tc>
        <w:tc>
          <w:tcPr>
            <w:tcW w:w="379" w:type="pct"/>
            <w:noWrap/>
            <w:vAlign w:val="center"/>
            <w:hideMark/>
          </w:tcPr>
          <w:p w14:paraId="64F04A2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9.7</w:t>
            </w:r>
          </w:p>
        </w:tc>
        <w:tc>
          <w:tcPr>
            <w:tcW w:w="340" w:type="pct"/>
            <w:noWrap/>
            <w:vAlign w:val="center"/>
            <w:hideMark/>
          </w:tcPr>
          <w:p w14:paraId="7159BA5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13.1</w:t>
            </w:r>
          </w:p>
        </w:tc>
        <w:tc>
          <w:tcPr>
            <w:tcW w:w="284" w:type="pct"/>
            <w:noWrap/>
            <w:vAlign w:val="center"/>
            <w:hideMark/>
          </w:tcPr>
          <w:p w14:paraId="1A4FB73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7.3</w:t>
            </w:r>
          </w:p>
        </w:tc>
        <w:tc>
          <w:tcPr>
            <w:tcW w:w="332" w:type="pct"/>
            <w:noWrap/>
            <w:vAlign w:val="center"/>
            <w:hideMark/>
          </w:tcPr>
          <w:p w14:paraId="7F337CD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55</w:t>
            </w:r>
          </w:p>
        </w:tc>
        <w:tc>
          <w:tcPr>
            <w:tcW w:w="333" w:type="pct"/>
            <w:noWrap/>
            <w:vAlign w:val="center"/>
            <w:hideMark/>
          </w:tcPr>
          <w:p w14:paraId="7548F3C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29.9</w:t>
            </w:r>
          </w:p>
        </w:tc>
      </w:tr>
      <w:tr w:rsidR="00D56D09" w:rsidRPr="00B066C6" w14:paraId="1A35E277" w14:textId="77777777" w:rsidTr="00B62991">
        <w:trPr>
          <w:trHeight w:val="320"/>
        </w:trPr>
        <w:tc>
          <w:tcPr>
            <w:tcW w:w="605" w:type="pct"/>
            <w:noWrap/>
            <w:vAlign w:val="center"/>
            <w:hideMark/>
          </w:tcPr>
          <w:p w14:paraId="740BD98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WTSI</w:t>
            </w:r>
          </w:p>
        </w:tc>
        <w:tc>
          <w:tcPr>
            <w:tcW w:w="910" w:type="pct"/>
            <w:noWrap/>
            <w:vAlign w:val="center"/>
            <w:hideMark/>
          </w:tcPr>
          <w:p w14:paraId="05A45F0B"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Eutoxeres</w:t>
            </w:r>
            <w:proofErr w:type="spellEnd"/>
            <w:r w:rsidRPr="00992B4B">
              <w:rPr>
                <w:rFonts w:ascii="Times New Roman" w:hAnsi="Times New Roman" w:cs="Times New Roman"/>
                <w:i/>
                <w:iCs/>
                <w:sz w:val="22"/>
                <w:szCs w:val="22"/>
              </w:rPr>
              <w:t xml:space="preserve"> aquila</w:t>
            </w:r>
          </w:p>
        </w:tc>
        <w:tc>
          <w:tcPr>
            <w:tcW w:w="834" w:type="pct"/>
            <w:noWrap/>
            <w:vAlign w:val="center"/>
            <w:hideMark/>
          </w:tcPr>
          <w:p w14:paraId="0DDEE46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80" w:type="pct"/>
            <w:noWrap/>
            <w:vAlign w:val="center"/>
            <w:hideMark/>
          </w:tcPr>
          <w:p w14:paraId="3AED91E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4703D54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w:t>
            </w:r>
          </w:p>
        </w:tc>
        <w:tc>
          <w:tcPr>
            <w:tcW w:w="379" w:type="pct"/>
            <w:noWrap/>
            <w:vAlign w:val="center"/>
            <w:hideMark/>
          </w:tcPr>
          <w:p w14:paraId="791A477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10.6</w:t>
            </w:r>
          </w:p>
        </w:tc>
        <w:tc>
          <w:tcPr>
            <w:tcW w:w="340" w:type="pct"/>
            <w:noWrap/>
            <w:vAlign w:val="center"/>
            <w:hideMark/>
          </w:tcPr>
          <w:p w14:paraId="0034299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27.5</w:t>
            </w:r>
          </w:p>
        </w:tc>
        <w:tc>
          <w:tcPr>
            <w:tcW w:w="284" w:type="pct"/>
            <w:noWrap/>
            <w:vAlign w:val="center"/>
            <w:hideMark/>
          </w:tcPr>
          <w:p w14:paraId="6C2CA12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3.6</w:t>
            </w:r>
          </w:p>
        </w:tc>
        <w:tc>
          <w:tcPr>
            <w:tcW w:w="332" w:type="pct"/>
            <w:noWrap/>
            <w:vAlign w:val="center"/>
            <w:hideMark/>
          </w:tcPr>
          <w:p w14:paraId="0730504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70.5</w:t>
            </w:r>
          </w:p>
        </w:tc>
        <w:tc>
          <w:tcPr>
            <w:tcW w:w="333" w:type="pct"/>
            <w:noWrap/>
            <w:vAlign w:val="center"/>
            <w:hideMark/>
          </w:tcPr>
          <w:p w14:paraId="6385AC7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54</w:t>
            </w:r>
          </w:p>
        </w:tc>
      </w:tr>
      <w:tr w:rsidR="00D56D09" w:rsidRPr="00B066C6" w14:paraId="03616EAA" w14:textId="77777777" w:rsidTr="00B62991">
        <w:trPr>
          <w:trHeight w:val="320"/>
        </w:trPr>
        <w:tc>
          <w:tcPr>
            <w:tcW w:w="605" w:type="pct"/>
            <w:noWrap/>
            <w:vAlign w:val="center"/>
            <w:hideMark/>
          </w:tcPr>
          <w:p w14:paraId="203DC08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WWHE</w:t>
            </w:r>
          </w:p>
        </w:tc>
        <w:tc>
          <w:tcPr>
            <w:tcW w:w="910" w:type="pct"/>
            <w:noWrap/>
            <w:vAlign w:val="center"/>
            <w:hideMark/>
          </w:tcPr>
          <w:p w14:paraId="7C0FD7F3"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Phaethornis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yaruqui</w:t>
            </w:r>
            <w:proofErr w:type="spellEnd"/>
          </w:p>
        </w:tc>
        <w:tc>
          <w:tcPr>
            <w:tcW w:w="834" w:type="pct"/>
            <w:noWrap/>
            <w:vAlign w:val="center"/>
            <w:hideMark/>
          </w:tcPr>
          <w:p w14:paraId="06DC8E7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Nectarivore</w:t>
            </w:r>
          </w:p>
        </w:tc>
        <w:tc>
          <w:tcPr>
            <w:tcW w:w="680" w:type="pct"/>
            <w:noWrap/>
            <w:vAlign w:val="center"/>
            <w:hideMark/>
          </w:tcPr>
          <w:p w14:paraId="565281E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364EAC3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98</w:t>
            </w:r>
          </w:p>
        </w:tc>
        <w:tc>
          <w:tcPr>
            <w:tcW w:w="379" w:type="pct"/>
            <w:noWrap/>
            <w:vAlign w:val="center"/>
            <w:hideMark/>
          </w:tcPr>
          <w:p w14:paraId="0330F13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5.4</w:t>
            </w:r>
          </w:p>
        </w:tc>
        <w:tc>
          <w:tcPr>
            <w:tcW w:w="340" w:type="pct"/>
            <w:noWrap/>
            <w:vAlign w:val="center"/>
            <w:hideMark/>
          </w:tcPr>
          <w:p w14:paraId="07A3099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45.6</w:t>
            </w:r>
          </w:p>
        </w:tc>
        <w:tc>
          <w:tcPr>
            <w:tcW w:w="284" w:type="pct"/>
            <w:noWrap/>
            <w:vAlign w:val="center"/>
            <w:hideMark/>
          </w:tcPr>
          <w:p w14:paraId="14B4100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2.6</w:t>
            </w:r>
          </w:p>
        </w:tc>
        <w:tc>
          <w:tcPr>
            <w:tcW w:w="332" w:type="pct"/>
            <w:noWrap/>
            <w:vAlign w:val="center"/>
            <w:hideMark/>
          </w:tcPr>
          <w:p w14:paraId="5AD76DB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59.5</w:t>
            </w:r>
          </w:p>
        </w:tc>
        <w:tc>
          <w:tcPr>
            <w:tcW w:w="333" w:type="pct"/>
            <w:noWrap/>
            <w:vAlign w:val="center"/>
            <w:hideMark/>
          </w:tcPr>
          <w:p w14:paraId="159800B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53.8</w:t>
            </w:r>
          </w:p>
        </w:tc>
      </w:tr>
      <w:tr w:rsidR="00D56D09" w:rsidRPr="00B066C6" w14:paraId="6147FCFF" w14:textId="77777777" w:rsidTr="00B62991">
        <w:trPr>
          <w:trHeight w:val="320"/>
        </w:trPr>
        <w:tc>
          <w:tcPr>
            <w:tcW w:w="605" w:type="pct"/>
            <w:noWrap/>
            <w:vAlign w:val="center"/>
            <w:hideMark/>
          </w:tcPr>
          <w:p w14:paraId="4BDF29F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WWPU</w:t>
            </w:r>
          </w:p>
        </w:tc>
        <w:tc>
          <w:tcPr>
            <w:tcW w:w="910" w:type="pct"/>
            <w:noWrap/>
            <w:vAlign w:val="center"/>
            <w:hideMark/>
          </w:tcPr>
          <w:p w14:paraId="4B5A3AD4"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Malacoptila</w:t>
            </w:r>
            <w:proofErr w:type="spellEnd"/>
            <w:r w:rsidRPr="00992B4B">
              <w:rPr>
                <w:rFonts w:ascii="Times New Roman" w:hAnsi="Times New Roman" w:cs="Times New Roman"/>
                <w:i/>
                <w:iCs/>
                <w:sz w:val="22"/>
                <w:szCs w:val="22"/>
              </w:rPr>
              <w:t xml:space="preserve"> panamensis</w:t>
            </w:r>
          </w:p>
        </w:tc>
        <w:tc>
          <w:tcPr>
            <w:tcW w:w="834" w:type="pct"/>
            <w:noWrap/>
            <w:vAlign w:val="center"/>
            <w:hideMark/>
          </w:tcPr>
          <w:p w14:paraId="5F8FBD2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2857FE0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52B8EDE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w:t>
            </w:r>
          </w:p>
        </w:tc>
        <w:tc>
          <w:tcPr>
            <w:tcW w:w="379" w:type="pct"/>
            <w:noWrap/>
            <w:vAlign w:val="center"/>
            <w:hideMark/>
          </w:tcPr>
          <w:p w14:paraId="1B8B292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42.6</w:t>
            </w:r>
          </w:p>
        </w:tc>
        <w:tc>
          <w:tcPr>
            <w:tcW w:w="340" w:type="pct"/>
            <w:noWrap/>
            <w:vAlign w:val="center"/>
            <w:hideMark/>
          </w:tcPr>
          <w:p w14:paraId="44B5C70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29.3</w:t>
            </w:r>
          </w:p>
        </w:tc>
        <w:tc>
          <w:tcPr>
            <w:tcW w:w="284" w:type="pct"/>
            <w:noWrap/>
            <w:vAlign w:val="center"/>
            <w:hideMark/>
          </w:tcPr>
          <w:p w14:paraId="0CA0606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9.5</w:t>
            </w:r>
          </w:p>
        </w:tc>
        <w:tc>
          <w:tcPr>
            <w:tcW w:w="332" w:type="pct"/>
            <w:noWrap/>
            <w:vAlign w:val="center"/>
            <w:hideMark/>
          </w:tcPr>
          <w:p w14:paraId="7F9F56F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87.4</w:t>
            </w:r>
          </w:p>
        </w:tc>
        <w:tc>
          <w:tcPr>
            <w:tcW w:w="333" w:type="pct"/>
            <w:noWrap/>
            <w:vAlign w:val="center"/>
            <w:hideMark/>
          </w:tcPr>
          <w:p w14:paraId="1ED80BC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71.8</w:t>
            </w:r>
          </w:p>
        </w:tc>
      </w:tr>
      <w:tr w:rsidR="00D56D09" w:rsidRPr="00B066C6" w14:paraId="6DD6974D" w14:textId="77777777" w:rsidTr="00B62991">
        <w:trPr>
          <w:trHeight w:val="320"/>
        </w:trPr>
        <w:tc>
          <w:tcPr>
            <w:tcW w:w="605" w:type="pct"/>
            <w:noWrap/>
            <w:vAlign w:val="center"/>
            <w:hideMark/>
          </w:tcPr>
          <w:p w14:paraId="21C1B59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YBEL</w:t>
            </w:r>
          </w:p>
        </w:tc>
        <w:tc>
          <w:tcPr>
            <w:tcW w:w="910" w:type="pct"/>
            <w:noWrap/>
            <w:vAlign w:val="center"/>
            <w:hideMark/>
          </w:tcPr>
          <w:p w14:paraId="1F5FBAAC"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Elaenia</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flavogaster</w:t>
            </w:r>
            <w:proofErr w:type="spellEnd"/>
          </w:p>
        </w:tc>
        <w:tc>
          <w:tcPr>
            <w:tcW w:w="834" w:type="pct"/>
            <w:noWrap/>
            <w:vAlign w:val="center"/>
            <w:hideMark/>
          </w:tcPr>
          <w:p w14:paraId="36890C0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429F8DE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Woodland</w:t>
            </w:r>
          </w:p>
        </w:tc>
        <w:tc>
          <w:tcPr>
            <w:tcW w:w="303" w:type="pct"/>
            <w:noWrap/>
            <w:vAlign w:val="center"/>
            <w:hideMark/>
          </w:tcPr>
          <w:p w14:paraId="7E13F8E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79" w:type="pct"/>
            <w:noWrap/>
            <w:vAlign w:val="center"/>
            <w:hideMark/>
          </w:tcPr>
          <w:p w14:paraId="5F40F79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24.8</w:t>
            </w:r>
          </w:p>
        </w:tc>
        <w:tc>
          <w:tcPr>
            <w:tcW w:w="340" w:type="pct"/>
            <w:noWrap/>
            <w:vAlign w:val="center"/>
            <w:hideMark/>
          </w:tcPr>
          <w:p w14:paraId="5A67E3FA"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12.7</w:t>
            </w:r>
          </w:p>
        </w:tc>
        <w:tc>
          <w:tcPr>
            <w:tcW w:w="284" w:type="pct"/>
            <w:noWrap/>
            <w:vAlign w:val="center"/>
            <w:hideMark/>
          </w:tcPr>
          <w:p w14:paraId="5EA1D28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32" w:type="pct"/>
            <w:noWrap/>
            <w:vAlign w:val="center"/>
            <w:hideMark/>
          </w:tcPr>
          <w:p w14:paraId="01163D51"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77.4</w:t>
            </w:r>
          </w:p>
        </w:tc>
        <w:tc>
          <w:tcPr>
            <w:tcW w:w="333" w:type="pct"/>
            <w:noWrap/>
            <w:vAlign w:val="center"/>
            <w:hideMark/>
          </w:tcPr>
          <w:p w14:paraId="4D3B0FB6"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70.6</w:t>
            </w:r>
          </w:p>
        </w:tc>
      </w:tr>
      <w:tr w:rsidR="00D56D09" w:rsidRPr="00B066C6" w14:paraId="6A8858D4" w14:textId="77777777" w:rsidTr="00B62991">
        <w:trPr>
          <w:trHeight w:val="320"/>
        </w:trPr>
        <w:tc>
          <w:tcPr>
            <w:tcW w:w="605" w:type="pct"/>
            <w:noWrap/>
            <w:vAlign w:val="center"/>
            <w:hideMark/>
          </w:tcPr>
          <w:p w14:paraId="5C7756A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YBSE</w:t>
            </w:r>
          </w:p>
        </w:tc>
        <w:tc>
          <w:tcPr>
            <w:tcW w:w="910" w:type="pct"/>
            <w:noWrap/>
            <w:vAlign w:val="center"/>
            <w:hideMark/>
          </w:tcPr>
          <w:p w14:paraId="69439A2E"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Sporophila</w:t>
            </w:r>
            <w:proofErr w:type="spellEnd"/>
            <w:r w:rsidRPr="00992B4B">
              <w:rPr>
                <w:rFonts w:ascii="Times New Roman" w:hAnsi="Times New Roman" w:cs="Times New Roman"/>
                <w:i/>
                <w:iCs/>
                <w:sz w:val="22"/>
                <w:szCs w:val="22"/>
              </w:rPr>
              <w:t xml:space="preserve"> nigricollis</w:t>
            </w:r>
          </w:p>
        </w:tc>
        <w:tc>
          <w:tcPr>
            <w:tcW w:w="834" w:type="pct"/>
            <w:noWrap/>
            <w:vAlign w:val="center"/>
            <w:hideMark/>
          </w:tcPr>
          <w:p w14:paraId="617ED74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Granivore</w:t>
            </w:r>
          </w:p>
        </w:tc>
        <w:tc>
          <w:tcPr>
            <w:tcW w:w="680" w:type="pct"/>
            <w:noWrap/>
            <w:vAlign w:val="center"/>
            <w:hideMark/>
          </w:tcPr>
          <w:p w14:paraId="5A16000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03" w:type="pct"/>
            <w:noWrap/>
            <w:vAlign w:val="center"/>
            <w:hideMark/>
          </w:tcPr>
          <w:p w14:paraId="190C1E0E"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35</w:t>
            </w:r>
          </w:p>
        </w:tc>
        <w:tc>
          <w:tcPr>
            <w:tcW w:w="379" w:type="pct"/>
            <w:noWrap/>
            <w:vAlign w:val="center"/>
            <w:hideMark/>
          </w:tcPr>
          <w:p w14:paraId="00E9CF3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9.6</w:t>
            </w:r>
          </w:p>
        </w:tc>
        <w:tc>
          <w:tcPr>
            <w:tcW w:w="340" w:type="pct"/>
            <w:noWrap/>
            <w:vAlign w:val="center"/>
            <w:hideMark/>
          </w:tcPr>
          <w:p w14:paraId="24BE1E9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9.1</w:t>
            </w:r>
          </w:p>
        </w:tc>
        <w:tc>
          <w:tcPr>
            <w:tcW w:w="284" w:type="pct"/>
            <w:noWrap/>
            <w:vAlign w:val="center"/>
            <w:hideMark/>
          </w:tcPr>
          <w:p w14:paraId="2CA8122C"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w:t>
            </w:r>
          </w:p>
        </w:tc>
        <w:tc>
          <w:tcPr>
            <w:tcW w:w="332" w:type="pct"/>
            <w:noWrap/>
            <w:vAlign w:val="center"/>
            <w:hideMark/>
          </w:tcPr>
          <w:p w14:paraId="46CDF15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52.4</w:t>
            </w:r>
          </w:p>
        </w:tc>
        <w:tc>
          <w:tcPr>
            <w:tcW w:w="333" w:type="pct"/>
            <w:noWrap/>
            <w:vAlign w:val="center"/>
            <w:hideMark/>
          </w:tcPr>
          <w:p w14:paraId="65B1A15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43</w:t>
            </w:r>
          </w:p>
        </w:tc>
      </w:tr>
      <w:tr w:rsidR="00D56D09" w:rsidRPr="00B066C6" w14:paraId="7F94B870" w14:textId="77777777" w:rsidTr="00B62991">
        <w:trPr>
          <w:trHeight w:val="320"/>
        </w:trPr>
        <w:tc>
          <w:tcPr>
            <w:tcW w:w="605" w:type="pct"/>
            <w:noWrap/>
            <w:vAlign w:val="center"/>
            <w:hideMark/>
          </w:tcPr>
          <w:p w14:paraId="0BC4BA6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YBSI</w:t>
            </w:r>
          </w:p>
        </w:tc>
        <w:tc>
          <w:tcPr>
            <w:tcW w:w="910" w:type="pct"/>
            <w:noWrap/>
            <w:vAlign w:val="center"/>
            <w:hideMark/>
          </w:tcPr>
          <w:p w14:paraId="152EA3EF" w14:textId="77777777" w:rsidR="00D56D09" w:rsidRPr="00992B4B" w:rsidRDefault="00D56D09" w:rsidP="00BA36F1">
            <w:pPr>
              <w:spacing w:before="0"/>
              <w:jc w:val="center"/>
              <w:rPr>
                <w:rFonts w:ascii="Times New Roman" w:hAnsi="Times New Roman" w:cs="Times New Roman"/>
                <w:i/>
                <w:iCs/>
                <w:sz w:val="22"/>
                <w:szCs w:val="22"/>
              </w:rPr>
            </w:pPr>
            <w:r w:rsidRPr="00992B4B">
              <w:rPr>
                <w:rFonts w:ascii="Times New Roman" w:hAnsi="Times New Roman" w:cs="Times New Roman"/>
                <w:i/>
                <w:iCs/>
                <w:sz w:val="22"/>
                <w:szCs w:val="22"/>
              </w:rPr>
              <w:t xml:space="preserve">Spinus </w:t>
            </w:r>
            <w:proofErr w:type="spellStart"/>
            <w:r w:rsidRPr="00992B4B">
              <w:rPr>
                <w:rFonts w:ascii="Times New Roman" w:hAnsi="Times New Roman" w:cs="Times New Roman"/>
                <w:i/>
                <w:iCs/>
                <w:sz w:val="22"/>
                <w:szCs w:val="22"/>
              </w:rPr>
              <w:t>xanthogastrus</w:t>
            </w:r>
            <w:proofErr w:type="spellEnd"/>
          </w:p>
        </w:tc>
        <w:tc>
          <w:tcPr>
            <w:tcW w:w="834" w:type="pct"/>
            <w:noWrap/>
            <w:vAlign w:val="center"/>
            <w:hideMark/>
          </w:tcPr>
          <w:p w14:paraId="3953BE0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Granivore</w:t>
            </w:r>
          </w:p>
        </w:tc>
        <w:tc>
          <w:tcPr>
            <w:tcW w:w="680" w:type="pct"/>
            <w:noWrap/>
            <w:vAlign w:val="center"/>
            <w:hideMark/>
          </w:tcPr>
          <w:p w14:paraId="5CACC5FD"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6B34596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2</w:t>
            </w:r>
          </w:p>
        </w:tc>
        <w:tc>
          <w:tcPr>
            <w:tcW w:w="379" w:type="pct"/>
            <w:noWrap/>
            <w:vAlign w:val="center"/>
            <w:hideMark/>
          </w:tcPr>
          <w:p w14:paraId="5256536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12.7</w:t>
            </w:r>
          </w:p>
        </w:tc>
        <w:tc>
          <w:tcPr>
            <w:tcW w:w="340" w:type="pct"/>
            <w:noWrap/>
            <w:vAlign w:val="center"/>
            <w:hideMark/>
          </w:tcPr>
          <w:p w14:paraId="54CA7CD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10.5</w:t>
            </w:r>
          </w:p>
        </w:tc>
        <w:tc>
          <w:tcPr>
            <w:tcW w:w="284" w:type="pct"/>
            <w:noWrap/>
            <w:vAlign w:val="center"/>
            <w:hideMark/>
          </w:tcPr>
          <w:p w14:paraId="77244FE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4.3</w:t>
            </w:r>
          </w:p>
        </w:tc>
        <w:tc>
          <w:tcPr>
            <w:tcW w:w="332" w:type="pct"/>
            <w:noWrap/>
            <w:vAlign w:val="center"/>
            <w:hideMark/>
          </w:tcPr>
          <w:p w14:paraId="471AE85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65.2</w:t>
            </w:r>
          </w:p>
        </w:tc>
        <w:tc>
          <w:tcPr>
            <w:tcW w:w="333" w:type="pct"/>
            <w:noWrap/>
            <w:vAlign w:val="center"/>
            <w:hideMark/>
          </w:tcPr>
          <w:p w14:paraId="6E4F9F07"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40.5</w:t>
            </w:r>
          </w:p>
        </w:tc>
      </w:tr>
      <w:tr w:rsidR="00D56D09" w:rsidRPr="00B066C6" w14:paraId="0DEA59C4" w14:textId="77777777" w:rsidTr="00B62991">
        <w:trPr>
          <w:trHeight w:val="320"/>
        </w:trPr>
        <w:tc>
          <w:tcPr>
            <w:tcW w:w="605" w:type="pct"/>
            <w:noWrap/>
            <w:vAlign w:val="center"/>
            <w:hideMark/>
          </w:tcPr>
          <w:p w14:paraId="0774AC4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YCTY</w:t>
            </w:r>
          </w:p>
        </w:tc>
        <w:tc>
          <w:tcPr>
            <w:tcW w:w="910" w:type="pct"/>
            <w:noWrap/>
            <w:vAlign w:val="center"/>
            <w:hideMark/>
          </w:tcPr>
          <w:p w14:paraId="220208EB"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Tyrannulus</w:t>
            </w:r>
            <w:proofErr w:type="spellEnd"/>
            <w:r w:rsidRPr="00992B4B">
              <w:rPr>
                <w:rFonts w:ascii="Times New Roman" w:hAnsi="Times New Roman" w:cs="Times New Roman"/>
                <w:i/>
                <w:iCs/>
                <w:sz w:val="22"/>
                <w:szCs w:val="22"/>
              </w:rPr>
              <w:t xml:space="preserve"> elatus</w:t>
            </w:r>
          </w:p>
        </w:tc>
        <w:tc>
          <w:tcPr>
            <w:tcW w:w="834" w:type="pct"/>
            <w:noWrap/>
            <w:vAlign w:val="center"/>
            <w:hideMark/>
          </w:tcPr>
          <w:p w14:paraId="431CF32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48A888C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Shrubland</w:t>
            </w:r>
          </w:p>
        </w:tc>
        <w:tc>
          <w:tcPr>
            <w:tcW w:w="303" w:type="pct"/>
            <w:noWrap/>
            <w:vAlign w:val="center"/>
            <w:hideMark/>
          </w:tcPr>
          <w:p w14:paraId="0493952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w:t>
            </w:r>
          </w:p>
        </w:tc>
        <w:tc>
          <w:tcPr>
            <w:tcW w:w="379" w:type="pct"/>
            <w:noWrap/>
            <w:vAlign w:val="center"/>
            <w:hideMark/>
          </w:tcPr>
          <w:p w14:paraId="2CCCE93B"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7</w:t>
            </w:r>
          </w:p>
        </w:tc>
        <w:tc>
          <w:tcPr>
            <w:tcW w:w="340" w:type="pct"/>
            <w:noWrap/>
            <w:vAlign w:val="center"/>
            <w:hideMark/>
          </w:tcPr>
          <w:p w14:paraId="4C1C58E5"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8.3</w:t>
            </w:r>
          </w:p>
        </w:tc>
        <w:tc>
          <w:tcPr>
            <w:tcW w:w="284" w:type="pct"/>
            <w:noWrap/>
            <w:vAlign w:val="center"/>
            <w:hideMark/>
          </w:tcPr>
          <w:p w14:paraId="768B289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3.2</w:t>
            </w:r>
          </w:p>
        </w:tc>
        <w:tc>
          <w:tcPr>
            <w:tcW w:w="332" w:type="pct"/>
            <w:noWrap/>
            <w:vAlign w:val="center"/>
            <w:hideMark/>
          </w:tcPr>
          <w:p w14:paraId="53A07202"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48.2</w:t>
            </w:r>
          </w:p>
        </w:tc>
        <w:tc>
          <w:tcPr>
            <w:tcW w:w="333" w:type="pct"/>
            <w:noWrap/>
            <w:vAlign w:val="center"/>
            <w:hideMark/>
          </w:tcPr>
          <w:p w14:paraId="4D42921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40.7</w:t>
            </w:r>
          </w:p>
        </w:tc>
      </w:tr>
      <w:tr w:rsidR="00D56D09" w:rsidRPr="00B066C6" w14:paraId="7249BEFB" w14:textId="77777777" w:rsidTr="00B62991">
        <w:trPr>
          <w:trHeight w:val="320"/>
        </w:trPr>
        <w:tc>
          <w:tcPr>
            <w:tcW w:w="605" w:type="pct"/>
            <w:noWrap/>
            <w:vAlign w:val="center"/>
            <w:hideMark/>
          </w:tcPr>
          <w:p w14:paraId="72826188"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YOFL</w:t>
            </w:r>
          </w:p>
        </w:tc>
        <w:tc>
          <w:tcPr>
            <w:tcW w:w="910" w:type="pct"/>
            <w:noWrap/>
            <w:vAlign w:val="center"/>
            <w:hideMark/>
          </w:tcPr>
          <w:p w14:paraId="0EE49A7E" w14:textId="77777777" w:rsidR="00D56D09" w:rsidRPr="00992B4B" w:rsidRDefault="00D56D09" w:rsidP="00BA36F1">
            <w:pPr>
              <w:spacing w:before="0"/>
              <w:jc w:val="center"/>
              <w:rPr>
                <w:rFonts w:ascii="Times New Roman" w:hAnsi="Times New Roman" w:cs="Times New Roman"/>
                <w:i/>
                <w:iCs/>
                <w:sz w:val="22"/>
                <w:szCs w:val="22"/>
              </w:rPr>
            </w:pPr>
            <w:proofErr w:type="spellStart"/>
            <w:r w:rsidRPr="00992B4B">
              <w:rPr>
                <w:rFonts w:ascii="Times New Roman" w:hAnsi="Times New Roman" w:cs="Times New Roman"/>
                <w:i/>
                <w:iCs/>
                <w:sz w:val="22"/>
                <w:szCs w:val="22"/>
              </w:rPr>
              <w:t>Tolmomyias</w:t>
            </w:r>
            <w:proofErr w:type="spellEnd"/>
            <w:r w:rsidRPr="00992B4B">
              <w:rPr>
                <w:rFonts w:ascii="Times New Roman" w:hAnsi="Times New Roman" w:cs="Times New Roman"/>
                <w:i/>
                <w:iCs/>
                <w:sz w:val="22"/>
                <w:szCs w:val="22"/>
              </w:rPr>
              <w:t xml:space="preserve"> </w:t>
            </w:r>
            <w:proofErr w:type="spellStart"/>
            <w:r w:rsidRPr="00992B4B">
              <w:rPr>
                <w:rFonts w:ascii="Times New Roman" w:hAnsi="Times New Roman" w:cs="Times New Roman"/>
                <w:i/>
                <w:iCs/>
                <w:sz w:val="22"/>
                <w:szCs w:val="22"/>
              </w:rPr>
              <w:t>sulphurescens</w:t>
            </w:r>
            <w:proofErr w:type="spellEnd"/>
          </w:p>
        </w:tc>
        <w:tc>
          <w:tcPr>
            <w:tcW w:w="834" w:type="pct"/>
            <w:noWrap/>
            <w:vAlign w:val="center"/>
            <w:hideMark/>
          </w:tcPr>
          <w:p w14:paraId="73077F7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Invertivore</w:t>
            </w:r>
          </w:p>
        </w:tc>
        <w:tc>
          <w:tcPr>
            <w:tcW w:w="680" w:type="pct"/>
            <w:noWrap/>
            <w:vAlign w:val="center"/>
            <w:hideMark/>
          </w:tcPr>
          <w:p w14:paraId="01B18160"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Forest</w:t>
            </w:r>
          </w:p>
        </w:tc>
        <w:tc>
          <w:tcPr>
            <w:tcW w:w="303" w:type="pct"/>
            <w:noWrap/>
            <w:vAlign w:val="center"/>
            <w:hideMark/>
          </w:tcPr>
          <w:p w14:paraId="11BCF97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w:t>
            </w:r>
          </w:p>
        </w:tc>
        <w:tc>
          <w:tcPr>
            <w:tcW w:w="379" w:type="pct"/>
            <w:noWrap/>
            <w:vAlign w:val="center"/>
            <w:hideMark/>
          </w:tcPr>
          <w:p w14:paraId="19BC4AC4"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14.3</w:t>
            </w:r>
          </w:p>
        </w:tc>
        <w:tc>
          <w:tcPr>
            <w:tcW w:w="340" w:type="pct"/>
            <w:noWrap/>
            <w:vAlign w:val="center"/>
            <w:hideMark/>
          </w:tcPr>
          <w:p w14:paraId="678D1293"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13.4</w:t>
            </w:r>
          </w:p>
        </w:tc>
        <w:tc>
          <w:tcPr>
            <w:tcW w:w="284" w:type="pct"/>
            <w:noWrap/>
            <w:vAlign w:val="center"/>
            <w:hideMark/>
          </w:tcPr>
          <w:p w14:paraId="2A0E7549"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5.4</w:t>
            </w:r>
          </w:p>
        </w:tc>
        <w:tc>
          <w:tcPr>
            <w:tcW w:w="332" w:type="pct"/>
            <w:noWrap/>
            <w:vAlign w:val="center"/>
            <w:hideMark/>
          </w:tcPr>
          <w:p w14:paraId="07B629DF" w14:textId="77777777" w:rsidR="00D56D09" w:rsidRPr="00B066C6" w:rsidRDefault="00D56D09" w:rsidP="00BA36F1">
            <w:pPr>
              <w:spacing w:before="0"/>
              <w:jc w:val="center"/>
              <w:rPr>
                <w:rFonts w:ascii="Times New Roman" w:hAnsi="Times New Roman" w:cs="Times New Roman"/>
                <w:sz w:val="22"/>
                <w:szCs w:val="22"/>
              </w:rPr>
            </w:pPr>
            <w:r w:rsidRPr="00B066C6">
              <w:rPr>
                <w:rFonts w:ascii="Times New Roman" w:hAnsi="Times New Roman" w:cs="Times New Roman"/>
                <w:sz w:val="22"/>
                <w:szCs w:val="22"/>
              </w:rPr>
              <w:t>63</w:t>
            </w:r>
          </w:p>
        </w:tc>
        <w:tc>
          <w:tcPr>
            <w:tcW w:w="333" w:type="pct"/>
            <w:noWrap/>
            <w:vAlign w:val="center"/>
            <w:hideMark/>
          </w:tcPr>
          <w:p w14:paraId="7270F3E6" w14:textId="77777777" w:rsidR="00D56D09" w:rsidRPr="00B066C6" w:rsidRDefault="00D56D09" w:rsidP="00BA36F1">
            <w:pPr>
              <w:keepNext/>
              <w:spacing w:before="0"/>
              <w:jc w:val="center"/>
              <w:rPr>
                <w:rFonts w:ascii="Times New Roman" w:hAnsi="Times New Roman" w:cs="Times New Roman"/>
                <w:sz w:val="22"/>
                <w:szCs w:val="22"/>
              </w:rPr>
            </w:pPr>
            <w:r w:rsidRPr="00B066C6">
              <w:rPr>
                <w:rFonts w:ascii="Times New Roman" w:hAnsi="Times New Roman" w:cs="Times New Roman"/>
                <w:sz w:val="22"/>
                <w:szCs w:val="22"/>
              </w:rPr>
              <w:t>55.5</w:t>
            </w:r>
          </w:p>
        </w:tc>
      </w:tr>
    </w:tbl>
    <w:p w14:paraId="4FB3E256" w14:textId="77777777" w:rsidR="007F15DD" w:rsidRDefault="00F377FE">
      <w:pPr>
        <w:rPr>
          <w:rFonts w:ascii="Times New Roman" w:hAnsi="Times New Roman" w:cs="Times New Roman"/>
        </w:rPr>
      </w:pPr>
      <w:r w:rsidRPr="00B066C6">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F15DD" w14:paraId="13E1332E" w14:textId="77777777" w:rsidTr="007F15DD">
        <w:tc>
          <w:tcPr>
            <w:tcW w:w="9350" w:type="dxa"/>
          </w:tcPr>
          <w:p w14:paraId="45C78FB7" w14:textId="4044D98B" w:rsidR="007F15DD" w:rsidRDefault="007F15DD">
            <w:pPr>
              <w:rPr>
                <w:rFonts w:ascii="Times New Roman" w:hAnsi="Times New Roman" w:cs="Times New Roman"/>
              </w:rPr>
            </w:pPr>
            <w:r>
              <w:rPr>
                <w:rFonts w:ascii="Times New Roman" w:hAnsi="Times New Roman" w:cs="Times New Roman"/>
                <w:noProof/>
              </w:rPr>
              <w:lastRenderedPageBreak/>
              <w:drawing>
                <wp:inline distT="0" distB="0" distL="0" distR="0" wp14:anchorId="2C5A6EBB" wp14:editId="70506FDB">
                  <wp:extent cx="5776309" cy="3808602"/>
                  <wp:effectExtent l="0" t="0" r="2540" b="1905"/>
                  <wp:docPr id="753242684" name="Picture 1" descr="A collage of several images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2684" name="Picture 1" descr="A collage of several images of a forest&#10;&#10;AI-generated content may be incorrect."/>
                          <pic:cNvPicPr/>
                        </pic:nvPicPr>
                        <pic:blipFill rotWithShape="1">
                          <a:blip r:embed="rId112">
                            <a:extLst>
                              <a:ext uri="{28A0092B-C50C-407E-A947-70E740481C1C}">
                                <a14:useLocalDpi xmlns:a14="http://schemas.microsoft.com/office/drawing/2010/main" val="0"/>
                              </a:ext>
                            </a:extLst>
                          </a:blip>
                          <a:srcRect b="1303"/>
                          <a:stretch/>
                        </pic:blipFill>
                        <pic:spPr bwMode="auto">
                          <a:xfrm>
                            <a:off x="0" y="0"/>
                            <a:ext cx="5780677" cy="3811482"/>
                          </a:xfrm>
                          <a:prstGeom prst="rect">
                            <a:avLst/>
                          </a:prstGeom>
                          <a:ln>
                            <a:noFill/>
                          </a:ln>
                          <a:extLst>
                            <a:ext uri="{53640926-AAD7-44D8-BBD7-CCE9431645EC}">
                              <a14:shadowObscured xmlns:a14="http://schemas.microsoft.com/office/drawing/2010/main"/>
                            </a:ext>
                          </a:extLst>
                        </pic:spPr>
                      </pic:pic>
                    </a:graphicData>
                  </a:graphic>
                </wp:inline>
              </w:drawing>
            </w:r>
          </w:p>
        </w:tc>
      </w:tr>
      <w:tr w:rsidR="007F15DD" w14:paraId="449C2D39" w14:textId="77777777" w:rsidTr="007F15DD">
        <w:tc>
          <w:tcPr>
            <w:tcW w:w="9350" w:type="dxa"/>
          </w:tcPr>
          <w:p w14:paraId="41751B11" w14:textId="269AA906" w:rsidR="007F15DD" w:rsidRPr="007F15DD" w:rsidRDefault="007F15DD" w:rsidP="00D77075">
            <w:pPr>
              <w:pStyle w:val="Caption"/>
              <w:spacing w:before="0" w:after="0"/>
              <w:rPr>
                <w:rFonts w:ascii="Times New Roman" w:hAnsi="Times New Roman" w:cs="Times New Roman"/>
                <w:i w:val="0"/>
                <w:iCs w:val="0"/>
                <w:sz w:val="24"/>
                <w:szCs w:val="24"/>
              </w:rPr>
            </w:pPr>
            <w:bookmarkStart w:id="104" w:name="_Toc195189832"/>
            <w:r w:rsidRPr="007F15DD">
              <w:rPr>
                <w:rFonts w:ascii="Times New Roman" w:hAnsi="Times New Roman" w:cs="Times New Roman"/>
                <w:b/>
                <w:bCs/>
                <w:i w:val="0"/>
                <w:iCs w:val="0"/>
                <w:color w:val="auto"/>
                <w:sz w:val="24"/>
                <w:szCs w:val="24"/>
              </w:rPr>
              <w:t xml:space="preserve">Supplementary Figure </w:t>
            </w:r>
            <w:r w:rsidRPr="007F15DD">
              <w:rPr>
                <w:rFonts w:ascii="Times New Roman" w:hAnsi="Times New Roman" w:cs="Times New Roman"/>
                <w:b/>
                <w:bCs/>
                <w:i w:val="0"/>
                <w:iCs w:val="0"/>
                <w:color w:val="auto"/>
                <w:sz w:val="24"/>
                <w:szCs w:val="24"/>
              </w:rPr>
              <w:fldChar w:fldCharType="begin"/>
            </w:r>
            <w:r w:rsidRPr="007F15DD">
              <w:rPr>
                <w:rFonts w:ascii="Times New Roman" w:hAnsi="Times New Roman" w:cs="Times New Roman"/>
                <w:b/>
                <w:bCs/>
                <w:i w:val="0"/>
                <w:iCs w:val="0"/>
                <w:color w:val="auto"/>
                <w:sz w:val="24"/>
                <w:szCs w:val="24"/>
              </w:rPr>
              <w:instrText xml:space="preserve"> SEQ Supplementary_Figure \* ARABIC </w:instrText>
            </w:r>
            <w:r w:rsidRPr="007F15DD">
              <w:rPr>
                <w:rFonts w:ascii="Times New Roman" w:hAnsi="Times New Roman" w:cs="Times New Roman"/>
                <w:b/>
                <w:bCs/>
                <w:i w:val="0"/>
                <w:iCs w:val="0"/>
                <w:color w:val="auto"/>
                <w:sz w:val="24"/>
                <w:szCs w:val="24"/>
              </w:rPr>
              <w:fldChar w:fldCharType="separate"/>
            </w:r>
            <w:r w:rsidR="00577CC0">
              <w:rPr>
                <w:rFonts w:ascii="Times New Roman" w:hAnsi="Times New Roman" w:cs="Times New Roman"/>
                <w:b/>
                <w:bCs/>
                <w:i w:val="0"/>
                <w:iCs w:val="0"/>
                <w:noProof/>
                <w:color w:val="auto"/>
                <w:sz w:val="24"/>
                <w:szCs w:val="24"/>
              </w:rPr>
              <w:t>2</w:t>
            </w:r>
            <w:r w:rsidRPr="007F15DD">
              <w:rPr>
                <w:rFonts w:ascii="Times New Roman" w:hAnsi="Times New Roman" w:cs="Times New Roman"/>
                <w:b/>
                <w:bCs/>
                <w:i w:val="0"/>
                <w:iCs w:val="0"/>
                <w:color w:val="auto"/>
                <w:sz w:val="24"/>
                <w:szCs w:val="24"/>
              </w:rPr>
              <w:fldChar w:fldCharType="end"/>
            </w:r>
            <w:r w:rsidRPr="007F15DD">
              <w:rPr>
                <w:rFonts w:ascii="Times New Roman" w:hAnsi="Times New Roman" w:cs="Times New Roman"/>
                <w:i w:val="0"/>
                <w:iCs w:val="0"/>
                <w:color w:val="auto"/>
                <w:sz w:val="24"/>
                <w:szCs w:val="24"/>
              </w:rPr>
              <w:t>: Examples of forest structure within each stage of forest regeneration sampled, including A) highly impacted early successional vegetation, B) low impact early successional vegetation, C) secondary forest, D) old growth Chocó Rainforest</w:t>
            </w:r>
            <w:r w:rsidRPr="007F15DD">
              <w:rPr>
                <w:rFonts w:ascii="Times New Roman" w:hAnsi="Times New Roman" w:cs="Times New Roman"/>
                <w:i w:val="0"/>
                <w:iCs w:val="0"/>
                <w:sz w:val="24"/>
                <w:szCs w:val="24"/>
              </w:rPr>
              <w:t>.</w:t>
            </w:r>
            <w:bookmarkEnd w:id="104"/>
            <w:r w:rsidRPr="007F15DD">
              <w:rPr>
                <w:rFonts w:ascii="Times New Roman" w:hAnsi="Times New Roman" w:cs="Times New Roman"/>
                <w:i w:val="0"/>
                <w:iCs w:val="0"/>
                <w:sz w:val="24"/>
                <w:szCs w:val="24"/>
              </w:rPr>
              <w:t xml:space="preserve"> </w:t>
            </w:r>
          </w:p>
        </w:tc>
      </w:tr>
    </w:tbl>
    <w:p w14:paraId="0ACF1EF7" w14:textId="44B42563" w:rsidR="007F15DD" w:rsidRPr="00B066C6" w:rsidRDefault="007F15DD" w:rsidP="00BD07DC">
      <w:pPr>
        <w:rPr>
          <w:rFonts w:ascii="Times New Roman" w:hAnsi="Times New Roman" w:cs="Times New Roman"/>
        </w:rPr>
      </w:pPr>
      <w:r>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73E25" w:rsidRPr="00B066C6" w14:paraId="705B06C4" w14:textId="77777777">
        <w:tc>
          <w:tcPr>
            <w:tcW w:w="9350" w:type="dxa"/>
          </w:tcPr>
          <w:p w14:paraId="1EB01BD8" w14:textId="77777777" w:rsidR="00373E25" w:rsidRPr="00B066C6" w:rsidRDefault="00373E25" w:rsidP="00BD07DC">
            <w:pPr>
              <w:spacing w:line="360" w:lineRule="auto"/>
              <w:rPr>
                <w:rStyle w:val="eop"/>
                <w:rFonts w:ascii="Times New Roman" w:eastAsiaTheme="majorEastAsia" w:hAnsi="Times New Roman" w:cs="Times New Roman"/>
              </w:rPr>
            </w:pPr>
            <w:r w:rsidRPr="00B066C6">
              <w:rPr>
                <w:rStyle w:val="eop"/>
                <w:rFonts w:ascii="Times New Roman" w:eastAsiaTheme="majorEastAsia" w:hAnsi="Times New Roman" w:cs="Times New Roman"/>
              </w:rPr>
              <w:lastRenderedPageBreak/>
              <w:t>A)</w:t>
            </w:r>
          </w:p>
          <w:p w14:paraId="6528FC11" w14:textId="77777777" w:rsidR="00373E25" w:rsidRPr="00B066C6" w:rsidRDefault="00373E25" w:rsidP="00BD07DC">
            <w:pPr>
              <w:spacing w:line="360" w:lineRule="auto"/>
              <w:rPr>
                <w:rStyle w:val="eop"/>
                <w:rFonts w:ascii="Times New Roman" w:eastAsiaTheme="majorEastAsia" w:hAnsi="Times New Roman" w:cs="Times New Roman"/>
              </w:rPr>
            </w:pPr>
            <w:r w:rsidRPr="00B066C6">
              <w:rPr>
                <w:rFonts w:ascii="Times New Roman" w:hAnsi="Times New Roman" w:cs="Times New Roman"/>
                <w:noProof/>
              </w:rPr>
              <w:drawing>
                <wp:inline distT="0" distB="0" distL="0" distR="0" wp14:anchorId="763A11E2" wp14:editId="2CCCFCFE">
                  <wp:extent cx="5943600" cy="2106930"/>
                  <wp:effectExtent l="0" t="0" r="0" b="1270"/>
                  <wp:docPr id="935268057" name="Picture 3" descr="A graph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68057" name="Picture 3" descr="A graph with numbers and symbols&#10;&#10;AI-generated content may be incorrect."/>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2106930"/>
                          </a:xfrm>
                          <a:prstGeom prst="rect">
                            <a:avLst/>
                          </a:prstGeom>
                        </pic:spPr>
                      </pic:pic>
                    </a:graphicData>
                  </a:graphic>
                </wp:inline>
              </w:drawing>
            </w:r>
          </w:p>
        </w:tc>
      </w:tr>
      <w:tr w:rsidR="00373E25" w:rsidRPr="00B066C6" w14:paraId="2EC5D2F0" w14:textId="77777777">
        <w:trPr>
          <w:trHeight w:val="710"/>
        </w:trPr>
        <w:tc>
          <w:tcPr>
            <w:tcW w:w="9350" w:type="dxa"/>
            <w:vAlign w:val="center"/>
          </w:tcPr>
          <w:p w14:paraId="6F1F914D" w14:textId="77777777" w:rsidR="00373E25" w:rsidRPr="00B066C6" w:rsidRDefault="00373E25" w:rsidP="00BD07DC">
            <w:pPr>
              <w:spacing w:line="360" w:lineRule="auto"/>
              <w:rPr>
                <w:rStyle w:val="eop"/>
                <w:rFonts w:ascii="Times New Roman" w:eastAsiaTheme="majorEastAsia" w:hAnsi="Times New Roman" w:cs="Times New Roman"/>
              </w:rPr>
            </w:pPr>
            <w:r w:rsidRPr="00B066C6">
              <w:rPr>
                <w:rStyle w:val="eop"/>
                <w:rFonts w:ascii="Times New Roman" w:eastAsiaTheme="majorEastAsia" w:hAnsi="Times New Roman" w:cs="Times New Roman"/>
              </w:rPr>
              <w:t>B)</w:t>
            </w:r>
            <w:r w:rsidRPr="00B066C6">
              <w:rPr>
                <w:rFonts w:ascii="Times New Roman" w:hAnsi="Times New Roman" w:cs="Times New Roman"/>
                <w:noProof/>
              </w:rPr>
              <w:drawing>
                <wp:inline distT="0" distB="0" distL="0" distR="0" wp14:anchorId="4F1279B5" wp14:editId="12D40201">
                  <wp:extent cx="5943600" cy="2068830"/>
                  <wp:effectExtent l="0" t="0" r="0" b="1270"/>
                  <wp:docPr id="731656215"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56215" name="Picture 2" descr="A graph of different colored lines&#10;&#10;AI-generated content may be incorrect."/>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43600" cy="2068830"/>
                          </a:xfrm>
                          <a:prstGeom prst="rect">
                            <a:avLst/>
                          </a:prstGeom>
                        </pic:spPr>
                      </pic:pic>
                    </a:graphicData>
                  </a:graphic>
                </wp:inline>
              </w:drawing>
            </w:r>
          </w:p>
          <w:p w14:paraId="4FE8BDCA" w14:textId="3D6501E5" w:rsidR="00373E25" w:rsidRPr="00B066C6" w:rsidRDefault="00373E25" w:rsidP="00D77075">
            <w:pPr>
              <w:pStyle w:val="Caption"/>
              <w:spacing w:before="0" w:after="0"/>
              <w:rPr>
                <w:rStyle w:val="eop"/>
                <w:rFonts w:ascii="Times New Roman" w:hAnsi="Times New Roman" w:cs="Times New Roman"/>
                <w:sz w:val="24"/>
                <w:szCs w:val="24"/>
              </w:rPr>
            </w:pPr>
            <w:bookmarkStart w:id="105" w:name="_Ref190180319"/>
            <w:bookmarkStart w:id="106" w:name="_Toc191556718"/>
            <w:bookmarkStart w:id="107" w:name="_Toc195189833"/>
            <w:r w:rsidRPr="00B066C6">
              <w:rPr>
                <w:rFonts w:ascii="Times New Roman" w:hAnsi="Times New Roman" w:cs="Times New Roman"/>
                <w:b/>
                <w:bCs/>
                <w:i w:val="0"/>
                <w:iCs w:val="0"/>
                <w:color w:val="auto"/>
                <w:sz w:val="24"/>
                <w:szCs w:val="24"/>
              </w:rPr>
              <w:t xml:space="preserve">Supplementary 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Supplementary_Figure \* ARABIC </w:instrText>
            </w:r>
            <w:r w:rsidRPr="00B066C6">
              <w:rPr>
                <w:rFonts w:ascii="Times New Roman" w:hAnsi="Times New Roman" w:cs="Times New Roman"/>
                <w:b/>
                <w:bCs/>
                <w:i w:val="0"/>
                <w:iCs w:val="0"/>
                <w:color w:val="auto"/>
                <w:sz w:val="24"/>
                <w:szCs w:val="24"/>
              </w:rPr>
              <w:fldChar w:fldCharType="separate"/>
            </w:r>
            <w:r w:rsidR="00577CC0">
              <w:rPr>
                <w:rFonts w:ascii="Times New Roman" w:hAnsi="Times New Roman" w:cs="Times New Roman"/>
                <w:b/>
                <w:bCs/>
                <w:i w:val="0"/>
                <w:iCs w:val="0"/>
                <w:noProof/>
                <w:color w:val="auto"/>
                <w:sz w:val="24"/>
                <w:szCs w:val="24"/>
              </w:rPr>
              <w:t>3</w:t>
            </w:r>
            <w:r w:rsidRPr="00B066C6">
              <w:rPr>
                <w:rFonts w:ascii="Times New Roman" w:hAnsi="Times New Roman" w:cs="Times New Roman"/>
                <w:b/>
                <w:bCs/>
                <w:i w:val="0"/>
                <w:iCs w:val="0"/>
                <w:color w:val="auto"/>
                <w:sz w:val="24"/>
                <w:szCs w:val="24"/>
              </w:rPr>
              <w:fldChar w:fldCharType="end"/>
            </w:r>
            <w:bookmarkEnd w:id="105"/>
            <w:r w:rsidRPr="00B066C6">
              <w:rPr>
                <w:rStyle w:val="eop"/>
                <w:rFonts w:ascii="Times New Roman" w:eastAsiaTheme="majorEastAsia" w:hAnsi="Times New Roman" w:cs="Times New Roman"/>
                <w:b/>
                <w:bCs/>
                <w:i w:val="0"/>
                <w:iCs w:val="0"/>
                <w:color w:val="auto"/>
                <w:sz w:val="24"/>
                <w:szCs w:val="24"/>
              </w:rPr>
              <w:t>:</w:t>
            </w:r>
            <w:r w:rsidRPr="00B066C6">
              <w:rPr>
                <w:rStyle w:val="eop"/>
                <w:rFonts w:ascii="Times New Roman" w:eastAsiaTheme="majorEastAsia" w:hAnsi="Times New Roman" w:cs="Times New Roman"/>
                <w:i w:val="0"/>
                <w:iCs w:val="0"/>
                <w:color w:val="auto"/>
                <w:sz w:val="24"/>
                <w:szCs w:val="24"/>
              </w:rPr>
              <w:t xml:space="preserve"> </w:t>
            </w:r>
            <w:r w:rsidRPr="00B066C6">
              <w:rPr>
                <w:rFonts w:ascii="Times New Roman" w:hAnsi="Times New Roman" w:cs="Times New Roman"/>
                <w:i w:val="0"/>
                <w:iCs w:val="0"/>
                <w:color w:val="auto"/>
                <w:sz w:val="24"/>
                <w:szCs w:val="24"/>
              </w:rPr>
              <w:t>Sampling completeness curves across four habitat types, representing different stages of regeneration and old-growth forest. The curves are color-coded: purple for 2 years of regeneration, blue for 10 years, pink for 25 years, and green for old-growth forest. A) Displays the overall sample coverage between sites where all plots within each habitat type are aggregated together, while B) examines the hill numbers/species diversity within each plot, where q = 0 (species richness), q = 1 (Shannon Diversity), and q = 2 (inverse Simpson).</w:t>
            </w:r>
            <w:bookmarkEnd w:id="106"/>
            <w:bookmarkEnd w:id="107"/>
          </w:p>
        </w:tc>
      </w:tr>
    </w:tbl>
    <w:p w14:paraId="1AE848BC" w14:textId="473EECC7" w:rsidR="006E3D8E" w:rsidRPr="00B066C6" w:rsidRDefault="002867FD" w:rsidP="00BD07DC">
      <w:pPr>
        <w:rPr>
          <w:rFonts w:ascii="Times New Roman" w:hAnsi="Times New Roman" w:cs="Times New Roman"/>
        </w:rPr>
      </w:pPr>
      <w:r w:rsidRPr="00B066C6">
        <w:rPr>
          <w:rFonts w:ascii="Times New Roman" w:hAnsi="Times New Roman" w:cs="Times New Roman"/>
        </w:rPr>
        <w:br w:type="page"/>
      </w:r>
    </w:p>
    <w:tbl>
      <w:tblPr>
        <w:tblStyle w:val="TableGrid"/>
        <w:tblW w:w="0" w:type="auto"/>
        <w:tblLook w:val="04A0" w:firstRow="1" w:lastRow="0" w:firstColumn="1" w:lastColumn="0" w:noHBand="0" w:noVBand="1"/>
      </w:tblPr>
      <w:tblGrid>
        <w:gridCol w:w="5387"/>
        <w:gridCol w:w="2121"/>
        <w:gridCol w:w="1842"/>
      </w:tblGrid>
      <w:tr w:rsidR="006E3D8E" w:rsidRPr="00B066C6" w14:paraId="1E1430C8" w14:textId="77777777" w:rsidTr="000525AB">
        <w:tc>
          <w:tcPr>
            <w:tcW w:w="9350" w:type="dxa"/>
            <w:gridSpan w:val="3"/>
            <w:tcBorders>
              <w:top w:val="nil"/>
              <w:left w:val="nil"/>
              <w:bottom w:val="single" w:sz="4" w:space="0" w:color="auto"/>
              <w:right w:val="nil"/>
            </w:tcBorders>
          </w:tcPr>
          <w:p w14:paraId="08A0DB92" w14:textId="53C9B3C3" w:rsidR="006E3D8E" w:rsidRPr="002E65B2" w:rsidRDefault="002E65B2" w:rsidP="00D77075">
            <w:pPr>
              <w:pStyle w:val="Caption"/>
              <w:spacing w:before="0" w:after="0"/>
            </w:pPr>
            <w:bookmarkStart w:id="108" w:name="_Toc195189694"/>
            <w:r w:rsidRPr="002E65B2">
              <w:rPr>
                <w:rFonts w:ascii="Times New Roman" w:hAnsi="Times New Roman" w:cs="Times New Roman"/>
                <w:b/>
                <w:bCs/>
                <w:i w:val="0"/>
                <w:iCs w:val="0"/>
                <w:color w:val="000000" w:themeColor="text1"/>
                <w:sz w:val="24"/>
                <w:szCs w:val="24"/>
              </w:rPr>
              <w:lastRenderedPageBreak/>
              <w:t xml:space="preserve">Supplementary Table </w:t>
            </w:r>
            <w:r w:rsidRPr="002E65B2">
              <w:rPr>
                <w:rFonts w:ascii="Times New Roman" w:hAnsi="Times New Roman" w:cs="Times New Roman"/>
                <w:b/>
                <w:bCs/>
                <w:i w:val="0"/>
                <w:iCs w:val="0"/>
                <w:color w:val="000000" w:themeColor="text1"/>
                <w:sz w:val="24"/>
                <w:szCs w:val="24"/>
              </w:rPr>
              <w:fldChar w:fldCharType="begin"/>
            </w:r>
            <w:r w:rsidRPr="002E65B2">
              <w:rPr>
                <w:rFonts w:ascii="Times New Roman" w:hAnsi="Times New Roman" w:cs="Times New Roman"/>
                <w:b/>
                <w:bCs/>
                <w:i w:val="0"/>
                <w:iCs w:val="0"/>
                <w:color w:val="000000" w:themeColor="text1"/>
                <w:sz w:val="24"/>
                <w:szCs w:val="24"/>
              </w:rPr>
              <w:instrText xml:space="preserve"> SEQ Supplementary_Table \* ARABIC </w:instrText>
            </w:r>
            <w:r w:rsidRPr="002E65B2">
              <w:rPr>
                <w:rFonts w:ascii="Times New Roman" w:hAnsi="Times New Roman" w:cs="Times New Roman"/>
                <w:b/>
                <w:bCs/>
                <w:i w:val="0"/>
                <w:iCs w:val="0"/>
                <w:color w:val="000000" w:themeColor="text1"/>
                <w:sz w:val="24"/>
                <w:szCs w:val="24"/>
              </w:rPr>
              <w:fldChar w:fldCharType="separate"/>
            </w:r>
            <w:r w:rsidR="007F0836">
              <w:rPr>
                <w:rFonts w:ascii="Times New Roman" w:hAnsi="Times New Roman" w:cs="Times New Roman"/>
                <w:b/>
                <w:bCs/>
                <w:i w:val="0"/>
                <w:iCs w:val="0"/>
                <w:noProof/>
                <w:color w:val="000000" w:themeColor="text1"/>
                <w:sz w:val="24"/>
                <w:szCs w:val="24"/>
              </w:rPr>
              <w:t>3</w:t>
            </w:r>
            <w:r w:rsidRPr="002E65B2">
              <w:rPr>
                <w:rFonts w:ascii="Times New Roman" w:hAnsi="Times New Roman" w:cs="Times New Roman"/>
                <w:b/>
                <w:bCs/>
                <w:i w:val="0"/>
                <w:iCs w:val="0"/>
                <w:color w:val="000000" w:themeColor="text1"/>
                <w:sz w:val="24"/>
                <w:szCs w:val="24"/>
              </w:rPr>
              <w:fldChar w:fldCharType="end"/>
            </w:r>
            <w:r w:rsidRPr="002E65B2">
              <w:rPr>
                <w:rFonts w:ascii="Times New Roman" w:hAnsi="Times New Roman" w:cs="Times New Roman"/>
                <w:b/>
                <w:bCs/>
                <w:i w:val="0"/>
                <w:iCs w:val="0"/>
                <w:color w:val="000000" w:themeColor="text1"/>
                <w:sz w:val="24"/>
                <w:szCs w:val="24"/>
              </w:rPr>
              <w:t>:</w:t>
            </w:r>
            <w:r w:rsidRPr="002E65B2">
              <w:rPr>
                <w:rFonts w:ascii="Times New Roman" w:hAnsi="Times New Roman" w:cs="Times New Roman"/>
                <w:i w:val="0"/>
                <w:iCs w:val="0"/>
                <w:color w:val="000000" w:themeColor="text1"/>
                <w:sz w:val="24"/>
                <w:szCs w:val="24"/>
              </w:rPr>
              <w:t xml:space="preserve"> </w:t>
            </w:r>
            <w:r w:rsidR="006E3D8E" w:rsidRPr="002E65B2">
              <w:rPr>
                <w:rFonts w:ascii="Times New Roman" w:hAnsi="Times New Roman" w:cs="Times New Roman"/>
                <w:i w:val="0"/>
                <w:iCs w:val="0"/>
                <w:color w:val="000000" w:themeColor="text1"/>
                <w:sz w:val="24"/>
                <w:szCs w:val="24"/>
              </w:rPr>
              <w:t xml:space="preserve">Type </w:t>
            </w:r>
            <w:r w:rsidR="006E3D8E" w:rsidRPr="00B066C6">
              <w:rPr>
                <w:rFonts w:ascii="Times New Roman" w:hAnsi="Times New Roman" w:cs="Times New Roman"/>
                <w:i w:val="0"/>
                <w:iCs w:val="0"/>
                <w:color w:val="auto"/>
                <w:sz w:val="24"/>
                <w:szCs w:val="24"/>
              </w:rPr>
              <w:t>II Wald chi-square tests assessing diversity indices as a function of regeneration stage (HIE, LIE, SEC, OG). Generalized least squares (GLS) regression was used to account for spatial dependence in model residuals, with a Gaussian spatial correlation structure applied. Significant relationships (</w:t>
            </w:r>
            <w:r w:rsidR="006E3D8E" w:rsidRPr="00B066C6">
              <w:rPr>
                <w:rStyle w:val="Emphasis"/>
                <w:rFonts w:ascii="Times New Roman" w:hAnsi="Times New Roman" w:cs="Times New Roman"/>
                <w:i/>
                <w:iCs/>
                <w:color w:val="auto"/>
                <w:sz w:val="24"/>
                <w:szCs w:val="24"/>
              </w:rPr>
              <w:t>p &lt; 0.05</w:t>
            </w:r>
            <w:r w:rsidR="006E3D8E" w:rsidRPr="00B066C6">
              <w:rPr>
                <w:rFonts w:ascii="Times New Roman" w:hAnsi="Times New Roman" w:cs="Times New Roman"/>
                <w:i w:val="0"/>
                <w:iCs w:val="0"/>
                <w:color w:val="auto"/>
                <w:sz w:val="24"/>
                <w:szCs w:val="24"/>
              </w:rPr>
              <w:t>) are highlighted in bold.</w:t>
            </w:r>
            <w:bookmarkEnd w:id="108"/>
          </w:p>
        </w:tc>
      </w:tr>
      <w:tr w:rsidR="006E3D8E" w:rsidRPr="00B066C6" w14:paraId="70C451C6" w14:textId="77777777" w:rsidTr="00D77075">
        <w:trPr>
          <w:trHeight w:val="620"/>
        </w:trPr>
        <w:tc>
          <w:tcPr>
            <w:tcW w:w="5387" w:type="dxa"/>
            <w:tcBorders>
              <w:top w:val="single" w:sz="4" w:space="0" w:color="auto"/>
            </w:tcBorders>
            <w:shd w:val="clear" w:color="auto" w:fill="E8E8E8" w:themeFill="background2"/>
          </w:tcPr>
          <w:p w14:paraId="07A019BD" w14:textId="77777777" w:rsidR="006E3D8E" w:rsidRPr="00B066C6" w:rsidRDefault="006E3D8E" w:rsidP="00BD07DC">
            <w:pPr>
              <w:spacing w:before="240" w:after="240" w:line="360" w:lineRule="auto"/>
              <w:jc w:val="center"/>
              <w:rPr>
                <w:rFonts w:ascii="Times New Roman" w:hAnsi="Times New Roman" w:cs="Times New Roman"/>
              </w:rPr>
            </w:pPr>
            <w:r w:rsidRPr="00B066C6">
              <w:rPr>
                <w:rFonts w:ascii="Times New Roman" w:hAnsi="Times New Roman" w:cs="Times New Roman"/>
                <w:b/>
                <w:bCs/>
              </w:rPr>
              <w:t>Response Variable</w:t>
            </w:r>
          </w:p>
        </w:tc>
        <w:tc>
          <w:tcPr>
            <w:tcW w:w="2121" w:type="dxa"/>
            <w:tcBorders>
              <w:top w:val="single" w:sz="4" w:space="0" w:color="auto"/>
            </w:tcBorders>
            <w:shd w:val="clear" w:color="auto" w:fill="E8E8E8" w:themeFill="background2"/>
          </w:tcPr>
          <w:p w14:paraId="24081A2A" w14:textId="77777777" w:rsidR="006E3D8E" w:rsidRPr="00B066C6" w:rsidRDefault="006E3D8E" w:rsidP="00BD07DC">
            <w:pPr>
              <w:spacing w:before="240" w:after="240" w:line="360" w:lineRule="auto"/>
              <w:jc w:val="center"/>
              <w:rPr>
                <w:rFonts w:ascii="Times New Roman" w:hAnsi="Times New Roman" w:cs="Times New Roman"/>
              </w:rPr>
            </w:pPr>
            <w:r w:rsidRPr="00B066C6">
              <w:rPr>
                <w:rFonts w:ascii="Times New Roman" w:hAnsi="Times New Roman" w:cs="Times New Roman"/>
                <w:b/>
                <w:bCs/>
              </w:rPr>
              <w:t>Chi Squared</w:t>
            </w:r>
          </w:p>
        </w:tc>
        <w:tc>
          <w:tcPr>
            <w:tcW w:w="1842" w:type="dxa"/>
            <w:tcBorders>
              <w:top w:val="single" w:sz="4" w:space="0" w:color="auto"/>
            </w:tcBorders>
            <w:shd w:val="clear" w:color="auto" w:fill="E8E8E8" w:themeFill="background2"/>
          </w:tcPr>
          <w:p w14:paraId="65E08111" w14:textId="77777777" w:rsidR="006E3D8E" w:rsidRPr="00B066C6" w:rsidRDefault="006E3D8E" w:rsidP="00BD07DC">
            <w:pPr>
              <w:spacing w:before="240" w:after="240" w:line="360" w:lineRule="auto"/>
              <w:jc w:val="center"/>
              <w:rPr>
                <w:rFonts w:ascii="Times New Roman" w:hAnsi="Times New Roman" w:cs="Times New Roman"/>
              </w:rPr>
            </w:pPr>
            <w:r w:rsidRPr="00B066C6">
              <w:rPr>
                <w:rFonts w:ascii="Times New Roman" w:hAnsi="Times New Roman" w:cs="Times New Roman"/>
                <w:b/>
                <w:bCs/>
              </w:rPr>
              <w:t>P- Value</w:t>
            </w:r>
          </w:p>
        </w:tc>
      </w:tr>
      <w:tr w:rsidR="006E3D8E" w:rsidRPr="00B066C6" w14:paraId="7211C68B" w14:textId="77777777" w:rsidTr="000525AB">
        <w:tc>
          <w:tcPr>
            <w:tcW w:w="5387" w:type="dxa"/>
            <w:shd w:val="clear" w:color="auto" w:fill="E8E8E8" w:themeFill="background2"/>
            <w:vAlign w:val="center"/>
          </w:tcPr>
          <w:p w14:paraId="368208A6"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color w:val="000000"/>
              </w:rPr>
              <w:t>Species Richness (Q0)</w:t>
            </w:r>
          </w:p>
        </w:tc>
        <w:tc>
          <w:tcPr>
            <w:tcW w:w="2121" w:type="dxa"/>
          </w:tcPr>
          <w:p w14:paraId="35929B8D"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34.44</w:t>
            </w:r>
          </w:p>
        </w:tc>
        <w:tc>
          <w:tcPr>
            <w:tcW w:w="1842" w:type="dxa"/>
          </w:tcPr>
          <w:p w14:paraId="5466427E" w14:textId="77777777" w:rsidR="006E3D8E" w:rsidRPr="00B066C6" w:rsidRDefault="006E3D8E" w:rsidP="00CD34FE">
            <w:pPr>
              <w:spacing w:line="276" w:lineRule="auto"/>
              <w:jc w:val="center"/>
              <w:rPr>
                <w:rFonts w:ascii="Times New Roman" w:hAnsi="Times New Roman" w:cs="Times New Roman"/>
                <w:b/>
                <w:bCs/>
              </w:rPr>
            </w:pPr>
            <w:r w:rsidRPr="00B066C6">
              <w:rPr>
                <w:rFonts w:ascii="Times New Roman" w:hAnsi="Times New Roman" w:cs="Times New Roman"/>
                <w:b/>
                <w:bCs/>
              </w:rPr>
              <w:t>&lt; 0.001</w:t>
            </w:r>
          </w:p>
        </w:tc>
      </w:tr>
      <w:tr w:rsidR="006E3D8E" w:rsidRPr="00B066C6" w14:paraId="74F9E044" w14:textId="77777777" w:rsidTr="000525AB">
        <w:tc>
          <w:tcPr>
            <w:tcW w:w="5387" w:type="dxa"/>
            <w:shd w:val="clear" w:color="auto" w:fill="E8E8E8" w:themeFill="background2"/>
            <w:vAlign w:val="center"/>
          </w:tcPr>
          <w:p w14:paraId="2EFABC7B"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Shannon Entropy</w:t>
            </w:r>
            <w:r w:rsidRPr="00B066C6">
              <w:rPr>
                <w:rFonts w:ascii="Times New Roman" w:hAnsi="Times New Roman" w:cs="Times New Roman"/>
                <w:color w:val="000000"/>
              </w:rPr>
              <w:t xml:space="preserve"> (Q1)</w:t>
            </w:r>
          </w:p>
        </w:tc>
        <w:tc>
          <w:tcPr>
            <w:tcW w:w="2121" w:type="dxa"/>
          </w:tcPr>
          <w:p w14:paraId="641D896E"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79.32</w:t>
            </w:r>
          </w:p>
        </w:tc>
        <w:tc>
          <w:tcPr>
            <w:tcW w:w="1842" w:type="dxa"/>
          </w:tcPr>
          <w:p w14:paraId="5C2E3D7E" w14:textId="77777777" w:rsidR="006E3D8E" w:rsidRPr="00B066C6" w:rsidRDefault="006E3D8E" w:rsidP="00CD34FE">
            <w:pPr>
              <w:spacing w:line="276" w:lineRule="auto"/>
              <w:jc w:val="center"/>
              <w:rPr>
                <w:rFonts w:ascii="Times New Roman" w:hAnsi="Times New Roman" w:cs="Times New Roman"/>
                <w:b/>
                <w:bCs/>
              </w:rPr>
            </w:pPr>
            <w:r w:rsidRPr="00B066C6">
              <w:rPr>
                <w:rFonts w:ascii="Times New Roman" w:hAnsi="Times New Roman" w:cs="Times New Roman"/>
                <w:b/>
                <w:bCs/>
              </w:rPr>
              <w:t>&lt; 0.001</w:t>
            </w:r>
          </w:p>
        </w:tc>
      </w:tr>
      <w:tr w:rsidR="006E3D8E" w:rsidRPr="00B066C6" w14:paraId="45025279" w14:textId="77777777" w:rsidTr="000525AB">
        <w:tc>
          <w:tcPr>
            <w:tcW w:w="5387" w:type="dxa"/>
            <w:shd w:val="clear" w:color="auto" w:fill="E8E8E8" w:themeFill="background2"/>
            <w:vAlign w:val="center"/>
          </w:tcPr>
          <w:p w14:paraId="311D7436"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Inverse Simpson Index</w:t>
            </w:r>
            <w:r w:rsidRPr="00B066C6">
              <w:rPr>
                <w:rFonts w:ascii="Times New Roman" w:hAnsi="Times New Roman" w:cs="Times New Roman"/>
                <w:color w:val="000000"/>
              </w:rPr>
              <w:t xml:space="preserve"> (Q2)</w:t>
            </w:r>
          </w:p>
        </w:tc>
        <w:tc>
          <w:tcPr>
            <w:tcW w:w="2121" w:type="dxa"/>
          </w:tcPr>
          <w:p w14:paraId="51FFF77C"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25.66</w:t>
            </w:r>
          </w:p>
        </w:tc>
        <w:tc>
          <w:tcPr>
            <w:tcW w:w="1842" w:type="dxa"/>
          </w:tcPr>
          <w:p w14:paraId="63C62EE7" w14:textId="77777777" w:rsidR="006E3D8E" w:rsidRPr="00B066C6" w:rsidRDefault="006E3D8E" w:rsidP="00CD34FE">
            <w:pPr>
              <w:spacing w:line="276" w:lineRule="auto"/>
              <w:jc w:val="center"/>
              <w:rPr>
                <w:rFonts w:ascii="Times New Roman" w:hAnsi="Times New Roman" w:cs="Times New Roman"/>
                <w:b/>
                <w:bCs/>
              </w:rPr>
            </w:pPr>
            <w:r w:rsidRPr="00B066C6">
              <w:rPr>
                <w:rFonts w:ascii="Times New Roman" w:hAnsi="Times New Roman" w:cs="Times New Roman"/>
                <w:b/>
                <w:bCs/>
              </w:rPr>
              <w:t>&lt; 0.001</w:t>
            </w:r>
          </w:p>
        </w:tc>
      </w:tr>
      <w:tr w:rsidR="006E3D8E" w:rsidRPr="00B066C6" w14:paraId="50A0F2E3" w14:textId="77777777" w:rsidTr="000525AB">
        <w:tc>
          <w:tcPr>
            <w:tcW w:w="5387" w:type="dxa"/>
            <w:shd w:val="clear" w:color="auto" w:fill="E8E8E8" w:themeFill="background2"/>
          </w:tcPr>
          <w:p w14:paraId="0522BDC8"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color w:val="000000"/>
              </w:rPr>
              <w:t>Functional Richness (FRic)</w:t>
            </w:r>
          </w:p>
        </w:tc>
        <w:tc>
          <w:tcPr>
            <w:tcW w:w="2121" w:type="dxa"/>
          </w:tcPr>
          <w:p w14:paraId="20D7629F"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11.46</w:t>
            </w:r>
          </w:p>
        </w:tc>
        <w:tc>
          <w:tcPr>
            <w:tcW w:w="1842" w:type="dxa"/>
          </w:tcPr>
          <w:p w14:paraId="01EF33C0" w14:textId="77777777" w:rsidR="006E3D8E" w:rsidRPr="00B066C6" w:rsidRDefault="006E3D8E" w:rsidP="00CD34FE">
            <w:pPr>
              <w:spacing w:line="276" w:lineRule="auto"/>
              <w:jc w:val="center"/>
              <w:rPr>
                <w:rFonts w:ascii="Times New Roman" w:hAnsi="Times New Roman" w:cs="Times New Roman"/>
                <w:b/>
                <w:bCs/>
              </w:rPr>
            </w:pPr>
            <w:r w:rsidRPr="00B066C6">
              <w:rPr>
                <w:rFonts w:ascii="Times New Roman" w:hAnsi="Times New Roman" w:cs="Times New Roman"/>
                <w:b/>
                <w:bCs/>
              </w:rPr>
              <w:t>0.001</w:t>
            </w:r>
          </w:p>
        </w:tc>
      </w:tr>
      <w:tr w:rsidR="006E3D8E" w:rsidRPr="00B066C6" w14:paraId="71B810CD" w14:textId="77777777" w:rsidTr="000525AB">
        <w:tc>
          <w:tcPr>
            <w:tcW w:w="5387" w:type="dxa"/>
            <w:shd w:val="clear" w:color="auto" w:fill="E8E8E8" w:themeFill="background2"/>
          </w:tcPr>
          <w:p w14:paraId="4992D9C4"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color w:val="000000"/>
              </w:rPr>
              <w:t>Functional Divergence (FDiv)</w:t>
            </w:r>
          </w:p>
        </w:tc>
        <w:tc>
          <w:tcPr>
            <w:tcW w:w="2121" w:type="dxa"/>
          </w:tcPr>
          <w:p w14:paraId="21B902E1"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14.27</w:t>
            </w:r>
          </w:p>
        </w:tc>
        <w:tc>
          <w:tcPr>
            <w:tcW w:w="1842" w:type="dxa"/>
          </w:tcPr>
          <w:p w14:paraId="51B040F0" w14:textId="77777777" w:rsidR="006E3D8E" w:rsidRPr="00B066C6" w:rsidRDefault="006E3D8E" w:rsidP="00CD34FE">
            <w:pPr>
              <w:spacing w:line="276" w:lineRule="auto"/>
              <w:jc w:val="center"/>
              <w:rPr>
                <w:rFonts w:ascii="Times New Roman" w:hAnsi="Times New Roman" w:cs="Times New Roman"/>
                <w:b/>
                <w:bCs/>
              </w:rPr>
            </w:pPr>
            <w:r w:rsidRPr="00B066C6">
              <w:rPr>
                <w:rFonts w:ascii="Times New Roman" w:hAnsi="Times New Roman" w:cs="Times New Roman"/>
                <w:b/>
                <w:bCs/>
              </w:rPr>
              <w:t>0.002</w:t>
            </w:r>
          </w:p>
        </w:tc>
      </w:tr>
      <w:tr w:rsidR="006E3D8E" w:rsidRPr="00B066C6" w14:paraId="2D37EA33" w14:textId="77777777" w:rsidTr="000525AB">
        <w:tc>
          <w:tcPr>
            <w:tcW w:w="5387" w:type="dxa"/>
            <w:shd w:val="clear" w:color="auto" w:fill="E8E8E8" w:themeFill="background2"/>
          </w:tcPr>
          <w:p w14:paraId="3D696B9A"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Functional Evenness (FEve)</w:t>
            </w:r>
          </w:p>
        </w:tc>
        <w:tc>
          <w:tcPr>
            <w:tcW w:w="2121" w:type="dxa"/>
          </w:tcPr>
          <w:p w14:paraId="1051D8C7"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4.42</w:t>
            </w:r>
          </w:p>
        </w:tc>
        <w:tc>
          <w:tcPr>
            <w:tcW w:w="1842" w:type="dxa"/>
          </w:tcPr>
          <w:p w14:paraId="2EF5F800"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0.22</w:t>
            </w:r>
          </w:p>
        </w:tc>
      </w:tr>
      <w:tr w:rsidR="006E3D8E" w:rsidRPr="00B066C6" w14:paraId="37987097" w14:textId="77777777" w:rsidTr="000525AB">
        <w:trPr>
          <w:trHeight w:val="82"/>
        </w:trPr>
        <w:tc>
          <w:tcPr>
            <w:tcW w:w="5387" w:type="dxa"/>
            <w:shd w:val="clear" w:color="auto" w:fill="E8E8E8" w:themeFill="background2"/>
          </w:tcPr>
          <w:p w14:paraId="552063F8"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color w:val="000000"/>
              </w:rPr>
              <w:t>Functional Dispersion (FDis)</w:t>
            </w:r>
          </w:p>
        </w:tc>
        <w:tc>
          <w:tcPr>
            <w:tcW w:w="2121" w:type="dxa"/>
          </w:tcPr>
          <w:p w14:paraId="56A7F8D5"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35.60</w:t>
            </w:r>
          </w:p>
        </w:tc>
        <w:tc>
          <w:tcPr>
            <w:tcW w:w="1842" w:type="dxa"/>
          </w:tcPr>
          <w:p w14:paraId="0501F81F" w14:textId="77777777" w:rsidR="006E3D8E" w:rsidRPr="00B066C6" w:rsidRDefault="006E3D8E" w:rsidP="00CD34FE">
            <w:pPr>
              <w:spacing w:line="276" w:lineRule="auto"/>
              <w:jc w:val="center"/>
              <w:rPr>
                <w:rFonts w:ascii="Times New Roman" w:hAnsi="Times New Roman" w:cs="Times New Roman"/>
                <w:b/>
                <w:bCs/>
              </w:rPr>
            </w:pPr>
            <w:r w:rsidRPr="00B066C6">
              <w:rPr>
                <w:rFonts w:ascii="Times New Roman" w:hAnsi="Times New Roman" w:cs="Times New Roman"/>
                <w:b/>
                <w:bCs/>
              </w:rPr>
              <w:t>&lt; 0.001</w:t>
            </w:r>
          </w:p>
        </w:tc>
      </w:tr>
      <w:tr w:rsidR="006E3D8E" w:rsidRPr="00B066C6" w14:paraId="7A059534" w14:textId="77777777" w:rsidTr="000525AB">
        <w:tc>
          <w:tcPr>
            <w:tcW w:w="5387" w:type="dxa"/>
            <w:shd w:val="clear" w:color="auto" w:fill="E8E8E8" w:themeFill="background2"/>
          </w:tcPr>
          <w:p w14:paraId="6E241497" w14:textId="77777777" w:rsidR="006E3D8E" w:rsidRPr="00B066C6" w:rsidRDefault="006E3D8E" w:rsidP="00CD34FE">
            <w:pPr>
              <w:spacing w:line="276" w:lineRule="auto"/>
              <w:jc w:val="center"/>
              <w:rPr>
                <w:rFonts w:ascii="Times New Roman" w:hAnsi="Times New Roman" w:cs="Times New Roman"/>
                <w:color w:val="000000"/>
              </w:rPr>
            </w:pPr>
            <w:r w:rsidRPr="00B066C6">
              <w:rPr>
                <w:rFonts w:ascii="Times New Roman" w:hAnsi="Times New Roman" w:cs="Times New Roman"/>
                <w:color w:val="000000"/>
              </w:rPr>
              <w:t>Rao's Quadratic Entropy (RaoQ)</w:t>
            </w:r>
          </w:p>
        </w:tc>
        <w:tc>
          <w:tcPr>
            <w:tcW w:w="2121" w:type="dxa"/>
          </w:tcPr>
          <w:p w14:paraId="7936C67C" w14:textId="77777777" w:rsidR="006E3D8E" w:rsidRPr="00B066C6" w:rsidRDefault="006E3D8E" w:rsidP="00CD34FE">
            <w:pPr>
              <w:spacing w:line="276" w:lineRule="auto"/>
              <w:jc w:val="center"/>
              <w:rPr>
                <w:rFonts w:ascii="Times New Roman" w:hAnsi="Times New Roman" w:cs="Times New Roman"/>
              </w:rPr>
            </w:pPr>
            <w:r w:rsidRPr="00B066C6">
              <w:rPr>
                <w:rFonts w:ascii="Times New Roman" w:hAnsi="Times New Roman" w:cs="Times New Roman"/>
              </w:rPr>
              <w:t>20.98</w:t>
            </w:r>
          </w:p>
        </w:tc>
        <w:tc>
          <w:tcPr>
            <w:tcW w:w="1842" w:type="dxa"/>
          </w:tcPr>
          <w:p w14:paraId="456976F6" w14:textId="77777777" w:rsidR="006E3D8E" w:rsidRPr="00B066C6" w:rsidRDefault="006E3D8E" w:rsidP="00CD34FE">
            <w:pPr>
              <w:spacing w:line="276" w:lineRule="auto"/>
              <w:jc w:val="center"/>
              <w:rPr>
                <w:rFonts w:ascii="Times New Roman" w:hAnsi="Times New Roman" w:cs="Times New Roman"/>
                <w:b/>
                <w:bCs/>
              </w:rPr>
            </w:pPr>
            <w:r w:rsidRPr="00B066C6">
              <w:rPr>
                <w:rFonts w:ascii="Times New Roman" w:hAnsi="Times New Roman" w:cs="Times New Roman"/>
                <w:b/>
                <w:bCs/>
              </w:rPr>
              <w:t>&lt; 0.001</w:t>
            </w:r>
          </w:p>
        </w:tc>
      </w:tr>
    </w:tbl>
    <w:p w14:paraId="17F1C96A" w14:textId="7B00D483" w:rsidR="00B661ED" w:rsidRDefault="00B661ED">
      <w:pPr>
        <w:rPr>
          <w:rFonts w:ascii="Times New Roman" w:eastAsiaTheme="majorEastAsia" w:hAnsi="Times New Roman" w:cs="Times New Roman"/>
          <w:b/>
          <w:bCs/>
          <w:color w:val="000000" w:themeColor="text1"/>
        </w:rPr>
      </w:pPr>
      <w:r>
        <w:rPr>
          <w:rFonts w:ascii="Times New Roman" w:hAnsi="Times New Roman" w:cs="Times New Roman"/>
          <w:b/>
          <w:bCs/>
          <w:color w:val="000000" w:themeColor="text1"/>
        </w:rPr>
        <w:br w:type="page"/>
      </w:r>
    </w:p>
    <w:p w14:paraId="5AAECC2D" w14:textId="6F64B3DF" w:rsidR="00EB4834" w:rsidRDefault="00B55333" w:rsidP="00EB4834">
      <w:pPr>
        <w:pStyle w:val="Heading1"/>
        <w:jc w:val="center"/>
        <w:rPr>
          <w:rFonts w:ascii="Times New Roman" w:hAnsi="Times New Roman" w:cs="Times New Roman"/>
          <w:b/>
          <w:bCs/>
          <w:color w:val="000000" w:themeColor="text1"/>
          <w:sz w:val="24"/>
          <w:szCs w:val="24"/>
        </w:rPr>
      </w:pPr>
      <w:bookmarkStart w:id="109" w:name="_Toc195189634"/>
      <w:r w:rsidRPr="00D77075">
        <w:rPr>
          <w:rFonts w:ascii="Times New Roman" w:hAnsi="Times New Roman" w:cs="Times New Roman"/>
          <w:b/>
          <w:bCs/>
          <w:color w:val="000000" w:themeColor="text1"/>
          <w:sz w:val="24"/>
          <w:szCs w:val="24"/>
        </w:rPr>
        <w:lastRenderedPageBreak/>
        <w:t>Chapter 3</w:t>
      </w:r>
      <w:r w:rsidR="0083754D" w:rsidRPr="00D77075">
        <w:rPr>
          <w:rFonts w:ascii="Times New Roman" w:hAnsi="Times New Roman" w:cs="Times New Roman"/>
          <w:b/>
          <w:bCs/>
          <w:color w:val="000000" w:themeColor="text1"/>
          <w:sz w:val="24"/>
          <w:szCs w:val="24"/>
        </w:rPr>
        <w:t xml:space="preserve">: </w:t>
      </w:r>
      <w:r w:rsidR="00D67909" w:rsidRPr="00D77075">
        <w:rPr>
          <w:rFonts w:ascii="Times New Roman" w:hAnsi="Times New Roman" w:cs="Times New Roman"/>
          <w:b/>
          <w:bCs/>
          <w:color w:val="000000" w:themeColor="text1"/>
          <w:sz w:val="24"/>
          <w:szCs w:val="24"/>
        </w:rPr>
        <w:t xml:space="preserve">Seed dispersal networks </w:t>
      </w:r>
      <w:r w:rsidR="00E41528">
        <w:rPr>
          <w:rFonts w:ascii="Times New Roman" w:hAnsi="Times New Roman" w:cs="Times New Roman"/>
          <w:b/>
          <w:bCs/>
          <w:color w:val="000000" w:themeColor="text1"/>
          <w:sz w:val="24"/>
          <w:szCs w:val="24"/>
        </w:rPr>
        <w:t xml:space="preserve">restructure to become more specialized across tropical </w:t>
      </w:r>
      <w:r w:rsidR="00D67909" w:rsidRPr="00D77075">
        <w:rPr>
          <w:rFonts w:ascii="Times New Roman" w:hAnsi="Times New Roman" w:cs="Times New Roman"/>
          <w:b/>
          <w:bCs/>
          <w:color w:val="000000" w:themeColor="text1"/>
          <w:sz w:val="24"/>
          <w:szCs w:val="24"/>
        </w:rPr>
        <w:t xml:space="preserve">forest regeneration, </w:t>
      </w:r>
      <w:r w:rsidR="00F32D4B" w:rsidRPr="00D77075">
        <w:rPr>
          <w:rFonts w:ascii="Times New Roman" w:hAnsi="Times New Roman" w:cs="Times New Roman"/>
          <w:b/>
          <w:bCs/>
          <w:color w:val="000000" w:themeColor="text1"/>
          <w:sz w:val="24"/>
          <w:szCs w:val="24"/>
        </w:rPr>
        <w:t>n</w:t>
      </w:r>
      <w:r w:rsidR="00D67909" w:rsidRPr="00D77075">
        <w:rPr>
          <w:rFonts w:ascii="Times New Roman" w:hAnsi="Times New Roman" w:cs="Times New Roman"/>
          <w:b/>
          <w:bCs/>
          <w:color w:val="000000" w:themeColor="text1"/>
          <w:sz w:val="24"/>
          <w:szCs w:val="24"/>
        </w:rPr>
        <w:t>orthwest Ecuador</w:t>
      </w:r>
      <w:bookmarkEnd w:id="109"/>
    </w:p>
    <w:p w14:paraId="277F3FBF" w14:textId="77777777" w:rsidR="00EB4834" w:rsidRDefault="00EB4834" w:rsidP="00EB4834">
      <w:pPr>
        <w:pStyle w:val="Heading1"/>
        <w:jc w:val="center"/>
        <w:rPr>
          <w:rFonts w:ascii="Times New Roman" w:hAnsi="Times New Roman" w:cs="Times New Roman"/>
          <w:b/>
          <w:bCs/>
          <w:color w:val="000000" w:themeColor="text1"/>
          <w:sz w:val="24"/>
          <w:szCs w:val="24"/>
        </w:rPr>
      </w:pPr>
    </w:p>
    <w:p w14:paraId="55A72910" w14:textId="77777777" w:rsidR="00EB4834" w:rsidRDefault="00EB4834" w:rsidP="00EB4834">
      <w:pPr>
        <w:pStyle w:val="Heading1"/>
        <w:jc w:val="center"/>
        <w:rPr>
          <w:rFonts w:ascii="Times New Roman" w:hAnsi="Times New Roman" w:cs="Times New Roman"/>
          <w:b/>
          <w:bCs/>
          <w:color w:val="000000" w:themeColor="text1"/>
          <w:sz w:val="24"/>
          <w:szCs w:val="24"/>
        </w:rPr>
      </w:pPr>
    </w:p>
    <w:p w14:paraId="65B085FE" w14:textId="77777777" w:rsidR="00EB4834" w:rsidRDefault="00EB4834" w:rsidP="00EB4834">
      <w:pPr>
        <w:pStyle w:val="Heading1"/>
        <w:jc w:val="center"/>
        <w:rPr>
          <w:rFonts w:ascii="Times New Roman" w:hAnsi="Times New Roman" w:cs="Times New Roman"/>
          <w:b/>
          <w:bCs/>
          <w:color w:val="000000" w:themeColor="text1"/>
          <w:sz w:val="24"/>
          <w:szCs w:val="24"/>
        </w:rPr>
      </w:pPr>
    </w:p>
    <w:p w14:paraId="6532AB27" w14:textId="77777777" w:rsidR="00EB4834" w:rsidRDefault="00EB4834" w:rsidP="00EB4834">
      <w:pPr>
        <w:pStyle w:val="Heading1"/>
        <w:jc w:val="center"/>
        <w:rPr>
          <w:rFonts w:ascii="Times New Roman" w:hAnsi="Times New Roman" w:cs="Times New Roman"/>
          <w:b/>
          <w:bCs/>
          <w:color w:val="000000" w:themeColor="text1"/>
          <w:sz w:val="24"/>
          <w:szCs w:val="24"/>
        </w:rPr>
      </w:pPr>
    </w:p>
    <w:p w14:paraId="6A51A28D" w14:textId="77777777" w:rsidR="00EB4834" w:rsidRDefault="00EB4834" w:rsidP="00EB4834">
      <w:pPr>
        <w:pStyle w:val="Heading1"/>
        <w:jc w:val="center"/>
        <w:rPr>
          <w:rFonts w:ascii="Times New Roman" w:hAnsi="Times New Roman" w:cs="Times New Roman"/>
          <w:b/>
          <w:bCs/>
          <w:color w:val="000000" w:themeColor="text1"/>
          <w:sz w:val="24"/>
          <w:szCs w:val="24"/>
        </w:rPr>
      </w:pPr>
    </w:p>
    <w:p w14:paraId="24727F65" w14:textId="77777777" w:rsidR="00EB4834" w:rsidRDefault="00EB4834" w:rsidP="00EB4834">
      <w:pPr>
        <w:pStyle w:val="Heading1"/>
        <w:jc w:val="center"/>
        <w:rPr>
          <w:rFonts w:ascii="Times New Roman" w:hAnsi="Times New Roman" w:cs="Times New Roman"/>
          <w:b/>
          <w:bCs/>
          <w:color w:val="000000" w:themeColor="text1"/>
          <w:sz w:val="24"/>
          <w:szCs w:val="24"/>
        </w:rPr>
      </w:pPr>
    </w:p>
    <w:p w14:paraId="78ECA9C8" w14:textId="77777777" w:rsidR="00EB4834" w:rsidRDefault="00EB4834" w:rsidP="00EB4834">
      <w:pPr>
        <w:pStyle w:val="Heading1"/>
        <w:jc w:val="center"/>
        <w:rPr>
          <w:rFonts w:ascii="Times New Roman" w:hAnsi="Times New Roman" w:cs="Times New Roman"/>
          <w:b/>
          <w:bCs/>
          <w:color w:val="000000" w:themeColor="text1"/>
          <w:sz w:val="24"/>
          <w:szCs w:val="24"/>
        </w:rPr>
      </w:pPr>
    </w:p>
    <w:p w14:paraId="5BE17662" w14:textId="7750FC51" w:rsidR="00233E43" w:rsidRPr="00B661ED" w:rsidRDefault="00233E43" w:rsidP="00EB4834">
      <w:pPr>
        <w:pStyle w:val="Heading1"/>
        <w:jc w:val="center"/>
        <w:rPr>
          <w:rFonts w:ascii="Times New Roman" w:hAnsi="Times New Roman" w:cs="Times New Roman"/>
          <w:b/>
          <w:bCs/>
          <w:color w:val="000000" w:themeColor="text1"/>
          <w:sz w:val="24"/>
          <w:szCs w:val="24"/>
        </w:rPr>
      </w:pPr>
      <w:r>
        <w:rPr>
          <w:rFonts w:ascii="Times New Roman" w:hAnsi="Times New Roman" w:cs="Times New Roman"/>
        </w:rPr>
        <w:br w:type="page"/>
      </w:r>
    </w:p>
    <w:p w14:paraId="23096A45" w14:textId="77777777" w:rsidR="00417269" w:rsidRPr="00417269" w:rsidRDefault="00417269" w:rsidP="00417269">
      <w:pPr>
        <w:rPr>
          <w:rFonts w:ascii="Times New Roman" w:hAnsi="Times New Roman" w:cs="Times New Roman"/>
        </w:rPr>
      </w:pPr>
      <w:r w:rsidRPr="00417269">
        <w:rPr>
          <w:rFonts w:ascii="Times New Roman" w:hAnsi="Times New Roman" w:cs="Times New Roman"/>
        </w:rPr>
        <w:lastRenderedPageBreak/>
        <w:t>Nicole Lussier</w:t>
      </w:r>
      <w:r w:rsidRPr="00417269">
        <w:rPr>
          <w:rFonts w:ascii="Times New Roman" w:hAnsi="Times New Roman" w:cs="Times New Roman"/>
          <w:vertAlign w:val="superscript"/>
        </w:rPr>
        <w:t>1</w:t>
      </w:r>
      <w:r w:rsidRPr="00417269">
        <w:rPr>
          <w:rFonts w:ascii="Times New Roman" w:hAnsi="Times New Roman" w:cs="Times New Roman"/>
        </w:rPr>
        <w:t>, Gregory Paladines</w:t>
      </w:r>
      <w:r w:rsidRPr="00417269">
        <w:rPr>
          <w:rFonts w:ascii="Times New Roman" w:hAnsi="Times New Roman" w:cs="Times New Roman"/>
          <w:vertAlign w:val="superscript"/>
        </w:rPr>
        <w:t>2</w:t>
      </w:r>
      <w:r w:rsidRPr="00417269">
        <w:rPr>
          <w:rFonts w:ascii="Times New Roman" w:hAnsi="Times New Roman" w:cs="Times New Roman"/>
        </w:rPr>
        <w:t>, Gloria Loor</w:t>
      </w:r>
      <w:r w:rsidRPr="00417269">
        <w:rPr>
          <w:rFonts w:ascii="Times New Roman" w:hAnsi="Times New Roman" w:cs="Times New Roman"/>
          <w:vertAlign w:val="superscript"/>
        </w:rPr>
        <w:t>2</w:t>
      </w:r>
      <w:r w:rsidRPr="00417269">
        <w:rPr>
          <w:rFonts w:ascii="Times New Roman" w:hAnsi="Times New Roman" w:cs="Times New Roman"/>
        </w:rPr>
        <w:t>, Medardo Quiñonez</w:t>
      </w:r>
      <w:r w:rsidRPr="00417269">
        <w:rPr>
          <w:rFonts w:ascii="Times New Roman" w:hAnsi="Times New Roman" w:cs="Times New Roman"/>
          <w:vertAlign w:val="superscript"/>
        </w:rPr>
        <w:t>2</w:t>
      </w:r>
      <w:r w:rsidRPr="00417269">
        <w:rPr>
          <w:rFonts w:ascii="Times New Roman" w:hAnsi="Times New Roman" w:cs="Times New Roman"/>
        </w:rPr>
        <w:t>, Jacob Woodlief</w:t>
      </w:r>
      <w:r w:rsidRPr="00417269">
        <w:rPr>
          <w:rFonts w:ascii="Times New Roman" w:hAnsi="Times New Roman" w:cs="Times New Roman"/>
          <w:vertAlign w:val="superscript"/>
        </w:rPr>
        <w:t>1</w:t>
      </w:r>
      <w:r w:rsidRPr="00417269">
        <w:rPr>
          <w:rFonts w:ascii="Times New Roman" w:hAnsi="Times New Roman" w:cs="Times New Roman"/>
        </w:rPr>
        <w:t>, Colton Adams</w:t>
      </w:r>
      <w:r w:rsidRPr="00417269">
        <w:rPr>
          <w:rFonts w:ascii="Times New Roman" w:hAnsi="Times New Roman" w:cs="Times New Roman"/>
          <w:vertAlign w:val="superscript"/>
        </w:rPr>
        <w:t>1</w:t>
      </w:r>
      <w:r w:rsidRPr="00417269">
        <w:rPr>
          <w:rFonts w:ascii="Times New Roman" w:hAnsi="Times New Roman" w:cs="Times New Roman"/>
        </w:rPr>
        <w:t>, Erin Ortega</w:t>
      </w:r>
      <w:r w:rsidRPr="00417269">
        <w:rPr>
          <w:rFonts w:ascii="Times New Roman" w:hAnsi="Times New Roman" w:cs="Times New Roman"/>
          <w:vertAlign w:val="superscript"/>
        </w:rPr>
        <w:t>3</w:t>
      </w:r>
      <w:r w:rsidRPr="00417269">
        <w:rPr>
          <w:rFonts w:ascii="Times New Roman" w:hAnsi="Times New Roman" w:cs="Times New Roman"/>
        </w:rPr>
        <w:t>, Laura Russo</w:t>
      </w:r>
      <w:r w:rsidRPr="00417269">
        <w:rPr>
          <w:rFonts w:ascii="Times New Roman" w:hAnsi="Times New Roman" w:cs="Times New Roman"/>
          <w:vertAlign w:val="superscript"/>
        </w:rPr>
        <w:t>1</w:t>
      </w:r>
      <w:r w:rsidRPr="00417269">
        <w:rPr>
          <w:rFonts w:ascii="Times New Roman" w:hAnsi="Times New Roman" w:cs="Times New Roman"/>
        </w:rPr>
        <w:t>, J. Leighton Reid</w:t>
      </w:r>
      <w:r w:rsidRPr="00417269">
        <w:rPr>
          <w:rFonts w:ascii="Times New Roman" w:hAnsi="Times New Roman" w:cs="Times New Roman"/>
          <w:vertAlign w:val="superscript"/>
        </w:rPr>
        <w:t>4</w:t>
      </w:r>
      <w:r w:rsidRPr="00417269">
        <w:rPr>
          <w:rFonts w:ascii="Times New Roman" w:hAnsi="Times New Roman" w:cs="Times New Roman"/>
        </w:rPr>
        <w:t>, Jordan Karubian</w:t>
      </w:r>
      <w:r w:rsidRPr="00417269">
        <w:rPr>
          <w:rFonts w:ascii="Times New Roman" w:hAnsi="Times New Roman" w:cs="Times New Roman"/>
          <w:vertAlign w:val="superscript"/>
        </w:rPr>
        <w:t>2,5</w:t>
      </w:r>
      <w:r w:rsidRPr="00417269">
        <w:rPr>
          <w:rFonts w:ascii="Times New Roman" w:hAnsi="Times New Roman" w:cs="Times New Roman"/>
        </w:rPr>
        <w:t xml:space="preserve"> Charles Kwit</w:t>
      </w:r>
      <w:r w:rsidRPr="00417269">
        <w:rPr>
          <w:rFonts w:ascii="Times New Roman" w:hAnsi="Times New Roman" w:cs="Times New Roman"/>
          <w:vertAlign w:val="superscript"/>
        </w:rPr>
        <w:t>1,6</w:t>
      </w:r>
      <w:r w:rsidRPr="00417269">
        <w:rPr>
          <w:rFonts w:ascii="Times New Roman" w:hAnsi="Times New Roman" w:cs="Times New Roman"/>
        </w:rPr>
        <w:t xml:space="preserve"> </w:t>
      </w:r>
    </w:p>
    <w:p w14:paraId="517A1EE5" w14:textId="77777777" w:rsidR="00F638AB" w:rsidRPr="00B066C6" w:rsidRDefault="00F638AB" w:rsidP="00D77075">
      <w:pPr>
        <w:pStyle w:val="ListParagraph"/>
        <w:numPr>
          <w:ilvl w:val="0"/>
          <w:numId w:val="29"/>
        </w:numPr>
        <w:spacing w:before="0" w:after="0"/>
        <w:rPr>
          <w:rFonts w:ascii="Times New Roman" w:hAnsi="Times New Roman" w:cs="Times New Roman"/>
          <w:shd w:val="clear" w:color="auto" w:fill="FFFFFF"/>
        </w:rPr>
      </w:pPr>
      <w:r w:rsidRPr="00B066C6">
        <w:rPr>
          <w:rFonts w:ascii="Times New Roman" w:hAnsi="Times New Roman" w:cs="Times New Roman"/>
          <w:shd w:val="clear" w:color="auto" w:fill="FFFFFF"/>
        </w:rPr>
        <w:t xml:space="preserve">Department of Ecology and Evolutionary Biology, University of Tennessee, Knoxville TN 37996, USA. </w:t>
      </w:r>
    </w:p>
    <w:p w14:paraId="5500123A" w14:textId="77777777" w:rsidR="00F638AB" w:rsidRPr="00B066C6" w:rsidRDefault="00F638AB" w:rsidP="00D77075">
      <w:pPr>
        <w:pStyle w:val="ListParagraph"/>
        <w:numPr>
          <w:ilvl w:val="0"/>
          <w:numId w:val="29"/>
        </w:numPr>
        <w:spacing w:before="0" w:after="0"/>
        <w:rPr>
          <w:rStyle w:val="normaltextrun"/>
          <w:rFonts w:ascii="Times New Roman" w:hAnsi="Times New Roman" w:cs="Times New Roman"/>
          <w:shd w:val="clear" w:color="auto" w:fill="FFFFFF"/>
          <w:lang w:val="es-EC"/>
        </w:rPr>
      </w:pPr>
      <w:r w:rsidRPr="00B066C6">
        <w:rPr>
          <w:rFonts w:ascii="Times New Roman" w:eastAsia="Calibri" w:hAnsi="Times New Roman" w:cs="Times New Roman"/>
          <w:lang w:val="es-EC"/>
        </w:rPr>
        <w:t xml:space="preserve">Fundación para la Conservación de Los Andes Tropicales, Quininde, Esmeraldas Province 080451, Ecuador. </w:t>
      </w:r>
    </w:p>
    <w:p w14:paraId="15E2D0AA" w14:textId="1C6FBBB2" w:rsidR="00843D16" w:rsidRPr="00843D16" w:rsidRDefault="00843D16" w:rsidP="00D77075">
      <w:pPr>
        <w:pStyle w:val="ListParagraph"/>
        <w:numPr>
          <w:ilvl w:val="0"/>
          <w:numId w:val="29"/>
        </w:numPr>
        <w:spacing w:before="0" w:after="0"/>
        <w:rPr>
          <w:rFonts w:ascii="Times New Roman" w:hAnsi="Times New Roman" w:cs="Times New Roman"/>
          <w:shd w:val="clear" w:color="auto" w:fill="FFFFFF"/>
        </w:rPr>
      </w:pPr>
      <w:r>
        <w:rPr>
          <w:rFonts w:ascii="Times New Roman" w:hAnsi="Times New Roman" w:cs="Times New Roman"/>
          <w:shd w:val="clear" w:color="auto" w:fill="FFFFFF"/>
        </w:rPr>
        <w:t>Department of Biology, Wheaton College, Norton Massachusetts,</w:t>
      </w:r>
      <w:r w:rsidR="001255DB">
        <w:rPr>
          <w:rFonts w:ascii="Times New Roman" w:hAnsi="Times New Roman" w:cs="Times New Roman"/>
          <w:shd w:val="clear" w:color="auto" w:fill="FFFFFF"/>
        </w:rPr>
        <w:t xml:space="preserve"> 02766</w:t>
      </w:r>
      <w:r>
        <w:rPr>
          <w:rFonts w:ascii="Times New Roman" w:hAnsi="Times New Roman" w:cs="Times New Roman"/>
          <w:shd w:val="clear" w:color="auto" w:fill="FFFFFF"/>
        </w:rPr>
        <w:t xml:space="preserve"> USA </w:t>
      </w:r>
    </w:p>
    <w:p w14:paraId="7EC82F81" w14:textId="6871856D" w:rsidR="00F638AB" w:rsidRPr="00B066C6" w:rsidRDefault="00F638AB" w:rsidP="00D77075">
      <w:pPr>
        <w:pStyle w:val="ListParagraph"/>
        <w:numPr>
          <w:ilvl w:val="0"/>
          <w:numId w:val="29"/>
        </w:numPr>
        <w:spacing w:before="0" w:after="0"/>
        <w:rPr>
          <w:rStyle w:val="normaltextrun"/>
          <w:rFonts w:ascii="Times New Roman" w:hAnsi="Times New Roman" w:cs="Times New Roman"/>
          <w:shd w:val="clear" w:color="auto" w:fill="FFFFFF"/>
        </w:rPr>
      </w:pPr>
      <w:r w:rsidRPr="00B066C6">
        <w:rPr>
          <w:rFonts w:ascii="Times New Roman" w:hAnsi="Times New Roman" w:cs="Times New Roman"/>
        </w:rPr>
        <w:t>School of Plant and Environmental Sciences, Virginia Tech, Blacksburg, Virginia,</w:t>
      </w:r>
      <w:r w:rsidR="00B2405A">
        <w:rPr>
          <w:rFonts w:ascii="Times New Roman" w:hAnsi="Times New Roman" w:cs="Times New Roman"/>
        </w:rPr>
        <w:t xml:space="preserve"> 24061</w:t>
      </w:r>
      <w:r w:rsidRPr="00B066C6">
        <w:rPr>
          <w:rFonts w:ascii="Times New Roman" w:hAnsi="Times New Roman" w:cs="Times New Roman"/>
        </w:rPr>
        <w:t xml:space="preserve"> USA</w:t>
      </w:r>
      <w:r w:rsidRPr="00B066C6">
        <w:rPr>
          <w:rFonts w:ascii="Times New Roman" w:hAnsi="Times New Roman" w:cs="Times New Roman"/>
          <w:shd w:val="clear" w:color="auto" w:fill="FFFFFF"/>
        </w:rPr>
        <w:t xml:space="preserve"> </w:t>
      </w:r>
    </w:p>
    <w:p w14:paraId="60D37267" w14:textId="77777777" w:rsidR="00F638AB" w:rsidRPr="00B066C6" w:rsidRDefault="00F638AB" w:rsidP="00D77075">
      <w:pPr>
        <w:pStyle w:val="ListParagraph"/>
        <w:numPr>
          <w:ilvl w:val="0"/>
          <w:numId w:val="29"/>
        </w:numPr>
        <w:spacing w:before="0" w:after="0"/>
        <w:rPr>
          <w:rStyle w:val="normaltextrun"/>
          <w:rFonts w:ascii="Times New Roman" w:hAnsi="Times New Roman" w:cs="Times New Roman"/>
          <w:shd w:val="clear" w:color="auto" w:fill="FFFFFF"/>
        </w:rPr>
      </w:pPr>
      <w:r w:rsidRPr="00B066C6">
        <w:rPr>
          <w:rStyle w:val="normaltextrun"/>
          <w:rFonts w:ascii="Times New Roman" w:hAnsi="Times New Roman" w:cs="Times New Roman"/>
          <w:shd w:val="clear" w:color="auto" w:fill="FFFFFF"/>
        </w:rPr>
        <w:t xml:space="preserve">Department of </w:t>
      </w:r>
      <w:r w:rsidRPr="00B066C6">
        <w:rPr>
          <w:rFonts w:ascii="Times New Roman" w:hAnsi="Times New Roman" w:cs="Times New Roman"/>
          <w:shd w:val="clear" w:color="auto" w:fill="FFFFFF"/>
        </w:rPr>
        <w:t>Ecology and Evolutionary Biology</w:t>
      </w:r>
      <w:r w:rsidRPr="00B066C6">
        <w:rPr>
          <w:rStyle w:val="normaltextrun"/>
          <w:rFonts w:ascii="Times New Roman" w:hAnsi="Times New Roman" w:cs="Times New Roman"/>
          <w:shd w:val="clear" w:color="auto" w:fill="FFFFFF"/>
        </w:rPr>
        <w:t>, Tulane University, New Orleans LA, 70118, USA.</w:t>
      </w:r>
    </w:p>
    <w:p w14:paraId="2AD8D414" w14:textId="77777777" w:rsidR="00F638AB" w:rsidRPr="00B066C6" w:rsidRDefault="00F638AB" w:rsidP="00D77075">
      <w:pPr>
        <w:pStyle w:val="ListParagraph"/>
        <w:numPr>
          <w:ilvl w:val="0"/>
          <w:numId w:val="29"/>
        </w:numPr>
        <w:spacing w:before="0" w:after="0"/>
        <w:rPr>
          <w:rStyle w:val="normaltextrun"/>
          <w:rFonts w:ascii="Times New Roman" w:hAnsi="Times New Roman" w:cs="Times New Roman"/>
          <w:shd w:val="clear" w:color="auto" w:fill="FFFFFF"/>
        </w:rPr>
      </w:pPr>
      <w:r w:rsidRPr="00B066C6">
        <w:rPr>
          <w:rFonts w:ascii="Times New Roman" w:hAnsi="Times New Roman" w:cs="Times New Roman"/>
          <w:shd w:val="clear" w:color="auto" w:fill="FFFFFF"/>
        </w:rPr>
        <w:t>School of Natural Resources, University of Tennessee, Knoxville TN 37996, USA.</w:t>
      </w:r>
    </w:p>
    <w:p w14:paraId="5BBEE56D" w14:textId="2BB23A41" w:rsidR="00F638AB" w:rsidRPr="00B066C6" w:rsidRDefault="00F638AB" w:rsidP="00D77075">
      <w:pPr>
        <w:spacing w:before="0" w:after="0"/>
        <w:rPr>
          <w:rStyle w:val="normaltextrun"/>
          <w:rFonts w:ascii="Times New Roman" w:hAnsi="Times New Roman" w:cs="Times New Roman"/>
        </w:rPr>
      </w:pPr>
      <w:r w:rsidRPr="00B066C6">
        <w:rPr>
          <w:rStyle w:val="normaltextrun"/>
          <w:rFonts w:ascii="Times New Roman" w:hAnsi="Times New Roman" w:cs="Times New Roman"/>
          <w:b/>
          <w:bCs/>
        </w:rPr>
        <w:t xml:space="preserve">Author Contributions: </w:t>
      </w:r>
      <w:r w:rsidRPr="00B066C6">
        <w:rPr>
          <w:rStyle w:val="normaltextrun"/>
          <w:rFonts w:ascii="Times New Roman" w:hAnsi="Times New Roman" w:cs="Times New Roman"/>
        </w:rPr>
        <w:t xml:space="preserve">Nicole Lussier conceived and planned the study. Nicole Lussier, Jacob Woodlief, Colton Adams, </w:t>
      </w:r>
      <w:r w:rsidR="0007555F">
        <w:rPr>
          <w:rStyle w:val="normaltextrun"/>
          <w:rFonts w:ascii="Times New Roman" w:hAnsi="Times New Roman" w:cs="Times New Roman"/>
        </w:rPr>
        <w:t xml:space="preserve">Erin Ortega, </w:t>
      </w:r>
      <w:r w:rsidRPr="00B066C6">
        <w:rPr>
          <w:rStyle w:val="normaltextrun"/>
          <w:rFonts w:ascii="Times New Roman" w:hAnsi="Times New Roman" w:cs="Times New Roman"/>
        </w:rPr>
        <w:t>Gregory Paladines, Gloria Loor, and Medardo Quiñonez</w:t>
      </w:r>
      <w:r w:rsidR="009A240A" w:rsidRPr="00B066C6">
        <w:rPr>
          <w:rStyle w:val="normaltextrun"/>
          <w:rFonts w:ascii="Times New Roman" w:hAnsi="Times New Roman" w:cs="Times New Roman"/>
        </w:rPr>
        <w:t xml:space="preserve"> </w:t>
      </w:r>
      <w:r w:rsidRPr="00B066C6">
        <w:rPr>
          <w:rStyle w:val="normaltextrun"/>
          <w:rFonts w:ascii="Times New Roman" w:hAnsi="Times New Roman" w:cs="Times New Roman"/>
        </w:rPr>
        <w:t>collected and analyzed data.</w:t>
      </w:r>
      <w:r w:rsidR="001308E1" w:rsidRPr="00B066C6">
        <w:rPr>
          <w:rStyle w:val="normaltextrun"/>
          <w:rFonts w:ascii="Times New Roman" w:hAnsi="Times New Roman" w:cs="Times New Roman"/>
        </w:rPr>
        <w:t xml:space="preserve"> Nicole Lussier wrote the manuscript. </w:t>
      </w:r>
      <w:r w:rsidRPr="00B066C6">
        <w:rPr>
          <w:rStyle w:val="normaltextrun"/>
          <w:rFonts w:ascii="Times New Roman" w:hAnsi="Times New Roman" w:cs="Times New Roman"/>
        </w:rPr>
        <w:t xml:space="preserve"> Jordan Karubian, J. Leighton Reid, and Charles Kwit were involved in planning, supervised the work, and aided in interpreting results and editing the manuscript. All authors discussed results and commented on the manuscript</w:t>
      </w:r>
      <w:r w:rsidR="001308E1" w:rsidRPr="00B066C6">
        <w:rPr>
          <w:rStyle w:val="normaltextrun"/>
          <w:rFonts w:ascii="Times New Roman" w:hAnsi="Times New Roman" w:cs="Times New Roman"/>
        </w:rPr>
        <w:t xml:space="preserve">. </w:t>
      </w:r>
    </w:p>
    <w:p w14:paraId="21880EFC" w14:textId="51CBFEDB" w:rsidR="00005BB1" w:rsidRPr="00B066C6" w:rsidRDefault="00005BB1" w:rsidP="00D77075">
      <w:pPr>
        <w:spacing w:before="0" w:after="0"/>
        <w:rPr>
          <w:rStyle w:val="normaltextrun"/>
          <w:rFonts w:ascii="Times New Roman" w:hAnsi="Times New Roman" w:cs="Times New Roman"/>
        </w:rPr>
      </w:pPr>
      <w:r w:rsidRPr="00B066C6">
        <w:rPr>
          <w:rStyle w:val="normaltextrun"/>
          <w:rFonts w:ascii="Times New Roman" w:hAnsi="Times New Roman" w:cs="Times New Roman"/>
          <w:b/>
          <w:bCs/>
        </w:rPr>
        <w:t xml:space="preserve">Acknowledgements: </w:t>
      </w:r>
      <w:r w:rsidRPr="00B066C6">
        <w:rPr>
          <w:rStyle w:val="normaltextrun"/>
          <w:rFonts w:ascii="Times New Roman" w:hAnsi="Times New Roman" w:cs="Times New Roman"/>
        </w:rPr>
        <w:t xml:space="preserve">We would like to thank the staff and researchers at the </w:t>
      </w:r>
      <w:r w:rsidRPr="00B066C6">
        <w:rPr>
          <w:rFonts w:ascii="Times New Roman" w:eastAsia="Calibri" w:hAnsi="Times New Roman" w:cs="Times New Roman"/>
        </w:rPr>
        <w:t>Fundación para la Conservación de Los Andes Tropicales for their continued support and collaboration.</w:t>
      </w:r>
      <w:r w:rsidRPr="00B066C6">
        <w:rPr>
          <w:rStyle w:val="normaltextrun"/>
          <w:rFonts w:ascii="Times New Roman" w:hAnsi="Times New Roman" w:cs="Times New Roman"/>
        </w:rPr>
        <w:t xml:space="preserve"> </w:t>
      </w:r>
      <w:r>
        <w:rPr>
          <w:rStyle w:val="normaltextrun"/>
          <w:rFonts w:ascii="Times New Roman" w:hAnsi="Times New Roman" w:cs="Times New Roman"/>
        </w:rPr>
        <w:t>W</w:t>
      </w:r>
      <w:r w:rsidRPr="00B066C6">
        <w:rPr>
          <w:rStyle w:val="normaltextrun"/>
          <w:rFonts w:ascii="Times New Roman" w:hAnsi="Times New Roman" w:cs="Times New Roman"/>
        </w:rPr>
        <w:t>e would like to thank the group of undergraduate researchers who aided in the data collection of this work, including Maggie Millar, John Huston, Lily Benson, Charlie Darmstadt, Taylor Mathes, and Courtney Velasquez, in addition to our field technicians and collaborators Rachel Crafford and Judith Santano. NML’s data collection for this work was supported by the British Ecological Society</w:t>
      </w:r>
      <w:r w:rsidRPr="00B066C6">
        <w:rPr>
          <w:rStyle w:val="normaltextrun"/>
          <w:rFonts w:ascii="Times New Roman" w:hAnsi="Times New Roman" w:cs="Times New Roman"/>
          <w:b/>
          <w:bCs/>
        </w:rPr>
        <w:t xml:space="preserve"> </w:t>
      </w:r>
      <w:r w:rsidRPr="00B066C6">
        <w:rPr>
          <w:rStyle w:val="normaltextrun"/>
          <w:rFonts w:ascii="Times New Roman" w:hAnsi="Times New Roman" w:cs="Times New Roman"/>
        </w:rPr>
        <w:t>(</w:t>
      </w:r>
      <w:r w:rsidRPr="00B066C6">
        <w:rPr>
          <w:rStyle w:val="Strong"/>
          <w:rFonts w:ascii="Times New Roman" w:eastAsiaTheme="majorEastAsia" w:hAnsi="Times New Roman" w:cs="Times New Roman"/>
          <w:b w:val="0"/>
          <w:bCs w:val="0"/>
        </w:rPr>
        <w:t>SR23\1280), the American Philanthropical Society, the American Ornithological Society, the Wilson Ornithological Society (</w:t>
      </w:r>
      <w:r w:rsidRPr="00B066C6">
        <w:rPr>
          <w:rFonts w:ascii="Times New Roman" w:hAnsi="Times New Roman" w:cs="Times New Roman"/>
        </w:rPr>
        <w:t>Stewart23_NL)</w:t>
      </w:r>
      <w:r w:rsidRPr="00B066C6">
        <w:rPr>
          <w:rStyle w:val="Strong"/>
          <w:rFonts w:ascii="Times New Roman" w:eastAsiaTheme="majorEastAsia" w:hAnsi="Times New Roman" w:cs="Times New Roman"/>
        </w:rPr>
        <w:t>,</w:t>
      </w:r>
      <w:r w:rsidRPr="00B066C6">
        <w:rPr>
          <w:rStyle w:val="Strong"/>
          <w:rFonts w:ascii="Times New Roman" w:eastAsiaTheme="majorEastAsia" w:hAnsi="Times New Roman" w:cs="Times New Roman"/>
          <w:b w:val="0"/>
          <w:bCs w:val="0"/>
        </w:rPr>
        <w:t xml:space="preserve"> </w:t>
      </w:r>
      <w:r w:rsidR="0007555F">
        <w:rPr>
          <w:rStyle w:val="Strong"/>
          <w:rFonts w:ascii="Times New Roman" w:eastAsiaTheme="majorEastAsia" w:hAnsi="Times New Roman" w:cs="Times New Roman"/>
          <w:b w:val="0"/>
          <w:bCs w:val="0"/>
        </w:rPr>
        <w:t xml:space="preserve">The Association for Tropical Biology, </w:t>
      </w:r>
      <w:r w:rsidRPr="00B066C6">
        <w:rPr>
          <w:rStyle w:val="Strong"/>
          <w:rFonts w:ascii="Times New Roman" w:eastAsiaTheme="majorEastAsia" w:hAnsi="Times New Roman" w:cs="Times New Roman"/>
          <w:b w:val="0"/>
          <w:bCs w:val="0"/>
        </w:rPr>
        <w:t>and the University of Tennessee</w:t>
      </w:r>
      <w:r w:rsidRPr="00B066C6">
        <w:rPr>
          <w:rStyle w:val="Strong"/>
          <w:rFonts w:ascii="Times New Roman" w:eastAsiaTheme="majorEastAsia" w:hAnsi="Times New Roman" w:cs="Times New Roman"/>
        </w:rPr>
        <w:t xml:space="preserve">. </w:t>
      </w:r>
      <w:r w:rsidRPr="00B066C6">
        <w:rPr>
          <w:rFonts w:ascii="Times New Roman" w:hAnsi="Times New Roman" w:cs="Times New Roman"/>
        </w:rPr>
        <w:t>JLR was supported by the National Science Foundation (DEB 23-39839).</w:t>
      </w:r>
    </w:p>
    <w:p w14:paraId="336AC158" w14:textId="19FCE75C" w:rsidR="00005BB1" w:rsidRDefault="00005BB1" w:rsidP="00D77075">
      <w:pPr>
        <w:spacing w:before="0" w:after="0"/>
        <w:rPr>
          <w:rStyle w:val="normaltextrun"/>
          <w:rFonts w:ascii="Times New Roman" w:eastAsiaTheme="majorEastAsia" w:hAnsi="Times New Roman" w:cs="Times New Roman"/>
          <w:b/>
          <w:bCs/>
        </w:rPr>
      </w:pPr>
    </w:p>
    <w:p w14:paraId="53C9BB5D" w14:textId="78DC385A" w:rsidR="00781463" w:rsidRPr="00B066C6" w:rsidRDefault="00781463" w:rsidP="00EB4834">
      <w:pPr>
        <w:pStyle w:val="Heading2"/>
        <w:spacing w:before="0" w:after="0"/>
        <w:rPr>
          <w:rStyle w:val="normaltextrun"/>
          <w:rFonts w:ascii="Times New Roman" w:hAnsi="Times New Roman" w:cs="Times New Roman"/>
          <w:b/>
          <w:bCs/>
          <w:color w:val="auto"/>
          <w:sz w:val="24"/>
          <w:szCs w:val="24"/>
        </w:rPr>
      </w:pPr>
      <w:bookmarkStart w:id="110" w:name="_Toc195189635"/>
      <w:r w:rsidRPr="00B066C6">
        <w:rPr>
          <w:rStyle w:val="normaltextrun"/>
          <w:rFonts w:ascii="Times New Roman" w:hAnsi="Times New Roman" w:cs="Times New Roman"/>
          <w:b/>
          <w:bCs/>
          <w:color w:val="auto"/>
          <w:sz w:val="24"/>
          <w:szCs w:val="24"/>
        </w:rPr>
        <w:lastRenderedPageBreak/>
        <w:t>Abstract</w:t>
      </w:r>
      <w:bookmarkEnd w:id="110"/>
    </w:p>
    <w:p w14:paraId="358CE73B" w14:textId="328D6E93" w:rsidR="008D7E14" w:rsidRDefault="00DB6466" w:rsidP="00EB4834">
      <w:pPr>
        <w:spacing w:before="0" w:after="0"/>
        <w:rPr>
          <w:rFonts w:ascii="Times New Roman" w:hAnsi="Times New Roman" w:cs="Times New Roman"/>
          <w:color w:val="000000" w:themeColor="text1"/>
        </w:rPr>
      </w:pPr>
      <w:r w:rsidRPr="00DB6466">
        <w:rPr>
          <w:rFonts w:ascii="Times New Roman" w:hAnsi="Times New Roman" w:cs="Times New Roman"/>
          <w:color w:val="000000" w:themeColor="text1"/>
        </w:rPr>
        <w:t xml:space="preserve">Restoring interactions between frugivorous animals and fruiting plant species is pivotal for </w:t>
      </w:r>
      <w:r w:rsidRPr="00DB6466">
        <w:rPr>
          <w:rFonts w:ascii="Times New Roman" w:eastAsiaTheme="majorEastAsia" w:hAnsi="Times New Roman" w:cs="Times New Roman"/>
          <w:color w:val="000000" w:themeColor="text1"/>
        </w:rPr>
        <w:t>reestablishing</w:t>
      </w:r>
      <w:r w:rsidRPr="00DB6466">
        <w:rPr>
          <w:rFonts w:ascii="Times New Roman" w:hAnsi="Times New Roman" w:cs="Times New Roman"/>
          <w:color w:val="000000" w:themeColor="text1"/>
        </w:rPr>
        <w:t xml:space="preserve"> community structure and ecosystem functions in regenerating tropical forests. </w:t>
      </w:r>
      <w:r w:rsidRPr="00DB6466">
        <w:rPr>
          <w:rFonts w:ascii="Times New Roman" w:eastAsiaTheme="majorEastAsia" w:hAnsi="Times New Roman" w:cs="Times New Roman"/>
          <w:color w:val="000000" w:themeColor="text1"/>
        </w:rPr>
        <w:t>Seed dispersal networks provide a framework for understanding how interactions change during regeneration</w:t>
      </w:r>
      <w:r w:rsidRPr="00DB6466">
        <w:rPr>
          <w:rFonts w:ascii="Times New Roman" w:hAnsi="Times New Roman" w:cs="Times New Roman"/>
          <w:color w:val="000000" w:themeColor="text1"/>
        </w:rPr>
        <w:t xml:space="preserve">, </w:t>
      </w:r>
      <w:r w:rsidR="00F04BD4">
        <w:rPr>
          <w:rFonts w:ascii="Times New Roman" w:hAnsi="Times New Roman" w:cs="Times New Roman"/>
          <w:color w:val="000000" w:themeColor="text1"/>
        </w:rPr>
        <w:t>where</w:t>
      </w:r>
      <w:r w:rsidRPr="00DB6466">
        <w:rPr>
          <w:rFonts w:ascii="Times New Roman" w:hAnsi="Times New Roman" w:cs="Times New Roman"/>
          <w:color w:val="000000" w:themeColor="text1"/>
        </w:rPr>
        <w:t xml:space="preserve"> network-level measures such as nestedness and modularity can </w:t>
      </w:r>
      <w:r w:rsidR="00F04BD4">
        <w:rPr>
          <w:rFonts w:ascii="Times New Roman" w:hAnsi="Times New Roman" w:cs="Times New Roman"/>
          <w:color w:val="000000" w:themeColor="text1"/>
        </w:rPr>
        <w:t>describe</w:t>
      </w:r>
      <w:r w:rsidRPr="00DB6466">
        <w:rPr>
          <w:rFonts w:ascii="Times New Roman" w:hAnsi="Times New Roman" w:cs="Times New Roman"/>
          <w:color w:val="000000" w:themeColor="text1"/>
        </w:rPr>
        <w:t xml:space="preserve"> patterns of </w:t>
      </w:r>
      <w:r w:rsidRPr="00DB6466">
        <w:rPr>
          <w:rFonts w:ascii="Times New Roman" w:eastAsiaTheme="majorEastAsia" w:hAnsi="Times New Roman" w:cs="Times New Roman"/>
          <w:color w:val="000000" w:themeColor="text1"/>
        </w:rPr>
        <w:t>resilience</w:t>
      </w:r>
      <w:r w:rsidR="007257F3">
        <w:rPr>
          <w:rFonts w:ascii="Times New Roman" w:eastAsiaTheme="majorEastAsia" w:hAnsi="Times New Roman" w:cs="Times New Roman"/>
          <w:color w:val="000000" w:themeColor="text1"/>
        </w:rPr>
        <w:t xml:space="preserve"> </w:t>
      </w:r>
      <w:r w:rsidR="00F04BD4">
        <w:rPr>
          <w:rFonts w:ascii="Times New Roman" w:eastAsiaTheme="majorEastAsia" w:hAnsi="Times New Roman" w:cs="Times New Roman"/>
          <w:color w:val="000000" w:themeColor="text1"/>
        </w:rPr>
        <w:t>in interactions against</w:t>
      </w:r>
      <w:r w:rsidR="007257F3">
        <w:rPr>
          <w:rFonts w:ascii="Times New Roman" w:eastAsiaTheme="majorEastAsia" w:hAnsi="Times New Roman" w:cs="Times New Roman"/>
          <w:color w:val="000000" w:themeColor="text1"/>
        </w:rPr>
        <w:t xml:space="preserve"> disturbances</w:t>
      </w:r>
      <w:r w:rsidRPr="00DB6466">
        <w:rPr>
          <w:rFonts w:ascii="Times New Roman" w:hAnsi="Times New Roman" w:cs="Times New Roman"/>
          <w:color w:val="000000" w:themeColor="text1"/>
        </w:rPr>
        <w:t xml:space="preserve">. However, the reassembly of interactions between frugivorous animals and fruiting plant species as a function of forest regeneration </w:t>
      </w:r>
      <w:r w:rsidRPr="00DB6466">
        <w:rPr>
          <w:rFonts w:ascii="Times New Roman" w:eastAsiaTheme="majorEastAsia" w:hAnsi="Times New Roman" w:cs="Times New Roman"/>
          <w:color w:val="000000" w:themeColor="text1"/>
        </w:rPr>
        <w:t>remains poorly understood</w:t>
      </w:r>
      <w:r w:rsidRPr="00DB6466">
        <w:rPr>
          <w:rFonts w:ascii="Times New Roman" w:hAnsi="Times New Roman" w:cs="Times New Roman"/>
          <w:color w:val="000000" w:themeColor="text1"/>
        </w:rPr>
        <w:t xml:space="preserve">. In this study, we </w:t>
      </w:r>
      <w:r w:rsidRPr="00DB6466">
        <w:rPr>
          <w:rFonts w:ascii="Times New Roman" w:eastAsiaTheme="majorEastAsia" w:hAnsi="Times New Roman" w:cs="Times New Roman"/>
          <w:color w:val="000000" w:themeColor="text1"/>
        </w:rPr>
        <w:t>investigated</w:t>
      </w:r>
      <w:r w:rsidRPr="00DB6466">
        <w:rPr>
          <w:rFonts w:ascii="Times New Roman" w:hAnsi="Times New Roman" w:cs="Times New Roman"/>
          <w:color w:val="000000" w:themeColor="text1"/>
        </w:rPr>
        <w:t xml:space="preserve"> how seed dispersal networks reassemble across regenerating forests in the </w:t>
      </w:r>
      <w:r w:rsidRPr="00DB6466">
        <w:rPr>
          <w:rFonts w:ascii="Times New Roman" w:eastAsiaTheme="majorEastAsia" w:hAnsi="Times New Roman" w:cs="Times New Roman"/>
          <w:color w:val="000000" w:themeColor="text1"/>
        </w:rPr>
        <w:t>Chocó Rainforest of northwestern Ecuador</w:t>
      </w:r>
      <w:r w:rsidRPr="00DB6466">
        <w:rPr>
          <w:rFonts w:ascii="Times New Roman" w:hAnsi="Times New Roman" w:cs="Times New Roman"/>
          <w:color w:val="000000" w:themeColor="text1"/>
        </w:rPr>
        <w:t>. Using a combination of mist-netting and camera trap surveys, we sampled seed dispersal interactions</w:t>
      </w:r>
      <w:r w:rsidR="0037129C">
        <w:rPr>
          <w:rFonts w:ascii="Times New Roman" w:hAnsi="Times New Roman" w:cs="Times New Roman"/>
          <w:color w:val="000000" w:themeColor="text1"/>
        </w:rPr>
        <w:t xml:space="preserve"> </w:t>
      </w:r>
      <w:r w:rsidRPr="00DB6466">
        <w:rPr>
          <w:rFonts w:ascii="Times New Roman" w:hAnsi="Times New Roman" w:cs="Times New Roman"/>
          <w:color w:val="000000" w:themeColor="text1"/>
        </w:rPr>
        <w:t xml:space="preserve">across four stages of forest regeneration: </w:t>
      </w:r>
      <w:r w:rsidRPr="00DB6466">
        <w:rPr>
          <w:rFonts w:ascii="Times New Roman" w:eastAsiaTheme="majorEastAsia" w:hAnsi="Times New Roman" w:cs="Times New Roman"/>
          <w:color w:val="000000" w:themeColor="text1"/>
        </w:rPr>
        <w:t>highly impacted pastures, early successional vegetation, secondary forests, and old-growth Chocó rainforest</w:t>
      </w:r>
      <w:r w:rsidRPr="00DB6466">
        <w:rPr>
          <w:rFonts w:ascii="Times New Roman" w:hAnsi="Times New Roman" w:cs="Times New Roman"/>
          <w:color w:val="000000" w:themeColor="text1"/>
        </w:rPr>
        <w:t xml:space="preserve">. We built quantitative networks of </w:t>
      </w:r>
      <w:r w:rsidR="00F04BD4" w:rsidRPr="00DB6466">
        <w:rPr>
          <w:rFonts w:ascii="Times New Roman" w:hAnsi="Times New Roman" w:cs="Times New Roman"/>
          <w:color w:val="000000" w:themeColor="text1"/>
        </w:rPr>
        <w:t xml:space="preserve">observed </w:t>
      </w:r>
      <w:r w:rsidRPr="00DB6466">
        <w:rPr>
          <w:rFonts w:ascii="Times New Roman" w:hAnsi="Times New Roman" w:cs="Times New Roman"/>
          <w:color w:val="000000" w:themeColor="text1"/>
        </w:rPr>
        <w:t xml:space="preserve">interactions between </w:t>
      </w:r>
      <w:r w:rsidR="00F04BD4">
        <w:rPr>
          <w:rFonts w:ascii="Times New Roman" w:hAnsi="Times New Roman" w:cs="Times New Roman"/>
          <w:color w:val="000000" w:themeColor="text1"/>
        </w:rPr>
        <w:t xml:space="preserve">fruiting </w:t>
      </w:r>
      <w:r w:rsidRPr="00DB6466">
        <w:rPr>
          <w:rFonts w:ascii="Times New Roman" w:hAnsi="Times New Roman" w:cs="Times New Roman"/>
          <w:color w:val="000000" w:themeColor="text1"/>
        </w:rPr>
        <w:t>plants and seed disper</w:t>
      </w:r>
      <w:r w:rsidR="00F04BD4">
        <w:rPr>
          <w:rFonts w:ascii="Times New Roman" w:hAnsi="Times New Roman" w:cs="Times New Roman"/>
          <w:color w:val="000000" w:themeColor="text1"/>
        </w:rPr>
        <w:t>sing animals and then</w:t>
      </w:r>
      <w:r w:rsidRPr="00DB6466">
        <w:rPr>
          <w:rFonts w:ascii="Times New Roman" w:hAnsi="Times New Roman" w:cs="Times New Roman"/>
          <w:color w:val="000000" w:themeColor="text1"/>
        </w:rPr>
        <w:t xml:space="preserve"> extracted key network-level metrics including specialization, </w:t>
      </w:r>
      <w:r w:rsidRPr="00DB6466">
        <w:rPr>
          <w:rFonts w:ascii="Times New Roman" w:eastAsiaTheme="majorEastAsia" w:hAnsi="Times New Roman" w:cs="Times New Roman"/>
          <w:color w:val="000000" w:themeColor="text1"/>
        </w:rPr>
        <w:t>nestedness, modularity, and interaction frequency</w:t>
      </w:r>
      <w:r w:rsidRPr="00DB6466">
        <w:rPr>
          <w:rFonts w:ascii="Times New Roman" w:hAnsi="Times New Roman" w:cs="Times New Roman"/>
          <w:color w:val="000000" w:themeColor="text1"/>
        </w:rPr>
        <w:t xml:space="preserve">. We found that </w:t>
      </w:r>
      <w:r w:rsidR="0006466A">
        <w:rPr>
          <w:rFonts w:ascii="Times New Roman" w:hAnsi="Times New Roman" w:cs="Times New Roman"/>
          <w:color w:val="000000" w:themeColor="text1"/>
        </w:rPr>
        <w:t xml:space="preserve">early successional habitats fostered </w:t>
      </w:r>
      <w:r w:rsidR="00F04BD4">
        <w:rPr>
          <w:rFonts w:ascii="Times New Roman" w:hAnsi="Times New Roman" w:cs="Times New Roman"/>
          <w:color w:val="000000" w:themeColor="text1"/>
        </w:rPr>
        <w:t>high frequency</w:t>
      </w:r>
      <w:r w:rsidRPr="00DB6466">
        <w:rPr>
          <w:rFonts w:ascii="Times New Roman" w:hAnsi="Times New Roman" w:cs="Times New Roman"/>
          <w:color w:val="000000" w:themeColor="text1"/>
        </w:rPr>
        <w:t xml:space="preserve"> and diversity of </w:t>
      </w:r>
      <w:r w:rsidR="0006466A">
        <w:rPr>
          <w:rFonts w:ascii="Times New Roman" w:hAnsi="Times New Roman" w:cs="Times New Roman"/>
          <w:color w:val="000000" w:themeColor="text1"/>
        </w:rPr>
        <w:t xml:space="preserve">seed dispersal </w:t>
      </w:r>
      <w:r w:rsidRPr="00DB6466">
        <w:rPr>
          <w:rFonts w:ascii="Times New Roman" w:hAnsi="Times New Roman" w:cs="Times New Roman"/>
          <w:color w:val="000000" w:themeColor="text1"/>
        </w:rPr>
        <w:t>interactions,</w:t>
      </w:r>
      <w:r w:rsidR="0006466A">
        <w:rPr>
          <w:rFonts w:ascii="Times New Roman" w:hAnsi="Times New Roman" w:cs="Times New Roman"/>
          <w:color w:val="000000" w:themeColor="text1"/>
        </w:rPr>
        <w:t xml:space="preserve"> which decreased </w:t>
      </w:r>
      <w:r w:rsidR="00F04BD4">
        <w:rPr>
          <w:rFonts w:ascii="Times New Roman" w:hAnsi="Times New Roman" w:cs="Times New Roman"/>
          <w:color w:val="000000" w:themeColor="text1"/>
        </w:rPr>
        <w:t xml:space="preserve">in more </w:t>
      </w:r>
      <w:r w:rsidR="0006466A">
        <w:rPr>
          <w:rFonts w:ascii="Times New Roman" w:hAnsi="Times New Roman" w:cs="Times New Roman"/>
          <w:color w:val="000000" w:themeColor="text1"/>
        </w:rPr>
        <w:t>mature forests</w:t>
      </w:r>
      <w:r w:rsidRPr="00DB6466">
        <w:rPr>
          <w:rFonts w:ascii="Times New Roman" w:hAnsi="Times New Roman" w:cs="Times New Roman"/>
          <w:color w:val="000000" w:themeColor="text1"/>
        </w:rPr>
        <w:t>. A</w:t>
      </w:r>
      <w:r w:rsidRPr="00DB6466">
        <w:rPr>
          <w:rFonts w:ascii="Times New Roman" w:eastAsiaTheme="majorEastAsia" w:hAnsi="Times New Roman" w:cs="Times New Roman"/>
          <w:color w:val="000000" w:themeColor="text1"/>
        </w:rPr>
        <w:t>s forests transitioned into mid-successional stages (secondary forests), seed dispersal networks underwent major restructuring</w:t>
      </w:r>
      <w:r w:rsidRPr="00DB6466">
        <w:rPr>
          <w:rFonts w:ascii="Times New Roman" w:hAnsi="Times New Roman" w:cs="Times New Roman"/>
          <w:color w:val="000000" w:themeColor="text1"/>
        </w:rPr>
        <w:t xml:space="preserve">, with substantial </w:t>
      </w:r>
      <w:r w:rsidRPr="00DB6466">
        <w:rPr>
          <w:rFonts w:ascii="Times New Roman" w:eastAsiaTheme="majorEastAsia" w:hAnsi="Times New Roman" w:cs="Times New Roman"/>
          <w:color w:val="000000" w:themeColor="text1"/>
        </w:rPr>
        <w:t xml:space="preserve">interaction loss and </w:t>
      </w:r>
      <w:r w:rsidR="0006466A">
        <w:rPr>
          <w:rFonts w:ascii="Times New Roman" w:eastAsiaTheme="majorEastAsia" w:hAnsi="Times New Roman" w:cs="Times New Roman"/>
          <w:color w:val="000000" w:themeColor="text1"/>
        </w:rPr>
        <w:t>rewiring</w:t>
      </w:r>
      <w:r w:rsidRPr="00DB6466">
        <w:rPr>
          <w:rFonts w:ascii="Times New Roman" w:hAnsi="Times New Roman" w:cs="Times New Roman"/>
          <w:color w:val="000000" w:themeColor="text1"/>
        </w:rPr>
        <w:t xml:space="preserve"> between regeneration stages. This shift in interactions led to the emergence of </w:t>
      </w:r>
      <w:r w:rsidRPr="00DB6466">
        <w:rPr>
          <w:rFonts w:ascii="Times New Roman" w:eastAsiaTheme="majorEastAsia" w:hAnsi="Times New Roman" w:cs="Times New Roman"/>
          <w:color w:val="000000" w:themeColor="text1"/>
        </w:rPr>
        <w:t xml:space="preserve">more </w:t>
      </w:r>
      <w:r w:rsidR="00D129D2">
        <w:rPr>
          <w:rFonts w:ascii="Times New Roman" w:eastAsiaTheme="majorEastAsia" w:hAnsi="Times New Roman" w:cs="Times New Roman"/>
          <w:color w:val="000000" w:themeColor="text1"/>
        </w:rPr>
        <w:t>complex</w:t>
      </w:r>
      <w:r w:rsidRPr="00DB6466">
        <w:rPr>
          <w:rFonts w:ascii="Times New Roman" w:eastAsiaTheme="majorEastAsia" w:hAnsi="Times New Roman" w:cs="Times New Roman"/>
          <w:color w:val="000000" w:themeColor="text1"/>
        </w:rPr>
        <w:t xml:space="preserve"> and structured seed dispersal networks </w:t>
      </w:r>
      <w:r w:rsidRPr="00DB6466">
        <w:rPr>
          <w:rFonts w:ascii="Times New Roman" w:hAnsi="Times New Roman" w:cs="Times New Roman"/>
          <w:color w:val="000000" w:themeColor="text1"/>
        </w:rPr>
        <w:t>in mature forests</w:t>
      </w:r>
      <w:r w:rsidRPr="00DB6466">
        <w:rPr>
          <w:rFonts w:ascii="Times New Roman" w:eastAsiaTheme="majorEastAsia" w:hAnsi="Times New Roman" w:cs="Times New Roman"/>
          <w:color w:val="000000" w:themeColor="text1"/>
        </w:rPr>
        <w:t>, as they shifted from loosely connected, generalist dominated systems in early successional habitats to more specialized and modular interactions in mature forests</w:t>
      </w:r>
      <w:r w:rsidRPr="00DB6466">
        <w:rPr>
          <w:rFonts w:ascii="Times New Roman" w:hAnsi="Times New Roman" w:cs="Times New Roman"/>
          <w:color w:val="000000" w:themeColor="text1"/>
        </w:rPr>
        <w:t>.</w:t>
      </w:r>
      <w:r w:rsidR="008D7E14">
        <w:rPr>
          <w:rFonts w:ascii="Times New Roman" w:hAnsi="Times New Roman" w:cs="Times New Roman"/>
          <w:color w:val="000000" w:themeColor="text1"/>
        </w:rPr>
        <w:t xml:space="preserve"> </w:t>
      </w:r>
      <w:r w:rsidR="00B919E7" w:rsidRPr="00B919E7">
        <w:rPr>
          <w:rFonts w:ascii="Times New Roman" w:hAnsi="Times New Roman" w:cs="Times New Roman"/>
        </w:rPr>
        <w:t xml:space="preserve">Our results highlight how the complexity of mutualistic interactions between seed-dispersing animals and plants increases during natural regeneration within secondary forests, potentially enhancing ecosystem functions in these highly threatened systems. </w:t>
      </w:r>
    </w:p>
    <w:p w14:paraId="01C57F7B" w14:textId="77777777" w:rsidR="00AD280D" w:rsidRPr="00B066C6" w:rsidRDefault="00AD280D" w:rsidP="00EB4834">
      <w:pPr>
        <w:pStyle w:val="Heading2"/>
        <w:spacing w:before="0" w:after="0"/>
        <w:rPr>
          <w:rFonts w:ascii="Times New Roman" w:hAnsi="Times New Roman" w:cs="Times New Roman"/>
          <w:b/>
          <w:bCs/>
          <w:color w:val="auto"/>
          <w:sz w:val="24"/>
          <w:szCs w:val="24"/>
        </w:rPr>
      </w:pPr>
      <w:bookmarkStart w:id="111" w:name="_Toc195189636"/>
      <w:r w:rsidRPr="00B066C6">
        <w:rPr>
          <w:rFonts w:ascii="Times New Roman" w:hAnsi="Times New Roman" w:cs="Times New Roman"/>
          <w:b/>
          <w:bCs/>
          <w:color w:val="auto"/>
          <w:sz w:val="24"/>
          <w:szCs w:val="24"/>
        </w:rPr>
        <w:t>Introduction</w:t>
      </w:r>
      <w:bookmarkEnd w:id="111"/>
    </w:p>
    <w:p w14:paraId="57121D85" w14:textId="25120B89" w:rsidR="00932152" w:rsidRPr="00932152" w:rsidRDefault="00932152" w:rsidP="00EB4834">
      <w:pPr>
        <w:spacing w:before="0" w:after="0"/>
        <w:ind w:firstLine="720"/>
        <w:rPr>
          <w:rFonts w:ascii="Times New Roman" w:hAnsi="Times New Roman" w:cs="Times New Roman"/>
          <w:color w:val="000000" w:themeColor="text1"/>
          <w:shd w:val="clear" w:color="auto" w:fill="FFFFFF"/>
        </w:rPr>
      </w:pPr>
      <w:r w:rsidRPr="00932152">
        <w:rPr>
          <w:rFonts w:ascii="Times New Roman" w:hAnsi="Times New Roman" w:cs="Times New Roman"/>
          <w:color w:val="000000" w:themeColor="text1"/>
        </w:rPr>
        <w:t xml:space="preserve">Species interactions are critical to ecosystem stability and resilience, </w:t>
      </w:r>
      <w:r w:rsidRPr="00932152">
        <w:rPr>
          <w:rFonts w:ascii="Times New Roman" w:hAnsi="Times New Roman" w:cs="Times New Roman"/>
        </w:rPr>
        <w:t xml:space="preserve">driving key ecosystem functions such as </w:t>
      </w:r>
      <w:r w:rsidRPr="00932152">
        <w:rPr>
          <w:rFonts w:ascii="Times New Roman" w:hAnsi="Times New Roman" w:cs="Times New Roman"/>
          <w:color w:val="000000"/>
          <w:shd w:val="clear" w:color="auto" w:fill="FFFFFF"/>
        </w:rPr>
        <w:t xml:space="preserve">seed dispersal, carbon sequestration, and energy flows </w:t>
      </w:r>
      <w:r w:rsidRPr="00932152">
        <w:rPr>
          <w:rFonts w:ascii="Times New Roman" w:hAnsi="Times New Roman" w:cs="Times New Roman"/>
          <w:color w:val="000000"/>
          <w:shd w:val="clear" w:color="auto" w:fill="FFFFFF"/>
        </w:rPr>
        <w:fldChar w:fldCharType="begin"/>
      </w:r>
      <w:r w:rsidRPr="00932152">
        <w:rPr>
          <w:rFonts w:ascii="Times New Roman" w:hAnsi="Times New Roman" w:cs="Times New Roman"/>
          <w:color w:val="000000"/>
          <w:shd w:val="clear" w:color="auto" w:fill="FFFFFF"/>
        </w:rPr>
        <w:instrText xml:space="preserve"> ADDIN ZOTERO_ITEM CSL_CITATION {"citationID":"vzXA5l7m","properties":{"formattedCitation":"(Ak\\uc0\\u231{}akaya et al., 2020; Brockerhoff et al., 2017; Chanthorn et al., 2019)","plainCitation":"(Akçakaya et al., 2020; Brockerhoff et al., 2017; Chanthorn et al., 2019)","noteIndex":0},"citationItems":[{"id":195,"uris":["http://zotero.org/users/local/0R4uToEG/items/J6FJ2I76","http://zotero.org/users/12345038/items/J6FJ2I76"],"itemData":{"id":195,"type":"article-journal","abstract":"Species interactions matter to conservation. Setting an ambitious recovery target for a species requires considering the size, density, and demographic structure of its populations such that they fulfill the interactions, roles, and functions of the species in the ecosystems in which they are embedded. A recently proposed framework for an International Union for Conservation of Nature Green List of Species formalizes this requirement by defining a fully recovered species in terms of representation, viability, and functionality. Defining and quantifying ecological function from the viewpoint of species recovery is challenging in concept and application, but also an opportunity to insert ecological theory into conservation practice. We propose 2 complementary approaches to assessing a species’ ecological functions: confirmation (listing interactions of the species, identifying ecological processes and other species involved in these interactions, and quantifying the extent to which the species contributes to the identified ecological process) and elimination (inferring functionality by ruling out symptoms of reduced functionality, analogous to the red-list approach that focuses on symptoms of reduced viability). Despite the challenges, incorporation of functionality into species recovery planning is possible in most cases and it is essential to a conservation vision that goes beyond preventing extinctions and aims to restore a species to levels beyond what is required for its viability. This vision focuses on conservation and recovery at the species level and sees species as embedded in ecosystems, influencing and being influenced by the processes in those ecosystems. Thus, it connects and integrates conservation at the species and ecosystem levels.","container-title":"Conservation Biology","DOI":"10.1111/cobi.13425","ISSN":"0888-8892, 1523-1739","issue":"3","journalAbbreviation":"Conservation Biology","language":"en","page":"561-571","source":"DOI.org (Crossref)","title":"Assessing ecological function in the context of species recovery","volume":"34","author":[{"family":"Akçakaya","given":"H. Resit"},{"family":"Rodrigues","given":"Ana S. L."},{"family":"Keith","given":"David A."},{"family":"Milner‐Gulland","given":"E. J."},{"family":"Sanderson","given":"Eric W."},{"family":"Hedges","given":"Simon"},{"family":"Mallon","given":"David P."},{"family":"Grace","given":"Molly K."},{"family":"Long","given":"Barney"},{"family":"Meijaard","given":"Erik"},{"family":"Stephenson","given":"P. J."}],"issued":{"date-parts":[["2020",6]]}}},{"id":258,"uris":["http://zotero.org/users/local/0R4uToEG/items/DL9H3SQZ","http://zotero.org/users/12345038/items/DL9H3SQZ"],"itemData":{"id":258,"type":"article-journal","container-title":"Biodiversity and Conservation","DOI":"10.1007/s10531-017-1453-2","ISSN":"0960-3115, 1572-9710","issue":"13","journalAbbreviation":"Biodivers Conserv","language":"en","page":"3005-3035","source":"DOI.org (Crossref)","title":"Forest biodiversity, ecosystem functioning and the provision of ecosystem services","volume":"26","author":[{"family":"Brockerhoff","given":"Eckehard G."},{"family":"Barbaro","given":"Luc"},{"family":"Castagneyrol","given":"Bastien"},{"family":"Forrester","given":"David I."},{"family":"Gardiner","given":"Barry"},{"family":"González-Olabarria","given":"José Ramón"},{"family":"Lyver","given":"Phil O’B."},{"family":"Meurisse","given":"Nicolas"},{"family":"Oxbrough","given":"Anne"},{"family":"Taki","given":"Hisatomo"},{"family":"Thompson","given":"Ian D."},{"family":"Plas","given":"Fons","non-dropping-particle":"van der"},{"family":"Jactel","given":"Hervé"}],"issued":{"date-parts":[["2017",12]]}}},{"id":902,"uris":["http://zotero.org/users/12345038/items/TND93L8F"],"itemData":{"id":902,"type":"article-journal","container-title":"SCIENTIFIC REPORTS","DOI":"10.1038/s41598-019-46399-y","ISSN":"2045-2322","title":"Defaunation of large-bodied frugivores reduces carbon storage in a tropical forest of Southeast Asia","volume":"9","author":[{"family":"Chanthorn","given":"Wirong"},{"family":"Hartig","given":"Florian"},{"family":"Brockelman","given":"Warren Y."},{"family":"Srisang","given":"Wacharapong"},{"family":"Nathalang","given":"Anuttara"},{"family":"Santon","given":"Jantima"}],"issued":{"date-parts":[["2019",7,10]]}}}],"schema":"https://github.com/citation-style-language/schema/raw/master/csl-citation.json"} </w:instrText>
      </w:r>
      <w:r w:rsidRPr="00932152">
        <w:rPr>
          <w:rFonts w:ascii="Times New Roman" w:hAnsi="Times New Roman" w:cs="Times New Roman"/>
          <w:color w:val="000000"/>
          <w:shd w:val="clear" w:color="auto" w:fill="FFFFFF"/>
        </w:rPr>
        <w:fldChar w:fldCharType="separate"/>
      </w:r>
      <w:r w:rsidRPr="00932152">
        <w:rPr>
          <w:rFonts w:ascii="Times New Roman" w:hAnsi="Times New Roman" w:cs="Times New Roman"/>
          <w:color w:val="000000"/>
        </w:rPr>
        <w:t>(Akçakaya et al., 2020; Brockerhoff et al., 2017; Chanthorn et al., 2019)</w:t>
      </w:r>
      <w:r w:rsidRPr="00932152">
        <w:rPr>
          <w:rFonts w:ascii="Times New Roman" w:hAnsi="Times New Roman" w:cs="Times New Roman"/>
          <w:color w:val="000000"/>
          <w:shd w:val="clear" w:color="auto" w:fill="FFFFFF"/>
        </w:rPr>
        <w:fldChar w:fldCharType="end"/>
      </w:r>
      <w:r w:rsidRPr="00932152">
        <w:rPr>
          <w:rFonts w:ascii="Times New Roman" w:hAnsi="Times New Roman" w:cs="Times New Roman"/>
          <w:color w:val="000000"/>
          <w:shd w:val="clear" w:color="auto" w:fill="FFFFFF"/>
        </w:rPr>
        <w:t xml:space="preserve">. These interactions are especially important in tropical forests, which </w:t>
      </w:r>
      <w:r w:rsidRPr="00932152">
        <w:rPr>
          <w:rFonts w:ascii="Times New Roman" w:hAnsi="Times New Roman" w:cs="Times New Roman"/>
        </w:rPr>
        <w:t xml:space="preserve">serve as significant carbon pools </w:t>
      </w:r>
      <w:r w:rsidRPr="00932152">
        <w:rPr>
          <w:rFonts w:ascii="Times New Roman" w:hAnsi="Times New Roman" w:cs="Times New Roman"/>
        </w:rPr>
        <w:fldChar w:fldCharType="begin"/>
      </w:r>
      <w:r w:rsidRPr="00932152">
        <w:rPr>
          <w:rFonts w:ascii="Times New Roman" w:hAnsi="Times New Roman" w:cs="Times New Roman"/>
        </w:rPr>
        <w:instrText xml:space="preserve"> ADDIN ZOTERO_ITEM CSL_CITATION {"citationID":"IaTStatY","properties":{"formattedCitation":"(Soepadmo, 1993)","plainCitation":"(Soepadmo, 1993)","noteIndex":0},"citationItems":[{"id":247,"uris":["http://zotero.org/users/12345038/items/9J6ULUTZ"],"itemData":{"id":247,"type":"article-journal","container-title":"Chemosphere","DOI":"10.1016/0045-6535(93)90066-E","ISSN":"00456535","issue":"6","journalAbbreviation":"Chemosphere","language":"en","page":"1025-1039","source":"DOI.org (Crossref)","title":"Tropical rain forests as carbon sinks","volume":"27","author":[{"family":"Soepadmo","given":"E."}],"issued":{"date-parts":[["1993",9]]}}}],"schema":"https://github.com/citation-style-language/schema/raw/master/csl-citation.json"} </w:instrText>
      </w:r>
      <w:r w:rsidRPr="00932152">
        <w:rPr>
          <w:rFonts w:ascii="Times New Roman" w:hAnsi="Times New Roman" w:cs="Times New Roman"/>
        </w:rPr>
        <w:fldChar w:fldCharType="separate"/>
      </w:r>
      <w:r w:rsidRPr="00932152">
        <w:rPr>
          <w:rFonts w:ascii="Times New Roman" w:hAnsi="Times New Roman" w:cs="Times New Roman"/>
          <w:noProof/>
        </w:rPr>
        <w:t>(Soepadmo, 1993)</w:t>
      </w:r>
      <w:r w:rsidRPr="00932152">
        <w:rPr>
          <w:rFonts w:ascii="Times New Roman" w:hAnsi="Times New Roman" w:cs="Times New Roman"/>
        </w:rPr>
        <w:fldChar w:fldCharType="end"/>
      </w:r>
      <w:r w:rsidRPr="00932152">
        <w:rPr>
          <w:rFonts w:ascii="Times New Roman" w:hAnsi="Times New Roman" w:cs="Times New Roman"/>
        </w:rPr>
        <w:t xml:space="preserve"> and habitat to two-thirds of all species on the planet </w:t>
      </w:r>
      <w:r w:rsidRPr="00932152">
        <w:rPr>
          <w:rFonts w:ascii="Times New Roman" w:hAnsi="Times New Roman" w:cs="Times New Roman"/>
          <w:color w:val="000000" w:themeColor="text1"/>
        </w:rPr>
        <w:fldChar w:fldCharType="begin"/>
      </w:r>
      <w:r w:rsidRPr="00932152">
        <w:rPr>
          <w:rFonts w:ascii="Times New Roman" w:hAnsi="Times New Roman" w:cs="Times New Roman"/>
          <w:color w:val="000000" w:themeColor="text1"/>
        </w:rPr>
        <w:instrText xml:space="preserve"> ADDIN ZOTERO_ITEM CSL_CITATION {"citationID":"YFNBMyrz","properties":{"formattedCitation":"(Olson &amp; Dinerstein, 2002)","plainCitation":"(Olson &amp; Dinerstein, 2002)","noteIndex":0},"citationItems":[{"id":245,"uris":["http://zotero.org/users/12345038/items/RHT6VRXZ"],"itemData":{"id":245,"type":"article-journal","abstract":"A global strategy to conserve biodiversity must aim to protect representative examples of all of the world's ecosystems, as well as those areas that contain exceptional concentrations of species and endemics. Although lacking the richness of tropical forests, deserts, tropical lakes, and subpolar seas all contain distinct species, communities, and ecological phenomena. We analyzed global patterns of biodiversity to identify a set of the Earth's terrestrial, freshwater, and marine ecoregions that harbor exceptional biodiversity and are representative of its ecosystems. We placed each of the Earth's ecoregions within a system of 30 biomes and biogeographic realms to facilitate a representation analysis. Biodiversity features were compared among ecoregions to assess their irreplaceability or distinctiveness. These features included species richness, endemic species, unusual higher taxa, unusual ecological or evolutionary phenomena, and the global rarity of habitats. This process yielded 238 ecoregions the Global 200 comprised of 142 terrestrial, 53 freshwater, and 43 marine priority ecoregions. Effective conservation in this set of ecoregions would help conserve the most outstanding and representative habitats for biodiversity on this planet.","container-title":"Annals of the Missouri Botanical Garden","DOI":"10.2307/3298564","ISSN":"00266493","issue":"2","journalAbbreviation":"Annals of the Missouri Botanical Garden","language":"en","page":"199","source":"DOI.org (Crossref)","title":"The Global 200: Priority Ecoregions for Global Conservation","title-short":"The Global 200","volume":"89","author":[{"family":"Olson","given":"David M."},{"family":"Dinerstein","given":"Eric"}],"issued":{"date-parts":[["2002"]]}}}],"schema":"https://github.com/citation-style-language/schema/raw/master/csl-citation.json"} </w:instrText>
      </w:r>
      <w:r w:rsidRPr="00932152">
        <w:rPr>
          <w:rFonts w:ascii="Times New Roman" w:hAnsi="Times New Roman" w:cs="Times New Roman"/>
          <w:color w:val="000000" w:themeColor="text1"/>
        </w:rPr>
        <w:fldChar w:fldCharType="separate"/>
      </w:r>
      <w:r w:rsidRPr="00932152">
        <w:rPr>
          <w:rFonts w:ascii="Times New Roman" w:hAnsi="Times New Roman" w:cs="Times New Roman"/>
          <w:noProof/>
          <w:color w:val="000000" w:themeColor="text1"/>
        </w:rPr>
        <w:t>(Olson &amp; Dinerstein, 2002)</w:t>
      </w:r>
      <w:r w:rsidRPr="00932152">
        <w:rPr>
          <w:rFonts w:ascii="Times New Roman" w:hAnsi="Times New Roman" w:cs="Times New Roman"/>
          <w:color w:val="000000" w:themeColor="text1"/>
        </w:rPr>
        <w:fldChar w:fldCharType="end"/>
      </w:r>
      <w:r w:rsidRPr="00932152">
        <w:rPr>
          <w:rFonts w:ascii="Times New Roman" w:hAnsi="Times New Roman" w:cs="Times New Roman"/>
          <w:color w:val="000000" w:themeColor="text1"/>
        </w:rPr>
        <w:t xml:space="preserve">. Increasing levels of </w:t>
      </w:r>
      <w:r w:rsidRPr="00932152">
        <w:rPr>
          <w:rFonts w:ascii="Times New Roman" w:hAnsi="Times New Roman" w:cs="Times New Roman"/>
          <w:color w:val="000000" w:themeColor="text1"/>
        </w:rPr>
        <w:lastRenderedPageBreak/>
        <w:t xml:space="preserve">deforestation and land conversion are disrupting species interactions in tropical forests, negatively impacting ecosystem functions and delaying forest recovery </w:t>
      </w:r>
      <w:r w:rsidRPr="00932152">
        <w:rPr>
          <w:rFonts w:ascii="Times New Roman" w:hAnsi="Times New Roman" w:cs="Times New Roman"/>
          <w:color w:val="000000" w:themeColor="text1"/>
        </w:rPr>
        <w:fldChar w:fldCharType="begin"/>
      </w:r>
      <w:r w:rsidRPr="00932152">
        <w:rPr>
          <w:rFonts w:ascii="Times New Roman" w:hAnsi="Times New Roman" w:cs="Times New Roman"/>
          <w:color w:val="000000" w:themeColor="text1"/>
        </w:rPr>
        <w:instrText xml:space="preserve"> ADDIN ZOTERO_ITEM CSL_CITATION {"citationID":"fRt7OAKn","properties":{"formattedCitation":"(Markl et al., 2012)","plainCitation":"(Markl et al., 2012)","noteIndex":0},"citationItems":[{"id":256,"uris":["http://zotero.org/users/12345038/items/BA5IP8E8"],"itemData":{"id":256,"type":"article-journal","abstract":"Animal-mediated seed dispersal is important for sustaining biological diversity in forest ecosystems, particularly in the tropics. Forest fragmentation, hunting, and selective logging modify forests in myriad ways and their effects on animal-mediated seed dispersal have been examined in many case studies. However, the overall effects of different types of human disturbance on animal-mediated seed dispersal are still unknown. We identified 35 articles that provided 83 comparisons of animal-mediated seed dispersal between disturbed and undisturbed forests; all comparisons except one were conducted in tropical or subtropical ecosystems. We assessed the effects of forest fragmentation, hunting, and selective logging on seed dispersal of fleshy-fruited tree species. We carried out a meta-analysis to test whether forest fragmentation, hunting, and selective logging affected 3 components of animal-mediated seed dispersal: frugivore visitation rate, number of seeds removed, and distance of seed dispersal. Forest fragmentation, hunting, and selective logging did not affect visitation rate and were marginally associated with a reduction in seed-dispersal distance. Hunting and selective logging, but not fragmentation, were associated with a large reduction in the number of seeds removed. Fewer seeds of large-seeded than of small-seeded tree species were removed in hunted or selectively logged forests. A plausible explanation for the consistently negative effects of hunting and selective logging on large-seeded plant species is that large frugivores, as the predominant seed dispersers for large-seeded plant species, are the first animals to be extirpated from hunted or logged forests. The reduction in forest area after fragmentation appeared to have weaker effects on frugivore communities and animal-mediated seed dispersal than hunting and selective logging. The differential effects of hunting and selective logging on largeand small-seeded tree species underpinned case studies that showed disrupted plant-frugivore interactions could trigger a homogenization of seed traits in tree communities in hunted or logged tropical forests.","container-title":"Conservation Biology","DOI":"10.1111/j.1523-1739.2012.01927.x","ISSN":"0888-8892, 1523-1739","issue":"6","journalAbbreviation":"Conservation Biology","language":"en","page":"1072-1081","source":"DOI.org (Crossref)","title":"Meta‐Analysis of the Effects of Human Disturbance on Seed Dispersal by Animals","volume":"26","author":[{"family":"Markl","given":"Julia S."},{"family":"Schleuning","given":"Matthias"},{"family":"Forget","given":"Pierre Michel"},{"family":"Jordano","given":"Pedro"},{"family":"Lambert","given":"Joanna E."},{"family":"Traveset","given":"Anna"},{"family":"Wright","given":"S. Joseph"},{"family":"Böhning‐Gaese","given":"Katrin"}],"issued":{"date-parts":[["2012",12]]}}}],"schema":"https://github.com/citation-style-language/schema/raw/master/csl-citation.json"} </w:instrText>
      </w:r>
      <w:r w:rsidRPr="00932152">
        <w:rPr>
          <w:rFonts w:ascii="Times New Roman" w:hAnsi="Times New Roman" w:cs="Times New Roman"/>
          <w:color w:val="000000" w:themeColor="text1"/>
        </w:rPr>
        <w:fldChar w:fldCharType="separate"/>
      </w:r>
      <w:r w:rsidRPr="00932152">
        <w:rPr>
          <w:rFonts w:ascii="Times New Roman" w:hAnsi="Times New Roman" w:cs="Times New Roman"/>
          <w:noProof/>
          <w:color w:val="000000" w:themeColor="text1"/>
        </w:rPr>
        <w:t>(Markl et al., 2012)</w:t>
      </w:r>
      <w:r w:rsidRPr="00932152">
        <w:rPr>
          <w:rFonts w:ascii="Times New Roman" w:hAnsi="Times New Roman" w:cs="Times New Roman"/>
          <w:color w:val="000000" w:themeColor="text1"/>
        </w:rPr>
        <w:fldChar w:fldCharType="end"/>
      </w:r>
      <w:r w:rsidRPr="00932152">
        <w:rPr>
          <w:rFonts w:ascii="Times New Roman" w:hAnsi="Times New Roman" w:cs="Times New Roman"/>
          <w:color w:val="000000" w:themeColor="text1"/>
        </w:rPr>
        <w:t xml:space="preserve">. Ecosystem resilience, or the ability of systems to reestablish functions after a disturbance, depends on the diversity and functional capabilities of mutualistically interacting species </w:t>
      </w:r>
      <w:r w:rsidRPr="00932152">
        <w:rPr>
          <w:rFonts w:ascii="Times New Roman" w:hAnsi="Times New Roman" w:cs="Times New Roman"/>
          <w:color w:val="000000" w:themeColor="text1"/>
          <w:shd w:val="clear" w:color="auto" w:fill="FFFFFF"/>
        </w:rPr>
        <w:t xml:space="preserve"> </w:t>
      </w:r>
      <w:r w:rsidRPr="00932152">
        <w:rPr>
          <w:rFonts w:ascii="Times New Roman" w:hAnsi="Times New Roman" w:cs="Times New Roman"/>
          <w:color w:val="000000" w:themeColor="text1"/>
          <w:shd w:val="clear" w:color="auto" w:fill="FFFFFF"/>
        </w:rPr>
        <w:fldChar w:fldCharType="begin"/>
      </w:r>
      <w:r w:rsidRPr="00932152">
        <w:rPr>
          <w:rFonts w:ascii="Times New Roman" w:hAnsi="Times New Roman" w:cs="Times New Roman"/>
          <w:color w:val="000000" w:themeColor="text1"/>
          <w:shd w:val="clear" w:color="auto" w:fill="FFFFFF"/>
        </w:rPr>
        <w:instrText xml:space="preserve"> ADDIN ZOTERO_ITEM CSL_CITATION {"citationID":"urtoSovw","properties":{"formattedCitation":"(Neuschulz et al., 2016)","plainCitation":"(Neuschulz et al., 2016)","noteIndex":0},"citationItems":[{"id":94,"uris":["http://zotero.org/users/12345038/items/237ZYJT8"],"itemData":{"id":94,"type":"article-journal","container-title":"Scientific Reports","DOI":"10.1038/srep29839","ISSN":"2045-2322","issue":"1","journalAbbreviation":"Sci Rep","language":"en","page":"29839","source":"DOI.org (Crossref)","title":"Pollination and seed dispersal are the most threatened processes of plant regeneration","volume":"6","author":[{"family":"Neuschulz","given":"Eike Lena"},{"family":"Mueller","given":"Thomas"},{"family":"Schleuning","given":"Matthias"},{"family":"Böhning-Gaese","given":"Katrin"}],"issued":{"date-parts":[["2016",7]]}}}],"schema":"https://github.com/citation-style-language/schema/raw/master/csl-citation.json"} </w:instrText>
      </w:r>
      <w:r w:rsidRPr="00932152">
        <w:rPr>
          <w:rFonts w:ascii="Times New Roman" w:hAnsi="Times New Roman" w:cs="Times New Roman"/>
          <w:color w:val="000000" w:themeColor="text1"/>
          <w:shd w:val="clear" w:color="auto" w:fill="FFFFFF"/>
        </w:rPr>
        <w:fldChar w:fldCharType="separate"/>
      </w:r>
      <w:r w:rsidRPr="00932152">
        <w:rPr>
          <w:rFonts w:ascii="Times New Roman" w:hAnsi="Times New Roman" w:cs="Times New Roman"/>
          <w:noProof/>
          <w:color w:val="000000" w:themeColor="text1"/>
          <w:shd w:val="clear" w:color="auto" w:fill="FFFFFF"/>
        </w:rPr>
        <w:t>(Neuschulz et al., 2016)</w:t>
      </w:r>
      <w:r w:rsidRPr="00932152">
        <w:rPr>
          <w:rFonts w:ascii="Times New Roman" w:hAnsi="Times New Roman" w:cs="Times New Roman"/>
          <w:color w:val="000000" w:themeColor="text1"/>
          <w:shd w:val="clear" w:color="auto" w:fill="FFFFFF"/>
        </w:rPr>
        <w:fldChar w:fldCharType="end"/>
      </w:r>
      <w:r w:rsidRPr="00932152">
        <w:rPr>
          <w:rFonts w:ascii="Times New Roman" w:hAnsi="Times New Roman" w:cs="Times New Roman"/>
          <w:color w:val="000000" w:themeColor="text1"/>
          <w:shd w:val="clear" w:color="auto" w:fill="FFFFFF"/>
        </w:rPr>
        <w:t xml:space="preserve">. </w:t>
      </w:r>
      <w:r w:rsidRPr="00932152">
        <w:rPr>
          <w:rFonts w:ascii="Times New Roman" w:hAnsi="Times New Roman" w:cs="Times New Roman"/>
          <w:color w:val="000000" w:themeColor="text1"/>
        </w:rPr>
        <w:t xml:space="preserve">Therefore, </w:t>
      </w:r>
      <w:r w:rsidRPr="00932152">
        <w:rPr>
          <w:rFonts w:ascii="Times New Roman" w:eastAsia="Calibri" w:hAnsi="Times New Roman" w:cs="Times New Roman"/>
          <w:color w:val="000000" w:themeColor="text1"/>
        </w:rPr>
        <w:t xml:space="preserve">the reassembly of species interactions is critical for regaining community structure and ecosystem functions </w:t>
      </w:r>
      <w:r w:rsidRPr="00932152">
        <w:rPr>
          <w:rFonts w:ascii="Times New Roman" w:hAnsi="Times New Roman" w:cs="Times New Roman"/>
          <w:color w:val="000000" w:themeColor="text1"/>
        </w:rPr>
        <w:t>in regenerating tropical forests</w:t>
      </w:r>
      <w:r w:rsidRPr="00932152">
        <w:rPr>
          <w:rFonts w:ascii="Times New Roman" w:eastAsia="Calibri" w:hAnsi="Times New Roman" w:cs="Times New Roman"/>
          <w:color w:val="000000" w:themeColor="text1"/>
        </w:rPr>
        <w:t>.</w:t>
      </w:r>
      <w:r w:rsidRPr="00932152">
        <w:rPr>
          <w:rFonts w:ascii="Times New Roman" w:hAnsi="Times New Roman" w:cs="Times New Roman"/>
          <w:color w:val="000000" w:themeColor="text1"/>
        </w:rPr>
        <w:t xml:space="preserve"> However, while community composition has been widely studied in the context of regeneration, the role of interaction reassembly in driving tropical forest recovery remains largely unexplored </w:t>
      </w:r>
      <w:r w:rsidRPr="00932152">
        <w:rPr>
          <w:rFonts w:ascii="Times New Roman" w:hAnsi="Times New Roman" w:cs="Times New Roman"/>
          <w:color w:val="000000" w:themeColor="text1"/>
        </w:rPr>
        <w:fldChar w:fldCharType="begin"/>
      </w:r>
      <w:r w:rsidRPr="00932152">
        <w:rPr>
          <w:rFonts w:ascii="Times New Roman" w:hAnsi="Times New Roman" w:cs="Times New Roman"/>
          <w:color w:val="000000" w:themeColor="text1"/>
        </w:rPr>
        <w:instrText xml:space="preserve"> ADDIN ZOTERO_ITEM CSL_CITATION {"citationID":"e1YUchOw","properties":{"formattedCitation":"(McAlpine et al., 2016)","plainCitation":"(McAlpine et al., 2016)","noteIndex":0},"citationItems":[{"id":192,"uris":["http://zotero.org/users/12345038/items/CD4SIP4Z"],"itemData":{"id":192,"type":"article-journal","container-title":"Frontiers in Ecology and the Environment","DOI":"10.1002/16-0108.1","ISSN":"1540-9295, 1540-9309","issue":"1","journalAbbreviation":"Front Ecol Environ","language":"en","page":"37-45","source":"DOI.org (Crossref)","title":"Integrating plant‐ and animal‐based perspectives for more effective restoration of biodiversity","volume":"14","author":[{"family":"McAlpine","given":"Clive"},{"family":"Catterall","given":"Carla P"},{"family":"Nally","given":"Ralph Mac"},{"family":"Lindenmayer","given":"David"},{"family":"Reid","given":"J Leighton"},{"family":"Holl","given":"Karen D"},{"family":"Bennett","given":"Andrew F"},{"family":"Runting","given":"Rebecca K"},{"family":"Wilson","given":"Kerrie"},{"family":"Hobbs","given":"Richard J"},{"family":"Seabrook","given":"Leonie"},{"family":"Cunningham","given":"Shaun"},{"family":"Moilanen","given":"Atte"},{"family":"Maron","given":"Martine"},{"family":"Shoo","given":"Luke"},{"family":"Lunt","given":"Ian"},{"family":"Vesk","given":"Peter"},{"family":"Rumpff","given":"Libby"},{"family":"Martin","given":"Tara G"},{"family":"Thomson","given":"James"},{"family":"Possingham","given":"Hugh"}],"issued":{"date-parts":[["2016",2]]}}}],"schema":"https://github.com/citation-style-language/schema/raw/master/csl-citation.json"} </w:instrText>
      </w:r>
      <w:r w:rsidRPr="00932152">
        <w:rPr>
          <w:rFonts w:ascii="Times New Roman" w:hAnsi="Times New Roman" w:cs="Times New Roman"/>
          <w:color w:val="000000" w:themeColor="text1"/>
        </w:rPr>
        <w:fldChar w:fldCharType="separate"/>
      </w:r>
      <w:r w:rsidRPr="00932152">
        <w:rPr>
          <w:rFonts w:ascii="Times New Roman" w:hAnsi="Times New Roman" w:cs="Times New Roman"/>
          <w:noProof/>
          <w:color w:val="000000" w:themeColor="text1"/>
        </w:rPr>
        <w:t>(McAlpine et al., 2016)</w:t>
      </w:r>
      <w:r w:rsidRPr="00932152">
        <w:rPr>
          <w:rFonts w:ascii="Times New Roman" w:hAnsi="Times New Roman" w:cs="Times New Roman"/>
          <w:color w:val="000000" w:themeColor="text1"/>
        </w:rPr>
        <w:fldChar w:fldCharType="end"/>
      </w:r>
      <w:r w:rsidRPr="00932152">
        <w:rPr>
          <w:rFonts w:ascii="Times New Roman" w:hAnsi="Times New Roman" w:cs="Times New Roman"/>
          <w:color w:val="000000" w:themeColor="text1"/>
        </w:rPr>
        <w:t>. Studies examining tropical forest regeneration and restoration often do not consider the complex web of interactions between plants and animals</w:t>
      </w:r>
      <w:r w:rsidR="0013182D">
        <w:rPr>
          <w:rFonts w:ascii="Times New Roman" w:hAnsi="Times New Roman" w:cs="Times New Roman"/>
          <w:color w:val="000000" w:themeColor="text1"/>
        </w:rPr>
        <w:t xml:space="preserve"> w</w:t>
      </w:r>
      <w:r w:rsidRPr="00932152">
        <w:rPr>
          <w:rFonts w:ascii="Times New Roman" w:hAnsi="Times New Roman" w:cs="Times New Roman"/>
          <w:color w:val="000000" w:themeColor="text1"/>
        </w:rPr>
        <w:t xml:space="preserve">hich could jeopardize the regeneration of functional ecosystems </w:t>
      </w:r>
      <w:r w:rsidRPr="00932152">
        <w:rPr>
          <w:rFonts w:ascii="Times New Roman" w:hAnsi="Times New Roman" w:cs="Times New Roman"/>
          <w:color w:val="000000" w:themeColor="text1"/>
        </w:rPr>
        <w:fldChar w:fldCharType="begin"/>
      </w:r>
      <w:r w:rsidRPr="00932152">
        <w:rPr>
          <w:rFonts w:ascii="Times New Roman" w:hAnsi="Times New Roman" w:cs="Times New Roman"/>
          <w:color w:val="000000" w:themeColor="text1"/>
        </w:rPr>
        <w:instrText xml:space="preserve"> ADDIN ZOTERO_ITEM CSL_CITATION {"citationID":"1t7QLKn6","properties":{"formattedCitation":"(Aerts &amp; Honnay, 2011; Tim\\uc0\\u243{}teo et al., 2016)","plainCitation":"(Aerts &amp; Honnay, 2011; Timóteo et al., 2016)","noteIndex":0},"citationItems":[{"id":11,"uris":["http://zotero.org/users/local/0R4uToEG/items/5CKCXAFW","http://zotero.org/users/12345038/items/5CKCXAFW"],"itemData":{"id":11,"type":"article-journal","abstract":"Globally, forests cover nearly one third of the land area and they contain over 80% of terrestrial biodiversity. Both the extent and quality of forest habitat continue to decrease and the associated loss of biodiversity jeopardizes forest ecosystem functioning and the ability of forests to provide ecosystem services. In the light of the increasing population pressure, it is of major importance not only to conserve, but also to restore forest ecosystems. Ecological restoration has recently started to adopt insights from the biodiversity-ecosystem functioning (BEF) perspective. Central is the focus on restoring the relation between biodiversity and ecosystem functioning. Here we provide an overview of important considerations related to forest restoration that can be inferred from this BEF-perspective. Restoring multiple forest functions requires multiple species. It is highly unlikely that species-poor plantations, which may be optimal for above-ground biomass production, will outperform species diverse assemblages for a combination of functions, including overall carbon storage and control over water and nutrient flows. Restoring stable forest functions also requires multiple species. In particular in the light of global climatic change scenarios, which predict more frequent extreme disturbances and climatic events, it is important to incorporate insights from the relation between biodiversity and stability of ecosystem functioning into forest restoration projects. Rather than focussing on species per se, focussing on functional diversity of tree species assemblages seems appropriate when selecting tree species for restoration. Finally, also plant genetic diversity and above - below-ground linkages should be considered during the restoration process, as these likely have prominent but until now poorly understood effects at the level of the ecosystem. The BEF-approach provides a useful framework to evaluate forest restoration in an ecosystem functioning context, but it also highlights that much remains to be understood, especially regarding the relation between forest functioning on the one side and genetic diversity and above-ground-below-ground species associations on the other. The strong emphasis of the BEF-approach on functional rather than taxonomic diversity may also be the beginning of a paradigm shift in restoration ecology, increasing the tolerance towards allochthonous species.","container-title":"BMC Ecology","DOI":"10.1186/1472-6785-11-29","ISSN":"1472-6785","issue":"1","journalAbbreviation":"BMC Ecol","language":"en","page":"29","source":"DOI.org (Crossref)","title":"Forest restoration, biodiversity and ecosystem functioning","volume":"11","author":[{"family":"Aerts","given":"Raf"},{"family":"Honnay","given":"Olivier"}],"issued":{"date-parts":[["2011"]]}}},{"id":4,"uris":["http://zotero.org/users/local/0R4uToEG/items/UKUKDAX9","http://zotero.org/users/12345038/items/UKUKDAX9"],"itemData":{"id":4,"type":"article-journal","container-title":"Current Biology","DOI":"10.1016/j.cub.2016.01.046","ISSN":"09609822","issue":"7","journalAbbreviation":"Current Biology","language":"en","page":"910-915","source":"DOI.org (Crossref)","title":"High Resilience of Seed Dispersal Webs Highlighted by the Experimental Removal of the Dominant Disperser","volume":"26","author":[{"family":"Timóteo","given":"Sérgio"},{"family":"Ramos","given":"Jaime Albino"},{"family":"Vaughan","given":"Ian Phillip"},{"family":"Memmott","given":"Jane"}],"issued":{"date-parts":[["2016",4]]}}}],"schema":"https://github.com/citation-style-language/schema/raw/master/csl-citation.json"} </w:instrText>
      </w:r>
      <w:r w:rsidRPr="00932152">
        <w:rPr>
          <w:rFonts w:ascii="Times New Roman" w:hAnsi="Times New Roman" w:cs="Times New Roman"/>
          <w:color w:val="000000" w:themeColor="text1"/>
        </w:rPr>
        <w:fldChar w:fldCharType="separate"/>
      </w:r>
      <w:r w:rsidRPr="00932152">
        <w:rPr>
          <w:rFonts w:ascii="Times New Roman" w:hAnsi="Times New Roman" w:cs="Times New Roman"/>
          <w:color w:val="000000" w:themeColor="text1"/>
        </w:rPr>
        <w:t>(Aerts &amp; Honnay, 2011; Timóteo et al., 2016)</w:t>
      </w:r>
      <w:r w:rsidRPr="00932152">
        <w:rPr>
          <w:rFonts w:ascii="Times New Roman" w:hAnsi="Times New Roman" w:cs="Times New Roman"/>
          <w:color w:val="000000" w:themeColor="text1"/>
        </w:rPr>
        <w:fldChar w:fldCharType="end"/>
      </w:r>
      <w:r w:rsidRPr="00932152">
        <w:rPr>
          <w:rFonts w:ascii="Times New Roman" w:hAnsi="Times New Roman" w:cs="Times New Roman"/>
          <w:color w:val="000000" w:themeColor="text1"/>
          <w:shd w:val="clear" w:color="auto" w:fill="FFFFFF"/>
        </w:rPr>
        <w:t xml:space="preserve">. </w:t>
      </w:r>
      <w:r w:rsidRPr="00932152">
        <w:rPr>
          <w:rFonts w:ascii="Times New Roman" w:hAnsi="Times New Roman" w:cs="Times New Roman"/>
          <w:color w:val="000000" w:themeColor="text1"/>
        </w:rPr>
        <w:t xml:space="preserve">Thus, in this study we ask: how do species interactions reassemble </w:t>
      </w:r>
      <w:r w:rsidR="007A526F">
        <w:rPr>
          <w:rFonts w:ascii="Times New Roman" w:hAnsi="Times New Roman" w:cs="Times New Roman"/>
          <w:color w:val="000000" w:themeColor="text1"/>
        </w:rPr>
        <w:t xml:space="preserve">with tropical forest </w:t>
      </w:r>
      <w:r w:rsidRPr="00932152">
        <w:rPr>
          <w:rFonts w:ascii="Times New Roman" w:hAnsi="Times New Roman" w:cs="Times New Roman"/>
          <w:color w:val="000000" w:themeColor="text1"/>
        </w:rPr>
        <w:t>regenerati</w:t>
      </w:r>
      <w:r w:rsidR="007A526F">
        <w:rPr>
          <w:rFonts w:ascii="Times New Roman" w:hAnsi="Times New Roman" w:cs="Times New Roman"/>
          <w:color w:val="000000" w:themeColor="text1"/>
        </w:rPr>
        <w:t xml:space="preserve">on? </w:t>
      </w:r>
      <w:r w:rsidRPr="00932152">
        <w:rPr>
          <w:rFonts w:ascii="Times New Roman" w:hAnsi="Times New Roman" w:cs="Times New Roman"/>
          <w:color w:val="000000" w:themeColor="text1"/>
        </w:rPr>
        <w:t xml:space="preserve"> </w:t>
      </w:r>
    </w:p>
    <w:p w14:paraId="6D035520" w14:textId="097D372B" w:rsidR="00932152" w:rsidRPr="00932152" w:rsidRDefault="00F900A7" w:rsidP="00EB4834">
      <w:pPr>
        <w:spacing w:before="0" w:after="0"/>
        <w:ind w:firstLine="720"/>
        <w:rPr>
          <w:rFonts w:ascii="Times New Roman" w:hAnsi="Times New Roman" w:cs="Times New Roman"/>
        </w:rPr>
      </w:pPr>
      <w:r>
        <w:rPr>
          <w:rFonts w:ascii="Times New Roman" w:hAnsi="Times New Roman" w:cs="Times New Roman"/>
          <w:color w:val="000000" w:themeColor="text1"/>
        </w:rPr>
        <w:t>Interactions between fruiting plant species and frugivorous animals</w:t>
      </w:r>
      <w:r w:rsidR="00932152" w:rsidRPr="00932152">
        <w:rPr>
          <w:rFonts w:ascii="Times New Roman" w:hAnsi="Times New Roman" w:cs="Times New Roman"/>
          <w:color w:val="000000" w:themeColor="text1"/>
        </w:rPr>
        <w:t xml:space="preserve"> play a crucial role in tropical forest regeneration as </w:t>
      </w:r>
      <w:r w:rsidR="00932152" w:rsidRPr="00932152">
        <w:rPr>
          <w:rFonts w:ascii="Times New Roman" w:hAnsi="Times New Roman" w:cs="Times New Roman"/>
        </w:rPr>
        <w:t>almost 85% of tropical plant species are dispersed by animals</w:t>
      </w:r>
      <w:r w:rsidR="00932152" w:rsidRPr="00932152">
        <w:rPr>
          <w:rFonts w:ascii="Times New Roman" w:hAnsi="Times New Roman" w:cs="Times New Roman"/>
          <w:shd w:val="clear" w:color="auto" w:fill="FFFFFF"/>
        </w:rPr>
        <w:t xml:space="preserve"> </w:t>
      </w:r>
      <w:r w:rsidR="00932152" w:rsidRPr="00932152">
        <w:rPr>
          <w:rFonts w:ascii="Times New Roman" w:hAnsi="Times New Roman" w:cs="Times New Roman"/>
          <w:shd w:val="clear" w:color="auto" w:fill="FFFFFF"/>
        </w:rPr>
        <w:fldChar w:fldCharType="begin"/>
      </w:r>
      <w:r w:rsidR="00932152" w:rsidRPr="00932152">
        <w:rPr>
          <w:rFonts w:ascii="Times New Roman" w:hAnsi="Times New Roman" w:cs="Times New Roman"/>
          <w:shd w:val="clear" w:color="auto" w:fill="FFFFFF"/>
        </w:rPr>
        <w:instrText xml:space="preserve"> ADDIN ZOTERO_ITEM CSL_CITATION {"citationID":"k0yneb8c","properties":{"formattedCitation":"(Howe &amp; Smallwood, 1982)","plainCitation":"(Howe &amp; Smallwood, 1982)","noteIndex":0},"citationItems":[{"id":262,"uris":["http://zotero.org/users/local/0R4uToEG/items/PS9Z9RSL","http://zotero.org/users/12345038/items/PS9Z9RSL"],"itemData":{"id":262,"type":"article-journal","container-title":"Annual Review of Ecology and Systematics","DOI":"10.1146/annurev.es.13.110182.001221","ISSN":"0066-4162","issue":"1","journalAbbreviation":"Annu. Rev. Ecol. Syst.","language":"en","page":"201-228","source":"DOI.org (Crossref)","title":"Ecology of Seed Dispersal","volume":"13","author":[{"family":"Howe","given":"H F"},{"family":"Smallwood","given":"J"}],"issued":{"date-parts":[["1982",11]]}}}],"schema":"https://github.com/citation-style-language/schema/raw/master/csl-citation.json"} </w:instrText>
      </w:r>
      <w:r w:rsidR="00932152" w:rsidRPr="00932152">
        <w:rPr>
          <w:rFonts w:ascii="Times New Roman" w:hAnsi="Times New Roman" w:cs="Times New Roman"/>
          <w:shd w:val="clear" w:color="auto" w:fill="FFFFFF"/>
        </w:rPr>
        <w:fldChar w:fldCharType="separate"/>
      </w:r>
      <w:r w:rsidR="00932152" w:rsidRPr="00932152">
        <w:rPr>
          <w:rFonts w:ascii="Times New Roman" w:hAnsi="Times New Roman" w:cs="Times New Roman"/>
          <w:noProof/>
          <w:shd w:val="clear" w:color="auto" w:fill="FFFFFF"/>
        </w:rPr>
        <w:t>(Howe &amp; Smallwood, 1982)</w:t>
      </w:r>
      <w:r w:rsidR="00932152" w:rsidRPr="00932152">
        <w:rPr>
          <w:rFonts w:ascii="Times New Roman" w:hAnsi="Times New Roman" w:cs="Times New Roman"/>
          <w:shd w:val="clear" w:color="auto" w:fill="FFFFFF"/>
        </w:rPr>
        <w:fldChar w:fldCharType="end"/>
      </w:r>
      <w:r w:rsidR="00932152" w:rsidRPr="00932152">
        <w:rPr>
          <w:rFonts w:ascii="Times New Roman" w:hAnsi="Times New Roman" w:cs="Times New Roman"/>
        </w:rPr>
        <w:t xml:space="preserve">. </w:t>
      </w:r>
      <w:r w:rsidR="00A34E31">
        <w:rPr>
          <w:rFonts w:ascii="Times New Roman" w:hAnsi="Times New Roman" w:cs="Times New Roman"/>
        </w:rPr>
        <w:t>Such i</w:t>
      </w:r>
      <w:r w:rsidR="00932152" w:rsidRPr="00932152">
        <w:rPr>
          <w:rFonts w:ascii="Times New Roman" w:hAnsi="Times New Roman" w:cs="Times New Roman"/>
        </w:rPr>
        <w:t xml:space="preserve">nteractions are vital </w:t>
      </w:r>
      <w:r w:rsidR="00932152" w:rsidRPr="00932152">
        <w:rPr>
          <w:rFonts w:ascii="Times New Roman" w:hAnsi="Times New Roman" w:cs="Times New Roman"/>
          <w:color w:val="000000" w:themeColor="text1"/>
        </w:rPr>
        <w:t xml:space="preserve">for the persistence and movement of plant species away from parent plants to new and favorable habitats </w:t>
      </w:r>
      <w:r w:rsidR="00932152" w:rsidRPr="00932152">
        <w:rPr>
          <w:rFonts w:ascii="Times New Roman" w:hAnsi="Times New Roman" w:cs="Times New Roman"/>
          <w:color w:val="000000" w:themeColor="text1"/>
        </w:rPr>
        <w:fldChar w:fldCharType="begin"/>
      </w:r>
      <w:r w:rsidR="00932152" w:rsidRPr="00932152">
        <w:rPr>
          <w:rFonts w:ascii="Times New Roman" w:hAnsi="Times New Roman" w:cs="Times New Roman"/>
          <w:color w:val="000000" w:themeColor="text1"/>
        </w:rPr>
        <w:instrText xml:space="preserve"> ADDIN ZOTERO_ITEM CSL_CITATION {"citationID":"cmorf7iJ","properties":{"formattedCitation":"(Howe &amp; Smallwood, 1982)","plainCitation":"(Howe &amp; Smallwood, 1982)","noteIndex":0},"citationItems":[{"id":262,"uris":["http://zotero.org/users/local/0R4uToEG/items/PS9Z9RSL","http://zotero.org/users/12345038/items/PS9Z9RSL"],"itemData":{"id":262,"type":"article-journal","container-title":"Annual Review of Ecology and Systematics","DOI":"10.1146/annurev.es.13.110182.001221","ISSN":"0066-4162","issue":"1","journalAbbreviation":"Annu. Rev. Ecol. Syst.","language":"en","page":"201-228","source":"DOI.org (Crossref)","title":"Ecology of Seed Dispersal","volume":"13","author":[{"family":"Howe","given":"H F"},{"family":"Smallwood","given":"J"}],"issued":{"date-parts":[["1982",11]]}}}],"schema":"https://github.com/citation-style-language/schema/raw/master/csl-citation.json"} </w:instrText>
      </w:r>
      <w:r w:rsidR="00932152" w:rsidRPr="00932152">
        <w:rPr>
          <w:rFonts w:ascii="Times New Roman" w:hAnsi="Times New Roman" w:cs="Times New Roman"/>
          <w:color w:val="000000" w:themeColor="text1"/>
        </w:rPr>
        <w:fldChar w:fldCharType="separate"/>
      </w:r>
      <w:r w:rsidR="00932152" w:rsidRPr="00932152">
        <w:rPr>
          <w:rFonts w:ascii="Times New Roman" w:hAnsi="Times New Roman" w:cs="Times New Roman"/>
          <w:noProof/>
          <w:color w:val="000000" w:themeColor="text1"/>
        </w:rPr>
        <w:t>(Howe &amp; Smallwood, 1982)</w:t>
      </w:r>
      <w:r w:rsidR="00932152" w:rsidRPr="00932152">
        <w:rPr>
          <w:rFonts w:ascii="Times New Roman" w:hAnsi="Times New Roman" w:cs="Times New Roman"/>
          <w:color w:val="000000" w:themeColor="text1"/>
        </w:rPr>
        <w:fldChar w:fldCharType="end"/>
      </w:r>
      <w:r w:rsidR="00932152" w:rsidRPr="00932152">
        <w:rPr>
          <w:rFonts w:ascii="Times New Roman" w:hAnsi="Times New Roman" w:cs="Times New Roman"/>
          <w:color w:val="000000" w:themeColor="text1"/>
        </w:rPr>
        <w:t>. The assembly of plant-animal interactions is intrinsically linked to the first stages of forest regeneration</w:t>
      </w:r>
      <w:r w:rsidR="00932152" w:rsidRPr="00932152">
        <w:rPr>
          <w:rFonts w:ascii="Times New Roman" w:hAnsi="Times New Roman" w:cs="Times New Roman"/>
        </w:rPr>
        <w:t xml:space="preserve">; the ability of early-stage forests to attract and sustain frugivores can directly influence plant recruitment, species composition, and the trajectory of successional processes in tropical forest systems </w:t>
      </w:r>
      <w:r w:rsidR="00417269" w:rsidRPr="00932152">
        <w:rPr>
          <w:rFonts w:ascii="Times New Roman" w:hAnsi="Times New Roman" w:cs="Times New Roman"/>
        </w:rPr>
        <w:fldChar w:fldCharType="begin"/>
      </w:r>
      <w:r w:rsidR="00417269">
        <w:rPr>
          <w:rFonts w:ascii="Times New Roman" w:hAnsi="Times New Roman" w:cs="Times New Roman"/>
        </w:rPr>
        <w:instrText xml:space="preserve"> ADDIN ZOTERO_ITEM CSL_CITATION {"citationID":"P8tRGPmS","properties":{"formattedCitation":"(Arroyo-Rodr\\uc0\\u237{}guez et al., 2017; De La Pe\\uc0\\u241{}a-Domene et al., 2014; Mart\\uc0\\u237{}nez\\uc0\\u8208{}Ramos et al., 2016; Wandrag et al., 2017; Wunderle, 1997b)","plainCitation":"(Arroyo-Rodríguez et al., 2017; De La Peña-Domene et al., 2014; Martínez‐Ramos et al., 2016; Wandrag et al., 2017; Wunderle, 1997b)","noteIndex":0},"citationItems":[{"id":1721,"uris":["http://zotero.org/users/12345038/items/9DUH5LIY"],"itemData":{"id":1721,"type":"article-journal","container-title":"Biological Reviews","DOI":"10.1111/brv.12231","ISSN":"14647931","issue":"1","journalAbbreviation":"Biol Rev","language":"en","license":"http://doi.wiley.com/10.1002/tdm_license_1","page":"326-340","source":"DOI.org (Crossref)","title":"Multiple successional pathways in human-modified tropical landscapes: new insights from forest succession, forest fragmentation and landscape ecology research: Multiple successional pathways","title-short":"Multiple successional pathways in human-modified tropical landscapes","volume":"92","author":[{"family":"Arroyo-Rodríguez","given":"Víctor"},{"family":"Melo","given":"Felipe P. L."},{"family":"Martínez-Ramos","given":"Miguel"},{"family":"Bongers","given":"Frans"},{"family":"Chazdon","given":"Robin L."},{"family":"Meave","given":"Jorge A."},{"family":"Norden","given":"Natalia"},{"family":"Santos","given":"Bráulio A."},{"family":"Leal","given":"Inara R."},{"family":"Tabarelli","given":"Marcelo"}],"issued":{"date-parts":[["2017",2]]}}},{"id":1725,"uris":["http://zotero.org/users/12345038/items/B8GYIYEJ"],"itemData":{"id":1725,"type":"article-journal","container-title":"PLoS ONE","DOI":"10.1371/journal.pone.0104656","ISSN":"1932-6203","issue":"8","journalAbbreviation":"PLoS ONE","language":"en","page":"e104656","source":"DOI.org (Crossref)","title":"Roles of Birds and Bats in Early Tropical-Forest Restoration","volume":"9","author":[{"family":"De La Peña-Domene","given":"Marinés"},{"family":"Martínez-Garza","given":"Cristina"},{"family":"Palmas-Pérez","given":"Sebastián"},{"family":"Rivas-Alonso","given":"Edith"},{"family":"Howe","given":"Henry F."}],"editor":[{"family":"Fenton","given":"Brock"}],"issued":{"date-parts":[["2014",8,13]]}}},{"id":1724,"uris":["http://zotero.org/users/12345038/items/J2KKWYYF"],"itemData":{"id":1724,"type":"article-journal","abstract":"Abstract\n            \n              In human‐modified tropical landscapes (\n              HML\n              s) the conservation of biodiversity, functions and services of forest ecosystems depends on persistence of old growth forest remnants, forest regeneration in abandoned agricultural fields, and restoration of degraded lands. Understanding the impacts of agricultural land uses (\n              ALU\n              s) on forest regeneration is critical for biodiversity conservation in\n              HML\n              s. Here, we develop a conceptual framework that considers the availability of propagules and the environment prevailing after field abandonment as two major determinants of forest regeneration in\n              HML\n              s. The framework proposes that regeneration potential decreases with size, duration and severity of agricultural disturbance, reducing propagule availability and creating ill‐suited environmental conditions for regeneration. We used studies from Southern Mexico to assess this framework. First, we identify regeneration bottlenecks that trees face during transit from seed to follow‐up life stages, using demographic analysis of dominant pioneer species in recently abandoned fields. Then, we explore effects of\n              ALU\n              s on forest regeneration at the field and landscape scales, addressing major legacies. Finally, we integrate agricultural disturbance with landscape composition to predict attributes of successful second growth forests in\n              HML\n              s, and provide indicators useful to select tree native species for active restoration. An indicator of disturbance inflicted by\n              ALU\n              s, based on farmers’ information, predicted better regeneration potential than measurements of soil and microclimate conditions at time of abandonment. Cover of cattle pastures in the landscape was a stronger indicator of forest regenerating attributes than cover of old growth forest remnants. To conclude, we offer recommendations to promote forest regeneration and biodiversity conservation in\n              HML\n              s.\n            \n          , \n            RESUMEN\n            \n              En los paisajes tropicales modificados por los humanos (\n              PMH\n              s) la conservación de la biodiversidad, de las funciones y de los servicios de los ecosistemas forestales depende de manera crítica de la persistencia de los remanentes de bosque maduro, de la regeneración del bosque en los campos agrícolas abandonados y de la restauración ecológica de las tierras degradadas. Entender los impactos de los usos agrícolas del suelo (\n              UAS\n              ) sobre la regeneración del bosque es fundamental para el diseño de iniciativas de conservación de la biodiversidad en\n              PMH\n              s. En este trabajo desarrollamos un marco conceptual que considera a la disponibilidad de propágulos, de especies de plantas nativas, y a las condiciones del ambiente que prevalecen, al momento del abandono de un campo agrícola, como dos determinantes principales del potencial de regeneración natural de bosques en los campos de agrícolas abandonados. El marco propone que el potencial de regeneración disminuye con el tamaño, la duración y la severidad del disturbio agrícola, reduciendo la disponibilidad de propágulos y estableciendo condiciones ambientales no adecuadas para la regeneración de las plantas. Para evaluar este marco, utilizamos distintos estudios realizados en el sur de México. En primer lugar, analizamos la demografía de especies pioneras dominantes en campos recientemente abandonados, con el fin de identificar los obstáculos que estos árboles enfrentan a medida que transitan del estado de semilla a los siguientes de su ciclo de vida. A continuación, exploramos los efectos de diferentes\n              UAS\n              sobre el potencial de regeneración del bosque tanto a nivel local (en campos abandonados individuales) como a nivel del paisaje. Por último, desarrollamos un índice que puede usarse para la selección de especies nativas de árboles útiles para la restauración de campos agrícolas degradados. Encontramos que un índice que cuantifica el disturbio ecológico infligido por los\n              UAS\n              , construido con información aportada por los agricultores y los dueños de los terrenos, es mejor predictor de la abundancia y la diversidad de especies arbóreas del bosque en regeneración que las mediciones de las condiciones del suelo y del microclima obtenidas al momento del abandono. A nivel de paisaje, encontramos que la cobertura de praderas ganaderas en el paisaje fué un indicador más robusto de diferentes atributos de los bosques en regeneración que la cobertura de los parches remanentes de bosque maduro. En conclusión ofrecemos algunas recomendaciones que pueden ayudar a promover la regeneración de los bosques y la conservación de la biodiversidad en los\n              PMH\n              s.","container-title":"Biotropica","DOI":"10.1111/btp.12382","ISSN":"0006-3606, 1744-7429","issue":"6","journalAbbreviation":"Biotropica","language":"en","page":"745-757","source":"DOI.org (Crossref)","title":"Natural forest regeneration and ecological restoration in human‐modified tropical landscapes","volume":"48","author":[{"family":"Martínez‐Ramos","given":"Miguel"},{"family":"Pingarroni","given":"Aline"},{"family":"Rodríguez‐Velázquez","given":"Jorge"},{"family":"Toledo‐Chelala","given":"Lilibeth"},{"family":"Zermeño‐Hernández","given":"Isela"},{"family":"Bongers","given":"Frans"}],"issued":{"date-parts":[["2016",11]]}}},{"id":1722,"uris":["http://zotero.org/users/12345038/items/UM4DGPL8"],"itemData":{"id":1722,"type":"article-journal","abstract":"Significance\n            Dispersal is considered a key process underlying the high spatial diversity of tropical forests, with the seeds of most tropical tree species dispersed by vertebrates, particularly birds. Although it has proven very difficult to quantify the contribution of dispersal to tree species diversity, it is increasingly important to do so in the face of global declines in vertebrate disperser populations. We show that the complete loss of native seed dispersers on the island of Guam is having a major impact on tree seedling regeneration in canopy gaps, leading to species-poor and spatially aggregated seedling communities. These pronounced changes in patterns of seedling regeneration highlight the importance of dispersal in maintaining patterns of diversity in tropical forests.\n          , \n            Dispersal is thought to be a key process underlying the high spatial diversity of tropical forests. Just how important dispersal is in structuring plant communities is nevertheless an open question because it is very difficult to isolate dispersal from other processes, and thereby measure its effect. Using a unique situation, the loss of vertebrate seed dispersers on the island of Guam and their presence on the neighboring islands of Saipan and Rota, we quantify the contribution of vertebrate seed dispersal to spatial patterns of diversity of tree seedlings in treefall gaps. The presence of vertebrate seed dispersers approximately doubled seedling species richness within canopy gaps and halved species turnover among gaps. Our study demon</w:instrText>
      </w:r>
      <w:r w:rsidR="00417269" w:rsidRPr="000426A0">
        <w:rPr>
          <w:rFonts w:ascii="Times New Roman" w:hAnsi="Times New Roman" w:cs="Times New Roman"/>
          <w:lang w:val="es-EC"/>
        </w:rPr>
        <w:instrText xml:space="preserve">strates that dispersal plays a key role in maintaining local and regional patterns of diversity, and highlights the potential for ongoing declines in vertebrate seed dispersers to profoundly alter tropical forest composition.","container-title":"Proceedings of the National Academy of Sciences","DOI":"10.1073/pnas.1709584114","ISSN":"0027-8424, 1091-6490","issue":"40","journalAbbreviation":"Proc. Natl. Acad. Sci. U.S.A.","language":"en","page":"10689-10694","source":"DOI.org (Crossref)","title":"Seed dispersal increases local species richness and reduces spatial turnover of tropical tree seedlings","volume":"114","author":[{"family":"Wandrag","given":"Elizabeth M."},{"family":"Dunham","given":"Amy E."},{"family":"Duncan","given":"Richard P."},{"family":"Rogers","given":"Haldre S."}],"issued":{"date-parts":[["2017",10,3]]}}},{"id":494,"uris":["http://zotero.org/users/12345038/items/6RVSQJJ3"],"itemData":{"id":494,"type":"article-journal","container-title":"Forest Ecology and Management","DOI":"10.1016/S0378-1127(97)00208-9","ISSN":"03781127","issue":"1-2","journalAbbreviation":"Forest Ecology and Management","language":"en","page":"223-235","source":"DOI.org (Crossref)","title":"The role of animal seed dispersal in accelerating native forest regeneration on degraded tropical lands","volume":"99","author":[{"family":"Wunderle","given":"Joseph M"}],"issued":{"date-parts":[["1997",12]]}}}],"schema":"https://github.com/citation-style-language/schema/raw/master/csl-citation.json"} </w:instrText>
      </w:r>
      <w:r w:rsidR="00417269" w:rsidRPr="00932152">
        <w:rPr>
          <w:rFonts w:ascii="Times New Roman" w:hAnsi="Times New Roman" w:cs="Times New Roman"/>
        </w:rPr>
        <w:fldChar w:fldCharType="separate"/>
      </w:r>
      <w:r w:rsidR="00417269" w:rsidRPr="000426A0">
        <w:rPr>
          <w:rFonts w:ascii="Times New Roman" w:hAnsi="Times New Roman" w:cs="Times New Roman"/>
          <w:kern w:val="0"/>
          <w:lang w:val="es-EC"/>
        </w:rPr>
        <w:t>(Arroyo-Rodríguez et al., 2017; De La Peña-Domene et al., 2014; Martínez‐Ramos et al., 2016; Wandrag et al., 2017; Wunderle, 1997)</w:t>
      </w:r>
      <w:r w:rsidR="00417269" w:rsidRPr="00932152">
        <w:rPr>
          <w:rFonts w:ascii="Times New Roman" w:hAnsi="Times New Roman" w:cs="Times New Roman"/>
        </w:rPr>
        <w:fldChar w:fldCharType="end"/>
      </w:r>
      <w:r w:rsidR="00417269" w:rsidRPr="000426A0">
        <w:rPr>
          <w:rFonts w:ascii="Times New Roman" w:hAnsi="Times New Roman" w:cs="Times New Roman"/>
          <w:lang w:val="es-EC"/>
        </w:rPr>
        <w:t xml:space="preserve">. </w:t>
      </w:r>
      <w:r w:rsidR="00932152" w:rsidRPr="00932152">
        <w:rPr>
          <w:rFonts w:ascii="Times New Roman" w:hAnsi="Times New Roman" w:cs="Times New Roman"/>
        </w:rPr>
        <w:t xml:space="preserve">Yet despite a recent push to integrate plant-animal perspectives into restoration ecology </w:t>
      </w:r>
      <w:r w:rsidR="00932152" w:rsidRPr="00932152">
        <w:rPr>
          <w:rFonts w:ascii="Times New Roman" w:hAnsi="Times New Roman" w:cs="Times New Roman"/>
        </w:rPr>
        <w:fldChar w:fldCharType="begin"/>
      </w:r>
      <w:r w:rsidR="00932152" w:rsidRPr="00932152">
        <w:rPr>
          <w:rFonts w:ascii="Times New Roman" w:hAnsi="Times New Roman" w:cs="Times New Roman"/>
        </w:rPr>
        <w:instrText xml:space="preserve"> ADDIN ZOTERO_ITEM CSL_CITATION {"citationID":"Si9cwbMk","properties":{"formattedCitation":"(Howe, 2016; Lussier et al., 2024)","plainCitation":"(Howe, 2016; Lussier et al., 2024)","noteIndex":0},"citationItems":[{"id":81,"uris":["http://zotero.org/users/12345038/items/X5RS4I7S"],"itemData":{"id":81,"type":"article-journal","abstract":"Dispersal syndromes and networks must be used cautiously in conserving and restoring seed-dispersal processes. In many tropical forests most tree and shrub species require dispersal by animals for local persistence and for migration in response to environmental change. The most important errors to avoid in practical use of both dispersal syndromes (suites of fruit and seed characteristics that attract different dispersal agents) and network modules (groups of interacting dispersal agents and plants bearing fruits or seeds that they eat) are: (1) assuming that use of fruit resources by fruit-eating animals implies effective seed dispersal; (2) assuming that superficially similar fruits imply equally effective dispersal by similar animals, and (3) assuming that fruit resources at issue support animal populations. This essay explores strengths and weaknesses of uses of dispersal syndromes and disperser networks modules in conservation and restoration. Examples include some that are consistent with expectations from syndrome categorization and some that are not. An unappreciated weakness in using either dispersal syndromes or network modules is that contingent foraging by animals in highly disturbed habitats, now comprising 60%–70% of tropical land biomes, may not resemble foraging choices or consequences in protected closed forests, where most research on tropical seed dispersal is done. General prescriptions for the future include maintaining or creating habitat heterogeneity in largely deforested landscapes where remnant closed forests still exist, and active restoration in landscapes where little heterogeneity remains. In both cases, adaptations of multiple frame-work tree approaches have the best chance of preserving or enhancing populations of animal-dispersed trees and their seed vectors, and in opening migration paths in response to climate change.","container-title":"Global Ecology and Conservation","DOI":"10.1016/j.gecco.2016.03.002","ISSN":"23519894","journalAbbreviation":"Global Ecology and Conservation","language":"en","page":"152-178","source":"DOI.org (Crossref)","title":"Making dispersal syndromes and networks useful in tropical conservation and restoration","volume":"6","author":[{"family":"Howe","given":"Henry F."}],"issued":{"date-parts":[["2016",4]]}}},{"id":1572,"uris":["http://zotero.org/users/12345038/items/QEFDATXT"],"itemData":{"id":1572,"type":"article-journal","abstract":"Abstract\n            While the reassembly of fruit‐frugivore interactions remains at the forefront of tropical forest restoration, seed dispersal networks emerge as a potential approach to enhance restoration success. This review explores the integration of seed dispersal networks in tropical forest restoration, with the aims of (1) synthesizing important findings in the literature, (2) detailing potential biases in utilizing network theory, and (3) addressing current knowledge gaps and future directions for the field. We first highlight the importance of combining phytocentric and zoocentric approaches when sampling for seed dispersal interactions, as different methodologies have varying effects on network measures, and combining approaches can foster a more comprehensive understanding of dispersal interactions. Furthermore, when integrating seed dispersal networks into restoration goals, we suggest a highly connected and species‐rich network is desirable for earlier stages of forest succession where community turnover and transient interactions are pivotal. Nested patterns may emerge throughout varying stages of forest succession, and identifying generalist species that make up nested patterns may be useful for restoration practitioners in both early and later stages of forest regeneration. Modularity should be highest at later stages of succession to maintain community structure and stability, and connector species may play important roles in facilitating seed dispersal across temporal scales. Finally, we emphasize the importance of site‐specific long‐term datasets, chronosequences, and studies at large spatial scales to continue to understand network reassembly as a function of tropical forest succession and to develop effective strategies that enhance the recovery of tropical forest ecosystems.","container-title":"Biotropica","DOI":"10.1111/btp.13347","ISSN":"0006-3606, 1744-7429","journalAbbreviation":"Biotropica","language":"en","page":"e13347","source":"DOI.org (Crossref)","title":"Seeding success: Integrating seed dispersal networks in tropical forest restoration","title-short":"Seeding success","author":[{"family":"Lussier","given":"Nicole M."},{"family":"Crafford","given":"Rachel E."},{"family":"Reid","given":"J. Leighton"},{"family":"Kwit","given":"Charles"}],"issued":{"date-parts":[["2024",6,12]]}}}],"schema":"https://github.com/citation-style-language/schema/raw/master/csl-citation.json"} </w:instrText>
      </w:r>
      <w:r w:rsidR="00932152" w:rsidRPr="00932152">
        <w:rPr>
          <w:rFonts w:ascii="Times New Roman" w:hAnsi="Times New Roman" w:cs="Times New Roman"/>
        </w:rPr>
        <w:fldChar w:fldCharType="separate"/>
      </w:r>
      <w:r w:rsidR="00932152" w:rsidRPr="00932152">
        <w:rPr>
          <w:rFonts w:ascii="Times New Roman" w:hAnsi="Times New Roman" w:cs="Times New Roman"/>
          <w:noProof/>
        </w:rPr>
        <w:t>(Howe, 2016; Lussier et al., 2024)</w:t>
      </w:r>
      <w:r w:rsidR="00932152" w:rsidRPr="00932152">
        <w:rPr>
          <w:rFonts w:ascii="Times New Roman" w:hAnsi="Times New Roman" w:cs="Times New Roman"/>
        </w:rPr>
        <w:fldChar w:fldCharType="end"/>
      </w:r>
      <w:r w:rsidR="00932152" w:rsidRPr="00932152">
        <w:rPr>
          <w:rFonts w:ascii="Times New Roman" w:hAnsi="Times New Roman" w:cs="Times New Roman"/>
        </w:rPr>
        <w:t xml:space="preserve">, </w:t>
      </w:r>
      <w:r w:rsidR="00932152" w:rsidRPr="00932152">
        <w:rPr>
          <w:rFonts w:ascii="Times New Roman" w:hAnsi="Times New Roman" w:cs="Times New Roman"/>
          <w:shd w:val="clear" w:color="auto" w:fill="FFFFFF"/>
        </w:rPr>
        <w:t>a recent review found that only 3% of restoration initiatives have monitored seed dispersal by animals </w:t>
      </w:r>
      <w:r w:rsidR="00932152" w:rsidRPr="00932152">
        <w:rPr>
          <w:rFonts w:ascii="Times New Roman" w:hAnsi="Times New Roman" w:cs="Times New Roman"/>
          <w:shd w:val="clear" w:color="auto" w:fill="FFFFFF"/>
        </w:rPr>
        <w:fldChar w:fldCharType="begin"/>
      </w:r>
      <w:r w:rsidR="00932152" w:rsidRPr="00932152">
        <w:rPr>
          <w:rFonts w:ascii="Times New Roman" w:hAnsi="Times New Roman" w:cs="Times New Roman"/>
          <w:shd w:val="clear" w:color="auto" w:fill="FFFFFF"/>
        </w:rPr>
        <w:instrText xml:space="preserve"> ADDIN ZOTERO_ITEM CSL_CITATION {"citationID":"ki9oEUhs","properties":{"formattedCitation":"(Maz\\uc0\\u243{}n et al., 2019)","plainCitation":"(Mazón et al., 2019)","noteIndex":0},"citationItems":[{"id":1727,"uris":["http://zotero.org/users/12345038/items/RYDF2UB9"],"itemData":{"id":1727,"type":"article-journal","abstract":"Ecological restoration is becoming mainstreamed worldwide but target ecosystems' responses to restorative interventions are not sufficiently monitored, in terms of the wide range of ecological, social, and economic attributes available. In order to highlight and better understand this problem, we conducted a literature review of the ecological, social, and economic attributes cited in the scientific literature used for monitoring the success of ecological restoration projects in Latin America and the Caribbean region, where no regional study of this kind has previously been conducted. In 84 of the 91 articles retained for the study, ecological indicators were evaluated, while only seven articles included measurements of socioeconomic indicators. Regarding the Society for Ecological Restoration Primer attributes of restored ecosystems, we only found indicators measuring attributes 1–6, with attribute 1 (species assemblages) predominating (73%), followed by physical conditions (54%) and ecological functions (51%). Brazil was the country in the region where most monitoring was being carried out (51% of the articles), and tropical rainforest (33%) and tropical dry forest (25%) were the ecosystem types where ecological restoration was most frequently monitored. Highly vulnerable ecosystems such as mangroves and paramos were underrepresented. Attributes related to ecosystem stability or to governance and education of communities were not monitored at all. More real long‐term monitoring, instead of chronosequences, is needed, especially where understanding socioeconomic implications of, and barriers to, effective ecological restoration is a top priority.","container-title":"Restoration Ecology","DOI":"10.1111/rec.12986","ISSN":"1061-2971, 1526-100X","issue":"5","journalAbbreviation":"Restoration Ecology","language":"en","page":"992-999","source":"DOI.org (Crossref)","title":"Monitoring attributes for ecological restoration in Latin America and the Caribbean region","volume":"27","author":[{"family":"Mazón","given":"Marina"},{"family":"Aguirre","given":"Nikolay"},{"family":"Echeverría","given":"Cristian"},{"family":"Aronson","given":"James"}],"issued":{"date-parts":[["2019",9]]}}}],"schema":"https://github.com/citation-style-language/schema/raw/master/csl-citation.json"} </w:instrText>
      </w:r>
      <w:r w:rsidR="00932152" w:rsidRPr="00932152">
        <w:rPr>
          <w:rFonts w:ascii="Times New Roman" w:hAnsi="Times New Roman" w:cs="Times New Roman"/>
          <w:shd w:val="clear" w:color="auto" w:fill="FFFFFF"/>
        </w:rPr>
        <w:fldChar w:fldCharType="separate"/>
      </w:r>
      <w:r w:rsidR="00932152" w:rsidRPr="00932152">
        <w:rPr>
          <w:rFonts w:ascii="Times New Roman" w:hAnsi="Times New Roman" w:cs="Times New Roman"/>
        </w:rPr>
        <w:t>(Mazón et al., 2019)</w:t>
      </w:r>
      <w:r w:rsidR="00932152" w:rsidRPr="00932152">
        <w:rPr>
          <w:rFonts w:ascii="Times New Roman" w:hAnsi="Times New Roman" w:cs="Times New Roman"/>
          <w:shd w:val="clear" w:color="auto" w:fill="FFFFFF"/>
        </w:rPr>
        <w:fldChar w:fldCharType="end"/>
      </w:r>
      <w:r w:rsidR="00932152" w:rsidRPr="00932152">
        <w:rPr>
          <w:rFonts w:ascii="Times New Roman" w:hAnsi="Times New Roman" w:cs="Times New Roman"/>
          <w:shd w:val="clear" w:color="auto" w:fill="FFFFFF"/>
        </w:rPr>
        <w:t xml:space="preserve">. </w:t>
      </w:r>
      <w:r w:rsidR="00932152" w:rsidRPr="00932152">
        <w:rPr>
          <w:rFonts w:ascii="Times New Roman" w:hAnsi="Times New Roman" w:cs="Times New Roman"/>
        </w:rPr>
        <w:t xml:space="preserve">Without a clear understanding of how seed dispersal interactions reassemble within these dynamic landscapes, restoration efforts may overlook essential ecological mechanisms that drive forest regeneration. </w:t>
      </w:r>
    </w:p>
    <w:p w14:paraId="33E5965A" w14:textId="127F6238" w:rsidR="00932152" w:rsidRPr="00932152" w:rsidRDefault="00932152" w:rsidP="00EB4834">
      <w:pPr>
        <w:spacing w:before="0" w:after="0"/>
        <w:ind w:firstLine="720"/>
        <w:rPr>
          <w:rFonts w:ascii="Times New Roman" w:hAnsi="Times New Roman" w:cs="Times New Roman"/>
        </w:rPr>
      </w:pPr>
      <w:r w:rsidRPr="00932152">
        <w:rPr>
          <w:rFonts w:ascii="Times New Roman" w:hAnsi="Times New Roman" w:cs="Times New Roman"/>
        </w:rPr>
        <w:t xml:space="preserve">Species interactions and emerging community structures can be evaluated using ecological networks </w:t>
      </w:r>
      <w:r w:rsidRPr="00932152">
        <w:rPr>
          <w:rFonts w:ascii="Times New Roman" w:hAnsi="Times New Roman" w:cs="Times New Roman"/>
        </w:rPr>
        <w:fldChar w:fldCharType="begin"/>
      </w:r>
      <w:r w:rsidRPr="00932152">
        <w:rPr>
          <w:rFonts w:ascii="Times New Roman" w:hAnsi="Times New Roman" w:cs="Times New Roman"/>
        </w:rPr>
        <w:instrText xml:space="preserve"> ADDIN ZOTERO_ITEM CSL_CITATION {"citationID":"fg9EG3ja","properties":{"formattedCitation":"(Bascompte &amp; Jordano, 2007)","plainCitation":"(Bascompte &amp; Jordano, 2007)","noteIndex":0},"citationItems":[{"id":304,"uris":["http://zotero.org/users/12345038/items/3FVW3WZC"],"itemData":{"id":304,"type":"article-journal","abstract":"The mutually beneﬁcial interactions between plants and their animal pollinators and seed dispersers have been paramount in the generation of Earth’s biodiversity. These mutualistic interactions often involve dozens or even hundreds of species that form complex networks of interdependences. Understanding how coevolution proceeds in these highly diversiﬁed mutualisms among freeliving species presents a conceptual challenge. Recent work has led to the unambiguous conclusion that mutualistic networks are very heterogeneous (the bulk of the species have a few interactions, but a few species are much more connected than expected by chance), nested (specialists interact with subsets of the species with which generalists interact), and built on weak and asymmetric links among species. Both ecological variables (e.g., phenology, local abundance, and geographic range) and past evolutionary history may explain such network patterns. Network structure has important implications for the coexistence and stability of species as well as for the coevolutionary process. Mutualistic networks can thus be regarded as the architecture of biodiversity.","container-title":"Annual Review of Ecology, Evolution, and Systematics","DOI":"10.1146/annurev.ecolsys.38.091206.095818","ISSN":"1543-592X, 1545-2069","issue":"1","journalAbbreviation":"Annu. Rev. Ecol. Evol. Syst.","language":"en","page":"567-593","source":"DOI.org (Crossref)","title":"Plant-Animal Mutualistic Networks: The Architecture of Biodiversity","title-short":"Plant-Animal Mutualistic Networks","volume":"38","author":[{"family":"Bascompte","given":"Jordi"},{"family":"Jordano","given":"Pedro"}],"issued":{"date-parts":[["2007",12,1]]}}}],"schema":"https://github.com/citation-style-language/schema/raw/master/csl-citation.json"} </w:instrText>
      </w:r>
      <w:r w:rsidRPr="00932152">
        <w:rPr>
          <w:rFonts w:ascii="Times New Roman" w:hAnsi="Times New Roman" w:cs="Times New Roman"/>
        </w:rPr>
        <w:fldChar w:fldCharType="separate"/>
      </w:r>
      <w:r w:rsidRPr="00932152">
        <w:rPr>
          <w:rFonts w:ascii="Times New Roman" w:hAnsi="Times New Roman" w:cs="Times New Roman"/>
          <w:noProof/>
        </w:rPr>
        <w:t>(Bascompte &amp; Jordano, 2007)</w:t>
      </w:r>
      <w:r w:rsidRPr="00932152">
        <w:rPr>
          <w:rFonts w:ascii="Times New Roman" w:hAnsi="Times New Roman" w:cs="Times New Roman"/>
        </w:rPr>
        <w:fldChar w:fldCharType="end"/>
      </w:r>
      <w:r w:rsidRPr="00932152">
        <w:rPr>
          <w:rFonts w:ascii="Times New Roman" w:hAnsi="Times New Roman" w:cs="Times New Roman"/>
        </w:rPr>
        <w:t xml:space="preserve">. Specifically, mutualistic networks can be used to link interactions to broader ecosystem functions and can depict the complexity, stability, and resilience of plant-animal mutualisms. Network measures, such as nestedness and specialization, are intrinsically linked to conservation and biodiversity goals </w:t>
      </w:r>
      <w:r w:rsidRPr="00932152">
        <w:rPr>
          <w:rFonts w:ascii="Times New Roman" w:hAnsi="Times New Roman" w:cs="Times New Roman"/>
        </w:rPr>
        <w:fldChar w:fldCharType="begin"/>
      </w:r>
      <w:r w:rsidRPr="00932152">
        <w:rPr>
          <w:rFonts w:ascii="Times New Roman" w:hAnsi="Times New Roman" w:cs="Times New Roman"/>
        </w:rPr>
        <w:instrText xml:space="preserve"> ADDIN ZOTERO_ITEM CSL_CITATION {"citationID":"DfPDMEob","properties":{"formattedCitation":"(Howe, 2016)","plainCitation":"(Howe, 2016)","noteIndex":0},"citationItems":[{"id":81,"uris":["http://zotero.org/users/12345038/items/X5RS4I7S"],"itemData":{"id":81,"type":"article-journal","abstract":"Dispersal syndromes and networks must be used cautiously in conserving and restoring seed-dispersal processes. In many tropical forests most tree and shrub species require dispersal by animals for local persistence and for migration in response to environmental change. The most important errors to avoid in practical use of both dispersal syndromes (suites of fruit and seed characteristics that attract different dispersal agents) and network modules (groups of interacting dispersal agents and plants bearing fruits or seeds that they eat) are: (1) assuming that use of fruit resources by fruit-eating animals implies effective seed dispersal; (2) assuming that superficially similar fruits imply equally effective dispersal by similar animals, and (3) assuming that fruit resources at issue support animal populations. This essay explores strengths and weaknesses of uses of dispersal syndromes and disperser networks modules in conservation and restoration. Examples include some that are consistent with expectations from syndrome categorization and some that are not. An unappreciated weakness in using either dispersal syndromes or network modules is that contingent foraging by animals in highly disturbed habitats, now comprising 60%–70% of tropical land biomes, may not resemble foraging choices or consequences in protected closed forests, where most research on tropical seed dispersal is done. General prescriptions for the future include maintaining or creating habitat heterogeneity in largely deforested landscapes where remnant closed forests still exist, and active restoration in landscapes where little heterogeneity remains. In both cases, adaptations of multiple frame-work tree approaches have the best chance of preserving or enhancing populations of animal-dispersed trees and their seed vectors, and in opening migration paths in response to climate change.","container-title":"Global Ecology and Conservation","DOI":"10.1016/j.gecco.2016.03.002","ISSN":"23519894","journalAbbreviation":"Global Ecology and Conservation","language":"en","page":"152-178","source":"DOI.org (Crossref)","title":"Making dispersal syndromes and networks useful in tropical conservation and restoration","volume":"6","author":[{"family":"Howe","given":"Henry F."}],"issued":{"date-parts":[["2016",4]]}}}],"schema":"https://github.com/citation-style-language/schema/raw/master/csl-citation.json"} </w:instrText>
      </w:r>
      <w:r w:rsidRPr="00932152">
        <w:rPr>
          <w:rFonts w:ascii="Times New Roman" w:hAnsi="Times New Roman" w:cs="Times New Roman"/>
        </w:rPr>
        <w:fldChar w:fldCharType="separate"/>
      </w:r>
      <w:r w:rsidRPr="00932152">
        <w:rPr>
          <w:rFonts w:ascii="Times New Roman" w:hAnsi="Times New Roman" w:cs="Times New Roman"/>
          <w:noProof/>
        </w:rPr>
        <w:t>(Howe, 2016)</w:t>
      </w:r>
      <w:r w:rsidRPr="00932152">
        <w:rPr>
          <w:rFonts w:ascii="Times New Roman" w:hAnsi="Times New Roman" w:cs="Times New Roman"/>
        </w:rPr>
        <w:fldChar w:fldCharType="end"/>
      </w:r>
      <w:r w:rsidRPr="00932152">
        <w:rPr>
          <w:rFonts w:ascii="Times New Roman" w:hAnsi="Times New Roman" w:cs="Times New Roman"/>
        </w:rPr>
        <w:t xml:space="preserve">. For </w:t>
      </w:r>
      <w:r w:rsidRPr="00932152">
        <w:rPr>
          <w:rFonts w:ascii="Times New Roman" w:hAnsi="Times New Roman" w:cs="Times New Roman"/>
        </w:rPr>
        <w:lastRenderedPageBreak/>
        <w:t>example, nested patterns in mutualistic networks are predicted to support species coexistence through the emergence of redundant interactions, which can enhance the network’s resilience to species removal (</w:t>
      </w:r>
      <w:proofErr w:type="spellStart"/>
      <w:r w:rsidRPr="00932152">
        <w:rPr>
          <w:rFonts w:ascii="Times New Roman" w:hAnsi="Times New Roman" w:cs="Times New Roman"/>
        </w:rPr>
        <w:t>Bascompte</w:t>
      </w:r>
      <w:proofErr w:type="spellEnd"/>
      <w:r w:rsidRPr="00932152">
        <w:rPr>
          <w:rFonts w:ascii="Times New Roman" w:hAnsi="Times New Roman" w:cs="Times New Roman"/>
        </w:rPr>
        <w:t xml:space="preserve"> et al. 2006; </w:t>
      </w:r>
      <w:proofErr w:type="spellStart"/>
      <w:r w:rsidRPr="00932152">
        <w:rPr>
          <w:rFonts w:ascii="Times New Roman" w:hAnsi="Times New Roman" w:cs="Times New Roman"/>
        </w:rPr>
        <w:t>Bastolla</w:t>
      </w:r>
      <w:proofErr w:type="spellEnd"/>
      <w:r w:rsidRPr="00932152">
        <w:rPr>
          <w:rFonts w:ascii="Times New Roman" w:hAnsi="Times New Roman" w:cs="Times New Roman"/>
        </w:rPr>
        <w:t xml:space="preserve"> et al. 2009; Thébault &amp; Fontaine 2010). Furthermore, modular networks are considered stable as modules (subgroups that form within a network) can contain the impacts of species extinctions, minimizing network-level impacts (Krause et al. 2003; Teng &amp; McCann 2004). Modularity is also useful in separating functional groups or diet guilds within a network (</w:t>
      </w:r>
      <w:proofErr w:type="spellStart"/>
      <w:r w:rsidRPr="00932152">
        <w:rPr>
          <w:rFonts w:ascii="Times New Roman" w:hAnsi="Times New Roman" w:cs="Times New Roman"/>
        </w:rPr>
        <w:t>Guimerà</w:t>
      </w:r>
      <w:proofErr w:type="spellEnd"/>
      <w:r w:rsidRPr="00932152">
        <w:rPr>
          <w:rFonts w:ascii="Times New Roman" w:hAnsi="Times New Roman" w:cs="Times New Roman"/>
        </w:rPr>
        <w:t xml:space="preserve"> &amp; Amaral 2005; Mello et al. 2011). Examining the extent to which these networks retain or transform their structure through succession can provide key insights into the ecological processes shaping forest regeneration and inform restoration strategies aimed at restoring both biodiversity and ecosystem functions </w:t>
      </w:r>
      <w:r w:rsidRPr="00932152">
        <w:rPr>
          <w:rFonts w:ascii="Times New Roman" w:hAnsi="Times New Roman" w:cs="Times New Roman"/>
        </w:rPr>
        <w:fldChar w:fldCharType="begin"/>
      </w:r>
      <w:r w:rsidR="00BC132B">
        <w:rPr>
          <w:rFonts w:ascii="Times New Roman" w:hAnsi="Times New Roman" w:cs="Times New Roman"/>
        </w:rPr>
        <w:instrText xml:space="preserve"> ADDIN ZOTERO_ITEM CSL_CITATION {"citationID":"Ah2iGC9K","properties":{"formattedCitation":"(Estrada-Villegas et al., 2023b; Howe, 2016)","plainCitation":"(Estrada-Villegas et al., 2023b; Howe, 2016)","noteIndex":0},"citationItems":[{"id":515,"uris":["http://zotero.org/users/12345038/items/2YHBTWMV"],"itemData":{"id":515,"type":"article-journal","abstract":"Seed dispersal by animals is key for restoration of tropical forests because it maintains plant diversity and accelerates community turnover. Therefore, changes in seed dispersal during forest restoration can indicate the recovery of species interactions, and yet these changes are rarely considered in forest restoration planning. In this study, we examined shifts in the importance of different seed dispersal modes during passive restoration in a tropical chronosequence spanning more than 100 years, by modelling the proportion of trees dispersed by bats, small birds, large birds, flightless mammals and abiotic means as a function of forest age. Contrary to expectations, tree species dispersed by flightless mammals dominated after 20 years of regeneration, and tree richness and abundance dispersed by each mode mostly recovered to old growth levels between 40 and 70 years post-abandonment. Seed dispersal by small birds declined over time during regeneration, while bat dispersal played a minor role throughout all stages of succession. Results suggest that proximity to old growth forests, coupled with low hunting, explained the prevalence of seed dispersal by animals, especially by flightless mammals at this site. We suggest that aspects of seed dispersal should be monitored when restoring forest ecosystems to evaluate the reestablishment of species interactions.\n            This article is part of the theme issue ‘Understanding forest landscape restoration: reinforcing scientific foundations for the UN Decade on Ecosystem Restoration’.","container-title":"Philosophical Transactions of the Royal Society B: Biological Sciences","DOI":"10.1098/rstb.2021.0076","ISSN":"0962-8436, 1471-2970","issue":"1867","journalAbbreviation":"Phil. Trans. R. Soc. B","language":"en","page":"20210076","source":"DOI.org (Crossref)","title":"Animal seed dispersal recovery during passive restoration in a forested landscape","volume":"378","author":[{"family":"Estrada-Villegas","given":"Sergio"},{"family":"Stevenson","given":"Pablo R."},{"family":"López","given":"Omar"},{"family":"DeWalt","given":"Saara J."},{"family":"Comita","given":"Liza S."},{"family":"Dent","given":"Daisy H."}],"issued":{"date-parts":[["2023",1,2]]}}},{"id":81,"uris":["http://zotero.org/users/12345038/items/X5RS4I7S"],"itemData":{"id":81,"type":"article-journal","abstract":"Dispersal syndromes and networks must be used cautiously in conserving and restoring seed-dispersal processes. In many tropical forests most tree and shrub species require dispersal by animals for local persistence and for migration in response to environmental change. The most important errors to avoid in practical use of both dispersal syndromes (suites of fruit and seed characteristics that attract different dispersal agents) and network modules (groups of interacting dispersal agents and plants bearing fruits or seeds that they eat) are: (1) assuming that use of fruit resources by fruit-eating animals implies effective seed dispersal; (2) assuming that superficially similar fruits imply equally effective dispersal by similar animals, and (3) assuming that fruit resources at issue support animal populations. This essay explores strengths and weaknesses of uses of dispersal syndromes and disperser networks modules in conservation and restoration. Examples include some that are consistent with expectations from syndrome categorization and some that are not. An unappreciated weakness in using either dispersal syndromes or network modules is that contingent foraging by animals in highly disturbed habitats, now comprising 60%–70% of tropical land biomes, may not resemble foraging choices or consequences in protected closed forests, where most research on tropical seed dispersal is done. General prescriptions for the future include maintaining or creating habitat heterogeneity in largely deforested landscapes where remnant closed forests still exist, and active restoration in landscapes where little heterogeneity remains. In both cases, adaptations of multiple frame-work tree approaches have the best chance of preserving or enhancing populations of animal-dispersed trees and their seed vectors, and in opening migration paths in response to climate change.","container-title":"Global Ecology and Conservation","DOI":"10.1016/j.gecco.2016.03.002","ISSN":"23519894","journalAbbreviation":"Global Ecology and Conservation","language":"en","page":"152-178","source":"DOI.org (Crossref)","title":"Making dispersal syndromes and networks useful in tropical conservation and restoration","volume":"6","author":[{"family":"Howe","given":"Henry F."}],"issued":{"date-parts":[["2016",4]]}}}],"schema":"https://github.com/citation-style-language/schema/raw/master/csl-citation.json"} </w:instrText>
      </w:r>
      <w:r w:rsidRPr="00932152">
        <w:rPr>
          <w:rFonts w:ascii="Times New Roman" w:hAnsi="Times New Roman" w:cs="Times New Roman"/>
        </w:rPr>
        <w:fldChar w:fldCharType="separate"/>
      </w:r>
      <w:r w:rsidR="00BC132B">
        <w:rPr>
          <w:rFonts w:ascii="Times New Roman" w:hAnsi="Times New Roman" w:cs="Times New Roman"/>
          <w:noProof/>
        </w:rPr>
        <w:t>(Estrada-Villegas et al., 2023; Howe, 2016)</w:t>
      </w:r>
      <w:r w:rsidRPr="00932152">
        <w:rPr>
          <w:rFonts w:ascii="Times New Roman" w:hAnsi="Times New Roman" w:cs="Times New Roman"/>
        </w:rPr>
        <w:fldChar w:fldCharType="end"/>
      </w:r>
      <w:r w:rsidRPr="00932152">
        <w:rPr>
          <w:rFonts w:ascii="Times New Roman" w:hAnsi="Times New Roman" w:cs="Times New Roman"/>
        </w:rPr>
        <w:t>.</w:t>
      </w:r>
    </w:p>
    <w:p w14:paraId="09C5B990" w14:textId="6265E762" w:rsidR="00932152" w:rsidRPr="00932152" w:rsidRDefault="00932152" w:rsidP="00EB4834">
      <w:pPr>
        <w:spacing w:before="0" w:after="0"/>
        <w:ind w:firstLine="720"/>
        <w:rPr>
          <w:rFonts w:ascii="Times New Roman" w:hAnsi="Times New Roman" w:cs="Times New Roman"/>
        </w:rPr>
      </w:pPr>
      <w:r w:rsidRPr="00932152">
        <w:rPr>
          <w:rFonts w:ascii="Times New Roman" w:hAnsi="Times New Roman" w:cs="Times New Roman"/>
        </w:rPr>
        <w:t xml:space="preserve">While previous studies have shown that restoration improves ecosystem services </w:t>
      </w:r>
      <w:r w:rsidRPr="00932152">
        <w:rPr>
          <w:rFonts w:ascii="Times New Roman" w:hAnsi="Times New Roman" w:cs="Times New Roman"/>
        </w:rPr>
        <w:fldChar w:fldCharType="begin"/>
      </w:r>
      <w:r w:rsidRPr="00932152">
        <w:rPr>
          <w:rFonts w:ascii="Times New Roman" w:hAnsi="Times New Roman" w:cs="Times New Roman"/>
        </w:rPr>
        <w:instrText xml:space="preserve"> ADDIN ZOTERO_ITEM CSL_CITATION {"citationID":"dVaRa8vj","properties":{"formattedCitation":"(Benayas et al., 2009)","plainCitation":"(Benayas et al., 2009)","noteIndex":0},"citationItems":[{"id":1728,"uris":["http://zotero.org/users/12345038/items/HXKGYRZP"],"itemData":{"id":1728,"type":"article-journal","abstract":"Assessing Ecological Restoration\n            \n              In the wake of the Millennium Ecosystem Assessment, the analysis of ecosystem services, and their relationship to biodiversity, has become one of the most rapidly developing research themes in environmental science. At the same time, ecological restoration is widely being implemented as a response to environmental degradation and biodiversity loss.\n              \n                Rey Benayas\n                et al.\n              \n              (p.\n              1121\n              , published online 30 July) link these themes in a meta-analysis of the impacts of ecological restoration actions on provision of ecosystem services and biodiversity conservation. The analysis of 89 published restoration projects worldwide establishes that ecological restoration does, in general, have positive impacts on both biodiversity and provision of ecosystem services. These effects are especially marked in the tropics. Thus, ecological restoration actions may indeed deliver benefits, both in terms of biodiversity conservation and supporting human livelihoods.\n            \n          , \n            Restoration, biodiversity, and ecosystem services are positively linked in a wide range of ecosystem types across the globe.\n          , \n            Ecological restoration is widely used to reverse the environmental degradation caused by human activities. However, the effectiveness of restoration actions in increasing provision of both biodiversity and ecosystem services has not been evaluated systematically. A meta-analysis of 89 restoration assessments in a wide range of ecosystem types across the globe indicates that ecological restoration increased provision of biodiversity and ecosystem services by 44 and 25%, respectively. However, values of both remained lower in restored versus intact reference ecosystems. Increases in biodiversity and ecosystem service measures after restoration were positively correlated. Results indicate that restoration actions focused on enhancing biodiversity should support increased provision of ecosystem services, particularly in tropical terrestrial biomes.","container-title":"Science","DOI":"10.1126/science.1172460","ISSN":"0036-8075, 1095-9203","issue":"5944","journalAbbreviation":"Science","language":"en","page":"1121-1124","source":"DOI.org (Crossref)","title":"Enhancement of Biodiversity and Ecosystem Services by Ecological Restoration: A Meta-Analysis","title-short":"Enhancement of Biodiversity and Ecosystem Services by Ecological Restoration","volume":"325","author":[{"family":"Benayas","given":"José M. Rey"},{"family":"Newton","given":"Adrian C."},{"family":"Diaz","given":"Anita"},{"family":"Bullock","given":"James M."}],"issued":{"date-parts":[["2009",8,28]]}}}],"schema":"https://github.com/citation-style-language/schema/raw/master/csl-citation.json"} </w:instrText>
      </w:r>
      <w:r w:rsidRPr="00932152">
        <w:rPr>
          <w:rFonts w:ascii="Times New Roman" w:hAnsi="Times New Roman" w:cs="Times New Roman"/>
        </w:rPr>
        <w:fldChar w:fldCharType="separate"/>
      </w:r>
      <w:r w:rsidRPr="00932152">
        <w:rPr>
          <w:rFonts w:ascii="Times New Roman" w:hAnsi="Times New Roman" w:cs="Times New Roman"/>
          <w:noProof/>
        </w:rPr>
        <w:t>(Benayas et al., 2009)</w:t>
      </w:r>
      <w:r w:rsidRPr="00932152">
        <w:rPr>
          <w:rFonts w:ascii="Times New Roman" w:hAnsi="Times New Roman" w:cs="Times New Roman"/>
        </w:rPr>
        <w:fldChar w:fldCharType="end"/>
      </w:r>
      <w:r w:rsidRPr="00932152">
        <w:rPr>
          <w:rFonts w:ascii="Times New Roman" w:hAnsi="Times New Roman" w:cs="Times New Roman"/>
        </w:rPr>
        <w:t xml:space="preserve"> and that management strategies promoting species interactions can support restoration efforts </w:t>
      </w:r>
      <w:r w:rsidRPr="00932152">
        <w:rPr>
          <w:rFonts w:ascii="Times New Roman" w:hAnsi="Times New Roman" w:cs="Times New Roman"/>
        </w:rPr>
        <w:fldChar w:fldCharType="begin"/>
      </w:r>
      <w:r w:rsidRPr="00932152">
        <w:rPr>
          <w:rFonts w:ascii="Times New Roman" w:hAnsi="Times New Roman" w:cs="Times New Roman"/>
        </w:rPr>
        <w:instrText xml:space="preserve"> ADDIN ZOTERO_ITEM CSL_CITATION {"citationID":"BQaXxkIO","properties":{"formattedCitation":"(Lindell et al., 2013)","plainCitation":"(Lindell et al., 2013)","noteIndex":0},"citationItems":[{"id":1417,"uris":["http://zotero.org/users/12345038/items/W4XFEZVD"],"itemData":{"id":1417,"type":"article-journal","abstract":"Seed dispersal often limits tropical forest regeneration and animals disperse most rainforest tree seeds. This presents two important questions for restoration ecologists: (1) which animals are common seed dispersers? and (2) which restoration techniques attract them? Fourteen restoration sites were planted with four tree species in three designs, (1) controls (no planting, natural regeneration) (2) islands (trees planted in small patches), and (3) plantations (trees planted continuously over a large patch). We sampled birds in November, February, and April 2007–2008 with mist nets, in February and July 2009 with observations, and in July 2008 with both techniques. We documented 30 seed species from fecal samples of captured birds. All identiﬁed seed species were early-successional forms. Four tanager species, three thrushes, two saltators, two ﬂycatchers, and one ﬁnch were categorized as common seed dispersers, based on their high likelihood of dispersing seeds. Common dispersers were generalist species with small gape widths (&lt;15 mm). Common dispersers were captured signiﬁcantly more often in plantations than controls in most seasons and more often in plantations than islands during one season. Common disperser observations were signiﬁcantly greater in plantations than controls during two periods and in plantations compared with islands in one period. Results indicate that plantation-style planting is the conservative strategy to maximize attractiveness to common dispersers in tropical restoration sites. Island planting is an alternative when resources are limited although disperser activity may be lower in some seasons than in plantations. Additional research should investigate how to attract large, forest-associated dispersers.","container-title":"Restoration Ecology","DOI":"10.1111/j.1526-100X.2012.00905.x","ISSN":"1061-2971, 1526-100X","issue":"4","journalAbbreviation":"Restoration Ecology","language":"en","page":"515-522","source":"DOI.org (Crossref)","title":"Planting Design Effects on Avian Seed Dispersers in a Tropical Forest Restoration Experiment","volume":"21","author":[{"family":"Lindell","given":"Catherine A."},{"family":"Reid","given":"John Leighton"},{"family":"Cole","given":"Rebecca J."}],"issued":{"date-parts":[["2013",7]]}}}],"schema":"https://github.com/citation-style-language/schema/raw/master/csl-citation.json"} </w:instrText>
      </w:r>
      <w:r w:rsidRPr="00932152">
        <w:rPr>
          <w:rFonts w:ascii="Times New Roman" w:hAnsi="Times New Roman" w:cs="Times New Roman"/>
        </w:rPr>
        <w:fldChar w:fldCharType="separate"/>
      </w:r>
      <w:r w:rsidRPr="00932152">
        <w:rPr>
          <w:rFonts w:ascii="Times New Roman" w:hAnsi="Times New Roman" w:cs="Times New Roman"/>
          <w:noProof/>
        </w:rPr>
        <w:t>(Lindell et al., 2013)</w:t>
      </w:r>
      <w:r w:rsidRPr="00932152">
        <w:rPr>
          <w:rFonts w:ascii="Times New Roman" w:hAnsi="Times New Roman" w:cs="Times New Roman"/>
        </w:rPr>
        <w:fldChar w:fldCharType="end"/>
      </w:r>
      <w:r w:rsidRPr="00932152">
        <w:rPr>
          <w:rFonts w:ascii="Times New Roman" w:hAnsi="Times New Roman" w:cs="Times New Roman"/>
        </w:rPr>
        <w:t xml:space="preserve">, little is known about how seed dispersal network structures and the interactions themselves change with forest regeneration. Only one study to date has examined seed dispersal interactions across secondary stages of forest succession </w:t>
      </w:r>
      <w:r w:rsidRPr="00932152">
        <w:rPr>
          <w:rFonts w:ascii="Times New Roman" w:hAnsi="Times New Roman" w:cs="Times New Roman"/>
        </w:rPr>
        <w:fldChar w:fldCharType="begin"/>
      </w:r>
      <w:r w:rsidRPr="00932152">
        <w:rPr>
          <w:rFonts w:ascii="Times New Roman" w:hAnsi="Times New Roman" w:cs="Times New Roman"/>
        </w:rPr>
        <w:instrText xml:space="preserve"> ADDIN ZOTERO_ITEM CSL_CITATION {"citationID":"F0V4y1mT","properties":{"formattedCitation":"(Ribeiro da Silva et al., 2015)","plainCitation":"(Ribeiro da Silva et al., 2015)","noteIndex":0},"citationItems":[{"id":86,"uris":["http://zotero.org/users/local/0R4uToEG/items/ELZHAF9Q","http://zotero.org/users/12345038/items/ELZHAF9Q"],"itemData":{"id":86,"type":"article-journal","abstract":"Human activities have led to the loss of habitats and biodiversity in the Atlantic Rain Forest in Brazil. Ecological restoration aims to rebuild this biome and should include not only the reinstatement of species but also the reestablishment of complex ecological interactions and the ecological functions that they provide. One such function is seed dispersal, which is provided by the interactions between animal frugivores and plants. We studied seed dispersal networks in 3 different tropical forest sites restored 15, 25, and 57 years ago; temporal scales rarely observed in restoration studies. We investigated changes in network structure (nestedness, modularity, and network specialization) in these communities over restoration time. Although network size and the number of interactions increased with time since restoration, the networks were composed of generalist birds, and the large frugivores remained absent. Contrary to our expectations though, species richness was highest in the 25-year-old site, maybe due to the higher number of species used in the planting. Nestedness values were low in all 3 networks, but the highest nestedness was observed in the intermediate-aged site. However, the oldest network was significantly modular and showed higher complementary specialization. These results suggest that 57 years after restoration, the complexity of mutualistic interactions in seed dispersal networks has increased, this enhancing ecosystem function in the Atlantic forest.","container-title":"Restoration Ecology","DOI":"10.1111/rec.12244","ISSN":"10612971","issue":"6","journalAbbreviation":"Restor Ecol","language":"en","page":"852-860","source":"DOI.org (Crossref)","title":"The restoration of tropical seed dispersal networks: Restoration of tropical seed dispersal networks","title-short":"The restoration of tropical seed dispersal networks","volume":"23","author":[{"family":"Ribeiro da Silva","given":"Fernanda"},{"family":"Montoya","given":"Daniel"},{"family":"Furtado","given":"Rafael"},{"family":"Memmott","given":"Jane"},{"family":"Pizo","given":"Marco A."},{"family":"Rodrigues","given":"Ricardo R."}],"issued":{"date-parts":[["2015",11]]}}}],"schema":"https://github.com/citation-style-language/schema/raw/master/csl-citation.json"} </w:instrText>
      </w:r>
      <w:r w:rsidRPr="00932152">
        <w:rPr>
          <w:rFonts w:ascii="Times New Roman" w:hAnsi="Times New Roman" w:cs="Times New Roman"/>
        </w:rPr>
        <w:fldChar w:fldCharType="separate"/>
      </w:r>
      <w:r w:rsidRPr="00932152">
        <w:rPr>
          <w:rFonts w:ascii="Times New Roman" w:hAnsi="Times New Roman" w:cs="Times New Roman"/>
          <w:noProof/>
        </w:rPr>
        <w:t>(Ribeiro da Silva et al., 2015)</w:t>
      </w:r>
      <w:r w:rsidRPr="00932152">
        <w:rPr>
          <w:rFonts w:ascii="Times New Roman" w:hAnsi="Times New Roman" w:cs="Times New Roman"/>
        </w:rPr>
        <w:fldChar w:fldCharType="end"/>
      </w:r>
      <w:r w:rsidRPr="00932152">
        <w:rPr>
          <w:rFonts w:ascii="Times New Roman" w:hAnsi="Times New Roman" w:cs="Times New Roman"/>
        </w:rPr>
        <w:t xml:space="preserve">, and none have looked at interaction assembly across early successional habitats. Additionally, the extent to which network attributes that contribute to stability, such as nestedness and modularity, persist across multiple stages of forest regeneration is not well understood. If seed dispersal networks fail to recover their structural complexity and stability, regenerating forests may exhibit altered community assembly and reduced functional resilience </w:t>
      </w:r>
      <w:r w:rsidRPr="00932152">
        <w:rPr>
          <w:rFonts w:ascii="Times New Roman" w:hAnsi="Times New Roman" w:cs="Times New Roman"/>
        </w:rPr>
        <w:fldChar w:fldCharType="begin"/>
      </w:r>
      <w:r w:rsidR="00BC132B">
        <w:rPr>
          <w:rFonts w:ascii="Times New Roman" w:hAnsi="Times New Roman" w:cs="Times New Roman"/>
        </w:rPr>
        <w:instrText xml:space="preserve"> ADDIN ZOTERO_ITEM CSL_CITATION {"citationID":"EhH3uMYp","properties":{"formattedCitation":"(Bastazini et al., 2019b; Bomfim et al., 2018; Carvalho et al., 2023)","plainCitation":"(Bastazini et al., 2019b; Bomfim et al., 2018; Carvalho et al., 2023)","noteIndex":0},"citationItems":[{"id":851,"uris":["http://zotero.org/users/12345038/items/24HHE6HB"],"itemData":{"id":851,"type":"article-journal","abstract":"Understanding cascading effects of species loss is a major challenge for ecologists. Traditionally, the robustness of ecological networks has been evaluated based on simulation studies where primary extinctions occur at random or as a function of species specialization, ignoring other important biological factors. Here, we estimate the robustness of a seed dispersal network from a grassland-forest mosaic in southern Brazil, simulating distinct scenarios of woody plant species extinction, including scenarios where species are eliminated based on their evolutionary and functional distinctiveness. Our results suggest that the network is more robust when species are eliminated based on their evolutionary uniqueness, followed by random extinctions, the extinction of the most specialist species, functional distinctiveness and, at last, when the most generalist species are sequentially eliminated. Our results provide important information for grassland-forest mosaic management, as they indicate that loss of generalist species and functional diversity makes the system more likely to collapse.","container-title":"ENVIRONMENTAL CONSERVATION","DOI":"10.1017/S0376892918000334","ISSN":"0376-8929","issue":"1, SI","page":"52-58","title":"Loss of Generalist Plant Species and Functional Diversity Decreases the Robustness of a Seed Dispersal Network","volume":"46","author":[{"family":"Bastazini","given":"Vinicius A. G."},{"family":"Debastiani","given":"Vanderlei J."},{"family":"Azambuja","given":"Bethania O."},{"family":"Guimaraes Jr","given":"Paulo R."},{"family":"Pillar","given":"Valerio D."}],"issued":{"date-parts":[["2019",3]]}}},{"id":802,"uris":["http://zotero.org/users/12345038/items/W623QLN4"],"itemData":{"id":802,"type":"article-journal","abstract":"A central problem in ecology is to understand how human impacts affect plant-animal interactions that lead to effective seed dispersal services for plant communities. Seed dispersal services are the outcome of plant-frugivore interactions that often form local networks of interacting species. Recent work has shown that some frugivorous bird species are more critical to network organization than others. Here, we explore how patch size and the potential local extinctions of obligate frugivorous birds affect the reorganization of seed dispersal networks. We examined the structure of 20 empirical seed dispersal networks documented across tropical avian assemblages occupying widely variable habitat patch sizes, a surrogate of the amount of remaining habitat. Networks within small forest patches consistently supported both lower plant and bird species richness. Forest patch size was positively associated with nestedness, indicating that reductions in patch size disrupted the nested organization of seed dispersal networks. Obligate frugivores, especially large-bodied species, were almost entirely absent from small forest patches. Analysis at the species level showed that obligate frugivores formed the core of interacting species, connecting species within a given seed dispersal network. Our combined results revealed that patch size reduction erodes frugivorous bird diversity, thereby affecting the integrity of seed dispersal networks. We highlight the importance of conserving large forest patches to maintain tropical forest functionality.","container-title":"ECOGRAPHY","DOI":"10.1111/ecog.03592","ISSN":"0906-7590","issue":"11","page":"1899-1909","title":"Local extinctions of obligate frugivores and patch size reduction disrupt the structure of seed dispersal networks","volume":"41","author":[{"family":"Bomfim","given":"Jamille de Assis"},{"family":"Guimaraes","given":"Paulo R.","suffix":"Jr."},{"family":"Peres","given":"Carlos A."},{"family":"Carvalho","given":"Gustavo"},{"family":"Cazetta","given":"Eliana"}],"issued":{"date-parts":[["2018",11]]}}},{"id":967,"uris":["http://zotero.org/users/12345038/items/MAKMF3M6"],"itemData":{"id":967,"type":"article-journal","abstract":"Seed dispersal is a fundamental process that is highly threatened by the rapid decline of large-bodied frugivores worldwide. The Brazilian Cerrado, the largest savanna in the world, represents an ideal site for investigating seed dispersal because of its biodiversity, environmental challenges, and knowledge shortfalls. We performed a systematic literature review to analyze the seed dispersal network in the Cerrado and the potential impacts of the defaunation of large-bodied frugivores on it. We considered network metrics, calculated the defaunation index of the frugivore assemblage, and compared traits among different fruit-sized plants and their respective dispersers in the network. We retrieved 1565 interactions involving 193 plant species and 270 animal species. Results show that the Cerrado seed dispersal network is slightly nested and considerably modular, dominated by small- to medium-sized generalist species, such as passerines, marsupials, and mesocarnivores. Nonetheless, large-bodied frugivores like the lowland tapir have a key role in the network due to their great foraging and network integration capacity. The Cerrado frugivore assemblage is moderately defaunated, with possible effects in its interactions with large-fruited plants. The Cerrado's defaunation and functional loss of large vertebrates deserve urgent attention to further understand the impacts on seed dispersal mechanisms and ecosystem functioning.","container-title":"BIOTROPICA","DOI":"10.1111/btp.13234","ISSN":"0006-3606","issue":"4","page":"849-865","title":"Frugivory and seed dispersal in the Cerrado: Network structure and defaunation effects","volume":"55","author":[{"family":"Carvalho","given":"Rodrigo Bello"},{"family":"Malhi","given":"Yadvinder"},{"family":"Menor","given":"Imma Oliveras"}],"issued":{"date-parts":[["2023",7]]}}}],"schema":"https://github.com/citation-style-language/schema/raw/master/csl-citation.json"} </w:instrText>
      </w:r>
      <w:r w:rsidRPr="00932152">
        <w:rPr>
          <w:rFonts w:ascii="Times New Roman" w:hAnsi="Times New Roman" w:cs="Times New Roman"/>
        </w:rPr>
        <w:fldChar w:fldCharType="separate"/>
      </w:r>
      <w:r w:rsidR="00BC132B">
        <w:rPr>
          <w:rFonts w:ascii="Times New Roman" w:hAnsi="Times New Roman" w:cs="Times New Roman"/>
          <w:noProof/>
        </w:rPr>
        <w:t>(Bastazini et al., 2019; Bomfim et al., 2018; Carvalho et al., 2023)</w:t>
      </w:r>
      <w:r w:rsidRPr="00932152">
        <w:rPr>
          <w:rFonts w:ascii="Times New Roman" w:hAnsi="Times New Roman" w:cs="Times New Roman"/>
        </w:rPr>
        <w:fldChar w:fldCharType="end"/>
      </w:r>
      <w:r w:rsidRPr="00932152">
        <w:rPr>
          <w:rFonts w:ascii="Times New Roman" w:hAnsi="Times New Roman" w:cs="Times New Roman"/>
        </w:rPr>
        <w:t>.</w:t>
      </w:r>
    </w:p>
    <w:p w14:paraId="016C8C01" w14:textId="07A0760F" w:rsidR="00932152" w:rsidRPr="00932152" w:rsidRDefault="00932152" w:rsidP="00EB4834">
      <w:pPr>
        <w:spacing w:before="0" w:after="0"/>
        <w:ind w:firstLine="720"/>
        <w:rPr>
          <w:rFonts w:ascii="Times New Roman" w:hAnsi="Times New Roman" w:cs="Times New Roman"/>
          <w:color w:val="000000" w:themeColor="text1"/>
        </w:rPr>
      </w:pPr>
      <w:r w:rsidRPr="00932152">
        <w:rPr>
          <w:rFonts w:ascii="Times New Roman" w:hAnsi="Times New Roman" w:cs="Times New Roman"/>
          <w:color w:val="000000" w:themeColor="text1"/>
        </w:rPr>
        <w:t xml:space="preserve">In this study, we utilized ecological networks to understand seed dispersal interactions along a forest regeneration gradient in the Chocó Rainforest of Northwest Ecuador. Specifically, we aimed </w:t>
      </w:r>
      <w:r w:rsidR="007257F3" w:rsidRPr="00932152">
        <w:rPr>
          <w:rFonts w:ascii="Times New Roman" w:hAnsi="Times New Roman" w:cs="Times New Roman"/>
          <w:color w:val="000000" w:themeColor="text1"/>
        </w:rPr>
        <w:t>to</w:t>
      </w:r>
      <w:r w:rsidRPr="00932152">
        <w:rPr>
          <w:rFonts w:ascii="Times New Roman" w:hAnsi="Times New Roman" w:cs="Times New Roman"/>
          <w:color w:val="000000" w:themeColor="text1"/>
        </w:rPr>
        <w:t xml:space="preserve"> </w:t>
      </w:r>
      <w:r w:rsidR="007A526F">
        <w:rPr>
          <w:rFonts w:ascii="Times New Roman" w:hAnsi="Times New Roman" w:cs="Times New Roman"/>
          <w:color w:val="000000" w:themeColor="text1"/>
        </w:rPr>
        <w:t>1) E</w:t>
      </w:r>
      <w:r w:rsidRPr="00932152">
        <w:rPr>
          <w:rFonts w:ascii="Times New Roman" w:hAnsi="Times New Roman" w:cs="Times New Roman"/>
          <w:color w:val="000000" w:themeColor="text1"/>
        </w:rPr>
        <w:t xml:space="preserve">xamine how seed dispersal interactions change as a function of forest regeneration, </w:t>
      </w:r>
      <w:r w:rsidR="007A526F">
        <w:rPr>
          <w:rFonts w:ascii="Times New Roman" w:hAnsi="Times New Roman" w:cs="Times New Roman"/>
          <w:color w:val="000000" w:themeColor="text1"/>
        </w:rPr>
        <w:t>2)</w:t>
      </w:r>
      <w:r w:rsidRPr="00932152">
        <w:rPr>
          <w:rFonts w:ascii="Times New Roman" w:hAnsi="Times New Roman" w:cs="Times New Roman"/>
          <w:color w:val="000000" w:themeColor="text1"/>
        </w:rPr>
        <w:t xml:space="preserve"> </w:t>
      </w:r>
      <w:r w:rsidR="007A526F">
        <w:rPr>
          <w:rFonts w:ascii="Times New Roman" w:hAnsi="Times New Roman" w:cs="Times New Roman"/>
          <w:color w:val="000000" w:themeColor="text1"/>
        </w:rPr>
        <w:t>E</w:t>
      </w:r>
      <w:r w:rsidRPr="00932152">
        <w:rPr>
          <w:rFonts w:ascii="Times New Roman" w:hAnsi="Times New Roman" w:cs="Times New Roman"/>
          <w:color w:val="000000" w:themeColor="text1"/>
        </w:rPr>
        <w:t xml:space="preserve">valuate the extent to which seed dispersal networks retain or change their </w:t>
      </w:r>
      <w:r w:rsidR="007257F3">
        <w:rPr>
          <w:rFonts w:ascii="Times New Roman" w:hAnsi="Times New Roman" w:cs="Times New Roman"/>
          <w:color w:val="000000" w:themeColor="text1"/>
        </w:rPr>
        <w:t>structure</w:t>
      </w:r>
      <w:r w:rsidRPr="00932152">
        <w:rPr>
          <w:rFonts w:ascii="Times New Roman" w:hAnsi="Times New Roman" w:cs="Times New Roman"/>
          <w:color w:val="000000" w:themeColor="text1"/>
        </w:rPr>
        <w:t xml:space="preserve"> through stages of forest regeneration, and </w:t>
      </w:r>
      <w:r w:rsidR="007A526F">
        <w:rPr>
          <w:rFonts w:ascii="Times New Roman" w:hAnsi="Times New Roman" w:cs="Times New Roman"/>
          <w:color w:val="000000" w:themeColor="text1"/>
        </w:rPr>
        <w:t>3) D</w:t>
      </w:r>
      <w:r w:rsidRPr="00932152">
        <w:rPr>
          <w:rFonts w:ascii="Times New Roman" w:hAnsi="Times New Roman" w:cs="Times New Roman"/>
          <w:color w:val="000000" w:themeColor="text1"/>
        </w:rPr>
        <w:t xml:space="preserve">etermine how forest regeneration influences </w:t>
      </w:r>
      <w:r w:rsidR="007257F3">
        <w:rPr>
          <w:rFonts w:ascii="Times New Roman" w:hAnsi="Times New Roman" w:cs="Times New Roman"/>
          <w:color w:val="000000" w:themeColor="text1"/>
        </w:rPr>
        <w:t xml:space="preserve">network-level measures </w:t>
      </w:r>
      <w:r w:rsidRPr="00932152">
        <w:rPr>
          <w:rFonts w:ascii="Times New Roman" w:hAnsi="Times New Roman" w:cs="Times New Roman"/>
          <w:color w:val="000000" w:themeColor="text1"/>
        </w:rPr>
        <w:t xml:space="preserve">of seed dispersal networks. We hypothesized that seed dispersal interactions change as a function of forest regeneration, where network stability increases as forest succession </w:t>
      </w:r>
      <w:r w:rsidR="00A34E31">
        <w:rPr>
          <w:rFonts w:ascii="Times New Roman" w:hAnsi="Times New Roman" w:cs="Times New Roman"/>
          <w:color w:val="000000" w:themeColor="text1"/>
        </w:rPr>
        <w:t>progresses</w:t>
      </w:r>
      <w:r w:rsidRPr="00932152">
        <w:rPr>
          <w:rFonts w:ascii="Times New Roman" w:hAnsi="Times New Roman" w:cs="Times New Roman"/>
          <w:color w:val="000000" w:themeColor="text1"/>
        </w:rPr>
        <w:t xml:space="preserve"> </w:t>
      </w:r>
      <w:r w:rsidRPr="00932152">
        <w:rPr>
          <w:rFonts w:ascii="Times New Roman" w:hAnsi="Times New Roman" w:cs="Times New Roman"/>
          <w:color w:val="000000" w:themeColor="text1"/>
        </w:rPr>
        <w:fldChar w:fldCharType="begin"/>
      </w:r>
      <w:r w:rsidRPr="00932152">
        <w:rPr>
          <w:rFonts w:ascii="Times New Roman" w:hAnsi="Times New Roman" w:cs="Times New Roman"/>
          <w:color w:val="000000" w:themeColor="text1"/>
        </w:rPr>
        <w:instrText xml:space="preserve"> ADDIN ZOTERO_ITEM CSL_CITATION {"citationID":"4IxXAKyt","properties":{"formattedCitation":"(Ribeiro da Silva et al., 2015)","plainCitation":"(Ribeiro da Silva et al., 2015)","noteIndex":0},"citationItems":[{"id":86,"uris":["http://zotero.org/users/local/0R4uToEG/items/ELZHAF9Q","http://zotero.org/users/12345038/items/ELZHAF9Q"],"itemData":{"id":86,"type":"article-journal","abstract":"Human activities have led to the loss of habitats and biodiversity in the Atlantic Rain Forest in Brazil. Ecological restoration aims to rebuild this biome and should include not only the reinstatement of species but also the reestablishment of complex ecological interactions and the ecological functions that they provide. One such function is seed dispersal, which is provided by the interactions between animal frugivores and plants. We studied seed dispersal networks in 3 different tropical forest sites restored 15, 25, and 57 years ago; temporal scales rarely observed in restoration studies. We investigated changes in network structure (nestedness, modularity, and network specialization) in these communities over restoration time. Although network size and the number of interactions increased with time since restoration, the networks were composed of generalist birds, and the large frugivores remained absent. Contrary to our expectations though, species richness was highest in the 25-year-old site, maybe due to the higher number of species used in the planting. Nestedness values were low in all 3 networks, but the highest nestedness was observed in the intermediate-aged site. However, the oldest network was significantly modular and showed higher complementary specialization. These results suggest that 57 years after restoration, the complexity of mutualistic interactions in seed dispersal networks has increased, this enhancing ecosystem function in the Atlantic forest.","container-title":"Restoration Ecology","DOI":"10.1111/rec.12244","ISSN":"10612971","issue":"6","journalAbbreviation":"Restor Ecol","language":"en","page":"852-860","source":"DOI.org (Crossref)","title":"The restoration of tropical seed dispersal networks: Restoration of tropical seed dispersal networks","title-short":"The restoration of tropical seed dispersal networks","volume":"23","author":[{"family":"Ribeiro da Silva","given":"Fernanda"},{"family":"Montoya","given":"Daniel"},{"family":"Furtado","given":"Rafael"},{"family":"Memmott","given":"Jane"},{"family":"Pizo","given":"Marco A."},{"family":"Rodrigues","given":"Ricardo R."}],"issued":{"date-parts":[["2015",11]]}}}],"schema":"https://github.com/citation-style-language/schema/raw/master/csl-citation.json"} </w:instrText>
      </w:r>
      <w:r w:rsidRPr="00932152">
        <w:rPr>
          <w:rFonts w:ascii="Times New Roman" w:hAnsi="Times New Roman" w:cs="Times New Roman"/>
          <w:color w:val="000000" w:themeColor="text1"/>
        </w:rPr>
        <w:fldChar w:fldCharType="separate"/>
      </w:r>
      <w:r w:rsidRPr="00932152">
        <w:rPr>
          <w:rFonts w:ascii="Times New Roman" w:hAnsi="Times New Roman" w:cs="Times New Roman"/>
          <w:noProof/>
          <w:color w:val="000000" w:themeColor="text1"/>
        </w:rPr>
        <w:t>(Ribeiro da Silva et al., 2015)</w:t>
      </w:r>
      <w:r w:rsidRPr="00932152">
        <w:rPr>
          <w:rFonts w:ascii="Times New Roman" w:hAnsi="Times New Roman" w:cs="Times New Roman"/>
          <w:color w:val="000000" w:themeColor="text1"/>
        </w:rPr>
        <w:fldChar w:fldCharType="end"/>
      </w:r>
      <w:r w:rsidRPr="00932152">
        <w:rPr>
          <w:rFonts w:ascii="Times New Roman" w:hAnsi="Times New Roman" w:cs="Times New Roman"/>
          <w:color w:val="000000" w:themeColor="text1"/>
        </w:rPr>
        <w:t xml:space="preserve">. Therefore, we predicted that seed dispersal networks become more nested, modular, specialized, and less connected as </w:t>
      </w:r>
      <w:r w:rsidRPr="00932152">
        <w:rPr>
          <w:rFonts w:ascii="Times New Roman" w:hAnsi="Times New Roman" w:cs="Times New Roman"/>
          <w:color w:val="000000" w:themeColor="text1"/>
        </w:rPr>
        <w:lastRenderedPageBreak/>
        <w:t xml:space="preserve">forest stages increase in age and structural complexity </w:t>
      </w:r>
      <w:r w:rsidRPr="00932152">
        <w:rPr>
          <w:rFonts w:ascii="Times New Roman" w:hAnsi="Times New Roman" w:cs="Times New Roman"/>
          <w:color w:val="000000" w:themeColor="text1"/>
        </w:rPr>
        <w:fldChar w:fldCharType="begin"/>
      </w:r>
      <w:r w:rsidRPr="00932152">
        <w:rPr>
          <w:rFonts w:ascii="Times New Roman" w:hAnsi="Times New Roman" w:cs="Times New Roman"/>
          <w:color w:val="000000" w:themeColor="text1"/>
        </w:rPr>
        <w:instrText xml:space="preserve"> ADDIN ZOTERO_ITEM CSL_CITATION {"citationID":"eRwfsXP4","properties":{"formattedCitation":"(Bascompte et al., 2006; Fr\\uc0\\u252{}nd et al., 2010; Mello et al., 2011; Olesen et al., 2007; Ribeiro da Silva et al., 2015)","plainCitation":"(Bascompte et al., 2006; Fründ et al., 2010; Mello et al., 2011; Olesen et al., 2007; Ribeiro da Silva et al., 2015)","noteIndex":0},"citationItems":[{"id":322,"uris":["http://zotero.org/users/local/0R4uToEG/items/5KXS4WQ7","http://zotero.org/users/12345038/items/5KXS4WQ7"],"itemData":{"id":322,"type":"article-journal","abstract":"The mutualistic interactions between plants and their pollinators or seed dispersers have played a major role in the maintenance of Earth's biodiversity. To investigate how coevolutionary interactions are shaped within species-rich communities, we characterized the architecture of an array of quantitative, mutualistic networks spanning a broad geographic range. These coevolutionary networks are highly asymmetric, so that if a plant species depends strongly on an animal species, the animal depends weakly on the plant. By using a simple dynamical model, we showed that asymmetries inherent in coevolutionary networks may enhance long-term coexistence and facilitate biodiversity maintenance.","container-title":"Science","DOI":"10.1126/science.1123412","ISSN":"0036-8075, 1095-9203","issue":"5772","journalAbbreviation":"Science","language":"en","page":"431-433","source":"DOI.org (Crossref)","title":"Asymmetric Coevolutionary Networks Facilitate Biodiversity Maintenance","volume":"312","author":[{"family":"Bascompte","given":"Jordi"},{"family":"Jordano","given":"Pedro"},{"family":"Olesen","given":"Jens M."}],"issued":{"date-parts":[["2006",4,21]]}}},{"id":320,"uris":["http://zotero.org/users/local/0R4uToEG/items/DT8JCQQX","http://zotero.org/users/12345038/items/DT8JCQQX"],"itemData":{"id":320,"type":"article-journal","container-title":"Oikos","DOI":"10.1111/j.1600-0706.2010.18450.x","ISSN":"00301299","issue":"10","journalAbbreviation":"Oikos","language":"en","page":"1581-1590","source":"DOI.org (Crossref)","title":"Pollinator diversity and specialization in relation to flower diversity","volume":"119","author":[{"family":"Fründ","given":"Jochen"},{"family":"Linsenmair","given":"Karl Eduard"},{"family":"Blüthgen","given":"Nico"}],"issued":{"date-parts":[["2010",10]]}}},{"id":46,"uris":["http://zotero.org/users/local/0R4uToEG/items/M823Y9L8","http://zotero.org/users/12345038/items/M823Y9L8"],"itemData":{"id":46,"type":"article-journal","container-title":"Oecologia","DOI":"10.1007/s00442-011-1984-2","ISSN":"0029-8549, 1432-1939","issue":"1","journalAbbreviation":"Oecologia","language":"en","page":"131","source":"DOI.org (Crossref)","title":"The modularity of seed dispersal: differences in structure and robustness between bat– and bird–fruit networks","title-short":"The modularity of seed dispersal","volume":"167","author":[{"family":"Mello","given":"Marco Aurelio Ribeiro"},{"family":"Marquitti","given":"Flávia Maria Darcie"},{"family":"Guimarães","given":"Paulo R."},{"family":"Kalko","given":"Elisabeth Klara Viktoria"},{"family":"Jordano","given":"Pedro"},{"family":"Aguiar","given":"Marcus Aloizio Martinez","non-dropping-particle":"de"}],"issued":{"date-parts":[["2011",9]]}}},{"id":318,"uris":["http://zotero.org/users/local/0R4uToEG/items/AC5UTTK3","http://zotero.org/users/12345038/items/AC5UTTK3"],"itemData":{"id":318,"type":"article-journal","abstract":"In natural communities, species and their interactions are often organized as nonrandom networks, showing distinct and repeated complex patterns. A prevalent, but poorly explored pattern is ecological modularity, with weakly interlinked subsets of species (modules), which, however, internally consist of strongly connected species. The importance of modularity has been discussed for a long time, but no consensus on its prevalence in ecological networks has yet been reached. Progress is hampered by inadequate methods and a lack of large datasets. We analyzed 51 pollination networks including almost 10,000 species and 20,000 links and tested for modularity by using a recently developed simulated annealing algorithm. All networks with &gt;150 plant and pollinator species were modular, whereas networks with &lt;50 species were never modular. Both module number and size increased with species number. Each module includes one or a few species groups with convergent trait sets that may be considered as coevolutionary units. Species played different roles with respect to modularity. However, only 15% of all species were structurally important to their network. They were either hubs (i.e., highly linked species within their own module), connectors linking different modules, or both. If these key species go extinct, modules and networks may break apart and initiate cascades of extinction. Thus, species serving as hubs and connectors should receive high conservation priorities.","container-title":"Proceedings of the National Academy of Sciences","DOI":"10.1073/pnas.0706375104","ISSN":"0027-8424, 1091-6490","issue":"50","journalAbbreviation":"Proc. Natl. Acad. Sci. U.S.A.","language":"en","page":"19891-19896","source":"DOI.org (Crossref)","title":"The modularity of pollination networks","volume":"104","author":[{"family":"Olesen","given":"Jens M."},{"family":"Bascompte","given":"Jordi"},{"family":"Dupont","given":"Yoko L."},{"family":"Jordano","given":"Pedro"}],"issued":{"date-parts":[["2007",12,11]]}}},{"id":86,"uris":["http://zotero.org/users/local/0R4uToEG/items/ELZHAF9Q","http://zotero.org/users/12345038/items/ELZHAF9Q"],"itemData":{"id":86,"type":"article-journal","abstract":"Human activities have led to the loss of habitats and biodiversity in the Atlantic Rain Forest in Brazil. Ecological restoration aims to rebuild this biome and should include not only the reinstatement of species but also the reestablishment of complex ecological interactions and the ecological functions that they provide. One such function is seed dispersal, which is provided by the interactions between animal frugivores and plants. We studied seed dispersal networks in 3 different tropical forest sites restored 15, 25, and 57 years ago; temporal scales rarely observed in restoration studies. We investigated changes in network structure (nestedness, modularity, and network specialization) in these communities over restoration time. Although network size and the number of interactions increased with time since restoration, the networks were composed of generalist birds, and the large frugivores remained absent. Contrary to our expectations though, species richness was highest in the 25-year-old site, maybe due to the higher number of species used in the planting. Nestedness values were low in all 3 networks, but the highest nestedness was observed in the intermediate-aged site. However, the oldest network was significantly modular and showed higher complementary specialization. These results suggest that 57 years after restoration, the complexity of mutualistic interactions in seed dispersal networks has increased, this enhancing ecosystem function in the Atlantic forest.","container-title":"Restoration Ecology","DOI":"10.1111/rec.12244","ISSN":"10612971","issue":"6","journalAbbreviation":"Restor Ecol","language":"en","page":"852-860","source":"DOI.org (Crossref)","title":"The restoration of tropical seed dispersal networks: Restoration of tropical seed dispersal networks","title-short":"The restoration of tropical seed dispersal networks","volume":"23","author":[{"family":"Ribeiro da Silva","given":"Fernanda"},{"family":"Montoya","given":"Daniel"},{"family":"Furtado","given":"Rafael"},{"family":"Memmott","given":"Jane"},{"family":"Pizo","given":"Marco A."},{"family":"Rodrigues","given":"Ricardo R."}],"issued":{"date-parts":[["2015",11]]}}}],"schema":"https://github.com/citation-style-language/schema/raw/master/csl-citation.json"} </w:instrText>
      </w:r>
      <w:r w:rsidRPr="00932152">
        <w:rPr>
          <w:rFonts w:ascii="Times New Roman" w:hAnsi="Times New Roman" w:cs="Times New Roman"/>
          <w:color w:val="000000" w:themeColor="text1"/>
        </w:rPr>
        <w:fldChar w:fldCharType="separate"/>
      </w:r>
      <w:r w:rsidRPr="00932152">
        <w:rPr>
          <w:rFonts w:ascii="Times New Roman" w:hAnsi="Times New Roman" w:cs="Times New Roman"/>
          <w:color w:val="000000" w:themeColor="text1"/>
        </w:rPr>
        <w:t>(Bascompte et al., 2006; Fründ et al., 2010; Mello et al., 2011; Olesen et al., 2007; Ribeiro da Silva et al., 2015)</w:t>
      </w:r>
      <w:r w:rsidRPr="00932152">
        <w:rPr>
          <w:rFonts w:ascii="Times New Roman" w:hAnsi="Times New Roman" w:cs="Times New Roman"/>
          <w:color w:val="000000" w:themeColor="text1"/>
        </w:rPr>
        <w:fldChar w:fldCharType="end"/>
      </w:r>
      <w:r w:rsidRPr="00932152">
        <w:rPr>
          <w:rFonts w:ascii="Times New Roman" w:hAnsi="Times New Roman" w:cs="Times New Roman"/>
          <w:color w:val="000000" w:themeColor="text1"/>
        </w:rPr>
        <w:t>. This work provides key insights into the role of seed dispersal interactions in forest succession and contributes to a broader understanding of how mutualistic networks reassemble in regenerating tropical forests.</w:t>
      </w:r>
    </w:p>
    <w:p w14:paraId="3ED3D080" w14:textId="77777777" w:rsidR="001C5A35" w:rsidRPr="00B066C6" w:rsidRDefault="001C5A35" w:rsidP="00EB4834">
      <w:pPr>
        <w:pStyle w:val="Heading2"/>
        <w:spacing w:before="0" w:after="0"/>
        <w:rPr>
          <w:rStyle w:val="Strong"/>
          <w:rFonts w:ascii="Times New Roman" w:hAnsi="Times New Roman" w:cs="Times New Roman"/>
          <w:color w:val="auto"/>
          <w:sz w:val="24"/>
          <w:szCs w:val="24"/>
        </w:rPr>
      </w:pPr>
      <w:bookmarkStart w:id="112" w:name="_Toc195189637"/>
      <w:r w:rsidRPr="00B066C6">
        <w:rPr>
          <w:rStyle w:val="Strong"/>
          <w:rFonts w:ascii="Times New Roman" w:hAnsi="Times New Roman" w:cs="Times New Roman"/>
          <w:color w:val="auto"/>
          <w:sz w:val="24"/>
          <w:szCs w:val="24"/>
        </w:rPr>
        <w:t>Methods</w:t>
      </w:r>
      <w:bookmarkEnd w:id="112"/>
    </w:p>
    <w:p w14:paraId="5EF2A17B" w14:textId="77777777" w:rsidR="001C5A35" w:rsidRPr="00B066C6" w:rsidRDefault="001C5A35" w:rsidP="00EB4834">
      <w:pPr>
        <w:pStyle w:val="Heading3"/>
        <w:spacing w:before="0" w:after="0"/>
        <w:rPr>
          <w:rStyle w:val="Strong"/>
          <w:rFonts w:ascii="Times New Roman" w:hAnsi="Times New Roman" w:cs="Times New Roman"/>
          <w:i/>
          <w:iCs/>
          <w:color w:val="auto"/>
          <w:sz w:val="24"/>
          <w:szCs w:val="24"/>
        </w:rPr>
      </w:pPr>
      <w:bookmarkStart w:id="113" w:name="_Toc195189638"/>
      <w:r w:rsidRPr="00B066C6">
        <w:rPr>
          <w:rStyle w:val="Strong"/>
          <w:rFonts w:ascii="Times New Roman" w:hAnsi="Times New Roman" w:cs="Times New Roman"/>
          <w:i/>
          <w:iCs/>
          <w:color w:val="auto"/>
          <w:sz w:val="24"/>
          <w:szCs w:val="24"/>
        </w:rPr>
        <w:t>Study site</w:t>
      </w:r>
      <w:bookmarkEnd w:id="113"/>
    </w:p>
    <w:p w14:paraId="7BB510C6" w14:textId="6545E01C" w:rsidR="0004517A" w:rsidRDefault="00C239C1" w:rsidP="00EB4834">
      <w:pPr>
        <w:pStyle w:val="NormalWeb"/>
        <w:spacing w:before="0" w:beforeAutospacing="0" w:after="0" w:afterAutospacing="0" w:line="360" w:lineRule="auto"/>
        <w:ind w:firstLine="720"/>
      </w:pPr>
      <w:r w:rsidRPr="1C41D5CD">
        <w:t xml:space="preserve">This study was conducted at the Fundación para la Conservación de Los Andes Tropicales (FCAT), an ecological reserve situated within the broader Mache-Chindul Reserve (REMACH), a significant remnant of the Chocó rainforest in northwestern Ecuador. The Chocó rainforest is internationally recognized as a biodiversity hotspot, boasting exceptionally high levels of endemism </w:t>
      </w:r>
      <w:r w:rsidRPr="1C41D5CD">
        <w:rPr>
          <w:rFonts w:eastAsia="Calibri"/>
        </w:rPr>
        <w:fldChar w:fldCharType="begin"/>
      </w:r>
      <w:r w:rsidR="00BC132B">
        <w:rPr>
          <w:rFonts w:eastAsia="Calibri"/>
        </w:rPr>
        <w:instrText xml:space="preserve"> ADDIN ZOTERO_ITEM CSL_CITATION {"citationID":"TRpnh5HD","properties":{"formattedCitation":"(Aguilar Mugica et al., 2009)","plainCitation":"(Aguilar Mugica et al., 2009)","noteIndex":0},"citationItems":[{"id":1613,"uris":["http://zotero.org/users/12345038/items/SFVITDT5"],"itemData":{"id":1613,"type":"book","event-place":"Quito, Ecuador","ISBN":"978-9942-9959-0-2","language":"en","note":"OCLC: 646349406","publisher":"Birdlife International","publisher-place":"Quito, Ecuador","source":"Open WorldCat","title":"Important bird areas Americas: priority sites for biodiversity conservation","title-short":"Important bird areas Americas","author":[{"family":"Aguilar Mugica","given":"Susana"},{"family":"Devenish","given":"Christian"},{"family":"Wege","given":"David C."},{"family":"Anadón-Irizarry","given":"Verónica"},{"family":"Balman","given":"Mark"}],"issued":{"date-parts":[["2009"]]}}}],"schema":"https://github.com/citation-style-language/schema/raw/master/csl-citation.json"} </w:instrText>
      </w:r>
      <w:r w:rsidRPr="1C41D5CD">
        <w:rPr>
          <w:rFonts w:eastAsia="Calibri"/>
        </w:rPr>
        <w:fldChar w:fldCharType="separate"/>
      </w:r>
      <w:r w:rsidRPr="1C41D5CD">
        <w:t>(Aguilar Mugica et al., 2009)</w:t>
      </w:r>
      <w:r w:rsidRPr="1C41D5CD">
        <w:rPr>
          <w:rFonts w:eastAsia="Calibri"/>
        </w:rPr>
        <w:fldChar w:fldCharType="end"/>
      </w:r>
      <w:r w:rsidRPr="1C41D5CD">
        <w:rPr>
          <w:rFonts w:eastAsia="Calibri"/>
        </w:rPr>
        <w:t>.</w:t>
      </w:r>
      <w:r>
        <w:rPr>
          <w:rFonts w:eastAsia="Calibri"/>
        </w:rPr>
        <w:t xml:space="preserve"> </w:t>
      </w:r>
      <w:r w:rsidRPr="1C41D5CD">
        <w:t xml:space="preserve">REMACH spans 165,000 hectares (ha) of humid Chocó rainforest, wetlands, and waterways within the Rio Esmeraldas drainage basin, though it faces significant deforestation pressures </w:t>
      </w:r>
      <w:r w:rsidRPr="1C41D5CD">
        <w:rPr>
          <w:rFonts w:eastAsia="Calibri"/>
          <w:color w:val="000000" w:themeColor="text1"/>
        </w:rPr>
        <w:fldChar w:fldCharType="begin"/>
      </w:r>
      <w:r w:rsidR="00BC132B">
        <w:rPr>
          <w:rFonts w:eastAsia="Calibri"/>
          <w:color w:val="000000" w:themeColor="text1"/>
        </w:rPr>
        <w:instrText xml:space="preserve"> ADDIN ZOTERO_ITEM CSL_CITATION {"citationID":"gj6CJFyO","properties":{"formattedCitation":"(Dur\\uc0\\u227{}es et al., 2013; Kleemann et al., 2022; Van Der Hoek, 2017)","plainCitation":"(Durães et al., 2013; Kleemann et al., 2022; Van Der Hoek, 2017)","noteIndex":0},"citationItems":[{"id":570,"uris":["http://zotero.org/users/12345038/items/GAMVQ75K"],"itemData":{"id":570,"type":"article-journal","abstract":"Regenerating forests are increasingly ubiquitous in tropical landscapes. They hold great conservation potential and there is demand for assessments of their biodiversity value. Forest disturbance and forest loss often occur together, yet few studies attempt to disentangle their separate effects on biological communities. In the Ecuadorian Chocó, a biodiversity hotspot, we sampled understory birds in patches with increasing levels of disturbance (old-growth, selectively-logged, and secondary forests) within contiguous forest and in fragments. Species richness increased with disturbance but decreased with habitat loss, with a 75% reduction in endemic and threatened species in fragments compared to contiguous forest. This reduction in richness was most pronounced in secondary forest fragments, suggesting that disturbance and habitat loss interact synergistically to maximally reduce avian biodiversity. Species composition was strongly affected by habitat loss and, to a lesser extent, disturbance, with forest fragments and secondary forests presenting distinct communities dominated by generalists with medium-to-low sensitivity to anthropogenic disturbance and reduced proportions of endemics and endangered species. Capture rates also decreased (non-signiﬁcantly) with habitat loss, and the relative abundance of dietary guilds varied in response to both habitat loss and disturbance. Our study shows that regenerating patches surrounded by contiguous forest can sustain high biodiversity levels and, when past habitat disturbance is mild, present similar communities to old-growth forests. In contrast, forest loss caused reductions in richness (especially in more disturbed patches), profound changes in community composition, and loss of species of conservation concern. These results underscore the importance of considering landscape context when evaluating the conservation value of disturbed forests.","container-title":"Biological Conservation","DOI":"10.1016/j.biocon.2013.07.007","ISSN":"00063207","journalAbbreviation":"Biological Conservation","language":"en","page":"203-211","source":"DOI.org (Crossref)","title":"Effects of forest disturbance and habitat loss on avian communities in a Neotropical biodiversity hotspot","volume":"166","author":[{"family":"Durães","given":"Renata"},{"family":"Carrasco","given":"Luis"},{"family":"Smith","given":"Thomas B."},{"family":"Karubian","given":"Jordan"}],"issued":{"date-parts":[["2013",10]]}}},{"id":1575,"uris":["http://zotero.org/users/12345038/items/QBMVZ8HP"],"itemData":{"id":1575,"type":"article-journal","abstract":"Forest conservation is of particular concern in tropical regions where a large refuge of biodiversity is still existing. These areas are threatened by deforestation, forest degradation and fragmentation. Especially, pressures of anthropogenic activities adjacent to these areas significantly influence conservation effectiveness. Ecuador was chosen as study area since it is a globally relevant center of forest ecosystems and biodiversity. We identified hotspots of deforestation on the national level of continental Ecuador between 1990 and 2018, analyzed the most significant drivers of deforestation on national and biome level (the Coast, the Andes, The Amazon) as well as inside protected areas in Ecuador by using multiple regression analysis. We separated the national system of protected areas (SNAP) into higher and lower protection levels. Besides SNAP, we also considered Biosphere Reserves (BRs) and Ramsar sites. In addition, we investigated the rates and spatial patterns of deforestation in protected areas and buffer zones (5 km and 10 km outwards the protected area boundaries) using landscape metrics. Between 1990 and 2018, approximately 4% of the accumulated deforestation occurred within the boundaries of SNAP, and up to 25.5% in buffer zones. The highest rates of deforestation have been found in the 5 km buffer zone around the protected areas with the highest protection level. Protected areas and their buffer zones with higher protection status were identified as the most deforested areas among SNAP. BRs had the highest deforestation rates among all protected areas but most of these areas just became BRs after the year 2000. The most important driver of deforestation is agriculture. Other relevant drivers differ between the biomes. The results suggest that the SNAP is generally effective to prevent deforestation within their protection boundaries. However, deforestation around protected areas can undermine conservation strategies to sustain biodiversity. Actions to address such dynamics and patterns of deforestation and forest fragmentation, and developing conservation strategies of their landscape context are urgently needed especially in the buffer zones of areas with the highest protection status.","container-title":"Land","DOI":"10.3390/land11020268","ISSN":"2073-445X","issue":"2","journalAbbreviation":"Land","language":"en","license":"https://creativecommons.org/licenses/by/4.0/","page":"268","source":"DOI.org (Crossref)","title":"Deforestation in Continental Ecuador with a Focus on Protected Areas","volume":"11","author":[{"family":"Kleemann","given":"Janina"},{"family":"Zamora","given":"Camilo"},{"family":"Villacis-Chiluisa","given":"Alexandra Belen"},{"family":"Cuenca","given":"Pablo"},{"family":"Koo","given":"Hongmi"},{"family":"Noh","given":"Jin Kyoung"},{"family":"Fürst","given":"Christine"},{"family":"Thiel","given":"Michael"}],"issued":{"date-parts":[["2022",2,10]]}}},{"id":1577,"uris":["http://zotero.org/users/12345038/items/FKCBJR8A"],"itemData":{"id":1577,"type":"article-journal","abstract":"SUMMARY\n            Ecuador, a country with nearly unparalleled levels of biodiversity and endemism, has one of the highest deforestation rates of South America. I examined whether governmentally protected areas in Ecuador have been effective at reducing deforestation. After estimating deforestation rates from existing land cover change data for 2000 to 2008, I used a matching approach to compare the rates of forest loss inside and outside protected areas, which corrected for geographic biases in the locations of protected areas. I tested for the effects of protected area age, size and level of protection on the rate of deforestation using generalized linear models. Governmentally protected areas still experienced deforestation – with no apparent effect of age, size and level of protection – of nearly 10,000 ha per year, but deforestation rates were lower inside compared to outside protected areas. Governmental protection led to the avoidance of additional deforestation of 2600–7800 ha of natural forest per year. Actions to mitigate deforestation in Ecuador are of global importance and as such it is promising that protected areas can help diminish deforestation, although the effectiveness of Ecuador's protected areas can still be improved upon.","container-title":"Environmental Conservation","DOI":"10.1017/S037689291700011X","ISSN":"0376-8929, 1469-4387","issue":"2","journalAbbreviation":"Envir. Conserv.","language":"en","license":"https://www.cambridge.org/core/terms","page":"124-130","source":"DOI.org (Crossref)","title":"The potential of protected areas to halt deforestation in Ecuador","volume":"44","author":[{"family":"Van Der Hoek","given":"Yntze"}],"issued":{"date-parts":[["2017",6]]}}}],"schema":"https://github.com/citation-style-language/schema/raw/master/csl-citation.json"} </w:instrText>
      </w:r>
      <w:r w:rsidRPr="1C41D5CD">
        <w:rPr>
          <w:rFonts w:eastAsia="Calibri"/>
          <w:color w:val="000000" w:themeColor="text1"/>
        </w:rPr>
        <w:fldChar w:fldCharType="separate"/>
      </w:r>
      <w:r w:rsidRPr="1C41D5CD">
        <w:rPr>
          <w:color w:val="000000" w:themeColor="text1"/>
        </w:rPr>
        <w:t>(Durães et al., 2013; Kleemann et al., 2022; Van Der Hoek, 2017)</w:t>
      </w:r>
      <w:r w:rsidRPr="1C41D5CD">
        <w:rPr>
          <w:rFonts w:eastAsia="Calibri"/>
          <w:color w:val="000000" w:themeColor="text1"/>
        </w:rPr>
        <w:fldChar w:fldCharType="end"/>
      </w:r>
      <w:r w:rsidRPr="1C41D5CD">
        <w:rPr>
          <w:rFonts w:eastAsia="Calibri"/>
          <w:color w:val="000000" w:themeColor="text1"/>
        </w:rPr>
        <w:t xml:space="preserve">. </w:t>
      </w:r>
      <w:r w:rsidRPr="1C41D5CD">
        <w:t>The FCAT reserve currently covers 656 hectares, with elevations ranging from 350 to 550 meters (m) above sea level (asl). It experiences a wet season from January to June and a dry season from July to December.</w:t>
      </w:r>
    </w:p>
    <w:p w14:paraId="40576C9C" w14:textId="4A6082FC" w:rsidR="0004517A" w:rsidRPr="002B0B01" w:rsidRDefault="0004517A" w:rsidP="00EB4834">
      <w:pPr>
        <w:pStyle w:val="NormalWeb"/>
        <w:spacing w:before="0" w:beforeAutospacing="0" w:after="0" w:afterAutospacing="0" w:line="360" w:lineRule="auto"/>
        <w:ind w:firstLine="720"/>
      </w:pPr>
      <w:r>
        <w:t>The study’s research design incorporate</w:t>
      </w:r>
      <w:r w:rsidRPr="007A526F">
        <w:t>d plots</w:t>
      </w:r>
      <w:r>
        <w:t xml:space="preserve"> representing four different stages of forest regeneration: (1) highly disturbed, recently abandoned agricultural land previously used for cattle grazing and cocoa plantations (PA), (2) early successional vegetation that had been recently abandoned agricultural land but retained substantial amounts of remnant vegetation including herb and understory layers, as well as scattered remnant palms, (ES), (3) young secondary forests formerly used for cocoa cultivation or cattle pasture, which have now been without disturbance for approximately 20–25 years (SEC), and (4) old-growth Chocó rainforest, which experienced minimal recent human activity (e.g., low-intensity selective logging) and surrounds all other plot types. Sampling was conducted in five replicates across each of the four regenerating forest categories</w:t>
      </w:r>
      <w:r w:rsidRPr="007A526F">
        <w:t>, totaling 20 plots.</w:t>
      </w:r>
      <w:r>
        <w:t xml:space="preserve"> Plots were randomly distributed</w:t>
      </w:r>
      <w:r w:rsidR="007A526F">
        <w:t xml:space="preserve"> within each treatment</w:t>
      </w:r>
      <w:r>
        <w:t xml:space="preserve"> across the FCAT reserve, with a minimum spacing of 100 meters (m) between each. </w:t>
      </w:r>
    </w:p>
    <w:p w14:paraId="6E016609" w14:textId="77777777" w:rsidR="001C5A35" w:rsidRPr="00B066C6" w:rsidRDefault="001C5A35" w:rsidP="00EB4834">
      <w:pPr>
        <w:pStyle w:val="Heading3"/>
        <w:spacing w:before="0" w:after="0"/>
        <w:rPr>
          <w:rFonts w:ascii="Times New Roman" w:hAnsi="Times New Roman" w:cs="Times New Roman"/>
          <w:b/>
          <w:bCs/>
          <w:i/>
          <w:iCs/>
          <w:color w:val="auto"/>
          <w:sz w:val="24"/>
          <w:szCs w:val="24"/>
        </w:rPr>
      </w:pPr>
      <w:bookmarkStart w:id="114" w:name="_Toc195189639"/>
      <w:r w:rsidRPr="00B066C6">
        <w:rPr>
          <w:rFonts w:ascii="Times New Roman" w:hAnsi="Times New Roman" w:cs="Times New Roman"/>
          <w:b/>
          <w:bCs/>
          <w:i/>
          <w:iCs/>
          <w:color w:val="auto"/>
          <w:sz w:val="24"/>
          <w:szCs w:val="24"/>
        </w:rPr>
        <w:t>Surveying for fruit frugivore interactions</w:t>
      </w:r>
      <w:bookmarkEnd w:id="114"/>
    </w:p>
    <w:p w14:paraId="5A27030B" w14:textId="395B452C" w:rsidR="0021582A" w:rsidRPr="0021582A" w:rsidRDefault="0021582A" w:rsidP="00EB4834">
      <w:pPr>
        <w:pStyle w:val="NormalWeb"/>
        <w:spacing w:before="0" w:beforeAutospacing="0" w:after="0" w:afterAutospacing="0" w:line="360" w:lineRule="auto"/>
        <w:ind w:firstLine="720"/>
      </w:pPr>
      <w:r w:rsidRPr="00A43E10">
        <w:rPr>
          <w:rFonts w:eastAsia="Calibri"/>
        </w:rPr>
        <w:t xml:space="preserve">We </w:t>
      </w:r>
      <w:r>
        <w:rPr>
          <w:rFonts w:eastAsia="Calibri"/>
        </w:rPr>
        <w:t>sampled for seed dispersal interactions</w:t>
      </w:r>
      <w:r w:rsidRPr="00A43E10">
        <w:rPr>
          <w:rFonts w:eastAsia="Calibri"/>
        </w:rPr>
        <w:t xml:space="preserve"> May-August in 2022 and 2023 to coincide with the dry season and to include resident </w:t>
      </w:r>
      <w:r>
        <w:rPr>
          <w:rFonts w:eastAsia="Calibri"/>
        </w:rPr>
        <w:t xml:space="preserve">bird </w:t>
      </w:r>
      <w:r w:rsidRPr="00A43E10">
        <w:rPr>
          <w:rFonts w:eastAsia="Calibri"/>
        </w:rPr>
        <w:t>species rather than migratory species.</w:t>
      </w:r>
      <w:r>
        <w:t xml:space="preserve"> </w:t>
      </w:r>
      <w:r w:rsidRPr="1C41D5CD">
        <w:t xml:space="preserve">A combination of phytocentric and zoocentric sampling approaches </w:t>
      </w:r>
      <w:r>
        <w:t xml:space="preserve">is thought </w:t>
      </w:r>
      <w:r w:rsidRPr="1C41D5CD">
        <w:t xml:space="preserve">to be the best </w:t>
      </w:r>
      <w:r w:rsidRPr="1C41D5CD">
        <w:lastRenderedPageBreak/>
        <w:t xml:space="preserve">mechanism for sampling seed dispersal interactions </w:t>
      </w:r>
      <w:r>
        <w:fldChar w:fldCharType="begin"/>
      </w:r>
      <w:r>
        <w:instrText xml:space="preserve"> ADDIN ZOTERO_ITEM CSL_CITATION {"citationID":"FwzXelAZ","properties":{"formattedCitation":"(Jordano, 2016; Lussier et al., 2024; Vitorino et al., 2022)","plainCitation":"(Jordano, 2016; Lussier et al., 2024; Vitorino et al., 2022)","noteIndex":0},"citationItems":[{"id":118,"uris":["http://zotero.org/users/12345038/items/EKUYESSX"],"itemData":{"id":118,"type":"article-journal","container-title":"Functional Ecology","DOI":"10.1111/1365-2435.12763","ISSN":"0269-8463, 1365-2435","issue":"12","journalAbbreviation":"Funct Ecol","language":"en","page":"1883-1893","source":"DOI.org (Crossref)","title":"Sampling networks of ecological interactions","volume":"30","author":[{"family":"Jordano","given":"Pedro"}],"editor":[{"family":"Stouffer","given":"Daniel"}],"issued":{"date-parts":[["2016",12]]}}},{"id":1572,"uris":["http://zotero.org/users/12345038/items/QEFDATXT"],"itemData":{"id":1572,"type":"article-journal","abstract":"Abstract\n            While the reassembly of fruit‐frugivore interactions remains at the forefront of tropical forest restoration, seed dispersal networks emerge as a potential approach to enhance restoration success. This review explores the integration of seed dispersal networks in tropical forest restoration, with the aims of (1) synthesizing important findings in the literature, (2) detailing potential biases in utilizing network theory, and (3) addressing current knowledge gaps and future directions for the field. We first highlight the importance of combining phytocentric and zoocentric approaches when sampling for seed dispersal interactions, as different methodologies have varying effects on network measures, and combining approaches can foster a more comprehensive understanding of dispersal interactions. Furthermore, when integrating seed dispersal networks into restoration goals, we suggest a highly connected and species‐rich network is desirable for earlier stages of forest succession where community turnover and transient interactions are pivotal. Nested patterns may emerge throughout varying stages of forest succession, and identifying generalist species that make up nested patterns may be useful for restoration practitioners in both early and later stages of forest regeneration. Modularity should be highest at later stages of succession to maintain community structure and stability, and connector species may play important roles in facilitating seed dispersal across temporal scales. Finally, we emphasize the importance of site‐specific long‐term datasets, chronosequences, and studies at large spatial scales to continue to understand network reassembly as a function of tropical forest succession and to develop effective strategies that enhance the recovery of tropical forest ecosystems.","container-title":"Biotropica","DOI":"10.1111/btp.13347","ISSN":"0006-3606, 1744-7429","journalAbbreviation":"Biotropica","language":"en","page":"e13347","source":"DOI.org (Crossref)","title":"Seeding success: Integrating seed dispersal networks in tropical forest restoration","title-short":"Seeding success","author":[{"family":"Lussier","given":"Nicole M."},{"family":"Crafford","given":"Rachel E."},{"family":"Reid","given":"J. Leighton"},{"family":"Kwit","given":"Charles"}],"issued":{"date-parts":[["2024",6,12]]}}},{"id":300,"uris":["http://zotero.org/users/12345038/items/XEYZJNHR"],"itemData":{"id":300,"type":"article-journal","abstract":"Analysis of ecological networks is a useful approach to investigate species interactions. However, sampling method may influence the observed patterns especially in highly diverse communities. Here we evaluated how sampling decisions influence the characterization of a seed dispersal network between frugivorous birds and plants in a Neotropical community, in Brazil. We found that phytocentric and zoocentric approaches were highly complementary, with only 3.6% of the links in common between both approaches. The phytocentric network was less asymmetric and had higher values for specialization (H2’) and modularity (Qw) than the zoocentric, which in turn had more plants, and higher nestedness (NODFc). The network combining both methods was larger and had intermediate values of specialization, modularity and nestedness. Furthermore, species-level metrics: normalized degree, specialization (d’) and species strength, were not correlated between the two methods for the bird and plant species in common. Our results indicate that the choice of sampling method may affect the interpretation of network structure and the role species play in the communities. Moreover, while phytocentric sampling may limit the detection of interactions to plants seen by the observer, zoocentric sampling tends to undersample bird species with higher body mass or that do not forage in the understory. We stress that the choice of sampling method requires careful consideration of the most appropriate spatial scales to describe an interaction pattern, as well as their advantages and limitations, to better understand the drivers and consequences of species interactions.","container-title":"Acta Oecologica","DOI":"10.1016/j.actao.2021.103805","ISSN":"1146609X","journalAbbreviation":"Acta Oecologica","language":"en","page":"103805","source":"DOI.org (Crossref)","title":"Influence of sampling methods on the description of a Neotropical seed dispersal network","volume":"114","author":[{"family":"Vitorino","given":"Breno Dias"},{"family":"Frota","given":"Angélica Vilas Boas","dropping-particle":"da"},{"family":"Maruyama","given":"Pietro Kiyoshi"},{"family":"Nunes","given":"Josué Ribeiro da Silva"},{"family":"Vizentin-Bugoni","given":"Jeferson"}],"issued":{"date-parts":[["2022",5]]}}}],"schema":"https://github.com/citation-style-language/schema/raw/master/csl-citation.json"} </w:instrText>
      </w:r>
      <w:r>
        <w:fldChar w:fldCharType="separate"/>
      </w:r>
      <w:r w:rsidRPr="1C41D5CD">
        <w:rPr>
          <w:noProof/>
        </w:rPr>
        <w:t>(Jordano, 2016; Lussier et al., 2024; Vitorino et al., 2022)</w:t>
      </w:r>
      <w:r>
        <w:fldChar w:fldCharType="end"/>
      </w:r>
      <w:r w:rsidRPr="1C41D5CD">
        <w:t>. Therefore, we established a series of multi-strata camera traps on focal fruiting species</w:t>
      </w:r>
      <w:r>
        <w:t xml:space="preserve"> to observe frugivorous mammals</w:t>
      </w:r>
      <w:r w:rsidRPr="1C41D5CD">
        <w:t xml:space="preserve">, while also conducting mist-netting surveys for </w:t>
      </w:r>
      <w:r w:rsidRPr="1C41D5CD">
        <w:rPr>
          <w:color w:val="000000" w:themeColor="text1"/>
        </w:rPr>
        <w:t xml:space="preserve">frugivorous birds. Camera traps (n=25, </w:t>
      </w:r>
      <w:proofErr w:type="spellStart"/>
      <w:r w:rsidRPr="1C41D5CD">
        <w:rPr>
          <w:i/>
          <w:iCs/>
          <w:color w:val="000000" w:themeColor="text1"/>
        </w:rPr>
        <w:t>Meidase</w:t>
      </w:r>
      <w:proofErr w:type="spellEnd"/>
      <w:r w:rsidRPr="1C41D5CD">
        <w:rPr>
          <w:i/>
          <w:iCs/>
          <w:color w:val="000000" w:themeColor="text1"/>
        </w:rPr>
        <w:t xml:space="preserve"> </w:t>
      </w:r>
      <w:r w:rsidRPr="1C41D5CD">
        <w:rPr>
          <w:rStyle w:val="a-size-large"/>
          <w:rFonts w:eastAsiaTheme="majorEastAsia"/>
          <w:i/>
          <w:iCs/>
          <w:color w:val="000000" w:themeColor="text1"/>
        </w:rPr>
        <w:t>P70 Trail Cameras</w:t>
      </w:r>
      <w:r w:rsidRPr="1C41D5CD">
        <w:rPr>
          <w:rStyle w:val="a-size-large"/>
          <w:rFonts w:eastAsiaTheme="majorEastAsia"/>
          <w:color w:val="000000" w:themeColor="text1"/>
        </w:rPr>
        <w:t>, 64MP 1296p</w:t>
      </w:r>
      <w:r w:rsidRPr="1C41D5CD">
        <w:rPr>
          <w:rStyle w:val="a-size-large"/>
          <w:color w:val="000000" w:themeColor="text1"/>
        </w:rPr>
        <w:t xml:space="preserve"> HD videos) w</w:t>
      </w:r>
      <w:r w:rsidRPr="1C41D5CD">
        <w:rPr>
          <w:color w:val="000000" w:themeColor="text1"/>
        </w:rPr>
        <w:t xml:space="preserve">ere opportunistically positioned throughout each plot </w:t>
      </w:r>
      <w:r w:rsidR="007A526F">
        <w:rPr>
          <w:color w:val="000000" w:themeColor="text1"/>
        </w:rPr>
        <w:t>within</w:t>
      </w:r>
      <w:r w:rsidRPr="1C41D5CD">
        <w:rPr>
          <w:rFonts w:eastAsia="Calibri"/>
          <w:color w:val="000000" w:themeColor="text1"/>
        </w:rPr>
        <w:t xml:space="preserve"> </w:t>
      </w:r>
      <w:r>
        <w:rPr>
          <w:rFonts w:eastAsia="Calibri"/>
          <w:color w:val="000000" w:themeColor="text1"/>
        </w:rPr>
        <w:t xml:space="preserve">each </w:t>
      </w:r>
      <w:r w:rsidR="007A526F">
        <w:rPr>
          <w:rFonts w:eastAsia="Calibri"/>
          <w:color w:val="000000" w:themeColor="text1"/>
        </w:rPr>
        <w:t>regeneration stage</w:t>
      </w:r>
      <w:r>
        <w:rPr>
          <w:rFonts w:eastAsia="Calibri"/>
          <w:color w:val="000000" w:themeColor="text1"/>
        </w:rPr>
        <w:t>. We conducted fruiting plant surveys to identify areas with a</w:t>
      </w:r>
      <w:r w:rsidRPr="1C41D5CD">
        <w:rPr>
          <w:rFonts w:eastAsia="Calibri"/>
          <w:color w:val="000000" w:themeColor="text1"/>
        </w:rPr>
        <w:t xml:space="preserve"> high diversity and abundance of ripe fruits to maximize potential observations of fruit-frugivore interactions </w:t>
      </w:r>
      <w:r w:rsidRPr="1C41D5CD">
        <w:rPr>
          <w:rFonts w:eastAsia="Calibri"/>
          <w:color w:val="000000" w:themeColor="text1"/>
        </w:rPr>
        <w:fldChar w:fldCharType="begin"/>
      </w:r>
      <w:r w:rsidRPr="1C41D5CD">
        <w:rPr>
          <w:rFonts w:eastAsia="Calibri"/>
          <w:color w:val="000000" w:themeColor="text1"/>
        </w:rPr>
        <w:instrText xml:space="preserve"> ADDIN ZOTERO_ITEM CSL_CITATION {"citationID":"r2aZARfU","properties":{"formattedCitation":"(Selwyn et al., 2020)","plainCitation":"(Selwyn et al., 2020)","noteIndex":0},"citationItems":[{"id":346,"uris":["http://zotero.org/users/12345038/items/UF7ZMPIX"],"itemData":{"id":346,"type":"article-journal","container-title":"PLOS ONE","DOI":"10.1371/journal.pone.0240614","ISSN":"1932-6203","issue":"10","journalAbbreviation":"PLoS ONE","language":"en","page":"e0240614","source":"DOI.org (Crossref)","title":"Interspecific interactions among functionally diverse frugivores and their outcomes for plant reproduction: A new approach based on camera-trap data and tailored null models","title-short":"Interspecific interactions among functionally diverse frugivores and their outcomes for plant reproduction","volume":"15","author":[{"family":"Selwyn","given":"Miriam"},{"family":"Garrote","given":"Pedro J."},{"family":"Castilla","given":"Antonio R."},{"family":"Fedriani","given":"Jose M."}],"editor":[{"family":"Blendinger","given":"Pedro G."}],"issued":{"date-parts":[["2020",10,16]]}}}],"schema":"https://github.com/citation-style-language/schema/raw/master/csl-citation.json"} </w:instrText>
      </w:r>
      <w:r w:rsidRPr="1C41D5CD">
        <w:rPr>
          <w:rFonts w:eastAsia="Calibri"/>
          <w:color w:val="000000" w:themeColor="text1"/>
        </w:rPr>
        <w:fldChar w:fldCharType="separate"/>
      </w:r>
      <w:r w:rsidRPr="1C41D5CD">
        <w:rPr>
          <w:rFonts w:eastAsia="Calibri"/>
          <w:noProof/>
          <w:color w:val="000000" w:themeColor="text1"/>
        </w:rPr>
        <w:t>(Selwyn et al., 2020)</w:t>
      </w:r>
      <w:r w:rsidRPr="1C41D5CD">
        <w:rPr>
          <w:rFonts w:eastAsia="Calibri"/>
          <w:color w:val="000000" w:themeColor="text1"/>
        </w:rPr>
        <w:fldChar w:fldCharType="end"/>
      </w:r>
      <w:r w:rsidRPr="1C41D5CD">
        <w:rPr>
          <w:rFonts w:eastAsia="Calibri"/>
          <w:color w:val="000000" w:themeColor="text1"/>
        </w:rPr>
        <w:t xml:space="preserve">. Single camera traps were focused on ripe fruit </w:t>
      </w:r>
      <w:r>
        <w:rPr>
          <w:rFonts w:eastAsia="Calibri"/>
          <w:color w:val="000000" w:themeColor="text1"/>
        </w:rPr>
        <w:t xml:space="preserve">for ten days each </w:t>
      </w:r>
      <w:r w:rsidRPr="1C41D5CD">
        <w:rPr>
          <w:rFonts w:eastAsia="Calibri"/>
          <w:color w:val="000000" w:themeColor="text1"/>
        </w:rPr>
        <w:t xml:space="preserve">at varying heights, including ground level on fallen fruits and seeds, understory level on fruiting shrubs and low hanging fruit, mid-story on medium-large fruiting tree species, and at higher canopy levels </w:t>
      </w:r>
      <w:r w:rsidR="007A526F">
        <w:rPr>
          <w:rFonts w:eastAsia="Calibri"/>
          <w:color w:val="000000" w:themeColor="text1"/>
        </w:rPr>
        <w:t xml:space="preserve">on overstory </w:t>
      </w:r>
      <w:r w:rsidRPr="1C41D5CD">
        <w:rPr>
          <w:rFonts w:eastAsia="Calibri"/>
          <w:color w:val="000000" w:themeColor="text1"/>
        </w:rPr>
        <w:t xml:space="preserve">fruiting species. We programmed the cameras to 24-hour video mode with medium sensitivity to record seed dispersal interactions throughout the day and night. This allowed us to record actual frugivory events, rather than assuming frugivory or seed dispersal from photos. To prevent false triggers, the vegetation was cleared in a 1-square meter area around ground-level cameras, and stray branches or vegetation in reach of mid-level cameras were also removed </w:t>
      </w:r>
      <w:r w:rsidRPr="1C41D5CD">
        <w:rPr>
          <w:rFonts w:eastAsia="Calibri"/>
          <w:color w:val="000000" w:themeColor="text1"/>
        </w:rPr>
        <w:fldChar w:fldCharType="begin"/>
      </w:r>
      <w:r w:rsidRPr="1C41D5CD">
        <w:rPr>
          <w:rFonts w:eastAsia="Calibri"/>
          <w:color w:val="000000" w:themeColor="text1"/>
        </w:rPr>
        <w:instrText xml:space="preserve"> ADDIN ZOTERO_ITEM CSL_CITATION {"citationID":"BbQhg0J7","properties":{"formattedCitation":"(Campos et al., 2018)","plainCitation":"(Campos et al., 2018)","noteIndex":0},"citationItems":[{"id":656,"uris":["http://zotero.org/users/12345038/items/2EHSSELM"],"itemData":{"id":656,"type":"article-journal","abstract":"The quantity component of effectiveness of seed dispersal by animals is determined by two events: fruit removal (intensity of the interaction) and animal visitation to the plant (frequency of interactions). Considering dispersal of Prosopis flexuosa seeds as case study, this work aimed at investigating the strengths and weaknesses of the two methods for assessing the quantity component of seed dispersal effectiveness: exclosures and camera traps. Prosopis fruits were offered for 48 hr. Exclosure treatments were performed using two types of wire-­screen cages, allowing access to ants (“closed exclosure”) and to small mammals up to 100 g (“open to small mammals”), and a treatment without exclosure (“open to all removers”). The camera trapping experiment was carried out using vertically oriented cameras placed at approximately 1.80 m height and focused on the fruits. The cameras were set in “motion detect mode,” taking series of three consecutive photographs. The exclosures largely allowed estimation of fruit removal by size-­based groups of animals, but did not provide information on species identity. In contrast, camera traps were able to identify all visitors to species level and could not only determine the number of visits by each species but also the proportion of visits, which resulted in removal of fruits. Camera trapping allowed discriminating among small mammals playing different roles, without underestimating fruit removal by scatter-­hoarding species. The quality of estimation of the quantity component of seed dispersal is remarkably better when the camera trapping method is applied. Additional information obtained, such as activity patterns of visitors, can contribute to a better understanding of the seed dispersal process.","container-title":"Ecology and Evolution","DOI":"10.1002/ece3.4068","ISSN":"20457758","issue":"11","journalAbbreviation":"Ecol Evol","language":"en","page":"5470-5479","source":"DOI.org (Crossref)","title":"Studying the quantity component of seed dispersal effectiveness from exclosure treatments and camera trapping","volume":"8","author":[{"family":"Campos","given":"Claudia M."},{"family":"Velez","given":"Silvina"},{"family":"Miguel","given":"María Florencia"},{"family":"Papú","given":"Sofía"},{"family":"Cona","given":"Mónica I."}],"issued":{"date-parts":[["2018",6]]}}}],"schema":"https://github.com/citation-style-language/schema/raw/master/csl-citation.json"} </w:instrText>
      </w:r>
      <w:r w:rsidRPr="1C41D5CD">
        <w:rPr>
          <w:rFonts w:eastAsia="Calibri"/>
          <w:color w:val="000000" w:themeColor="text1"/>
        </w:rPr>
        <w:fldChar w:fldCharType="separate"/>
      </w:r>
      <w:r w:rsidRPr="1C41D5CD">
        <w:rPr>
          <w:rFonts w:eastAsia="Calibri"/>
          <w:noProof/>
          <w:color w:val="000000" w:themeColor="text1"/>
        </w:rPr>
        <w:t>(Campos et al., 2018)</w:t>
      </w:r>
      <w:r w:rsidRPr="1C41D5CD">
        <w:rPr>
          <w:rFonts w:eastAsia="Calibri"/>
          <w:color w:val="000000" w:themeColor="text1"/>
        </w:rPr>
        <w:fldChar w:fldCharType="end"/>
      </w:r>
      <w:r w:rsidRPr="1C41D5CD">
        <w:rPr>
          <w:rFonts w:eastAsia="Calibri"/>
          <w:color w:val="000000" w:themeColor="text1"/>
        </w:rPr>
        <w:t xml:space="preserve">. Cameras were placed in one regeneration stage for a total of ten days before being rotated to another. This accumulated 19,200 hours of camera trap sampling in total, or 800 sampling days, with 4800 hours, or 200 </w:t>
      </w:r>
      <w:r w:rsidRPr="0021582A">
        <w:rPr>
          <w:rFonts w:eastAsia="Calibri"/>
          <w:color w:val="000000" w:themeColor="text1"/>
        </w:rPr>
        <w:t>days in each plot.</w:t>
      </w:r>
      <w:r w:rsidRPr="0021582A">
        <w:rPr>
          <w:color w:val="000000" w:themeColor="text1"/>
        </w:rPr>
        <w:t xml:space="preserve"> </w:t>
      </w:r>
    </w:p>
    <w:p w14:paraId="25ACAD64" w14:textId="63B82879" w:rsidR="0021582A" w:rsidRPr="0021582A" w:rsidRDefault="0021582A" w:rsidP="00EB4834">
      <w:pPr>
        <w:spacing w:before="0" w:after="0"/>
        <w:ind w:firstLine="720"/>
        <w:rPr>
          <w:rFonts w:ascii="Times New Roman" w:eastAsia="Calibri" w:hAnsi="Times New Roman" w:cs="Times New Roman"/>
          <w:color w:val="000000" w:themeColor="text1"/>
        </w:rPr>
      </w:pPr>
      <w:r w:rsidRPr="0021582A">
        <w:rPr>
          <w:rFonts w:ascii="Times New Roman" w:eastAsia="Calibri" w:hAnsi="Times New Roman" w:cs="Times New Roman"/>
          <w:color w:val="000000" w:themeColor="text1"/>
        </w:rPr>
        <w:t xml:space="preserve">From manually analyzing videos, we extracted the date and time of each interaction, </w:t>
      </w:r>
      <w:r w:rsidR="00464038">
        <w:rPr>
          <w:rFonts w:ascii="Times New Roman" w:eastAsia="Calibri" w:hAnsi="Times New Roman" w:cs="Times New Roman"/>
          <w:color w:val="000000" w:themeColor="text1"/>
        </w:rPr>
        <w:t xml:space="preserve">identified the </w:t>
      </w:r>
      <w:r w:rsidRPr="0021582A">
        <w:rPr>
          <w:rFonts w:ascii="Times New Roman" w:eastAsia="Calibri" w:hAnsi="Times New Roman" w:cs="Times New Roman"/>
          <w:color w:val="000000" w:themeColor="text1"/>
        </w:rPr>
        <w:t xml:space="preserve">plant </w:t>
      </w:r>
      <w:r w:rsidR="00464038">
        <w:rPr>
          <w:rFonts w:ascii="Times New Roman" w:eastAsia="Calibri" w:hAnsi="Times New Roman" w:cs="Times New Roman"/>
          <w:color w:val="000000" w:themeColor="text1"/>
        </w:rPr>
        <w:t>and</w:t>
      </w:r>
      <w:r w:rsidRPr="0021582A">
        <w:rPr>
          <w:rFonts w:ascii="Times New Roman" w:eastAsia="Calibri" w:hAnsi="Times New Roman" w:cs="Times New Roman"/>
          <w:color w:val="000000" w:themeColor="text1"/>
        </w:rPr>
        <w:t xml:space="preserve"> frugivorous animal species</w:t>
      </w:r>
      <w:r w:rsidR="007A526F">
        <w:rPr>
          <w:rFonts w:ascii="Times New Roman" w:eastAsia="Calibri" w:hAnsi="Times New Roman" w:cs="Times New Roman"/>
          <w:color w:val="000000" w:themeColor="text1"/>
        </w:rPr>
        <w:t xml:space="preserve"> present</w:t>
      </w:r>
      <w:r w:rsidRPr="0021582A">
        <w:rPr>
          <w:rFonts w:ascii="Times New Roman" w:eastAsia="Calibri" w:hAnsi="Times New Roman" w:cs="Times New Roman"/>
          <w:color w:val="000000" w:themeColor="text1"/>
        </w:rPr>
        <w:t xml:space="preserve">, and documented whether the fruit-frugivore interaction was seed predation, seed dispersal, or no interaction. An active dispersal event </w:t>
      </w:r>
      <w:r w:rsidR="00464038">
        <w:rPr>
          <w:rFonts w:ascii="Times New Roman" w:eastAsia="Calibri" w:hAnsi="Times New Roman" w:cs="Times New Roman"/>
          <w:color w:val="000000" w:themeColor="text1"/>
        </w:rPr>
        <w:t>wa</w:t>
      </w:r>
      <w:r w:rsidRPr="0021582A">
        <w:rPr>
          <w:rFonts w:ascii="Times New Roman" w:eastAsia="Calibri" w:hAnsi="Times New Roman" w:cs="Times New Roman"/>
          <w:color w:val="000000" w:themeColor="text1"/>
        </w:rPr>
        <w:t xml:space="preserve">s defined as an animal swallowing or carrying away fruit (Saavedra et al., 2014). Seed predation events were excluded from the analysis. Animal species were identified by plumage, tail and body length, and other species-specific physical traits. To avoid oversampling bias in camera traps, we counted interactions between a plant and a specific disperser species within a single camera frame once within a twenty-four-hour period. </w:t>
      </w:r>
    </w:p>
    <w:p w14:paraId="6C849A7C" w14:textId="77777777" w:rsidR="0021582A" w:rsidRPr="0021582A" w:rsidRDefault="0021582A" w:rsidP="00EB4834">
      <w:pPr>
        <w:spacing w:before="0" w:after="0"/>
        <w:ind w:firstLine="360"/>
        <w:rPr>
          <w:rFonts w:ascii="Times New Roman" w:eastAsia="Calibri" w:hAnsi="Times New Roman" w:cs="Times New Roman"/>
          <w:color w:val="000000" w:themeColor="text1"/>
        </w:rPr>
      </w:pPr>
      <w:r w:rsidRPr="0021582A">
        <w:rPr>
          <w:rFonts w:ascii="Times New Roman" w:hAnsi="Times New Roman" w:cs="Times New Roman"/>
          <w:color w:val="000000" w:themeColor="text1"/>
        </w:rPr>
        <w:t xml:space="preserve">Mist-netting for birds coincided with an ongoing bird banding monitoring project at FCAT. Mist-netting took place within five plots across each successional stage for two days at a time. Nets were open between 7:00 am and 12:00 pm, during which netted birds were banded, processed, and held in a bag for ~15 minutes to produce a scat deposition. Scat samples were collected to determine intact seed composition, photographed, and stored in ethanol. When </w:t>
      </w:r>
      <w:r w:rsidRPr="0021582A">
        <w:rPr>
          <w:rFonts w:ascii="Times New Roman" w:hAnsi="Times New Roman" w:cs="Times New Roman"/>
          <w:color w:val="000000" w:themeColor="text1"/>
        </w:rPr>
        <w:lastRenderedPageBreak/>
        <w:t xml:space="preserve">possible, seeds were identified to species using a small reference collection at the FCAT field station; however, due to a lack of data on seed species within this region of the Chocó, most seeds were identified only to genus or morphotype, which is representative of an individual plant species. </w:t>
      </w:r>
      <w:r w:rsidRPr="0021582A">
        <w:rPr>
          <w:rFonts w:ascii="Times New Roman" w:hAnsi="Times New Roman" w:cs="Times New Roman"/>
        </w:rPr>
        <w:t>Fieldwork was conducted with MAATE permission (</w:t>
      </w:r>
      <w:proofErr w:type="spellStart"/>
      <w:r w:rsidRPr="0021582A">
        <w:rPr>
          <w:rFonts w:ascii="Times New Roman" w:hAnsi="Times New Roman" w:cs="Times New Roman"/>
          <w:i/>
          <w:iCs/>
        </w:rPr>
        <w:t>Ministerio</w:t>
      </w:r>
      <w:proofErr w:type="spellEnd"/>
      <w:r w:rsidRPr="0021582A">
        <w:rPr>
          <w:rFonts w:ascii="Times New Roman" w:hAnsi="Times New Roman" w:cs="Times New Roman"/>
          <w:i/>
          <w:iCs/>
        </w:rPr>
        <w:t xml:space="preserve"> del </w:t>
      </w:r>
      <w:proofErr w:type="spellStart"/>
      <w:r w:rsidRPr="0021582A">
        <w:rPr>
          <w:rFonts w:ascii="Times New Roman" w:hAnsi="Times New Roman" w:cs="Times New Roman"/>
          <w:i/>
          <w:iCs/>
        </w:rPr>
        <w:t>Ambiente</w:t>
      </w:r>
      <w:proofErr w:type="spellEnd"/>
      <w:r w:rsidRPr="0021582A">
        <w:rPr>
          <w:rFonts w:ascii="Times New Roman" w:hAnsi="Times New Roman" w:cs="Times New Roman"/>
          <w:i/>
          <w:iCs/>
        </w:rPr>
        <w:t xml:space="preserve">, Agua y </w:t>
      </w:r>
      <w:proofErr w:type="spellStart"/>
      <w:r w:rsidRPr="0021582A">
        <w:rPr>
          <w:rFonts w:ascii="Times New Roman" w:hAnsi="Times New Roman" w:cs="Times New Roman"/>
          <w:i/>
          <w:iCs/>
        </w:rPr>
        <w:t>Transición</w:t>
      </w:r>
      <w:proofErr w:type="spellEnd"/>
      <w:r w:rsidRPr="0021582A">
        <w:rPr>
          <w:rFonts w:ascii="Times New Roman" w:hAnsi="Times New Roman" w:cs="Times New Roman"/>
          <w:i/>
          <w:iCs/>
        </w:rPr>
        <w:t xml:space="preserve"> </w:t>
      </w:r>
      <w:proofErr w:type="spellStart"/>
      <w:r w:rsidRPr="0021582A">
        <w:rPr>
          <w:rFonts w:ascii="Times New Roman" w:hAnsi="Times New Roman" w:cs="Times New Roman"/>
          <w:i/>
          <w:iCs/>
        </w:rPr>
        <w:t>Ecológica</w:t>
      </w:r>
      <w:proofErr w:type="spellEnd"/>
      <w:r w:rsidRPr="0021582A">
        <w:rPr>
          <w:rFonts w:ascii="Times New Roman" w:hAnsi="Times New Roman" w:cs="Times New Roman"/>
        </w:rPr>
        <w:t xml:space="preserve">) under permit number: </w:t>
      </w:r>
      <w:r w:rsidRPr="0021582A">
        <w:rPr>
          <w:rFonts w:ascii="Times New Roman" w:hAnsi="Times New Roman" w:cs="Times New Roman"/>
          <w:shd w:val="clear" w:color="auto" w:fill="FFFFFF"/>
        </w:rPr>
        <w:t>MAATE-ARSFC-2022-2589.</w:t>
      </w:r>
    </w:p>
    <w:p w14:paraId="4F18580D" w14:textId="438F7F49" w:rsidR="001C5A35" w:rsidRPr="00B066C6" w:rsidRDefault="001C5A35" w:rsidP="00EB4834">
      <w:pPr>
        <w:pStyle w:val="Heading3"/>
        <w:spacing w:before="0" w:after="0"/>
        <w:rPr>
          <w:rFonts w:ascii="Times New Roman" w:hAnsi="Times New Roman" w:cs="Times New Roman"/>
          <w:b/>
          <w:bCs/>
          <w:i/>
          <w:iCs/>
          <w:color w:val="auto"/>
          <w:sz w:val="24"/>
          <w:szCs w:val="24"/>
        </w:rPr>
      </w:pPr>
      <w:bookmarkStart w:id="115" w:name="_Toc195189640"/>
      <w:r w:rsidRPr="00B066C6">
        <w:rPr>
          <w:rFonts w:ascii="Times New Roman" w:hAnsi="Times New Roman" w:cs="Times New Roman"/>
          <w:b/>
          <w:bCs/>
          <w:i/>
          <w:iCs/>
          <w:color w:val="auto"/>
          <w:sz w:val="24"/>
          <w:szCs w:val="24"/>
        </w:rPr>
        <w:t xml:space="preserve">Statistical </w:t>
      </w:r>
      <w:r w:rsidR="00C4277D">
        <w:rPr>
          <w:rFonts w:ascii="Times New Roman" w:hAnsi="Times New Roman" w:cs="Times New Roman"/>
          <w:b/>
          <w:bCs/>
          <w:i/>
          <w:iCs/>
          <w:color w:val="auto"/>
          <w:sz w:val="24"/>
          <w:szCs w:val="24"/>
        </w:rPr>
        <w:t>a</w:t>
      </w:r>
      <w:r w:rsidRPr="00B066C6">
        <w:rPr>
          <w:rFonts w:ascii="Times New Roman" w:hAnsi="Times New Roman" w:cs="Times New Roman"/>
          <w:b/>
          <w:bCs/>
          <w:i/>
          <w:iCs/>
          <w:color w:val="auto"/>
          <w:sz w:val="24"/>
          <w:szCs w:val="24"/>
        </w:rPr>
        <w:t>nalyses</w:t>
      </w:r>
      <w:bookmarkEnd w:id="115"/>
    </w:p>
    <w:p w14:paraId="70E801C6" w14:textId="3AEBB1DD" w:rsidR="009F483B" w:rsidRPr="009F483B" w:rsidRDefault="009F483B" w:rsidP="00EB4834">
      <w:pPr>
        <w:spacing w:before="0" w:after="0"/>
        <w:ind w:firstLine="720"/>
        <w:rPr>
          <w:rFonts w:ascii="Times New Roman" w:hAnsi="Times New Roman" w:cs="Times New Roman"/>
          <w:color w:val="000000" w:themeColor="text1"/>
        </w:rPr>
      </w:pPr>
      <w:r w:rsidRPr="009F483B">
        <w:rPr>
          <w:rFonts w:ascii="Times New Roman" w:hAnsi="Times New Roman" w:cs="Times New Roman"/>
          <w:color w:val="000000" w:themeColor="text1"/>
        </w:rPr>
        <w:t xml:space="preserve">All statistical analyses and models were fitted in R (Version 2023.09.1 + 494) </w:t>
      </w:r>
      <w:r w:rsidRPr="009F483B">
        <w:rPr>
          <w:rFonts w:ascii="Times New Roman" w:hAnsi="Times New Roman" w:cs="Times New Roman"/>
          <w:color w:val="000000" w:themeColor="text1"/>
        </w:rPr>
        <w:fldChar w:fldCharType="begin"/>
      </w:r>
      <w:r w:rsidR="00BC132B">
        <w:rPr>
          <w:rFonts w:ascii="Times New Roman" w:hAnsi="Times New Roman" w:cs="Times New Roman"/>
          <w:color w:val="000000" w:themeColor="text1"/>
        </w:rPr>
        <w:instrText xml:space="preserve"> ADDIN ZOTERO_ITEM CSL_CITATION {"citationID":"YvEta1Dg","properties":{"formattedCitation":"\\uldash{(Team, 2022)}","plainCitation":"(Team, 2022)","dontUpdate":true,"noteIndex":0},"citationItems":[{"id":1542,"uris":["http://zotero.org/users/12345038/items/RE7VY7DP"],"itemData":{"id":1542,"type":"document","language":"en","title":"R: A Language and Environment for Statistical Computing. R Foundation for Statistical Computing, Vienna","URL":"https://www.R-project.org","author":[{"family":"Team","given":"R.Core"}],"issued":{"date-parts":[["2022"]]}}}],"schema":"https://github.com/citation-style-language/schema/raw/master/csl-citation.json"}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(R Core Team, 2022)</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To examine seed dispersal interactions across forest regeneration, frugivorous birds and mammals were first matched with the respective fruiting plant species-based camera videos and scat depositions. We combined interactions from camera traps and mist-netting data across the season to create a weighted interaction matrix for each individual replicate (n=5 per regeneration stage), as well as a pooled interaction matrix representing each overall stage of forest succession. We then converted the weighted interaction matrices into bipartite networks using the bipartite package in R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{"citationID":"rhdLFQpj","properties":{"formattedCitation":"(Dormann et al., 2008)","plainCitation":"(Dormann et al., 2008)","noteIndex":0},"citationItems":[{"id":1756,"uris":["http://zotero.org/users/12345038/items/LM46S29S"],"itemData":{"id":1756,"type":"article-journal","container-title":"R News","issue":"2","page":"8-11","title":"Introducing the bipartite Package: Analysing Ecological Networks.","volume":"8","author":[{"family":"Dormann","given":"Carsten F."},{"family":"Gruber","given":"Bernd"},{"family":"Fruend","given":"Jochen"}],"issued":{"date-parts":[["2008"]]}}}],"schema":"https://github.com/citation-style-language/schema/raw/master/csl-citation.json"}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(Dormann et al., 2008)</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w:t>
      </w:r>
    </w:p>
    <w:p w14:paraId="0F9906E3" w14:textId="77777777" w:rsidR="009F483B" w:rsidRPr="009F483B" w:rsidRDefault="009F483B" w:rsidP="00EB4834">
      <w:pPr>
        <w:spacing w:before="0" w:after="0"/>
        <w:ind w:firstLine="720"/>
        <w:rPr>
          <w:rFonts w:ascii="Times New Roman" w:hAnsi="Times New Roman" w:cs="Times New Roman"/>
          <w:color w:val="000000" w:themeColor="text1"/>
        </w:rPr>
      </w:pPr>
      <w:r w:rsidRPr="009F483B">
        <w:rPr>
          <w:rFonts w:ascii="Times New Roman" w:hAnsi="Times New Roman" w:cs="Times New Roman"/>
          <w:color w:val="000000" w:themeColor="text1"/>
        </w:rPr>
        <w:t xml:space="preserve">To examine how seed dispersal interactions change as a function of forest regeneration, we calculated interaction frequency, interaction diversity, and the effective number of interactions for each sampling plot using the bipartite package in R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{"citationID":"yCJWD5d2","properties":{"formattedCitation":"(Dormann et al., 2008)","plainCitation":"(Dormann et al., 2008)","noteIndex":0},"citationItems":[{"id":1756,"uris":["http://zotero.org/users/12345038/items/LM46S29S"],"itemData":{"id":1756,"type":"article-journal","container-title":"R News","issue":"2","page":"8-11","title":"Introducing the bipartite Package: Analysing Ecological Networks.","volume":"8","author":[{"family":"Dormann","given":"Carsten F."},{"family":"Gruber","given":"Bernd"},{"family":"Fruend","given":"Jochen"}],"issued":{"date-parts":[["2008"]]}}}],"schema":"https://github.com/citation-style-language/schema/raw/master/csl-citation.json"}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(Dormann et al., 2008)</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For these measurements, we treated each replicate (n=5) as a bipartite network. Interaction frequency was calculated from the total number of recorded plant-disperser interactions per plot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{"citationID":"13G4AA4G","properties":{"formattedCitation":"(Chacoff et al., 2018)","plainCitation":"(Chacoff et al., 2018)","noteIndex":0},"citationItems":[{"id":1730,"uris":["http://zotero.org/users/12345038/items/I5C9BQ6X"],"itemData":{"id":1730,"type":"article-journal","abstract":"Abstract\n            Ecological interactions are highly dynamic in time and space. Previous studies of plant–animal mutualistic networks have shown that the occurrence of interactions varies substantially across years. We analyzed interannual variation of a quantitative mutualistic network, in which links are weighted by interaction frequency. The network was sampled over six consecutive years, representing one of the longest time series for a community‐wide mutualistic network. We estimated the interannual similarity in interactions and assessed the determinants of their persistence. The occurrence of interactions varied greatly among years, with most interactions seen in only one year (64%) and few (20%) in more than two years. This variation was associated with the frequency and position of interactions relative to the network core, so that the network consisted of a persistent core of frequent interactions and many peripheral, infrequent interactions. Null model analyses suggest that species abundances play a substantial role in generating these patterns. Our study represents an important step in the study of ecological networks, furthering our mechanistic understanding of the ecological processes driving the temporal persistence of interactions.","container-title":"Ecology","DOI":"10.1002/ecy.2063","ISSN":"0012-9658, 1939-9170","issue":"1","journalAbbreviation":"Ecology","language":"en","license":"http://onlinelibrary.wiley.com/termsAndConditions#am","page":"21-28","source":"DOI.org (Crossref)","title":"Interaction frequency, network position, and the temporal persistence of interactions in a plant–pollinator network","volume":"99","author":[{"family":"Chacoff","given":"Natacha P."},{"family":"Resasco","given":"Julian"},{"family":"Vázquez","given":"Diego P."}],"issued":{"date-parts":[["2018",1]]}}}],"schema":"https://github.com/citation-style-language/schema/raw/master/csl-citation.json"}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(Chacoff et al., 2018)</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Interaction diversity is defined as a measure of the diversity of interactions between two different groups, indicating how evenly distributed the connections are across all possible pairings within the network (Dormann et al., 2008). Interaction diversity was calculated using the “Shannon diversity (H')” measure with the network-level function in the bipartite package. The effective number of interactions is a value that represents the average number of interactions each node has, considering the uneven distribution of connections across all nodes, providing a more informative measure than simply counting raw interaction numbers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{"citationID":"hBQtJqbN","properties":{"formattedCitation":"(Bl\\uc0\\u252{}thgen et al., 2008)","plainCitation":"(Blüthgen et al., 2008)","noteIndex":0},"citationItems":[{"id":779,"uris":["http://zotero.org/users/12345038/items/GFYUX762"],"itemData":{"id":779,"type":"article-journal","abstract":"The structure of ecological interaction networks is often interpreted as a product of meaningful ecological and evolutionary mechanisms that shape the degree of specialization in community associations. However, here we show that both unweighted network metrics (connectance, nestedness, and degree distribution) and weighted network metrics (interaction evenness, interaction strength asymmetry) are strongly constrained and biased by the number of observations. Rarely observed species are inevitably regarded as \"specialists,\" irrespective of their actual associations, leading to biased estimates of specialization. Consequently, a skewed distribution of species observation records (such as the lognormal), combined with a relatively low sampling density typical for ecological data, already generates a \"nested\" and poorly \"connected\" network with \"asymmetric interaction strengths\" when interactions are neutral. This is confirmed by null model simulations of bipartite networks, assuming that partners associate randomly in the absence of any specialization and any variation in the correspondence of biological traits between associated species (trait matching). Variation in the skewness of the frequency distribution fundamentally changes the outcome of network metrics. Therefore, interpretation of network metrics in terms of fundamental specialization and trait matching requires an appropriate control for such severe constraints imposed by information deficits. When using an alternative approach that controls for these effects, most natural networks of mutualistic or antagonistic systems show a significantly higher degree of reciprocal specialization (exclusiveness) than expected under neutral conditions. A higher exclusiveness is coherent with a tighter coevolution and suggests a lower ecological redundancy than implied by nested networks. Key words: abundance distribution; biological traits; connectance; degree distribution; ecological networks; interaction diversity; interaction strength; nestedness; null models; specialization.","container-title":"Ecology","DOI":"10.1890/07-2121.1","ISSN":"0012-9658","issue":"12","journalAbbreviation":"Ecology","language":"en","page":"3387-3399","source":"DOI.org (Crossref)","title":"WHAT DO INTERACTION NETWORK METRICS TELL US ABOUT SPECIALIZATION AND BIOLOGICAL TRAITS","volume":"89","author":[{"family":"Blüthgen","given":"Nico"},{"family":"Fründ","given":"Jochen"},{"family":"Vázquez","given":"Diego P."},{"family":"Menzel","given":"Florian"}],"issued":{"date-parts":[["2008",12]]}}}],"schema":"https://github.com/citation-style-language/schema/raw/master/csl-citation.json"}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(Blüthgen et al., 2008)</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This was calculated by exponentiating the Shannon diversity values. For each interaction variable, we performed an analysis of variance (ANOVA) in R with plot type as the predictor variable to test for overall differences among plots. To identify pairwise differences between plot types, we conducted a Tukey’s Significant Difference test on the ANOVA results. </w:t>
      </w:r>
    </w:p>
    <w:p w14:paraId="7CA9F2FA" w14:textId="77777777" w:rsidR="009F483B" w:rsidRPr="009F483B" w:rsidRDefault="009F483B" w:rsidP="00EB4834">
      <w:pPr>
        <w:spacing w:before="0" w:after="0"/>
        <w:ind w:firstLine="720"/>
        <w:rPr>
          <w:rFonts w:ascii="Times New Roman" w:hAnsi="Times New Roman" w:cs="Times New Roman"/>
          <w:color w:val="000000" w:themeColor="text1"/>
        </w:rPr>
      </w:pPr>
      <w:r w:rsidRPr="009F483B">
        <w:rPr>
          <w:rFonts w:ascii="Times New Roman" w:hAnsi="Times New Roman" w:cs="Times New Roman"/>
          <w:color w:val="000000" w:themeColor="text1"/>
        </w:rPr>
        <w:lastRenderedPageBreak/>
        <w:t xml:space="preserve">To quantify the extent to which seed dispersal networks retain or change their structure through stages of forest regeneration, we calculated the edge overlap between networks. Edge overlap indicates the proportion of shared links across habitats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{"citationID":"BPYGRgj7","properties":{"formattedCitation":"(Timoteo et al., 2018)","plainCitation":"(Timoteo et al., 2018)","noteIndex":0},"citationItems":[{"id":812,"uris":["http://zotero.org/users/12345038/items/D6RBMMPN"],"itemData":{"id":812,"type":"article-journal","abstract":"Species interaction networks are traditionally explored as discrete entities with well-defined spatial borders, an oversimplification likely impairing their applicability. Using a multilayer network approach, explicitly accounting for inter-habitat connectivity, we investigate the spatial structure of seed-dispersal networks across the Gorongosa National Park, Mozambique. We show that the overall seed-dispersal network is composed by spatially explicit communities of dispersers spanning across habitats, functionally linking the landscape mosaic. Inter-habitat connectivity determines spatial structure, which cannot be accurately described with standard monolayer approaches either splitting or merging habitats. Multilayer modularity cannot be predicted by null models randomizing either interactions within each habitat or those linking habitats; however, as habitat connectivity increases, random processes become more important for overall structure. The importance of dispersers for the overall network structure is captured by multilayer versatility but not by standard metrics. Highly versatile species disperse many plant species across multiple habitats, being critical to landscape functional cohesion.","container-title":"NATURE COMMUNICATIONS","DOI":"10.1038/s41467-017-02658-y","title":"Multilayer networks reveal the spatial structure of seed-dispersal interactions across the Great Rift landscapes","volume":"9","author":[{"family":"Timoteo","given":"Sergio"},{"family":"Correia","given":"Marta"},{"family":"Rodriguez-Echeverria","given":"Susana"},{"family":"Freitas","given":"Helena"},{"family":"Heleno","given":"Ruben"}],"issued":{"date-parts":[["2018",1,10]]}}}],"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(Timoteo et al., 2018)</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To calculate edge overlap, we created an edge list where each row represented an observed interaction between a disperser species and a fruiting plant species, which was then separated by regeneration stage. We then transformed each edge list into a set of unique species interactions by concatenating species pairs into a string format. From this edge list, we calculated overlap density as the ratio of shared interactions to total interactions, which provided a measure of network similarity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{"citationID":"F7pHpRjN","properties":{"formattedCitation":"(Timoteo et al., 2018)","plainCitation":"(Timoteo et al., 2018)","noteIndex":0},"citationItems":[{"id":812,"uris":["http://zotero.org/users/12345038/items/D6RBMMPN"],"itemData":{"id":812,"type":"article-journal","abstract":"Species interaction networks are traditionally explored as discrete entities with well-defined spatial borders, an oversimplification likely impairing their applicability. Using a multilayer network approach, explicitly accounting for inter-habitat connectivity, we investigate the spatial structure of seed-dispersal networks across the Gorongosa National Park, Mozambique. We show that the overall seed-dispersal network is composed by spatially explicit communities of dispersers spanning across habitats, functionally linking the landscape mosaic. Inter-habitat connectivity determines spatial structure, which cannot be accurately described with standard monolayer approaches either splitting or merging habitats. Multilayer modularity cannot be predicted by null models randomizing either interactions within each habitat or those linking habitats; however, as habitat connectivity increases, random processes become more important for overall structure. The importance of dispersers for the overall network structure is captured by multilayer versatility but not by standard metrics. Highly versatile species disperse many plant species across multiple habitats, being critical to landscape functional cohesion.","container-title":"NATURE COMMUNICATIONS","DOI":"10.1038/s41467-017-02658-y","title":"Multilayer networks reveal the spatial structure of seed-dispersal interactions across the Great Rift landscapes","volume":"9","author":[{"family":"Timoteo","given":"Sergio"},{"family":"Correia","given":"Marta"},{"family":"Rodriguez-Echeverria","given":"Susana"},{"family":"Freitas","given":"Helena"},{"family":"Heleno","given":"Ruben"}],"issued":{"date-parts":[["2018",1,10]]}}}],"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(Timoteo et al., 2018)</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We then constructed an overlap matrix, where rows and columns corresponded to the four forest regeneration stages, and calculated the edge overlap between each stage. This was a standardized measure of interaction similarity, ranging from 0 (no shared interactions) to 1 (identical networks).</w:t>
      </w:r>
    </w:p>
    <w:p w14:paraId="1EDB49B9" w14:textId="4FDF5E7C" w:rsidR="009F483B" w:rsidRPr="009F483B" w:rsidRDefault="009F483B" w:rsidP="00EB4834">
      <w:pPr>
        <w:spacing w:before="0" w:after="0"/>
        <w:ind w:firstLine="720"/>
        <w:rPr>
          <w:rFonts w:ascii="Times New Roman" w:hAnsi="Times New Roman" w:cs="Times New Roman"/>
          <w:color w:val="000000" w:themeColor="text1"/>
        </w:rPr>
      </w:pPr>
      <w:r w:rsidRPr="009F483B">
        <w:rPr>
          <w:rFonts w:ascii="Times New Roman" w:hAnsi="Times New Roman" w:cs="Times New Roman"/>
          <w:color w:val="000000" w:themeColor="text1"/>
        </w:rPr>
        <w:t xml:space="preserve">To determine how forest regeneration influences the complexity and stability of seed dispersal networks, we used the network-level function within the bipartite package to calculate network-level indices including connectance, specialization, nestedness, and modularity for networks of interactions pooled over time representing each stage of forest regeneration. Connectance is a measure of the proportion of realized interactions among all possible interactions within a network and decreases with increasing network size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{"citationID":"XzYN95W3","properties":{"formattedCitation":"(Jordano, 1987)","plainCitation":"(Jordano, 1987)","noteIndex":0},"citationItems":[{"id":306,"uris":["http://zotero.org/users/12345038/items/X3G3EFY5"],"itemData":{"id":306,"type":"article-journal","container-title":"The American Naturalist","DOI":"10.1086/284665","ISSN":"0003-0147, 1537-5323","issue":"5","journalAbbreviation":"The American Naturalist","language":"en","page":"657-677","source":"DOI.org (Crossref)","title":"Patterns of Mutualistic Interactions in Pollination and Seed Dispersal: Connectance, Dependence Asymmetries, and Coevolution","title-short":"Patterns of Mutualistic Interactions in Pollination and Seed Dispersal","volume":"129","author":[{"family":"Jordano","given":"Pedro"}],"issued":{"date-parts":[["1987",5]]}}}],"schema":"https://github.com/citation-style-language/schema/raw/master/csl-citation.json"}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(Jordano, 1987)</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Connectance ranges from a value between 0-1, where 1 indicates that all possible interactions are realized. We extracted values using the "connectance” measure from the species-level function in the bipartite package in R. Specialization was extracted using the “H2′” measure from the network-level function, which is measure of complementarity specialization and characterizes the degree or partitioning among dispersers and plant species in the entire network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{"citationID":"frjxb30o","properties":{"formattedCitation":"(Bl\\uc0\\u252{}thgen &amp; Klein, 2011)","plainCitation":"(Blüthgen &amp; Klein, 2011)","noteIndex":0},"citationItems":[{"id":1482,"uris":["http://zotero.org/users/12345038/items/Y88Z72X5"],"itemData":{"id":1482,"type":"article-journal","container-title":"Basic and applied ecology","language":"en","title":"Functional complementarity and specialisation: the role of biodiversity in plant–pollinator interactions","volume":"1;12(4):282-91","author":[{"family":"Blüthgen","given":"N."},{"family":"Klein","given":"A.M."}],"issued":{"date-parts":[["2011",6]]}}}],"schema":"https://github.com/citation-style-language/schema/raw/master/csl-citation.json"}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(Blüthgen &amp; Klein, 2011)</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This measure indicates the extent to which observed interactions deviate from those that would be expected given the species marginal totals, where random associations between species would have a lower value (0), and a network with only exclusive interactions would indicate a higher value (1)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{"citationID":"kraMDPuL","properties":{"formattedCitation":"(Bl\\uc0\\u252{}thgen &amp; Klein, 2011)","plainCitation":"(Blüthgen &amp; Klein, 2011)","noteIndex":0},"citationItems":[{"id":1482,"uris":["http://zotero.org/users/12345038/items/Y88Z72X5"],"itemData":{"id":1482,"type":"article-journal","container-title":"Basic and applied ecology","language":"en","title":"Functional complementarity and specialisation: the role of biodiversity in plant–pollinator interactions","volume":"1;12(4):282-91","author":[{"family":"Blüthgen","given":"N."},{"family":"Klein","given":"A.M."}],"issued":{"date-parts":[["2011",6]]}}}],"schema":"https://github.com/citation-style-language/schema/raw/master/csl-citation.json"}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(Blüthgen &amp; Klein, 2011)</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w:t>
      </w:r>
    </w:p>
    <w:p w14:paraId="5DA7FD12" w14:textId="5F10C289" w:rsidR="009F483B" w:rsidRPr="009F483B" w:rsidRDefault="009F483B" w:rsidP="00EB4834">
      <w:pPr>
        <w:spacing w:before="0" w:after="0"/>
        <w:ind w:firstLine="720"/>
        <w:rPr>
          <w:rFonts w:ascii="Times New Roman" w:hAnsi="Times New Roman" w:cs="Times New Roman"/>
          <w:color w:val="000000" w:themeColor="text1"/>
        </w:rPr>
      </w:pPr>
      <w:r w:rsidRPr="009F483B">
        <w:rPr>
          <w:rFonts w:ascii="Times New Roman" w:hAnsi="Times New Roman" w:cs="Times New Roman"/>
          <w:color w:val="000000" w:themeColor="text1"/>
        </w:rPr>
        <w:t>Nested structure is characterized by (</w:t>
      </w:r>
      <w:proofErr w:type="spellStart"/>
      <w:r w:rsidRPr="009F483B">
        <w:rPr>
          <w:rFonts w:ascii="Times New Roman" w:hAnsi="Times New Roman" w:cs="Times New Roman"/>
          <w:color w:val="000000" w:themeColor="text1"/>
        </w:rPr>
        <w:t>i</w:t>
      </w:r>
      <w:proofErr w:type="spellEnd"/>
      <w:r w:rsidRPr="009F483B">
        <w:rPr>
          <w:rFonts w:ascii="Times New Roman" w:hAnsi="Times New Roman" w:cs="Times New Roman"/>
          <w:color w:val="000000" w:themeColor="text1"/>
        </w:rPr>
        <w:t>) a “core” group of generalist</w:t>
      </w:r>
      <w:r w:rsidR="007A526F">
        <w:rPr>
          <w:rFonts w:ascii="Times New Roman" w:hAnsi="Times New Roman" w:cs="Times New Roman"/>
          <w:color w:val="000000" w:themeColor="text1"/>
        </w:rPr>
        <w:t xml:space="preserve"> disperser or plant</w:t>
      </w:r>
      <w:r w:rsidRPr="009F483B">
        <w:rPr>
          <w:rFonts w:ascii="Times New Roman" w:hAnsi="Times New Roman" w:cs="Times New Roman"/>
          <w:color w:val="000000" w:themeColor="text1"/>
        </w:rPr>
        <w:t xml:space="preserve"> species that interact extensively with one another and drive most of the interactions, (ii) specialist species with relatively few interactions that predominantly interact with generalists, and (iii) minimal interaction between specialist species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{"citationID":"dkd5BxAG","properties":{"formattedCitation":"(Bascompte et al., 2003; Ribeiro da Silva et al., 2015)","plainCitation":"(Bascompte et al., 2003; Ribeiro da Silva et al., 2015)","noteIndex":0},"citationItems":[{"id":29,"uris":["http://zotero.org/users/12345038/items/L4IKBVVI"],"itemData":{"id":29,"type":"article-journal","abstract":"Most studies of plant–animal mutualisms involve a small number of\n species. There is almost no information on the structural organization of\n species-rich mutualistic networks despite its potential importance for the\n maintenance of diversity. Here we analyze 52 mutualistic networks and show\n that they are highly nested; that is, the more specialist species interact\n only with proper subsets of those species interacting with the more\n generalists. This assembly pattern generates highly asymmetrical interactions\n and organizes the community cohesively around a central core of interactions.\n Thus, mutualistic networks are neither randomly assembled nor organized in\n compartments arising from tight, parallel specialization. Furthermore,\n nestedness increases with the complexity (number of interactions) of the\n network: for a given number of species, communities with more interactions are\n significantly more nested. Our results indicate a nonrandom pattern of\n community organization that may be relevant for our understanding of the\n organization and persistence of biodiversity.","container-title":"Proceedings of the National Academy of Sciences","DOI":"10.1073/pnas.1633576100","ISSN":"0027-8424, 1091-6490","issue":"16","journalAbbreviation":"Proc. Natl. Acad. Sci. U.S.A.","language":"en","page":"9383-9387","source":"DOI.org (Crossref)","title":"The nested assembly of plant–animal mutualistic networks","volume":"100","author":[{"family":"Bascompte","given":"Jordi"},{"family":"Jordano","given":"Pedro"},{"family":"Melián","given":"Carlos J."},{"family":"Olesen","given":"Jens M."}],"issued":{"date-parts":[["2003",8,5]]}}},{"id":86,"uris":["http://zotero.org/users/local/0R4uToEG/items/ELZHAF9Q","http://zotero.org/users/12345038/items/ELZHAF9Q"],"itemData":{"id":86,"type":"article-journal","abstract":"Human activities have led to the loss of habitats and biodiversity in the Atlantic Rain Forest in Brazil. Ecological restoration aims to rebuild this biome and should include not only the reinstatement of species but also the reestablishment of complex ecological interactions and the ecological functions that they provide. One such function is seed dispersal, which is provided by the interactions between animal frugivores and plants. We studied seed dispersal networks in 3 different tropical forest sites restored 15, 25, and 57 years ago; temporal scales rarely observed in restoration studies. We investigated changes in network structure (nestedness, modularity, and network specialization) in these communities over restoration time. Although network size and the number of interactions increased with time since restoration, the networks were composed of generalist birds, and the large frugivores remained absent. Contrary to our expectations though, species richness was highest in the 25-year-old site, maybe due to the higher number of species used in the planting. Nestedness values were low in all 3 networks, but the highest nestedness was observed in the intermediate-aged site. However, the oldest network was significantly modular and showed higher complementary specialization. These results suggest that 57 years after restoration, the complexity of mutualistic interactions in seed dispersal networks has increased, this enhancing ecosystem function in the Atlantic forest.","container-title":"Restoration Ecology","DOI":"10.1111/rec.12244","ISSN":"10612971","issue":"6","journalAbbreviation":"Restor Ecol","language":"en","page":"852-860","source":"DOI.org (Crossref)","title":"The restoration of tropical seed dispersal networks: Restoration of tropical seed dispersal networks","title-short":"The restoration of tropical seed dispersal networks","volume":"23","author":[{"family":"Ribeiro da Silva","given":"Fernanda"},{"family":"Montoya","given":"Daniel"},{"family":"Furtado","given":"Rafael"},{"family":"Memmott","given":"Jane"},{"family":"Pizo","given":"Marco A."},{"family":"Rodrigues","given":"Ricardo R."}],"issued":{"date-parts":[["2015",11]]}}}],"schema":"https://github.com/citation-style-language/schema/raw/master/csl-citation.json"}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 xml:space="preserve">(Bascompte et al., 2003; Ribeiro da Silva </w:t>
      </w:r>
      <w:r w:rsidRPr="009F483B">
        <w:rPr>
          <w:rFonts w:ascii="Times New Roman" w:hAnsi="Times New Roman" w:cs="Times New Roman"/>
          <w:color w:val="000000" w:themeColor="text1"/>
        </w:rPr>
        <w:lastRenderedPageBreak/>
        <w:t>et al., 2015)</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We quantified nestedness using the “nestednes</w:t>
      </w:r>
      <w:r w:rsidR="00AC26D2">
        <w:rPr>
          <w:rFonts w:ascii="Times New Roman" w:hAnsi="Times New Roman" w:cs="Times New Roman"/>
          <w:color w:val="000000" w:themeColor="text1"/>
        </w:rPr>
        <w:t>s</w:t>
      </w:r>
      <w:r w:rsidRPr="009F483B">
        <w:rPr>
          <w:rFonts w:ascii="Times New Roman" w:hAnsi="Times New Roman" w:cs="Times New Roman"/>
          <w:color w:val="000000" w:themeColor="text1"/>
        </w:rPr>
        <w:t xml:space="preserve">” index from the network-level function within the bipartite package in R. </w:t>
      </w:r>
      <w:r w:rsidR="00AC26D2">
        <w:rPr>
          <w:rFonts w:ascii="Times New Roman" w:hAnsi="Times New Roman" w:cs="Times New Roman"/>
          <w:color w:val="000000" w:themeColor="text1"/>
        </w:rPr>
        <w:t>Nestedness</w:t>
      </w:r>
      <w:r w:rsidRPr="009F483B">
        <w:rPr>
          <w:rFonts w:ascii="Times New Roman" w:hAnsi="Times New Roman" w:cs="Times New Roman"/>
          <w:color w:val="000000" w:themeColor="text1"/>
        </w:rPr>
        <w:t xml:space="preserve"> measures </w:t>
      </w:r>
      <w:r w:rsidR="00AC26D2">
        <w:rPr>
          <w:rFonts w:ascii="Times New Roman" w:hAnsi="Times New Roman" w:cs="Times New Roman"/>
          <w:color w:val="000000" w:themeColor="text1"/>
        </w:rPr>
        <w:t xml:space="preserve">fall </w:t>
      </w:r>
      <w:r w:rsidRPr="009F483B">
        <w:rPr>
          <w:rFonts w:ascii="Times New Roman" w:hAnsi="Times New Roman" w:cs="Times New Roman"/>
          <w:color w:val="000000" w:themeColor="text1"/>
        </w:rPr>
        <w:t xml:space="preserve">on a scale from 0 to 100, with higher values indicating stronger nestedness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{"citationID":"kWCMAEs2","properties":{"formattedCitation":"(Almeida-Neto &amp; Ulrich, 2011)","plainCitation":"(Almeida-Neto &amp; Ulrich, 2011)","noteIndex":0},"citationItems":[{"id":1757,"uris":["http://zotero.org/users/12345038/items/VMZAF9FA"],"itemData":{"id":1757,"type":"article-journal","container-title":"Environmental Modelling &amp; Software","DOI":"10.1016/j.envsoft.2010.08.003","ISSN":"13648152","issue":"2","journalAbbreviation":"Environmental Modelling &amp; Software","language":"en","license":"https://www.elsevier.com/tdm/userlicense/1.0/","page":"173-178","source":"DOI.org (Crossref)","title":"A straightforward computational approach for measuring nestedness using quantitative matrices","volume":"26","author":[{"family":"Almeida-Neto","given":"Mário"},{"family":"Ulrich","given":"Werner"}],"issued":{"date-parts":[["2011",2]]}}}],"schema":"https://github.com/citation-style-language/schema/raw/master/csl-citation.json"}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(Almeida-Neto &amp; Ulrich, 2011)</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Modularity measures the extent to which interactions in the network are organized into clusters or tightly interacting cohesive subgroups within the larger network. To assess modularity in our bipartite networks, we utilized the “Q'” modularity measure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{"citationID":"dRrs5syS","properties":{"formattedCitation":"(Dormann &amp; Strauss, 2014)","plainCitation":"(Dormann &amp; Strauss, 2014)","noteIndex":0},"citationItems":[{"id":1758,"uris":["http://zotero.org/users/12345038/items/PNRH8NK5"],"itemData":{"id":1758,"type":"article-journal","abstract":"Summary\n            \n              \n                \n                  Ecological networks are often composed of different subcommunities (often referred to as modules). Identifying such modules has the potential to develop a better understanding of the assembly of ecological communities and to investigate functional overlap or specialization.\n                \n                \n                  \n                    The most informative form of networks are quantitative or weighted networks. Here, we introduce an algorithm to identify modules in quantitative bipartite (or two‐mode) networks. It is based on the hierarchical random graphs concept of Clauset\n                    et al\n                    . (2008 Nature 453: 98–101) and is extended to include quantitative information and adapted to work with bipartite graphs. We define the algorithm, which we call QuanBiMo, sketch its performance on simulated data and illustrate its potential usefulness with a case study.\n                  \n                \n                \n                  Modules are detected with a higher accuracy in simulated quantitative networks than in their binary counterparts. Even at high levels of noise, QuanBiMo still classifies 70% of links correctly as within‐ or between‐modules. Recursively applying the algorithm results in additional information of within‐module organization of the network.\n                \n                \n                  The algorithm introduced here must be seen as a considerable improvement over the current standard of algorithms for binary networks. Due to its higher sensitivity, it is likely to lead to be useful for detecting modules in the typically noisy data of ecological networks.","container-title":"Methods in Ecology and Evolution","DOI":"10.1111/2041-210X.12139","ISSN":"2041-210X, 2041-210X","issue":"1","journalAbbreviation":"Methods Ecol Evol","language":"en","license":"http://onlinelibrary.wiley.com/termsAndConditions#vor","page":"90-98","source":"DOI.org (Crossref)","title":"A method for detecting modules in quantitative bipartite networks","volume":"5","author":[{"family":"Dormann","given":"Carsten F."},{"family":"Strauss","given":"Rouven"}],"editor":[{"family":"Peres‐Neto","given":"Pedro"}],"issued":{"date-parts":[["2014",1]]}}}],"schema":"https://github.com/citation-style-language/schema/raw/master/csl-citation.json"}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(Dormann &amp; Strauss, 2014)</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tailored specifically for bipartite structures. Modularity (Q') reflects the degree to which species interactions are compartmentalized into distinct modules, where interactions within modules are more frequent than expected by chance. Q' values range from 0 (indicating a low number of modules) to 1 (indicating a strong modular structure suggesting a greater degree of functional compartmentalization in the network).</w:t>
      </w:r>
    </w:p>
    <w:p w14:paraId="32E1C8AB" w14:textId="7D661570" w:rsidR="00D00514" w:rsidRPr="009F483B" w:rsidRDefault="009F483B" w:rsidP="00EB4834">
      <w:pPr>
        <w:spacing w:before="0" w:after="0"/>
        <w:ind w:firstLine="720"/>
        <w:rPr>
          <w:rFonts w:ascii="Times New Roman" w:hAnsi="Times New Roman" w:cs="Times New Roman"/>
          <w:color w:val="000000" w:themeColor="text1"/>
        </w:rPr>
      </w:pPr>
      <w:r w:rsidRPr="009F483B">
        <w:rPr>
          <w:rFonts w:ascii="Times New Roman" w:hAnsi="Times New Roman" w:cs="Times New Roman"/>
          <w:color w:val="000000" w:themeColor="text1"/>
        </w:rPr>
        <w:t xml:space="preserve">To test whether the networks were significantly more modular, nested, or specialized than expected by random, we generated 100 null networks for each regeneration stage based on our four observed seed dispersal networks </w:t>
      </w:r>
      <w:r w:rsidRPr="009F483B">
        <w:rPr>
          <w:rFonts w:ascii="Times New Roman" w:hAnsi="Times New Roman" w:cs="Times New Roman"/>
          <w:color w:val="000000" w:themeColor="text1"/>
        </w:rPr>
        <w:fldChar w:fldCharType="begin"/>
      </w:r>
      <w:r w:rsidR="00BC132B">
        <w:rPr>
          <w:rFonts w:ascii="Times New Roman" w:hAnsi="Times New Roman" w:cs="Times New Roman"/>
          <w:color w:val="000000" w:themeColor="text1"/>
        </w:rPr>
        <w:instrText xml:space="preserve"> ADDIN ZOTERO_ITEM CSL_CITATION {"citationID":"DmTOdT9q","properties":{"formattedCitation":"(Emer et al., 2020a; Olesen et al., 2007)","plainCitation":"(Emer et al., 2020a; Olesen et al., 2007)","dontUpdate":true,"noteIndex":0},"citationItems":[{"id":1121,"uris":["http://zotero.org/users/12345038/items/Y6F2EQ2V"],"itemData":{"id":1121,"type":"article-journal","container-title":"BIOTROPICA","DOI":"10.1111/btp.12738","ISSN":"0006-3606","issue":"1","page":"81-89","title":"Seed dispersal networks in tropical forest fragments: Area effects, remnant species, and interaction diversity","volume":"52","author":[{"family":"Emer","given":"Carine"},{"family":"Jordano","given":"Pedro"},{"family":"Pizo","given":"Marco A."},{"family":"Ribeiro","given":"Milton C."},{"family":"Silva","given":"Fernanda R.","non-dropping-particle":"da"},{"family":"Galetti","given":"Mauro"}],"issued":{"date-parts":[["2020",1]]}}},{"id":318,"uris":["http://zotero.org/users/local/0R4uToEG/items/AC5UTTK3","http://zotero.org/users/12345038/items/AC5UTTK3"],"itemData":{"id":318,"type":"article-journal","abstract":"In natural communities, species and their interactions are often organized as nonrandom networks, showing distinct and repeated complex patterns. A prevalent, but poorly explored pattern is ecological modularity, with weakly interlinked subsets of species (modules), which, however, internally consist of strongly connected species. The importance of modularity has been discussed for a long time, but no consensus on its prevalence in ecological networks has yet been reached. Progress is hampered by inadequate methods and a lack of large datasets. We analyzed 51 pollination networks including almost 10,000 species and 20,000 links and tested for modularity by using a recently developed simulated annealing algorithm. All networks with &gt;150 plant and pollinator species were modular, whereas networks with &lt;50 species were never modular. Both module number and size increased with species number. Each module includes one or a few species groups with convergent trait sets that may be considered as coevolutionary units. Species played different roles with respect to modularity. However, only 15% of all species were structurally important to their network. They were either hubs (i.e., highly linked species within their own module), connectors linking different modules, or both. If these key species go extinct, modules and networks may break apart and initiate cascades of extinction. Thus, species serving as hubs and connectors should receive high conservation priorities.","container-title":"Proceedings of the National Academy of Sciences","DOI":"10.1073/pnas.0706375104","ISSN":"0027-8424, 1091-6490","issue":"50","journalAbbreviation":"Proc. Natl. Acad. Sci. U.S.A.","language":"en","page":"19891-19896","source":"DOI.org (Crossref)","title":"The modularity of pollination networks","volume":"104","author":[{"family":"Olesen","given":"Jens M."},{"family":"Bascompte","given":"Jordi"},{"family":"Dupont","given":"Yoko L."},{"family":"Jordano","given":"Pedro"}],"issued":{"date-parts":[["2007",12,11]]}}}],"schema":"https://github.com/citation-style-language/schema/raw/master/csl-citation.json"}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(Emer et al., 2020; Olesen et al., 2007)</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xml:space="preserve">. For randomly generated networks, we kept connectance and the number of interacting species constant using the </w:t>
      </w:r>
      <w:proofErr w:type="spellStart"/>
      <w:r w:rsidRPr="009F483B">
        <w:rPr>
          <w:rFonts w:ascii="Times New Roman" w:hAnsi="Times New Roman" w:cs="Times New Roman"/>
          <w:color w:val="000000" w:themeColor="text1"/>
        </w:rPr>
        <w:t>vaznull</w:t>
      </w:r>
      <w:proofErr w:type="spellEnd"/>
      <w:r w:rsidRPr="009F483B">
        <w:rPr>
          <w:rFonts w:ascii="Times New Roman" w:hAnsi="Times New Roman" w:cs="Times New Roman"/>
          <w:color w:val="000000" w:themeColor="text1"/>
        </w:rPr>
        <w:t xml:space="preserve"> model in R </w:t>
      </w:r>
      <w:r w:rsidRPr="009F483B">
        <w:rPr>
          <w:rFonts w:ascii="Times New Roman" w:hAnsi="Times New Roman" w:cs="Times New Roman"/>
          <w:color w:val="000000" w:themeColor="text1"/>
        </w:rPr>
        <w:fldChar w:fldCharType="begin"/>
      </w:r>
      <w:r w:rsidRPr="009F483B">
        <w:rPr>
          <w:rFonts w:ascii="Times New Roman" w:hAnsi="Times New Roman" w:cs="Times New Roman"/>
          <w:color w:val="000000" w:themeColor="text1"/>
        </w:rPr>
        <w:instrText xml:space="preserve"> ADDIN ZOTERO_ITEM CSL_CITATION {"citationID":"PsPc7OpJ","properties":{"formattedCitation":"(Dormann et al., 2008, 2009)","plainCitation":"(Dormann et al., 2008, 2009)","noteIndex":0},"citationItems":[{"id":1756,"uris":["http://zotero.org/users/12345038/items/LM46S29S"],"itemData":{"id":1756,"type":"article-journal","container-title":"R News","issue":"2","page":"8-11","title":"Introducing the bipartite Package: Analysing Ecological Networks.","volume":"8","author":[{"family":"Dormann","given":"Carsten F."},{"family":"Gruber","given":"Bernd"},{"family":"Fruend","given":"Jochen"}],"issued":{"date-parts":[["2008"]]}}},{"id":1760,"uris":["http://zotero.org/users/12345038/items/CK4THZ33"],"itemData":{"id":1760,"type":"article-journal","container-title":"The Open Ecology Journal","page":"7-24","title":"Indices, graphs and null models: analyzing bipartite ecological networks.","volume":"2","author":[{"family":"Dormann","given":"Carsten F."},{"family":"Fruend","given":"Jochen"},{"family":"Bluethgen","given":"Nico"},{"family":"Gruber","given":"Bernd"}],"issued":{"date-parts":[["2009"]]}}}],"schema":"https://github.com/citation-style-language/schema/raw/master/csl-citation.json"} </w:instrText>
      </w:r>
      <w:r w:rsidRPr="009F483B">
        <w:rPr>
          <w:rFonts w:ascii="Times New Roman" w:hAnsi="Times New Roman" w:cs="Times New Roman"/>
          <w:color w:val="000000" w:themeColor="text1"/>
        </w:rPr>
        <w:fldChar w:fldCharType="separate"/>
      </w:r>
      <w:r w:rsidRPr="009F483B">
        <w:rPr>
          <w:rFonts w:ascii="Times New Roman" w:hAnsi="Times New Roman" w:cs="Times New Roman"/>
          <w:color w:val="000000" w:themeColor="text1"/>
        </w:rPr>
        <w:t>(Dormann et al., 2008, 2009)</w:t>
      </w:r>
      <w:r w:rsidRPr="009F483B">
        <w:rPr>
          <w:rFonts w:ascii="Times New Roman" w:hAnsi="Times New Roman" w:cs="Times New Roman"/>
          <w:color w:val="000000" w:themeColor="text1"/>
        </w:rPr>
        <w:fldChar w:fldCharType="end"/>
      </w:r>
      <w:r w:rsidRPr="009F483B">
        <w:rPr>
          <w:rFonts w:ascii="Times New Roman" w:hAnsi="Times New Roman" w:cs="Times New Roman"/>
          <w:color w:val="000000" w:themeColor="text1"/>
        </w:rPr>
        <w:t>. This model is conservative because it preserves marginal totals (i.e. takes account of interaction abundance) and keeps network connectance constant. Thus, differences between the null models and real networks represent the role of interactions between specific pairs of species in defining network attributes. To assess whether observed network-level measures differed significantly from random expectations, we computed z-scores and p-values by comparing observed values to null model distributions.</w:t>
      </w:r>
    </w:p>
    <w:p w14:paraId="6DF49611" w14:textId="1ADC24E3" w:rsidR="00D32313" w:rsidRPr="00B066C6" w:rsidRDefault="00D32313" w:rsidP="00EB4834">
      <w:pPr>
        <w:pStyle w:val="Heading2"/>
        <w:spacing w:before="0" w:after="0"/>
        <w:rPr>
          <w:rFonts w:ascii="Times New Roman" w:hAnsi="Times New Roman" w:cs="Times New Roman"/>
          <w:b/>
          <w:bCs/>
          <w:sz w:val="24"/>
          <w:szCs w:val="24"/>
        </w:rPr>
      </w:pPr>
      <w:bookmarkStart w:id="116" w:name="_Toc195189641"/>
      <w:r w:rsidRPr="00B066C6">
        <w:rPr>
          <w:rFonts w:ascii="Times New Roman" w:hAnsi="Times New Roman" w:cs="Times New Roman"/>
          <w:b/>
          <w:bCs/>
          <w:color w:val="auto"/>
          <w:sz w:val="24"/>
          <w:szCs w:val="24"/>
        </w:rPr>
        <w:t>Results</w:t>
      </w:r>
      <w:bookmarkEnd w:id="116"/>
      <w:r w:rsidRPr="00B066C6">
        <w:rPr>
          <w:rFonts w:ascii="Times New Roman" w:hAnsi="Times New Roman" w:cs="Times New Roman"/>
          <w:b/>
          <w:bCs/>
          <w:sz w:val="24"/>
          <w:szCs w:val="24"/>
        </w:rPr>
        <w:t xml:space="preserve"> </w:t>
      </w:r>
    </w:p>
    <w:p w14:paraId="4EC08923" w14:textId="77777777" w:rsidR="00EB4834" w:rsidRDefault="00E115B6" w:rsidP="00EB4834">
      <w:pPr>
        <w:spacing w:before="0" w:after="0"/>
        <w:ind w:firstLine="720"/>
        <w:rPr>
          <w:rFonts w:ascii="Times New Roman" w:hAnsi="Times New Roman" w:cs="Times New Roman"/>
        </w:rPr>
      </w:pPr>
      <w:r w:rsidRPr="00E115B6">
        <w:rPr>
          <w:rFonts w:ascii="Times New Roman" w:hAnsi="Times New Roman" w:cs="Times New Roman"/>
        </w:rPr>
        <w:t>Over two years, we captured 1240 individual birds in mist nets</w:t>
      </w:r>
      <w:r w:rsidR="007F0836">
        <w:rPr>
          <w:rFonts w:ascii="Times New Roman" w:hAnsi="Times New Roman" w:cs="Times New Roman"/>
        </w:rPr>
        <w:t xml:space="preserve"> </w:t>
      </w:r>
      <w:r w:rsidR="007F0836" w:rsidRPr="007F0836">
        <w:rPr>
          <w:rFonts w:ascii="Times New Roman" w:hAnsi="Times New Roman" w:cs="Times New Roman"/>
          <w:b/>
          <w:bCs/>
        </w:rPr>
        <w:t>(Supplementary Table 4</w:t>
      </w:r>
      <w:r w:rsidR="007F0836">
        <w:rPr>
          <w:rFonts w:ascii="Times New Roman" w:hAnsi="Times New Roman" w:cs="Times New Roman"/>
        </w:rPr>
        <w:t>)</w:t>
      </w:r>
      <w:r w:rsidRPr="00E115B6">
        <w:rPr>
          <w:rFonts w:ascii="Times New Roman" w:hAnsi="Times New Roman" w:cs="Times New Roman"/>
        </w:rPr>
        <w:t>, resulting in 275 fecal samples, of which about 42% (115) had intact seeds. Furthermore, we observed 719 individual animals from our camera traps</w:t>
      </w:r>
      <w:r w:rsidR="007F0836" w:rsidRPr="007F0836">
        <w:rPr>
          <w:rFonts w:ascii="Times New Roman" w:hAnsi="Times New Roman" w:cs="Times New Roman"/>
          <w:b/>
          <w:bCs/>
        </w:rPr>
        <w:t xml:space="preserve"> (Supplementary Table </w:t>
      </w:r>
      <w:r w:rsidR="007F0836">
        <w:rPr>
          <w:rFonts w:ascii="Times New Roman" w:hAnsi="Times New Roman" w:cs="Times New Roman"/>
          <w:b/>
          <w:bCs/>
        </w:rPr>
        <w:t>5)</w:t>
      </w:r>
      <w:r w:rsidRPr="00E115B6">
        <w:rPr>
          <w:rFonts w:ascii="Times New Roman" w:hAnsi="Times New Roman" w:cs="Times New Roman"/>
        </w:rPr>
        <w:t>, of which approximately 23% (163) included an observed seed dispersal interaction, and only these data were used to form networks. When pooling these data, we documented 465 realized seed dispersal interactions across all regeneration stages between 68 frugivorous animal species and 104 fruiting plant species (</w:t>
      </w:r>
      <w:r w:rsidRPr="003022FF">
        <w:rPr>
          <w:rFonts w:ascii="Times New Roman" w:hAnsi="Times New Roman" w:cs="Times New Roman"/>
          <w:b/>
          <w:bCs/>
        </w:rPr>
        <w:t>Fi</w:t>
      </w:r>
      <w:r w:rsidR="006D5E45" w:rsidRPr="003022FF">
        <w:rPr>
          <w:rFonts w:ascii="Times New Roman" w:hAnsi="Times New Roman" w:cs="Times New Roman"/>
          <w:b/>
          <w:bCs/>
        </w:rPr>
        <w:t>gure 8</w:t>
      </w:r>
      <w:r w:rsidRPr="00E115B6">
        <w:rPr>
          <w:rFonts w:ascii="Times New Roman" w:hAnsi="Times New Roman" w:cs="Times New Roman"/>
        </w:rPr>
        <w:t xml:space="preserve">). Birds were responsible for 66% of interactions overall and made up 70% of interactions in earlier stages of forest regeneration (PA and ES). However, in old growth forests, birds were responsible for 56% of the interactions, and the remaining 44% were </w:t>
      </w:r>
      <w:r w:rsidRPr="00E115B6">
        <w:rPr>
          <w:rFonts w:ascii="Times New Roman" w:hAnsi="Times New Roman" w:cs="Times New Roman"/>
        </w:rPr>
        <w:lastRenderedPageBreak/>
        <w:t>from mammal dispersers. We did not observe differences in animal (</w:t>
      </w:r>
      <w:proofErr w:type="spellStart"/>
      <w:r w:rsidRPr="00E115B6">
        <w:rPr>
          <w:rFonts w:ascii="Times New Roman" w:hAnsi="Times New Roman" w:cs="Times New Roman"/>
        </w:rPr>
        <w:t>r</w:t>
      </w:r>
      <w:r w:rsidRPr="00E115B6">
        <w:rPr>
          <w:rFonts w:ascii="Times New Roman" w:hAnsi="Times New Roman" w:cs="Times New Roman"/>
          <w:vertAlign w:val="subscript"/>
        </w:rPr>
        <w:t>s</w:t>
      </w:r>
      <w:proofErr w:type="spellEnd"/>
      <w:r w:rsidRPr="00E115B6">
        <w:rPr>
          <w:rFonts w:ascii="Times New Roman" w:hAnsi="Times New Roman" w:cs="Times New Roman"/>
          <w:vertAlign w:val="subscript"/>
        </w:rPr>
        <w:t xml:space="preserve"> </w:t>
      </w:r>
      <w:r w:rsidRPr="00E115B6">
        <w:rPr>
          <w:rFonts w:ascii="Times New Roman" w:hAnsi="Times New Roman" w:cs="Times New Roman"/>
        </w:rPr>
        <w:t>= 0.18, p=0.07) or plant (</w:t>
      </w:r>
      <w:proofErr w:type="spellStart"/>
      <w:r w:rsidRPr="00E115B6">
        <w:rPr>
          <w:rFonts w:ascii="Times New Roman" w:hAnsi="Times New Roman" w:cs="Times New Roman"/>
        </w:rPr>
        <w:t>r</w:t>
      </w:r>
      <w:r w:rsidRPr="00E115B6">
        <w:rPr>
          <w:rFonts w:ascii="Times New Roman" w:hAnsi="Times New Roman" w:cs="Times New Roman"/>
          <w:vertAlign w:val="subscript"/>
        </w:rPr>
        <w:t>s</w:t>
      </w:r>
      <w:proofErr w:type="spellEnd"/>
      <w:r w:rsidRPr="00E115B6">
        <w:rPr>
          <w:rFonts w:ascii="Times New Roman" w:hAnsi="Times New Roman" w:cs="Times New Roman"/>
          <w:vertAlign w:val="subscript"/>
        </w:rPr>
        <w:t xml:space="preserve"> </w:t>
      </w:r>
      <w:r w:rsidRPr="00E115B6">
        <w:rPr>
          <w:rFonts w:ascii="Times New Roman" w:hAnsi="Times New Roman" w:cs="Times New Roman"/>
        </w:rPr>
        <w:t xml:space="preserve">= 0.21, p=0.06) </w:t>
      </w:r>
      <w:r w:rsidR="00622654" w:rsidRPr="00E115B6">
        <w:rPr>
          <w:rFonts w:ascii="Times New Roman" w:hAnsi="Times New Roman" w:cs="Times New Roman"/>
        </w:rPr>
        <w:t xml:space="preserve">species richness </w:t>
      </w:r>
      <w:r w:rsidRPr="00E115B6">
        <w:rPr>
          <w:rFonts w:ascii="Times New Roman" w:hAnsi="Times New Roman" w:cs="Times New Roman"/>
        </w:rPr>
        <w:t xml:space="preserve">across </w:t>
      </w:r>
      <w:r w:rsidR="007A526F">
        <w:rPr>
          <w:rFonts w:ascii="Times New Roman" w:hAnsi="Times New Roman" w:cs="Times New Roman"/>
        </w:rPr>
        <w:t>the regeneration gradient</w:t>
      </w:r>
      <w:r w:rsidRPr="00E115B6">
        <w:rPr>
          <w:rFonts w:ascii="Times New Roman" w:hAnsi="Times New Roman" w:cs="Times New Roman"/>
        </w:rPr>
        <w:t xml:space="preserve">. However, the Shannon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B4834" w:rsidRPr="00B066C6" w14:paraId="0A3E6F33" w14:textId="77777777" w:rsidTr="000426A0">
        <w:tc>
          <w:tcPr>
            <w:tcW w:w="9350" w:type="dxa"/>
          </w:tcPr>
          <w:p w14:paraId="37AD3105" w14:textId="77777777" w:rsidR="00EB4834" w:rsidRPr="00B066C6" w:rsidRDefault="00EB4834" w:rsidP="000426A0">
            <w:pPr>
              <w:spacing w:after="160" w:line="360" w:lineRule="auto"/>
              <w:rPr>
                <w:rFonts w:ascii="Times New Roman" w:hAnsi="Times New Roman" w:cs="Times New Roman"/>
              </w:rPr>
            </w:pPr>
            <w:r>
              <w:rPr>
                <w:b/>
                <w:bCs/>
                <w:i/>
                <w:iCs/>
                <w:noProof/>
                <w:sz w:val="21"/>
                <w:szCs w:val="21"/>
              </w:rPr>
              <w:drawing>
                <wp:inline distT="0" distB="0" distL="0" distR="0" wp14:anchorId="75339DEB" wp14:editId="583E29DE">
                  <wp:extent cx="5943600" cy="3218815"/>
                  <wp:effectExtent l="0" t="0" r="0" b="0"/>
                  <wp:docPr id="1792531212"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83436" name="Picture 1" descr="A diagram of a network&#10;&#10;AI-generated content may be incorrec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3218815"/>
                          </a:xfrm>
                          <a:prstGeom prst="rect">
                            <a:avLst/>
                          </a:prstGeom>
                        </pic:spPr>
                      </pic:pic>
                    </a:graphicData>
                  </a:graphic>
                </wp:inline>
              </w:drawing>
            </w:r>
          </w:p>
        </w:tc>
      </w:tr>
      <w:tr w:rsidR="00EB4834" w:rsidRPr="00B066C6" w14:paraId="6D505650" w14:textId="77777777" w:rsidTr="000426A0">
        <w:tc>
          <w:tcPr>
            <w:tcW w:w="9350" w:type="dxa"/>
          </w:tcPr>
          <w:p w14:paraId="183CBDF6" w14:textId="77777777" w:rsidR="00EB4834" w:rsidRPr="000A499C" w:rsidRDefault="00EB4834" w:rsidP="000426A0">
            <w:pPr>
              <w:spacing w:before="0"/>
              <w:rPr>
                <w:rFonts w:ascii="Times New Roman" w:hAnsi="Times New Roman" w:cs="Times New Roman"/>
                <w:sz w:val="22"/>
                <w:szCs w:val="22"/>
              </w:rPr>
            </w:pPr>
            <w:r w:rsidRPr="009C7CDB">
              <w:rPr>
                <w:rFonts w:ascii="Times New Roman" w:hAnsi="Times New Roman" w:cs="Times New Roman"/>
                <w:b/>
                <w:bCs/>
              </w:rPr>
              <w:t xml:space="preserve">Figure </w:t>
            </w:r>
            <w:r w:rsidRPr="009C7CDB">
              <w:rPr>
                <w:rFonts w:ascii="Times New Roman" w:hAnsi="Times New Roman" w:cs="Times New Roman"/>
                <w:b/>
                <w:bCs/>
                <w:i/>
                <w:iCs/>
              </w:rPr>
              <w:fldChar w:fldCharType="begin"/>
            </w:r>
            <w:r w:rsidRPr="009C7CDB">
              <w:rPr>
                <w:rFonts w:ascii="Times New Roman" w:hAnsi="Times New Roman" w:cs="Times New Roman"/>
                <w:b/>
                <w:bCs/>
              </w:rPr>
              <w:instrText xml:space="preserve"> SEQ Figure \* ARABIC </w:instrText>
            </w:r>
            <w:r w:rsidRPr="009C7CDB">
              <w:rPr>
                <w:rFonts w:ascii="Times New Roman" w:hAnsi="Times New Roman" w:cs="Times New Roman"/>
                <w:b/>
                <w:bCs/>
                <w:i/>
                <w:iCs/>
              </w:rPr>
              <w:fldChar w:fldCharType="separate"/>
            </w:r>
            <w:r w:rsidRPr="009C7CDB">
              <w:rPr>
                <w:rFonts w:ascii="Times New Roman" w:hAnsi="Times New Roman" w:cs="Times New Roman"/>
                <w:b/>
                <w:bCs/>
                <w:noProof/>
              </w:rPr>
              <w:t>8</w:t>
            </w:r>
            <w:r w:rsidRPr="009C7CDB">
              <w:rPr>
                <w:rFonts w:ascii="Times New Roman" w:hAnsi="Times New Roman" w:cs="Times New Roman"/>
                <w:b/>
                <w:bCs/>
                <w:i/>
                <w:iCs/>
              </w:rPr>
              <w:fldChar w:fldCharType="end"/>
            </w:r>
            <w:r w:rsidRPr="009C7CDB">
              <w:rPr>
                <w:rFonts w:ascii="Times New Roman" w:hAnsi="Times New Roman" w:cs="Times New Roman"/>
                <w:b/>
                <w:bCs/>
              </w:rPr>
              <w:t xml:space="preserve">: </w:t>
            </w:r>
            <w:r w:rsidRPr="009C7CDB">
              <w:rPr>
                <w:rFonts w:ascii="Times New Roman" w:hAnsi="Times New Roman" w:cs="Times New Roman"/>
              </w:rPr>
              <w:t>Quantitative seed dispersal network</w:t>
            </w:r>
            <w:r w:rsidRPr="009C7CDB">
              <w:rPr>
                <w:rFonts w:ascii="Times New Roman" w:hAnsi="Times New Roman" w:cs="Times New Roman"/>
                <w:b/>
                <w:bCs/>
              </w:rPr>
              <w:t xml:space="preserve"> </w:t>
            </w:r>
            <w:r w:rsidRPr="009C7CDB">
              <w:rPr>
                <w:rFonts w:ascii="Times New Roman" w:hAnsi="Times New Roman" w:cs="Times New Roman"/>
              </w:rPr>
              <w:t xml:space="preserve">for the </w:t>
            </w:r>
            <w:r w:rsidRPr="009C7CDB">
              <w:rPr>
                <w:rFonts w:ascii="Times New Roman" w:eastAsiaTheme="majorEastAsia" w:hAnsi="Times New Roman" w:cs="Times New Roman"/>
              </w:rPr>
              <w:t>FCAT system (A)</w:t>
            </w:r>
            <w:r w:rsidRPr="009C7CDB">
              <w:rPr>
                <w:rFonts w:ascii="Times New Roman" w:hAnsi="Times New Roman" w:cs="Times New Roman"/>
              </w:rPr>
              <w:t xml:space="preserve">, with four subnetworks (B) representing each of the four sampled stages of </w:t>
            </w:r>
            <w:r w:rsidRPr="009C7CDB">
              <w:rPr>
                <w:rFonts w:ascii="Times New Roman" w:eastAsiaTheme="majorEastAsia" w:hAnsi="Times New Roman" w:cs="Times New Roman"/>
              </w:rPr>
              <w:t>forest regeneration (PA = highly impacted pasture, ES = low impact early successional vegetation, SEC = secondary forest, and OG = old growth Chocó Rainforest)</w:t>
            </w:r>
            <w:r w:rsidRPr="009C7CDB">
              <w:rPr>
                <w:rFonts w:ascii="Times New Roman" w:hAnsi="Times New Roman" w:cs="Times New Roman"/>
              </w:rPr>
              <w:t>. Each node (rectangle) represents a species, and the width of each node represents its relative abundance in that network. C</w:t>
            </w:r>
            <w:r w:rsidRPr="009C7CDB">
              <w:rPr>
                <w:rFonts w:ascii="Times New Roman" w:eastAsiaTheme="majorEastAsia" w:hAnsi="Times New Roman" w:cs="Times New Roman"/>
              </w:rPr>
              <w:t>olored nodes represent dispersers</w:t>
            </w:r>
            <w:r w:rsidRPr="009C7CDB">
              <w:rPr>
                <w:rFonts w:ascii="Times New Roman" w:hAnsi="Times New Roman" w:cs="Times New Roman"/>
              </w:rPr>
              <w:t xml:space="preserve">: </w:t>
            </w:r>
            <w:r w:rsidRPr="009C7CDB">
              <w:rPr>
                <w:rFonts w:ascii="Times New Roman" w:eastAsiaTheme="majorEastAsia" w:hAnsi="Times New Roman" w:cs="Times New Roman"/>
              </w:rPr>
              <w:t>birds = blue, bats = orange, and other mammals = green</w:t>
            </w:r>
            <w:r w:rsidRPr="009C7CDB">
              <w:rPr>
                <w:rFonts w:ascii="Times New Roman" w:hAnsi="Times New Roman" w:cs="Times New Roman"/>
              </w:rPr>
              <w:t xml:space="preserve">. </w:t>
            </w:r>
            <w:r w:rsidRPr="009C7CDB">
              <w:rPr>
                <w:rFonts w:ascii="Times New Roman" w:eastAsiaTheme="majorEastAsia" w:hAnsi="Times New Roman" w:cs="Times New Roman"/>
              </w:rPr>
              <w:t>Black nodes</w:t>
            </w:r>
            <w:r w:rsidRPr="009C7CDB">
              <w:rPr>
                <w:rFonts w:ascii="Times New Roman" w:hAnsi="Times New Roman" w:cs="Times New Roman"/>
              </w:rPr>
              <w:t xml:space="preserve"> represent </w:t>
            </w:r>
            <w:r w:rsidRPr="009C7CDB">
              <w:rPr>
                <w:rFonts w:ascii="Times New Roman" w:eastAsiaTheme="majorEastAsia" w:hAnsi="Times New Roman" w:cs="Times New Roman"/>
              </w:rPr>
              <w:t>fruiting plant species</w:t>
            </w:r>
            <w:r w:rsidRPr="009C7CDB">
              <w:rPr>
                <w:rFonts w:ascii="Times New Roman" w:hAnsi="Times New Roman" w:cs="Times New Roman"/>
              </w:rPr>
              <w:t xml:space="preserve">. </w:t>
            </w:r>
            <w:r w:rsidRPr="009C7CDB">
              <w:rPr>
                <w:rFonts w:ascii="Times New Roman" w:eastAsiaTheme="majorEastAsia" w:hAnsi="Times New Roman" w:cs="Times New Roman"/>
              </w:rPr>
              <w:t>Edges (lines connecting each species) represent weighted interactions</w:t>
            </w:r>
            <w:r w:rsidRPr="009C7CDB">
              <w:rPr>
                <w:rFonts w:ascii="Times New Roman" w:hAnsi="Times New Roman" w:cs="Times New Roman"/>
              </w:rPr>
              <w:t xml:space="preserve">, where thicker edges indicate </w:t>
            </w:r>
            <w:r w:rsidRPr="009C7CDB">
              <w:rPr>
                <w:rFonts w:ascii="Times New Roman" w:eastAsiaTheme="majorEastAsia" w:hAnsi="Times New Roman" w:cs="Times New Roman"/>
              </w:rPr>
              <w:t>stronger dispersal relationships</w:t>
            </w:r>
            <w:r w:rsidRPr="009C7CDB">
              <w:rPr>
                <w:rFonts w:ascii="Times New Roman" w:hAnsi="Times New Roman" w:cs="Times New Roman"/>
              </w:rPr>
              <w:t xml:space="preserve"> between plants and their dispersers. </w:t>
            </w:r>
          </w:p>
        </w:tc>
      </w:tr>
    </w:tbl>
    <w:p w14:paraId="4FBDF777" w14:textId="77777777" w:rsidR="00EB4834" w:rsidRDefault="00EB4834">
      <w:pPr>
        <w:rPr>
          <w:rFonts w:ascii="Times New Roman" w:hAnsi="Times New Roman" w:cs="Times New Roman"/>
        </w:rPr>
      </w:pPr>
      <w:r>
        <w:rPr>
          <w:rFonts w:ascii="Times New Roman" w:hAnsi="Times New Roman" w:cs="Times New Roman"/>
        </w:rPr>
        <w:br w:type="page"/>
      </w:r>
    </w:p>
    <w:p w14:paraId="23D043BA" w14:textId="4B59D144" w:rsidR="00E115B6" w:rsidRPr="00E115B6" w:rsidRDefault="00E115B6" w:rsidP="00EB4834">
      <w:pPr>
        <w:spacing w:before="0" w:after="0"/>
        <w:rPr>
          <w:rFonts w:ascii="Times New Roman" w:hAnsi="Times New Roman" w:cs="Times New Roman"/>
        </w:rPr>
      </w:pPr>
      <w:r w:rsidRPr="00E115B6">
        <w:rPr>
          <w:rFonts w:ascii="Times New Roman" w:hAnsi="Times New Roman" w:cs="Times New Roman"/>
        </w:rPr>
        <w:lastRenderedPageBreak/>
        <w:t>diversity of both realized dispersers (</w:t>
      </w:r>
      <w:proofErr w:type="spellStart"/>
      <w:r w:rsidRPr="00E115B6">
        <w:rPr>
          <w:rFonts w:ascii="Times New Roman" w:hAnsi="Times New Roman" w:cs="Times New Roman"/>
        </w:rPr>
        <w:t>r</w:t>
      </w:r>
      <w:r w:rsidRPr="00E115B6">
        <w:rPr>
          <w:rFonts w:ascii="Times New Roman" w:hAnsi="Times New Roman" w:cs="Times New Roman"/>
          <w:vertAlign w:val="subscript"/>
        </w:rPr>
        <w:t>s</w:t>
      </w:r>
      <w:proofErr w:type="spellEnd"/>
      <w:r w:rsidRPr="00E115B6">
        <w:rPr>
          <w:rFonts w:ascii="Times New Roman" w:hAnsi="Times New Roman" w:cs="Times New Roman"/>
          <w:vertAlign w:val="subscript"/>
        </w:rPr>
        <w:t xml:space="preserve"> </w:t>
      </w:r>
      <w:r w:rsidRPr="00E115B6">
        <w:rPr>
          <w:rFonts w:ascii="Times New Roman" w:hAnsi="Times New Roman" w:cs="Times New Roman"/>
        </w:rPr>
        <w:t>= 0.22, p=0.05) and plants observed in interactions (</w:t>
      </w:r>
      <w:proofErr w:type="spellStart"/>
      <w:r w:rsidRPr="00E115B6">
        <w:rPr>
          <w:rFonts w:ascii="Times New Roman" w:hAnsi="Times New Roman" w:cs="Times New Roman"/>
        </w:rPr>
        <w:t>r</w:t>
      </w:r>
      <w:r w:rsidRPr="00E115B6">
        <w:rPr>
          <w:rFonts w:ascii="Times New Roman" w:hAnsi="Times New Roman" w:cs="Times New Roman"/>
          <w:vertAlign w:val="subscript"/>
        </w:rPr>
        <w:t>s</w:t>
      </w:r>
      <w:proofErr w:type="spellEnd"/>
      <w:r w:rsidRPr="00E115B6">
        <w:rPr>
          <w:rFonts w:ascii="Times New Roman" w:hAnsi="Times New Roman" w:cs="Times New Roman"/>
          <w:vertAlign w:val="subscript"/>
        </w:rPr>
        <w:t xml:space="preserve"> </w:t>
      </w:r>
      <w:r w:rsidRPr="00E115B6">
        <w:rPr>
          <w:rFonts w:ascii="Times New Roman" w:hAnsi="Times New Roman" w:cs="Times New Roman"/>
        </w:rPr>
        <w:t xml:space="preserve">= 0.23, p=0.05) did differ, where disperser diversity was highest in ES habitats and plant diversity was highest in PA habitats. </w:t>
      </w:r>
    </w:p>
    <w:p w14:paraId="0BED6F4C" w14:textId="5AA1CB99" w:rsidR="00B92EC2" w:rsidRDefault="00223E62" w:rsidP="00EB4834">
      <w:pPr>
        <w:spacing w:before="0" w:after="0"/>
        <w:ind w:firstLine="720"/>
        <w:rPr>
          <w:rFonts w:ascii="Times New Roman" w:hAnsi="Times New Roman" w:cs="Times New Roman"/>
          <w:color w:val="000000" w:themeColor="text1"/>
        </w:rPr>
      </w:pPr>
      <w:r w:rsidRPr="00CE4182">
        <w:rPr>
          <w:rFonts w:ascii="Times New Roman" w:hAnsi="Times New Roman" w:cs="Times New Roman"/>
          <w:color w:val="000000" w:themeColor="text1"/>
        </w:rPr>
        <w:t>Interaction patterns differed as a function of forest regeneration</w:t>
      </w:r>
      <w:r w:rsidR="00FB2404" w:rsidRPr="00CE4182">
        <w:rPr>
          <w:rFonts w:ascii="Times New Roman" w:hAnsi="Times New Roman" w:cs="Times New Roman"/>
          <w:color w:val="000000" w:themeColor="text1"/>
        </w:rPr>
        <w:t xml:space="preserve"> </w:t>
      </w:r>
      <w:r w:rsidR="00FB2404" w:rsidRPr="003022FF">
        <w:rPr>
          <w:rFonts w:ascii="Times New Roman" w:hAnsi="Times New Roman" w:cs="Times New Roman"/>
          <w:b/>
          <w:bCs/>
          <w:color w:val="000000" w:themeColor="text1"/>
        </w:rPr>
        <w:t>(</w:t>
      </w:r>
      <w:r w:rsidR="00FB2404" w:rsidRPr="003022FF">
        <w:rPr>
          <w:rFonts w:ascii="Times New Roman" w:hAnsi="Times New Roman" w:cs="Times New Roman"/>
          <w:b/>
          <w:bCs/>
          <w:color w:val="000000" w:themeColor="text1"/>
        </w:rPr>
        <w:fldChar w:fldCharType="begin"/>
      </w:r>
      <w:r w:rsidR="00FB2404" w:rsidRPr="003022FF">
        <w:rPr>
          <w:rFonts w:ascii="Times New Roman" w:hAnsi="Times New Roman" w:cs="Times New Roman"/>
          <w:b/>
          <w:bCs/>
          <w:color w:val="000000" w:themeColor="text1"/>
        </w:rPr>
        <w:instrText xml:space="preserve"> REF _Ref190182159 \h  \* MERGEFORMAT </w:instrText>
      </w:r>
      <w:r w:rsidR="00FB2404" w:rsidRPr="003022FF">
        <w:rPr>
          <w:rFonts w:ascii="Times New Roman" w:hAnsi="Times New Roman" w:cs="Times New Roman"/>
          <w:b/>
          <w:bCs/>
          <w:color w:val="000000" w:themeColor="text1"/>
        </w:rPr>
      </w:r>
      <w:r w:rsidR="00FB2404" w:rsidRPr="003022FF">
        <w:rPr>
          <w:rFonts w:ascii="Times New Roman" w:hAnsi="Times New Roman" w:cs="Times New Roman"/>
          <w:b/>
          <w:bCs/>
          <w:color w:val="000000" w:themeColor="text1"/>
        </w:rPr>
        <w:fldChar w:fldCharType="separate"/>
      </w:r>
      <w:r w:rsidR="00FB2404" w:rsidRPr="003022FF">
        <w:rPr>
          <w:rFonts w:ascii="Times New Roman" w:hAnsi="Times New Roman" w:cs="Times New Roman"/>
          <w:b/>
          <w:bCs/>
          <w:color w:val="000000" w:themeColor="text1"/>
        </w:rPr>
        <w:t xml:space="preserve">Figure </w:t>
      </w:r>
      <w:r w:rsidR="00FB2404" w:rsidRPr="003022FF">
        <w:rPr>
          <w:rFonts w:ascii="Times New Roman" w:hAnsi="Times New Roman" w:cs="Times New Roman"/>
          <w:b/>
          <w:bCs/>
          <w:noProof/>
          <w:color w:val="000000" w:themeColor="text1"/>
        </w:rPr>
        <w:t>9</w:t>
      </w:r>
      <w:r w:rsidR="00FB2404" w:rsidRPr="003022FF">
        <w:rPr>
          <w:rFonts w:ascii="Times New Roman" w:hAnsi="Times New Roman" w:cs="Times New Roman"/>
          <w:b/>
          <w:bCs/>
          <w:color w:val="000000" w:themeColor="text1"/>
        </w:rPr>
        <w:fldChar w:fldCharType="end"/>
      </w:r>
      <w:r w:rsidR="00FB2404" w:rsidRPr="00CE4182">
        <w:rPr>
          <w:rFonts w:ascii="Times New Roman" w:hAnsi="Times New Roman" w:cs="Times New Roman"/>
          <w:color w:val="000000" w:themeColor="text1"/>
        </w:rPr>
        <w:t xml:space="preserve">). </w:t>
      </w:r>
      <w:r w:rsidR="00E6786D" w:rsidRPr="00CE4182">
        <w:rPr>
          <w:rFonts w:ascii="Times New Roman" w:hAnsi="Times New Roman" w:cs="Times New Roman"/>
          <w:color w:val="000000" w:themeColor="text1"/>
        </w:rPr>
        <w:t>Both interaction diversity (</w:t>
      </w:r>
      <w:proofErr w:type="spellStart"/>
      <w:r w:rsidR="00E6786D" w:rsidRPr="00CE4182">
        <w:rPr>
          <w:rFonts w:ascii="Times New Roman" w:hAnsi="Times New Roman" w:cs="Times New Roman"/>
          <w:color w:val="000000" w:themeColor="text1"/>
        </w:rPr>
        <w:t>r</w:t>
      </w:r>
      <w:r w:rsidR="00E6786D" w:rsidRPr="00CE4182">
        <w:rPr>
          <w:rFonts w:ascii="Times New Roman" w:hAnsi="Times New Roman" w:cs="Times New Roman"/>
          <w:color w:val="000000" w:themeColor="text1"/>
          <w:vertAlign w:val="subscript"/>
        </w:rPr>
        <w:t>s</w:t>
      </w:r>
      <w:proofErr w:type="spellEnd"/>
      <w:r w:rsidR="00E6786D" w:rsidRPr="00CE4182">
        <w:rPr>
          <w:rFonts w:ascii="Times New Roman" w:hAnsi="Times New Roman" w:cs="Times New Roman"/>
          <w:color w:val="000000" w:themeColor="text1"/>
          <w:vertAlign w:val="subscript"/>
        </w:rPr>
        <w:t xml:space="preserve"> </w:t>
      </w:r>
      <w:r w:rsidR="00E6786D" w:rsidRPr="00CE4182">
        <w:rPr>
          <w:rFonts w:ascii="Times New Roman" w:hAnsi="Times New Roman" w:cs="Times New Roman"/>
          <w:color w:val="000000" w:themeColor="text1"/>
        </w:rPr>
        <w:t>= 0.23, p = 0.05) and the effective number of interactions (</w:t>
      </w:r>
      <w:proofErr w:type="spellStart"/>
      <w:r w:rsidR="00E6786D" w:rsidRPr="00CE4182">
        <w:rPr>
          <w:rFonts w:ascii="Times New Roman" w:hAnsi="Times New Roman" w:cs="Times New Roman"/>
          <w:color w:val="000000" w:themeColor="text1"/>
        </w:rPr>
        <w:t>r</w:t>
      </w:r>
      <w:r w:rsidR="00E6786D" w:rsidRPr="00CE4182">
        <w:rPr>
          <w:rFonts w:ascii="Times New Roman" w:hAnsi="Times New Roman" w:cs="Times New Roman"/>
          <w:color w:val="000000" w:themeColor="text1"/>
          <w:vertAlign w:val="subscript"/>
        </w:rPr>
        <w:t>s</w:t>
      </w:r>
      <w:proofErr w:type="spellEnd"/>
      <w:r w:rsidR="00E6786D" w:rsidRPr="00CE4182">
        <w:rPr>
          <w:rFonts w:ascii="Times New Roman" w:hAnsi="Times New Roman" w:cs="Times New Roman"/>
          <w:color w:val="000000" w:themeColor="text1"/>
          <w:vertAlign w:val="subscript"/>
        </w:rPr>
        <w:t xml:space="preserve"> </w:t>
      </w:r>
      <w:r w:rsidR="00E6786D" w:rsidRPr="00CE4182">
        <w:rPr>
          <w:rFonts w:ascii="Times New Roman" w:hAnsi="Times New Roman" w:cs="Times New Roman"/>
          <w:color w:val="000000" w:themeColor="text1"/>
        </w:rPr>
        <w:t xml:space="preserve">= 0.23, p = 0.05) were highest in early stages of forest regeneration (PA and ES) and lowest in old growth forests. Interaction frequency was on average, the highest in early successional vegetation and </w:t>
      </w:r>
      <w:r w:rsidR="00CE4182" w:rsidRPr="00CE4182">
        <w:rPr>
          <w:rFonts w:ascii="Times New Roman" w:hAnsi="Times New Roman" w:cs="Times New Roman"/>
          <w:color w:val="000000" w:themeColor="text1"/>
        </w:rPr>
        <w:t>Interaction patterns differed as a function of forest regeneration (Fig. 2). Interaction frequency was, on average, highest in early successional vegetation and decreased with forest regeneration (</w:t>
      </w:r>
      <w:proofErr w:type="spellStart"/>
      <w:r w:rsidR="00CE4182" w:rsidRPr="00CE4182">
        <w:rPr>
          <w:rFonts w:ascii="Times New Roman" w:hAnsi="Times New Roman" w:cs="Times New Roman"/>
          <w:color w:val="000000" w:themeColor="text1"/>
        </w:rPr>
        <w:t>r</w:t>
      </w:r>
      <w:r w:rsidR="00CE4182" w:rsidRPr="00CE4182">
        <w:rPr>
          <w:rFonts w:ascii="Times New Roman" w:hAnsi="Times New Roman" w:cs="Times New Roman"/>
          <w:color w:val="000000" w:themeColor="text1"/>
          <w:vertAlign w:val="subscript"/>
        </w:rPr>
        <w:t>s</w:t>
      </w:r>
      <w:proofErr w:type="spellEnd"/>
      <w:r w:rsidR="00CE4182" w:rsidRPr="00CE4182">
        <w:rPr>
          <w:rFonts w:ascii="Times New Roman" w:hAnsi="Times New Roman" w:cs="Times New Roman"/>
          <w:color w:val="000000" w:themeColor="text1"/>
          <w:vertAlign w:val="subscript"/>
        </w:rPr>
        <w:t xml:space="preserve"> </w:t>
      </w:r>
      <w:r w:rsidR="00CE4182" w:rsidRPr="00CE4182">
        <w:rPr>
          <w:rFonts w:ascii="Times New Roman" w:hAnsi="Times New Roman" w:cs="Times New Roman"/>
          <w:color w:val="000000" w:themeColor="text1"/>
        </w:rPr>
        <w:t>= 0.33, p = 0.01). We did not detect any pairwise differences between early stages of forest regeneration (ES) and secondary forests (SEC); however, we observed that interaction frequency, diversity and the effective number of interactions differed between early successional stages (PA and ES) and old growth forest</w:t>
      </w:r>
      <w:r w:rsidR="007A526F">
        <w:rPr>
          <w:rFonts w:ascii="Times New Roman" w:hAnsi="Times New Roman" w:cs="Times New Roman"/>
          <w:color w:val="000000" w:themeColor="text1"/>
        </w:rPr>
        <w:t>s</w:t>
      </w:r>
      <w:r w:rsidR="00CE4182" w:rsidRPr="00CE4182">
        <w:rPr>
          <w:rFonts w:ascii="Times New Roman" w:hAnsi="Times New Roman" w:cs="Times New Roman"/>
          <w:color w:val="000000" w:themeColor="text1"/>
        </w:rPr>
        <w:t xml:space="preserve"> (OG) (</w:t>
      </w:r>
      <w:r w:rsidR="00CE4182" w:rsidRPr="003022FF">
        <w:rPr>
          <w:rFonts w:ascii="Times New Roman" w:hAnsi="Times New Roman" w:cs="Times New Roman"/>
          <w:b/>
          <w:bCs/>
          <w:color w:val="000000" w:themeColor="text1"/>
        </w:rPr>
        <w:t>Supplementary Figure</w:t>
      </w:r>
      <w:r w:rsidR="001918D7">
        <w:rPr>
          <w:rFonts w:ascii="Times New Roman" w:hAnsi="Times New Roman" w:cs="Times New Roman"/>
          <w:b/>
          <w:bCs/>
          <w:color w:val="000000" w:themeColor="text1"/>
        </w:rPr>
        <w:t xml:space="preserve"> 4</w:t>
      </w:r>
      <w:r w:rsidR="00CE4182" w:rsidRPr="00CE4182">
        <w:rPr>
          <w:rFonts w:ascii="Times New Roman" w:hAnsi="Times New Roman" w:cs="Times New Roman"/>
          <w:color w:val="000000" w:themeColor="text1"/>
        </w:rPr>
        <w:t>).</w:t>
      </w:r>
    </w:p>
    <w:p w14:paraId="1F49C1F9" w14:textId="6CA07D94" w:rsidR="00D77075" w:rsidRPr="00193968" w:rsidRDefault="00B92EC2" w:rsidP="00EB4834">
      <w:pPr>
        <w:spacing w:before="0" w:after="0"/>
        <w:rPr>
          <w:rFonts w:ascii="Times New Roman" w:hAnsi="Times New Roman" w:cs="Times New Roman"/>
          <w:color w:val="000000" w:themeColor="text1"/>
        </w:rPr>
      </w:pPr>
      <w:r w:rsidRPr="00B92EC2">
        <w:rPr>
          <w:rFonts w:ascii="Times New Roman" w:hAnsi="Times New Roman" w:cs="Times New Roman"/>
          <w:color w:val="000000" w:themeColor="text1"/>
        </w:rPr>
        <w:t>Seed dispersal networks rewired across stages of forest regeneration (</w:t>
      </w:r>
      <w:r w:rsidRPr="003022FF">
        <w:rPr>
          <w:rFonts w:ascii="Times New Roman" w:hAnsi="Times New Roman" w:cs="Times New Roman"/>
          <w:b/>
          <w:bCs/>
          <w:color w:val="000000" w:themeColor="text1"/>
        </w:rPr>
        <w:t>Fig</w:t>
      </w:r>
      <w:r w:rsidR="003022FF" w:rsidRPr="003022FF">
        <w:rPr>
          <w:rFonts w:ascii="Times New Roman" w:hAnsi="Times New Roman" w:cs="Times New Roman"/>
          <w:b/>
          <w:bCs/>
          <w:color w:val="000000" w:themeColor="text1"/>
        </w:rPr>
        <w:t>ure</w:t>
      </w:r>
      <w:r w:rsidRPr="003022FF">
        <w:rPr>
          <w:rFonts w:ascii="Times New Roman" w:hAnsi="Times New Roman" w:cs="Times New Roman"/>
          <w:b/>
          <w:bCs/>
          <w:color w:val="000000" w:themeColor="text1"/>
        </w:rPr>
        <w:t xml:space="preserve"> </w:t>
      </w:r>
      <w:r w:rsidR="003022FF">
        <w:rPr>
          <w:rFonts w:ascii="Times New Roman" w:hAnsi="Times New Roman" w:cs="Times New Roman"/>
          <w:b/>
          <w:bCs/>
          <w:color w:val="000000" w:themeColor="text1"/>
        </w:rPr>
        <w:t>10</w:t>
      </w:r>
      <w:r w:rsidRPr="00B92EC2">
        <w:rPr>
          <w:rFonts w:ascii="Times New Roman" w:hAnsi="Times New Roman" w:cs="Times New Roman"/>
          <w:color w:val="000000" w:themeColor="text1"/>
        </w:rPr>
        <w:t xml:space="preserve">). We observed similarities in interactions between the two earliest and two latest stages of regeneration, where early stages (PA and ES) shared 46% of interactions, and secondary and old growth forests shared 42% of interactions. However, there were fewer shared </w:t>
      </w:r>
      <w:r w:rsidR="003022FF" w:rsidRPr="00193968">
        <w:rPr>
          <w:rFonts w:ascii="Times New Roman" w:hAnsi="Times New Roman" w:cs="Times New Roman"/>
          <w:color w:val="000000" w:themeColor="text1"/>
        </w:rPr>
        <w:t>interactions between early stages of regeneration and late stages of regeneration; less than 17%</w:t>
      </w:r>
      <w:r w:rsidR="00D77075" w:rsidRPr="00D77075">
        <w:rPr>
          <w:rFonts w:ascii="Times New Roman" w:hAnsi="Times New Roman" w:cs="Times New Roman"/>
          <w:color w:val="000000" w:themeColor="text1"/>
        </w:rPr>
        <w:t xml:space="preserve"> </w:t>
      </w:r>
      <w:r w:rsidR="00D77075" w:rsidRPr="00193968">
        <w:rPr>
          <w:rFonts w:ascii="Times New Roman" w:hAnsi="Times New Roman" w:cs="Times New Roman"/>
          <w:color w:val="000000" w:themeColor="text1"/>
        </w:rPr>
        <w:t xml:space="preserve">of interactions were shared between pasture-like habitats and secondary forests. Even fewer (&lt;1%) interactions were shared between the early stages of forest regeneration (PA and ES) and old growth forests. </w:t>
      </w:r>
    </w:p>
    <w:p w14:paraId="33B6546B" w14:textId="5474A926" w:rsidR="00793E05" w:rsidRPr="00EB4834" w:rsidRDefault="00D77075" w:rsidP="00EB4834">
      <w:pPr>
        <w:spacing w:before="0" w:after="0"/>
        <w:ind w:firstLine="720"/>
        <w:rPr>
          <w:rFonts w:ascii="Times New Roman" w:hAnsi="Times New Roman" w:cs="Times New Roman"/>
          <w:b/>
          <w:bCs/>
        </w:rPr>
      </w:pPr>
      <w:r w:rsidRPr="003D724A">
        <w:rPr>
          <w:rFonts w:ascii="Times New Roman" w:hAnsi="Times New Roman" w:cs="Times New Roman"/>
          <w:color w:val="000000" w:themeColor="text1"/>
        </w:rPr>
        <w:t>The overall structure of seed dispersal networks differed across stages of forest regeneration (</w:t>
      </w:r>
      <w:r w:rsidRPr="003022FF">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6</w:t>
      </w:r>
      <w:r w:rsidRPr="003D724A">
        <w:rPr>
          <w:rFonts w:ascii="Times New Roman" w:hAnsi="Times New Roman" w:cs="Times New Roman"/>
          <w:color w:val="000000" w:themeColor="text1"/>
        </w:rPr>
        <w:t xml:space="preserve">). Younger stages of regeneration were not nested, modular, or specialized, and ES habitats were less connected than predicted by null model distributions. Networks in more mature forests also exhibited lower connectance than expected but were more specialized. Secondary forests had modular networks relative to null models, exhibiting stronger structural compartmentalization than other habitats. Old growth forests were the only nested networks </w:t>
      </w:r>
      <w:r w:rsidR="00EB4834" w:rsidRPr="003D724A">
        <w:rPr>
          <w:rFonts w:ascii="Times New Roman" w:hAnsi="Times New Roman" w:cs="Times New Roman"/>
          <w:color w:val="000000" w:themeColor="text1"/>
        </w:rPr>
        <w:t>compara</w:t>
      </w:r>
      <w:r w:rsidR="00EB4834">
        <w:rPr>
          <w:rFonts w:ascii="Times New Roman" w:hAnsi="Times New Roman" w:cs="Times New Roman"/>
          <w:color w:val="000000" w:themeColor="text1"/>
        </w:rPr>
        <w:t>ble</w:t>
      </w:r>
      <w:r w:rsidR="00EB4834" w:rsidRPr="003D724A">
        <w:rPr>
          <w:rFonts w:ascii="Times New Roman" w:hAnsi="Times New Roman" w:cs="Times New Roman"/>
          <w:color w:val="000000" w:themeColor="text1"/>
        </w:rPr>
        <w:t xml:space="preserve"> to null models, indicating that interactions in mature forests were structured around a core set of generalist </w:t>
      </w:r>
      <w:r w:rsidR="00EB4834">
        <w:rPr>
          <w:rFonts w:ascii="Times New Roman" w:hAnsi="Times New Roman" w:cs="Times New Roman"/>
          <w:color w:val="000000" w:themeColor="text1"/>
        </w:rPr>
        <w:t xml:space="preserve">plant or disperser </w:t>
      </w:r>
      <w:r w:rsidR="00EB4834" w:rsidRPr="003D724A">
        <w:rPr>
          <w:rFonts w:ascii="Times New Roman" w:hAnsi="Times New Roman" w:cs="Times New Roman"/>
          <w:color w:val="000000" w:themeColor="text1"/>
        </w:rPr>
        <w:t xml:space="preserve">species where specialists interacted primarily within this core group of generalists. </w:t>
      </w:r>
      <w:r w:rsidR="000A499C">
        <w:rPr>
          <w:rFonts w:ascii="Times New Roman" w:hAnsi="Times New Roman" w:cs="Times New Roman"/>
        </w:rPr>
        <w:br w:type="page"/>
      </w:r>
    </w:p>
    <w:tbl>
      <w:tblPr>
        <w:tblStyle w:val="TableGrid"/>
        <w:tblpPr w:leftFromText="180" w:rightFromText="180" w:vertAnchor="text" w:horzAnchor="margin" w:tblpY="3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93E05" w:rsidRPr="00B066C6" w14:paraId="1CFCECB8" w14:textId="77777777">
        <w:tc>
          <w:tcPr>
            <w:tcW w:w="9360" w:type="dxa"/>
          </w:tcPr>
          <w:p w14:paraId="74D15027" w14:textId="19D42B7D" w:rsidR="00793E05" w:rsidRPr="00B066C6" w:rsidRDefault="008362C7" w:rsidP="00BD07DC">
            <w:pPr>
              <w:spacing w:after="160" w:line="360" w:lineRule="auto"/>
              <w:jc w:val="both"/>
              <w:rPr>
                <w:rFonts w:ascii="Times New Roman" w:hAnsi="Times New Roman" w:cs="Times New Roman"/>
                <w:b/>
                <w:bCs/>
              </w:rPr>
            </w:pPr>
            <w:r>
              <w:rPr>
                <w:noProof/>
              </w:rPr>
              <w:lastRenderedPageBreak/>
              <w:drawing>
                <wp:inline distT="0" distB="0" distL="0" distR="0" wp14:anchorId="2F0E7C5A" wp14:editId="53EEF73A">
                  <wp:extent cx="5760720" cy="2040255"/>
                  <wp:effectExtent l="0" t="0" r="5080" b="4445"/>
                  <wp:docPr id="394729569" name="Picture 2" descr="A diagram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29569" name="Picture 2" descr="A diagram of different colored squares&#10;&#10;AI-generated content may be incorrect."/>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61231" cy="2040436"/>
                          </a:xfrm>
                          <a:prstGeom prst="rect">
                            <a:avLst/>
                          </a:prstGeom>
                        </pic:spPr>
                      </pic:pic>
                    </a:graphicData>
                  </a:graphic>
                </wp:inline>
              </w:drawing>
            </w:r>
          </w:p>
        </w:tc>
      </w:tr>
      <w:tr w:rsidR="00793E05" w:rsidRPr="00B066C6" w14:paraId="05CCFFFF" w14:textId="77777777">
        <w:tc>
          <w:tcPr>
            <w:tcW w:w="9360" w:type="dxa"/>
          </w:tcPr>
          <w:p w14:paraId="2E120EC2" w14:textId="67968A32" w:rsidR="00793E05" w:rsidRPr="001F3D39" w:rsidRDefault="00793E05" w:rsidP="00D77075">
            <w:pPr>
              <w:pStyle w:val="Caption"/>
              <w:spacing w:before="0" w:after="0"/>
              <w:rPr>
                <w:rFonts w:ascii="Times New Roman" w:hAnsi="Times New Roman" w:cs="Times New Roman"/>
                <w:i w:val="0"/>
                <w:iCs w:val="0"/>
                <w:color w:val="000000" w:themeColor="text1"/>
                <w:sz w:val="24"/>
                <w:szCs w:val="24"/>
              </w:rPr>
            </w:pPr>
            <w:bookmarkStart w:id="117" w:name="_Ref190182159"/>
            <w:bookmarkStart w:id="118" w:name="_Toc195189746"/>
            <w:r w:rsidRPr="001F3D39">
              <w:rPr>
                <w:rFonts w:ascii="Times New Roman" w:hAnsi="Times New Roman" w:cs="Times New Roman"/>
                <w:b/>
                <w:bCs/>
                <w:i w:val="0"/>
                <w:iCs w:val="0"/>
                <w:color w:val="000000" w:themeColor="text1"/>
                <w:sz w:val="24"/>
                <w:szCs w:val="24"/>
              </w:rPr>
              <w:t xml:space="preserve">Figure </w:t>
            </w:r>
            <w:r w:rsidRPr="001F3D39">
              <w:rPr>
                <w:rFonts w:ascii="Times New Roman" w:hAnsi="Times New Roman" w:cs="Times New Roman"/>
                <w:b/>
                <w:bCs/>
                <w:i w:val="0"/>
                <w:iCs w:val="0"/>
                <w:color w:val="000000" w:themeColor="text1"/>
                <w:sz w:val="24"/>
                <w:szCs w:val="24"/>
              </w:rPr>
              <w:fldChar w:fldCharType="begin"/>
            </w:r>
            <w:r w:rsidRPr="001F3D39">
              <w:rPr>
                <w:rFonts w:ascii="Times New Roman" w:hAnsi="Times New Roman" w:cs="Times New Roman"/>
                <w:b/>
                <w:bCs/>
                <w:i w:val="0"/>
                <w:iCs w:val="0"/>
                <w:color w:val="000000" w:themeColor="text1"/>
                <w:sz w:val="24"/>
                <w:szCs w:val="24"/>
              </w:rPr>
              <w:instrText xml:space="preserve"> SEQ Figure \* ARABIC </w:instrText>
            </w:r>
            <w:r w:rsidRPr="001F3D39">
              <w:rPr>
                <w:rFonts w:ascii="Times New Roman" w:hAnsi="Times New Roman" w:cs="Times New Roman"/>
                <w:b/>
                <w:bCs/>
                <w:i w:val="0"/>
                <w:iCs w:val="0"/>
                <w:color w:val="000000" w:themeColor="text1"/>
                <w:sz w:val="24"/>
                <w:szCs w:val="24"/>
              </w:rPr>
              <w:fldChar w:fldCharType="separate"/>
            </w:r>
            <w:r w:rsidR="00F70664" w:rsidRPr="001F3D39">
              <w:rPr>
                <w:rFonts w:ascii="Times New Roman" w:hAnsi="Times New Roman" w:cs="Times New Roman"/>
                <w:b/>
                <w:bCs/>
                <w:i w:val="0"/>
                <w:iCs w:val="0"/>
                <w:noProof/>
                <w:color w:val="000000" w:themeColor="text1"/>
                <w:sz w:val="24"/>
                <w:szCs w:val="24"/>
              </w:rPr>
              <w:t>9</w:t>
            </w:r>
            <w:r w:rsidRPr="001F3D39">
              <w:rPr>
                <w:rFonts w:ascii="Times New Roman" w:hAnsi="Times New Roman" w:cs="Times New Roman"/>
                <w:b/>
                <w:bCs/>
                <w:i w:val="0"/>
                <w:iCs w:val="0"/>
                <w:color w:val="000000" w:themeColor="text1"/>
                <w:sz w:val="24"/>
                <w:szCs w:val="24"/>
              </w:rPr>
              <w:fldChar w:fldCharType="end"/>
            </w:r>
            <w:bookmarkEnd w:id="117"/>
            <w:r w:rsidRPr="001F3D39">
              <w:rPr>
                <w:rFonts w:ascii="Times New Roman" w:hAnsi="Times New Roman" w:cs="Times New Roman"/>
                <w:b/>
                <w:bCs/>
                <w:i w:val="0"/>
                <w:iCs w:val="0"/>
                <w:color w:val="000000" w:themeColor="text1"/>
                <w:sz w:val="24"/>
                <w:szCs w:val="24"/>
              </w:rPr>
              <w:t>:</w:t>
            </w:r>
            <w:r w:rsidRPr="001F3D39">
              <w:rPr>
                <w:rFonts w:ascii="Times New Roman" w:hAnsi="Times New Roman" w:cs="Times New Roman"/>
                <w:i w:val="0"/>
                <w:iCs w:val="0"/>
                <w:color w:val="000000" w:themeColor="text1"/>
                <w:sz w:val="24"/>
                <w:szCs w:val="24"/>
              </w:rPr>
              <w:t xml:space="preserve"> </w:t>
            </w:r>
            <w:r w:rsidR="001F3D39" w:rsidRPr="001F3D39">
              <w:rPr>
                <w:rFonts w:ascii="Times New Roman" w:hAnsi="Times New Roman" w:cs="Times New Roman"/>
                <w:b/>
                <w:bCs/>
                <w:i w:val="0"/>
                <w:iCs w:val="0"/>
                <w:color w:val="000000" w:themeColor="text1"/>
                <w:sz w:val="24"/>
                <w:szCs w:val="24"/>
              </w:rPr>
              <w:t xml:space="preserve"> </w:t>
            </w:r>
            <w:r w:rsidR="001F3D39" w:rsidRPr="001F3D39">
              <w:rPr>
                <w:rFonts w:ascii="Times New Roman" w:hAnsi="Times New Roman" w:cs="Times New Roman"/>
                <w:i w:val="0"/>
                <w:iCs w:val="0"/>
                <w:color w:val="000000" w:themeColor="text1"/>
                <w:sz w:val="24"/>
                <w:szCs w:val="24"/>
              </w:rPr>
              <w:t xml:space="preserve">Interaction frequency (A), interaction diversity (B), and the effective number of interactions (C) across four stages of forest regeneration </w:t>
            </w:r>
            <w:r w:rsidR="001F3D39" w:rsidRPr="001F3D39">
              <w:rPr>
                <w:rFonts w:ascii="Times New Roman" w:eastAsiaTheme="majorEastAsia" w:hAnsi="Times New Roman" w:cs="Times New Roman"/>
                <w:i w:val="0"/>
                <w:iCs w:val="0"/>
                <w:color w:val="000000" w:themeColor="text1"/>
                <w:sz w:val="24"/>
                <w:szCs w:val="24"/>
              </w:rPr>
              <w:t>(PA = highly impacted pasture, ES = low impact early successional vegetation, SEC = secondary forest, and OG = old growth Chocó Rainforest)</w:t>
            </w:r>
            <w:r w:rsidR="001F3D39" w:rsidRPr="001F3D39">
              <w:rPr>
                <w:rFonts w:ascii="Times New Roman" w:hAnsi="Times New Roman" w:cs="Times New Roman"/>
                <w:i w:val="0"/>
                <w:iCs w:val="0"/>
                <w:color w:val="000000" w:themeColor="text1"/>
                <w:sz w:val="24"/>
                <w:szCs w:val="24"/>
              </w:rPr>
              <w:t>. Asterisks (*) represent significant differences (</w:t>
            </w:r>
            <w:r w:rsidR="001F3D39" w:rsidRPr="001F3D39">
              <w:rPr>
                <w:rFonts w:ascii="Times New Roman" w:eastAsiaTheme="majorEastAsia" w:hAnsi="Times New Roman" w:cs="Times New Roman"/>
                <w:i w:val="0"/>
                <w:iCs w:val="0"/>
                <w:color w:val="000000" w:themeColor="text1"/>
                <w:sz w:val="24"/>
                <w:szCs w:val="24"/>
              </w:rPr>
              <w:t>p</w:t>
            </w:r>
            <w:r w:rsidR="001F3D39" w:rsidRPr="001F3D39">
              <w:rPr>
                <w:rFonts w:ascii="Times New Roman" w:hAnsi="Times New Roman" w:cs="Times New Roman"/>
                <w:i w:val="0"/>
                <w:iCs w:val="0"/>
                <w:color w:val="000000" w:themeColor="text1"/>
                <w:sz w:val="24"/>
                <w:szCs w:val="24"/>
              </w:rPr>
              <w:t> &lt; 0.05) from old growth forests (OG).</w:t>
            </w:r>
            <w:bookmarkEnd w:id="118"/>
          </w:p>
        </w:tc>
      </w:tr>
    </w:tbl>
    <w:p w14:paraId="4118A0B6" w14:textId="41A36068" w:rsidR="00A44189" w:rsidRPr="00193968" w:rsidRDefault="00A44189" w:rsidP="00BD07DC">
      <w:pPr>
        <w:pStyle w:val="Heading2"/>
        <w:rPr>
          <w:rFonts w:ascii="Times New Roman" w:hAnsi="Times New Roman" w:cs="Times New Roman"/>
          <w:b/>
          <w:bCs/>
          <w:color w:val="000000" w:themeColor="text1"/>
          <w:sz w:val="24"/>
          <w:szCs w:val="24"/>
        </w:rPr>
      </w:pPr>
      <w:r w:rsidRPr="00193968">
        <w:rPr>
          <w:rFonts w:ascii="Times New Roman" w:hAnsi="Times New Roman" w:cs="Times New Roman"/>
          <w:b/>
          <w:bCs/>
          <w:color w:val="000000" w:themeColor="text1"/>
          <w:sz w:val="24"/>
          <w:szCs w:val="24"/>
        </w:rPr>
        <w:br w:type="page"/>
      </w:r>
    </w:p>
    <w:tbl>
      <w:tblPr>
        <w:tblStyle w:val="TableGrid"/>
        <w:tblpPr w:leftFromText="180" w:rightFromText="180" w:vertAnchor="page" w:horzAnchor="margin" w:tblpY="153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tblGrid>
      <w:tr w:rsidR="003022FF" w:rsidRPr="00B066C6" w14:paraId="2B78F3CD" w14:textId="77777777" w:rsidTr="000426A0">
        <w:trPr>
          <w:trHeight w:val="330"/>
        </w:trPr>
        <w:tc>
          <w:tcPr>
            <w:tcW w:w="9134" w:type="dxa"/>
            <w:vAlign w:val="center"/>
          </w:tcPr>
          <w:p w14:paraId="05E2C6B6" w14:textId="77777777" w:rsidR="003022FF" w:rsidRPr="00B066C6" w:rsidRDefault="003022FF" w:rsidP="000426A0">
            <w:pPr>
              <w:tabs>
                <w:tab w:val="left" w:pos="2788"/>
              </w:tabs>
              <w:spacing w:line="360" w:lineRule="auto"/>
              <w:rPr>
                <w:rFonts w:ascii="Times New Roman" w:hAnsi="Times New Roman" w:cs="Times New Roman"/>
                <w:b/>
                <w:bCs/>
              </w:rPr>
            </w:pPr>
            <w:r w:rsidRPr="00B066C6">
              <w:rPr>
                <w:rFonts w:ascii="Times New Roman" w:hAnsi="Times New Roman" w:cs="Times New Roman"/>
                <w:b/>
                <w:bCs/>
                <w:noProof/>
              </w:rPr>
              <w:lastRenderedPageBreak/>
              <w:drawing>
                <wp:inline distT="0" distB="0" distL="0" distR="0" wp14:anchorId="02DCD73C" wp14:editId="6D39D317">
                  <wp:extent cx="5337545" cy="3380640"/>
                  <wp:effectExtent l="0" t="0" r="0" b="0"/>
                  <wp:docPr id="389527980" name="Picture 4" descr="A diagram of trees and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59491" name="Picture 4" descr="A diagram of trees and plants&#10;&#10;AI-generated content may be incorrect."/>
                          <pic:cNvPicPr/>
                        </pic:nvPicPr>
                        <pic:blipFill>
                          <a:blip r:embed="rId117">
                            <a:extLst>
                              <a:ext uri="{28A0092B-C50C-407E-A947-70E740481C1C}">
                                <a14:useLocalDpi xmlns:a14="http://schemas.microsoft.com/office/drawing/2010/main" val="0"/>
                              </a:ext>
                            </a:extLst>
                          </a:blip>
                          <a:stretch>
                            <a:fillRect/>
                          </a:stretch>
                        </pic:blipFill>
                        <pic:spPr>
                          <a:xfrm>
                            <a:off x="0" y="0"/>
                            <a:ext cx="5352479" cy="3390098"/>
                          </a:xfrm>
                          <a:prstGeom prst="rect">
                            <a:avLst/>
                          </a:prstGeom>
                        </pic:spPr>
                      </pic:pic>
                    </a:graphicData>
                  </a:graphic>
                </wp:inline>
              </w:drawing>
            </w:r>
          </w:p>
          <w:p w14:paraId="67EDDE60" w14:textId="77777777" w:rsidR="003022FF" w:rsidRPr="00B066C6" w:rsidRDefault="003022FF" w:rsidP="00D77075">
            <w:pPr>
              <w:pStyle w:val="Caption"/>
              <w:spacing w:before="0" w:after="0"/>
              <w:rPr>
                <w:rFonts w:ascii="Times New Roman" w:hAnsi="Times New Roman" w:cs="Times New Roman"/>
                <w:i w:val="0"/>
                <w:iCs w:val="0"/>
                <w:sz w:val="24"/>
                <w:szCs w:val="24"/>
              </w:rPr>
            </w:pPr>
            <w:bookmarkStart w:id="119" w:name="_Toc195189747"/>
            <w:r w:rsidRPr="00B066C6">
              <w:rPr>
                <w:rFonts w:ascii="Times New Roman" w:hAnsi="Times New Roman" w:cs="Times New Roman"/>
                <w:b/>
                <w:bCs/>
                <w:i w:val="0"/>
                <w:iCs w:val="0"/>
                <w:color w:val="auto"/>
                <w:sz w:val="24"/>
                <w:szCs w:val="24"/>
              </w:rPr>
              <w:t xml:space="preserve">Figure </w:t>
            </w:r>
            <w:r w:rsidRPr="00B066C6">
              <w:rPr>
                <w:rFonts w:ascii="Times New Roman" w:hAnsi="Times New Roman" w:cs="Times New Roman"/>
                <w:b/>
                <w:bCs/>
                <w:i w:val="0"/>
                <w:iCs w:val="0"/>
                <w:color w:val="auto"/>
                <w:sz w:val="24"/>
                <w:szCs w:val="24"/>
              </w:rPr>
              <w:fldChar w:fldCharType="begin"/>
            </w:r>
            <w:r w:rsidRPr="00B066C6">
              <w:rPr>
                <w:rFonts w:ascii="Times New Roman" w:hAnsi="Times New Roman" w:cs="Times New Roman"/>
                <w:b/>
                <w:bCs/>
                <w:i w:val="0"/>
                <w:iCs w:val="0"/>
                <w:color w:val="auto"/>
                <w:sz w:val="24"/>
                <w:szCs w:val="24"/>
              </w:rPr>
              <w:instrText xml:space="preserve"> SEQ Figure \* ARABIC </w:instrText>
            </w:r>
            <w:r w:rsidRPr="00B066C6">
              <w:rPr>
                <w:rFonts w:ascii="Times New Roman" w:hAnsi="Times New Roman" w:cs="Times New Roman"/>
                <w:b/>
                <w:bCs/>
                <w:i w:val="0"/>
                <w:iCs w:val="0"/>
                <w:color w:val="auto"/>
                <w:sz w:val="24"/>
                <w:szCs w:val="24"/>
              </w:rPr>
              <w:fldChar w:fldCharType="separate"/>
            </w:r>
            <w:r w:rsidRPr="00B066C6">
              <w:rPr>
                <w:rFonts w:ascii="Times New Roman" w:hAnsi="Times New Roman" w:cs="Times New Roman"/>
                <w:b/>
                <w:bCs/>
                <w:i w:val="0"/>
                <w:iCs w:val="0"/>
                <w:noProof/>
                <w:color w:val="auto"/>
                <w:sz w:val="24"/>
                <w:szCs w:val="24"/>
              </w:rPr>
              <w:t>10</w:t>
            </w:r>
            <w:r w:rsidRPr="00B066C6">
              <w:rPr>
                <w:rFonts w:ascii="Times New Roman" w:hAnsi="Times New Roman" w:cs="Times New Roman"/>
                <w:b/>
                <w:bCs/>
                <w:i w:val="0"/>
                <w:iCs w:val="0"/>
                <w:color w:val="auto"/>
                <w:sz w:val="24"/>
                <w:szCs w:val="24"/>
              </w:rPr>
              <w:fldChar w:fldCharType="end"/>
            </w:r>
            <w:r w:rsidRPr="00B066C6">
              <w:rPr>
                <w:rFonts w:ascii="Times New Roman" w:hAnsi="Times New Roman" w:cs="Times New Roman"/>
                <w:b/>
                <w:bCs/>
                <w:i w:val="0"/>
                <w:iCs w:val="0"/>
                <w:color w:val="auto"/>
                <w:sz w:val="24"/>
                <w:szCs w:val="24"/>
              </w:rPr>
              <w:t>:</w:t>
            </w:r>
            <w:r w:rsidRPr="00B066C6">
              <w:rPr>
                <w:rFonts w:ascii="Times New Roman" w:hAnsi="Times New Roman" w:cs="Times New Roman"/>
                <w:i w:val="0"/>
                <w:iCs w:val="0"/>
                <w:color w:val="auto"/>
                <w:sz w:val="24"/>
                <w:szCs w:val="24"/>
              </w:rPr>
              <w:t xml:space="preserve"> </w:t>
            </w:r>
            <w:r w:rsidRPr="00B066C6">
              <w:rPr>
                <w:rFonts w:ascii="Times New Roman" w:eastAsiaTheme="minorEastAsia" w:hAnsi="Times New Roman" w:cs="Times New Roman"/>
                <w:i w:val="0"/>
                <w:iCs w:val="0"/>
                <w:color w:val="auto"/>
                <w:kern w:val="24"/>
                <w:sz w:val="24"/>
                <w:szCs w:val="24"/>
              </w:rPr>
              <w:t xml:space="preserve">The </w:t>
            </w:r>
            <w:r w:rsidRPr="00B066C6">
              <w:rPr>
                <w:rFonts w:ascii="Times New Roman" w:hAnsi="Times New Roman" w:cs="Times New Roman"/>
                <w:i w:val="0"/>
                <w:iCs w:val="0"/>
                <w:color w:val="auto"/>
                <w:sz w:val="24"/>
                <w:szCs w:val="24"/>
              </w:rPr>
              <w:t>proportion of shared links across habitats (‘edge overlap’) between each regeneration stage. The widths of the grey lines between each stage are proportional to the correlation of shared links between each pair. Higher values represent a higher proportion of shared links between networks.</w:t>
            </w:r>
            <w:bookmarkEnd w:id="119"/>
            <w:r w:rsidRPr="00B066C6">
              <w:rPr>
                <w:rFonts w:ascii="Times New Roman" w:hAnsi="Times New Roman" w:cs="Times New Roman"/>
                <w:i w:val="0"/>
                <w:iCs w:val="0"/>
                <w:color w:val="auto"/>
                <w:sz w:val="24"/>
                <w:szCs w:val="24"/>
              </w:rPr>
              <w:t xml:space="preserve"> </w:t>
            </w:r>
          </w:p>
        </w:tc>
      </w:tr>
    </w:tbl>
    <w:p w14:paraId="5A2DBAAA" w14:textId="77777777" w:rsidR="003022FF" w:rsidRDefault="003022FF" w:rsidP="003022FF">
      <w:pPr>
        <w:rPr>
          <w:rFonts w:ascii="Times New Roman" w:hAnsi="Times New Roman" w:cs="Times New Roman"/>
          <w:b/>
          <w:bCs/>
        </w:rPr>
      </w:pPr>
    </w:p>
    <w:p w14:paraId="275EF8A1" w14:textId="3A836C4D" w:rsidR="00F80E6B" w:rsidRDefault="00F80E6B">
      <w:pPr>
        <w:rPr>
          <w:rFonts w:ascii="Times New Roman" w:hAnsi="Times New Roman" w:cs="Times New Roman"/>
          <w:b/>
          <w:bCs/>
        </w:rPr>
      </w:pPr>
      <w:r>
        <w:rPr>
          <w:rFonts w:ascii="Times New Roman" w:hAnsi="Times New Roman" w:cs="Times New Roman"/>
          <w:b/>
          <w:bCs/>
        </w:rPr>
        <w:br w:type="page"/>
      </w:r>
    </w:p>
    <w:p w14:paraId="44CF51A4" w14:textId="77777777" w:rsidR="00F80E6B" w:rsidRDefault="00F80E6B" w:rsidP="00F80E6B">
      <w:pPr>
        <w:spacing w:after="240"/>
        <w:ind w:firstLine="720"/>
        <w:rPr>
          <w:rFonts w:ascii="Times New Roman" w:hAnsi="Times New Roman" w:cs="Times New Roman"/>
        </w:rPr>
      </w:pPr>
    </w:p>
    <w:p w14:paraId="607BCECD" w14:textId="77777777" w:rsidR="00F80E6B" w:rsidRPr="00CC02A2" w:rsidRDefault="00F80E6B" w:rsidP="00F80E6B">
      <w:pPr>
        <w:spacing w:before="0" w:after="0"/>
        <w:ind w:firstLine="720"/>
        <w:rPr>
          <w:rFonts w:ascii="Times New Roman" w:hAnsi="Times New Roman" w:cs="Times New Roman"/>
          <w:color w:val="000000" w:themeColor="text1"/>
        </w:rPr>
      </w:pPr>
    </w:p>
    <w:tbl>
      <w:tblPr>
        <w:tblStyle w:val="TableGrid"/>
        <w:tblpPr w:leftFromText="180" w:rightFromText="180" w:vertAnchor="page" w:horzAnchor="margin" w:tblpY="1604"/>
        <w:tblW w:w="0" w:type="auto"/>
        <w:tblLook w:val="04A0" w:firstRow="1" w:lastRow="0" w:firstColumn="1" w:lastColumn="0" w:noHBand="0" w:noVBand="1"/>
      </w:tblPr>
      <w:tblGrid>
        <w:gridCol w:w="1061"/>
        <w:gridCol w:w="1401"/>
        <w:gridCol w:w="1631"/>
        <w:gridCol w:w="1643"/>
        <w:gridCol w:w="1724"/>
        <w:gridCol w:w="1430"/>
      </w:tblGrid>
      <w:tr w:rsidR="00F80E6B" w:rsidRPr="00B066C6" w14:paraId="4F86ECD5" w14:textId="77777777" w:rsidTr="000426A0">
        <w:trPr>
          <w:trHeight w:val="983"/>
        </w:trPr>
        <w:tc>
          <w:tcPr>
            <w:tcW w:w="8731" w:type="dxa"/>
            <w:gridSpan w:val="6"/>
            <w:tcBorders>
              <w:top w:val="nil"/>
              <w:left w:val="nil"/>
              <w:bottom w:val="single" w:sz="4" w:space="0" w:color="auto"/>
              <w:right w:val="nil"/>
            </w:tcBorders>
            <w:shd w:val="clear" w:color="auto" w:fill="auto"/>
            <w:vAlign w:val="center"/>
          </w:tcPr>
          <w:p w14:paraId="08B98098" w14:textId="7739DFC7" w:rsidR="00F80E6B" w:rsidRPr="00E035F1" w:rsidRDefault="00F80E6B" w:rsidP="000426A0">
            <w:pPr>
              <w:pStyle w:val="Caption"/>
              <w:spacing w:before="0" w:after="0"/>
              <w:rPr>
                <w:rFonts w:ascii="Times New Roman" w:hAnsi="Times New Roman" w:cs="Times New Roman"/>
                <w:i w:val="0"/>
                <w:iCs w:val="0"/>
                <w:sz w:val="24"/>
                <w:szCs w:val="24"/>
              </w:rPr>
            </w:pPr>
            <w:bookmarkStart w:id="120" w:name="_Toc195189691"/>
            <w:r w:rsidRPr="00E035F1">
              <w:rPr>
                <w:rFonts w:ascii="Times New Roman" w:hAnsi="Times New Roman" w:cs="Times New Roman"/>
                <w:b/>
                <w:bCs/>
                <w:i w:val="0"/>
                <w:iCs w:val="0"/>
                <w:color w:val="000000" w:themeColor="text1"/>
                <w:sz w:val="24"/>
                <w:szCs w:val="24"/>
              </w:rPr>
              <w:t xml:space="preserve">Table </w:t>
            </w:r>
            <w:r w:rsidRPr="00E035F1">
              <w:rPr>
                <w:rFonts w:ascii="Times New Roman" w:hAnsi="Times New Roman" w:cs="Times New Roman"/>
                <w:b/>
                <w:bCs/>
                <w:i w:val="0"/>
                <w:iCs w:val="0"/>
                <w:color w:val="000000" w:themeColor="text1"/>
                <w:sz w:val="24"/>
                <w:szCs w:val="24"/>
              </w:rPr>
              <w:fldChar w:fldCharType="begin"/>
            </w:r>
            <w:r w:rsidRPr="00E035F1">
              <w:rPr>
                <w:rFonts w:ascii="Times New Roman" w:hAnsi="Times New Roman" w:cs="Times New Roman"/>
                <w:b/>
                <w:bCs/>
                <w:i w:val="0"/>
                <w:iCs w:val="0"/>
                <w:color w:val="000000" w:themeColor="text1"/>
                <w:sz w:val="24"/>
                <w:szCs w:val="24"/>
              </w:rPr>
              <w:instrText xml:space="preserve"> SEQ Table \* ARABIC </w:instrText>
            </w:r>
            <w:r w:rsidRPr="00E035F1">
              <w:rPr>
                <w:rFonts w:ascii="Times New Roman" w:hAnsi="Times New Roman" w:cs="Times New Roman"/>
                <w:b/>
                <w:bCs/>
                <w:i w:val="0"/>
                <w:iCs w:val="0"/>
                <w:color w:val="000000" w:themeColor="text1"/>
                <w:sz w:val="24"/>
                <w:szCs w:val="24"/>
              </w:rPr>
              <w:fldChar w:fldCharType="separate"/>
            </w:r>
            <w:r w:rsidRPr="00E035F1">
              <w:rPr>
                <w:rFonts w:ascii="Times New Roman" w:hAnsi="Times New Roman" w:cs="Times New Roman"/>
                <w:b/>
                <w:bCs/>
                <w:i w:val="0"/>
                <w:iCs w:val="0"/>
                <w:noProof/>
                <w:color w:val="000000" w:themeColor="text1"/>
                <w:sz w:val="24"/>
                <w:szCs w:val="24"/>
              </w:rPr>
              <w:t>6</w:t>
            </w:r>
            <w:r w:rsidRPr="00E035F1">
              <w:rPr>
                <w:rFonts w:ascii="Times New Roman" w:hAnsi="Times New Roman" w:cs="Times New Roman"/>
                <w:b/>
                <w:bCs/>
                <w:i w:val="0"/>
                <w:iCs w:val="0"/>
                <w:color w:val="000000" w:themeColor="text1"/>
                <w:sz w:val="24"/>
                <w:szCs w:val="24"/>
              </w:rPr>
              <w:fldChar w:fldCharType="end"/>
            </w:r>
            <w:r w:rsidRPr="00E035F1">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Pr="00E035F1">
              <w:rPr>
                <w:rFonts w:ascii="Times New Roman" w:hAnsi="Times New Roman" w:cs="Times New Roman"/>
                <w:i w:val="0"/>
                <w:iCs w:val="0"/>
                <w:color w:val="000000" w:themeColor="text1"/>
                <w:sz w:val="24"/>
                <w:szCs w:val="24"/>
              </w:rPr>
              <w:t xml:space="preserve">Summary of network-level metrics across four forest regeneration stages </w:t>
            </w:r>
            <w:r w:rsidRPr="00E035F1">
              <w:rPr>
                <w:rFonts w:ascii="Times New Roman" w:eastAsiaTheme="majorEastAsia" w:hAnsi="Times New Roman" w:cs="Times New Roman"/>
                <w:i w:val="0"/>
                <w:iCs w:val="0"/>
                <w:color w:val="000000" w:themeColor="text1"/>
                <w:sz w:val="24"/>
                <w:szCs w:val="24"/>
              </w:rPr>
              <w:t>(PA = highly impacted pasture, ES = low impact early successional vegetation, SEC = secondary forest, and OG = old growth Chocó Rainforest)</w:t>
            </w:r>
            <w:r w:rsidRPr="00E035F1">
              <w:rPr>
                <w:rFonts w:ascii="Times New Roman" w:hAnsi="Times New Roman" w:cs="Times New Roman"/>
                <w:i w:val="0"/>
                <w:iCs w:val="0"/>
                <w:color w:val="000000" w:themeColor="text1"/>
                <w:sz w:val="24"/>
                <w:szCs w:val="24"/>
              </w:rPr>
              <w:t xml:space="preserve">. The table presents </w:t>
            </w:r>
            <w:r w:rsidRPr="00E035F1">
              <w:rPr>
                <w:rFonts w:ascii="Times New Roman" w:eastAsiaTheme="majorEastAsia" w:hAnsi="Times New Roman" w:cs="Times New Roman"/>
                <w:i w:val="0"/>
                <w:iCs w:val="0"/>
                <w:color w:val="000000" w:themeColor="text1"/>
                <w:sz w:val="24"/>
                <w:szCs w:val="24"/>
              </w:rPr>
              <w:t>observed values</w:t>
            </w:r>
            <w:r w:rsidRPr="00E035F1">
              <w:rPr>
                <w:rFonts w:ascii="Times New Roman" w:hAnsi="Times New Roman" w:cs="Times New Roman"/>
                <w:i w:val="0"/>
                <w:iCs w:val="0"/>
                <w:color w:val="000000" w:themeColor="text1"/>
                <w:sz w:val="24"/>
                <w:szCs w:val="24"/>
              </w:rPr>
              <w:t xml:space="preserve">, </w:t>
            </w:r>
            <w:r w:rsidRPr="00E035F1">
              <w:rPr>
                <w:rFonts w:ascii="Times New Roman" w:eastAsiaTheme="majorEastAsia" w:hAnsi="Times New Roman" w:cs="Times New Roman"/>
                <w:i w:val="0"/>
                <w:iCs w:val="0"/>
                <w:color w:val="000000" w:themeColor="text1"/>
                <w:sz w:val="24"/>
                <w:szCs w:val="24"/>
              </w:rPr>
              <w:t>null model means</w:t>
            </w:r>
            <w:r w:rsidRPr="00E035F1">
              <w:rPr>
                <w:rFonts w:ascii="Times New Roman" w:hAnsi="Times New Roman" w:cs="Times New Roman"/>
                <w:i w:val="0"/>
                <w:iCs w:val="0"/>
                <w:color w:val="000000" w:themeColor="text1"/>
                <w:sz w:val="24"/>
                <w:szCs w:val="24"/>
              </w:rPr>
              <w:t xml:space="preserve"> and </w:t>
            </w:r>
            <w:r w:rsidRPr="00E035F1">
              <w:rPr>
                <w:rFonts w:ascii="Times New Roman" w:eastAsiaTheme="majorEastAsia" w:hAnsi="Times New Roman" w:cs="Times New Roman"/>
                <w:i w:val="0"/>
                <w:iCs w:val="0"/>
                <w:color w:val="000000" w:themeColor="text1"/>
                <w:sz w:val="24"/>
                <w:szCs w:val="24"/>
              </w:rPr>
              <w:t>standard deviations (SD)</w:t>
            </w:r>
            <w:r w:rsidRPr="00E035F1">
              <w:rPr>
                <w:rFonts w:ascii="Times New Roman" w:hAnsi="Times New Roman" w:cs="Times New Roman"/>
                <w:i w:val="0"/>
                <w:iCs w:val="0"/>
                <w:color w:val="000000" w:themeColor="text1"/>
                <w:sz w:val="24"/>
                <w:szCs w:val="24"/>
              </w:rPr>
              <w:t xml:space="preserve"> for </w:t>
            </w:r>
            <w:r w:rsidR="004D189E">
              <w:rPr>
                <w:rFonts w:ascii="Times New Roman" w:hAnsi="Times New Roman" w:cs="Times New Roman"/>
                <w:i w:val="0"/>
                <w:iCs w:val="0"/>
                <w:color w:val="000000" w:themeColor="text1"/>
                <w:sz w:val="24"/>
                <w:szCs w:val="24"/>
              </w:rPr>
              <w:t>n</w:t>
            </w:r>
            <w:r w:rsidRPr="00E035F1">
              <w:rPr>
                <w:rFonts w:ascii="Times New Roman" w:eastAsiaTheme="majorEastAsia" w:hAnsi="Times New Roman" w:cs="Times New Roman"/>
                <w:i w:val="0"/>
                <w:iCs w:val="0"/>
                <w:color w:val="000000" w:themeColor="text1"/>
                <w:sz w:val="24"/>
                <w:szCs w:val="24"/>
              </w:rPr>
              <w:t xml:space="preserve">estedness, specialization, </w:t>
            </w:r>
            <w:r w:rsidR="004D189E">
              <w:rPr>
                <w:rFonts w:ascii="Times New Roman" w:eastAsiaTheme="majorEastAsia" w:hAnsi="Times New Roman" w:cs="Times New Roman"/>
                <w:i w:val="0"/>
                <w:iCs w:val="0"/>
                <w:color w:val="000000" w:themeColor="text1"/>
                <w:sz w:val="24"/>
                <w:szCs w:val="24"/>
              </w:rPr>
              <w:t>c</w:t>
            </w:r>
            <w:r w:rsidRPr="00E035F1">
              <w:rPr>
                <w:rFonts w:ascii="Times New Roman" w:eastAsiaTheme="majorEastAsia" w:hAnsi="Times New Roman" w:cs="Times New Roman"/>
                <w:i w:val="0"/>
                <w:iCs w:val="0"/>
                <w:color w:val="000000" w:themeColor="text1"/>
                <w:sz w:val="24"/>
                <w:szCs w:val="24"/>
              </w:rPr>
              <w:t xml:space="preserve">onnectance, and </w:t>
            </w:r>
            <w:r w:rsidR="004D189E">
              <w:rPr>
                <w:rFonts w:ascii="Times New Roman" w:eastAsiaTheme="majorEastAsia" w:hAnsi="Times New Roman" w:cs="Times New Roman"/>
                <w:i w:val="0"/>
                <w:iCs w:val="0"/>
                <w:color w:val="000000" w:themeColor="text1"/>
                <w:sz w:val="24"/>
                <w:szCs w:val="24"/>
              </w:rPr>
              <w:t>m</w:t>
            </w:r>
            <w:r w:rsidRPr="00E035F1">
              <w:rPr>
                <w:rFonts w:ascii="Times New Roman" w:eastAsiaTheme="majorEastAsia" w:hAnsi="Times New Roman" w:cs="Times New Roman"/>
                <w:i w:val="0"/>
                <w:iCs w:val="0"/>
                <w:color w:val="000000" w:themeColor="text1"/>
                <w:sz w:val="24"/>
                <w:szCs w:val="24"/>
              </w:rPr>
              <w:t>odularity</w:t>
            </w:r>
            <w:r w:rsidRPr="00E035F1">
              <w:rPr>
                <w:rFonts w:ascii="Times New Roman" w:hAnsi="Times New Roman" w:cs="Times New Roman"/>
                <w:i w:val="0"/>
                <w:iCs w:val="0"/>
                <w:color w:val="000000" w:themeColor="text1"/>
                <w:sz w:val="24"/>
                <w:szCs w:val="24"/>
              </w:rPr>
              <w:t xml:space="preserve">. </w:t>
            </w:r>
            <w:r w:rsidRPr="00E035F1">
              <w:rPr>
                <w:rFonts w:ascii="Times New Roman" w:eastAsiaTheme="majorEastAsia" w:hAnsi="Times New Roman" w:cs="Times New Roman"/>
                <w:i w:val="0"/>
                <w:iCs w:val="0"/>
                <w:color w:val="000000" w:themeColor="text1"/>
                <w:sz w:val="24"/>
                <w:szCs w:val="24"/>
              </w:rPr>
              <w:t>Z-scores and p-values</w:t>
            </w:r>
            <w:r w:rsidRPr="00E035F1">
              <w:rPr>
                <w:rFonts w:ascii="Times New Roman" w:hAnsi="Times New Roman" w:cs="Times New Roman"/>
                <w:i w:val="0"/>
                <w:iCs w:val="0"/>
                <w:color w:val="000000" w:themeColor="text1"/>
                <w:sz w:val="24"/>
                <w:szCs w:val="24"/>
              </w:rPr>
              <w:t xml:space="preserve"> indicate whether observed values significantly differ from null expectations (</w:t>
            </w:r>
            <w:r w:rsidRPr="00E035F1">
              <w:rPr>
                <w:rFonts w:ascii="Times New Roman" w:eastAsiaTheme="majorEastAsia" w:hAnsi="Times New Roman" w:cs="Times New Roman"/>
                <w:i w:val="0"/>
                <w:iCs w:val="0"/>
                <w:color w:val="000000" w:themeColor="text1"/>
                <w:sz w:val="24"/>
                <w:szCs w:val="24"/>
              </w:rPr>
              <w:t>p &lt; 0.05</w:t>
            </w:r>
            <w:r w:rsidRPr="00E035F1">
              <w:rPr>
                <w:rFonts w:ascii="Times New Roman" w:hAnsi="Times New Roman" w:cs="Times New Roman"/>
                <w:i w:val="0"/>
                <w:iCs w:val="0"/>
                <w:color w:val="000000" w:themeColor="text1"/>
                <w:sz w:val="24"/>
                <w:szCs w:val="24"/>
              </w:rPr>
              <w:t>). Significant results are denoted with an asterisk (*)</w:t>
            </w:r>
            <w:bookmarkEnd w:id="120"/>
          </w:p>
        </w:tc>
      </w:tr>
      <w:tr w:rsidR="00F80E6B" w:rsidRPr="00B066C6" w14:paraId="240E951B" w14:textId="77777777" w:rsidTr="000426A0">
        <w:trPr>
          <w:trHeight w:val="983"/>
        </w:trPr>
        <w:tc>
          <w:tcPr>
            <w:tcW w:w="1061" w:type="dxa"/>
            <w:tcBorders>
              <w:top w:val="single" w:sz="4" w:space="0" w:color="auto"/>
            </w:tcBorders>
            <w:shd w:val="clear" w:color="auto" w:fill="ADADAD" w:themeFill="background2" w:themeFillShade="BF"/>
            <w:vAlign w:val="center"/>
          </w:tcPr>
          <w:p w14:paraId="06388844"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Stage</w:t>
            </w:r>
          </w:p>
        </w:tc>
        <w:tc>
          <w:tcPr>
            <w:tcW w:w="1401" w:type="dxa"/>
            <w:tcBorders>
              <w:top w:val="single" w:sz="4" w:space="0" w:color="auto"/>
            </w:tcBorders>
            <w:shd w:val="clear" w:color="auto" w:fill="ADADAD" w:themeFill="background2" w:themeFillShade="BF"/>
            <w:vAlign w:val="center"/>
          </w:tcPr>
          <w:p w14:paraId="41D046DC"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Measure</w:t>
            </w:r>
          </w:p>
        </w:tc>
        <w:tc>
          <w:tcPr>
            <w:tcW w:w="1631" w:type="dxa"/>
            <w:tcBorders>
              <w:top w:val="single" w:sz="4" w:space="0" w:color="auto"/>
            </w:tcBorders>
            <w:shd w:val="clear" w:color="auto" w:fill="ADADAD" w:themeFill="background2" w:themeFillShade="BF"/>
            <w:vAlign w:val="center"/>
          </w:tcPr>
          <w:p w14:paraId="6E3B3B90" w14:textId="225E2385" w:rsidR="00F80E6B" w:rsidRPr="00B066C6" w:rsidRDefault="004D189E" w:rsidP="000426A0">
            <w:pPr>
              <w:spacing w:before="0"/>
              <w:jc w:val="center"/>
              <w:rPr>
                <w:rFonts w:ascii="Times New Roman" w:hAnsi="Times New Roman" w:cs="Times New Roman"/>
                <w:b/>
                <w:bCs/>
              </w:rPr>
            </w:pPr>
            <w:r>
              <w:rPr>
                <w:rFonts w:ascii="Times New Roman" w:hAnsi="Times New Roman" w:cs="Times New Roman"/>
                <w:b/>
                <w:bCs/>
              </w:rPr>
              <w:t>Nestedness</w:t>
            </w:r>
          </w:p>
        </w:tc>
        <w:tc>
          <w:tcPr>
            <w:tcW w:w="1484" w:type="dxa"/>
            <w:tcBorders>
              <w:top w:val="single" w:sz="4" w:space="0" w:color="auto"/>
            </w:tcBorders>
            <w:shd w:val="clear" w:color="auto" w:fill="ADADAD" w:themeFill="background2" w:themeFillShade="BF"/>
            <w:vAlign w:val="center"/>
          </w:tcPr>
          <w:p w14:paraId="7168F4C0" w14:textId="1E48D886" w:rsidR="00F80E6B" w:rsidRPr="00B066C6" w:rsidRDefault="004D189E" w:rsidP="000426A0">
            <w:pPr>
              <w:spacing w:before="0"/>
              <w:jc w:val="center"/>
              <w:rPr>
                <w:rFonts w:ascii="Times New Roman" w:hAnsi="Times New Roman" w:cs="Times New Roman"/>
                <w:b/>
                <w:bCs/>
              </w:rPr>
            </w:pPr>
            <w:r>
              <w:rPr>
                <w:rFonts w:ascii="Times New Roman" w:hAnsi="Times New Roman" w:cs="Times New Roman"/>
                <w:b/>
                <w:bCs/>
              </w:rPr>
              <w:t>Specialization</w:t>
            </w:r>
          </w:p>
        </w:tc>
        <w:tc>
          <w:tcPr>
            <w:tcW w:w="1724" w:type="dxa"/>
            <w:tcBorders>
              <w:top w:val="single" w:sz="4" w:space="0" w:color="auto"/>
            </w:tcBorders>
            <w:shd w:val="clear" w:color="auto" w:fill="ADADAD" w:themeFill="background2" w:themeFillShade="BF"/>
            <w:vAlign w:val="center"/>
          </w:tcPr>
          <w:p w14:paraId="62826A1A"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Connectance</w:t>
            </w:r>
          </w:p>
        </w:tc>
        <w:tc>
          <w:tcPr>
            <w:tcW w:w="1430" w:type="dxa"/>
            <w:tcBorders>
              <w:top w:val="single" w:sz="4" w:space="0" w:color="auto"/>
            </w:tcBorders>
            <w:shd w:val="clear" w:color="auto" w:fill="ADADAD" w:themeFill="background2" w:themeFillShade="BF"/>
            <w:vAlign w:val="center"/>
          </w:tcPr>
          <w:p w14:paraId="402D4721"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Modularity</w:t>
            </w:r>
          </w:p>
        </w:tc>
      </w:tr>
      <w:tr w:rsidR="00F80E6B" w:rsidRPr="00B066C6" w14:paraId="6F484F6F" w14:textId="77777777" w:rsidTr="000426A0">
        <w:trPr>
          <w:trHeight w:val="425"/>
        </w:trPr>
        <w:tc>
          <w:tcPr>
            <w:tcW w:w="1061" w:type="dxa"/>
            <w:vMerge w:val="restart"/>
            <w:shd w:val="clear" w:color="auto" w:fill="D9D9D9" w:themeFill="background1" w:themeFillShade="D9"/>
            <w:vAlign w:val="center"/>
          </w:tcPr>
          <w:p w14:paraId="5E7AF7A9"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PA</w:t>
            </w:r>
          </w:p>
        </w:tc>
        <w:tc>
          <w:tcPr>
            <w:tcW w:w="1401" w:type="dxa"/>
            <w:shd w:val="clear" w:color="auto" w:fill="D9D9D9" w:themeFill="background1" w:themeFillShade="D9"/>
            <w:vAlign w:val="center"/>
          </w:tcPr>
          <w:p w14:paraId="2E7BF9D8"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Observed</w:t>
            </w:r>
          </w:p>
        </w:tc>
        <w:tc>
          <w:tcPr>
            <w:tcW w:w="1631" w:type="dxa"/>
            <w:shd w:val="clear" w:color="auto" w:fill="D9D9D9" w:themeFill="background1" w:themeFillShade="D9"/>
            <w:vAlign w:val="center"/>
          </w:tcPr>
          <w:p w14:paraId="652C9913" w14:textId="37E71D19" w:rsidR="00F80E6B" w:rsidRPr="00B066C6" w:rsidRDefault="00B62A96" w:rsidP="000426A0">
            <w:pPr>
              <w:spacing w:before="0"/>
              <w:jc w:val="center"/>
              <w:rPr>
                <w:rFonts w:ascii="Times New Roman" w:hAnsi="Times New Roman" w:cs="Times New Roman"/>
              </w:rPr>
            </w:pPr>
            <w:r>
              <w:rPr>
                <w:rFonts w:ascii="Times New Roman" w:hAnsi="Times New Roman" w:cs="Times New Roman"/>
              </w:rPr>
              <w:t>9.01</w:t>
            </w:r>
          </w:p>
        </w:tc>
        <w:tc>
          <w:tcPr>
            <w:tcW w:w="1484" w:type="dxa"/>
            <w:shd w:val="clear" w:color="auto" w:fill="D9D9D9" w:themeFill="background1" w:themeFillShade="D9"/>
            <w:vAlign w:val="center"/>
          </w:tcPr>
          <w:p w14:paraId="7AF96449" w14:textId="77777777" w:rsidR="00F80E6B" w:rsidRPr="00B066C6" w:rsidRDefault="00F80E6B" w:rsidP="000426A0">
            <w:pPr>
              <w:spacing w:before="0"/>
              <w:jc w:val="center"/>
              <w:rPr>
                <w:rFonts w:ascii="Times New Roman" w:hAnsi="Times New Roman" w:cs="Times New Roman"/>
              </w:rPr>
            </w:pPr>
            <w:r w:rsidRPr="00B066C6">
              <w:rPr>
                <w:rFonts w:ascii="Times New Roman" w:hAnsi="Times New Roman" w:cs="Times New Roman"/>
              </w:rPr>
              <w:t>0.12</w:t>
            </w:r>
          </w:p>
        </w:tc>
        <w:tc>
          <w:tcPr>
            <w:tcW w:w="1724" w:type="dxa"/>
            <w:shd w:val="clear" w:color="auto" w:fill="D9D9D9" w:themeFill="background1" w:themeFillShade="D9"/>
            <w:vAlign w:val="center"/>
          </w:tcPr>
          <w:p w14:paraId="4C89446C" w14:textId="77777777" w:rsidR="00F80E6B" w:rsidRPr="00B066C6" w:rsidRDefault="00F80E6B" w:rsidP="000426A0">
            <w:pPr>
              <w:spacing w:before="0"/>
              <w:jc w:val="center"/>
              <w:rPr>
                <w:rFonts w:ascii="Times New Roman" w:hAnsi="Times New Roman" w:cs="Times New Roman"/>
              </w:rPr>
            </w:pPr>
            <w:r w:rsidRPr="00B066C6">
              <w:rPr>
                <w:rFonts w:ascii="Times New Roman" w:hAnsi="Times New Roman" w:cs="Times New Roman"/>
              </w:rPr>
              <w:t>0.07</w:t>
            </w:r>
          </w:p>
        </w:tc>
        <w:tc>
          <w:tcPr>
            <w:tcW w:w="1430" w:type="dxa"/>
            <w:shd w:val="clear" w:color="auto" w:fill="D9D9D9" w:themeFill="background1" w:themeFillShade="D9"/>
            <w:vAlign w:val="center"/>
          </w:tcPr>
          <w:p w14:paraId="4912BF79" w14:textId="77777777" w:rsidR="00F80E6B" w:rsidRPr="00B066C6" w:rsidRDefault="00F80E6B" w:rsidP="000426A0">
            <w:pPr>
              <w:spacing w:before="0"/>
              <w:jc w:val="center"/>
              <w:rPr>
                <w:rFonts w:ascii="Times New Roman" w:hAnsi="Times New Roman" w:cs="Times New Roman"/>
              </w:rPr>
            </w:pPr>
            <w:r w:rsidRPr="00B066C6">
              <w:rPr>
                <w:rFonts w:ascii="Times New Roman" w:hAnsi="Times New Roman" w:cs="Times New Roman"/>
              </w:rPr>
              <w:t>0.61</w:t>
            </w:r>
          </w:p>
        </w:tc>
      </w:tr>
      <w:tr w:rsidR="00F80E6B" w:rsidRPr="00B066C6" w14:paraId="0EF9B1D0" w14:textId="77777777" w:rsidTr="000426A0">
        <w:tc>
          <w:tcPr>
            <w:tcW w:w="1061" w:type="dxa"/>
            <w:vMerge/>
            <w:shd w:val="clear" w:color="auto" w:fill="D9D9D9" w:themeFill="background1" w:themeFillShade="D9"/>
            <w:vAlign w:val="center"/>
          </w:tcPr>
          <w:p w14:paraId="441C444B"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0B74CB8A"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Mean</w:t>
            </w:r>
          </w:p>
        </w:tc>
        <w:tc>
          <w:tcPr>
            <w:tcW w:w="1631" w:type="dxa"/>
            <w:shd w:val="clear" w:color="auto" w:fill="D9D9D9" w:themeFill="background1" w:themeFillShade="D9"/>
            <w:vAlign w:val="center"/>
          </w:tcPr>
          <w:p w14:paraId="1AB11BE4"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2.00</w:t>
            </w:r>
          </w:p>
        </w:tc>
        <w:tc>
          <w:tcPr>
            <w:tcW w:w="1484" w:type="dxa"/>
            <w:shd w:val="clear" w:color="auto" w:fill="D9D9D9" w:themeFill="background1" w:themeFillShade="D9"/>
            <w:vAlign w:val="center"/>
          </w:tcPr>
          <w:p w14:paraId="1787BA7E"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0.12</w:t>
            </w:r>
          </w:p>
        </w:tc>
        <w:tc>
          <w:tcPr>
            <w:tcW w:w="1724" w:type="dxa"/>
            <w:shd w:val="clear" w:color="auto" w:fill="D9D9D9" w:themeFill="background1" w:themeFillShade="D9"/>
            <w:vAlign w:val="center"/>
          </w:tcPr>
          <w:p w14:paraId="4D0A443F"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0.07</w:t>
            </w:r>
          </w:p>
        </w:tc>
        <w:tc>
          <w:tcPr>
            <w:tcW w:w="1430" w:type="dxa"/>
            <w:shd w:val="clear" w:color="auto" w:fill="D9D9D9" w:themeFill="background1" w:themeFillShade="D9"/>
            <w:vAlign w:val="center"/>
          </w:tcPr>
          <w:p w14:paraId="1DE901E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0.59</w:t>
            </w:r>
          </w:p>
        </w:tc>
      </w:tr>
      <w:tr w:rsidR="00F80E6B" w:rsidRPr="00B066C6" w14:paraId="68679AE8" w14:textId="77777777" w:rsidTr="000426A0">
        <w:tc>
          <w:tcPr>
            <w:tcW w:w="1061" w:type="dxa"/>
            <w:vMerge/>
            <w:shd w:val="clear" w:color="auto" w:fill="D9D9D9" w:themeFill="background1" w:themeFillShade="D9"/>
            <w:vAlign w:val="center"/>
          </w:tcPr>
          <w:p w14:paraId="1C273E53"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288EADC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SD</w:t>
            </w:r>
          </w:p>
        </w:tc>
        <w:tc>
          <w:tcPr>
            <w:tcW w:w="1631" w:type="dxa"/>
            <w:shd w:val="clear" w:color="auto" w:fill="D9D9D9" w:themeFill="background1" w:themeFillShade="D9"/>
            <w:vAlign w:val="center"/>
          </w:tcPr>
          <w:p w14:paraId="04AC700D"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0.57</w:t>
            </w:r>
          </w:p>
        </w:tc>
        <w:tc>
          <w:tcPr>
            <w:tcW w:w="1484" w:type="dxa"/>
            <w:shd w:val="clear" w:color="auto" w:fill="D9D9D9" w:themeFill="background1" w:themeFillShade="D9"/>
            <w:vAlign w:val="center"/>
          </w:tcPr>
          <w:p w14:paraId="66535945"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0.01</w:t>
            </w:r>
          </w:p>
        </w:tc>
        <w:tc>
          <w:tcPr>
            <w:tcW w:w="1724" w:type="dxa"/>
            <w:shd w:val="clear" w:color="auto" w:fill="D9D9D9" w:themeFill="background1" w:themeFillShade="D9"/>
            <w:vAlign w:val="center"/>
          </w:tcPr>
          <w:p w14:paraId="26948EE6"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0.001</w:t>
            </w:r>
          </w:p>
        </w:tc>
        <w:tc>
          <w:tcPr>
            <w:tcW w:w="1430" w:type="dxa"/>
            <w:shd w:val="clear" w:color="auto" w:fill="D9D9D9" w:themeFill="background1" w:themeFillShade="D9"/>
            <w:vAlign w:val="center"/>
          </w:tcPr>
          <w:p w14:paraId="2C3AD76F"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0.02</w:t>
            </w:r>
          </w:p>
        </w:tc>
      </w:tr>
      <w:tr w:rsidR="00F80E6B" w:rsidRPr="00B066C6" w14:paraId="5D97C84D" w14:textId="77777777" w:rsidTr="000426A0">
        <w:tc>
          <w:tcPr>
            <w:tcW w:w="1061" w:type="dxa"/>
            <w:vMerge/>
            <w:shd w:val="clear" w:color="auto" w:fill="D9D9D9" w:themeFill="background1" w:themeFillShade="D9"/>
            <w:vAlign w:val="center"/>
          </w:tcPr>
          <w:p w14:paraId="69AEB176"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6DDAED62"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Z Score</w:t>
            </w:r>
          </w:p>
        </w:tc>
        <w:tc>
          <w:tcPr>
            <w:tcW w:w="1631" w:type="dxa"/>
            <w:shd w:val="clear" w:color="auto" w:fill="D9D9D9" w:themeFill="background1" w:themeFillShade="D9"/>
            <w:vAlign w:val="center"/>
          </w:tcPr>
          <w:p w14:paraId="02D1A99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0.39</w:t>
            </w:r>
          </w:p>
        </w:tc>
        <w:tc>
          <w:tcPr>
            <w:tcW w:w="1484" w:type="dxa"/>
            <w:shd w:val="clear" w:color="auto" w:fill="D9D9D9" w:themeFill="background1" w:themeFillShade="D9"/>
            <w:vAlign w:val="center"/>
          </w:tcPr>
          <w:p w14:paraId="4062AE7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-0.17</w:t>
            </w:r>
          </w:p>
        </w:tc>
        <w:tc>
          <w:tcPr>
            <w:tcW w:w="1724" w:type="dxa"/>
            <w:shd w:val="clear" w:color="auto" w:fill="D9D9D9" w:themeFill="background1" w:themeFillShade="D9"/>
            <w:vAlign w:val="center"/>
          </w:tcPr>
          <w:p w14:paraId="24CAD037"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-0.63</w:t>
            </w:r>
          </w:p>
        </w:tc>
        <w:tc>
          <w:tcPr>
            <w:tcW w:w="1430" w:type="dxa"/>
            <w:shd w:val="clear" w:color="auto" w:fill="D9D9D9" w:themeFill="background1" w:themeFillShade="D9"/>
            <w:vAlign w:val="center"/>
          </w:tcPr>
          <w:p w14:paraId="13A28A13"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0.62</w:t>
            </w:r>
          </w:p>
        </w:tc>
      </w:tr>
      <w:tr w:rsidR="00F80E6B" w:rsidRPr="00B066C6" w14:paraId="02E121C3" w14:textId="77777777" w:rsidTr="000426A0">
        <w:tc>
          <w:tcPr>
            <w:tcW w:w="1061" w:type="dxa"/>
            <w:vMerge/>
            <w:shd w:val="clear" w:color="auto" w:fill="D9D9D9" w:themeFill="background1" w:themeFillShade="D9"/>
            <w:vAlign w:val="center"/>
          </w:tcPr>
          <w:p w14:paraId="22EC242A"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58343234"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P-Value</w:t>
            </w:r>
          </w:p>
        </w:tc>
        <w:tc>
          <w:tcPr>
            <w:tcW w:w="1631" w:type="dxa"/>
            <w:shd w:val="clear" w:color="auto" w:fill="D9D9D9" w:themeFill="background1" w:themeFillShade="D9"/>
            <w:vAlign w:val="center"/>
          </w:tcPr>
          <w:p w14:paraId="6576D1A6"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0.67</w:t>
            </w:r>
          </w:p>
        </w:tc>
        <w:tc>
          <w:tcPr>
            <w:tcW w:w="1484" w:type="dxa"/>
            <w:shd w:val="clear" w:color="auto" w:fill="D9D9D9" w:themeFill="background1" w:themeFillShade="D9"/>
            <w:vAlign w:val="center"/>
          </w:tcPr>
          <w:p w14:paraId="1A55C89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0.86</w:t>
            </w:r>
          </w:p>
        </w:tc>
        <w:tc>
          <w:tcPr>
            <w:tcW w:w="1724" w:type="dxa"/>
            <w:shd w:val="clear" w:color="auto" w:fill="D9D9D9" w:themeFill="background1" w:themeFillShade="D9"/>
            <w:vAlign w:val="center"/>
          </w:tcPr>
          <w:p w14:paraId="67FC0E6F"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0.52</w:t>
            </w:r>
          </w:p>
        </w:tc>
        <w:tc>
          <w:tcPr>
            <w:tcW w:w="1430" w:type="dxa"/>
            <w:shd w:val="clear" w:color="auto" w:fill="D9D9D9" w:themeFill="background1" w:themeFillShade="D9"/>
            <w:vAlign w:val="center"/>
          </w:tcPr>
          <w:p w14:paraId="4BC29529"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0.53</w:t>
            </w:r>
          </w:p>
        </w:tc>
      </w:tr>
      <w:tr w:rsidR="00F80E6B" w:rsidRPr="00B066C6" w14:paraId="66BC4F08" w14:textId="77777777" w:rsidTr="000426A0">
        <w:trPr>
          <w:trHeight w:val="357"/>
        </w:trPr>
        <w:tc>
          <w:tcPr>
            <w:tcW w:w="1061" w:type="dxa"/>
            <w:vMerge w:val="restart"/>
            <w:vAlign w:val="center"/>
          </w:tcPr>
          <w:p w14:paraId="11D8DD7B"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ES</w:t>
            </w:r>
          </w:p>
        </w:tc>
        <w:tc>
          <w:tcPr>
            <w:tcW w:w="1401" w:type="dxa"/>
            <w:vAlign w:val="center"/>
          </w:tcPr>
          <w:p w14:paraId="47B56E89"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Observed</w:t>
            </w:r>
          </w:p>
        </w:tc>
        <w:tc>
          <w:tcPr>
            <w:tcW w:w="1631" w:type="dxa"/>
            <w:vAlign w:val="center"/>
          </w:tcPr>
          <w:p w14:paraId="165E46C1" w14:textId="1829A74D" w:rsidR="00F80E6B" w:rsidRPr="00B066C6" w:rsidRDefault="00B62A96" w:rsidP="000426A0">
            <w:pPr>
              <w:spacing w:before="0"/>
              <w:jc w:val="center"/>
              <w:rPr>
                <w:rFonts w:ascii="Times New Roman" w:hAnsi="Times New Roman" w:cs="Times New Roman"/>
              </w:rPr>
            </w:pPr>
            <w:r>
              <w:rPr>
                <w:rFonts w:ascii="Times New Roman" w:hAnsi="Times New Roman" w:cs="Times New Roman"/>
              </w:rPr>
              <w:t>8.04</w:t>
            </w:r>
          </w:p>
        </w:tc>
        <w:tc>
          <w:tcPr>
            <w:tcW w:w="1484" w:type="dxa"/>
            <w:vAlign w:val="center"/>
          </w:tcPr>
          <w:p w14:paraId="39CD0A71" w14:textId="77777777" w:rsidR="00F80E6B" w:rsidRPr="00B066C6" w:rsidRDefault="00F80E6B" w:rsidP="000426A0">
            <w:pPr>
              <w:spacing w:before="0"/>
              <w:jc w:val="center"/>
              <w:rPr>
                <w:rFonts w:ascii="Times New Roman" w:hAnsi="Times New Roman" w:cs="Times New Roman"/>
              </w:rPr>
            </w:pPr>
            <w:r w:rsidRPr="00B066C6">
              <w:rPr>
                <w:rFonts w:ascii="Times New Roman" w:hAnsi="Times New Roman" w:cs="Times New Roman"/>
              </w:rPr>
              <w:t>0.31</w:t>
            </w:r>
          </w:p>
        </w:tc>
        <w:tc>
          <w:tcPr>
            <w:tcW w:w="1724" w:type="dxa"/>
            <w:vAlign w:val="center"/>
          </w:tcPr>
          <w:p w14:paraId="0A1670F6"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0.07*</w:t>
            </w:r>
          </w:p>
        </w:tc>
        <w:tc>
          <w:tcPr>
            <w:tcW w:w="1430" w:type="dxa"/>
            <w:vAlign w:val="center"/>
          </w:tcPr>
          <w:p w14:paraId="19F85407" w14:textId="77777777" w:rsidR="00F80E6B" w:rsidRPr="00B066C6" w:rsidRDefault="00F80E6B" w:rsidP="000426A0">
            <w:pPr>
              <w:spacing w:before="0"/>
              <w:jc w:val="center"/>
              <w:rPr>
                <w:rFonts w:ascii="Times New Roman" w:hAnsi="Times New Roman" w:cs="Times New Roman"/>
              </w:rPr>
            </w:pPr>
            <w:r w:rsidRPr="00B066C6">
              <w:rPr>
                <w:rFonts w:ascii="Times New Roman" w:hAnsi="Times New Roman" w:cs="Times New Roman"/>
              </w:rPr>
              <w:t>0.51</w:t>
            </w:r>
          </w:p>
        </w:tc>
      </w:tr>
      <w:tr w:rsidR="00F80E6B" w:rsidRPr="00B066C6" w14:paraId="49DF9883" w14:textId="77777777" w:rsidTr="000426A0">
        <w:tc>
          <w:tcPr>
            <w:tcW w:w="1061" w:type="dxa"/>
            <w:vMerge/>
            <w:vAlign w:val="center"/>
          </w:tcPr>
          <w:p w14:paraId="6130D27A" w14:textId="77777777" w:rsidR="00F80E6B" w:rsidRPr="00B066C6" w:rsidRDefault="00F80E6B" w:rsidP="000426A0">
            <w:pPr>
              <w:spacing w:before="0"/>
              <w:jc w:val="center"/>
              <w:rPr>
                <w:rFonts w:ascii="Times New Roman" w:hAnsi="Times New Roman" w:cs="Times New Roman"/>
                <w:b/>
                <w:bCs/>
              </w:rPr>
            </w:pPr>
          </w:p>
        </w:tc>
        <w:tc>
          <w:tcPr>
            <w:tcW w:w="1401" w:type="dxa"/>
            <w:vAlign w:val="center"/>
          </w:tcPr>
          <w:p w14:paraId="290773BB"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Mean</w:t>
            </w:r>
          </w:p>
        </w:tc>
        <w:tc>
          <w:tcPr>
            <w:tcW w:w="1631" w:type="dxa"/>
            <w:vAlign w:val="center"/>
          </w:tcPr>
          <w:p w14:paraId="1DEF8582"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7.18</w:t>
            </w:r>
          </w:p>
        </w:tc>
        <w:tc>
          <w:tcPr>
            <w:tcW w:w="1484" w:type="dxa"/>
            <w:vAlign w:val="center"/>
          </w:tcPr>
          <w:p w14:paraId="08E18507"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0.31</w:t>
            </w:r>
          </w:p>
        </w:tc>
        <w:tc>
          <w:tcPr>
            <w:tcW w:w="1724" w:type="dxa"/>
            <w:vAlign w:val="center"/>
          </w:tcPr>
          <w:p w14:paraId="4EB904E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0.09</w:t>
            </w:r>
          </w:p>
        </w:tc>
        <w:tc>
          <w:tcPr>
            <w:tcW w:w="1430" w:type="dxa"/>
            <w:vAlign w:val="center"/>
          </w:tcPr>
          <w:p w14:paraId="2AFD137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0.51</w:t>
            </w:r>
          </w:p>
        </w:tc>
      </w:tr>
      <w:tr w:rsidR="00F80E6B" w:rsidRPr="00B066C6" w14:paraId="6B763719" w14:textId="77777777" w:rsidTr="000426A0">
        <w:tc>
          <w:tcPr>
            <w:tcW w:w="1061" w:type="dxa"/>
            <w:vMerge/>
            <w:vAlign w:val="center"/>
          </w:tcPr>
          <w:p w14:paraId="21EAB7DA" w14:textId="77777777" w:rsidR="00F80E6B" w:rsidRPr="00B066C6" w:rsidRDefault="00F80E6B" w:rsidP="000426A0">
            <w:pPr>
              <w:spacing w:before="0"/>
              <w:jc w:val="center"/>
              <w:rPr>
                <w:rFonts w:ascii="Times New Roman" w:hAnsi="Times New Roman" w:cs="Times New Roman"/>
                <w:b/>
                <w:bCs/>
              </w:rPr>
            </w:pPr>
          </w:p>
        </w:tc>
        <w:tc>
          <w:tcPr>
            <w:tcW w:w="1401" w:type="dxa"/>
            <w:vAlign w:val="center"/>
          </w:tcPr>
          <w:p w14:paraId="449BED0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SD</w:t>
            </w:r>
          </w:p>
        </w:tc>
        <w:tc>
          <w:tcPr>
            <w:tcW w:w="1631" w:type="dxa"/>
            <w:vAlign w:val="center"/>
          </w:tcPr>
          <w:p w14:paraId="2CE00BCB"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1.37</w:t>
            </w:r>
          </w:p>
        </w:tc>
        <w:tc>
          <w:tcPr>
            <w:tcW w:w="1484" w:type="dxa"/>
            <w:vAlign w:val="center"/>
          </w:tcPr>
          <w:p w14:paraId="2A3128B7"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0.03</w:t>
            </w:r>
          </w:p>
        </w:tc>
        <w:tc>
          <w:tcPr>
            <w:tcW w:w="1724" w:type="dxa"/>
            <w:vAlign w:val="center"/>
          </w:tcPr>
          <w:p w14:paraId="3AF3B046"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0.002</w:t>
            </w:r>
          </w:p>
        </w:tc>
        <w:tc>
          <w:tcPr>
            <w:tcW w:w="1430" w:type="dxa"/>
            <w:vAlign w:val="center"/>
          </w:tcPr>
          <w:p w14:paraId="31BE4552"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0.03</w:t>
            </w:r>
          </w:p>
        </w:tc>
      </w:tr>
      <w:tr w:rsidR="00F80E6B" w:rsidRPr="00B066C6" w14:paraId="33CBBAFC" w14:textId="77777777" w:rsidTr="000426A0">
        <w:tc>
          <w:tcPr>
            <w:tcW w:w="1061" w:type="dxa"/>
            <w:vMerge/>
            <w:vAlign w:val="center"/>
          </w:tcPr>
          <w:p w14:paraId="312CB1E5" w14:textId="77777777" w:rsidR="00F80E6B" w:rsidRPr="00B066C6" w:rsidRDefault="00F80E6B" w:rsidP="000426A0">
            <w:pPr>
              <w:spacing w:before="0"/>
              <w:jc w:val="center"/>
              <w:rPr>
                <w:rFonts w:ascii="Times New Roman" w:hAnsi="Times New Roman" w:cs="Times New Roman"/>
                <w:b/>
                <w:bCs/>
              </w:rPr>
            </w:pPr>
          </w:p>
        </w:tc>
        <w:tc>
          <w:tcPr>
            <w:tcW w:w="1401" w:type="dxa"/>
            <w:vAlign w:val="center"/>
          </w:tcPr>
          <w:p w14:paraId="1AB162C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Z Score</w:t>
            </w:r>
          </w:p>
        </w:tc>
        <w:tc>
          <w:tcPr>
            <w:tcW w:w="1631" w:type="dxa"/>
            <w:vAlign w:val="center"/>
          </w:tcPr>
          <w:p w14:paraId="2226414F"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-0.79</w:t>
            </w:r>
          </w:p>
        </w:tc>
        <w:tc>
          <w:tcPr>
            <w:tcW w:w="1484" w:type="dxa"/>
            <w:vAlign w:val="center"/>
          </w:tcPr>
          <w:p w14:paraId="30A43A35"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0.026</w:t>
            </w:r>
          </w:p>
        </w:tc>
        <w:tc>
          <w:tcPr>
            <w:tcW w:w="1724" w:type="dxa"/>
            <w:vAlign w:val="center"/>
          </w:tcPr>
          <w:p w14:paraId="2759DA2C"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-7.96</w:t>
            </w:r>
          </w:p>
        </w:tc>
        <w:tc>
          <w:tcPr>
            <w:tcW w:w="1430" w:type="dxa"/>
            <w:vAlign w:val="center"/>
          </w:tcPr>
          <w:p w14:paraId="3D13986F"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0.05</w:t>
            </w:r>
          </w:p>
        </w:tc>
      </w:tr>
      <w:tr w:rsidR="00F80E6B" w:rsidRPr="00B066C6" w14:paraId="73D162DA" w14:textId="77777777" w:rsidTr="000426A0">
        <w:tc>
          <w:tcPr>
            <w:tcW w:w="1061" w:type="dxa"/>
            <w:vMerge/>
            <w:vAlign w:val="center"/>
          </w:tcPr>
          <w:p w14:paraId="29D1152A" w14:textId="77777777" w:rsidR="00F80E6B" w:rsidRPr="00B066C6" w:rsidRDefault="00F80E6B" w:rsidP="000426A0">
            <w:pPr>
              <w:spacing w:before="0"/>
              <w:jc w:val="center"/>
              <w:rPr>
                <w:rFonts w:ascii="Times New Roman" w:hAnsi="Times New Roman" w:cs="Times New Roman"/>
                <w:b/>
                <w:bCs/>
              </w:rPr>
            </w:pPr>
          </w:p>
        </w:tc>
        <w:tc>
          <w:tcPr>
            <w:tcW w:w="1401" w:type="dxa"/>
            <w:vAlign w:val="center"/>
          </w:tcPr>
          <w:p w14:paraId="5525A7E6"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P-Value</w:t>
            </w:r>
          </w:p>
        </w:tc>
        <w:tc>
          <w:tcPr>
            <w:tcW w:w="1631" w:type="dxa"/>
            <w:vAlign w:val="center"/>
          </w:tcPr>
          <w:p w14:paraId="20A712E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0.42</w:t>
            </w:r>
          </w:p>
        </w:tc>
        <w:tc>
          <w:tcPr>
            <w:tcW w:w="1484" w:type="dxa"/>
            <w:vAlign w:val="center"/>
          </w:tcPr>
          <w:p w14:paraId="448BD99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0.79</w:t>
            </w:r>
          </w:p>
        </w:tc>
        <w:tc>
          <w:tcPr>
            <w:tcW w:w="1724" w:type="dxa"/>
            <w:vAlign w:val="center"/>
          </w:tcPr>
          <w:p w14:paraId="4426606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&lt; 0.001*</w:t>
            </w:r>
          </w:p>
        </w:tc>
        <w:tc>
          <w:tcPr>
            <w:tcW w:w="1430" w:type="dxa"/>
            <w:vAlign w:val="center"/>
          </w:tcPr>
          <w:p w14:paraId="0F4C0E68"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0.96</w:t>
            </w:r>
          </w:p>
        </w:tc>
      </w:tr>
      <w:tr w:rsidR="00F80E6B" w:rsidRPr="00B066C6" w14:paraId="3C72C834" w14:textId="77777777" w:rsidTr="000426A0">
        <w:trPr>
          <w:trHeight w:val="392"/>
        </w:trPr>
        <w:tc>
          <w:tcPr>
            <w:tcW w:w="1061" w:type="dxa"/>
            <w:vMerge w:val="restart"/>
            <w:shd w:val="clear" w:color="auto" w:fill="D9D9D9" w:themeFill="background1" w:themeFillShade="D9"/>
            <w:vAlign w:val="center"/>
          </w:tcPr>
          <w:p w14:paraId="42CA3271"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SEC</w:t>
            </w:r>
          </w:p>
        </w:tc>
        <w:tc>
          <w:tcPr>
            <w:tcW w:w="1401" w:type="dxa"/>
            <w:shd w:val="clear" w:color="auto" w:fill="D9D9D9" w:themeFill="background1" w:themeFillShade="D9"/>
            <w:vAlign w:val="center"/>
          </w:tcPr>
          <w:p w14:paraId="61FDEC72"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Observed</w:t>
            </w:r>
          </w:p>
        </w:tc>
        <w:tc>
          <w:tcPr>
            <w:tcW w:w="1631" w:type="dxa"/>
            <w:shd w:val="clear" w:color="auto" w:fill="D9D9D9" w:themeFill="background1" w:themeFillShade="D9"/>
            <w:vAlign w:val="center"/>
          </w:tcPr>
          <w:p w14:paraId="6564B19F" w14:textId="2B98116C" w:rsidR="00F80E6B" w:rsidRPr="00B066C6" w:rsidRDefault="00B62A96" w:rsidP="000426A0">
            <w:pPr>
              <w:spacing w:before="0"/>
              <w:jc w:val="center"/>
              <w:rPr>
                <w:rFonts w:ascii="Times New Roman" w:hAnsi="Times New Roman" w:cs="Times New Roman"/>
              </w:rPr>
            </w:pPr>
            <w:r>
              <w:rPr>
                <w:rFonts w:ascii="Times New Roman" w:hAnsi="Times New Roman" w:cs="Times New Roman"/>
              </w:rPr>
              <w:t>6.72</w:t>
            </w:r>
          </w:p>
        </w:tc>
        <w:tc>
          <w:tcPr>
            <w:tcW w:w="1484" w:type="dxa"/>
            <w:shd w:val="clear" w:color="auto" w:fill="D9D9D9" w:themeFill="background1" w:themeFillShade="D9"/>
            <w:vAlign w:val="center"/>
          </w:tcPr>
          <w:p w14:paraId="62FF034A"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0.45*</w:t>
            </w:r>
          </w:p>
        </w:tc>
        <w:tc>
          <w:tcPr>
            <w:tcW w:w="1724" w:type="dxa"/>
            <w:shd w:val="clear" w:color="auto" w:fill="D9D9D9" w:themeFill="background1" w:themeFillShade="D9"/>
            <w:vAlign w:val="center"/>
          </w:tcPr>
          <w:p w14:paraId="6C2E289D"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0.06*</w:t>
            </w:r>
          </w:p>
        </w:tc>
        <w:tc>
          <w:tcPr>
            <w:tcW w:w="1430" w:type="dxa"/>
            <w:shd w:val="clear" w:color="auto" w:fill="D9D9D9" w:themeFill="background1" w:themeFillShade="D9"/>
            <w:vAlign w:val="center"/>
          </w:tcPr>
          <w:p w14:paraId="41D8FD1B"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0.6</w:t>
            </w:r>
            <w:r>
              <w:rPr>
                <w:rFonts w:ascii="Times New Roman" w:hAnsi="Times New Roman" w:cs="Times New Roman"/>
                <w:b/>
                <w:bCs/>
              </w:rPr>
              <w:t>6</w:t>
            </w:r>
            <w:r w:rsidRPr="00B066C6">
              <w:rPr>
                <w:rFonts w:ascii="Times New Roman" w:hAnsi="Times New Roman" w:cs="Times New Roman"/>
                <w:b/>
                <w:bCs/>
              </w:rPr>
              <w:t>*</w:t>
            </w:r>
          </w:p>
        </w:tc>
      </w:tr>
      <w:tr w:rsidR="00F80E6B" w:rsidRPr="00B066C6" w14:paraId="6EDC43B5" w14:textId="77777777" w:rsidTr="000426A0">
        <w:tc>
          <w:tcPr>
            <w:tcW w:w="1061" w:type="dxa"/>
            <w:vMerge/>
            <w:shd w:val="clear" w:color="auto" w:fill="D9D9D9" w:themeFill="background1" w:themeFillShade="D9"/>
            <w:vAlign w:val="center"/>
          </w:tcPr>
          <w:p w14:paraId="1A77531A"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6EBBC89C"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Mean</w:t>
            </w:r>
          </w:p>
        </w:tc>
        <w:tc>
          <w:tcPr>
            <w:tcW w:w="1631" w:type="dxa"/>
            <w:shd w:val="clear" w:color="auto" w:fill="D9D9D9" w:themeFill="background1" w:themeFillShade="D9"/>
            <w:vAlign w:val="center"/>
          </w:tcPr>
          <w:p w14:paraId="350C0368"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0.65</w:t>
            </w:r>
          </w:p>
        </w:tc>
        <w:tc>
          <w:tcPr>
            <w:tcW w:w="1484" w:type="dxa"/>
            <w:shd w:val="clear" w:color="auto" w:fill="D9D9D9" w:themeFill="background1" w:themeFillShade="D9"/>
            <w:vAlign w:val="center"/>
          </w:tcPr>
          <w:p w14:paraId="28EB747D"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0.32</w:t>
            </w:r>
          </w:p>
        </w:tc>
        <w:tc>
          <w:tcPr>
            <w:tcW w:w="1724" w:type="dxa"/>
            <w:shd w:val="clear" w:color="auto" w:fill="D9D9D9" w:themeFill="background1" w:themeFillShade="D9"/>
            <w:vAlign w:val="center"/>
          </w:tcPr>
          <w:p w14:paraId="6BE0B2BA"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0.08</w:t>
            </w:r>
          </w:p>
        </w:tc>
        <w:tc>
          <w:tcPr>
            <w:tcW w:w="1430" w:type="dxa"/>
            <w:shd w:val="clear" w:color="auto" w:fill="D9D9D9" w:themeFill="background1" w:themeFillShade="D9"/>
            <w:vAlign w:val="center"/>
          </w:tcPr>
          <w:p w14:paraId="2635892D"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0.57</w:t>
            </w:r>
          </w:p>
        </w:tc>
      </w:tr>
      <w:tr w:rsidR="00F80E6B" w:rsidRPr="00B066C6" w14:paraId="09F3F87E" w14:textId="77777777" w:rsidTr="000426A0">
        <w:tc>
          <w:tcPr>
            <w:tcW w:w="1061" w:type="dxa"/>
            <w:vMerge/>
            <w:shd w:val="clear" w:color="auto" w:fill="D9D9D9" w:themeFill="background1" w:themeFillShade="D9"/>
            <w:vAlign w:val="center"/>
          </w:tcPr>
          <w:p w14:paraId="131E7815"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12F184BD"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SD</w:t>
            </w:r>
          </w:p>
        </w:tc>
        <w:tc>
          <w:tcPr>
            <w:tcW w:w="1631" w:type="dxa"/>
            <w:shd w:val="clear" w:color="auto" w:fill="D9D9D9" w:themeFill="background1" w:themeFillShade="D9"/>
            <w:vAlign w:val="center"/>
          </w:tcPr>
          <w:p w14:paraId="567E0899"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1.30</w:t>
            </w:r>
          </w:p>
        </w:tc>
        <w:tc>
          <w:tcPr>
            <w:tcW w:w="1484" w:type="dxa"/>
            <w:shd w:val="clear" w:color="auto" w:fill="D9D9D9" w:themeFill="background1" w:themeFillShade="D9"/>
            <w:vAlign w:val="center"/>
          </w:tcPr>
          <w:p w14:paraId="3C1CA96D"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0.04</w:t>
            </w:r>
          </w:p>
        </w:tc>
        <w:tc>
          <w:tcPr>
            <w:tcW w:w="1724" w:type="dxa"/>
            <w:shd w:val="clear" w:color="auto" w:fill="D9D9D9" w:themeFill="background1" w:themeFillShade="D9"/>
            <w:vAlign w:val="center"/>
          </w:tcPr>
          <w:p w14:paraId="329C9E4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0.002</w:t>
            </w:r>
          </w:p>
        </w:tc>
        <w:tc>
          <w:tcPr>
            <w:tcW w:w="1430" w:type="dxa"/>
            <w:shd w:val="clear" w:color="auto" w:fill="D9D9D9" w:themeFill="background1" w:themeFillShade="D9"/>
            <w:vAlign w:val="center"/>
          </w:tcPr>
          <w:p w14:paraId="3D6FED6B"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0.04</w:t>
            </w:r>
          </w:p>
        </w:tc>
      </w:tr>
      <w:tr w:rsidR="00F80E6B" w:rsidRPr="00B066C6" w14:paraId="5AFEF1A4" w14:textId="77777777" w:rsidTr="000426A0">
        <w:tc>
          <w:tcPr>
            <w:tcW w:w="1061" w:type="dxa"/>
            <w:vMerge/>
            <w:shd w:val="clear" w:color="auto" w:fill="D9D9D9" w:themeFill="background1" w:themeFillShade="D9"/>
            <w:vAlign w:val="center"/>
          </w:tcPr>
          <w:p w14:paraId="6F90AC59"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1C30C37A"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Z Score</w:t>
            </w:r>
          </w:p>
        </w:tc>
        <w:tc>
          <w:tcPr>
            <w:tcW w:w="1631" w:type="dxa"/>
            <w:shd w:val="clear" w:color="auto" w:fill="D9D9D9" w:themeFill="background1" w:themeFillShade="D9"/>
            <w:vAlign w:val="center"/>
          </w:tcPr>
          <w:p w14:paraId="15C7DD7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0.15</w:t>
            </w:r>
          </w:p>
        </w:tc>
        <w:tc>
          <w:tcPr>
            <w:tcW w:w="1484" w:type="dxa"/>
            <w:shd w:val="clear" w:color="auto" w:fill="D9D9D9" w:themeFill="background1" w:themeFillShade="D9"/>
            <w:vAlign w:val="center"/>
          </w:tcPr>
          <w:p w14:paraId="2F86DB6B"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3.07</w:t>
            </w:r>
          </w:p>
        </w:tc>
        <w:tc>
          <w:tcPr>
            <w:tcW w:w="1724" w:type="dxa"/>
            <w:shd w:val="clear" w:color="auto" w:fill="D9D9D9" w:themeFill="background1" w:themeFillShade="D9"/>
            <w:vAlign w:val="center"/>
          </w:tcPr>
          <w:p w14:paraId="639C6785"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-6.40</w:t>
            </w:r>
          </w:p>
        </w:tc>
        <w:tc>
          <w:tcPr>
            <w:tcW w:w="1430" w:type="dxa"/>
            <w:shd w:val="clear" w:color="auto" w:fill="D9D9D9" w:themeFill="background1" w:themeFillShade="D9"/>
            <w:vAlign w:val="center"/>
          </w:tcPr>
          <w:p w14:paraId="023C3662"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2.51</w:t>
            </w:r>
          </w:p>
        </w:tc>
      </w:tr>
      <w:tr w:rsidR="00F80E6B" w:rsidRPr="00B066C6" w14:paraId="35D1F1FB" w14:textId="77777777" w:rsidTr="000426A0">
        <w:tc>
          <w:tcPr>
            <w:tcW w:w="1061" w:type="dxa"/>
            <w:vMerge/>
            <w:shd w:val="clear" w:color="auto" w:fill="D9D9D9" w:themeFill="background1" w:themeFillShade="D9"/>
            <w:vAlign w:val="center"/>
          </w:tcPr>
          <w:p w14:paraId="01890896" w14:textId="77777777" w:rsidR="00F80E6B" w:rsidRPr="00B066C6" w:rsidRDefault="00F80E6B" w:rsidP="000426A0">
            <w:pPr>
              <w:spacing w:before="0"/>
              <w:jc w:val="center"/>
              <w:rPr>
                <w:rFonts w:ascii="Times New Roman" w:hAnsi="Times New Roman" w:cs="Times New Roman"/>
                <w:b/>
                <w:bCs/>
              </w:rPr>
            </w:pPr>
          </w:p>
        </w:tc>
        <w:tc>
          <w:tcPr>
            <w:tcW w:w="1401" w:type="dxa"/>
            <w:shd w:val="clear" w:color="auto" w:fill="D9D9D9" w:themeFill="background1" w:themeFillShade="D9"/>
            <w:vAlign w:val="center"/>
          </w:tcPr>
          <w:p w14:paraId="011B0B1C"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P-Value</w:t>
            </w:r>
          </w:p>
        </w:tc>
        <w:tc>
          <w:tcPr>
            <w:tcW w:w="1631" w:type="dxa"/>
            <w:shd w:val="clear" w:color="auto" w:fill="D9D9D9" w:themeFill="background1" w:themeFillShade="D9"/>
            <w:vAlign w:val="center"/>
          </w:tcPr>
          <w:p w14:paraId="0585CF86"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0.89</w:t>
            </w:r>
          </w:p>
        </w:tc>
        <w:tc>
          <w:tcPr>
            <w:tcW w:w="1484" w:type="dxa"/>
            <w:shd w:val="clear" w:color="auto" w:fill="D9D9D9" w:themeFill="background1" w:themeFillShade="D9"/>
            <w:vAlign w:val="center"/>
          </w:tcPr>
          <w:p w14:paraId="7976F5F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0.002*</w:t>
            </w:r>
          </w:p>
        </w:tc>
        <w:tc>
          <w:tcPr>
            <w:tcW w:w="1724" w:type="dxa"/>
            <w:shd w:val="clear" w:color="auto" w:fill="D9D9D9" w:themeFill="background1" w:themeFillShade="D9"/>
            <w:vAlign w:val="center"/>
          </w:tcPr>
          <w:p w14:paraId="63C62132"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&lt; 0.001*</w:t>
            </w:r>
          </w:p>
        </w:tc>
        <w:tc>
          <w:tcPr>
            <w:tcW w:w="1430" w:type="dxa"/>
            <w:shd w:val="clear" w:color="auto" w:fill="D9D9D9" w:themeFill="background1" w:themeFillShade="D9"/>
            <w:vAlign w:val="center"/>
          </w:tcPr>
          <w:p w14:paraId="42F46BA2"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0.01*</w:t>
            </w:r>
          </w:p>
        </w:tc>
      </w:tr>
      <w:tr w:rsidR="00F80E6B" w:rsidRPr="00B066C6" w14:paraId="1B5D2900" w14:textId="77777777" w:rsidTr="000426A0">
        <w:trPr>
          <w:trHeight w:val="377"/>
        </w:trPr>
        <w:tc>
          <w:tcPr>
            <w:tcW w:w="1061" w:type="dxa"/>
            <w:vMerge w:val="restart"/>
            <w:vAlign w:val="center"/>
          </w:tcPr>
          <w:p w14:paraId="523CF2A3"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OG</w:t>
            </w:r>
          </w:p>
        </w:tc>
        <w:tc>
          <w:tcPr>
            <w:tcW w:w="1401" w:type="dxa"/>
            <w:vAlign w:val="center"/>
          </w:tcPr>
          <w:p w14:paraId="073549DC"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Observed</w:t>
            </w:r>
          </w:p>
        </w:tc>
        <w:tc>
          <w:tcPr>
            <w:tcW w:w="1631" w:type="dxa"/>
            <w:vAlign w:val="center"/>
          </w:tcPr>
          <w:p w14:paraId="225F2CF4"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20.67*</w:t>
            </w:r>
          </w:p>
        </w:tc>
        <w:tc>
          <w:tcPr>
            <w:tcW w:w="1484" w:type="dxa"/>
            <w:vAlign w:val="center"/>
          </w:tcPr>
          <w:p w14:paraId="384C50AD"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0.64*</w:t>
            </w:r>
          </w:p>
        </w:tc>
        <w:tc>
          <w:tcPr>
            <w:tcW w:w="1724" w:type="dxa"/>
            <w:vAlign w:val="center"/>
          </w:tcPr>
          <w:p w14:paraId="62BFD3FD" w14:textId="77777777" w:rsidR="00F80E6B" w:rsidRPr="00B066C6" w:rsidRDefault="00F80E6B" w:rsidP="000426A0">
            <w:pPr>
              <w:spacing w:before="0"/>
              <w:jc w:val="center"/>
              <w:rPr>
                <w:rFonts w:ascii="Times New Roman" w:hAnsi="Times New Roman" w:cs="Times New Roman"/>
                <w:b/>
                <w:bCs/>
              </w:rPr>
            </w:pPr>
            <w:r w:rsidRPr="00B066C6">
              <w:rPr>
                <w:rFonts w:ascii="Times New Roman" w:hAnsi="Times New Roman" w:cs="Times New Roman"/>
                <w:b/>
                <w:bCs/>
              </w:rPr>
              <w:t>0.08*</w:t>
            </w:r>
          </w:p>
        </w:tc>
        <w:tc>
          <w:tcPr>
            <w:tcW w:w="1430" w:type="dxa"/>
            <w:vAlign w:val="center"/>
          </w:tcPr>
          <w:p w14:paraId="74347443" w14:textId="77777777" w:rsidR="00F80E6B" w:rsidRPr="00B066C6" w:rsidRDefault="00F80E6B" w:rsidP="000426A0">
            <w:pPr>
              <w:spacing w:before="0"/>
              <w:jc w:val="center"/>
              <w:rPr>
                <w:rFonts w:ascii="Times New Roman" w:hAnsi="Times New Roman" w:cs="Times New Roman"/>
              </w:rPr>
            </w:pPr>
            <w:r w:rsidRPr="00B066C6">
              <w:rPr>
                <w:rFonts w:ascii="Times New Roman" w:hAnsi="Times New Roman" w:cs="Times New Roman"/>
              </w:rPr>
              <w:t>0.76</w:t>
            </w:r>
          </w:p>
        </w:tc>
      </w:tr>
      <w:tr w:rsidR="00F80E6B" w:rsidRPr="00B066C6" w14:paraId="2AFEA7A8" w14:textId="77777777" w:rsidTr="000426A0">
        <w:tc>
          <w:tcPr>
            <w:tcW w:w="1061" w:type="dxa"/>
            <w:vMerge/>
            <w:vAlign w:val="center"/>
          </w:tcPr>
          <w:p w14:paraId="5FFAA5D0" w14:textId="77777777" w:rsidR="00F80E6B" w:rsidRPr="00B066C6" w:rsidRDefault="00F80E6B" w:rsidP="000426A0">
            <w:pPr>
              <w:spacing w:before="0"/>
              <w:jc w:val="center"/>
              <w:rPr>
                <w:rFonts w:ascii="Times New Roman" w:hAnsi="Times New Roman" w:cs="Times New Roman"/>
              </w:rPr>
            </w:pPr>
          </w:p>
        </w:tc>
        <w:tc>
          <w:tcPr>
            <w:tcW w:w="1401" w:type="dxa"/>
            <w:vAlign w:val="center"/>
          </w:tcPr>
          <w:p w14:paraId="2DB7FAF9"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Mean</w:t>
            </w:r>
          </w:p>
        </w:tc>
        <w:tc>
          <w:tcPr>
            <w:tcW w:w="1631" w:type="dxa"/>
            <w:vAlign w:val="center"/>
          </w:tcPr>
          <w:p w14:paraId="0623F734"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13.10</w:t>
            </w:r>
          </w:p>
        </w:tc>
        <w:tc>
          <w:tcPr>
            <w:tcW w:w="1484" w:type="dxa"/>
            <w:vAlign w:val="center"/>
          </w:tcPr>
          <w:p w14:paraId="2CCF4A14"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0.52</w:t>
            </w:r>
          </w:p>
        </w:tc>
        <w:tc>
          <w:tcPr>
            <w:tcW w:w="1724" w:type="dxa"/>
            <w:vAlign w:val="center"/>
          </w:tcPr>
          <w:p w14:paraId="27599FFC"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0.12</w:t>
            </w:r>
          </w:p>
        </w:tc>
        <w:tc>
          <w:tcPr>
            <w:tcW w:w="1430" w:type="dxa"/>
            <w:vAlign w:val="center"/>
          </w:tcPr>
          <w:p w14:paraId="345B3B4C"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0.72</w:t>
            </w:r>
          </w:p>
        </w:tc>
      </w:tr>
      <w:tr w:rsidR="00F80E6B" w:rsidRPr="00B066C6" w14:paraId="58A094C3" w14:textId="77777777" w:rsidTr="000426A0">
        <w:tc>
          <w:tcPr>
            <w:tcW w:w="1061" w:type="dxa"/>
            <w:vMerge/>
            <w:vAlign w:val="center"/>
          </w:tcPr>
          <w:p w14:paraId="067291BB" w14:textId="77777777" w:rsidR="00F80E6B" w:rsidRPr="00B066C6" w:rsidRDefault="00F80E6B" w:rsidP="000426A0">
            <w:pPr>
              <w:spacing w:before="0"/>
              <w:jc w:val="center"/>
              <w:rPr>
                <w:rFonts w:ascii="Times New Roman" w:hAnsi="Times New Roman" w:cs="Times New Roman"/>
              </w:rPr>
            </w:pPr>
          </w:p>
        </w:tc>
        <w:tc>
          <w:tcPr>
            <w:tcW w:w="1401" w:type="dxa"/>
            <w:vAlign w:val="center"/>
          </w:tcPr>
          <w:p w14:paraId="744D6129"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Null SD</w:t>
            </w:r>
          </w:p>
        </w:tc>
        <w:tc>
          <w:tcPr>
            <w:tcW w:w="1631" w:type="dxa"/>
            <w:vAlign w:val="center"/>
          </w:tcPr>
          <w:p w14:paraId="579564DE"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2.85</w:t>
            </w:r>
          </w:p>
        </w:tc>
        <w:tc>
          <w:tcPr>
            <w:tcW w:w="1484" w:type="dxa"/>
            <w:vAlign w:val="center"/>
          </w:tcPr>
          <w:p w14:paraId="194B85F9"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0.03</w:t>
            </w:r>
          </w:p>
        </w:tc>
        <w:tc>
          <w:tcPr>
            <w:tcW w:w="1724" w:type="dxa"/>
            <w:vAlign w:val="center"/>
          </w:tcPr>
          <w:p w14:paraId="015F5576"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0.003</w:t>
            </w:r>
          </w:p>
        </w:tc>
        <w:tc>
          <w:tcPr>
            <w:tcW w:w="1430" w:type="dxa"/>
            <w:vAlign w:val="center"/>
          </w:tcPr>
          <w:p w14:paraId="415E4597"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0.04</w:t>
            </w:r>
          </w:p>
        </w:tc>
      </w:tr>
      <w:tr w:rsidR="00F80E6B" w:rsidRPr="00B066C6" w14:paraId="7D4D8E39" w14:textId="77777777" w:rsidTr="000426A0">
        <w:tc>
          <w:tcPr>
            <w:tcW w:w="1061" w:type="dxa"/>
            <w:vMerge/>
            <w:vAlign w:val="center"/>
          </w:tcPr>
          <w:p w14:paraId="2377D927" w14:textId="77777777" w:rsidR="00F80E6B" w:rsidRPr="00B066C6" w:rsidRDefault="00F80E6B" w:rsidP="000426A0">
            <w:pPr>
              <w:spacing w:before="0"/>
              <w:jc w:val="center"/>
              <w:rPr>
                <w:rFonts w:ascii="Times New Roman" w:hAnsi="Times New Roman" w:cs="Times New Roman"/>
              </w:rPr>
            </w:pPr>
          </w:p>
        </w:tc>
        <w:tc>
          <w:tcPr>
            <w:tcW w:w="1401" w:type="dxa"/>
            <w:vAlign w:val="center"/>
          </w:tcPr>
          <w:p w14:paraId="47D27E9D"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Z Score</w:t>
            </w:r>
          </w:p>
        </w:tc>
        <w:tc>
          <w:tcPr>
            <w:tcW w:w="1631" w:type="dxa"/>
            <w:vAlign w:val="center"/>
          </w:tcPr>
          <w:p w14:paraId="715037E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2.66</w:t>
            </w:r>
          </w:p>
        </w:tc>
        <w:tc>
          <w:tcPr>
            <w:tcW w:w="1484" w:type="dxa"/>
            <w:vAlign w:val="center"/>
          </w:tcPr>
          <w:p w14:paraId="2D7CB3B1"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3.51</w:t>
            </w:r>
          </w:p>
        </w:tc>
        <w:tc>
          <w:tcPr>
            <w:tcW w:w="1724" w:type="dxa"/>
            <w:vAlign w:val="center"/>
          </w:tcPr>
          <w:p w14:paraId="24065802"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-10.27</w:t>
            </w:r>
          </w:p>
        </w:tc>
        <w:tc>
          <w:tcPr>
            <w:tcW w:w="1430" w:type="dxa"/>
            <w:vAlign w:val="center"/>
          </w:tcPr>
          <w:p w14:paraId="226AFBE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1.00</w:t>
            </w:r>
          </w:p>
        </w:tc>
      </w:tr>
      <w:tr w:rsidR="00F80E6B" w:rsidRPr="00B066C6" w14:paraId="1498B939" w14:textId="77777777" w:rsidTr="000426A0">
        <w:tc>
          <w:tcPr>
            <w:tcW w:w="1061" w:type="dxa"/>
            <w:vMerge/>
            <w:vAlign w:val="center"/>
          </w:tcPr>
          <w:p w14:paraId="23561659" w14:textId="77777777" w:rsidR="00F80E6B" w:rsidRPr="00B066C6" w:rsidRDefault="00F80E6B" w:rsidP="000426A0">
            <w:pPr>
              <w:spacing w:before="0"/>
              <w:jc w:val="center"/>
              <w:rPr>
                <w:rFonts w:ascii="Times New Roman" w:hAnsi="Times New Roman" w:cs="Times New Roman"/>
              </w:rPr>
            </w:pPr>
          </w:p>
        </w:tc>
        <w:tc>
          <w:tcPr>
            <w:tcW w:w="1401" w:type="dxa"/>
            <w:vAlign w:val="center"/>
          </w:tcPr>
          <w:p w14:paraId="38A40E8D"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P-Value</w:t>
            </w:r>
          </w:p>
        </w:tc>
        <w:tc>
          <w:tcPr>
            <w:tcW w:w="1631" w:type="dxa"/>
            <w:vAlign w:val="center"/>
          </w:tcPr>
          <w:p w14:paraId="08CF163C"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0.008*</w:t>
            </w:r>
          </w:p>
        </w:tc>
        <w:tc>
          <w:tcPr>
            <w:tcW w:w="1484" w:type="dxa"/>
            <w:vAlign w:val="center"/>
          </w:tcPr>
          <w:p w14:paraId="0B94BB90"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&lt;0.001*</w:t>
            </w:r>
          </w:p>
        </w:tc>
        <w:tc>
          <w:tcPr>
            <w:tcW w:w="1724" w:type="dxa"/>
            <w:vAlign w:val="center"/>
          </w:tcPr>
          <w:p w14:paraId="63EC4CE4"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&lt;0.001*</w:t>
            </w:r>
          </w:p>
        </w:tc>
        <w:tc>
          <w:tcPr>
            <w:tcW w:w="1430" w:type="dxa"/>
            <w:vAlign w:val="center"/>
          </w:tcPr>
          <w:p w14:paraId="7B4EAEE6" w14:textId="77777777" w:rsidR="00F80E6B" w:rsidRPr="00B066C6" w:rsidRDefault="00F80E6B" w:rsidP="000426A0">
            <w:pPr>
              <w:spacing w:before="0"/>
              <w:jc w:val="right"/>
              <w:rPr>
                <w:rFonts w:ascii="Times New Roman" w:hAnsi="Times New Roman" w:cs="Times New Roman"/>
              </w:rPr>
            </w:pPr>
            <w:r w:rsidRPr="00B066C6">
              <w:rPr>
                <w:rFonts w:ascii="Times New Roman" w:hAnsi="Times New Roman" w:cs="Times New Roman"/>
              </w:rPr>
              <w:t>0.31</w:t>
            </w:r>
          </w:p>
        </w:tc>
      </w:tr>
    </w:tbl>
    <w:p w14:paraId="5EDE9672" w14:textId="77777777" w:rsidR="003022FF" w:rsidRDefault="003022FF" w:rsidP="003022FF">
      <w:pPr>
        <w:rPr>
          <w:rFonts w:ascii="Times New Roman" w:hAnsi="Times New Roman" w:cs="Times New Roman"/>
          <w:b/>
          <w:bCs/>
        </w:rPr>
      </w:pPr>
    </w:p>
    <w:p w14:paraId="73C96EC7" w14:textId="77777777" w:rsidR="00D77075" w:rsidRDefault="00D77075">
      <w:pPr>
        <w:rPr>
          <w:rFonts w:ascii="Times New Roman" w:hAnsi="Times New Roman" w:cs="Times New Roman"/>
          <w:color w:val="000000" w:themeColor="text1"/>
        </w:rPr>
      </w:pPr>
      <w:r>
        <w:rPr>
          <w:rFonts w:ascii="Times New Roman" w:hAnsi="Times New Roman" w:cs="Times New Roman"/>
          <w:color w:val="000000" w:themeColor="text1"/>
        </w:rPr>
        <w:br w:type="page"/>
      </w:r>
    </w:p>
    <w:p w14:paraId="24D42A1B" w14:textId="47E3EC81" w:rsidR="00E035F1" w:rsidRPr="003D724A" w:rsidRDefault="00E035F1" w:rsidP="00D77075">
      <w:pPr>
        <w:pStyle w:val="Heading2"/>
        <w:spacing w:before="0" w:after="0"/>
        <w:rPr>
          <w:rFonts w:ascii="Times New Roman" w:hAnsi="Times New Roman" w:cs="Times New Roman"/>
          <w:b/>
          <w:bCs/>
          <w:color w:val="000000" w:themeColor="text1"/>
          <w:sz w:val="24"/>
          <w:szCs w:val="24"/>
        </w:rPr>
      </w:pPr>
      <w:bookmarkStart w:id="121" w:name="_Toc195189642"/>
      <w:r w:rsidRPr="003D724A">
        <w:rPr>
          <w:rFonts w:ascii="Times New Roman" w:hAnsi="Times New Roman" w:cs="Times New Roman"/>
          <w:b/>
          <w:bCs/>
          <w:color w:val="000000" w:themeColor="text1"/>
          <w:sz w:val="24"/>
          <w:szCs w:val="24"/>
        </w:rPr>
        <w:lastRenderedPageBreak/>
        <w:t>Discussion</w:t>
      </w:r>
      <w:bookmarkEnd w:id="121"/>
      <w:r w:rsidRPr="003D724A">
        <w:rPr>
          <w:rFonts w:ascii="Times New Roman" w:hAnsi="Times New Roman" w:cs="Times New Roman"/>
          <w:b/>
          <w:bCs/>
          <w:color w:val="000000" w:themeColor="text1"/>
          <w:sz w:val="24"/>
          <w:szCs w:val="24"/>
        </w:rPr>
        <w:t xml:space="preserve"> </w:t>
      </w:r>
    </w:p>
    <w:p w14:paraId="14E12F68" w14:textId="4675A2F1" w:rsidR="008E47B7" w:rsidRPr="008E47B7" w:rsidRDefault="00CC02A2" w:rsidP="0037328F">
      <w:pPr>
        <w:spacing w:before="0" w:after="0"/>
        <w:ind w:firstLine="720"/>
        <w:rPr>
          <w:rFonts w:ascii="Times New Roman" w:hAnsi="Times New Roman" w:cs="Times New Roman"/>
          <w:color w:val="000000" w:themeColor="text1"/>
        </w:rPr>
      </w:pPr>
      <w:r w:rsidRPr="00CC02A2">
        <w:rPr>
          <w:rFonts w:ascii="Times New Roman" w:hAnsi="Times New Roman" w:cs="Times New Roman"/>
          <w:color w:val="000000" w:themeColor="text1"/>
        </w:rPr>
        <w:t>As global efforts are underway to prioritize tropical forest restoration (</w:t>
      </w:r>
      <w:r w:rsidRPr="00CC02A2">
        <w:rPr>
          <w:rFonts w:ascii="Times New Roman" w:hAnsi="Times New Roman" w:cs="Times New Roman"/>
          <w:color w:val="000000" w:themeColor="text1"/>
        </w:rPr>
        <w:fldChar w:fldCharType="begin"/>
      </w:r>
      <w:r w:rsidRPr="00CC02A2">
        <w:rPr>
          <w:rFonts w:ascii="Times New Roman" w:hAnsi="Times New Roman" w:cs="Times New Roman"/>
          <w:color w:val="000000" w:themeColor="text1"/>
        </w:rPr>
        <w:instrText xml:space="preserve"> ADDIN ZOTERO_ITEM CSL_CITATION {"citationID":"5RA8Xhed","properties":{"formattedCitation":"(\\uc0\\u8220{}The United Nations. About the UN Decade [Internet,\\uc0\\u8221{} 2019)","plainCitation":"(“The United Nations. About the UN Decade [Internet,” 2019)","dontUpdate":true,"noteIndex":0},"citationItems":[{"id":1549,"uris":["http://zotero.org/users/12345038/items/UJD465BG"],"itemData":{"id":1549,"type":"article-journal","container-title":"UN Decade on Restoration","language":"en","title":"The United Nations. About the UN Decade [Internet","URL":"https://www.decadeonrestoration.org/about-un-decade.","issued":{"date-parts":[["2019"]]}}}],"schema":"https://github.com/citation-style-language/schema/raw/master/csl-citation.json"} </w:instrText>
      </w:r>
      <w:r w:rsidRPr="00CC02A2">
        <w:rPr>
          <w:rFonts w:ascii="Times New Roman" w:hAnsi="Times New Roman" w:cs="Times New Roman"/>
          <w:color w:val="000000" w:themeColor="text1"/>
        </w:rPr>
        <w:fldChar w:fldCharType="separate"/>
      </w:r>
      <w:r w:rsidRPr="00CC02A2">
        <w:rPr>
          <w:rFonts w:ascii="Times New Roman" w:hAnsi="Times New Roman" w:cs="Times New Roman"/>
          <w:color w:val="000000" w:themeColor="text1"/>
        </w:rPr>
        <w:t>UN 2021)</w:t>
      </w:r>
      <w:r w:rsidRPr="00CC02A2">
        <w:rPr>
          <w:rFonts w:ascii="Times New Roman" w:hAnsi="Times New Roman" w:cs="Times New Roman"/>
          <w:color w:val="000000" w:themeColor="text1"/>
        </w:rPr>
        <w:fldChar w:fldCharType="end"/>
      </w:r>
      <w:r w:rsidRPr="00CC02A2">
        <w:rPr>
          <w:rFonts w:ascii="Times New Roman" w:hAnsi="Times New Roman" w:cs="Times New Roman"/>
          <w:color w:val="000000" w:themeColor="text1"/>
        </w:rPr>
        <w:t xml:space="preserve">, understanding how </w:t>
      </w:r>
      <w:r w:rsidR="008E47B7">
        <w:rPr>
          <w:rFonts w:ascii="Times New Roman" w:hAnsi="Times New Roman" w:cs="Times New Roman"/>
          <w:color w:val="000000" w:themeColor="text1"/>
        </w:rPr>
        <w:t>seed dispersal</w:t>
      </w:r>
      <w:r w:rsidRPr="00CC02A2">
        <w:rPr>
          <w:rFonts w:ascii="Times New Roman" w:hAnsi="Times New Roman" w:cs="Times New Roman"/>
          <w:color w:val="000000" w:themeColor="text1"/>
        </w:rPr>
        <w:t xml:space="preserve"> interactions reassemble may elucidate the role of mutualistic interactions in </w:t>
      </w:r>
      <w:r w:rsidR="008E47B7">
        <w:rPr>
          <w:rFonts w:ascii="Times New Roman" w:hAnsi="Times New Roman" w:cs="Times New Roman"/>
          <w:color w:val="000000" w:themeColor="text1"/>
        </w:rPr>
        <w:t xml:space="preserve">facilitating </w:t>
      </w:r>
      <w:r w:rsidRPr="00CC02A2">
        <w:rPr>
          <w:rFonts w:ascii="Times New Roman" w:hAnsi="Times New Roman" w:cs="Times New Roman"/>
          <w:color w:val="000000" w:themeColor="text1"/>
        </w:rPr>
        <w:t xml:space="preserve">forest </w:t>
      </w:r>
      <w:r w:rsidR="000D7435">
        <w:rPr>
          <w:rFonts w:ascii="Times New Roman" w:hAnsi="Times New Roman" w:cs="Times New Roman"/>
          <w:color w:val="000000" w:themeColor="text1"/>
        </w:rPr>
        <w:t>regeneration</w:t>
      </w:r>
      <w:r w:rsidRPr="00CC02A2">
        <w:rPr>
          <w:rFonts w:ascii="Times New Roman" w:hAnsi="Times New Roman" w:cs="Times New Roman"/>
          <w:color w:val="000000" w:themeColor="text1"/>
        </w:rPr>
        <w:t xml:space="preserve">. </w:t>
      </w:r>
      <w:r w:rsidR="0037328F" w:rsidRPr="0037328F">
        <w:rPr>
          <w:rFonts w:ascii="Times New Roman" w:hAnsi="Times New Roman" w:cs="Times New Roman"/>
        </w:rPr>
        <w:t>Ecosystem resilience is often defined as a system’s ability to recover its structure and function following disturbance</w:t>
      </w:r>
      <w:r w:rsidR="008E47B7" w:rsidRPr="0037328F">
        <w:rPr>
          <w:rFonts w:ascii="Times New Roman" w:hAnsi="Times New Roman" w:cs="Times New Roman"/>
        </w:rPr>
        <w:t>.</w:t>
      </w:r>
      <w:r w:rsidR="0037328F" w:rsidRPr="0037328F">
        <w:rPr>
          <w:rFonts w:ascii="Times New Roman" w:hAnsi="Times New Roman" w:cs="Times New Roman"/>
        </w:rPr>
        <w:t xml:space="preserve"> </w:t>
      </w:r>
      <w:r w:rsidRPr="00CC02A2">
        <w:rPr>
          <w:rFonts w:ascii="Times New Roman" w:hAnsi="Times New Roman" w:cs="Times New Roman"/>
          <w:color w:val="000000" w:themeColor="text1"/>
        </w:rPr>
        <w:t>In our system, early stages of forest regeneration had</w:t>
      </w:r>
      <w:r w:rsidR="008E47B7">
        <w:rPr>
          <w:rFonts w:ascii="Times New Roman" w:hAnsi="Times New Roman" w:cs="Times New Roman"/>
          <w:color w:val="000000" w:themeColor="text1"/>
        </w:rPr>
        <w:t xml:space="preserve"> both</w:t>
      </w:r>
      <w:r w:rsidRPr="00CC02A2">
        <w:rPr>
          <w:rFonts w:ascii="Times New Roman" w:hAnsi="Times New Roman" w:cs="Times New Roman"/>
          <w:color w:val="000000" w:themeColor="text1"/>
        </w:rPr>
        <w:t xml:space="preserve"> </w:t>
      </w:r>
      <w:r w:rsidR="000D7435">
        <w:rPr>
          <w:rFonts w:ascii="Times New Roman" w:hAnsi="Times New Roman" w:cs="Times New Roman"/>
          <w:color w:val="000000" w:themeColor="text1"/>
        </w:rPr>
        <w:t xml:space="preserve">high </w:t>
      </w:r>
      <w:r w:rsidR="004D189E">
        <w:rPr>
          <w:rFonts w:ascii="Times New Roman" w:hAnsi="Times New Roman" w:cs="Times New Roman"/>
          <w:color w:val="000000" w:themeColor="text1"/>
        </w:rPr>
        <w:t>frequency</w:t>
      </w:r>
      <w:r w:rsidR="000D7435">
        <w:rPr>
          <w:rFonts w:ascii="Times New Roman" w:hAnsi="Times New Roman" w:cs="Times New Roman"/>
          <w:color w:val="000000" w:themeColor="text1"/>
        </w:rPr>
        <w:t xml:space="preserve"> and diversity of seed dispersal interactions, which decreased </w:t>
      </w:r>
      <w:r w:rsidRPr="00CC02A2">
        <w:rPr>
          <w:rFonts w:ascii="Times New Roman" w:hAnsi="Times New Roman" w:cs="Times New Roman"/>
          <w:color w:val="000000" w:themeColor="text1"/>
        </w:rPr>
        <w:t>as regeneration progressed. As forests transitioned from early successional habitats into mid-successional stages (secondary forests), seed dispersal interactions underwent major restructuring</w:t>
      </w:r>
      <w:r w:rsidR="008E47B7">
        <w:rPr>
          <w:rFonts w:ascii="Times New Roman" w:hAnsi="Times New Roman" w:cs="Times New Roman"/>
          <w:color w:val="000000" w:themeColor="text1"/>
        </w:rPr>
        <w:t xml:space="preserve">, defined </w:t>
      </w:r>
      <w:r w:rsidR="0037328F">
        <w:rPr>
          <w:rFonts w:ascii="Times New Roman" w:hAnsi="Times New Roman" w:cs="Times New Roman"/>
          <w:color w:val="000000" w:themeColor="text1"/>
        </w:rPr>
        <w:t xml:space="preserve">here as the </w:t>
      </w:r>
      <w:r w:rsidRPr="00CC02A2">
        <w:rPr>
          <w:rFonts w:ascii="Times New Roman" w:hAnsi="Times New Roman" w:cs="Times New Roman"/>
          <w:color w:val="000000" w:themeColor="text1"/>
        </w:rPr>
        <w:t>loss</w:t>
      </w:r>
      <w:r w:rsidR="0037328F">
        <w:rPr>
          <w:rFonts w:ascii="Times New Roman" w:hAnsi="Times New Roman" w:cs="Times New Roman"/>
          <w:color w:val="000000" w:themeColor="text1"/>
        </w:rPr>
        <w:t>, gain, and replacement of interactions that alter overall network organization</w:t>
      </w:r>
      <w:r w:rsidRPr="00CC02A2">
        <w:rPr>
          <w:rFonts w:ascii="Times New Roman" w:hAnsi="Times New Roman" w:cs="Times New Roman"/>
          <w:color w:val="000000" w:themeColor="text1"/>
        </w:rPr>
        <w:t xml:space="preserve">. From this rewiring of interactions, seed dispersal networks shifted from </w:t>
      </w:r>
      <w:r w:rsidRPr="00CC02A2">
        <w:rPr>
          <w:rFonts w:ascii="Times New Roman" w:eastAsiaTheme="majorEastAsia" w:hAnsi="Times New Roman" w:cs="Times New Roman"/>
          <w:color w:val="000000" w:themeColor="text1"/>
        </w:rPr>
        <w:t>loosely connected, generalist dominated systems in early successional habitats to more</w:t>
      </w:r>
      <w:r w:rsidR="009B69DC">
        <w:rPr>
          <w:rFonts w:ascii="Times New Roman" w:eastAsiaTheme="majorEastAsia" w:hAnsi="Times New Roman" w:cs="Times New Roman"/>
          <w:color w:val="000000" w:themeColor="text1"/>
        </w:rPr>
        <w:t xml:space="preserve"> specialized and</w:t>
      </w:r>
      <w:r w:rsidRPr="00CC02A2">
        <w:rPr>
          <w:rFonts w:ascii="Times New Roman" w:eastAsiaTheme="majorEastAsia" w:hAnsi="Times New Roman" w:cs="Times New Roman"/>
          <w:color w:val="000000" w:themeColor="text1"/>
        </w:rPr>
        <w:t xml:space="preserve"> structured networks in mature forests. </w:t>
      </w:r>
      <w:r w:rsidR="009B69DC" w:rsidRPr="008E47B7">
        <w:rPr>
          <w:rFonts w:ascii="Times New Roman" w:hAnsi="Times New Roman" w:cs="Times New Roman"/>
          <w:color w:val="000000" w:themeColor="text1"/>
        </w:rPr>
        <w:t xml:space="preserve">However, secondary forests </w:t>
      </w:r>
      <w:r w:rsidR="008E47B7" w:rsidRPr="008E47B7">
        <w:rPr>
          <w:rFonts w:ascii="Times New Roman" w:hAnsi="Times New Roman" w:cs="Times New Roman"/>
          <w:color w:val="000000" w:themeColor="text1"/>
        </w:rPr>
        <w:t xml:space="preserve">still lacked significant nestedness </w:t>
      </w:r>
      <w:r w:rsidR="008E47B7">
        <w:rPr>
          <w:rFonts w:ascii="Times New Roman" w:hAnsi="Times New Roman" w:cs="Times New Roman"/>
          <w:color w:val="000000" w:themeColor="text1"/>
        </w:rPr>
        <w:t xml:space="preserve">and </w:t>
      </w:r>
      <w:r w:rsidR="008E47B7" w:rsidRPr="008E47B7">
        <w:rPr>
          <w:rFonts w:ascii="Times New Roman" w:hAnsi="Times New Roman" w:cs="Times New Roman"/>
          <w:color w:val="000000" w:themeColor="text1"/>
        </w:rPr>
        <w:t>exhibited lower apparent levels of specialization and modularity compared to old</w:t>
      </w:r>
      <w:r w:rsidR="008E47B7">
        <w:rPr>
          <w:rFonts w:ascii="Times New Roman" w:hAnsi="Times New Roman" w:cs="Times New Roman"/>
          <w:color w:val="000000" w:themeColor="text1"/>
        </w:rPr>
        <w:t xml:space="preserve"> </w:t>
      </w:r>
      <w:r w:rsidR="008E47B7" w:rsidRPr="008E47B7">
        <w:rPr>
          <w:rFonts w:ascii="Times New Roman" w:hAnsi="Times New Roman" w:cs="Times New Roman"/>
          <w:color w:val="000000" w:themeColor="text1"/>
        </w:rPr>
        <w:t>growth forests, though modularity observed in old</w:t>
      </w:r>
      <w:r w:rsidR="008E47B7">
        <w:rPr>
          <w:rFonts w:ascii="Times New Roman" w:hAnsi="Times New Roman" w:cs="Times New Roman"/>
          <w:color w:val="000000" w:themeColor="text1"/>
        </w:rPr>
        <w:t xml:space="preserve"> g</w:t>
      </w:r>
      <w:r w:rsidR="008E47B7" w:rsidRPr="008E47B7">
        <w:rPr>
          <w:rFonts w:ascii="Times New Roman" w:hAnsi="Times New Roman" w:cs="Times New Roman"/>
          <w:color w:val="000000" w:themeColor="text1"/>
        </w:rPr>
        <w:t>rowth forests did not differ from that expected under the null models.</w:t>
      </w:r>
      <w:r w:rsidR="008E47B7" w:rsidRPr="0037328F">
        <w:rPr>
          <w:rFonts w:ascii="Times New Roman" w:hAnsi="Times New Roman" w:cs="Times New Roman"/>
          <w:color w:val="000000" w:themeColor="text1"/>
        </w:rPr>
        <w:t xml:space="preserve"> </w:t>
      </w:r>
      <w:r w:rsidR="0037328F" w:rsidRPr="0037328F">
        <w:rPr>
          <w:rFonts w:ascii="Times New Roman" w:hAnsi="Times New Roman" w:cs="Times New Roman"/>
        </w:rPr>
        <w:t>These findings suggest that while some aspects of network structure begin to converge toward reference conditions within a few decades of natural regeneration, key features of mutualistic interaction networks</w:t>
      </w:r>
      <w:r w:rsidR="0037328F">
        <w:rPr>
          <w:rFonts w:ascii="Times New Roman" w:hAnsi="Times New Roman" w:cs="Times New Roman"/>
        </w:rPr>
        <w:t xml:space="preserve"> </w:t>
      </w:r>
      <w:r w:rsidR="0037328F" w:rsidRPr="0037328F">
        <w:rPr>
          <w:rFonts w:ascii="Times New Roman" w:hAnsi="Times New Roman" w:cs="Times New Roman"/>
        </w:rPr>
        <w:t>such as nestedness and modularity</w:t>
      </w:r>
      <w:r w:rsidR="0037328F">
        <w:rPr>
          <w:rFonts w:ascii="Times New Roman" w:hAnsi="Times New Roman" w:cs="Times New Roman"/>
        </w:rPr>
        <w:t xml:space="preserve"> </w:t>
      </w:r>
      <w:r w:rsidR="0037328F" w:rsidRPr="0037328F">
        <w:rPr>
          <w:rFonts w:ascii="Times New Roman" w:hAnsi="Times New Roman" w:cs="Times New Roman"/>
        </w:rPr>
        <w:t>may require longer timescales to fully resemble the structure observed in old-growth forests.</w:t>
      </w:r>
    </w:p>
    <w:p w14:paraId="269B2DAB" w14:textId="0AAEC446" w:rsidR="00A76178" w:rsidRDefault="00A76178" w:rsidP="009B69DC">
      <w:pPr>
        <w:spacing w:before="0" w:after="0"/>
        <w:ind w:firstLine="720"/>
        <w:rPr>
          <w:rFonts w:ascii="Times New Roman" w:hAnsi="Times New Roman" w:cs="Times New Roman"/>
        </w:rPr>
      </w:pPr>
      <w:r w:rsidRPr="00A76178">
        <w:rPr>
          <w:rFonts w:ascii="Times New Roman" w:hAnsi="Times New Roman" w:cs="Times New Roman"/>
          <w:color w:val="000000" w:themeColor="text1"/>
        </w:rPr>
        <w:t xml:space="preserve">In our system, early stages of regeneration fostered high interaction diversity and interaction frequency compared to secondary and old growth forests. Intermediate levels of </w:t>
      </w:r>
      <w:r w:rsidR="00D77075" w:rsidRPr="00E737DD">
        <w:rPr>
          <w:rFonts w:ascii="Times New Roman" w:hAnsi="Times New Roman" w:cs="Times New Roman"/>
          <w:color w:val="000000" w:themeColor="text1"/>
        </w:rPr>
        <w:t xml:space="preserve">disturbance can foster greater biodiversity by preventing competitive exclusion and allowing a mix of species with different ecological niches to coexist </w:t>
      </w:r>
      <w:r w:rsidR="00D77075" w:rsidRPr="00E737DD">
        <w:rPr>
          <w:rFonts w:ascii="Times New Roman" w:hAnsi="Times New Roman" w:cs="Times New Roman"/>
          <w:color w:val="000000" w:themeColor="text1"/>
        </w:rPr>
        <w:fldChar w:fldCharType="begin"/>
      </w:r>
      <w:r w:rsidR="00D77075" w:rsidRPr="00E737DD">
        <w:rPr>
          <w:rFonts w:ascii="Times New Roman" w:hAnsi="Times New Roman" w:cs="Times New Roman"/>
          <w:color w:val="000000" w:themeColor="text1"/>
        </w:rPr>
        <w:instrText xml:space="preserve"> ADDIN ZOTERO_ITEM CSL_CITATION {"citationID":"qv4zo1ht","properties":{"formattedCitation":"(Connell, 1979)","plainCitation":"(Connell, 1979)","noteIndex":0},"citationItems":[{"id":1578,"uris":["http://zotero.org/users/12345038/items/Q4IE6QM5"],"itemData":{"id":1578,"type":"article-journal","container-title":"Science","DOI":"10.1126/science.204.4399.1345","ISSN":"0036-8075, 1095-9203","issue":"4399","journalAbbreviation":"Science","language":"en","page":"1345-1345","source":"DOI.org (Crossref)","title":"Intermediate-Disturbance Hypothesis","volume":"204","author":[{"family":"Connell","given":"J. H."}],"issued":{"date-parts":[["1979",6,22]]}}}],"schema":"https://github.com/citation-style-language/schema/raw/master/csl-citation.json"} </w:instrText>
      </w:r>
      <w:r w:rsidR="00D77075" w:rsidRPr="00E737DD">
        <w:rPr>
          <w:rFonts w:ascii="Times New Roman" w:hAnsi="Times New Roman" w:cs="Times New Roman"/>
          <w:color w:val="000000" w:themeColor="text1"/>
        </w:rPr>
        <w:fldChar w:fldCharType="separate"/>
      </w:r>
      <w:r w:rsidR="00D77075" w:rsidRPr="00E737DD">
        <w:rPr>
          <w:rFonts w:ascii="Times New Roman" w:hAnsi="Times New Roman" w:cs="Times New Roman"/>
          <w:noProof/>
          <w:color w:val="000000" w:themeColor="text1"/>
        </w:rPr>
        <w:t>(Connell, 1979)</w:t>
      </w:r>
      <w:r w:rsidR="00D77075" w:rsidRPr="00E737DD">
        <w:rPr>
          <w:rFonts w:ascii="Times New Roman" w:hAnsi="Times New Roman" w:cs="Times New Roman"/>
          <w:color w:val="000000" w:themeColor="text1"/>
        </w:rPr>
        <w:fldChar w:fldCharType="end"/>
      </w:r>
      <w:r w:rsidR="00D77075" w:rsidRPr="00E737DD">
        <w:rPr>
          <w:rFonts w:ascii="Times New Roman" w:hAnsi="Times New Roman" w:cs="Times New Roman"/>
          <w:color w:val="000000" w:themeColor="text1"/>
        </w:rPr>
        <w:t xml:space="preserve">. </w:t>
      </w:r>
      <w:r w:rsidR="00860547">
        <w:rPr>
          <w:rFonts w:ascii="Times New Roman" w:hAnsi="Times New Roman" w:cs="Times New Roman"/>
          <w:color w:val="000000" w:themeColor="text1"/>
        </w:rPr>
        <w:t>High levels of</w:t>
      </w:r>
      <w:r w:rsidR="00D77075" w:rsidRPr="00E737DD">
        <w:rPr>
          <w:rFonts w:ascii="Times New Roman" w:hAnsi="Times New Roman" w:cs="Times New Roman"/>
          <w:color w:val="000000" w:themeColor="text1"/>
        </w:rPr>
        <w:t xml:space="preserve"> diversity and species coexistence could have facilitated species to interact with one another more frequently</w:t>
      </w:r>
      <w:r w:rsidR="00D77075" w:rsidRPr="00A76178">
        <w:rPr>
          <w:rFonts w:ascii="Times New Roman" w:hAnsi="Times New Roman" w:cs="Times New Roman"/>
        </w:rPr>
        <w:t xml:space="preserve">, resulting in a high number of interactions within early stages of forest regeneration. In our system, this could be due to a high abundance of generalist disperser species within </w:t>
      </w:r>
      <w:r w:rsidR="009B69DC">
        <w:rPr>
          <w:rFonts w:ascii="Times New Roman" w:hAnsi="Times New Roman" w:cs="Times New Roman"/>
        </w:rPr>
        <w:t>the</w:t>
      </w:r>
      <w:r w:rsidR="00D77075" w:rsidRPr="00A76178">
        <w:rPr>
          <w:rFonts w:ascii="Times New Roman" w:hAnsi="Times New Roman" w:cs="Times New Roman"/>
        </w:rPr>
        <w:t xml:space="preserve"> open canopy habitats</w:t>
      </w:r>
      <w:r w:rsidR="009B69DC">
        <w:rPr>
          <w:rFonts w:ascii="Times New Roman" w:hAnsi="Times New Roman" w:cs="Times New Roman"/>
        </w:rPr>
        <w:t xml:space="preserve"> that consume large quantities of small generalist and</w:t>
      </w:r>
      <w:r w:rsidR="00D77075" w:rsidRPr="00A76178">
        <w:rPr>
          <w:rFonts w:ascii="Times New Roman" w:hAnsi="Times New Roman" w:cs="Times New Roman"/>
        </w:rPr>
        <w:t xml:space="preserve"> accessible fruiting </w:t>
      </w:r>
      <w:r w:rsidR="009B69DC">
        <w:rPr>
          <w:rFonts w:ascii="Times New Roman" w:hAnsi="Times New Roman" w:cs="Times New Roman"/>
        </w:rPr>
        <w:t xml:space="preserve">plant </w:t>
      </w:r>
      <w:r w:rsidR="00D77075" w:rsidRPr="00A76178">
        <w:rPr>
          <w:rFonts w:ascii="Times New Roman" w:hAnsi="Times New Roman" w:cs="Times New Roman"/>
        </w:rPr>
        <w:t xml:space="preserve">species </w:t>
      </w:r>
      <w:r w:rsidR="00D77075" w:rsidRPr="00A76178">
        <w:rPr>
          <w:rFonts w:ascii="Times New Roman" w:hAnsi="Times New Roman" w:cs="Times New Roman"/>
        </w:rPr>
        <w:fldChar w:fldCharType="begin"/>
      </w:r>
      <w:r w:rsidR="00D77075">
        <w:rPr>
          <w:rFonts w:ascii="Times New Roman" w:hAnsi="Times New Roman" w:cs="Times New Roman"/>
        </w:rPr>
        <w:instrText xml:space="preserve"> ADDIN ZOTERO_ITEM CSL_CITATION {"citationID":"Sn3FpHLk","properties":{"formattedCitation":"(Gon\\uc0\\u231{}alves Da Silva et al., 2020; Pinotti et al., 2012b)","plainCitation":"(Gonçalves Da Silva et al., 2020; Pinotti et al., 2012b)","noteIndex":0},"citationItems":[{"id":1762,"uris":["http://zotero.org/users/12345038/items/8JEREEJ6"],"itemData":{"id":1762,"type":"article-journal","container-title":"Studies on Neotropical Fauna and Environment","DOI":"10.1080/01650521.2020.1743550","ISSN":"0165-0521, 1744-5140","issue":"3","journalAbbreviation":"Studies on Neotropical Fauna and Environment","language":"en","page":"203-215","source":"DOI.org (Crossref)","title":"Fruit and flower availability affect bird assemblages across two successional stages in the Atlantic Forest","volume":"55","author":[{"family":"Gonçalves Da Silva","given":"Bruna"},{"family":"Koch","given":"Ingrid"},{"family":"Piratelli","given":"Augusto João"}],"issued":{"date-parts":[["2020",9,1]]}}},{"id":1763,"uris":["http://zotero.org/users/12345038/items/EEVG8L32"],"itemData":{"id":1763,"type":"article-journal","container-title":"Forest Ecology and Management","DOI":"10.1016/j.foreco.2012.07.020","ISSN":"03781127","journalAbbreviation":"Forest Ecology and Management","language":"en","license":"https://www.elsevier.com/tdm/userlicense/1.0/","page":"119-127","source":"DOI.org (Crossref)","title":"Habitat structure and food resources for wildlife across successional stages in a tropical forest","volume":"283","author":[{"family":"Pinotti","given":"Bruno T."},{"family":"Pagotto","given":"Camilla P."},{"family":"Pardini","given":"Renata"}],"issued":{"date-parts":[["2012",11]]}}}],"schema":"https://github.com/citation-style-language/schema/raw/master/csl-citation.json"} </w:instrText>
      </w:r>
      <w:r w:rsidR="00D77075" w:rsidRPr="00A76178">
        <w:rPr>
          <w:rFonts w:ascii="Times New Roman" w:hAnsi="Times New Roman" w:cs="Times New Roman"/>
        </w:rPr>
        <w:fldChar w:fldCharType="separate"/>
      </w:r>
      <w:r w:rsidR="00D77075" w:rsidRPr="00BC132B">
        <w:rPr>
          <w:rFonts w:ascii="Times New Roman" w:hAnsi="Times New Roman" w:cs="Times New Roman"/>
          <w:kern w:val="0"/>
        </w:rPr>
        <w:t>(Gonçalves Da Silva et al., 2020; Pinotti et al., 2012)</w:t>
      </w:r>
      <w:r w:rsidR="00D77075" w:rsidRPr="00A76178">
        <w:rPr>
          <w:rFonts w:ascii="Times New Roman" w:hAnsi="Times New Roman" w:cs="Times New Roman"/>
        </w:rPr>
        <w:fldChar w:fldCharType="end"/>
      </w:r>
      <w:r w:rsidR="00D77075" w:rsidRPr="00A76178">
        <w:rPr>
          <w:rFonts w:ascii="Times New Roman" w:hAnsi="Times New Roman" w:cs="Times New Roman"/>
        </w:rPr>
        <w:t>. We observed a high presence of small generalist frugivorous birds in earlier stages of forest regeneration, which could be</w:t>
      </w:r>
      <w:r w:rsidR="009B69DC">
        <w:rPr>
          <w:rFonts w:ascii="Times New Roman" w:hAnsi="Times New Roman" w:cs="Times New Roman"/>
          <w:b/>
          <w:bCs/>
        </w:rPr>
        <w:t xml:space="preserve"> </w:t>
      </w:r>
      <w:r w:rsidR="00F80E6B" w:rsidRPr="00A76178">
        <w:rPr>
          <w:rFonts w:ascii="Times New Roman" w:hAnsi="Times New Roman" w:cs="Times New Roman"/>
        </w:rPr>
        <w:t xml:space="preserve">responsible for facilitating high numbers of interactions </w:t>
      </w:r>
      <w:r w:rsidR="00F80E6B" w:rsidRPr="00A76178">
        <w:rPr>
          <w:rFonts w:ascii="Times New Roman" w:hAnsi="Times New Roman" w:cs="Times New Roman"/>
        </w:rPr>
        <w:fldChar w:fldCharType="begin"/>
      </w:r>
      <w:r w:rsidR="00F80E6B">
        <w:rPr>
          <w:rFonts w:ascii="Times New Roman" w:hAnsi="Times New Roman" w:cs="Times New Roman"/>
        </w:rPr>
        <w:instrText xml:space="preserve"> ADDIN ZOTERO_ITEM CSL_CITATION {"citationID":"U5K5CTCs","properties":{"formattedCitation":"(Emer et al., 2018; W. Li et al., 2022)","plainCitation":"(Emer et al., 2018; W. Li et al., 2022)","noteIndex":0},"citationItems":[{"id":1765,"uris":["http://zotero.org/users/12345038/items/PLRGI2II"],"itemData":{"id":1765,"type":"article-journal","abstract":"Abstract\n            \n              Mutualistic interactions repeatedly preserved across fragmented landscapes can scale‐up to form a spatial metanetwork describing the distribution of interactions across patches. We explored the structure of a bird seed‐dispersal (\n              BSD\n              ) metanetwork in 16 Neotropical forest fragments to test whether a distinct subset of\n              BSD\n              ‐interactions may mediate landscape functional connectivity. The metanetwork is interaction‐rich, modular and poorly connected, showing high beta‐diversity and turnover of species and interactions. Interactions involving large‐sized species were lost in fragments &lt; 10 000 ha, indicating a strong filtering by habitat fragmentation on the functional diversity of\n              BSD\n              ‐interactions. Persistent interactions were performed by small‐seeded, fast growing plant species and by generalist, small‐bodied bird species able to cross the fragmented landscape. This reduced subset of interactions forms the metanetwork components persisting to defaunation and fragmentation, and may generate long‐term deficits of carbon storage while delaying forest regeneration at the landscape level.","container-title":"Ecology Letters","DOI":"10.1111/ele.12909","ISSN":"1461-023X, 1461-0248","issue":"4","journalAbbreviation":"Ecology Letters","language":"en","page":"484-493","source":"DOI.org (Crossref)","title":"Seed‐dispersal interactions in fragmented landscapes – a metanetwork approach","volume":"21","author":[{"family":"Emer","given":"Carine"},{"family":"Galetti","given":"Mauro"},{"family":"Pizo","given":"Marco A."},{"family":"Guimarães","given":"Paulo R."},{"family":"Moraes","given":"Suelen"},{"family":"Piratelli","given":"Augusto"},{"family":"Jordano","given":"Pedro"}],"editor":[{"family":"Saavedra","given":"Serguei"}],"issued":{"date-parts":[["2018",4]]}}},{"id":1132,"uris":["http://zotero.org/users/12345038/items/TY9W3QDP"],"itemData":{"id":1132,"type":"article-journal","abstract":"Habitat fragmentation impacts seed dispersal processes that are important in maintaining biodiversity and ecosystem functioning. However, it is still unclear how habitat fragmentation affects frugivorous interactions due to the lack of high-quality data on plant-frugivore networks. Here we recorded 10,117 plant-frugivore interactions from 22 reservoir islands and six nearby mainland sites using the technology of arboreal camera trapping to assess the effects of island area and isolation on the diversity, structure, and stability of plant-frugivore networks. We found that network simplification under habitat fragmentation reduces the number of interactions involving specialized species and large-bodied frugivores. Small islands had more connected, less modular, and more nested networks that consisted mainly of small-bodied birds and abundant plants, as well as showed evidence of interaction release (i.e., dietary expansion of frugivores). Our results reveal the importance of preserving large forest remnants to support plant-frugivore interaction diversity and forest functionality. Smaller communities, such as those on islands, under ecological network simplification reduce interactions between specialist organisms.","container-title":"COMMUNICATIONS BIOLOGY","DOI":"10.1038/s42003-022-04198-8","issue":"1","title":"Plant-frugivore network simplification under habitat fragmentation leaves a small core of interacting generalists","volume":"5","author":[{"family":"Li","given":"Wande"},{"family":"Zhu","given":"Chen"},{"family":"Grass","given":"Ingo"},{"family":"Vazquez","given":"Diego P."},{"family":"Wang","given":"Duorun"},{"family":"Zhao","given":"Yuhao"},{"family":"Zeng","given":"Di"},{"family":"Kang","given":"Yi"},{"family":"Ding","given":"Ping"},{"family":"Si","given":"Xingfeng"}],"issued":{"date-parts":[["2022",11,10]]}}}],"schema":"https://github.com/citation-style-language/schema/raw/master/csl-citation.json"} </w:instrText>
      </w:r>
      <w:r w:rsidR="00F80E6B" w:rsidRPr="00A76178">
        <w:rPr>
          <w:rFonts w:ascii="Times New Roman" w:hAnsi="Times New Roman" w:cs="Times New Roman"/>
        </w:rPr>
        <w:fldChar w:fldCharType="separate"/>
      </w:r>
      <w:r w:rsidR="00F80E6B">
        <w:rPr>
          <w:rFonts w:ascii="Times New Roman" w:hAnsi="Times New Roman" w:cs="Times New Roman"/>
          <w:noProof/>
        </w:rPr>
        <w:t>(Emer et al., 2018; W. Li et al., 2022)</w:t>
      </w:r>
      <w:r w:rsidR="00F80E6B" w:rsidRPr="00A76178">
        <w:rPr>
          <w:rFonts w:ascii="Times New Roman" w:hAnsi="Times New Roman" w:cs="Times New Roman"/>
        </w:rPr>
        <w:fldChar w:fldCharType="end"/>
      </w:r>
      <w:r w:rsidR="00F80E6B" w:rsidRPr="00A76178">
        <w:rPr>
          <w:rFonts w:ascii="Times New Roman" w:hAnsi="Times New Roman" w:cs="Times New Roman"/>
        </w:rPr>
        <w:t xml:space="preserve">. As generalist species often play key roles within seed dispersal networks </w:t>
      </w:r>
      <w:r w:rsidR="00F80E6B" w:rsidRPr="00A76178">
        <w:rPr>
          <w:rFonts w:ascii="Times New Roman" w:hAnsi="Times New Roman" w:cs="Times New Roman"/>
        </w:rPr>
        <w:fldChar w:fldCharType="begin"/>
      </w:r>
      <w:r w:rsidR="00F80E6B" w:rsidRPr="00A76178">
        <w:rPr>
          <w:rFonts w:ascii="Times New Roman" w:hAnsi="Times New Roman" w:cs="Times New Roman"/>
        </w:rPr>
        <w:instrText xml:space="preserve"> ADDIN ZOTERO_ITEM CSL_CITATION {"citationID":"mDg1y5L5","properties":{"formattedCitation":"(Carlo &amp; Morales, 2016; Palacio et al., 2016)","plainCitation":"(Carlo &amp; Morales, 2016; Palacio et al., 2016)","noteIndex":0},"citationItems":[{"id":921,"uris":["http://zotero.org/users/12345038/items/CN7IZS9W"],"itemData":{"id":921,"type":"article-journal","container-title":"ECOLOGY","DOI":"10.1890/15-2147.1","ISSN":"0012-9658","issue":"7","page":"1819-1831","title":"Generalist birds promote tropical forest regeneration and increase plant diversity via rare-biased seed dispersal","volume":"97","author":[{"family":"Carlo","given":"Tomas A."},{"family":"Morales","given":"Juan M."}],"issued":{"date-parts":[["2016",7]]}}},{"id":472,"uris":["http://zotero.org/users/12345038/items/UXCMIFZK"],"itemData":{"id":472,"type":"article-journal","abstract":"Analysis of plant–frugivore interactions provides a quantitative framework for integrating community structure and ecosystem function in terms of how the roles and attributes of individual species contribute to network structure and resilience. In this study, we used centrality metrics to rank and detect the most important species in a mutualistic network of fruit-eating birds and plants in a cloud forest in the Colombian Andes. We identiﬁed a central core of ten bird and seven plant species in a network of 135 species that perform dual roles as local hubs and connectors. The birds were mostly large forest frugivores, such as cracids, cotingas, and toucans, which consume fruits of all sizes. The plants were species of intermediate successional stages with small- to medium-sized seeds that persist in mature forest or forest borders (e.g., Miconia, Cecropia, Ficus). We found the resilience of our network depends on super-generalist species, because their elimination makes the network more prone to disassemble than random extinctions, potentially disrupting seed-dispersal processes. At our study site, extirpation of large frugivores has already been documented, and if this continues, the network might collapse despite its high diversity. Our results suggest that generalist species play critical roles in ecosystem function and should be incorporated into conservation and monitoring programs.","container-title":"Biotropica","DOI":"10.1111/btp.12290","ISSN":"00063606","issue":"3","journalAbbreviation":"Biotropica","language":"en","page":"349-355","source":"DOI.org (Crossref)","title":"Generalist Species Have a Central Role In a Highly Diverse Plant-Frugivore Network","volume":"48","author":[{"family":"Palacio","given":"Rubén Darío"},{"family":"Valderrama-Ardila","given":"Carlos"},{"family":"Kattan","given":"Gustavo H."}],"issued":{"date-parts":[["2016",5]]}}}],"schema":"https://github.com/citation-style-language/schema/raw/master/csl-citation.json"} </w:instrText>
      </w:r>
      <w:r w:rsidR="00F80E6B" w:rsidRPr="00A76178">
        <w:rPr>
          <w:rFonts w:ascii="Times New Roman" w:hAnsi="Times New Roman" w:cs="Times New Roman"/>
        </w:rPr>
        <w:fldChar w:fldCharType="separate"/>
      </w:r>
      <w:r w:rsidR="00F80E6B" w:rsidRPr="00A76178">
        <w:rPr>
          <w:rFonts w:ascii="Times New Roman" w:hAnsi="Times New Roman" w:cs="Times New Roman"/>
          <w:noProof/>
        </w:rPr>
        <w:t>(Carlo &amp; Morales, 2016; Palacio et al., 2016)</w:t>
      </w:r>
      <w:r w:rsidR="00F80E6B" w:rsidRPr="00A76178">
        <w:rPr>
          <w:rFonts w:ascii="Times New Roman" w:hAnsi="Times New Roman" w:cs="Times New Roman"/>
        </w:rPr>
        <w:fldChar w:fldCharType="end"/>
      </w:r>
      <w:r w:rsidR="00F80E6B" w:rsidRPr="00A76178">
        <w:rPr>
          <w:rFonts w:ascii="Times New Roman" w:hAnsi="Times New Roman" w:cs="Times New Roman"/>
        </w:rPr>
        <w:t xml:space="preserve">, these early stages of regeneration may serve as important interaction </w:t>
      </w:r>
      <w:r w:rsidR="00D77075" w:rsidRPr="00A76178">
        <w:rPr>
          <w:rFonts w:ascii="Times New Roman" w:hAnsi="Times New Roman" w:cs="Times New Roman"/>
        </w:rPr>
        <w:lastRenderedPageBreak/>
        <w:t xml:space="preserve">hubs and sustain connectivity between regenerating forests fragments </w:t>
      </w:r>
      <w:r w:rsidR="00D77075" w:rsidRPr="00A76178">
        <w:rPr>
          <w:rFonts w:ascii="Times New Roman" w:hAnsi="Times New Roman" w:cs="Times New Roman"/>
        </w:rPr>
        <w:fldChar w:fldCharType="begin"/>
      </w:r>
      <w:r w:rsidR="00D77075" w:rsidRPr="00A76178">
        <w:rPr>
          <w:rFonts w:ascii="Times New Roman" w:hAnsi="Times New Roman" w:cs="Times New Roman"/>
        </w:rPr>
        <w:instrText xml:space="preserve"> ADDIN ZOTERO_ITEM CSL_CITATION {"citationID":"PAVZwvTF","properties":{"formattedCitation":"(Gonz\\uc0\\u225{}lez\\uc0\\u8208{}Varo et al., 2017)","plainCitation":"(González‐Varo et al., 2017)","noteIndex":0},"citationItems":[{"id":1768,"uris":["http://zotero.org/users/12345038/items/6CU6VVIP"],"itemData":{"id":1768,"type":"article-journal","abstract":"Abstract\n            \n              Seed dispersal constitutes a pivotal process in an increasingly fragmented world, promoting population connectivity, colonization and range shifts in plants. Unveiling how multiple frugivore species disperse seeds through fragmented landscapes, operating as mobile links, has remained elusive owing to methodological constraints for monitoring seed dispersal events. We combine for the first time\n              DNA\n              barcoding and\n              DNA\n              microsatellites to identify, respectively, the frugivore species and the source trees of animal‐dispersed seeds in forest and matrix of a fragmented landscape. We found a high functional complementarity among frugivores in terms of seed deposition at different habitats (forest vs. matrix), perches (isolated trees vs. electricity pylons) and matrix sectors (close vs. far from the forest edge), cross‐habitat seed fluxes, dispersal distances and canopy‐cover dependency. Seed rain at the landscape‐scale, from forest to distant matrix sectors, was characterized by turnovers in the contribution of frugivores and source‐tree habitats: open‐habitat frugivores replaced forest‐dependent frugivores, whereas matrix trees replaced forest trees. As a result of such turnovers, the magnitude of seed rain was evenly distributed between habitats and landscape sectors. We thus uncover key mechanisms behind “biodiversity–ecosystem function” relationships, in this case, the relationship between frugivore diversity and landscape‐scale seed dispersal. Our results reveal the importance of open‐habitat frugivores, isolated fruiting trees and anthropogenic perching sites (infrastructures) in generating seed dispersal events far from the remnant forest, highlighting their potential to drive regeneration dynamics through the matrix. This study helps to broaden the “mobile‐link” concept in seed dispersal studies by providing a comprehensive and integrative view of the way in which multiple frugivore species disseminate seeds through real‐world landscapes.","container-title":"Molecular Ecology","DOI":"10.1111/mec.14181","ISSN":"0962-1083, 1365-294X","issue":"16","journalAbbreviation":"Molecular Ecology","language":"en","license":"http://onlinelibrary.wiley.com/termsAndConditions#vor","page":"4309-4321","source":"DOI.org (Crossref)","title":"Unravelling seed dispersal through fragmented landscapes: Frugivore species operate unevenly as mobile links","title-short":"Unravelling seed dispersal through fragmented landscapes","volume":"26","author":[{"family":"González‐Varo","given":"Juan P."},{"family":"Carvalho","given":"Carolina S."},{"family":"Arroyo","given":"Juan M."},{"family":"Jordano","given":"Pedro"}],"issued":{"date-parts":[["2017",8]]}}}],"schema":"https://github.com/citation-style-language/schema/raw/master/csl-citation.json"} </w:instrText>
      </w:r>
      <w:r w:rsidR="00D77075" w:rsidRPr="00A76178">
        <w:rPr>
          <w:rFonts w:ascii="Times New Roman" w:hAnsi="Times New Roman" w:cs="Times New Roman"/>
        </w:rPr>
        <w:fldChar w:fldCharType="separate"/>
      </w:r>
      <w:r w:rsidR="00D77075" w:rsidRPr="00A76178">
        <w:rPr>
          <w:rFonts w:ascii="Times New Roman" w:hAnsi="Times New Roman" w:cs="Times New Roman"/>
        </w:rPr>
        <w:t>(González‐Varo et al., 2017)</w:t>
      </w:r>
      <w:r w:rsidR="00D77075" w:rsidRPr="00A76178">
        <w:rPr>
          <w:rFonts w:ascii="Times New Roman" w:hAnsi="Times New Roman" w:cs="Times New Roman"/>
        </w:rPr>
        <w:fldChar w:fldCharType="end"/>
      </w:r>
      <w:r w:rsidR="00D77075" w:rsidRPr="00A76178">
        <w:rPr>
          <w:rFonts w:ascii="Times New Roman" w:hAnsi="Times New Roman" w:cs="Times New Roman"/>
        </w:rPr>
        <w:t>.</w:t>
      </w:r>
      <w:r w:rsidRPr="00A76178">
        <w:rPr>
          <w:rFonts w:ascii="Times New Roman" w:hAnsi="Times New Roman" w:cs="Times New Roman"/>
        </w:rPr>
        <w:t xml:space="preserve"> These interaction hubs may also be critical in shaping successional pathways for regenerating tropical forests. </w:t>
      </w:r>
    </w:p>
    <w:p w14:paraId="65CA4F34" w14:textId="4481B9DA" w:rsidR="00D46CB3" w:rsidRDefault="0022735C" w:rsidP="00D46CB3">
      <w:pPr>
        <w:spacing w:before="0" w:after="0"/>
        <w:ind w:firstLine="720"/>
        <w:rPr>
          <w:rFonts w:ascii="Times New Roman" w:hAnsi="Times New Roman" w:cs="Times New Roman"/>
          <w:color w:val="000000" w:themeColor="text1"/>
        </w:rPr>
      </w:pPr>
      <w:r w:rsidRPr="0022735C">
        <w:rPr>
          <w:rFonts w:ascii="Times New Roman" w:hAnsi="Times New Roman" w:cs="Times New Roman"/>
          <w:color w:val="000000" w:themeColor="text1"/>
        </w:rPr>
        <w:t xml:space="preserve">Seed dispersal networks underwent substantial restructuring across forest regeneration stages, with only </w:t>
      </w:r>
      <w:r w:rsidRPr="0022735C">
        <w:rPr>
          <w:rFonts w:ascii="Times New Roman" w:eastAsiaTheme="majorEastAsia" w:hAnsi="Times New Roman" w:cs="Times New Roman"/>
          <w:color w:val="000000" w:themeColor="text1"/>
        </w:rPr>
        <w:t>~16% overlap</w:t>
      </w:r>
      <w:r w:rsidRPr="0022735C">
        <w:rPr>
          <w:rFonts w:ascii="Times New Roman" w:hAnsi="Times New Roman" w:cs="Times New Roman"/>
          <w:color w:val="000000" w:themeColor="text1"/>
        </w:rPr>
        <w:t xml:space="preserve"> in interactions between </w:t>
      </w:r>
      <w:r w:rsidRPr="0022735C">
        <w:rPr>
          <w:rFonts w:ascii="Times New Roman" w:eastAsiaTheme="majorEastAsia" w:hAnsi="Times New Roman" w:cs="Times New Roman"/>
          <w:color w:val="000000" w:themeColor="text1"/>
        </w:rPr>
        <w:t>pasture and early successional habitats with secondary forests</w:t>
      </w:r>
      <w:r w:rsidRPr="0022735C">
        <w:rPr>
          <w:rFonts w:ascii="Times New Roman" w:hAnsi="Times New Roman" w:cs="Times New Roman"/>
          <w:color w:val="000000" w:themeColor="text1"/>
        </w:rPr>
        <w:t xml:space="preserve">. This sharp decline in interaction overlap suggests that as forests transition into mid-successional stages, </w:t>
      </w:r>
      <w:r w:rsidRPr="0022735C">
        <w:rPr>
          <w:rFonts w:ascii="Times New Roman" w:eastAsiaTheme="majorEastAsia" w:hAnsi="Times New Roman" w:cs="Times New Roman"/>
          <w:color w:val="000000" w:themeColor="text1"/>
        </w:rPr>
        <w:t>major shifts in species composition and interaction dynamics occur</w:t>
      </w:r>
      <w:r w:rsidRPr="0022735C">
        <w:rPr>
          <w:rFonts w:ascii="Times New Roman" w:hAnsi="Times New Roman" w:cs="Times New Roman"/>
          <w:color w:val="000000" w:themeColor="text1"/>
        </w:rPr>
        <w:t xml:space="preserve">, leading to the emergence of distinct dispersal networks. </w:t>
      </w:r>
      <w:r w:rsidR="0037328F" w:rsidRPr="0037328F">
        <w:rPr>
          <w:rFonts w:ascii="Times New Roman" w:hAnsi="Times New Roman" w:cs="Times New Roman"/>
        </w:rPr>
        <w:t>Regenerating forests within this region exist within a fragmented landscape, and the species capable of colonizing them are limited by habitat connectivity, matrix quality, and historical species loss</w:t>
      </w:r>
      <w:r w:rsidR="00ED2EB6">
        <w:rPr>
          <w:rFonts w:ascii="Times New Roman" w:hAnsi="Times New Roman" w:cs="Times New Roman"/>
        </w:rPr>
        <w:t xml:space="preserve"> (</w:t>
      </w:r>
      <w:r w:rsidR="00ED2EB6" w:rsidRPr="00ED2EB6">
        <w:rPr>
          <w:rFonts w:ascii="Times New Roman" w:hAnsi="Times New Roman" w:cs="Times New Roman"/>
          <w:color w:val="000000" w:themeColor="text1"/>
        </w:rPr>
        <w:t>Mortelliti &amp; Lindenmayer</w:t>
      </w:r>
      <w:r w:rsidR="00ED2EB6">
        <w:rPr>
          <w:rFonts w:ascii="Times New Roman" w:hAnsi="Times New Roman" w:cs="Times New Roman"/>
          <w:color w:val="000000" w:themeColor="text1"/>
        </w:rPr>
        <w:t>, 2015</w:t>
      </w:r>
      <w:r w:rsidR="00EC6531">
        <w:rPr>
          <w:rFonts w:ascii="Times New Roman" w:hAnsi="Times New Roman" w:cs="Times New Roman"/>
          <w:color w:val="000000" w:themeColor="text1"/>
        </w:rPr>
        <w:t>;</w:t>
      </w:r>
      <w:r w:rsidR="00ED2EB6">
        <w:rPr>
          <w:rFonts w:ascii="Times New Roman" w:hAnsi="Times New Roman" w:cs="Times New Roman"/>
        </w:rPr>
        <w:t xml:space="preserve"> Chesson 2000)</w:t>
      </w:r>
      <w:r w:rsidR="0037328F" w:rsidRPr="0037328F">
        <w:rPr>
          <w:rFonts w:ascii="Times New Roman" w:hAnsi="Times New Roman" w:cs="Times New Roman"/>
        </w:rPr>
        <w:t>. As such, even old</w:t>
      </w:r>
      <w:r w:rsidR="0037328F">
        <w:rPr>
          <w:rFonts w:ascii="Times New Roman" w:hAnsi="Times New Roman" w:cs="Times New Roman"/>
        </w:rPr>
        <w:t xml:space="preserve"> </w:t>
      </w:r>
      <w:r w:rsidR="0037328F" w:rsidRPr="0037328F">
        <w:rPr>
          <w:rFonts w:ascii="Times New Roman" w:hAnsi="Times New Roman" w:cs="Times New Roman"/>
        </w:rPr>
        <w:t>growth fragments may no longer support the full complement of species historically present, and later successional stages are shaped not only by succession but by the subset of species that remain regionally available.</w:t>
      </w:r>
      <w:r w:rsidR="00D46CB3">
        <w:rPr>
          <w:rFonts w:ascii="Times New Roman" w:hAnsi="Times New Roman" w:cs="Times New Roman"/>
          <w:color w:val="000000" w:themeColor="text1"/>
        </w:rPr>
        <w:t xml:space="preserve"> </w:t>
      </w:r>
    </w:p>
    <w:p w14:paraId="0343B05E" w14:textId="506B7F87" w:rsidR="0022735C" w:rsidRPr="008A383D" w:rsidRDefault="0022735C" w:rsidP="00D46CB3">
      <w:pPr>
        <w:spacing w:before="0" w:after="0"/>
        <w:ind w:firstLine="720"/>
        <w:rPr>
          <w:rFonts w:ascii="Times New Roman" w:hAnsi="Times New Roman" w:cs="Times New Roman"/>
          <w:color w:val="000000" w:themeColor="text1"/>
        </w:rPr>
      </w:pPr>
      <w:r w:rsidRPr="0022735C">
        <w:rPr>
          <w:rFonts w:ascii="Times New Roman" w:hAnsi="Times New Roman" w:cs="Times New Roman"/>
          <w:color w:val="000000" w:themeColor="text1"/>
        </w:rPr>
        <w:t xml:space="preserve">One possible driver of this reorganization is </w:t>
      </w:r>
      <w:r w:rsidRPr="0022735C">
        <w:rPr>
          <w:rFonts w:ascii="Times New Roman" w:eastAsiaTheme="majorEastAsia" w:hAnsi="Times New Roman" w:cs="Times New Roman"/>
          <w:color w:val="000000" w:themeColor="text1"/>
        </w:rPr>
        <w:t>disperser turnover,</w:t>
      </w:r>
      <w:r w:rsidRPr="0022735C">
        <w:rPr>
          <w:rFonts w:ascii="Times New Roman" w:hAnsi="Times New Roman" w:cs="Times New Roman"/>
          <w:color w:val="000000" w:themeColor="text1"/>
        </w:rPr>
        <w:t xml:space="preserve"> where open-habitat and edge-adapted </w:t>
      </w:r>
      <w:r w:rsidR="007A526F">
        <w:rPr>
          <w:rFonts w:ascii="Times New Roman" w:hAnsi="Times New Roman" w:cs="Times New Roman"/>
          <w:color w:val="000000" w:themeColor="text1"/>
        </w:rPr>
        <w:t>disperser</w:t>
      </w:r>
      <w:r w:rsidR="00555686">
        <w:rPr>
          <w:rFonts w:ascii="Times New Roman" w:hAnsi="Times New Roman" w:cs="Times New Roman"/>
          <w:color w:val="000000" w:themeColor="text1"/>
        </w:rPr>
        <w:t xml:space="preserve"> </w:t>
      </w:r>
      <w:r w:rsidRPr="0022735C">
        <w:rPr>
          <w:rFonts w:ascii="Times New Roman" w:hAnsi="Times New Roman" w:cs="Times New Roman"/>
          <w:color w:val="000000" w:themeColor="text1"/>
        </w:rPr>
        <w:t xml:space="preserve">species dominate early succession but are later replaced by </w:t>
      </w:r>
      <w:r w:rsidRPr="0022735C">
        <w:rPr>
          <w:rFonts w:ascii="Times New Roman" w:eastAsiaTheme="majorEastAsia" w:hAnsi="Times New Roman" w:cs="Times New Roman"/>
          <w:color w:val="000000" w:themeColor="text1"/>
        </w:rPr>
        <w:t>forest specialists</w:t>
      </w:r>
      <w:r w:rsidRPr="0022735C">
        <w:rPr>
          <w:rFonts w:ascii="Times New Roman" w:hAnsi="Times New Roman" w:cs="Times New Roman"/>
          <w:color w:val="000000" w:themeColor="text1"/>
        </w:rPr>
        <w:t xml:space="preserve"> as canopy cover increases and habitat complexity grows </w:t>
      </w:r>
      <w:r w:rsidRPr="0022735C">
        <w:rPr>
          <w:rFonts w:ascii="Times New Roman" w:hAnsi="Times New Roman" w:cs="Times New Roman"/>
          <w:color w:val="000000" w:themeColor="text1"/>
        </w:rPr>
        <w:fldChar w:fldCharType="begin"/>
      </w:r>
      <w:r w:rsidRPr="0022735C">
        <w:rPr>
          <w:rFonts w:ascii="Times New Roman" w:hAnsi="Times New Roman" w:cs="Times New Roman"/>
          <w:color w:val="000000" w:themeColor="text1"/>
        </w:rPr>
        <w:instrText xml:space="preserve"> ADDIN ZOTERO_ITEM CSL_CITATION {"citationID":"ehQkCtUM","properties":{"formattedCitation":"(Gonz\\uc0\\u225{}lez-Varo et al., 2023)","plainCitation":"(González-Varo et al., 2023)","noteIndex":0},"citationItems":[{"id":1764,"uris":["http://zotero.org/users/12345038/items/T6XC36N3"],"itemData":{"id":1764,"type":"article-journal","abstract":"Seed dispersal by frugivores is a fundamental function for plant community dynamics in fragmented landscapes, where forest remnants are typically embedded in a matrix of anthropogenic habitats. Frugivores can mediate both connectivity among forest remnants and plant colonization of the matrix. However, it remains poorly understood how frugivore communities change from forest to matrix due to the loss or replacement of species with traits that are less advantageous in open habitats and whether such changes ultimately influence the composition and traits of dispersed plants via species interactions. Here, we close this gap by using a unique dataset of seed-dispersal networks that were sampled in forest patches and adjacent matrix habitats of seven fragmented landscapes across Europe. We found a similar diversity of frugivores, plants, and interactions contributing to seed dispersal in forest and matrix, but a high turnover (replacement) in all these components. The turnover of dispersed seeds was smaller than that of frugivore communities because different frugivore species provided complementary seed dispersal in forest and matrix. Importantly, the turnover involved functional changes toward larger and more mobile frugivores in the matrix, which dispersed taller, larger-seeded plants with later fruiting periods. Our study provides a trait-based understanding of frugivore-mediated seed dispersal through fragmented landscapes, uncovering nonrandom shifts that can have cascading consequences for the composition of regenerating plant communities. Our findings also highlight the importance of forest remnants and frugivore faunas for ecosystem resilience, demonstrating a high potential for passive forest restoration of unmanaged lands in the matrix.","container-title":"Proceedings of the National Academy of Sciences","DOI":"10.1073/pnas.2302440120","ISSN":"0027-8424, 1091-6490","issue":"44","journalAbbreviation":"Proc. Natl. Acad. Sci. U.S.A.","language":"en","page":"e2302440120","source":"DOI.org (Crossref)","title":"Frugivore-mediated seed dispersal in fragmented landscapes: Compositional and functional turnover from forest to matrix","title-short":"Frugivore-mediated seed dispersal in fragmented landscapes","volume":"120","author":[{"family":"González-Varo","given":"Juan P."},{"family":"Albrecht","given":"Jörg"},{"family":"Arroyo","given":"Juan M."},{"family":"Bueno","given":"Rafael S."},{"family":"Burgos","given":"Tamara"},{"family":"Escribano-Ávila","given":"Gema"},{"family":"Farwig","given":"Nina"},{"family":"García","given":"Daniel"},{"family":"Illera","given":"Juan C."},{"family":"Jordano","given":"Pedro"},{"family":"Kurek","given":"Przemysław"},{"family":"Rösner","given":"Sascha"},{"family":"Virgós","given":"Emilio"},{"family":"Sutherland","given":"William J."}],"issued":{"date-parts":[["2023",10,31]]}}}],"schema":"https://github.com/citation-style-language/schema/raw/master/csl-citation.json"} </w:instrText>
      </w:r>
      <w:r w:rsidRPr="0022735C">
        <w:rPr>
          <w:rFonts w:ascii="Times New Roman" w:hAnsi="Times New Roman" w:cs="Times New Roman"/>
          <w:color w:val="000000" w:themeColor="text1"/>
        </w:rPr>
        <w:fldChar w:fldCharType="separate"/>
      </w:r>
      <w:r w:rsidRPr="0022735C">
        <w:rPr>
          <w:rFonts w:ascii="Times New Roman" w:hAnsi="Times New Roman" w:cs="Times New Roman"/>
          <w:color w:val="000000" w:themeColor="text1"/>
        </w:rPr>
        <w:t>(González-Varo et al., 2023)</w:t>
      </w:r>
      <w:r w:rsidRPr="0022735C">
        <w:rPr>
          <w:rFonts w:ascii="Times New Roman" w:hAnsi="Times New Roman" w:cs="Times New Roman"/>
          <w:color w:val="000000" w:themeColor="text1"/>
        </w:rPr>
        <w:fldChar w:fldCharType="end"/>
      </w:r>
      <w:r w:rsidRPr="0022735C">
        <w:rPr>
          <w:rFonts w:ascii="Times New Roman" w:hAnsi="Times New Roman" w:cs="Times New Roman"/>
          <w:color w:val="000000" w:themeColor="text1"/>
        </w:rPr>
        <w:t xml:space="preserve">. </w:t>
      </w:r>
      <w:r w:rsidRPr="0022735C">
        <w:rPr>
          <w:rFonts w:ascii="Times New Roman" w:eastAsiaTheme="majorEastAsia" w:hAnsi="Times New Roman" w:cs="Times New Roman"/>
          <w:color w:val="000000" w:themeColor="text1"/>
        </w:rPr>
        <w:t>Shifts in plant species composition</w:t>
      </w:r>
      <w:r w:rsidRPr="0022735C">
        <w:rPr>
          <w:rFonts w:ascii="Times New Roman" w:hAnsi="Times New Roman" w:cs="Times New Roman"/>
          <w:color w:val="000000" w:themeColor="text1"/>
        </w:rPr>
        <w:t xml:space="preserve"> likely </w:t>
      </w:r>
      <w:r w:rsidR="00555686">
        <w:rPr>
          <w:rFonts w:ascii="Times New Roman" w:hAnsi="Times New Roman" w:cs="Times New Roman"/>
          <w:color w:val="000000" w:themeColor="text1"/>
        </w:rPr>
        <w:t xml:space="preserve">additionally </w:t>
      </w:r>
      <w:r w:rsidRPr="0022735C">
        <w:rPr>
          <w:rFonts w:ascii="Times New Roman" w:hAnsi="Times New Roman" w:cs="Times New Roman"/>
          <w:color w:val="000000" w:themeColor="text1"/>
        </w:rPr>
        <w:t xml:space="preserve">contribute to this restructuring, as successional changes in the plant community introduce new fruiting species that attract different dispersers </w:t>
      </w:r>
      <w:r w:rsidRPr="0022735C">
        <w:rPr>
          <w:rFonts w:ascii="Times New Roman" w:hAnsi="Times New Roman" w:cs="Times New Roman"/>
          <w:color w:val="000000" w:themeColor="text1"/>
        </w:rPr>
        <w:fldChar w:fldCharType="begin"/>
      </w:r>
      <w:r w:rsidRPr="0022735C">
        <w:rPr>
          <w:rFonts w:ascii="Times New Roman" w:hAnsi="Times New Roman" w:cs="Times New Roman"/>
          <w:color w:val="000000" w:themeColor="text1"/>
        </w:rPr>
        <w:instrText xml:space="preserve"> ADDIN ZOTERO_ITEM CSL_CITATION {"citationID":"dJEF93Cz","properties":{"formattedCitation":"(Tuomisto et al., 2003)","plainCitation":"(Tuomisto et al., 2003)","noteIndex":0},"citationItems":[{"id":1767,"uris":["http://zotero.org/users/12345038/items/RSZB67FC"],"itemData":{"id":1767,"type":"article-journal","abstract":"The distribution of plant species, the species compositions of different sites, and the factors that affect them in tropical rain forests are not well understood. The main hypotheses are that species composition is either (i) uniform over large areas, (ii) random but spatially autocorrelated because of dispersal limitation, or (iii) patchy and environmentally determined. Here we test these hypotheses, using a large data set from western Amazonia. The uniformity hypothesis gains no support, but the other hypotheses do. Environmental determinism explains a larger proportion of the variation in floristic differences between sites than does dispersal limitation; together, these processes explain 70 to 75% of the variation. Consequently, it is important that management planning for conservation and resource use take into account both habitat heterogeneity and biogeographic differences.","container-title":"Science","DOI":"10.1126/science.1078037","ISSN":"0036-8075, 1095-9203","issue":"5604","journalAbbreviation":"Science","language":"en","page":"241-244","source":"DOI.org (Crossref)","title":"Dispersal, Environment, and Floristic Variation of Western Amazonian Forests","volume":"299","author":[{"family":"Tuomisto","given":"Hanna"},{"family":"Ruokolainen","given":"Kalle"},{"family":"Yli-Halla","given":"Markku"}],"issued":{"date-parts":[["2003",1,10]]}}}],"schema":"https://github.com/citation-style-language/schema/raw/master/csl-citation.json"} </w:instrText>
      </w:r>
      <w:r w:rsidRPr="0022735C">
        <w:rPr>
          <w:rFonts w:ascii="Times New Roman" w:hAnsi="Times New Roman" w:cs="Times New Roman"/>
          <w:color w:val="000000" w:themeColor="text1"/>
        </w:rPr>
        <w:fldChar w:fldCharType="separate"/>
      </w:r>
      <w:r w:rsidRPr="0022735C">
        <w:rPr>
          <w:rFonts w:ascii="Times New Roman" w:hAnsi="Times New Roman" w:cs="Times New Roman"/>
          <w:noProof/>
          <w:color w:val="000000" w:themeColor="text1"/>
        </w:rPr>
        <w:t>(Tuomisto et al., 2003)</w:t>
      </w:r>
      <w:r w:rsidRPr="0022735C">
        <w:rPr>
          <w:rFonts w:ascii="Times New Roman" w:hAnsi="Times New Roman" w:cs="Times New Roman"/>
          <w:color w:val="000000" w:themeColor="text1"/>
        </w:rPr>
        <w:fldChar w:fldCharType="end"/>
      </w:r>
      <w:r w:rsidRPr="0022735C">
        <w:rPr>
          <w:rFonts w:ascii="Times New Roman" w:hAnsi="Times New Roman" w:cs="Times New Roman"/>
          <w:color w:val="000000" w:themeColor="text1"/>
        </w:rPr>
        <w:t xml:space="preserve">. The replacement of fast-growing generalist plant species with late-successional species with specialized interactions may promote the recruitment of new disperser species, while the arrival of new dispersers may, in turn, facilitate the establishment of these plant species. </w:t>
      </w:r>
      <w:r w:rsidR="0065257D">
        <w:rPr>
          <w:rFonts w:ascii="Times New Roman" w:hAnsi="Times New Roman" w:cs="Times New Roman"/>
          <w:color w:val="000000" w:themeColor="text1"/>
        </w:rPr>
        <w:t>For example,</w:t>
      </w:r>
      <w:r w:rsidR="0055443D" w:rsidRPr="0055443D">
        <w:rPr>
          <w:rFonts w:ascii="Times New Roman" w:hAnsi="Times New Roman" w:cs="Times New Roman"/>
          <w:color w:val="000000" w:themeColor="text1"/>
        </w:rPr>
        <w:t xml:space="preserve"> </w:t>
      </w:r>
      <w:r w:rsidR="0055443D">
        <w:rPr>
          <w:rFonts w:ascii="Times New Roman" w:hAnsi="Times New Roman" w:cs="Times New Roman"/>
          <w:color w:val="000000" w:themeColor="text1"/>
        </w:rPr>
        <w:t xml:space="preserve">early stages of forest </w:t>
      </w:r>
      <w:r w:rsidR="0055443D" w:rsidRPr="00153309">
        <w:rPr>
          <w:rFonts w:ascii="Times New Roman" w:hAnsi="Times New Roman" w:cs="Times New Roman"/>
          <w:color w:val="000000" w:themeColor="text1"/>
        </w:rPr>
        <w:t>regeneration were dominated by interactions from small generalist frugivores, including</w:t>
      </w:r>
      <w:r w:rsidR="0065257D" w:rsidRPr="00153309">
        <w:rPr>
          <w:rFonts w:ascii="Times New Roman" w:hAnsi="Times New Roman" w:cs="Times New Roman"/>
          <w:color w:val="000000" w:themeColor="text1"/>
        </w:rPr>
        <w:t xml:space="preserve"> </w:t>
      </w:r>
      <w:r w:rsidR="00D479CE" w:rsidRPr="00153309">
        <w:rPr>
          <w:rFonts w:ascii="Times New Roman" w:hAnsi="Times New Roman" w:cs="Times New Roman"/>
          <w:i/>
          <w:iCs/>
          <w:color w:val="000000" w:themeColor="text1"/>
        </w:rPr>
        <w:t xml:space="preserve">Vireo </w:t>
      </w:r>
      <w:proofErr w:type="spellStart"/>
      <w:r w:rsidR="00D479CE" w:rsidRPr="00153309">
        <w:rPr>
          <w:rFonts w:ascii="Times New Roman" w:hAnsi="Times New Roman" w:cs="Times New Roman"/>
          <w:i/>
          <w:iCs/>
          <w:color w:val="000000" w:themeColor="text1"/>
        </w:rPr>
        <w:t>chivi</w:t>
      </w:r>
      <w:proofErr w:type="spellEnd"/>
      <w:r w:rsidR="00251131" w:rsidRPr="00153309">
        <w:rPr>
          <w:rFonts w:ascii="Times New Roman" w:hAnsi="Times New Roman" w:cs="Times New Roman"/>
          <w:color w:val="000000" w:themeColor="text1"/>
        </w:rPr>
        <w:t xml:space="preserve">, </w:t>
      </w:r>
      <w:r w:rsidR="00251131" w:rsidRPr="00153309">
        <w:rPr>
          <w:rFonts w:ascii="Times New Roman" w:hAnsi="Times New Roman" w:cs="Times New Roman"/>
          <w:i/>
          <w:iCs/>
          <w:color w:val="000000" w:themeColor="text1"/>
        </w:rPr>
        <w:t xml:space="preserve">Euphonia </w:t>
      </w:r>
      <w:proofErr w:type="spellStart"/>
      <w:r w:rsidR="00251131" w:rsidRPr="00153309">
        <w:rPr>
          <w:rFonts w:ascii="Times New Roman" w:hAnsi="Times New Roman" w:cs="Times New Roman"/>
          <w:i/>
          <w:iCs/>
          <w:color w:val="000000" w:themeColor="text1"/>
        </w:rPr>
        <w:t>laniirostris</w:t>
      </w:r>
      <w:proofErr w:type="spellEnd"/>
      <w:r w:rsidR="00251131" w:rsidRPr="00153309">
        <w:rPr>
          <w:rFonts w:ascii="Times New Roman" w:hAnsi="Times New Roman" w:cs="Times New Roman"/>
          <w:color w:val="000000" w:themeColor="text1"/>
        </w:rPr>
        <w:t xml:space="preserve">, and </w:t>
      </w:r>
      <w:r w:rsidR="00153309" w:rsidRPr="00153309">
        <w:rPr>
          <w:rFonts w:ascii="Times New Roman" w:hAnsi="Times New Roman" w:cs="Times New Roman"/>
          <w:i/>
          <w:iCs/>
          <w:color w:val="000000" w:themeColor="text1"/>
        </w:rPr>
        <w:t xml:space="preserve">Euphonia </w:t>
      </w:r>
      <w:proofErr w:type="spellStart"/>
      <w:r w:rsidR="00153309" w:rsidRPr="00153309">
        <w:rPr>
          <w:rFonts w:ascii="Times New Roman" w:hAnsi="Times New Roman" w:cs="Times New Roman"/>
          <w:i/>
          <w:iCs/>
          <w:color w:val="000000" w:themeColor="text1"/>
        </w:rPr>
        <w:t>xanthogaster</w:t>
      </w:r>
      <w:proofErr w:type="spellEnd"/>
      <w:r w:rsidR="00153309" w:rsidRPr="00153309">
        <w:rPr>
          <w:rFonts w:ascii="Times New Roman" w:hAnsi="Times New Roman" w:cs="Times New Roman"/>
          <w:color w:val="000000" w:themeColor="text1"/>
        </w:rPr>
        <w:t>.</w:t>
      </w:r>
      <w:r w:rsidR="00C43F12" w:rsidRPr="00153309">
        <w:rPr>
          <w:rFonts w:ascii="Times New Roman" w:hAnsi="Times New Roman" w:cs="Times New Roman"/>
          <w:color w:val="000000" w:themeColor="text1"/>
        </w:rPr>
        <w:t xml:space="preserve"> </w:t>
      </w:r>
      <w:r w:rsidR="00C43F12">
        <w:rPr>
          <w:rFonts w:ascii="Times New Roman" w:hAnsi="Times New Roman" w:cs="Times New Roman"/>
          <w:color w:val="000000" w:themeColor="text1"/>
        </w:rPr>
        <w:t>The domina</w:t>
      </w:r>
      <w:r w:rsidR="00555686">
        <w:rPr>
          <w:rFonts w:ascii="Times New Roman" w:hAnsi="Times New Roman" w:cs="Times New Roman"/>
          <w:color w:val="000000" w:themeColor="text1"/>
        </w:rPr>
        <w:t>n</w:t>
      </w:r>
      <w:r w:rsidR="00C43F12">
        <w:rPr>
          <w:rFonts w:ascii="Times New Roman" w:hAnsi="Times New Roman" w:cs="Times New Roman"/>
          <w:color w:val="000000" w:themeColor="text1"/>
        </w:rPr>
        <w:t xml:space="preserve">t dispersers then shifted between early and late stages of forest regeneration, where most of the interactions in later stages of regeneration were from large-bodied </w:t>
      </w:r>
      <w:r w:rsidR="00C43F12" w:rsidRPr="008A383D">
        <w:rPr>
          <w:rFonts w:ascii="Times New Roman" w:hAnsi="Times New Roman" w:cs="Times New Roman"/>
          <w:color w:val="000000" w:themeColor="text1"/>
        </w:rPr>
        <w:t xml:space="preserve">frugivores including </w:t>
      </w:r>
      <w:proofErr w:type="spellStart"/>
      <w:r w:rsidR="00810441" w:rsidRPr="008A383D">
        <w:rPr>
          <w:rFonts w:ascii="Times New Roman" w:hAnsi="Times New Roman" w:cs="Times New Roman"/>
          <w:i/>
          <w:iCs/>
          <w:color w:val="000000" w:themeColor="text1"/>
        </w:rPr>
        <w:t>Pteroglossus</w:t>
      </w:r>
      <w:proofErr w:type="spellEnd"/>
      <w:r w:rsidR="00810441" w:rsidRPr="008A383D">
        <w:rPr>
          <w:rFonts w:ascii="Times New Roman" w:hAnsi="Times New Roman" w:cs="Times New Roman"/>
          <w:i/>
          <w:iCs/>
          <w:color w:val="000000" w:themeColor="text1"/>
        </w:rPr>
        <w:t xml:space="preserve"> torquatus</w:t>
      </w:r>
      <w:r w:rsidR="00C43F12" w:rsidRPr="008A383D">
        <w:rPr>
          <w:rFonts w:ascii="Times New Roman" w:hAnsi="Times New Roman" w:cs="Times New Roman"/>
          <w:color w:val="000000" w:themeColor="text1"/>
        </w:rPr>
        <w:t xml:space="preserve">, </w:t>
      </w:r>
      <w:r w:rsidR="00810441" w:rsidRPr="008A383D">
        <w:rPr>
          <w:rFonts w:ascii="Times New Roman" w:hAnsi="Times New Roman" w:cs="Times New Roman"/>
          <w:i/>
          <w:iCs/>
          <w:color w:val="000000" w:themeColor="text1"/>
        </w:rPr>
        <w:t>Cuniculus paca</w:t>
      </w:r>
      <w:r w:rsidR="00810441" w:rsidRPr="008A383D">
        <w:rPr>
          <w:rFonts w:ascii="Times New Roman" w:hAnsi="Times New Roman" w:cs="Times New Roman"/>
          <w:color w:val="000000" w:themeColor="text1"/>
        </w:rPr>
        <w:t>,</w:t>
      </w:r>
      <w:r w:rsidR="008A383D">
        <w:rPr>
          <w:rFonts w:ascii="Times New Roman" w:hAnsi="Times New Roman" w:cs="Times New Roman"/>
          <w:color w:val="000000" w:themeColor="text1"/>
        </w:rPr>
        <w:t xml:space="preserve"> </w:t>
      </w:r>
      <w:r w:rsidR="008A383D" w:rsidRPr="008A383D">
        <w:rPr>
          <w:rFonts w:ascii="Times New Roman" w:hAnsi="Times New Roman" w:cs="Times New Roman"/>
          <w:color w:val="000000" w:themeColor="text1"/>
        </w:rPr>
        <w:t xml:space="preserve">and </w:t>
      </w:r>
      <w:r w:rsidR="008A383D" w:rsidRPr="008A383D">
        <w:rPr>
          <w:rFonts w:ascii="Times New Roman" w:hAnsi="Times New Roman" w:cs="Times New Roman"/>
          <w:i/>
          <w:iCs/>
          <w:color w:val="000000" w:themeColor="text1"/>
        </w:rPr>
        <w:t>Dasyprocta punctata</w:t>
      </w:r>
      <w:r w:rsidR="008A383D">
        <w:rPr>
          <w:rFonts w:ascii="Times New Roman" w:hAnsi="Times New Roman" w:cs="Times New Roman"/>
          <w:i/>
          <w:iCs/>
          <w:color w:val="000000" w:themeColor="text1"/>
        </w:rPr>
        <w:t xml:space="preserve">. </w:t>
      </w:r>
    </w:p>
    <w:p w14:paraId="3E6845F2" w14:textId="77777777" w:rsidR="0037328F" w:rsidRDefault="009F4FB8" w:rsidP="0037328F">
      <w:pPr>
        <w:spacing w:before="0" w:after="0"/>
        <w:ind w:firstLine="720"/>
        <w:rPr>
          <w:rFonts w:ascii="Times New Roman" w:eastAsiaTheme="majorEastAsia" w:hAnsi="Times New Roman" w:cs="Times New Roman"/>
          <w:color w:val="000000" w:themeColor="text1"/>
        </w:rPr>
      </w:pPr>
      <w:r w:rsidRPr="009F4FB8">
        <w:rPr>
          <w:rFonts w:ascii="Times New Roman" w:hAnsi="Times New Roman" w:cs="Times New Roman"/>
          <w:color w:val="000000" w:themeColor="text1"/>
        </w:rPr>
        <w:t xml:space="preserve">Though early stages of regeneration exhibited high interaction frequencies, they did not differ from null expectations and lacked patterns of connectivity, specialization, modularity, and nestedness. The lack of realized interaction patterns suggests high interaction redundancy and generalized dispersal dynamics, where dispersers interact broadly with plant species in an </w:t>
      </w:r>
      <w:r w:rsidRPr="009F4FB8">
        <w:rPr>
          <w:rFonts w:ascii="Times New Roman" w:hAnsi="Times New Roman" w:cs="Times New Roman"/>
          <w:color w:val="000000" w:themeColor="text1"/>
        </w:rPr>
        <w:lastRenderedPageBreak/>
        <w:t xml:space="preserve">unstructured manner </w:t>
      </w:r>
      <w:r w:rsidRPr="009F4FB8">
        <w:rPr>
          <w:rFonts w:ascii="Times New Roman" w:hAnsi="Times New Roman" w:cs="Times New Roman"/>
          <w:color w:val="000000" w:themeColor="text1"/>
        </w:rPr>
        <w:fldChar w:fldCharType="begin"/>
      </w:r>
      <w:r w:rsidRPr="009F4FB8">
        <w:rPr>
          <w:rFonts w:ascii="Times New Roman" w:hAnsi="Times New Roman" w:cs="Times New Roman"/>
          <w:color w:val="000000" w:themeColor="text1"/>
        </w:rPr>
        <w:instrText xml:space="preserve"> ADDIN ZOTERO_ITEM CSL_CITATION {"citationID":"o0N6B0VN","properties":{"formattedCitation":"(Emer et al., 2020b)","plainCitation":"(Emer et al., 2020b)","noteIndex":0},"citationItems":[{"id":847,"uris":["http://zotero.org/users/12345038/items/94NMC9RI"],"itemData":{"id":847,"type":"article-journal","abstract":"Seed dispersal interactions involve key ecological processes in tropical forests that help to maintain ecosystem functioning. Yet this functionality may be threatened by increasing habitat loss, defaunation, and fragmentation. However, generalist species, and their interactions, can benefit from the habitat change caused by human disturbance while more specialized interactions mostly disappear. Therefore, changes in the structure of the local, within fragment, networks can be expected. Here we investigated how the structure of seed dispersal networks changes along a gradient of increasing habitat fragmentation. We analyzed 16 bird seed dispersal assemblages from forest fragments of a biodiversity-rich ecosystem. We found significant species-, interaction-, and network-area relationships, yet the later was determined by the number of species remaining in each community. The number of frugivorous bird and plant species, their interactions, and the number of links per species decreases as area is lost in the fragmented landscape. In contrast, network nestedness has a negative relationship with fragment area, suggesting an increasing generalization of the network structure in the gradient of fragmentation. Network specialization was not significantly affected by area, indicating that some network properties may be invariant to disturbance. Still, the local extinction of partner species, paralleled by a loss of interactions and specialist-specialist bird-plant seed dispersal associations, suggests the functional homogenization of the system as area is lost. Our study provides empirical evidence for network-area relationships driven by the presence/absence of remnant species and the interactions they perform. in Spanish is available with online material.","container-title":"BIOTROPICA","DOI":"10.1111/btp.12738","ISSN":"0006-3606","issue":"1","page":"81-89","title":"Seed dispersal networks in tropical forest fragments: Area effects, remnant species, and interaction diversity","volume":"52","author":[{"family":"Emer","given":"Carine"},{"family":"Jordano","given":"Pedro"},{"family":"Pizo","given":"Marco A."},{"family":"Ribeiro","given":"Milton C."},{"family":"Silva","given":"Fernanda R.","non-dropping-particle":"da"},{"family":"Galetti","given":"Mauro"}],"issued":{"date-parts":[["2020",1]]}}}],"schema":"https://github.com/citation-style-language/schema/raw/master/csl-citation.json"} </w:instrText>
      </w:r>
      <w:r w:rsidRPr="009F4FB8">
        <w:rPr>
          <w:rFonts w:ascii="Times New Roman" w:hAnsi="Times New Roman" w:cs="Times New Roman"/>
          <w:color w:val="000000" w:themeColor="text1"/>
        </w:rPr>
        <w:fldChar w:fldCharType="separate"/>
      </w:r>
      <w:r w:rsidRPr="009F4FB8">
        <w:rPr>
          <w:rFonts w:ascii="Times New Roman" w:hAnsi="Times New Roman" w:cs="Times New Roman"/>
          <w:noProof/>
          <w:color w:val="000000" w:themeColor="text1"/>
        </w:rPr>
        <w:t>(Emer et al., 2020)</w:t>
      </w:r>
      <w:r w:rsidRPr="009F4FB8">
        <w:rPr>
          <w:rFonts w:ascii="Times New Roman" w:hAnsi="Times New Roman" w:cs="Times New Roman"/>
          <w:color w:val="000000" w:themeColor="text1"/>
        </w:rPr>
        <w:fldChar w:fldCharType="end"/>
      </w:r>
      <w:r w:rsidRPr="009F4FB8">
        <w:rPr>
          <w:rFonts w:ascii="Times New Roman" w:hAnsi="Times New Roman" w:cs="Times New Roman"/>
          <w:color w:val="000000" w:themeColor="text1"/>
        </w:rPr>
        <w:t xml:space="preserve">. In contrast, </w:t>
      </w:r>
      <w:r w:rsidR="0037328F">
        <w:rPr>
          <w:rFonts w:ascii="Times New Roman" w:hAnsi="Times New Roman" w:cs="Times New Roman"/>
          <w:color w:val="000000" w:themeColor="text1"/>
        </w:rPr>
        <w:t>t</w:t>
      </w:r>
      <w:r w:rsidR="0037328F" w:rsidRPr="009F4FB8">
        <w:rPr>
          <w:rFonts w:ascii="Times New Roman" w:hAnsi="Times New Roman" w:cs="Times New Roman"/>
          <w:color w:val="000000" w:themeColor="text1"/>
        </w:rPr>
        <w:t xml:space="preserve">he restructuring of seed dispersal networks across regeneration stages led to the emergence of specialized and modular networks in </w:t>
      </w:r>
      <w:r w:rsidR="0037328F">
        <w:rPr>
          <w:rFonts w:ascii="Times New Roman" w:hAnsi="Times New Roman" w:cs="Times New Roman"/>
          <w:color w:val="000000" w:themeColor="text1"/>
        </w:rPr>
        <w:t>secondary</w:t>
      </w:r>
      <w:r w:rsidR="0037328F" w:rsidRPr="009F4FB8">
        <w:rPr>
          <w:rFonts w:ascii="Times New Roman" w:hAnsi="Times New Roman" w:cs="Times New Roman"/>
          <w:color w:val="000000" w:themeColor="text1"/>
        </w:rPr>
        <w:t xml:space="preserve"> forests</w:t>
      </w:r>
      <w:r w:rsidR="0037328F">
        <w:rPr>
          <w:rFonts w:ascii="Times New Roman" w:hAnsi="Times New Roman" w:cs="Times New Roman"/>
          <w:color w:val="000000" w:themeColor="text1"/>
        </w:rPr>
        <w:t xml:space="preserve">, </w:t>
      </w:r>
      <w:r w:rsidRPr="009F4FB8">
        <w:rPr>
          <w:rFonts w:ascii="Times New Roman" w:hAnsi="Times New Roman" w:cs="Times New Roman"/>
          <w:color w:val="000000" w:themeColor="text1"/>
        </w:rPr>
        <w:t xml:space="preserve">suggesting a shift toward more </w:t>
      </w:r>
      <w:r w:rsidRPr="009F4FB8">
        <w:rPr>
          <w:rFonts w:ascii="Times New Roman" w:eastAsiaTheme="majorEastAsia" w:hAnsi="Times New Roman" w:cs="Times New Roman"/>
          <w:color w:val="000000" w:themeColor="text1"/>
        </w:rPr>
        <w:t>distinct species groups and interaction compartments</w:t>
      </w:r>
      <w:r w:rsidRPr="009F4FB8">
        <w:rPr>
          <w:rFonts w:ascii="Times New Roman" w:hAnsi="Times New Roman" w:cs="Times New Roman"/>
          <w:color w:val="000000" w:themeColor="text1"/>
        </w:rPr>
        <w:t xml:space="preserve"> with species beginning to form </w:t>
      </w:r>
      <w:r w:rsidRPr="009F4FB8">
        <w:rPr>
          <w:rFonts w:ascii="Times New Roman" w:eastAsiaTheme="majorEastAsia" w:hAnsi="Times New Roman" w:cs="Times New Roman"/>
          <w:color w:val="000000" w:themeColor="text1"/>
        </w:rPr>
        <w:t xml:space="preserve">more exclusive relationships. </w:t>
      </w:r>
      <w:r w:rsidRPr="009F4FB8">
        <w:rPr>
          <w:rFonts w:ascii="Times New Roman" w:hAnsi="Times New Roman" w:cs="Times New Roman"/>
          <w:color w:val="000000" w:themeColor="text1"/>
        </w:rPr>
        <w:t xml:space="preserve">Modularity is a key structural feature of ecological networks, promoting stability by buffering disturbances within interaction compartments and reducing the spread of disruptions across the entire network </w:t>
      </w:r>
      <w:r w:rsidRPr="009F4FB8">
        <w:rPr>
          <w:rFonts w:ascii="Times New Roman" w:eastAsiaTheme="majorEastAsia" w:hAnsi="Times New Roman" w:cs="Times New Roman"/>
          <w:color w:val="000000" w:themeColor="text1"/>
        </w:rPr>
        <w:fldChar w:fldCharType="begin"/>
      </w:r>
      <w:r w:rsidRPr="009F4FB8">
        <w:rPr>
          <w:rFonts w:ascii="Times New Roman" w:eastAsiaTheme="majorEastAsia" w:hAnsi="Times New Roman" w:cs="Times New Roman"/>
          <w:color w:val="000000" w:themeColor="text1"/>
        </w:rPr>
        <w:instrText xml:space="preserve"> ADDIN ZOTERO_ITEM CSL_CITATION {"citationID":"l4W8Arfy","properties":{"formattedCitation":"(Newman, 2006; Olesen et al., 2007; Ribeiro Mello et al., 2011)","plainCitation":"(Newman, 2006; Olesen et al., 2007; Ribeiro Mello et al., 2011)","noteIndex":0},"citationItems":[{"id":1380,"uris":["http://zotero.org/users/12345038/items/KTWQDDXG"],"itemData":{"id":1380,"type":"article-journal","abstract":"Many networks of interest in the sciences, including social networks, computer networks, and metabolic and regulatory networks, are found to divide naturally into communities or modules. The problem of detecting and characterizing this community structure is one of the outstanding issues in the study of networked systems. One highly effective approach is the optimization of the quality function known as “modularity” over the possible divisions of a network. Here I show that the modularity can be expressed in terms of the eigenvectors of a characteristic matrix for the network, which I call the modularity matrix, and that this expression leads to a spectral algorithm for community detection that returns results of demonstrably higher quality than competing methods in shorter running times. I illustrate the method with applications to several published network data sets.","container-title":"Proceedings of the National Academy of Sciences","DOI":"10.1073/pnas.0601602103","ISSN":"0027-8424, 1091-6490","issue":"23","journalAbbreviation":"Proc. Natl. Acad. Sci. U.S.A.","language":"en","page":"8577-8582","source":"DOI.org (Crossref)","title":"Modularity and community structure in networks","volume":"103","author":[{"family":"Newman","given":"M. E. J."}],"issued":{"date-parts":[["2006",6,6]]}}},{"id":318,"uris":["http://zotero.org/users/local/0R4uToEG/items/AC5UTTK3","http://zotero.org/users/12345038/items/AC5UTTK3"],"itemData":{"id":318,"type":"article-journal","abstract":"In natural communities, species and their interactions are often organized as nonrandom networks, showing distinct and repeated complex patterns. A prevalent, but poorly explored pattern is ecological modularity, with weakly interlinked subsets of species (modules), which, however, internally consist of strongly connected species. The importance of modularity has been discussed for a long time, but no consensus on its prevalence in ecological networks has yet been reached. Progress is hampered by inadequate methods and a lack of large datasets. We analyzed 51 pollination networks including almost 10,000 species and 20,000 links and tested for modularity by using a recently developed simulated annealing algorithm. All networks with &gt;150 plant and pollinator species were modular, whereas networks with &lt;50 species were never modular. Both module number and size increased with species number. Each module includes one or a few species groups with convergent trait sets that may be considered as coevolutionary units. Species played different roles with respect to modularity. However, only 15% of all species were structurally important to their network. They were either hubs (i.e., highly linked species within their own module), connectors linking different modules, or both. If these key species go extinct, modules and networks may break apart and initiate cascades of extinction. Thus, species serving as hubs and connectors should receive high conservation priorities.","container-title":"Proceedings of the National Academy of Sciences","DOI":"10.1073/pnas.0706375104","ISSN":"0027-8424, 1091-6490","issue":"50","journalAbbreviation":"Proc. Natl. Acad. Sci. U.S.A.","language":"en","page":"19891-19896","source":"DOI.org (Crossref)","title":"The modularity of pollination networks","volume":"104","author":[{"family":"Olesen","given":"Jens M."},{"family":"Bascompte","given":"Jordi"},{"family":"Dupont","given":"Yoko L."},{"family":"Jordano","given":"Pedro"}],"issued":{"date-parts":[["2007",12,11]]}}},{"id":1001,"uris":["http://zotero.org/users/12345038/items/GYUD5L4U"],"itemData":{"id":1001,"type":"article-journal","abstract":"In networks of plant-animal mutualisms, different animal groups interact preferentially with different plants, thus forming distinct modules responsible for different parts of the service. However, what we currently know about seed dispersal networks is based only on birds. Therefore, we wished to fill this gap by studying bat-fruit networks and testing how they differ from bird-fruit networks. As dietary overlap of Neotropical bats and birds is low, they should form distinct mutualistic modules within local networks. Furthermore, since frugivory evolved only once among Neotropical bats, but several times independently among Neotropical birds, greater dietary overlap is expected among bats, and thus connectance and nestedness should be higher in bat-fruit networks. If bat-fruit networks have higher nestedness and connectance, they should be more robust to extinctions. We analyzed 1 mixed network of both bats and birds and 20 networks that consisted exclusively of either bats (11) or birds (9). As expected, the structure of the mixed network was both modular (M = 0.45) and nested (NODF = 0.31); one module contained only birds and two only bats. In 20 datasets with only one disperser group, bat-fruit networks (NODF = 0.53 +/- A 0.09, C = 0.30 +/- A 0.11) were more nested and had a higher connectance than bird-fruit networks (NODF = 0.42 +/- A 0.07, C = 0.22 +/- A 0.09). Unexpectedly, robustness to extinction of animal species was higher in bird-fruit networks (R = 0.60 +/- A 0.13) than in bat-fruit networks (R = 0.54 +/- A 0.09), and differences were explained mainly by species richness. These findings suggest that a modular structure also occurs in seed dispersal networks, similar to pollination networks. The higher nestedness and connectance observed in bat-fruit networks compared with bird-fruit networks may be explained by the monophyletic evolution of frugivory in Neotropical bats, among which the diets of specialists seem to have evolved from the pool of fruits consumed by generalists.","container-title":"OECOLOGIA","DOI":"10.1007/s00442-011-1984-2","ISSN":"0029-8549","issue":"1","page":"131-140","title":"The modularity of seed dispersal: differences in structure and robustness between bat- and bird-fruit networks","volume":"167","author":[{"family":"Ribeiro Mello","given":"Marco Aurelio"},{"family":"Darcie Marquitti","given":"Flavia Maria"},{"family":"Guimaraes","given":"Paulo R.","suffix":"Jr."},{"family":"Viktoria Kalko","given":"Elisabeth Klara"},{"family":"Jordano","given":"Pedro"},{"family":"Martinez de Aguiar","given":"Marcus Aloizio"}],"issued":{"date-parts":[["2011",9]]}}}],"schema":"https://github.com/citation-style-language/schema/raw/master/csl-citation.json"} </w:instrText>
      </w:r>
      <w:r w:rsidRPr="009F4FB8">
        <w:rPr>
          <w:rFonts w:ascii="Times New Roman" w:eastAsiaTheme="majorEastAsia" w:hAnsi="Times New Roman" w:cs="Times New Roman"/>
          <w:color w:val="000000" w:themeColor="text1"/>
        </w:rPr>
        <w:fldChar w:fldCharType="separate"/>
      </w:r>
      <w:r w:rsidRPr="009F4FB8">
        <w:rPr>
          <w:rFonts w:ascii="Times New Roman" w:eastAsiaTheme="majorEastAsia" w:hAnsi="Times New Roman" w:cs="Times New Roman"/>
          <w:noProof/>
          <w:color w:val="000000" w:themeColor="text1"/>
        </w:rPr>
        <w:t>(Newman, 2006; Olesen et al., 2007; Ribeiro Mello et al., 2011)</w:t>
      </w:r>
      <w:r w:rsidRPr="009F4FB8">
        <w:rPr>
          <w:rFonts w:ascii="Times New Roman" w:eastAsiaTheme="majorEastAsia" w:hAnsi="Times New Roman" w:cs="Times New Roman"/>
          <w:color w:val="000000" w:themeColor="text1"/>
        </w:rPr>
        <w:fldChar w:fldCharType="end"/>
      </w:r>
      <w:r w:rsidRPr="009F4FB8">
        <w:rPr>
          <w:rFonts w:ascii="Times New Roman" w:eastAsiaTheme="majorEastAsia" w:hAnsi="Times New Roman" w:cs="Times New Roman"/>
          <w:color w:val="000000" w:themeColor="text1"/>
        </w:rPr>
        <w:t xml:space="preserve">. </w:t>
      </w:r>
    </w:p>
    <w:p w14:paraId="6EC69E45" w14:textId="0746B3B1" w:rsidR="009F4FB8" w:rsidRPr="0037328F" w:rsidRDefault="009F4FB8" w:rsidP="0037328F">
      <w:pPr>
        <w:spacing w:before="0" w:after="0"/>
        <w:ind w:firstLine="720"/>
        <w:rPr>
          <w:rFonts w:ascii="Times New Roman" w:eastAsiaTheme="majorEastAsia" w:hAnsi="Times New Roman" w:cs="Times New Roman"/>
          <w:color w:val="000000" w:themeColor="text1"/>
        </w:rPr>
      </w:pPr>
      <w:r w:rsidRPr="009F4FB8">
        <w:rPr>
          <w:rFonts w:ascii="Times New Roman" w:hAnsi="Times New Roman" w:cs="Times New Roman"/>
          <w:color w:val="000000" w:themeColor="text1"/>
        </w:rPr>
        <w:t xml:space="preserve">The emergence of modularity in secondary forests may indicate increasing ecological stability, as functionally cohesive species groups become more established and organize into more resilient structures, potentially supporting long-term ecosystem persistence. </w:t>
      </w:r>
      <w:r w:rsidRPr="009F4FB8">
        <w:rPr>
          <w:rFonts w:ascii="Times New Roman" w:eastAsiaTheme="majorEastAsia" w:hAnsi="Times New Roman" w:cs="Times New Roman"/>
          <w:color w:val="000000" w:themeColor="text1"/>
        </w:rPr>
        <w:t xml:space="preserve">This is further supported by the observed </w:t>
      </w:r>
      <w:r w:rsidRPr="009F4FB8">
        <w:rPr>
          <w:rFonts w:ascii="Times New Roman" w:hAnsi="Times New Roman" w:cs="Times New Roman"/>
          <w:color w:val="000000" w:themeColor="text1"/>
        </w:rPr>
        <w:t xml:space="preserve">nested pattern in old growth forests, indicating that </w:t>
      </w:r>
      <w:r w:rsidRPr="009F4FB8">
        <w:rPr>
          <w:rFonts w:ascii="Times New Roman" w:eastAsiaTheme="majorEastAsia" w:hAnsi="Times New Roman" w:cs="Times New Roman"/>
          <w:color w:val="000000" w:themeColor="text1"/>
        </w:rPr>
        <w:t xml:space="preserve">a core group of generalist dispersers interacts with many plant species, while specialists maintain more selective interactions </w:t>
      </w:r>
      <w:r w:rsidRPr="009F4FB8">
        <w:rPr>
          <w:rFonts w:ascii="Times New Roman" w:eastAsiaTheme="majorEastAsia" w:hAnsi="Times New Roman" w:cs="Times New Roman"/>
          <w:color w:val="000000" w:themeColor="text1"/>
        </w:rPr>
        <w:fldChar w:fldCharType="begin"/>
      </w:r>
      <w:r w:rsidRPr="009F4FB8">
        <w:rPr>
          <w:rFonts w:ascii="Times New Roman" w:eastAsiaTheme="majorEastAsia" w:hAnsi="Times New Roman" w:cs="Times New Roman"/>
          <w:color w:val="000000" w:themeColor="text1"/>
        </w:rPr>
        <w:instrText xml:space="preserve"> ADDIN ZOTERO_ITEM CSL_CITATION {"citationID":"gxRrGw5R","properties":{"formattedCitation":"(Almeida-Neto &amp; Ulrich, 2011)","plainCitation":"(Almeida-Neto &amp; Ulrich, 2011)","noteIndex":0},"citationItems":[{"id":1757,"uris":["http://zotero.org/users/12345038/items/VMZAF9FA"],"itemData":{"id":1757,"type":"article-journal","container-title":"Environmental Modelling &amp; Software","DOI":"10.1016/j.envsoft.2010.08.003","ISSN":"13648152","issue":"2","journalAbbreviation":"Environmental Modelling &amp; Software","language":"en","license":"https://www.elsevier.com/tdm/userlicense/1.0/","page":"173-178","source":"DOI.org (Crossref)","title":"A straightforward computational approach for measuring nestedness using quantitative matrices","volume":"26","author":[{"family":"Almeida-Neto","given":"Mário"},{"family":"Ulrich","given":"Werner"}],"issued":{"date-parts":[["2011",2]]}}}],"schema":"https://github.com/citation-style-language/schema/raw/master/csl-citation.json"} </w:instrText>
      </w:r>
      <w:r w:rsidRPr="009F4FB8">
        <w:rPr>
          <w:rFonts w:ascii="Times New Roman" w:eastAsiaTheme="majorEastAsia" w:hAnsi="Times New Roman" w:cs="Times New Roman"/>
          <w:color w:val="000000" w:themeColor="text1"/>
        </w:rPr>
        <w:fldChar w:fldCharType="separate"/>
      </w:r>
      <w:r w:rsidRPr="009F4FB8">
        <w:rPr>
          <w:rFonts w:ascii="Times New Roman" w:eastAsiaTheme="majorEastAsia" w:hAnsi="Times New Roman" w:cs="Times New Roman"/>
          <w:noProof/>
          <w:color w:val="000000" w:themeColor="text1"/>
        </w:rPr>
        <w:t>(Almeida-Neto &amp; Ulrich, 2011)</w:t>
      </w:r>
      <w:r w:rsidRPr="009F4FB8">
        <w:rPr>
          <w:rFonts w:ascii="Times New Roman" w:eastAsiaTheme="majorEastAsia" w:hAnsi="Times New Roman" w:cs="Times New Roman"/>
          <w:color w:val="000000" w:themeColor="text1"/>
        </w:rPr>
        <w:fldChar w:fldCharType="end"/>
      </w:r>
      <w:r w:rsidRPr="009F4FB8">
        <w:rPr>
          <w:rFonts w:ascii="Times New Roman" w:hAnsi="Times New Roman" w:cs="Times New Roman"/>
          <w:color w:val="000000" w:themeColor="text1"/>
        </w:rPr>
        <w:t xml:space="preserve">. A nested structure is characteristic of </w:t>
      </w:r>
      <w:r w:rsidRPr="009F4FB8">
        <w:rPr>
          <w:rFonts w:ascii="Times New Roman" w:eastAsiaTheme="majorEastAsia" w:hAnsi="Times New Roman" w:cs="Times New Roman"/>
          <w:color w:val="000000" w:themeColor="text1"/>
        </w:rPr>
        <w:t>stable, well-integrated networks</w:t>
      </w:r>
      <w:r w:rsidRPr="009F4FB8">
        <w:rPr>
          <w:rFonts w:ascii="Times New Roman" w:hAnsi="Times New Roman" w:cs="Times New Roman"/>
          <w:color w:val="000000" w:themeColor="text1"/>
        </w:rPr>
        <w:t xml:space="preserve">, where </w:t>
      </w:r>
      <w:r w:rsidRPr="009F4FB8">
        <w:rPr>
          <w:rFonts w:ascii="Times New Roman" w:eastAsiaTheme="majorEastAsia" w:hAnsi="Times New Roman" w:cs="Times New Roman"/>
          <w:color w:val="000000" w:themeColor="text1"/>
        </w:rPr>
        <w:t xml:space="preserve">interaction redundancy enhances resilience to species loss </w:t>
      </w:r>
      <w:r w:rsidRPr="009F4FB8">
        <w:rPr>
          <w:rFonts w:ascii="Times New Roman" w:eastAsiaTheme="majorEastAsia" w:hAnsi="Times New Roman" w:cs="Times New Roman"/>
          <w:color w:val="000000" w:themeColor="text1"/>
        </w:rPr>
        <w:fldChar w:fldCharType="begin"/>
      </w:r>
      <w:r w:rsidRPr="009F4FB8">
        <w:rPr>
          <w:rFonts w:ascii="Times New Roman" w:eastAsiaTheme="majorEastAsia" w:hAnsi="Times New Roman" w:cs="Times New Roman"/>
          <w:color w:val="000000" w:themeColor="text1"/>
        </w:rPr>
        <w:instrText xml:space="preserve"> ADDIN ZOTERO_ITEM CSL_CITATION {"citationID":"Y4QGVVOa","properties":{"formattedCitation":"(Bascompte et al., 2003; Sebastian-Gonzalez et al., 2015)","plainCitation":"(Bascompte et al., 2003; Sebastian-Gonzalez et al., 2015)","noteIndex":0},"citationItems":[{"id":29,"uris":["http://zotero.org/users/12345038/items/L4IKBVVI"],"itemData":{"id":29,"type":"article-journal","abstract":"Most studies of plant–animal mutualisms involve a small number of\n species. There is almost no information on the structural organization of\n species-rich mutualistic networks despite its potential importance for the\n maintenance of diversity. Here we analyze 52 mutualistic networks and show\n that they are highly nested; that is, the more specialist species interact\n only with proper subsets of those species interacting with the more\n generalists. This assembly pattern generates highly asymmetrical interactions\n and organizes the community cohesively around a central core of interactions.\n Thus, mutualistic networks are neither randomly assembled nor organized in\n compartments arising from tight, parallel specialization. Furthermore,\n nestedness increases with the complexity (number of interactions) of the\n network: for a given number of species, communities with more interactions are\n significantly more nested. Our results indicate a nonrandom pattern of\n community organization that may be relevant for our understanding of the\n organization and persistence of biodiversity.","container-title":"Proceedings of the National Academy of Sciences","DOI":"10.1073/pnas.1633576100","ISSN":"0027-8424, 1091-6490","issue":"16","journalAbbreviation":"Proc. Natl. Acad. Sci. U.S.A.","language":"en","page":"9383-9387","source":"DOI.org (Crossref)","title":"The nested assembly of plant–animal mutualistic networks","volume":"100","author":[{"family":"Bascompte","given":"Jordi"},{"family":"Jordano","given":"Pedro"},{"family":"Melián","given":"Carlos J."},{"family":"Olesen","given":"Jens M."}],"issued":{"date-parts":[["2003",8,5]]}}},{"id":804,"uris":["http://zotero.org/users/12345038/items/CE8MVQKF"],"itemData":{"id":804,"type":"article-journal","abstract":"AimWe aim to characterize the macroecological patterns in the structure of mutualistic seed-dispersal networks. Tropical areas hold more species than temperate ones. This difference in species number may favour ecological processes that minimize interspecific competition in species-rich areas. There is theoretical evidence that both modularity (i.e. the presence of semi-independent groups of highly interacting species) and nestedness (i.e. specialists interact with a subset of the species interacting with generalists) reduce the effects of competition. Thus, we expect high degrees of modularity or nestedness at low latitudes in seed-dispersal networks. Moreover, we test whether climate, topography and human impact influence network structure. LocationThirty-four qualitative and 21 weighted seed-dispersal interaction networks located world-wide. MethodsWe related the degree of modularity and nestedness of seed-dispersal interaction networks with latitude. To disentangle the macroecological drivers of network structure, we also associated modularity/nestedness with species richness, altitudinal range, human impact and an array of climate predictors: precipitation, temperature, precipitation/temperature seasonality and historical climate-change velocity and anomaly. ResultsBinary networks showed stronger macroecological patterns than weighted networks. Latitude was unrelated to the structure of seed-dispersal networks, but more nested assemblages were species rich and were located in areas with a high degree of human impact, high temperature seasonality, low precipitation, and, especially on the mainland, high stability in precipitation. Modular networks were species rich and found in areas with low human impact. For both nestedness and modularity, the effects of species richness and human impact were especially strong and consistent. Main conclusionsAs for previous macroecological studies of mutualistic networks, we found that the structure of seed-dispersal assemblages was related to current and historical climate. The largest influences on nestedness and modularity, however, were the number of competing species and the degree of human impact. This suggests that human disturbance, not just climate, is an important factor determining the structure of a seed-dispersal network.","container-title":"GLOBAL ECOLOGY AND BIOGEOGRAPHY","DOI":"10.1111/geb.12270","ISSN":"1466-822X","issue":"3","page":"293-303","title":"Macroecological trends in nestedness and modularity of seed-dispersal networks: human impact matters","volume":"24","author":[{"family":"Sebastian-Gonzalez","given":"Esther"},{"family":"Dalsgaard","given":"Bo"},{"family":"Sandel","given":"Brody"},{"family":"Guimaraes","given":"Paulo R.","suffix":"Jr."}],"issued":{"date-parts":[["2015",3]]}}}],"schema":"https://github.com/citation-style-language/schema/raw/master/csl-citation.json"} </w:instrText>
      </w:r>
      <w:r w:rsidRPr="009F4FB8">
        <w:rPr>
          <w:rFonts w:ascii="Times New Roman" w:eastAsiaTheme="majorEastAsia" w:hAnsi="Times New Roman" w:cs="Times New Roman"/>
          <w:color w:val="000000" w:themeColor="text1"/>
        </w:rPr>
        <w:fldChar w:fldCharType="separate"/>
      </w:r>
      <w:r w:rsidRPr="009F4FB8">
        <w:rPr>
          <w:rFonts w:ascii="Times New Roman" w:eastAsiaTheme="majorEastAsia" w:hAnsi="Times New Roman" w:cs="Times New Roman"/>
          <w:noProof/>
          <w:color w:val="000000" w:themeColor="text1"/>
        </w:rPr>
        <w:t>(Bascompte et al., 2003; Sebastian-Gonzalez et al., 2015)</w:t>
      </w:r>
      <w:r w:rsidRPr="009F4FB8">
        <w:rPr>
          <w:rFonts w:ascii="Times New Roman" w:eastAsiaTheme="majorEastAsia" w:hAnsi="Times New Roman" w:cs="Times New Roman"/>
          <w:color w:val="000000" w:themeColor="text1"/>
        </w:rPr>
        <w:fldChar w:fldCharType="end"/>
      </w:r>
      <w:r w:rsidRPr="009F4FB8">
        <w:rPr>
          <w:rFonts w:ascii="Times New Roman" w:hAnsi="Times New Roman" w:cs="Times New Roman"/>
          <w:color w:val="000000" w:themeColor="text1"/>
        </w:rPr>
        <w:t xml:space="preserve">. </w:t>
      </w:r>
      <w:r w:rsidRPr="009F4FB8">
        <w:rPr>
          <w:rFonts w:ascii="Times New Roman" w:hAnsi="Times New Roman" w:cs="Times New Roman"/>
          <w:color w:val="000000" w:themeColor="text1"/>
          <w:shd w:val="clear" w:color="auto" w:fill="FFFFFF"/>
        </w:rPr>
        <w:t xml:space="preserve">High nestedness often indicates a greater degree of specialization among species within a network, while modularity can facilitate specialization by allowing species to evolve specific interactions within their modules </w:t>
      </w:r>
      <w:r w:rsidRPr="009F4FB8">
        <w:rPr>
          <w:rFonts w:ascii="Times New Roman" w:hAnsi="Times New Roman" w:cs="Times New Roman"/>
          <w:color w:val="000000" w:themeColor="text1"/>
          <w:shd w:val="clear" w:color="auto" w:fill="FFFFFF"/>
        </w:rPr>
        <w:fldChar w:fldCharType="begin"/>
      </w:r>
      <w:r w:rsidRPr="009F4FB8">
        <w:rPr>
          <w:rFonts w:ascii="Times New Roman" w:hAnsi="Times New Roman" w:cs="Times New Roman"/>
          <w:color w:val="000000" w:themeColor="text1"/>
          <w:shd w:val="clear" w:color="auto" w:fill="FFFFFF"/>
        </w:rPr>
        <w:instrText xml:space="preserve"> ADDIN ZOTERO_ITEM CSL_CITATION {"citationID":"uX390cF8","properties":{"formattedCitation":"(Fortuna et al., 2010)","plainCitation":"(Fortuna et al., 2010)","noteIndex":0},"citationItems":[{"id":488,"uris":["http://zotero.org/users/12345038/items/5XCKP772"],"itemData":{"id":488,"type":"article-journal","container-title":"Journal of Animal Ecology","DOI":"10.1111/j.1365-2656.2010.01688.x","ISSN":"00218790, 13652656","language":"en","source":"DOI.org (Crossref)","title":"Nestedness versus modularity in ecological networks: two sides of the same coin?","title-short":"Nestedness versus modularity in ecological networks","URL":"https://onlinelibrary.wiley.com/doi/10.1111/j.1365-2656.2010.01688.x","author":[{"family":"Fortuna","given":"Miguel A."},{"family":"Stouffer","given":"Daniel B."},{"family":"Olesen","given":"Jens M."},{"family":"Jordano","given":"Pedro"},{"family":"Mouillot","given":"David"},{"family":"Krasnov","given":"Boris R."},{"family":"Poulin","given":"Robert"},{"family":"Bascompte","given":"Jordi"}],"accessed":{"date-parts":[["2023",1,17]]},"issued":{"date-parts":[["2010",3]]}}}],"schema":"https://github.com/citation-style-language/schema/raw/master/csl-citation.json"} </w:instrText>
      </w:r>
      <w:r w:rsidRPr="009F4FB8">
        <w:rPr>
          <w:rFonts w:ascii="Times New Roman" w:hAnsi="Times New Roman" w:cs="Times New Roman"/>
          <w:color w:val="000000" w:themeColor="text1"/>
          <w:shd w:val="clear" w:color="auto" w:fill="FFFFFF"/>
        </w:rPr>
        <w:fldChar w:fldCharType="separate"/>
      </w:r>
      <w:r w:rsidRPr="009F4FB8">
        <w:rPr>
          <w:rFonts w:ascii="Times New Roman" w:hAnsi="Times New Roman" w:cs="Times New Roman"/>
          <w:noProof/>
          <w:color w:val="000000" w:themeColor="text1"/>
          <w:shd w:val="clear" w:color="auto" w:fill="FFFFFF"/>
        </w:rPr>
        <w:t>(Fortuna et al., 2010)</w:t>
      </w:r>
      <w:r w:rsidRPr="009F4FB8">
        <w:rPr>
          <w:rFonts w:ascii="Times New Roman" w:hAnsi="Times New Roman" w:cs="Times New Roman"/>
          <w:color w:val="000000" w:themeColor="text1"/>
          <w:shd w:val="clear" w:color="auto" w:fill="FFFFFF"/>
        </w:rPr>
        <w:fldChar w:fldCharType="end"/>
      </w:r>
      <w:r w:rsidRPr="009F4FB8">
        <w:rPr>
          <w:rFonts w:ascii="Times New Roman" w:hAnsi="Times New Roman" w:cs="Times New Roman"/>
          <w:color w:val="000000" w:themeColor="text1"/>
          <w:shd w:val="clear" w:color="auto" w:fill="FFFFFF"/>
        </w:rPr>
        <w:t xml:space="preserve">.  </w:t>
      </w:r>
      <w:r w:rsidRPr="009F4FB8">
        <w:rPr>
          <w:rFonts w:ascii="Times New Roman" w:hAnsi="Times New Roman" w:cs="Times New Roman"/>
          <w:color w:val="000000" w:themeColor="text1"/>
        </w:rPr>
        <w:t>As a result, the highest levels of specialization were also observed in mature forests. The co-occurrence of these patterns suggests that dispersal networks in later successional stages have greater functional stability and resilience compared to younger forests.</w:t>
      </w:r>
    </w:p>
    <w:p w14:paraId="45266542" w14:textId="3F238B63" w:rsidR="00A821D2" w:rsidRPr="005A0AC0" w:rsidRDefault="009F4FB8" w:rsidP="00D46CB3">
      <w:pPr>
        <w:spacing w:before="0" w:after="0"/>
        <w:ind w:firstLine="720"/>
        <w:rPr>
          <w:rFonts w:ascii="Times New Roman" w:hAnsi="Times New Roman" w:cs="Times New Roman"/>
          <w:color w:val="000000" w:themeColor="text1"/>
        </w:rPr>
      </w:pPr>
      <w:r w:rsidRPr="009F4FB8">
        <w:rPr>
          <w:rFonts w:ascii="Times New Roman" w:hAnsi="Times New Roman" w:cs="Times New Roman"/>
          <w:color w:val="000000" w:themeColor="text1"/>
        </w:rPr>
        <w:t xml:space="preserve">Overall, our findings demonstrate that while early successional forests may serve as important interaction hubs in fragmented landscapes, the long-term recovery of dispersal networks depends on how </w:t>
      </w:r>
      <w:r w:rsidR="00D46CB3">
        <w:rPr>
          <w:rFonts w:ascii="Times New Roman" w:hAnsi="Times New Roman" w:cs="Times New Roman"/>
          <w:color w:val="000000" w:themeColor="text1"/>
        </w:rPr>
        <w:t xml:space="preserve">early-state </w:t>
      </w:r>
      <w:r w:rsidRPr="009F4FB8">
        <w:rPr>
          <w:rFonts w:ascii="Times New Roman" w:hAnsi="Times New Roman" w:cs="Times New Roman"/>
          <w:color w:val="000000" w:themeColor="text1"/>
        </w:rPr>
        <w:t xml:space="preserve">disturbance-driven systems transition into more specialized and </w:t>
      </w:r>
      <w:r w:rsidR="00D46CB3">
        <w:rPr>
          <w:rFonts w:ascii="Times New Roman" w:hAnsi="Times New Roman" w:cs="Times New Roman"/>
          <w:color w:val="000000" w:themeColor="text1"/>
        </w:rPr>
        <w:t>structured</w:t>
      </w:r>
      <w:r w:rsidRPr="009F4FB8">
        <w:rPr>
          <w:rFonts w:ascii="Times New Roman" w:hAnsi="Times New Roman" w:cs="Times New Roman"/>
          <w:color w:val="000000" w:themeColor="text1"/>
        </w:rPr>
        <w:t xml:space="preserve"> networks </w:t>
      </w:r>
      <w:r w:rsidR="00D46CB3">
        <w:rPr>
          <w:rFonts w:ascii="Times New Roman" w:hAnsi="Times New Roman" w:cs="Times New Roman"/>
          <w:color w:val="000000" w:themeColor="text1"/>
        </w:rPr>
        <w:t>as forests mature.</w:t>
      </w:r>
      <w:r w:rsidRPr="009F4FB8">
        <w:rPr>
          <w:rFonts w:ascii="Times New Roman" w:hAnsi="Times New Roman" w:cs="Times New Roman"/>
          <w:color w:val="000000" w:themeColor="text1"/>
        </w:rPr>
        <w:t xml:space="preserve"> The low interaction overlap across successional stages indicates that seed dispersal networks are highly dynamic, continuously reorganizing in response to environmental and community-level changes. </w:t>
      </w:r>
      <w:r w:rsidR="00D46CB3" w:rsidRPr="009F4FB8">
        <w:rPr>
          <w:rFonts w:ascii="Times New Roman" w:hAnsi="Times New Roman" w:cs="Times New Roman"/>
          <w:color w:val="000000" w:themeColor="text1"/>
        </w:rPr>
        <w:t xml:space="preserve">This restructuring has critical implications for the trajectory of forest recovery, influencing which species and interactions persist </w:t>
      </w:r>
      <w:r w:rsidR="00D46CB3">
        <w:rPr>
          <w:rFonts w:ascii="Times New Roman" w:hAnsi="Times New Roman" w:cs="Times New Roman"/>
          <w:color w:val="000000" w:themeColor="text1"/>
        </w:rPr>
        <w:t>with successional changes</w:t>
      </w:r>
      <w:r w:rsidR="00D46CB3" w:rsidRPr="009F4FB8">
        <w:rPr>
          <w:rFonts w:ascii="Times New Roman" w:hAnsi="Times New Roman" w:cs="Times New Roman"/>
          <w:color w:val="000000" w:themeColor="text1"/>
        </w:rPr>
        <w:t>.</w:t>
      </w:r>
      <w:r w:rsidR="00D46CB3">
        <w:rPr>
          <w:rFonts w:ascii="Times New Roman" w:hAnsi="Times New Roman" w:cs="Times New Roman"/>
          <w:color w:val="000000" w:themeColor="text1"/>
        </w:rPr>
        <w:t xml:space="preserve"> Finally, while regenerating secondary forests within our system were highly specialized and modular, nested patterns of interactions found in old growth reference conditions may take longer to recover. </w:t>
      </w:r>
      <w:r w:rsidRPr="009F4FB8">
        <w:rPr>
          <w:rFonts w:ascii="Times New Roman" w:hAnsi="Times New Roman" w:cs="Times New Roman"/>
          <w:color w:val="000000" w:themeColor="text1"/>
        </w:rPr>
        <w:t xml:space="preserve">Future research should aim to identify the mechanisms driving the reassembly of </w:t>
      </w:r>
      <w:r w:rsidR="00D46CB3">
        <w:rPr>
          <w:rFonts w:ascii="Times New Roman" w:hAnsi="Times New Roman" w:cs="Times New Roman"/>
          <w:color w:val="000000" w:themeColor="text1"/>
        </w:rPr>
        <w:t>seed dispersal</w:t>
      </w:r>
      <w:r w:rsidRPr="009F4FB8">
        <w:rPr>
          <w:rFonts w:ascii="Times New Roman" w:hAnsi="Times New Roman" w:cs="Times New Roman"/>
          <w:color w:val="000000" w:themeColor="text1"/>
        </w:rPr>
        <w:t xml:space="preserve"> networks and pinpoint key species that act as catalysts </w:t>
      </w:r>
      <w:r w:rsidRPr="009F4FB8">
        <w:rPr>
          <w:rFonts w:ascii="Times New Roman" w:hAnsi="Times New Roman" w:cs="Times New Roman"/>
          <w:color w:val="000000" w:themeColor="text1"/>
        </w:rPr>
        <w:lastRenderedPageBreak/>
        <w:t>for forest regeneration. A deeper understanding of these processes will be essential for developing effective conservation and restoration strategies that promote both biodiversity and ecosystem resilience</w:t>
      </w:r>
      <w:r w:rsidR="00D77075">
        <w:rPr>
          <w:rFonts w:ascii="Times New Roman" w:hAnsi="Times New Roman" w:cs="Times New Roman"/>
          <w:color w:val="000000" w:themeColor="text1"/>
        </w:rPr>
        <w:t>.</w:t>
      </w:r>
      <w:r w:rsidR="00A821D2" w:rsidRPr="00B066C6">
        <w:rPr>
          <w:rFonts w:ascii="Times New Roman" w:hAnsi="Times New Roman" w:cs="Times New Roman"/>
          <w:b/>
          <w:bCs/>
        </w:rPr>
        <w:br w:type="page"/>
      </w:r>
    </w:p>
    <w:p w14:paraId="68A234A8" w14:textId="62D71237" w:rsidR="002254AF" w:rsidRPr="002254AF" w:rsidRDefault="002254AF" w:rsidP="00D77075">
      <w:pPr>
        <w:pStyle w:val="Bibliography"/>
        <w:spacing w:before="0" w:line="360" w:lineRule="auto"/>
        <w:rPr>
          <w:rFonts w:ascii="Times New Roman" w:hAnsi="Times New Roman" w:cs="Times New Roman"/>
          <w:b/>
          <w:bCs/>
          <w:color w:val="000000" w:themeColor="text1"/>
        </w:rPr>
      </w:pPr>
      <w:r w:rsidRPr="002254AF">
        <w:rPr>
          <w:rFonts w:ascii="Times New Roman" w:hAnsi="Times New Roman" w:cs="Times New Roman"/>
          <w:b/>
          <w:bCs/>
          <w:color w:val="000000" w:themeColor="text1"/>
        </w:rPr>
        <w:lastRenderedPageBreak/>
        <w:t xml:space="preserve">References </w:t>
      </w:r>
    </w:p>
    <w:p w14:paraId="5718589A" w14:textId="77777777" w:rsidR="000A14BB" w:rsidRPr="000A14BB" w:rsidRDefault="002254AF" w:rsidP="00D77075">
      <w:pPr>
        <w:pStyle w:val="Bibliography"/>
        <w:spacing w:before="0" w:line="360" w:lineRule="auto"/>
        <w:rPr>
          <w:rFonts w:ascii="Times New Roman" w:hAnsi="Times New Roman" w:cs="Times New Roman"/>
          <w:color w:val="000000" w:themeColor="text1"/>
        </w:rPr>
      </w:pPr>
      <w:r w:rsidRPr="002254AF">
        <w:rPr>
          <w:b/>
          <w:bCs/>
          <w:color w:val="000000" w:themeColor="text1"/>
        </w:rPr>
        <w:fldChar w:fldCharType="begin"/>
      </w:r>
      <w:r w:rsidRPr="002254AF">
        <w:rPr>
          <w:b/>
          <w:bCs/>
          <w:color w:val="000000" w:themeColor="text1"/>
        </w:rPr>
        <w:instrText xml:space="preserve"> ADDIN ZOTERO_BIBL {"uncited":[],"omitted":[],"custom":[]} CSL_BIBLIOGRAPHY </w:instrText>
      </w:r>
      <w:r w:rsidRPr="002254AF">
        <w:rPr>
          <w:b/>
          <w:bCs/>
          <w:color w:val="000000" w:themeColor="text1"/>
        </w:rPr>
        <w:fldChar w:fldCharType="separate"/>
      </w:r>
      <w:r w:rsidR="000A14BB" w:rsidRPr="000A14BB">
        <w:rPr>
          <w:rFonts w:ascii="Times New Roman" w:hAnsi="Times New Roman" w:cs="Times New Roman"/>
          <w:b/>
          <w:bCs/>
          <w:color w:val="000000" w:themeColor="text1"/>
        </w:rPr>
        <w:fldChar w:fldCharType="begin"/>
      </w:r>
      <w:r w:rsidR="000A14BB" w:rsidRPr="000A14BB">
        <w:rPr>
          <w:rFonts w:ascii="Times New Roman" w:hAnsi="Times New Roman" w:cs="Times New Roman"/>
          <w:b/>
          <w:bCs/>
          <w:color w:val="000000" w:themeColor="text1"/>
        </w:rPr>
        <w:instrText xml:space="preserve"> ADDIN ZOTERO_BIBL {"uncited":[],"omitted":[],"custom":[]} CSL_BIBLIOGRAPHY </w:instrText>
      </w:r>
      <w:r w:rsidR="000A14BB" w:rsidRPr="000A14BB">
        <w:rPr>
          <w:rFonts w:ascii="Times New Roman" w:hAnsi="Times New Roman" w:cs="Times New Roman"/>
          <w:b/>
          <w:bCs/>
          <w:color w:val="000000" w:themeColor="text1"/>
        </w:rPr>
        <w:fldChar w:fldCharType="separate"/>
      </w:r>
      <w:r w:rsidR="000A14BB" w:rsidRPr="000A14BB">
        <w:rPr>
          <w:rFonts w:ascii="Times New Roman" w:hAnsi="Times New Roman" w:cs="Times New Roman"/>
          <w:color w:val="000000" w:themeColor="text1"/>
        </w:rPr>
        <w:t xml:space="preserve">Aerts, R., &amp; Honnay, O. (2011). Forest restoration, biodiversity and ecosystem functioning. </w:t>
      </w:r>
      <w:r w:rsidR="000A14BB" w:rsidRPr="000A14BB">
        <w:rPr>
          <w:rFonts w:ascii="Times New Roman" w:hAnsi="Times New Roman" w:cs="Times New Roman"/>
          <w:i/>
          <w:iCs/>
          <w:color w:val="000000" w:themeColor="text1"/>
        </w:rPr>
        <w:t>BMC Ecology</w:t>
      </w:r>
      <w:r w:rsidR="000A14BB" w:rsidRPr="000A14BB">
        <w:rPr>
          <w:rFonts w:ascii="Times New Roman" w:hAnsi="Times New Roman" w:cs="Times New Roman"/>
          <w:color w:val="000000" w:themeColor="text1"/>
        </w:rPr>
        <w:t xml:space="preserve">, </w:t>
      </w:r>
      <w:r w:rsidR="000A14BB" w:rsidRPr="000A14BB">
        <w:rPr>
          <w:rFonts w:ascii="Times New Roman" w:hAnsi="Times New Roman" w:cs="Times New Roman"/>
          <w:i/>
          <w:iCs/>
          <w:color w:val="000000" w:themeColor="text1"/>
        </w:rPr>
        <w:t>11</w:t>
      </w:r>
      <w:r w:rsidR="000A14BB" w:rsidRPr="000A14BB">
        <w:rPr>
          <w:rFonts w:ascii="Times New Roman" w:hAnsi="Times New Roman" w:cs="Times New Roman"/>
          <w:color w:val="000000" w:themeColor="text1"/>
        </w:rPr>
        <w:t>(1), 29. https://doi.org/10.1186/1472-6785-11-29</w:t>
      </w:r>
    </w:p>
    <w:p w14:paraId="5C0BDE71"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Aguilar Mugica, S., Devenish, C., Wege, D. C., Anadón-Irizarry, V., &amp; Balman, M. (2009). </w:t>
      </w:r>
      <w:r w:rsidRPr="000A14BB">
        <w:rPr>
          <w:rFonts w:ascii="Times New Roman" w:hAnsi="Times New Roman" w:cs="Times New Roman"/>
          <w:i/>
          <w:iCs/>
          <w:color w:val="000000" w:themeColor="text1"/>
        </w:rPr>
        <w:t>Important bird areas Americas: Priority sites for biodiversity conservation</w:t>
      </w:r>
      <w:r w:rsidRPr="000A14BB">
        <w:rPr>
          <w:rFonts w:ascii="Times New Roman" w:hAnsi="Times New Roman" w:cs="Times New Roman"/>
          <w:color w:val="000000" w:themeColor="text1"/>
        </w:rPr>
        <w:t>. Birdlife International.</w:t>
      </w:r>
    </w:p>
    <w:p w14:paraId="4E616E5D"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Akçakaya, H. R., Rodrigues, A. S. L., Keith, D. A., Milner‐Gulland, E. J., Sanderson, E. W., Hedges, S., Mallon, D. P., Grace, M. K., Long, B., Meijaard, E., &amp; Stephenson, P. J. (2020). Assessing ecological function in the context of species recovery. </w:t>
      </w:r>
      <w:r w:rsidRPr="000A14BB">
        <w:rPr>
          <w:rFonts w:ascii="Times New Roman" w:hAnsi="Times New Roman" w:cs="Times New Roman"/>
          <w:i/>
          <w:iCs/>
          <w:color w:val="000000" w:themeColor="text1"/>
        </w:rPr>
        <w:t>Conservation Biology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34</w:t>
      </w:r>
      <w:r w:rsidRPr="000A14BB">
        <w:rPr>
          <w:rFonts w:ascii="Times New Roman" w:hAnsi="Times New Roman" w:cs="Times New Roman"/>
          <w:color w:val="000000" w:themeColor="text1"/>
        </w:rPr>
        <w:t>(3), 561–571. https://doi.org/10.1111/cobi.13425</w:t>
      </w:r>
    </w:p>
    <w:p w14:paraId="0AD3D369"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Almeida-Neto, M., &amp; Ulrich, W. (2011). A straightforward computational approach for measuring nestedness using quantitative matrices. </w:t>
      </w:r>
      <w:r w:rsidRPr="000A14BB">
        <w:rPr>
          <w:rFonts w:ascii="Times New Roman" w:hAnsi="Times New Roman" w:cs="Times New Roman"/>
          <w:i/>
          <w:iCs/>
          <w:color w:val="000000" w:themeColor="text1"/>
        </w:rPr>
        <w:t>Environmental Modelling &amp; Software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26</w:t>
      </w:r>
      <w:r w:rsidRPr="000A14BB">
        <w:rPr>
          <w:rFonts w:ascii="Times New Roman" w:hAnsi="Times New Roman" w:cs="Times New Roman"/>
          <w:color w:val="000000" w:themeColor="text1"/>
        </w:rPr>
        <w:t>(2), 173–178. https://doi.org/10.1016/j.envsoft.2010.08.003</w:t>
      </w:r>
    </w:p>
    <w:p w14:paraId="7B620CA7"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Arroyo-Rodríguez, V., Melo, F. P. L., Martínez-Ramos, M., Bongers, F., Chazdon, R. L., Meave, J. A., Norden, N., Santos, B. A., Leal, I. R., &amp; Tabarelli, M. (2017). Multiple successional pathways in human-modified tropical landscapes: New insights from forest succession, forest fragmentation and landscape ecology research: Multiple successional pathways. </w:t>
      </w:r>
      <w:r w:rsidRPr="000A14BB">
        <w:rPr>
          <w:rFonts w:ascii="Times New Roman" w:hAnsi="Times New Roman" w:cs="Times New Roman"/>
          <w:i/>
          <w:iCs/>
          <w:color w:val="000000" w:themeColor="text1"/>
        </w:rPr>
        <w:t>Biological Reviews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92</w:t>
      </w:r>
      <w:r w:rsidRPr="000A14BB">
        <w:rPr>
          <w:rFonts w:ascii="Times New Roman" w:hAnsi="Times New Roman" w:cs="Times New Roman"/>
          <w:color w:val="000000" w:themeColor="text1"/>
        </w:rPr>
        <w:t>(1), 326–340. https://doi.org/10.1111/brv.12231</w:t>
      </w:r>
    </w:p>
    <w:p w14:paraId="7B8C54A1"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Bascompte, J., &amp; Jordano, P. (2007). Plant-Animal Mutualistic Networks: The Architecture of Biodiversity. </w:t>
      </w:r>
      <w:r w:rsidRPr="000A14BB">
        <w:rPr>
          <w:rFonts w:ascii="Times New Roman" w:hAnsi="Times New Roman" w:cs="Times New Roman"/>
          <w:i/>
          <w:iCs/>
          <w:color w:val="000000" w:themeColor="text1"/>
        </w:rPr>
        <w:t>Annual Review of Ecology, Evolution, and Systematics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38</w:t>
      </w:r>
      <w:r w:rsidRPr="000A14BB">
        <w:rPr>
          <w:rFonts w:ascii="Times New Roman" w:hAnsi="Times New Roman" w:cs="Times New Roman"/>
          <w:color w:val="000000" w:themeColor="text1"/>
        </w:rPr>
        <w:t>(1), 567–593. https://doi.org/10.1146/annurev.ecolsys.38.091206.095818</w:t>
      </w:r>
    </w:p>
    <w:p w14:paraId="5197AF5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Bascompte, J., Jordano, P., Melián, C. J., &amp; Olesen, J. M. (2003). The nested assembly of plant–animal mutualistic networks. </w:t>
      </w:r>
      <w:r w:rsidRPr="000A14BB">
        <w:rPr>
          <w:rFonts w:ascii="Times New Roman" w:hAnsi="Times New Roman" w:cs="Times New Roman"/>
          <w:i/>
          <w:iCs/>
          <w:color w:val="000000" w:themeColor="text1"/>
        </w:rPr>
        <w:t>Proceedings of the National Academy of Sciences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100</w:t>
      </w:r>
      <w:r w:rsidRPr="000A14BB">
        <w:rPr>
          <w:rFonts w:ascii="Times New Roman" w:hAnsi="Times New Roman" w:cs="Times New Roman"/>
          <w:color w:val="000000" w:themeColor="text1"/>
        </w:rPr>
        <w:t>(16), 9383–9387. https://doi.org/10.1073/pnas.1633576100</w:t>
      </w:r>
    </w:p>
    <w:p w14:paraId="432E19AF"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Bascompte, J., Jordano, P., &amp; Olesen, J. M. (2006). Asymmetric Coevolutionary Networks Facilitate Biodiversity Maintenance. </w:t>
      </w:r>
      <w:r w:rsidRPr="000A14BB">
        <w:rPr>
          <w:rFonts w:ascii="Times New Roman" w:hAnsi="Times New Roman" w:cs="Times New Roman"/>
          <w:i/>
          <w:iCs/>
          <w:color w:val="000000" w:themeColor="text1"/>
        </w:rPr>
        <w:t>Science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312</w:t>
      </w:r>
      <w:r w:rsidRPr="000A14BB">
        <w:rPr>
          <w:rFonts w:ascii="Times New Roman" w:hAnsi="Times New Roman" w:cs="Times New Roman"/>
          <w:color w:val="000000" w:themeColor="text1"/>
        </w:rPr>
        <w:t>(5772), 431–433. https://doi.org/10.1126/science.1123412</w:t>
      </w:r>
    </w:p>
    <w:p w14:paraId="5A9C2531"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Bastazini, V. A. G., Debastiani, V. J., Azambuja, B. O., Guimaraes Jr, P. R., &amp; Pillar, V. D. (2019). Loss of Generalist Plant Species and Functional Diversity Decreases the Robustness of a Seed Dispersal Network. </w:t>
      </w:r>
      <w:r w:rsidRPr="000A14BB">
        <w:rPr>
          <w:rFonts w:ascii="Times New Roman" w:hAnsi="Times New Roman" w:cs="Times New Roman"/>
          <w:i/>
          <w:iCs/>
          <w:color w:val="000000" w:themeColor="text1"/>
        </w:rPr>
        <w:t>ENVIRONMENTAL CONSERVATION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46</w:t>
      </w:r>
      <w:r w:rsidRPr="000A14BB">
        <w:rPr>
          <w:rFonts w:ascii="Times New Roman" w:hAnsi="Times New Roman" w:cs="Times New Roman"/>
          <w:color w:val="000000" w:themeColor="text1"/>
        </w:rPr>
        <w:t>(1, SI), 52–58. https://doi.org/10.1017/S0376892918000334</w:t>
      </w:r>
    </w:p>
    <w:p w14:paraId="334BA1BE"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lastRenderedPageBreak/>
        <w:t xml:space="preserve">Benayas, J. M. R., Newton, A. C., Diaz, A., &amp; Bullock, J. M. (2009). Enhancement of Biodiversity and Ecosystem Services by Ecological Restoration: A Meta-Analysis. </w:t>
      </w:r>
      <w:r w:rsidRPr="000A14BB">
        <w:rPr>
          <w:rFonts w:ascii="Times New Roman" w:hAnsi="Times New Roman" w:cs="Times New Roman"/>
          <w:i/>
          <w:iCs/>
          <w:color w:val="000000" w:themeColor="text1"/>
        </w:rPr>
        <w:t>Science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325</w:t>
      </w:r>
      <w:r w:rsidRPr="000A14BB">
        <w:rPr>
          <w:rFonts w:ascii="Times New Roman" w:hAnsi="Times New Roman" w:cs="Times New Roman"/>
          <w:color w:val="000000" w:themeColor="text1"/>
        </w:rPr>
        <w:t>(5944), 1121–1124. https://doi.org/10.1126/science.1172460</w:t>
      </w:r>
    </w:p>
    <w:p w14:paraId="7788C0CC"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Blüthgen, N., Fründ, J., Vázquez, D. P., &amp; Menzel, F. (2008). WHAT DO INTERACTION NETWORK METRICS TELL US ABOUT SPECIALIZATION AND BIOLOGICAL TRAITS. </w:t>
      </w:r>
      <w:r w:rsidRPr="000A14BB">
        <w:rPr>
          <w:rFonts w:ascii="Times New Roman" w:hAnsi="Times New Roman" w:cs="Times New Roman"/>
          <w:i/>
          <w:iCs/>
          <w:color w:val="000000" w:themeColor="text1"/>
        </w:rPr>
        <w:t>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89</w:t>
      </w:r>
      <w:r w:rsidRPr="000A14BB">
        <w:rPr>
          <w:rFonts w:ascii="Times New Roman" w:hAnsi="Times New Roman" w:cs="Times New Roman"/>
          <w:color w:val="000000" w:themeColor="text1"/>
        </w:rPr>
        <w:t>(12), 3387–3399. https://doi.org/10.1890/07-2121.1</w:t>
      </w:r>
    </w:p>
    <w:p w14:paraId="54595CF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Blüthgen, N., &amp; Klein, A. M. (2011). Functional complementarity and specialisation: The role of biodiversity in plant–pollinator interactions. </w:t>
      </w:r>
      <w:r w:rsidRPr="000A14BB">
        <w:rPr>
          <w:rFonts w:ascii="Times New Roman" w:hAnsi="Times New Roman" w:cs="Times New Roman"/>
          <w:i/>
          <w:iCs/>
          <w:color w:val="000000" w:themeColor="text1"/>
        </w:rPr>
        <w:t>Basic and Applied 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1;12(4):282-91</w:t>
      </w:r>
      <w:r w:rsidRPr="000A14BB">
        <w:rPr>
          <w:rFonts w:ascii="Times New Roman" w:hAnsi="Times New Roman" w:cs="Times New Roman"/>
          <w:color w:val="000000" w:themeColor="text1"/>
        </w:rPr>
        <w:t>.</w:t>
      </w:r>
    </w:p>
    <w:p w14:paraId="034FC67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Bomfim, J. de A., Guimaraes, P. R., Jr., Peres, C. A., Carvalho, G., &amp; Cazetta, E. (2018). Local extinctions of obligate frugivores and patch size reduction disrupt the structure of seed dispersal networks. </w:t>
      </w:r>
      <w:r w:rsidRPr="000A14BB">
        <w:rPr>
          <w:rFonts w:ascii="Times New Roman" w:hAnsi="Times New Roman" w:cs="Times New Roman"/>
          <w:i/>
          <w:iCs/>
          <w:color w:val="000000" w:themeColor="text1"/>
        </w:rPr>
        <w:t>ECOGRAPHY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41</w:t>
      </w:r>
      <w:r w:rsidRPr="000A14BB">
        <w:rPr>
          <w:rFonts w:ascii="Times New Roman" w:hAnsi="Times New Roman" w:cs="Times New Roman"/>
          <w:color w:val="000000" w:themeColor="text1"/>
        </w:rPr>
        <w:t>(11), 1899–1909. https://doi.org/10.1111/ecog.03592</w:t>
      </w:r>
    </w:p>
    <w:p w14:paraId="267CDA08"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Brockerhoff, E. G., Barbaro, L., Castagneyrol, B., Forrester, D. I., Gardiner, B., González-Olabarria, J. R., Lyver, P. O., Meurisse, N., Oxbrough, A., Taki, H., Thompson, I. D., van der Plas, F., &amp; Jactel, H. (2017). Forest biodiversity, ecosystem functioning and the provision of ecosystem services. </w:t>
      </w:r>
      <w:r w:rsidRPr="000A14BB">
        <w:rPr>
          <w:rFonts w:ascii="Times New Roman" w:hAnsi="Times New Roman" w:cs="Times New Roman"/>
          <w:i/>
          <w:iCs/>
          <w:color w:val="000000" w:themeColor="text1"/>
        </w:rPr>
        <w:t>Biodiversity and Conservation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26</w:t>
      </w:r>
      <w:r w:rsidRPr="000A14BB">
        <w:rPr>
          <w:rFonts w:ascii="Times New Roman" w:hAnsi="Times New Roman" w:cs="Times New Roman"/>
          <w:color w:val="000000" w:themeColor="text1"/>
        </w:rPr>
        <w:t>(13), 3005–3035. https://doi.org/10.1007/s10531-017-1453-2</w:t>
      </w:r>
    </w:p>
    <w:p w14:paraId="1EC53DDA"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Campos, C. M., Velez, S., Miguel, M. F., Papú, S., &amp; Cona, M. I. (2018). Studying the quantity component of seed dispersal effectiveness from exclosure treatments and camera trapping. </w:t>
      </w:r>
      <w:r w:rsidRPr="000A14BB">
        <w:rPr>
          <w:rFonts w:ascii="Times New Roman" w:hAnsi="Times New Roman" w:cs="Times New Roman"/>
          <w:i/>
          <w:iCs/>
          <w:color w:val="000000" w:themeColor="text1"/>
        </w:rPr>
        <w:t>Ecology and Evolution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8</w:t>
      </w:r>
      <w:r w:rsidRPr="000A14BB">
        <w:rPr>
          <w:rFonts w:ascii="Times New Roman" w:hAnsi="Times New Roman" w:cs="Times New Roman"/>
          <w:color w:val="000000" w:themeColor="text1"/>
        </w:rPr>
        <w:t>(11), 5470–5479. https://doi.org/10.1002/ece3.4068</w:t>
      </w:r>
    </w:p>
    <w:p w14:paraId="0FE28F9E"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Carlo, T. A., &amp; Morales, J. M. (2016). Generalist birds promote tropical forest regeneration and increase plant diversity via rare-biased seed dispersal. </w:t>
      </w:r>
      <w:r w:rsidRPr="000A14BB">
        <w:rPr>
          <w:rFonts w:ascii="Times New Roman" w:hAnsi="Times New Roman" w:cs="Times New Roman"/>
          <w:i/>
          <w:iCs/>
          <w:color w:val="000000" w:themeColor="text1"/>
        </w:rPr>
        <w:t>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97</w:t>
      </w:r>
      <w:r w:rsidRPr="000A14BB">
        <w:rPr>
          <w:rFonts w:ascii="Times New Roman" w:hAnsi="Times New Roman" w:cs="Times New Roman"/>
          <w:color w:val="000000" w:themeColor="text1"/>
        </w:rPr>
        <w:t>(7), 1819–1831. https://doi.org/10.1890/15-2147.1</w:t>
      </w:r>
    </w:p>
    <w:p w14:paraId="01AC557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Carvalho, R. B., Malhi, Y., &amp; Menor, I. O. (2023). Frugivory and seed dispersal in the Cerrado: Network structure and defaunation effects. </w:t>
      </w:r>
      <w:r w:rsidRPr="000A14BB">
        <w:rPr>
          <w:rFonts w:ascii="Times New Roman" w:hAnsi="Times New Roman" w:cs="Times New Roman"/>
          <w:i/>
          <w:iCs/>
          <w:color w:val="000000" w:themeColor="text1"/>
        </w:rPr>
        <w:t>BIOTROPICA</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55</w:t>
      </w:r>
      <w:r w:rsidRPr="000A14BB">
        <w:rPr>
          <w:rFonts w:ascii="Times New Roman" w:hAnsi="Times New Roman" w:cs="Times New Roman"/>
          <w:color w:val="000000" w:themeColor="text1"/>
        </w:rPr>
        <w:t>(4), 849–865. https://doi.org/10.1111/btp.13234</w:t>
      </w:r>
    </w:p>
    <w:p w14:paraId="4B56E755"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Chacoff, N. P., Resasco, J., &amp; Vázquez, D. P. (2018). Interaction frequency, network position, and the temporal persistence of interactions in a plant–pollinator network. </w:t>
      </w:r>
      <w:r w:rsidRPr="000A14BB">
        <w:rPr>
          <w:rFonts w:ascii="Times New Roman" w:hAnsi="Times New Roman" w:cs="Times New Roman"/>
          <w:i/>
          <w:iCs/>
          <w:color w:val="000000" w:themeColor="text1"/>
        </w:rPr>
        <w:t>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99</w:t>
      </w:r>
      <w:r w:rsidRPr="000A14BB">
        <w:rPr>
          <w:rFonts w:ascii="Times New Roman" w:hAnsi="Times New Roman" w:cs="Times New Roman"/>
          <w:color w:val="000000" w:themeColor="text1"/>
        </w:rPr>
        <w:t>(1), 21–28. https://doi.org/10.1002/ecy.2063</w:t>
      </w:r>
    </w:p>
    <w:p w14:paraId="5FF5777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lastRenderedPageBreak/>
        <w:t xml:space="preserve">Chanthorn, W., Hartig, F., Brockelman, W. Y., Srisang, W., Nathalang, A., &amp; Santon, J. (2019). Defaunation of large-bodied frugivores reduces carbon storage in a tropical forest of Southeast Asia. </w:t>
      </w:r>
      <w:r w:rsidRPr="000A14BB">
        <w:rPr>
          <w:rFonts w:ascii="Times New Roman" w:hAnsi="Times New Roman" w:cs="Times New Roman"/>
          <w:i/>
          <w:iCs/>
          <w:color w:val="000000" w:themeColor="text1"/>
        </w:rPr>
        <w:t>SCIENTIFIC REPORTS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9</w:t>
      </w:r>
      <w:r w:rsidRPr="000A14BB">
        <w:rPr>
          <w:rFonts w:ascii="Times New Roman" w:hAnsi="Times New Roman" w:cs="Times New Roman"/>
          <w:color w:val="000000" w:themeColor="text1"/>
        </w:rPr>
        <w:t>. https://doi.org/10.1038/s41598-019-46399-y</w:t>
      </w:r>
    </w:p>
    <w:p w14:paraId="5F4A3E1A" w14:textId="214D3CED" w:rsidR="00ED2EB6" w:rsidRPr="00ED2EB6" w:rsidRDefault="00ED2EB6" w:rsidP="00ED2EB6">
      <w:pPr>
        <w:spacing w:before="0" w:after="0"/>
        <w:ind w:left="810" w:hanging="720"/>
        <w:rPr>
          <w:rFonts w:ascii="Times New Roman" w:hAnsi="Times New Roman" w:cs="Times New Roman"/>
          <w:color w:val="000000" w:themeColor="text1"/>
        </w:rPr>
      </w:pPr>
      <w:r w:rsidRPr="00ED2EB6">
        <w:rPr>
          <w:rFonts w:ascii="Times New Roman" w:hAnsi="Times New Roman" w:cs="Times New Roman"/>
          <w:color w:val="000000" w:themeColor="text1"/>
        </w:rPr>
        <w:t xml:space="preserve">Chesson, P. (2000). Mechanisms of Maintenance of Species Diversity. </w:t>
      </w:r>
      <w:r w:rsidRPr="00ED2EB6">
        <w:rPr>
          <w:rFonts w:ascii="Times New Roman" w:hAnsi="Times New Roman" w:cs="Times New Roman"/>
          <w:i/>
          <w:iCs/>
          <w:color w:val="000000" w:themeColor="text1"/>
        </w:rPr>
        <w:t>Annual Review of Ecology and Systematics</w:t>
      </w:r>
      <w:r w:rsidRPr="00ED2EB6">
        <w:rPr>
          <w:rFonts w:ascii="Times New Roman" w:hAnsi="Times New Roman" w:cs="Times New Roman"/>
          <w:color w:val="000000" w:themeColor="text1"/>
        </w:rPr>
        <w:t xml:space="preserve">, </w:t>
      </w:r>
      <w:r w:rsidRPr="00ED2EB6">
        <w:rPr>
          <w:rFonts w:ascii="Times New Roman" w:hAnsi="Times New Roman" w:cs="Times New Roman"/>
          <w:i/>
          <w:iCs/>
          <w:color w:val="000000" w:themeColor="text1"/>
        </w:rPr>
        <w:t>31</w:t>
      </w:r>
      <w:r w:rsidRPr="00ED2EB6">
        <w:rPr>
          <w:rFonts w:ascii="Times New Roman" w:hAnsi="Times New Roman" w:cs="Times New Roman"/>
          <w:color w:val="000000" w:themeColor="text1"/>
        </w:rPr>
        <w:t>(1), 343–366.</w:t>
      </w:r>
      <w:r>
        <w:rPr>
          <w:rFonts w:ascii="Times New Roman" w:hAnsi="Times New Roman" w:cs="Times New Roman"/>
          <w:color w:val="000000" w:themeColor="text1"/>
        </w:rPr>
        <w:t xml:space="preserve"> </w:t>
      </w:r>
      <w:r w:rsidRPr="00ED2EB6">
        <w:rPr>
          <w:rFonts w:ascii="Times New Roman" w:hAnsi="Times New Roman" w:cs="Times New Roman"/>
          <w:color w:val="000000" w:themeColor="text1"/>
        </w:rPr>
        <w:t>https://doi.org/10.1146/annurev.ecolsys.31.1.343</w:t>
      </w:r>
    </w:p>
    <w:p w14:paraId="66F48A3C" w14:textId="2490BA5D"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Connell, J. H. (1979). Intermediate-Disturbance Hypothesis. </w:t>
      </w:r>
      <w:r w:rsidRPr="000A14BB">
        <w:rPr>
          <w:rFonts w:ascii="Times New Roman" w:hAnsi="Times New Roman" w:cs="Times New Roman"/>
          <w:i/>
          <w:iCs/>
          <w:color w:val="000000" w:themeColor="text1"/>
        </w:rPr>
        <w:t>Science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204</w:t>
      </w:r>
      <w:r w:rsidRPr="000A14BB">
        <w:rPr>
          <w:rFonts w:ascii="Times New Roman" w:hAnsi="Times New Roman" w:cs="Times New Roman"/>
          <w:color w:val="000000" w:themeColor="text1"/>
        </w:rPr>
        <w:t>(4399), 1345–1345. https://doi.org/10.1126/science.204.4399.1345</w:t>
      </w:r>
    </w:p>
    <w:p w14:paraId="4E680B9E"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De La Peña-Domene, M., Martínez-Garza, C., Palmas-Pérez, S., Rivas-Alonso, E., &amp; Howe, H. F. (2014). Roles of Birds and Bats in Early Tropical-Forest Restoration. </w:t>
      </w:r>
      <w:r w:rsidRPr="000A14BB">
        <w:rPr>
          <w:rFonts w:ascii="Times New Roman" w:hAnsi="Times New Roman" w:cs="Times New Roman"/>
          <w:i/>
          <w:iCs/>
          <w:color w:val="000000" w:themeColor="text1"/>
        </w:rPr>
        <w:t>PLoS ONE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9</w:t>
      </w:r>
      <w:r w:rsidRPr="000A14BB">
        <w:rPr>
          <w:rFonts w:ascii="Times New Roman" w:hAnsi="Times New Roman" w:cs="Times New Roman"/>
          <w:color w:val="000000" w:themeColor="text1"/>
        </w:rPr>
        <w:t>(8), e104656. https://doi.org/10.1371/journal.pone.0104656</w:t>
      </w:r>
    </w:p>
    <w:p w14:paraId="089294DA"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Dormann, C. F., Fruend, J., Bluethgen, N., &amp; Gruber, B. (2009). Indices, graphs and null models: Analyzing bipartite ecological networks. </w:t>
      </w:r>
      <w:r w:rsidRPr="000A14BB">
        <w:rPr>
          <w:rFonts w:ascii="Times New Roman" w:hAnsi="Times New Roman" w:cs="Times New Roman"/>
          <w:i/>
          <w:iCs/>
          <w:color w:val="000000" w:themeColor="text1"/>
        </w:rPr>
        <w:t>The Open Ecology Journal</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w:t>
      </w:r>
      <w:r w:rsidRPr="000A14BB">
        <w:rPr>
          <w:rFonts w:ascii="Times New Roman" w:hAnsi="Times New Roman" w:cs="Times New Roman"/>
          <w:color w:val="000000" w:themeColor="text1"/>
        </w:rPr>
        <w:t>, 7–24.</w:t>
      </w:r>
    </w:p>
    <w:p w14:paraId="7A652A9C"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Dormann, C. F., Gruber, B., &amp; Fruend, J. (2008). Introducing the bipartite Package: Analysing Ecological Networks. </w:t>
      </w:r>
      <w:r w:rsidRPr="000A14BB">
        <w:rPr>
          <w:rFonts w:ascii="Times New Roman" w:hAnsi="Times New Roman" w:cs="Times New Roman"/>
          <w:i/>
          <w:iCs/>
          <w:color w:val="000000" w:themeColor="text1"/>
        </w:rPr>
        <w:t>R News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8</w:t>
      </w:r>
      <w:r w:rsidRPr="000A14BB">
        <w:rPr>
          <w:rFonts w:ascii="Times New Roman" w:hAnsi="Times New Roman" w:cs="Times New Roman"/>
          <w:color w:val="000000" w:themeColor="text1"/>
        </w:rPr>
        <w:t>(2), 8–11.</w:t>
      </w:r>
    </w:p>
    <w:p w14:paraId="1620A47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Dormann, C. F., &amp; Strauss, R. (2014). A method for detecting modules in quantitative bipartite networks. </w:t>
      </w:r>
      <w:r w:rsidRPr="000A14BB">
        <w:rPr>
          <w:rFonts w:ascii="Times New Roman" w:hAnsi="Times New Roman" w:cs="Times New Roman"/>
          <w:i/>
          <w:iCs/>
          <w:color w:val="000000" w:themeColor="text1"/>
        </w:rPr>
        <w:t>Methods in Ecology and Evolution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5</w:t>
      </w:r>
      <w:r w:rsidRPr="000A14BB">
        <w:rPr>
          <w:rFonts w:ascii="Times New Roman" w:hAnsi="Times New Roman" w:cs="Times New Roman"/>
          <w:color w:val="000000" w:themeColor="text1"/>
        </w:rPr>
        <w:t>(1), 90–98. https://doi.org/10.1111/2041-210X.12139</w:t>
      </w:r>
    </w:p>
    <w:p w14:paraId="7D519A5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Durães, R., Carrasco, L., Smith, T. B., &amp; Karubian, J. (2013). Effects of forest disturbance and habitat loss on avian communities in a Neotropical biodiversity hotspot. </w:t>
      </w:r>
      <w:r w:rsidRPr="000A14BB">
        <w:rPr>
          <w:rFonts w:ascii="Times New Roman" w:hAnsi="Times New Roman" w:cs="Times New Roman"/>
          <w:i/>
          <w:iCs/>
          <w:color w:val="000000" w:themeColor="text1"/>
        </w:rPr>
        <w:t>Biological Conservation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166</w:t>
      </w:r>
      <w:r w:rsidRPr="000A14BB">
        <w:rPr>
          <w:rFonts w:ascii="Times New Roman" w:hAnsi="Times New Roman" w:cs="Times New Roman"/>
          <w:color w:val="000000" w:themeColor="text1"/>
        </w:rPr>
        <w:t>, 203–211. https://doi.org/10.1016/j.biocon.2013.07.007</w:t>
      </w:r>
    </w:p>
    <w:p w14:paraId="3E9A7E7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Emer, C., Galetti, M., Pizo, M. A., Guimarães, P. R., Moraes, S., Piratelli, A., &amp; Jordano, P. (2018). Seed‐dispersal interactions in fragmented landscapes – a metanetwork approach. </w:t>
      </w:r>
      <w:r w:rsidRPr="000A14BB">
        <w:rPr>
          <w:rFonts w:ascii="Times New Roman" w:hAnsi="Times New Roman" w:cs="Times New Roman"/>
          <w:i/>
          <w:iCs/>
          <w:color w:val="000000" w:themeColor="text1"/>
        </w:rPr>
        <w:t>Ecology Letters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21</w:t>
      </w:r>
      <w:r w:rsidRPr="000A14BB">
        <w:rPr>
          <w:rFonts w:ascii="Times New Roman" w:hAnsi="Times New Roman" w:cs="Times New Roman"/>
          <w:color w:val="000000" w:themeColor="text1"/>
        </w:rPr>
        <w:t>(4), 484–493. https://doi.org/10.1111/ele.12909</w:t>
      </w:r>
    </w:p>
    <w:p w14:paraId="47F1FE3C"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Emer, C., Jordano, P., Pizo, M. A., Ribeiro, M. C., da Silva, F. R., &amp; Galetti, M. (2020a). Seed dispersal networks in tropical forest fragments: Area effects, remnant species, and interaction diversity. </w:t>
      </w:r>
      <w:r w:rsidRPr="000A14BB">
        <w:rPr>
          <w:rFonts w:ascii="Times New Roman" w:hAnsi="Times New Roman" w:cs="Times New Roman"/>
          <w:i/>
          <w:iCs/>
          <w:color w:val="000000" w:themeColor="text1"/>
        </w:rPr>
        <w:t>BIOTROPICA</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52</w:t>
      </w:r>
      <w:r w:rsidRPr="000A14BB">
        <w:rPr>
          <w:rFonts w:ascii="Times New Roman" w:hAnsi="Times New Roman" w:cs="Times New Roman"/>
          <w:color w:val="000000" w:themeColor="text1"/>
        </w:rPr>
        <w:t>(1), 81–89. https://doi.org/10.1111/btp.12738</w:t>
      </w:r>
    </w:p>
    <w:p w14:paraId="29B3125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Estrada-Villegas, S., Stevenson, P. R., López, O., DeWalt, S. J., Comita, L. S., &amp; Dent, D. H. (2023). Animal seed dispersal recovery during passive restoration in a forested landscape. </w:t>
      </w:r>
      <w:r w:rsidRPr="000A14BB">
        <w:rPr>
          <w:rFonts w:ascii="Times New Roman" w:hAnsi="Times New Roman" w:cs="Times New Roman"/>
          <w:i/>
          <w:iCs/>
          <w:color w:val="000000" w:themeColor="text1"/>
        </w:rPr>
        <w:t>Philosophical Transactions of the Royal Society B: Biological Sciences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378</w:t>
      </w:r>
      <w:r w:rsidRPr="000A14BB">
        <w:rPr>
          <w:rFonts w:ascii="Times New Roman" w:hAnsi="Times New Roman" w:cs="Times New Roman"/>
          <w:color w:val="000000" w:themeColor="text1"/>
        </w:rPr>
        <w:t>(1867), 20210076. https://doi.org/10.1098/rstb.2021.0076</w:t>
      </w:r>
    </w:p>
    <w:p w14:paraId="55D2BB6A"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lastRenderedPageBreak/>
        <w:t xml:space="preserve">Fortuna, M. A., Stouffer, D. B., Olesen, J. M., Jordano, P., Mouillot, D., Krasnov, B. R., Poulin, R., &amp; Bascompte, J. (2010). Nestedness versus modularity in ecological networks: Two sides of the same coin? </w:t>
      </w:r>
      <w:r w:rsidRPr="000A14BB">
        <w:rPr>
          <w:rFonts w:ascii="Times New Roman" w:hAnsi="Times New Roman" w:cs="Times New Roman"/>
          <w:i/>
          <w:iCs/>
          <w:color w:val="000000" w:themeColor="text1"/>
        </w:rPr>
        <w:t>Journal of Animal Ecology</w:t>
      </w:r>
      <w:r w:rsidRPr="000A14BB">
        <w:rPr>
          <w:rFonts w:ascii="Times New Roman" w:hAnsi="Times New Roman" w:cs="Times New Roman"/>
          <w:color w:val="000000" w:themeColor="text1"/>
        </w:rPr>
        <w:t>. https://doi.org/10.1111/j.1365-2656.2010.01688.x</w:t>
      </w:r>
    </w:p>
    <w:p w14:paraId="106CB35E"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Fründ, J., Linsenmair, K. E., &amp; Blüthgen, N. (2010). Pollinator diversity and specialization in relation to flower diversity. </w:t>
      </w:r>
      <w:r w:rsidRPr="000A14BB">
        <w:rPr>
          <w:rFonts w:ascii="Times New Roman" w:hAnsi="Times New Roman" w:cs="Times New Roman"/>
          <w:i/>
          <w:iCs/>
          <w:color w:val="000000" w:themeColor="text1"/>
        </w:rPr>
        <w:t>Oikos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119</w:t>
      </w:r>
      <w:r w:rsidRPr="000A14BB">
        <w:rPr>
          <w:rFonts w:ascii="Times New Roman" w:hAnsi="Times New Roman" w:cs="Times New Roman"/>
          <w:color w:val="000000" w:themeColor="text1"/>
        </w:rPr>
        <w:t>(10), 1581–1590. https://doi.org/10.1111/j.1600-0706.2010.18450.x</w:t>
      </w:r>
    </w:p>
    <w:p w14:paraId="3529D92B"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Gonçalves Da Silva, B., Koch, I., &amp; Piratelli, A. J. (2020). Fruit and flower availability affect bird assemblages across two successional stages in the Atlantic Forest. </w:t>
      </w:r>
      <w:r w:rsidRPr="000A14BB">
        <w:rPr>
          <w:rFonts w:ascii="Times New Roman" w:hAnsi="Times New Roman" w:cs="Times New Roman"/>
          <w:i/>
          <w:iCs/>
          <w:color w:val="000000" w:themeColor="text1"/>
        </w:rPr>
        <w:t>Studies on Neotropical Fauna and Environment</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55</w:t>
      </w:r>
      <w:r w:rsidRPr="000A14BB">
        <w:rPr>
          <w:rFonts w:ascii="Times New Roman" w:hAnsi="Times New Roman" w:cs="Times New Roman"/>
          <w:color w:val="000000" w:themeColor="text1"/>
        </w:rPr>
        <w:t>(3), 203–215. https://doi.org/10.1080/01650521.2020.1743550</w:t>
      </w:r>
    </w:p>
    <w:p w14:paraId="217D0D0E"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González-Varo, J. P., Albrecht, J., Arroyo, J. M., Bueno, R. S., Burgos, T., Escribano-Ávila, G., Farwig, N., García, D., Illera, J. C., Jordano, P., Kurek, P., Rösner, S., Virgós, E., &amp; Sutherland, W. J. (2023). Frugivore-mediated seed dispersal in fragmented landscapes: Compositional and functional turnover from forest to matrix. </w:t>
      </w:r>
      <w:r w:rsidRPr="000A14BB">
        <w:rPr>
          <w:rFonts w:ascii="Times New Roman" w:hAnsi="Times New Roman" w:cs="Times New Roman"/>
          <w:i/>
          <w:iCs/>
          <w:color w:val="000000" w:themeColor="text1"/>
        </w:rPr>
        <w:t>Proceedings of the National Academy of Sciences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120</w:t>
      </w:r>
      <w:r w:rsidRPr="000A14BB">
        <w:rPr>
          <w:rFonts w:ascii="Times New Roman" w:hAnsi="Times New Roman" w:cs="Times New Roman"/>
          <w:color w:val="000000" w:themeColor="text1"/>
        </w:rPr>
        <w:t>(44), e2302440120. https://doi.org/10.1073/pnas.2302440120</w:t>
      </w:r>
    </w:p>
    <w:p w14:paraId="556AA209"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González‐Varo, J. P., Carvalho, C. S., Arroyo, J. M., &amp; Jordano, P. (2017). Unravelling seed dispersal through fragmented landscapes: Frugivore species operate unevenly as mobile links. </w:t>
      </w:r>
      <w:r w:rsidRPr="000A14BB">
        <w:rPr>
          <w:rFonts w:ascii="Times New Roman" w:hAnsi="Times New Roman" w:cs="Times New Roman"/>
          <w:i/>
          <w:iCs/>
          <w:color w:val="000000" w:themeColor="text1"/>
        </w:rPr>
        <w:t>Molecular 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26</w:t>
      </w:r>
      <w:r w:rsidRPr="000A14BB">
        <w:rPr>
          <w:rFonts w:ascii="Times New Roman" w:hAnsi="Times New Roman" w:cs="Times New Roman"/>
          <w:color w:val="000000" w:themeColor="text1"/>
        </w:rPr>
        <w:t>(16), 4309–4321. https://doi.org/10.1111/mec.14181</w:t>
      </w:r>
    </w:p>
    <w:p w14:paraId="76D705D6"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Howe, H. F. (2016). Making dispersal syndromes and networks useful in tropical conservation and restoration. </w:t>
      </w:r>
      <w:r w:rsidRPr="000A14BB">
        <w:rPr>
          <w:rFonts w:ascii="Times New Roman" w:hAnsi="Times New Roman" w:cs="Times New Roman"/>
          <w:i/>
          <w:iCs/>
          <w:color w:val="000000" w:themeColor="text1"/>
        </w:rPr>
        <w:t>Global Ecology and Conservation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6</w:t>
      </w:r>
      <w:r w:rsidRPr="000A14BB">
        <w:rPr>
          <w:rFonts w:ascii="Times New Roman" w:hAnsi="Times New Roman" w:cs="Times New Roman"/>
          <w:color w:val="000000" w:themeColor="text1"/>
        </w:rPr>
        <w:t>, 152–178. https://doi.org/10.1016/j.gecco.2016.03.002</w:t>
      </w:r>
    </w:p>
    <w:p w14:paraId="3207E96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Howe, H. F., &amp; Smallwood, J. (1982). Ecology of Seed Dispersal. </w:t>
      </w:r>
      <w:r w:rsidRPr="000A14BB">
        <w:rPr>
          <w:rFonts w:ascii="Times New Roman" w:hAnsi="Times New Roman" w:cs="Times New Roman"/>
          <w:i/>
          <w:iCs/>
          <w:color w:val="000000" w:themeColor="text1"/>
        </w:rPr>
        <w:t>Annual Review of Ecology and Systematics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13</w:t>
      </w:r>
      <w:r w:rsidRPr="000A14BB">
        <w:rPr>
          <w:rFonts w:ascii="Times New Roman" w:hAnsi="Times New Roman" w:cs="Times New Roman"/>
          <w:color w:val="000000" w:themeColor="text1"/>
        </w:rPr>
        <w:t>(1), 201–228. https://doi.org/10.1146/annurev.es.13.110182.001221</w:t>
      </w:r>
    </w:p>
    <w:p w14:paraId="74916489"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Jordano, P. (1987). Patterns of Mutualistic Interactions in Pollination and Seed Dispersal: Connectance, Dependence Asymmetries, and Coevolution. </w:t>
      </w:r>
      <w:r w:rsidRPr="000A14BB">
        <w:rPr>
          <w:rFonts w:ascii="Times New Roman" w:hAnsi="Times New Roman" w:cs="Times New Roman"/>
          <w:i/>
          <w:iCs/>
          <w:color w:val="000000" w:themeColor="text1"/>
        </w:rPr>
        <w:t>The American Naturalist</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129</w:t>
      </w:r>
      <w:r w:rsidRPr="000A14BB">
        <w:rPr>
          <w:rFonts w:ascii="Times New Roman" w:hAnsi="Times New Roman" w:cs="Times New Roman"/>
          <w:color w:val="000000" w:themeColor="text1"/>
        </w:rPr>
        <w:t>(5), 657–677. https://doi.org/10.1086/284665</w:t>
      </w:r>
    </w:p>
    <w:p w14:paraId="08CAD95A"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Jordano, P. (2016). Sampling networks of ecological interactions. </w:t>
      </w:r>
      <w:r w:rsidRPr="000A14BB">
        <w:rPr>
          <w:rFonts w:ascii="Times New Roman" w:hAnsi="Times New Roman" w:cs="Times New Roman"/>
          <w:i/>
          <w:iCs/>
          <w:color w:val="000000" w:themeColor="text1"/>
        </w:rPr>
        <w:t>Functional 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30</w:t>
      </w:r>
      <w:r w:rsidRPr="000A14BB">
        <w:rPr>
          <w:rFonts w:ascii="Times New Roman" w:hAnsi="Times New Roman" w:cs="Times New Roman"/>
          <w:color w:val="000000" w:themeColor="text1"/>
        </w:rPr>
        <w:t>(12), 1883–1893. https://doi.org/10.1111/1365-2435.12763</w:t>
      </w:r>
    </w:p>
    <w:p w14:paraId="690115A7"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lastRenderedPageBreak/>
        <w:t xml:space="preserve">Kleemann, J., Zamora, C., Villacis-Chiluisa, A. B., Cuenca, P., Koo, H., Noh, J. K., Fürst, C., &amp; Thiel, M. (2022). Deforestation in Continental Ecuador with a Focus on Protected Areas. </w:t>
      </w:r>
      <w:r w:rsidRPr="000A14BB">
        <w:rPr>
          <w:rFonts w:ascii="Times New Roman" w:hAnsi="Times New Roman" w:cs="Times New Roman"/>
          <w:i/>
          <w:iCs/>
          <w:color w:val="000000" w:themeColor="text1"/>
        </w:rPr>
        <w:t>Land</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11</w:t>
      </w:r>
      <w:r w:rsidRPr="000A14BB">
        <w:rPr>
          <w:rFonts w:ascii="Times New Roman" w:hAnsi="Times New Roman" w:cs="Times New Roman"/>
          <w:color w:val="000000" w:themeColor="text1"/>
        </w:rPr>
        <w:t>(2), 268. https://doi.org/10.3390/land11020268</w:t>
      </w:r>
    </w:p>
    <w:p w14:paraId="69A89E3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Li, W., Zhu, C., Grass, I., Vazquez, D. P., Wang, D., Zhao, Y., Zeng, D., Kang, Y., Ding, P., &amp; Si, X. (2022). Plant-frugivore network simplification under habitat fragmentation leaves a small core of interacting generalists. </w:t>
      </w:r>
      <w:r w:rsidRPr="000A14BB">
        <w:rPr>
          <w:rFonts w:ascii="Times New Roman" w:hAnsi="Times New Roman" w:cs="Times New Roman"/>
          <w:i/>
          <w:iCs/>
          <w:color w:val="000000" w:themeColor="text1"/>
        </w:rPr>
        <w:t>COMMUNICATIONS BIOLOGY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5</w:t>
      </w:r>
      <w:r w:rsidRPr="000A14BB">
        <w:rPr>
          <w:rFonts w:ascii="Times New Roman" w:hAnsi="Times New Roman" w:cs="Times New Roman"/>
          <w:color w:val="000000" w:themeColor="text1"/>
        </w:rPr>
        <w:t>(1). https://doi.org/10.1038/s42003-022-04198-8</w:t>
      </w:r>
    </w:p>
    <w:p w14:paraId="04CA185F"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Lindell, C. A., Reid, J. L., &amp; Cole, R. J. (2013). Planting Design Effects on Avian Seed Dispersers in a Tropical Forest Restoration Experiment. </w:t>
      </w:r>
      <w:r w:rsidRPr="000A14BB">
        <w:rPr>
          <w:rFonts w:ascii="Times New Roman" w:hAnsi="Times New Roman" w:cs="Times New Roman"/>
          <w:i/>
          <w:iCs/>
          <w:color w:val="000000" w:themeColor="text1"/>
        </w:rPr>
        <w:t>Restoration 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21</w:t>
      </w:r>
      <w:r w:rsidRPr="000A14BB">
        <w:rPr>
          <w:rFonts w:ascii="Times New Roman" w:hAnsi="Times New Roman" w:cs="Times New Roman"/>
          <w:color w:val="000000" w:themeColor="text1"/>
        </w:rPr>
        <w:t>(4), 515–522. https://doi.org/10.1111/j.1526-100X.2012.00905.x</w:t>
      </w:r>
    </w:p>
    <w:p w14:paraId="5815A211"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Lussier, N. M., Crafford, R. E., Reid, J. L., &amp; Kwit, C. (2024). Seeding success: Integrating seed dispersal networks in tropical forest restoration. </w:t>
      </w:r>
      <w:r w:rsidRPr="000A14BB">
        <w:rPr>
          <w:rFonts w:ascii="Times New Roman" w:hAnsi="Times New Roman" w:cs="Times New Roman"/>
          <w:i/>
          <w:iCs/>
          <w:color w:val="000000" w:themeColor="text1"/>
        </w:rPr>
        <w:t>Biotropica</w:t>
      </w:r>
      <w:r w:rsidRPr="000A14BB">
        <w:rPr>
          <w:rFonts w:ascii="Times New Roman" w:hAnsi="Times New Roman" w:cs="Times New Roman"/>
          <w:color w:val="000000" w:themeColor="text1"/>
        </w:rPr>
        <w:t>, e13347. https://doi.org/10.1111/btp.13347</w:t>
      </w:r>
    </w:p>
    <w:p w14:paraId="50F750CC"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Markl, J. S., Schleuning, M., Forget, P. M., Jordano, P., Lambert, J. E., Traveset, A., Wright, S. J., &amp; Böhning‐Gaese, K. (2012). Meta‐Analysis of the Effects of Human Disturbance on Seed Dispersal by Animals. </w:t>
      </w:r>
      <w:r w:rsidRPr="000A14BB">
        <w:rPr>
          <w:rFonts w:ascii="Times New Roman" w:hAnsi="Times New Roman" w:cs="Times New Roman"/>
          <w:i/>
          <w:iCs/>
          <w:color w:val="000000" w:themeColor="text1"/>
        </w:rPr>
        <w:t>Conservation Biology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26</w:t>
      </w:r>
      <w:r w:rsidRPr="000A14BB">
        <w:rPr>
          <w:rFonts w:ascii="Times New Roman" w:hAnsi="Times New Roman" w:cs="Times New Roman"/>
          <w:color w:val="000000" w:themeColor="text1"/>
        </w:rPr>
        <w:t>(6), 1072–1081. https://doi.org/10.1111/j.1523-1739.2012.01927.x</w:t>
      </w:r>
    </w:p>
    <w:p w14:paraId="3AE38E28"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Martínez‐Ramos, M., Pingarroni, A., Rodríguez‐Velázquez, J., Toledo‐Chelala, L., Zermeño‐Hernández, I., &amp; Bongers, F. (2016). Natural forest regeneration and ecological restoration in human‐modified tropical landscapes. </w:t>
      </w:r>
      <w:r w:rsidRPr="000A14BB">
        <w:rPr>
          <w:rFonts w:ascii="Times New Roman" w:hAnsi="Times New Roman" w:cs="Times New Roman"/>
          <w:i/>
          <w:iCs/>
          <w:color w:val="000000" w:themeColor="text1"/>
        </w:rPr>
        <w:t>Biotropica</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48</w:t>
      </w:r>
      <w:r w:rsidRPr="000A14BB">
        <w:rPr>
          <w:rFonts w:ascii="Times New Roman" w:hAnsi="Times New Roman" w:cs="Times New Roman"/>
          <w:color w:val="000000" w:themeColor="text1"/>
        </w:rPr>
        <w:t>(6), 745–757. https://doi.org/10.1111/btp.12382</w:t>
      </w:r>
    </w:p>
    <w:p w14:paraId="46D16B86"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Mazón, M., Aguirre, N., Echeverría, C., &amp; Aronson, J. (2019). Monitoring attributes for ecological restoration in Latin America and the Caribbean region. </w:t>
      </w:r>
      <w:r w:rsidRPr="000A14BB">
        <w:rPr>
          <w:rFonts w:ascii="Times New Roman" w:hAnsi="Times New Roman" w:cs="Times New Roman"/>
          <w:i/>
          <w:iCs/>
          <w:color w:val="000000" w:themeColor="text1"/>
        </w:rPr>
        <w:t>Restoration 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27</w:t>
      </w:r>
      <w:r w:rsidRPr="000A14BB">
        <w:rPr>
          <w:rFonts w:ascii="Times New Roman" w:hAnsi="Times New Roman" w:cs="Times New Roman"/>
          <w:color w:val="000000" w:themeColor="text1"/>
        </w:rPr>
        <w:t>(5), 992–999. https://doi.org/10.1111/rec.12986</w:t>
      </w:r>
    </w:p>
    <w:p w14:paraId="6B16C918"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McAlpine, C., Catterall, C. P., Nally, R. M., Lindenmayer, D., Reid, J. L., Holl, K. D., Bennett, A. F., Runting, R. K., Wilson, K., Hobbs, R. J., Seabrook, L., Cunningham, S., Moilanen, A., Maron, M., Shoo, L., Lunt, I., Vesk, P., Rumpff, L., Martin, T. G., … Possingham, H. (2016). Integrating plant‐ and animal‐based perspectives for more effective restoration of biodiversity. </w:t>
      </w:r>
      <w:r w:rsidRPr="000A14BB">
        <w:rPr>
          <w:rFonts w:ascii="Times New Roman" w:hAnsi="Times New Roman" w:cs="Times New Roman"/>
          <w:i/>
          <w:iCs/>
          <w:color w:val="000000" w:themeColor="text1"/>
        </w:rPr>
        <w:t>Frontiers in Ecology and the Environment</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14</w:t>
      </w:r>
      <w:r w:rsidRPr="000A14BB">
        <w:rPr>
          <w:rFonts w:ascii="Times New Roman" w:hAnsi="Times New Roman" w:cs="Times New Roman"/>
          <w:color w:val="000000" w:themeColor="text1"/>
        </w:rPr>
        <w:t>(1), 37–45. https://doi.org/10.1002/16-0108.1</w:t>
      </w:r>
    </w:p>
    <w:p w14:paraId="642DA09E" w14:textId="77777777" w:rsid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lastRenderedPageBreak/>
        <w:t xml:space="preserve">Mello, M. A. R., Marquitti, F. M. D., Guimarães, P. R., Kalko, E. K. V., Jordano, P., &amp; de Aguiar, M. A. M. (2011). The modularity of seed dispersal: Differences in structure and robustness between bat– and bird–fruit networks. </w:t>
      </w:r>
      <w:r w:rsidRPr="000A14BB">
        <w:rPr>
          <w:rFonts w:ascii="Times New Roman" w:hAnsi="Times New Roman" w:cs="Times New Roman"/>
          <w:i/>
          <w:iCs/>
          <w:color w:val="000000" w:themeColor="text1"/>
        </w:rPr>
        <w:t>Oecologia</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167</w:t>
      </w:r>
      <w:r w:rsidRPr="000A14BB">
        <w:rPr>
          <w:rFonts w:ascii="Times New Roman" w:hAnsi="Times New Roman" w:cs="Times New Roman"/>
          <w:color w:val="000000" w:themeColor="text1"/>
        </w:rPr>
        <w:t>(1), 131. https://doi.org/10.1007/s00442-011-1984-2</w:t>
      </w:r>
    </w:p>
    <w:p w14:paraId="1C841B4B" w14:textId="287C7289" w:rsidR="00ED2EB6" w:rsidRPr="00ED2EB6" w:rsidRDefault="00ED2EB6" w:rsidP="00ED2EB6">
      <w:pPr>
        <w:spacing w:before="0" w:after="0"/>
        <w:ind w:left="720" w:hanging="720"/>
        <w:rPr>
          <w:rFonts w:ascii="Times New Roman" w:hAnsi="Times New Roman" w:cs="Times New Roman"/>
          <w:color w:val="000000" w:themeColor="text1"/>
        </w:rPr>
      </w:pPr>
      <w:r w:rsidRPr="00ED2EB6">
        <w:rPr>
          <w:rFonts w:ascii="Times New Roman" w:hAnsi="Times New Roman" w:cs="Times New Roman"/>
          <w:color w:val="000000" w:themeColor="text1"/>
        </w:rPr>
        <w:t xml:space="preserve">Mortelliti, A., &amp; Lindenmayer, D. B. (2015). Effects of landscape transformation on bird colonization and extinction patterns in a large-scale, long-term natural experiment: Effects of landscape transformation. </w:t>
      </w:r>
      <w:r w:rsidRPr="00ED2EB6">
        <w:rPr>
          <w:rFonts w:ascii="Times New Roman" w:hAnsi="Times New Roman" w:cs="Times New Roman"/>
          <w:i/>
          <w:iCs/>
          <w:color w:val="000000" w:themeColor="text1"/>
        </w:rPr>
        <w:t>Conservation Biology</w:t>
      </w:r>
      <w:r w:rsidRPr="00ED2EB6">
        <w:rPr>
          <w:rFonts w:ascii="Times New Roman" w:hAnsi="Times New Roman" w:cs="Times New Roman"/>
          <w:color w:val="000000" w:themeColor="text1"/>
        </w:rPr>
        <w:t xml:space="preserve">, </w:t>
      </w:r>
      <w:r w:rsidRPr="00ED2EB6">
        <w:rPr>
          <w:rFonts w:ascii="Times New Roman" w:hAnsi="Times New Roman" w:cs="Times New Roman"/>
          <w:i/>
          <w:iCs/>
          <w:color w:val="000000" w:themeColor="text1"/>
        </w:rPr>
        <w:t>29</w:t>
      </w:r>
      <w:r w:rsidRPr="00ED2EB6">
        <w:rPr>
          <w:rFonts w:ascii="Times New Roman" w:hAnsi="Times New Roman" w:cs="Times New Roman"/>
          <w:color w:val="000000" w:themeColor="text1"/>
        </w:rPr>
        <w:t>(5), 1314–1326. https://doi.org/10.1111/cobi.12523</w:t>
      </w:r>
    </w:p>
    <w:p w14:paraId="4577B3D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Neuschulz, E. L., Mueller, T., Schleuning, M., &amp; Böhning-Gaese, K. (2016). Pollination and seed dispersal are the most threatened processes of plant regeneration. </w:t>
      </w:r>
      <w:r w:rsidRPr="000A14BB">
        <w:rPr>
          <w:rFonts w:ascii="Times New Roman" w:hAnsi="Times New Roman" w:cs="Times New Roman"/>
          <w:i/>
          <w:iCs/>
          <w:color w:val="000000" w:themeColor="text1"/>
        </w:rPr>
        <w:t>Scientific Reports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6</w:t>
      </w:r>
      <w:r w:rsidRPr="000A14BB">
        <w:rPr>
          <w:rFonts w:ascii="Times New Roman" w:hAnsi="Times New Roman" w:cs="Times New Roman"/>
          <w:color w:val="000000" w:themeColor="text1"/>
        </w:rPr>
        <w:t>(1), 29839. https://doi.org/10.1038/srep29839</w:t>
      </w:r>
    </w:p>
    <w:p w14:paraId="1C3A8B1C"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Newman, M. E. J. (2006). Modularity and community structure in networks. </w:t>
      </w:r>
      <w:r w:rsidRPr="000A14BB">
        <w:rPr>
          <w:rFonts w:ascii="Times New Roman" w:hAnsi="Times New Roman" w:cs="Times New Roman"/>
          <w:i/>
          <w:iCs/>
          <w:color w:val="000000" w:themeColor="text1"/>
        </w:rPr>
        <w:t>Proceedings of the National Academy of Sciences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103</w:t>
      </w:r>
      <w:r w:rsidRPr="000A14BB">
        <w:rPr>
          <w:rFonts w:ascii="Times New Roman" w:hAnsi="Times New Roman" w:cs="Times New Roman"/>
          <w:color w:val="000000" w:themeColor="text1"/>
        </w:rPr>
        <w:t>(23), 8577–8582. https://doi.org/10.1073/pnas.0601602103</w:t>
      </w:r>
    </w:p>
    <w:p w14:paraId="0CF76267"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Olesen, J. M., Bascompte, J., Dupont, Y. L., &amp; Jordano, P. (2007). The modularity of pollination networks. </w:t>
      </w:r>
      <w:r w:rsidRPr="000A14BB">
        <w:rPr>
          <w:rFonts w:ascii="Times New Roman" w:hAnsi="Times New Roman" w:cs="Times New Roman"/>
          <w:i/>
          <w:iCs/>
          <w:color w:val="000000" w:themeColor="text1"/>
        </w:rPr>
        <w:t>Proceedings of the National Academy of Sciences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104</w:t>
      </w:r>
      <w:r w:rsidRPr="000A14BB">
        <w:rPr>
          <w:rFonts w:ascii="Times New Roman" w:hAnsi="Times New Roman" w:cs="Times New Roman"/>
          <w:color w:val="000000" w:themeColor="text1"/>
        </w:rPr>
        <w:t>(50), 19891–19896. https://doi.org/10.1073/pnas.0706375104</w:t>
      </w:r>
    </w:p>
    <w:p w14:paraId="0986C9DC"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Olson, D. M., &amp; Dinerstein, E. (2002). The Global 200: Priority Ecoregions for Global Conservation. </w:t>
      </w:r>
      <w:r w:rsidRPr="000A14BB">
        <w:rPr>
          <w:rFonts w:ascii="Times New Roman" w:hAnsi="Times New Roman" w:cs="Times New Roman"/>
          <w:i/>
          <w:iCs/>
          <w:color w:val="000000" w:themeColor="text1"/>
        </w:rPr>
        <w:t>Annals of the Missouri Botanical Garden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89</w:t>
      </w:r>
      <w:r w:rsidRPr="000A14BB">
        <w:rPr>
          <w:rFonts w:ascii="Times New Roman" w:hAnsi="Times New Roman" w:cs="Times New Roman"/>
          <w:color w:val="000000" w:themeColor="text1"/>
        </w:rPr>
        <w:t>(2), 199. https://doi.org/10.2307/3298564</w:t>
      </w:r>
    </w:p>
    <w:p w14:paraId="12FAB87E"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Palacio, R. D., Valderrama-Ardila, C., &amp; Kattan, G. H. (2016). Generalist Species Have a Central Role In a Highly Diverse Plant-Frugivore Network. </w:t>
      </w:r>
      <w:r w:rsidRPr="000A14BB">
        <w:rPr>
          <w:rFonts w:ascii="Times New Roman" w:hAnsi="Times New Roman" w:cs="Times New Roman"/>
          <w:i/>
          <w:iCs/>
          <w:color w:val="000000" w:themeColor="text1"/>
        </w:rPr>
        <w:t>Biotropica</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48</w:t>
      </w:r>
      <w:r w:rsidRPr="000A14BB">
        <w:rPr>
          <w:rFonts w:ascii="Times New Roman" w:hAnsi="Times New Roman" w:cs="Times New Roman"/>
          <w:color w:val="000000" w:themeColor="text1"/>
        </w:rPr>
        <w:t>(3), 349–355. https://doi.org/10.1111/btp.12290</w:t>
      </w:r>
    </w:p>
    <w:p w14:paraId="37847CC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Patefield, W. M. (1981). Algorithm AS 159: An Efficient Method of Generating Random R × C Tables with Given Row and Column Totals. </w:t>
      </w:r>
      <w:r w:rsidRPr="000A14BB">
        <w:rPr>
          <w:rFonts w:ascii="Times New Roman" w:hAnsi="Times New Roman" w:cs="Times New Roman"/>
          <w:i/>
          <w:iCs/>
          <w:color w:val="000000" w:themeColor="text1"/>
        </w:rPr>
        <w:t>Applied Statistics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30</w:t>
      </w:r>
      <w:r w:rsidRPr="000A14BB">
        <w:rPr>
          <w:rFonts w:ascii="Times New Roman" w:hAnsi="Times New Roman" w:cs="Times New Roman"/>
          <w:color w:val="000000" w:themeColor="text1"/>
        </w:rPr>
        <w:t>(1), 91. https://doi.org/10.2307/2346669</w:t>
      </w:r>
    </w:p>
    <w:p w14:paraId="70B30726"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Pinotti, B. T., Pagotto, C. P., &amp; Pardini, R. (2012). Habitat structure and food resources for wildlife across successional stages in a tropical forest. </w:t>
      </w:r>
      <w:r w:rsidRPr="000A14BB">
        <w:rPr>
          <w:rFonts w:ascii="Times New Roman" w:hAnsi="Times New Roman" w:cs="Times New Roman"/>
          <w:i/>
          <w:iCs/>
          <w:color w:val="000000" w:themeColor="text1"/>
        </w:rPr>
        <w:t>Forest Ecology and Management</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283</w:t>
      </w:r>
      <w:r w:rsidRPr="000A14BB">
        <w:rPr>
          <w:rFonts w:ascii="Times New Roman" w:hAnsi="Times New Roman" w:cs="Times New Roman"/>
          <w:color w:val="000000" w:themeColor="text1"/>
        </w:rPr>
        <w:t>, 119–127. https://doi.org/10.1016/j.foreco.2012.07.020</w:t>
      </w:r>
    </w:p>
    <w:p w14:paraId="1F26337E"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Ribeiro da Silva, F., Montoya, D., Furtado, R., Memmott, J., Pizo, M. A., &amp; Rodrigues, R. R. (2015). The restoration of tropical seed dispersal networks: Restoration of tropical seed </w:t>
      </w:r>
      <w:r w:rsidRPr="000A14BB">
        <w:rPr>
          <w:rFonts w:ascii="Times New Roman" w:hAnsi="Times New Roman" w:cs="Times New Roman"/>
          <w:color w:val="000000" w:themeColor="text1"/>
        </w:rPr>
        <w:lastRenderedPageBreak/>
        <w:t xml:space="preserve">dispersal networks. </w:t>
      </w:r>
      <w:r w:rsidRPr="000A14BB">
        <w:rPr>
          <w:rFonts w:ascii="Times New Roman" w:hAnsi="Times New Roman" w:cs="Times New Roman"/>
          <w:i/>
          <w:iCs/>
          <w:color w:val="000000" w:themeColor="text1"/>
        </w:rPr>
        <w:t>Restoration Ecology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23</w:t>
      </w:r>
      <w:r w:rsidRPr="000A14BB">
        <w:rPr>
          <w:rFonts w:ascii="Times New Roman" w:hAnsi="Times New Roman" w:cs="Times New Roman"/>
          <w:color w:val="000000" w:themeColor="text1"/>
        </w:rPr>
        <w:t>(6), 852–860. https://doi.org/10.1111/rec.12244</w:t>
      </w:r>
    </w:p>
    <w:p w14:paraId="179237D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Ribeiro Mello, M. A., Darcie Marquitti, F. M., Guimaraes, P. R., Jr., Viktoria Kalko, E. K., Jordano, P., &amp; Martinez de Aguiar, M. A. (2011). The modularity of seed dispersal: Differences in structure and robustness between bat- and bird-fruit networks. </w:t>
      </w:r>
      <w:r w:rsidRPr="000A14BB">
        <w:rPr>
          <w:rFonts w:ascii="Times New Roman" w:hAnsi="Times New Roman" w:cs="Times New Roman"/>
          <w:i/>
          <w:iCs/>
          <w:color w:val="000000" w:themeColor="text1"/>
        </w:rPr>
        <w:t>OECOLOGIA</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167</w:t>
      </w:r>
      <w:r w:rsidRPr="000A14BB">
        <w:rPr>
          <w:rFonts w:ascii="Times New Roman" w:hAnsi="Times New Roman" w:cs="Times New Roman"/>
          <w:color w:val="000000" w:themeColor="text1"/>
        </w:rPr>
        <w:t>(1), 131–140. https://doi.org/10.1007/s00442-011-1984-2</w:t>
      </w:r>
    </w:p>
    <w:p w14:paraId="5F74655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Sebastian-Gonzalez, E., Dalsgaard, B., Sandel, B., &amp; Guimaraes, P. R., Jr. (2015). Macroecological trends in nestedness and modularity of seed-dispersal networks: Human impact matters. </w:t>
      </w:r>
      <w:r w:rsidRPr="000A14BB">
        <w:rPr>
          <w:rFonts w:ascii="Times New Roman" w:hAnsi="Times New Roman" w:cs="Times New Roman"/>
          <w:i/>
          <w:iCs/>
          <w:color w:val="000000" w:themeColor="text1"/>
        </w:rPr>
        <w:t>GLOBAL ECOLOGY AND BIOGEOGRAPHY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24</w:t>
      </w:r>
      <w:r w:rsidRPr="000A14BB">
        <w:rPr>
          <w:rFonts w:ascii="Times New Roman" w:hAnsi="Times New Roman" w:cs="Times New Roman"/>
          <w:color w:val="000000" w:themeColor="text1"/>
        </w:rPr>
        <w:t>(3), 293–303. https://doi.org/10.1111/geb.12270</w:t>
      </w:r>
    </w:p>
    <w:p w14:paraId="0F6032E4"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Selwyn, M., Garrote, P. J., Castilla, A. R., &amp; Fedriani, J. M. (2020). Interspecific interactions among functionally diverse frugivores and their outcomes for plant reproduction: A new approach based on camera-trap data and tailored null models. </w:t>
      </w:r>
      <w:r w:rsidRPr="000A14BB">
        <w:rPr>
          <w:rFonts w:ascii="Times New Roman" w:hAnsi="Times New Roman" w:cs="Times New Roman"/>
          <w:i/>
          <w:iCs/>
          <w:color w:val="000000" w:themeColor="text1"/>
        </w:rPr>
        <w:t>PLOS ONE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15</w:t>
      </w:r>
      <w:r w:rsidRPr="000A14BB">
        <w:rPr>
          <w:rFonts w:ascii="Times New Roman" w:hAnsi="Times New Roman" w:cs="Times New Roman"/>
          <w:color w:val="000000" w:themeColor="text1"/>
        </w:rPr>
        <w:t>(10), e0240614. https://doi.org/10.1371/journal.pone.0240614</w:t>
      </w:r>
    </w:p>
    <w:p w14:paraId="788D1377"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Soepadmo, E. (1993). Tropical rain forests as carbon sinks. </w:t>
      </w:r>
      <w:r w:rsidRPr="000A14BB">
        <w:rPr>
          <w:rFonts w:ascii="Times New Roman" w:hAnsi="Times New Roman" w:cs="Times New Roman"/>
          <w:i/>
          <w:iCs/>
          <w:color w:val="000000" w:themeColor="text1"/>
        </w:rPr>
        <w:t>Chemosphere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27</w:t>
      </w:r>
      <w:r w:rsidRPr="000A14BB">
        <w:rPr>
          <w:rFonts w:ascii="Times New Roman" w:hAnsi="Times New Roman" w:cs="Times New Roman"/>
          <w:color w:val="000000" w:themeColor="text1"/>
        </w:rPr>
        <w:t>(6), 1025–1039. https://doi.org/10.1016/0045-6535(93)90066-E</w:t>
      </w:r>
    </w:p>
    <w:p w14:paraId="5730B6BD"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Team, R. C. (2022). </w:t>
      </w:r>
      <w:r w:rsidRPr="000A14BB">
        <w:rPr>
          <w:rFonts w:ascii="Times New Roman" w:hAnsi="Times New Roman" w:cs="Times New Roman"/>
          <w:i/>
          <w:iCs/>
          <w:color w:val="000000" w:themeColor="text1"/>
        </w:rPr>
        <w:t>R: A Language and Environment for Statistical Computing. R Foundation for Statistical Computing, Vienna</w:t>
      </w:r>
      <w:r w:rsidRPr="000A14BB">
        <w:rPr>
          <w:rFonts w:ascii="Times New Roman" w:hAnsi="Times New Roman" w:cs="Times New Roman"/>
          <w:color w:val="000000" w:themeColor="text1"/>
        </w:rPr>
        <w:t>. https://www.R-project.org</w:t>
      </w:r>
    </w:p>
    <w:p w14:paraId="02DF49E7"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The United Nations. About the UN Decade [Internet. (2019). </w:t>
      </w:r>
      <w:r w:rsidRPr="000A14BB">
        <w:rPr>
          <w:rFonts w:ascii="Times New Roman" w:hAnsi="Times New Roman" w:cs="Times New Roman"/>
          <w:i/>
          <w:iCs/>
          <w:color w:val="000000" w:themeColor="text1"/>
        </w:rPr>
        <w:t>UN Decade on Restoration</w:t>
      </w:r>
      <w:r w:rsidRPr="000A14BB">
        <w:rPr>
          <w:rFonts w:ascii="Times New Roman" w:hAnsi="Times New Roman" w:cs="Times New Roman"/>
          <w:color w:val="000000" w:themeColor="text1"/>
        </w:rPr>
        <w:t>. https://www.decadeonrestoration.org/about-un-decade.</w:t>
      </w:r>
    </w:p>
    <w:p w14:paraId="4B22E335"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Timoteo, S., Correia, M., Rodriguez-Echeverria, S., Freitas, H., &amp; Heleno, R. (2018). Multilayer networks reveal the spatial structure of seed-dispersal interactions across the Great Rift landscapes. </w:t>
      </w:r>
      <w:r w:rsidRPr="000A14BB">
        <w:rPr>
          <w:rFonts w:ascii="Times New Roman" w:hAnsi="Times New Roman" w:cs="Times New Roman"/>
          <w:i/>
          <w:iCs/>
          <w:color w:val="000000" w:themeColor="text1"/>
        </w:rPr>
        <w:t>NATURE COMMUNICATIONS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9</w:t>
      </w:r>
      <w:r w:rsidRPr="000A14BB">
        <w:rPr>
          <w:rFonts w:ascii="Times New Roman" w:hAnsi="Times New Roman" w:cs="Times New Roman"/>
          <w:color w:val="000000" w:themeColor="text1"/>
        </w:rPr>
        <w:t>. https://doi.org/10.1038/s41467-017-02658-y</w:t>
      </w:r>
    </w:p>
    <w:p w14:paraId="14733C41"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Timóteo, S., Ramos, J. A., Vaughan, I. P., &amp; Memmott, J. (2016). High Resilience of Seed Dispersal Webs Highlighted by the Experimental Removal of the Dominant Disperser. </w:t>
      </w:r>
      <w:r w:rsidRPr="000A14BB">
        <w:rPr>
          <w:rFonts w:ascii="Times New Roman" w:hAnsi="Times New Roman" w:cs="Times New Roman"/>
          <w:i/>
          <w:iCs/>
          <w:color w:val="000000" w:themeColor="text1"/>
        </w:rPr>
        <w:t>Current Biology</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26</w:t>
      </w:r>
      <w:r w:rsidRPr="000A14BB">
        <w:rPr>
          <w:rFonts w:ascii="Times New Roman" w:hAnsi="Times New Roman" w:cs="Times New Roman"/>
          <w:color w:val="000000" w:themeColor="text1"/>
        </w:rPr>
        <w:t>(7), 910–915. https://doi.org/10.1016/j.cub.2016.01.046</w:t>
      </w:r>
    </w:p>
    <w:p w14:paraId="23DB457C"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Tuomisto, H., Ruokolainen, K., &amp; Yli-Halla, M. (2003). Dispersal, Environment, and Floristic Variation of Western Amazonian Forests. </w:t>
      </w:r>
      <w:r w:rsidRPr="000A14BB">
        <w:rPr>
          <w:rFonts w:ascii="Times New Roman" w:hAnsi="Times New Roman" w:cs="Times New Roman"/>
          <w:i/>
          <w:iCs/>
          <w:color w:val="000000" w:themeColor="text1"/>
        </w:rPr>
        <w:t>Science</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299</w:t>
      </w:r>
      <w:r w:rsidRPr="000A14BB">
        <w:rPr>
          <w:rFonts w:ascii="Times New Roman" w:hAnsi="Times New Roman" w:cs="Times New Roman"/>
          <w:color w:val="000000" w:themeColor="text1"/>
        </w:rPr>
        <w:t>(5604), 241–244. https://doi.org/10.1126/science.1078037</w:t>
      </w:r>
    </w:p>
    <w:p w14:paraId="2E055E8B"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lastRenderedPageBreak/>
        <w:t xml:space="preserve">Van Der Hoek, Y. (2017). The potential of protected areas to halt deforestation in Ecuador. </w:t>
      </w:r>
      <w:r w:rsidRPr="000A14BB">
        <w:rPr>
          <w:rFonts w:ascii="Times New Roman" w:hAnsi="Times New Roman" w:cs="Times New Roman"/>
          <w:i/>
          <w:iCs/>
          <w:color w:val="000000" w:themeColor="text1"/>
        </w:rPr>
        <w:t>Environmental Conservation</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44</w:t>
      </w:r>
      <w:r w:rsidRPr="000A14BB">
        <w:rPr>
          <w:rFonts w:ascii="Times New Roman" w:hAnsi="Times New Roman" w:cs="Times New Roman"/>
          <w:color w:val="000000" w:themeColor="text1"/>
        </w:rPr>
        <w:t>(2), 124–130. https://doi.org/10.1017/S037689291700011X</w:t>
      </w:r>
    </w:p>
    <w:p w14:paraId="1F08D2B0"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Vitorino, B. D., Frota, A. V. B. da, Maruyama, P. K., Nunes, J. R. da S., &amp; Vizentin-Bugoni, J. (2022). Influence of sampling methods on the description of a Neotropical seed dispersal network. </w:t>
      </w:r>
      <w:r w:rsidRPr="000A14BB">
        <w:rPr>
          <w:rFonts w:ascii="Times New Roman" w:hAnsi="Times New Roman" w:cs="Times New Roman"/>
          <w:i/>
          <w:iCs/>
          <w:color w:val="000000" w:themeColor="text1"/>
        </w:rPr>
        <w:t>Acta Oecologica</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114</w:t>
      </w:r>
      <w:r w:rsidRPr="000A14BB">
        <w:rPr>
          <w:rFonts w:ascii="Times New Roman" w:hAnsi="Times New Roman" w:cs="Times New Roman"/>
          <w:color w:val="000000" w:themeColor="text1"/>
        </w:rPr>
        <w:t>, 103805. https://doi.org/10.1016/j.actao.2021.103805</w:t>
      </w:r>
    </w:p>
    <w:p w14:paraId="30877BC3"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Wandrag, E. M., Dunham, A. E., Duncan, R. P., &amp; Rogers, H. S. (2017). Seed dispersal increases local species richness and reduces spatial turnover of tropical tree seedlings. </w:t>
      </w:r>
      <w:r w:rsidRPr="000A14BB">
        <w:rPr>
          <w:rFonts w:ascii="Times New Roman" w:hAnsi="Times New Roman" w:cs="Times New Roman"/>
          <w:i/>
          <w:iCs/>
          <w:color w:val="000000" w:themeColor="text1"/>
        </w:rPr>
        <w:t>Proceedings of the National Academy of Sciences</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114</w:t>
      </w:r>
      <w:r w:rsidRPr="000A14BB">
        <w:rPr>
          <w:rFonts w:ascii="Times New Roman" w:hAnsi="Times New Roman" w:cs="Times New Roman"/>
          <w:color w:val="000000" w:themeColor="text1"/>
        </w:rPr>
        <w:t>(40), 10689–10694. https://doi.org/10.1073/pnas.1709584114</w:t>
      </w:r>
    </w:p>
    <w:p w14:paraId="58A3A8CD" w14:textId="77777777" w:rsidR="000A14BB" w:rsidRPr="000A14BB" w:rsidRDefault="000A14BB" w:rsidP="00D77075">
      <w:pPr>
        <w:pStyle w:val="Bibliography"/>
        <w:spacing w:before="0" w:line="360" w:lineRule="auto"/>
        <w:rPr>
          <w:rFonts w:ascii="Times New Roman" w:hAnsi="Times New Roman" w:cs="Times New Roman"/>
          <w:color w:val="000000" w:themeColor="text1"/>
        </w:rPr>
      </w:pPr>
      <w:r w:rsidRPr="000A14BB">
        <w:rPr>
          <w:rFonts w:ascii="Times New Roman" w:hAnsi="Times New Roman" w:cs="Times New Roman"/>
          <w:color w:val="000000" w:themeColor="text1"/>
        </w:rPr>
        <w:t xml:space="preserve">Wunderle, J. M. (1997). The role of animal seed dispersal in accelerating native forest regeneration on degraded tropical lands. </w:t>
      </w:r>
      <w:r w:rsidRPr="000A14BB">
        <w:rPr>
          <w:rFonts w:ascii="Times New Roman" w:hAnsi="Times New Roman" w:cs="Times New Roman"/>
          <w:i/>
          <w:iCs/>
          <w:color w:val="000000" w:themeColor="text1"/>
        </w:rPr>
        <w:t>Forest Ecology and Management</w:t>
      </w:r>
      <w:r w:rsidRPr="000A14BB">
        <w:rPr>
          <w:rFonts w:ascii="Times New Roman" w:hAnsi="Times New Roman" w:cs="Times New Roman"/>
          <w:color w:val="000000" w:themeColor="text1"/>
        </w:rPr>
        <w:t xml:space="preserve">, </w:t>
      </w:r>
      <w:r w:rsidRPr="000A14BB">
        <w:rPr>
          <w:rFonts w:ascii="Times New Roman" w:hAnsi="Times New Roman" w:cs="Times New Roman"/>
          <w:i/>
          <w:iCs/>
          <w:color w:val="000000" w:themeColor="text1"/>
        </w:rPr>
        <w:t>99</w:t>
      </w:r>
      <w:r w:rsidRPr="000A14BB">
        <w:rPr>
          <w:rFonts w:ascii="Times New Roman" w:hAnsi="Times New Roman" w:cs="Times New Roman"/>
          <w:color w:val="000000" w:themeColor="text1"/>
        </w:rPr>
        <w:t>(1–2), 223–235. https://doi.org/10.1016/S0378-1127(97)00208-9</w:t>
      </w:r>
    </w:p>
    <w:p w14:paraId="198FACD2" w14:textId="77777777" w:rsidR="000A14BB" w:rsidRPr="000A14BB" w:rsidRDefault="000A14BB" w:rsidP="00D77075">
      <w:pPr>
        <w:spacing w:before="0" w:after="0"/>
        <w:rPr>
          <w:rFonts w:ascii="Times New Roman" w:hAnsi="Times New Roman" w:cs="Times New Roman"/>
          <w:b/>
          <w:bCs/>
          <w:color w:val="000000" w:themeColor="text1"/>
        </w:rPr>
      </w:pPr>
      <w:r w:rsidRPr="000A14BB">
        <w:rPr>
          <w:rFonts w:ascii="Times New Roman" w:hAnsi="Times New Roman" w:cs="Times New Roman"/>
          <w:b/>
          <w:bCs/>
          <w:color w:val="000000" w:themeColor="text1"/>
        </w:rPr>
        <w:fldChar w:fldCharType="end"/>
      </w:r>
    </w:p>
    <w:p w14:paraId="5D6DCF7E" w14:textId="37E5C0CB" w:rsidR="00BC132B" w:rsidRPr="000A14BB" w:rsidRDefault="00BC132B" w:rsidP="00D77075">
      <w:pPr>
        <w:pStyle w:val="Bibliography"/>
        <w:spacing w:before="0" w:line="360" w:lineRule="auto"/>
        <w:rPr>
          <w:rFonts w:ascii="Times New Roman" w:hAnsi="Times New Roman" w:cs="Times New Roman"/>
          <w:color w:val="000000" w:themeColor="text1"/>
        </w:rPr>
      </w:pPr>
    </w:p>
    <w:p w14:paraId="21C799F8" w14:textId="77777777" w:rsidR="00CA32CB" w:rsidRDefault="002254AF" w:rsidP="00D77075">
      <w:pPr>
        <w:pStyle w:val="Bibliography"/>
        <w:spacing w:before="0" w:line="360" w:lineRule="auto"/>
        <w:ind w:left="0" w:firstLine="0"/>
        <w:rPr>
          <w:rFonts w:ascii="Times New Roman" w:hAnsi="Times New Roman" w:cs="Times New Roman"/>
          <w:b/>
          <w:bCs/>
          <w:color w:val="000000" w:themeColor="text1"/>
        </w:rPr>
      </w:pPr>
      <w:r w:rsidRPr="002254AF">
        <w:rPr>
          <w:rFonts w:ascii="Times New Roman" w:hAnsi="Times New Roman" w:cs="Times New Roman"/>
          <w:b/>
          <w:bCs/>
          <w:color w:val="000000" w:themeColor="text1"/>
        </w:rPr>
        <w:fldChar w:fldCharType="end"/>
      </w:r>
    </w:p>
    <w:p w14:paraId="6DDF2402" w14:textId="70928F69" w:rsidR="00CA32CB" w:rsidRDefault="00CA32CB">
      <w:pPr>
        <w:rPr>
          <w:rFonts w:ascii="Times New Roman" w:hAnsi="Times New Roman" w:cs="Times New Roman"/>
          <w:b/>
          <w:bCs/>
          <w:color w:val="000000" w:themeColor="text1"/>
        </w:rPr>
      </w:pPr>
    </w:p>
    <w:p w14:paraId="0059D809" w14:textId="77777777" w:rsidR="00D77075" w:rsidRDefault="00D77075">
      <w:pPr>
        <w:rPr>
          <w:rFonts w:ascii="Times New Roman" w:hAnsi="Times New Roman" w:cs="Times New Roman"/>
          <w:b/>
          <w:bCs/>
        </w:rPr>
      </w:pPr>
      <w:r>
        <w:rPr>
          <w:rFonts w:ascii="Times New Roman" w:hAnsi="Times New Roman" w:cs="Times New Roman"/>
          <w:b/>
          <w:bCs/>
        </w:rPr>
        <w:br w:type="page"/>
      </w:r>
    </w:p>
    <w:p w14:paraId="51A6C3A4" w14:textId="4194B112" w:rsidR="000C6307" w:rsidRPr="00B066C6" w:rsidRDefault="000C6307" w:rsidP="00D77075">
      <w:pPr>
        <w:pStyle w:val="Bibliography"/>
        <w:spacing w:before="0" w:line="360" w:lineRule="auto"/>
        <w:ind w:left="0" w:firstLine="0"/>
        <w:rPr>
          <w:rFonts w:ascii="Times New Roman" w:hAnsi="Times New Roman" w:cs="Times New Roman"/>
          <w:b/>
          <w:bCs/>
        </w:rPr>
      </w:pPr>
      <w:r w:rsidRPr="00B066C6">
        <w:rPr>
          <w:rFonts w:ascii="Times New Roman" w:hAnsi="Times New Roman" w:cs="Times New Roman"/>
          <w:b/>
          <w:bCs/>
        </w:rPr>
        <w:lastRenderedPageBreak/>
        <w:t>Appendix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B1371" w:rsidRPr="00B066C6" w14:paraId="1448BA85" w14:textId="77777777" w:rsidTr="003B1371">
        <w:tc>
          <w:tcPr>
            <w:tcW w:w="9350" w:type="dxa"/>
          </w:tcPr>
          <w:p w14:paraId="7AA19329" w14:textId="77777777" w:rsidR="006262A7" w:rsidRDefault="009E0EEA" w:rsidP="00D77075">
            <w:pPr>
              <w:pStyle w:val="Caption"/>
              <w:spacing w:before="0" w:after="0"/>
              <w:rPr>
                <w:rFonts w:ascii="Times New Roman" w:hAnsi="Times New Roman" w:cs="Times New Roman"/>
                <w:b/>
                <w:bCs/>
                <w:i w:val="0"/>
                <w:iCs w:val="0"/>
                <w:color w:val="000000" w:themeColor="text1"/>
                <w:sz w:val="24"/>
                <w:szCs w:val="24"/>
              </w:rPr>
            </w:pPr>
            <w:bookmarkStart w:id="122" w:name="_Ref191556513"/>
            <w:bookmarkStart w:id="123" w:name="_Toc191556719"/>
            <w:r w:rsidRPr="00B066C6">
              <w:rPr>
                <w:rFonts w:ascii="Times New Roman" w:hAnsi="Times New Roman" w:cs="Times New Roman"/>
                <w:noProof/>
              </w:rPr>
              <w:drawing>
                <wp:inline distT="0" distB="0" distL="0" distR="0" wp14:anchorId="2B3CA548" wp14:editId="509D7AB2">
                  <wp:extent cx="5862688" cy="3844925"/>
                  <wp:effectExtent l="0" t="0" r="5080" b="3175"/>
                  <wp:docPr id="175122581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00298" name="Picture 1" descr="A screenshot of a graph&#10;&#10;AI-generated content may be incorrect."/>
                          <pic:cNvPicPr/>
                        </pic:nvPicPr>
                        <pic:blipFill rotWithShape="1">
                          <a:blip r:embed="rId118" cstate="print">
                            <a:extLst>
                              <a:ext uri="{28A0092B-C50C-407E-A947-70E740481C1C}">
                                <a14:useLocalDpi xmlns:a14="http://schemas.microsoft.com/office/drawing/2010/main" val="0"/>
                              </a:ext>
                            </a:extLst>
                          </a:blip>
                          <a:srcRect l="1357" t="3379"/>
                          <a:stretch/>
                        </pic:blipFill>
                        <pic:spPr bwMode="auto">
                          <a:xfrm>
                            <a:off x="0" y="0"/>
                            <a:ext cx="5862915" cy="3845074"/>
                          </a:xfrm>
                          <a:prstGeom prst="rect">
                            <a:avLst/>
                          </a:prstGeom>
                          <a:ln>
                            <a:noFill/>
                          </a:ln>
                          <a:extLst>
                            <a:ext uri="{53640926-AAD7-44D8-BBD7-CCE9431645EC}">
                              <a14:shadowObscured xmlns:a14="http://schemas.microsoft.com/office/drawing/2010/main"/>
                            </a:ext>
                          </a:extLst>
                        </pic:spPr>
                      </pic:pic>
                    </a:graphicData>
                  </a:graphic>
                </wp:inline>
              </w:drawing>
            </w:r>
          </w:p>
          <w:p w14:paraId="40188711" w14:textId="77777777" w:rsidR="006262A7" w:rsidRDefault="006262A7" w:rsidP="00D77075">
            <w:pPr>
              <w:pStyle w:val="Caption"/>
              <w:spacing w:before="0" w:after="0"/>
              <w:rPr>
                <w:rFonts w:ascii="Times New Roman" w:hAnsi="Times New Roman" w:cs="Times New Roman"/>
                <w:b/>
                <w:bCs/>
                <w:i w:val="0"/>
                <w:iCs w:val="0"/>
                <w:color w:val="000000" w:themeColor="text1"/>
                <w:sz w:val="24"/>
                <w:szCs w:val="24"/>
              </w:rPr>
            </w:pPr>
          </w:p>
          <w:p w14:paraId="46505E91" w14:textId="52CF31EB" w:rsidR="003B1371" w:rsidRPr="00E035F1" w:rsidRDefault="00577CC0" w:rsidP="00577CC0">
            <w:pPr>
              <w:pStyle w:val="Caption"/>
              <w:rPr>
                <w:rFonts w:ascii="Times New Roman" w:hAnsi="Times New Roman" w:cs="Times New Roman"/>
                <w:i w:val="0"/>
                <w:iCs w:val="0"/>
                <w:sz w:val="24"/>
                <w:szCs w:val="24"/>
              </w:rPr>
            </w:pPr>
            <w:bookmarkStart w:id="124" w:name="_Toc195189834"/>
            <w:bookmarkEnd w:id="122"/>
            <w:r w:rsidRPr="00577CC0">
              <w:rPr>
                <w:rFonts w:ascii="Times New Roman" w:hAnsi="Times New Roman" w:cs="Times New Roman"/>
                <w:b/>
                <w:bCs/>
                <w:i w:val="0"/>
                <w:iCs w:val="0"/>
                <w:sz w:val="24"/>
                <w:szCs w:val="24"/>
              </w:rPr>
              <w:t xml:space="preserve">Supplementary Figure </w:t>
            </w:r>
            <w:r w:rsidRPr="00577CC0">
              <w:rPr>
                <w:rFonts w:ascii="Times New Roman" w:hAnsi="Times New Roman" w:cs="Times New Roman"/>
                <w:b/>
                <w:bCs/>
                <w:i w:val="0"/>
                <w:iCs w:val="0"/>
                <w:sz w:val="24"/>
                <w:szCs w:val="24"/>
              </w:rPr>
              <w:fldChar w:fldCharType="begin"/>
            </w:r>
            <w:r w:rsidRPr="00577CC0">
              <w:rPr>
                <w:rFonts w:ascii="Times New Roman" w:hAnsi="Times New Roman" w:cs="Times New Roman"/>
                <w:b/>
                <w:bCs/>
                <w:i w:val="0"/>
                <w:iCs w:val="0"/>
                <w:sz w:val="24"/>
                <w:szCs w:val="24"/>
              </w:rPr>
              <w:instrText xml:space="preserve"> SEQ Supplementary_Figure \* ARABIC </w:instrText>
            </w:r>
            <w:r w:rsidRPr="00577CC0">
              <w:rPr>
                <w:rFonts w:ascii="Times New Roman" w:hAnsi="Times New Roman" w:cs="Times New Roman"/>
                <w:b/>
                <w:bCs/>
                <w:i w:val="0"/>
                <w:iCs w:val="0"/>
                <w:sz w:val="24"/>
                <w:szCs w:val="24"/>
              </w:rPr>
              <w:fldChar w:fldCharType="separate"/>
            </w:r>
            <w:r w:rsidRPr="00577CC0">
              <w:rPr>
                <w:rFonts w:ascii="Times New Roman" w:hAnsi="Times New Roman" w:cs="Times New Roman"/>
                <w:b/>
                <w:bCs/>
                <w:i w:val="0"/>
                <w:iCs w:val="0"/>
                <w:noProof/>
                <w:sz w:val="24"/>
                <w:szCs w:val="24"/>
              </w:rPr>
              <w:t>4</w:t>
            </w:r>
            <w:r w:rsidRPr="00577CC0">
              <w:rPr>
                <w:rFonts w:ascii="Times New Roman" w:hAnsi="Times New Roman" w:cs="Times New Roman"/>
                <w:b/>
                <w:bCs/>
                <w:i w:val="0"/>
                <w:iCs w:val="0"/>
                <w:sz w:val="24"/>
                <w:szCs w:val="24"/>
              </w:rPr>
              <w:fldChar w:fldCharType="end"/>
            </w:r>
            <w:r w:rsidRPr="00577CC0">
              <w:rPr>
                <w:rFonts w:ascii="Times New Roman" w:hAnsi="Times New Roman" w:cs="Times New Roman"/>
                <w:b/>
                <w:bCs/>
                <w:i w:val="0"/>
                <w:iCs w:val="0"/>
                <w:sz w:val="24"/>
                <w:szCs w:val="24"/>
              </w:rPr>
              <w:t xml:space="preserve">: </w:t>
            </w:r>
            <w:r w:rsidR="003B1371" w:rsidRPr="00E035F1">
              <w:rPr>
                <w:rFonts w:ascii="Times New Roman" w:hAnsi="Times New Roman" w:cs="Times New Roman"/>
                <w:i w:val="0"/>
                <w:iCs w:val="0"/>
                <w:color w:val="000000" w:themeColor="text1"/>
                <w:sz w:val="24"/>
                <w:szCs w:val="24"/>
              </w:rPr>
              <w:t>Results of Tukey pairwise comparisons between stages of forest regeneration for varying network-level measures represented by p-values.</w:t>
            </w:r>
            <w:bookmarkEnd w:id="123"/>
            <w:bookmarkEnd w:id="124"/>
            <w:r w:rsidR="003B1371" w:rsidRPr="00E035F1">
              <w:rPr>
                <w:rFonts w:ascii="Times New Roman" w:hAnsi="Times New Roman" w:cs="Times New Roman"/>
                <w:i w:val="0"/>
                <w:iCs w:val="0"/>
                <w:color w:val="000000" w:themeColor="text1"/>
                <w:sz w:val="24"/>
                <w:szCs w:val="24"/>
              </w:rPr>
              <w:t xml:space="preserve"> </w:t>
            </w:r>
          </w:p>
        </w:tc>
      </w:tr>
      <w:tr w:rsidR="003B1371" w:rsidRPr="00B066C6" w14:paraId="311E7284" w14:textId="77777777" w:rsidTr="003B1371">
        <w:tc>
          <w:tcPr>
            <w:tcW w:w="9350" w:type="dxa"/>
          </w:tcPr>
          <w:p w14:paraId="45282BA0" w14:textId="16AFE9D2" w:rsidR="003B1371" w:rsidRPr="00B066C6" w:rsidRDefault="003B1371" w:rsidP="00BD07DC">
            <w:pPr>
              <w:spacing w:after="240" w:line="360" w:lineRule="auto"/>
              <w:rPr>
                <w:rFonts w:ascii="Times New Roman" w:hAnsi="Times New Roman" w:cs="Times New Roman"/>
                <w:b/>
                <w:bCs/>
              </w:rPr>
            </w:pPr>
          </w:p>
        </w:tc>
      </w:tr>
    </w:tbl>
    <w:p w14:paraId="3E646FF8" w14:textId="77777777" w:rsidR="007F0836" w:rsidRDefault="007F0836" w:rsidP="00BD07DC">
      <w:pPr>
        <w:rPr>
          <w:rFonts w:ascii="Times New Roman" w:hAnsi="Times New Roman" w:cs="Times New Roman"/>
        </w:rPr>
      </w:pPr>
    </w:p>
    <w:p w14:paraId="5CE0DD64" w14:textId="77777777" w:rsidR="007F0836" w:rsidRDefault="007F0836">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4315"/>
        <w:gridCol w:w="3330"/>
        <w:gridCol w:w="1705"/>
      </w:tblGrid>
      <w:tr w:rsidR="007F0836" w:rsidRPr="009A49C9" w14:paraId="748AAC53" w14:textId="77777777" w:rsidTr="007F0836">
        <w:tc>
          <w:tcPr>
            <w:tcW w:w="9350" w:type="dxa"/>
            <w:gridSpan w:val="3"/>
            <w:tcBorders>
              <w:top w:val="nil"/>
              <w:left w:val="nil"/>
              <w:bottom w:val="single" w:sz="4" w:space="0" w:color="auto"/>
              <w:right w:val="nil"/>
            </w:tcBorders>
            <w:vAlign w:val="center"/>
          </w:tcPr>
          <w:p w14:paraId="3E9BA80C" w14:textId="30E6F64D" w:rsidR="007F0836" w:rsidRPr="007F0836" w:rsidRDefault="007F0836" w:rsidP="007F0836">
            <w:pPr>
              <w:pStyle w:val="Caption"/>
              <w:spacing w:before="0" w:after="0"/>
              <w:rPr>
                <w:rFonts w:ascii="Times New Roman" w:hAnsi="Times New Roman" w:cs="Times New Roman"/>
                <w:b/>
                <w:bCs/>
                <w:i w:val="0"/>
                <w:iCs w:val="0"/>
                <w:sz w:val="24"/>
                <w:szCs w:val="24"/>
              </w:rPr>
            </w:pPr>
            <w:bookmarkStart w:id="125" w:name="_Toc195189695"/>
            <w:r w:rsidRPr="007F0836">
              <w:rPr>
                <w:rFonts w:ascii="Times New Roman" w:hAnsi="Times New Roman" w:cs="Times New Roman"/>
                <w:b/>
                <w:bCs/>
                <w:i w:val="0"/>
                <w:iCs w:val="0"/>
                <w:color w:val="000000" w:themeColor="text1"/>
                <w:sz w:val="24"/>
                <w:szCs w:val="24"/>
              </w:rPr>
              <w:lastRenderedPageBreak/>
              <w:t xml:space="preserve">Supplementary Table </w:t>
            </w:r>
            <w:r w:rsidRPr="007F0836">
              <w:rPr>
                <w:rFonts w:ascii="Times New Roman" w:hAnsi="Times New Roman" w:cs="Times New Roman"/>
                <w:b/>
                <w:bCs/>
                <w:i w:val="0"/>
                <w:iCs w:val="0"/>
                <w:color w:val="000000" w:themeColor="text1"/>
                <w:sz w:val="24"/>
                <w:szCs w:val="24"/>
              </w:rPr>
              <w:fldChar w:fldCharType="begin"/>
            </w:r>
            <w:r w:rsidRPr="007F0836">
              <w:rPr>
                <w:rFonts w:ascii="Times New Roman" w:hAnsi="Times New Roman" w:cs="Times New Roman"/>
                <w:b/>
                <w:bCs/>
                <w:i w:val="0"/>
                <w:iCs w:val="0"/>
                <w:color w:val="000000" w:themeColor="text1"/>
                <w:sz w:val="24"/>
                <w:szCs w:val="24"/>
              </w:rPr>
              <w:instrText xml:space="preserve"> SEQ Supplementary_Table \* ARABIC </w:instrText>
            </w:r>
            <w:r w:rsidRPr="007F0836">
              <w:rPr>
                <w:rFonts w:ascii="Times New Roman" w:hAnsi="Times New Roman" w:cs="Times New Roman"/>
                <w:b/>
                <w:bCs/>
                <w:i w:val="0"/>
                <w:iCs w:val="0"/>
                <w:color w:val="000000" w:themeColor="text1"/>
                <w:sz w:val="24"/>
                <w:szCs w:val="24"/>
              </w:rPr>
              <w:fldChar w:fldCharType="separate"/>
            </w:r>
            <w:r w:rsidRPr="007F0836">
              <w:rPr>
                <w:rFonts w:ascii="Times New Roman" w:hAnsi="Times New Roman" w:cs="Times New Roman"/>
                <w:b/>
                <w:bCs/>
                <w:i w:val="0"/>
                <w:iCs w:val="0"/>
                <w:noProof/>
                <w:color w:val="000000" w:themeColor="text1"/>
                <w:sz w:val="24"/>
                <w:szCs w:val="24"/>
              </w:rPr>
              <w:t>4</w:t>
            </w:r>
            <w:r w:rsidRPr="007F0836">
              <w:rPr>
                <w:rFonts w:ascii="Times New Roman" w:hAnsi="Times New Roman" w:cs="Times New Roman"/>
                <w:b/>
                <w:bCs/>
                <w:i w:val="0"/>
                <w:iCs w:val="0"/>
                <w:color w:val="000000" w:themeColor="text1"/>
                <w:sz w:val="24"/>
                <w:szCs w:val="24"/>
              </w:rPr>
              <w:fldChar w:fldCharType="end"/>
            </w:r>
            <w:r w:rsidRPr="007F0836">
              <w:rPr>
                <w:rFonts w:ascii="Times New Roman" w:hAnsi="Times New Roman" w:cs="Times New Roman"/>
                <w:b/>
                <w:bCs/>
                <w:i w:val="0"/>
                <w:iCs w:val="0"/>
                <w:color w:val="000000" w:themeColor="text1"/>
                <w:sz w:val="24"/>
                <w:szCs w:val="24"/>
              </w:rPr>
              <w:t>:</w:t>
            </w:r>
            <w:r w:rsidRPr="007F0836">
              <w:rPr>
                <w:rFonts w:ascii="Times New Roman" w:hAnsi="Times New Roman" w:cs="Times New Roman"/>
                <w:i w:val="0"/>
                <w:iCs w:val="0"/>
                <w:color w:val="000000" w:themeColor="text1"/>
                <w:sz w:val="24"/>
                <w:szCs w:val="24"/>
              </w:rPr>
              <w:t xml:space="preserve"> Disperser species captured within mist-nets with realized interactions included in network analysis.</w:t>
            </w:r>
            <w:bookmarkEnd w:id="125"/>
          </w:p>
        </w:tc>
      </w:tr>
      <w:tr w:rsidR="007F0836" w:rsidRPr="009A49C9" w14:paraId="02146D01" w14:textId="77777777" w:rsidTr="007F0836">
        <w:tc>
          <w:tcPr>
            <w:tcW w:w="4315" w:type="dxa"/>
            <w:tcBorders>
              <w:top w:val="single" w:sz="4" w:space="0" w:color="auto"/>
            </w:tcBorders>
            <w:vAlign w:val="center"/>
          </w:tcPr>
          <w:p w14:paraId="0701CF70" w14:textId="77777777" w:rsidR="007F0836" w:rsidRPr="00EB4834" w:rsidRDefault="007F0836" w:rsidP="007F0836">
            <w:pPr>
              <w:spacing w:before="0"/>
              <w:jc w:val="center"/>
              <w:rPr>
                <w:rFonts w:ascii="Times New Roman" w:hAnsi="Times New Roman" w:cs="Times New Roman"/>
                <w:b/>
                <w:bCs/>
                <w:color w:val="000000" w:themeColor="text1"/>
              </w:rPr>
            </w:pPr>
            <w:r w:rsidRPr="00EB4834">
              <w:rPr>
                <w:rFonts w:ascii="Times New Roman" w:hAnsi="Times New Roman" w:cs="Times New Roman"/>
                <w:b/>
                <w:bCs/>
                <w:color w:val="000000" w:themeColor="text1"/>
              </w:rPr>
              <w:t>Common Name</w:t>
            </w:r>
          </w:p>
        </w:tc>
        <w:tc>
          <w:tcPr>
            <w:tcW w:w="3330" w:type="dxa"/>
            <w:tcBorders>
              <w:top w:val="single" w:sz="4" w:space="0" w:color="auto"/>
            </w:tcBorders>
            <w:vAlign w:val="center"/>
          </w:tcPr>
          <w:p w14:paraId="6B7FA2B9" w14:textId="77777777" w:rsidR="007F0836" w:rsidRPr="00EB4834" w:rsidRDefault="007F0836" w:rsidP="007F0836">
            <w:pPr>
              <w:spacing w:before="0"/>
              <w:jc w:val="center"/>
              <w:rPr>
                <w:rFonts w:ascii="Times New Roman" w:hAnsi="Times New Roman" w:cs="Times New Roman"/>
                <w:b/>
                <w:bCs/>
                <w:color w:val="000000" w:themeColor="text1"/>
              </w:rPr>
            </w:pPr>
            <w:r w:rsidRPr="00EB4834">
              <w:rPr>
                <w:rFonts w:ascii="Times New Roman" w:hAnsi="Times New Roman" w:cs="Times New Roman"/>
                <w:b/>
                <w:bCs/>
                <w:color w:val="000000" w:themeColor="text1"/>
              </w:rPr>
              <w:t>Scientific Name</w:t>
            </w:r>
          </w:p>
        </w:tc>
        <w:tc>
          <w:tcPr>
            <w:tcW w:w="1705" w:type="dxa"/>
            <w:tcBorders>
              <w:top w:val="single" w:sz="4" w:space="0" w:color="auto"/>
            </w:tcBorders>
            <w:vAlign w:val="center"/>
          </w:tcPr>
          <w:p w14:paraId="1A928566" w14:textId="77777777" w:rsidR="007F0836" w:rsidRPr="00EB4834" w:rsidRDefault="007F0836" w:rsidP="007F0836">
            <w:pPr>
              <w:spacing w:before="0"/>
              <w:jc w:val="center"/>
              <w:rPr>
                <w:rFonts w:ascii="Times New Roman" w:hAnsi="Times New Roman" w:cs="Times New Roman"/>
                <w:b/>
                <w:bCs/>
                <w:color w:val="000000" w:themeColor="text1"/>
              </w:rPr>
            </w:pPr>
            <w:r w:rsidRPr="00EB4834">
              <w:rPr>
                <w:rFonts w:ascii="Times New Roman" w:hAnsi="Times New Roman" w:cs="Times New Roman"/>
                <w:b/>
                <w:bCs/>
                <w:color w:val="000000" w:themeColor="text1"/>
              </w:rPr>
              <w:t>Interaction Abundance</w:t>
            </w:r>
          </w:p>
        </w:tc>
      </w:tr>
      <w:tr w:rsidR="007F0836" w:rsidRPr="009A49C9" w14:paraId="166D2202" w14:textId="77777777" w:rsidTr="000426A0">
        <w:trPr>
          <w:trHeight w:val="320"/>
        </w:trPr>
        <w:tc>
          <w:tcPr>
            <w:tcW w:w="4315" w:type="dxa"/>
            <w:noWrap/>
            <w:vAlign w:val="bottom"/>
            <w:hideMark/>
          </w:tcPr>
          <w:p w14:paraId="64A675C2"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Bananaquit</w:t>
            </w:r>
          </w:p>
        </w:tc>
        <w:tc>
          <w:tcPr>
            <w:tcW w:w="3330" w:type="dxa"/>
            <w:noWrap/>
            <w:vAlign w:val="bottom"/>
            <w:hideMark/>
          </w:tcPr>
          <w:p w14:paraId="61008EBC"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Coereba</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flaveola</w:t>
            </w:r>
            <w:proofErr w:type="spellEnd"/>
          </w:p>
        </w:tc>
        <w:tc>
          <w:tcPr>
            <w:tcW w:w="1705" w:type="dxa"/>
            <w:noWrap/>
            <w:vAlign w:val="bottom"/>
            <w:hideMark/>
          </w:tcPr>
          <w:p w14:paraId="6D70AB6B"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12</w:t>
            </w:r>
          </w:p>
        </w:tc>
      </w:tr>
      <w:tr w:rsidR="007F0836" w:rsidRPr="009A49C9" w14:paraId="158D8653" w14:textId="77777777" w:rsidTr="000426A0">
        <w:trPr>
          <w:trHeight w:val="320"/>
        </w:trPr>
        <w:tc>
          <w:tcPr>
            <w:tcW w:w="4315" w:type="dxa"/>
            <w:noWrap/>
            <w:vAlign w:val="bottom"/>
            <w:hideMark/>
          </w:tcPr>
          <w:p w14:paraId="73BE5D0C" w14:textId="644EEFC3"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 xml:space="preserve">Band-tailed </w:t>
            </w:r>
            <w:proofErr w:type="spellStart"/>
            <w:r w:rsidRPr="007F0836">
              <w:rPr>
                <w:rFonts w:ascii="Times New Roman" w:hAnsi="Times New Roman" w:cs="Times New Roman"/>
                <w:color w:val="000000" w:themeColor="text1"/>
              </w:rPr>
              <w:t>Barbthroat</w:t>
            </w:r>
            <w:proofErr w:type="spellEnd"/>
          </w:p>
        </w:tc>
        <w:tc>
          <w:tcPr>
            <w:tcW w:w="3330" w:type="dxa"/>
            <w:noWrap/>
            <w:vAlign w:val="bottom"/>
            <w:hideMark/>
          </w:tcPr>
          <w:p w14:paraId="690489A5"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Threnetes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ruckeri</w:t>
            </w:r>
            <w:proofErr w:type="spellEnd"/>
          </w:p>
        </w:tc>
        <w:tc>
          <w:tcPr>
            <w:tcW w:w="1705" w:type="dxa"/>
            <w:noWrap/>
            <w:vAlign w:val="bottom"/>
            <w:hideMark/>
          </w:tcPr>
          <w:p w14:paraId="6E217B8B"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9A49C9" w14:paraId="28B74AC0" w14:textId="77777777" w:rsidTr="000426A0">
        <w:trPr>
          <w:trHeight w:val="320"/>
        </w:trPr>
        <w:tc>
          <w:tcPr>
            <w:tcW w:w="4315" w:type="dxa"/>
            <w:noWrap/>
            <w:vAlign w:val="bottom"/>
            <w:hideMark/>
          </w:tcPr>
          <w:p w14:paraId="7166D72C"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Bay-headed Tanager</w:t>
            </w:r>
          </w:p>
        </w:tc>
        <w:tc>
          <w:tcPr>
            <w:tcW w:w="3330" w:type="dxa"/>
            <w:noWrap/>
            <w:vAlign w:val="bottom"/>
            <w:hideMark/>
          </w:tcPr>
          <w:p w14:paraId="11599598"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Tangara </w:t>
            </w:r>
            <w:proofErr w:type="spellStart"/>
            <w:r w:rsidRPr="007F0836">
              <w:rPr>
                <w:rFonts w:ascii="Times New Roman" w:hAnsi="Times New Roman" w:cs="Times New Roman"/>
                <w:i/>
                <w:iCs/>
                <w:color w:val="000000" w:themeColor="text1"/>
              </w:rPr>
              <w:t>gyrola</w:t>
            </w:r>
            <w:proofErr w:type="spellEnd"/>
          </w:p>
        </w:tc>
        <w:tc>
          <w:tcPr>
            <w:tcW w:w="1705" w:type="dxa"/>
            <w:noWrap/>
            <w:vAlign w:val="bottom"/>
            <w:hideMark/>
          </w:tcPr>
          <w:p w14:paraId="34CC9D32"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6</w:t>
            </w:r>
          </w:p>
        </w:tc>
      </w:tr>
      <w:tr w:rsidR="007F0836" w:rsidRPr="009A49C9" w14:paraId="2E180AED" w14:textId="77777777" w:rsidTr="000426A0">
        <w:trPr>
          <w:trHeight w:val="320"/>
        </w:trPr>
        <w:tc>
          <w:tcPr>
            <w:tcW w:w="4315" w:type="dxa"/>
            <w:noWrap/>
            <w:vAlign w:val="bottom"/>
            <w:hideMark/>
          </w:tcPr>
          <w:p w14:paraId="1ABB7B73"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Black-crowned Antshrike</w:t>
            </w:r>
          </w:p>
        </w:tc>
        <w:tc>
          <w:tcPr>
            <w:tcW w:w="3330" w:type="dxa"/>
            <w:noWrap/>
            <w:vAlign w:val="bottom"/>
            <w:hideMark/>
          </w:tcPr>
          <w:p w14:paraId="257B9A22"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Thamnophilus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atrinucha</w:t>
            </w:r>
            <w:proofErr w:type="spellEnd"/>
          </w:p>
        </w:tc>
        <w:tc>
          <w:tcPr>
            <w:tcW w:w="1705" w:type="dxa"/>
            <w:noWrap/>
            <w:vAlign w:val="bottom"/>
            <w:hideMark/>
          </w:tcPr>
          <w:p w14:paraId="11D4DC67"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9A49C9" w14:paraId="57CA0419" w14:textId="77777777" w:rsidTr="000426A0">
        <w:trPr>
          <w:trHeight w:val="320"/>
        </w:trPr>
        <w:tc>
          <w:tcPr>
            <w:tcW w:w="4315" w:type="dxa"/>
            <w:noWrap/>
            <w:vAlign w:val="bottom"/>
            <w:hideMark/>
          </w:tcPr>
          <w:p w14:paraId="6B67DFB7"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 xml:space="preserve">Black-faced </w:t>
            </w:r>
            <w:proofErr w:type="spellStart"/>
            <w:r w:rsidRPr="007F0836">
              <w:rPr>
                <w:rFonts w:ascii="Times New Roman" w:hAnsi="Times New Roman" w:cs="Times New Roman"/>
                <w:color w:val="000000" w:themeColor="text1"/>
              </w:rPr>
              <w:t>Dacnis</w:t>
            </w:r>
            <w:proofErr w:type="spellEnd"/>
          </w:p>
        </w:tc>
        <w:tc>
          <w:tcPr>
            <w:tcW w:w="3330" w:type="dxa"/>
            <w:noWrap/>
            <w:vAlign w:val="bottom"/>
            <w:hideMark/>
          </w:tcPr>
          <w:p w14:paraId="0AFE6379"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Dacnis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lineata</w:t>
            </w:r>
            <w:proofErr w:type="spellEnd"/>
          </w:p>
        </w:tc>
        <w:tc>
          <w:tcPr>
            <w:tcW w:w="1705" w:type="dxa"/>
            <w:noWrap/>
            <w:vAlign w:val="bottom"/>
            <w:hideMark/>
          </w:tcPr>
          <w:p w14:paraId="5C3AD353"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9A49C9" w14:paraId="151EC73D" w14:textId="77777777" w:rsidTr="000426A0">
        <w:trPr>
          <w:trHeight w:val="320"/>
        </w:trPr>
        <w:tc>
          <w:tcPr>
            <w:tcW w:w="4315" w:type="dxa"/>
            <w:noWrap/>
            <w:vAlign w:val="bottom"/>
            <w:hideMark/>
          </w:tcPr>
          <w:p w14:paraId="7C0C10F7"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Blue-black Grosbeak</w:t>
            </w:r>
          </w:p>
        </w:tc>
        <w:tc>
          <w:tcPr>
            <w:tcW w:w="3330" w:type="dxa"/>
            <w:noWrap/>
            <w:vAlign w:val="bottom"/>
            <w:hideMark/>
          </w:tcPr>
          <w:p w14:paraId="75F3C46B"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Cyanoloxia</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cyanoides</w:t>
            </w:r>
            <w:proofErr w:type="spellEnd"/>
          </w:p>
        </w:tc>
        <w:tc>
          <w:tcPr>
            <w:tcW w:w="1705" w:type="dxa"/>
            <w:noWrap/>
            <w:vAlign w:val="bottom"/>
            <w:hideMark/>
          </w:tcPr>
          <w:p w14:paraId="23C34445"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3</w:t>
            </w:r>
          </w:p>
        </w:tc>
      </w:tr>
      <w:tr w:rsidR="007F0836" w:rsidRPr="009A49C9" w14:paraId="5CD961FB" w14:textId="77777777" w:rsidTr="000426A0">
        <w:trPr>
          <w:trHeight w:val="320"/>
        </w:trPr>
        <w:tc>
          <w:tcPr>
            <w:tcW w:w="4315" w:type="dxa"/>
            <w:noWrap/>
            <w:vAlign w:val="bottom"/>
            <w:hideMark/>
          </w:tcPr>
          <w:p w14:paraId="58CE1D2A"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Blue-capped Manakin</w:t>
            </w:r>
          </w:p>
        </w:tc>
        <w:tc>
          <w:tcPr>
            <w:tcW w:w="3330" w:type="dxa"/>
            <w:noWrap/>
            <w:vAlign w:val="bottom"/>
            <w:hideMark/>
          </w:tcPr>
          <w:p w14:paraId="7641C253"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Lepidothrix</w:t>
            </w:r>
            <w:proofErr w:type="spellEnd"/>
            <w:r w:rsidRPr="007F0836">
              <w:rPr>
                <w:rFonts w:ascii="Times New Roman" w:hAnsi="Times New Roman" w:cs="Times New Roman"/>
                <w:i/>
                <w:iCs/>
                <w:color w:val="000000" w:themeColor="text1"/>
              </w:rPr>
              <w:t xml:space="preserve"> coronata</w:t>
            </w:r>
          </w:p>
        </w:tc>
        <w:tc>
          <w:tcPr>
            <w:tcW w:w="1705" w:type="dxa"/>
            <w:noWrap/>
            <w:vAlign w:val="bottom"/>
            <w:hideMark/>
          </w:tcPr>
          <w:p w14:paraId="53C8E3D6"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14</w:t>
            </w:r>
          </w:p>
        </w:tc>
      </w:tr>
      <w:tr w:rsidR="007F0836" w:rsidRPr="009A49C9" w14:paraId="44910264" w14:textId="77777777" w:rsidTr="000426A0">
        <w:trPr>
          <w:trHeight w:val="320"/>
        </w:trPr>
        <w:tc>
          <w:tcPr>
            <w:tcW w:w="4315" w:type="dxa"/>
            <w:noWrap/>
            <w:vAlign w:val="bottom"/>
            <w:hideMark/>
          </w:tcPr>
          <w:p w14:paraId="1A90C0D7"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Blue-gray Tanager</w:t>
            </w:r>
          </w:p>
        </w:tc>
        <w:tc>
          <w:tcPr>
            <w:tcW w:w="3330" w:type="dxa"/>
            <w:noWrap/>
            <w:vAlign w:val="bottom"/>
            <w:hideMark/>
          </w:tcPr>
          <w:p w14:paraId="3E42A5BD"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Thraupis</w:t>
            </w:r>
            <w:proofErr w:type="spellEnd"/>
            <w:r w:rsidRPr="007F0836">
              <w:rPr>
                <w:rFonts w:ascii="Times New Roman" w:hAnsi="Times New Roman" w:cs="Times New Roman"/>
                <w:i/>
                <w:iCs/>
                <w:color w:val="000000" w:themeColor="text1"/>
              </w:rPr>
              <w:t xml:space="preserve"> episcopus</w:t>
            </w:r>
          </w:p>
        </w:tc>
        <w:tc>
          <w:tcPr>
            <w:tcW w:w="1705" w:type="dxa"/>
            <w:noWrap/>
            <w:vAlign w:val="bottom"/>
            <w:hideMark/>
          </w:tcPr>
          <w:p w14:paraId="1DDD0EE4"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5</w:t>
            </w:r>
          </w:p>
        </w:tc>
      </w:tr>
      <w:tr w:rsidR="007F0836" w:rsidRPr="009A49C9" w14:paraId="4BD54DC0" w14:textId="77777777" w:rsidTr="000426A0">
        <w:trPr>
          <w:trHeight w:val="320"/>
        </w:trPr>
        <w:tc>
          <w:tcPr>
            <w:tcW w:w="4315" w:type="dxa"/>
            <w:noWrap/>
            <w:vAlign w:val="bottom"/>
            <w:hideMark/>
          </w:tcPr>
          <w:p w14:paraId="0A158DB3"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 xml:space="preserve">Blue-necked Tanager </w:t>
            </w:r>
          </w:p>
        </w:tc>
        <w:tc>
          <w:tcPr>
            <w:tcW w:w="3330" w:type="dxa"/>
            <w:noWrap/>
            <w:vAlign w:val="bottom"/>
            <w:hideMark/>
          </w:tcPr>
          <w:p w14:paraId="77E9B78F"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Stilpnia</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cyanicollis</w:t>
            </w:r>
            <w:proofErr w:type="spellEnd"/>
          </w:p>
        </w:tc>
        <w:tc>
          <w:tcPr>
            <w:tcW w:w="1705" w:type="dxa"/>
            <w:noWrap/>
            <w:vAlign w:val="bottom"/>
            <w:hideMark/>
          </w:tcPr>
          <w:p w14:paraId="5C33D73E"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6</w:t>
            </w:r>
          </w:p>
        </w:tc>
      </w:tr>
      <w:tr w:rsidR="007F0836" w:rsidRPr="009A49C9" w14:paraId="20ACFB79" w14:textId="77777777" w:rsidTr="000426A0">
        <w:trPr>
          <w:trHeight w:val="320"/>
        </w:trPr>
        <w:tc>
          <w:tcPr>
            <w:tcW w:w="4315" w:type="dxa"/>
            <w:noWrap/>
            <w:vAlign w:val="bottom"/>
            <w:hideMark/>
          </w:tcPr>
          <w:p w14:paraId="51148BA0"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Bright-rumped Atilla</w:t>
            </w:r>
          </w:p>
        </w:tc>
        <w:tc>
          <w:tcPr>
            <w:tcW w:w="3330" w:type="dxa"/>
            <w:noWrap/>
            <w:vAlign w:val="bottom"/>
            <w:hideMark/>
          </w:tcPr>
          <w:p w14:paraId="1C3D60E7"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Attila </w:t>
            </w:r>
            <w:proofErr w:type="spellStart"/>
            <w:r w:rsidRPr="007F0836">
              <w:rPr>
                <w:rFonts w:ascii="Times New Roman" w:hAnsi="Times New Roman" w:cs="Times New Roman"/>
                <w:i/>
                <w:iCs/>
                <w:color w:val="000000" w:themeColor="text1"/>
              </w:rPr>
              <w:t>spadiceus</w:t>
            </w:r>
            <w:proofErr w:type="spellEnd"/>
          </w:p>
        </w:tc>
        <w:tc>
          <w:tcPr>
            <w:tcW w:w="1705" w:type="dxa"/>
            <w:noWrap/>
            <w:vAlign w:val="bottom"/>
            <w:hideMark/>
          </w:tcPr>
          <w:p w14:paraId="79BB4758"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4</w:t>
            </w:r>
          </w:p>
        </w:tc>
      </w:tr>
      <w:tr w:rsidR="007F0836" w:rsidRPr="009A49C9" w14:paraId="1FEBBF4D" w14:textId="77777777" w:rsidTr="000426A0">
        <w:trPr>
          <w:trHeight w:val="320"/>
        </w:trPr>
        <w:tc>
          <w:tcPr>
            <w:tcW w:w="4315" w:type="dxa"/>
            <w:noWrap/>
            <w:vAlign w:val="bottom"/>
            <w:hideMark/>
          </w:tcPr>
          <w:p w14:paraId="27381837"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Buff-rumped Warbler</w:t>
            </w:r>
          </w:p>
        </w:tc>
        <w:tc>
          <w:tcPr>
            <w:tcW w:w="3330" w:type="dxa"/>
            <w:noWrap/>
            <w:vAlign w:val="bottom"/>
            <w:hideMark/>
          </w:tcPr>
          <w:p w14:paraId="2E05C5DB"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Myiothlypis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fulvicauda</w:t>
            </w:r>
            <w:proofErr w:type="spellEnd"/>
          </w:p>
        </w:tc>
        <w:tc>
          <w:tcPr>
            <w:tcW w:w="1705" w:type="dxa"/>
            <w:noWrap/>
            <w:vAlign w:val="bottom"/>
            <w:hideMark/>
          </w:tcPr>
          <w:p w14:paraId="2E842E2A"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6</w:t>
            </w:r>
          </w:p>
        </w:tc>
      </w:tr>
      <w:tr w:rsidR="007F0836" w:rsidRPr="009A49C9" w14:paraId="41911F36" w14:textId="77777777" w:rsidTr="000426A0">
        <w:trPr>
          <w:trHeight w:val="320"/>
        </w:trPr>
        <w:tc>
          <w:tcPr>
            <w:tcW w:w="4315" w:type="dxa"/>
            <w:noWrap/>
            <w:vAlign w:val="bottom"/>
            <w:hideMark/>
          </w:tcPr>
          <w:p w14:paraId="3216AFBC"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Buff-throated Foliage Gleaner</w:t>
            </w:r>
          </w:p>
        </w:tc>
        <w:tc>
          <w:tcPr>
            <w:tcW w:w="3330" w:type="dxa"/>
            <w:noWrap/>
            <w:vAlign w:val="bottom"/>
            <w:hideMark/>
          </w:tcPr>
          <w:p w14:paraId="2B609311"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Automolus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ochrolaemus</w:t>
            </w:r>
            <w:proofErr w:type="spellEnd"/>
          </w:p>
        </w:tc>
        <w:tc>
          <w:tcPr>
            <w:tcW w:w="1705" w:type="dxa"/>
            <w:noWrap/>
            <w:vAlign w:val="bottom"/>
            <w:hideMark/>
          </w:tcPr>
          <w:p w14:paraId="32F6CFDD"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9A49C9" w14:paraId="664CA027" w14:textId="77777777" w:rsidTr="000426A0">
        <w:trPr>
          <w:trHeight w:val="320"/>
        </w:trPr>
        <w:tc>
          <w:tcPr>
            <w:tcW w:w="4315" w:type="dxa"/>
            <w:noWrap/>
            <w:vAlign w:val="bottom"/>
            <w:hideMark/>
          </w:tcPr>
          <w:p w14:paraId="776730DB"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Buff-throated Saltator</w:t>
            </w:r>
          </w:p>
        </w:tc>
        <w:tc>
          <w:tcPr>
            <w:tcW w:w="3330" w:type="dxa"/>
            <w:noWrap/>
            <w:vAlign w:val="bottom"/>
            <w:hideMark/>
          </w:tcPr>
          <w:p w14:paraId="4CCA4462"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Saltator maximus</w:t>
            </w:r>
          </w:p>
        </w:tc>
        <w:tc>
          <w:tcPr>
            <w:tcW w:w="1705" w:type="dxa"/>
            <w:noWrap/>
            <w:vAlign w:val="bottom"/>
            <w:hideMark/>
          </w:tcPr>
          <w:p w14:paraId="06AE42FD"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9</w:t>
            </w:r>
          </w:p>
        </w:tc>
      </w:tr>
      <w:tr w:rsidR="007F0836" w:rsidRPr="009A49C9" w14:paraId="632729C5" w14:textId="77777777" w:rsidTr="000426A0">
        <w:trPr>
          <w:trHeight w:val="320"/>
        </w:trPr>
        <w:tc>
          <w:tcPr>
            <w:tcW w:w="4315" w:type="dxa"/>
            <w:noWrap/>
            <w:vAlign w:val="bottom"/>
            <w:hideMark/>
          </w:tcPr>
          <w:p w14:paraId="24A8D382"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Chivi Vireo</w:t>
            </w:r>
          </w:p>
        </w:tc>
        <w:tc>
          <w:tcPr>
            <w:tcW w:w="3330" w:type="dxa"/>
            <w:noWrap/>
            <w:vAlign w:val="bottom"/>
            <w:hideMark/>
          </w:tcPr>
          <w:p w14:paraId="7BC6E5CF"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Vireo </w:t>
            </w:r>
            <w:proofErr w:type="spellStart"/>
            <w:r w:rsidRPr="007F0836">
              <w:rPr>
                <w:rFonts w:ascii="Times New Roman" w:hAnsi="Times New Roman" w:cs="Times New Roman"/>
                <w:i/>
                <w:iCs/>
                <w:color w:val="000000" w:themeColor="text1"/>
              </w:rPr>
              <w:t>chivi</w:t>
            </w:r>
            <w:proofErr w:type="spellEnd"/>
            <w:r w:rsidRPr="007F0836">
              <w:rPr>
                <w:rFonts w:ascii="Times New Roman" w:hAnsi="Times New Roman" w:cs="Times New Roman"/>
                <w:i/>
                <w:iCs/>
                <w:color w:val="000000" w:themeColor="text1"/>
              </w:rPr>
              <w:t> </w:t>
            </w:r>
          </w:p>
        </w:tc>
        <w:tc>
          <w:tcPr>
            <w:tcW w:w="1705" w:type="dxa"/>
            <w:noWrap/>
            <w:vAlign w:val="bottom"/>
            <w:hideMark/>
          </w:tcPr>
          <w:p w14:paraId="186B3043"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17</w:t>
            </w:r>
          </w:p>
        </w:tc>
      </w:tr>
      <w:tr w:rsidR="007F0836" w:rsidRPr="009A49C9" w14:paraId="2B753F46" w14:textId="77777777" w:rsidTr="000426A0">
        <w:trPr>
          <w:trHeight w:val="320"/>
        </w:trPr>
        <w:tc>
          <w:tcPr>
            <w:tcW w:w="4315" w:type="dxa"/>
            <w:noWrap/>
            <w:vAlign w:val="bottom"/>
            <w:hideMark/>
          </w:tcPr>
          <w:p w14:paraId="707A4394"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Choco Manakin</w:t>
            </w:r>
          </w:p>
        </w:tc>
        <w:tc>
          <w:tcPr>
            <w:tcW w:w="3330" w:type="dxa"/>
            <w:noWrap/>
            <w:vAlign w:val="bottom"/>
            <w:hideMark/>
          </w:tcPr>
          <w:p w14:paraId="1D7F7CE1"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Cryptopipo</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litae</w:t>
            </w:r>
            <w:proofErr w:type="spellEnd"/>
          </w:p>
        </w:tc>
        <w:tc>
          <w:tcPr>
            <w:tcW w:w="1705" w:type="dxa"/>
            <w:noWrap/>
            <w:vAlign w:val="bottom"/>
            <w:hideMark/>
          </w:tcPr>
          <w:p w14:paraId="3EE67DCF"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4</w:t>
            </w:r>
          </w:p>
        </w:tc>
      </w:tr>
      <w:tr w:rsidR="007F0836" w:rsidRPr="009A49C9" w14:paraId="39CDB6B1" w14:textId="77777777" w:rsidTr="000426A0">
        <w:trPr>
          <w:trHeight w:val="320"/>
        </w:trPr>
        <w:tc>
          <w:tcPr>
            <w:tcW w:w="4315" w:type="dxa"/>
            <w:noWrap/>
            <w:vAlign w:val="bottom"/>
            <w:hideMark/>
          </w:tcPr>
          <w:p w14:paraId="4C09286F" w14:textId="1B98FDA2"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Choco Tyrannulet</w:t>
            </w:r>
          </w:p>
        </w:tc>
        <w:tc>
          <w:tcPr>
            <w:tcW w:w="3330" w:type="dxa"/>
            <w:noWrap/>
            <w:vAlign w:val="bottom"/>
            <w:hideMark/>
          </w:tcPr>
          <w:p w14:paraId="16611985"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Zimmerius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albigularis</w:t>
            </w:r>
            <w:proofErr w:type="spellEnd"/>
          </w:p>
        </w:tc>
        <w:tc>
          <w:tcPr>
            <w:tcW w:w="1705" w:type="dxa"/>
            <w:noWrap/>
            <w:vAlign w:val="bottom"/>
            <w:hideMark/>
          </w:tcPr>
          <w:p w14:paraId="261CCC13"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5</w:t>
            </w:r>
          </w:p>
        </w:tc>
      </w:tr>
      <w:tr w:rsidR="007F0836" w:rsidRPr="009A49C9" w14:paraId="569A7C5E" w14:textId="77777777" w:rsidTr="000426A0">
        <w:trPr>
          <w:trHeight w:val="320"/>
        </w:trPr>
        <w:tc>
          <w:tcPr>
            <w:tcW w:w="4315" w:type="dxa"/>
            <w:noWrap/>
            <w:vAlign w:val="bottom"/>
            <w:hideMark/>
          </w:tcPr>
          <w:p w14:paraId="23E66A36"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Cinnamon Becard</w:t>
            </w:r>
          </w:p>
        </w:tc>
        <w:tc>
          <w:tcPr>
            <w:tcW w:w="3330" w:type="dxa"/>
            <w:noWrap/>
            <w:vAlign w:val="bottom"/>
            <w:hideMark/>
          </w:tcPr>
          <w:p w14:paraId="59855F26"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Pachyramphus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cinnamomeus</w:t>
            </w:r>
            <w:proofErr w:type="spellEnd"/>
            <w:r w:rsidRPr="007F0836">
              <w:rPr>
                <w:rFonts w:ascii="Times New Roman" w:hAnsi="Times New Roman" w:cs="Times New Roman"/>
                <w:i/>
                <w:iCs/>
                <w:color w:val="000000" w:themeColor="text1"/>
              </w:rPr>
              <w:t> </w:t>
            </w:r>
          </w:p>
        </w:tc>
        <w:tc>
          <w:tcPr>
            <w:tcW w:w="1705" w:type="dxa"/>
            <w:noWrap/>
            <w:vAlign w:val="bottom"/>
            <w:hideMark/>
          </w:tcPr>
          <w:p w14:paraId="6CA02438"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9A49C9" w14:paraId="447BF4D0" w14:textId="77777777" w:rsidTr="000426A0">
        <w:trPr>
          <w:trHeight w:val="320"/>
        </w:trPr>
        <w:tc>
          <w:tcPr>
            <w:tcW w:w="4315" w:type="dxa"/>
            <w:noWrap/>
            <w:vAlign w:val="bottom"/>
            <w:hideMark/>
          </w:tcPr>
          <w:p w14:paraId="7FA1FDEF"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Collared Aracari</w:t>
            </w:r>
          </w:p>
        </w:tc>
        <w:tc>
          <w:tcPr>
            <w:tcW w:w="3330" w:type="dxa"/>
            <w:noWrap/>
            <w:vAlign w:val="bottom"/>
            <w:hideMark/>
          </w:tcPr>
          <w:p w14:paraId="0497A739"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Pteroglossus</w:t>
            </w:r>
            <w:proofErr w:type="spellEnd"/>
            <w:r w:rsidRPr="007F0836">
              <w:rPr>
                <w:rFonts w:ascii="Times New Roman" w:hAnsi="Times New Roman" w:cs="Times New Roman"/>
                <w:i/>
                <w:iCs/>
                <w:color w:val="000000" w:themeColor="text1"/>
              </w:rPr>
              <w:t xml:space="preserve"> torquatus</w:t>
            </w:r>
          </w:p>
        </w:tc>
        <w:tc>
          <w:tcPr>
            <w:tcW w:w="1705" w:type="dxa"/>
            <w:noWrap/>
            <w:vAlign w:val="bottom"/>
            <w:hideMark/>
          </w:tcPr>
          <w:p w14:paraId="48F6F0AD"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9A49C9" w14:paraId="72147C28" w14:textId="77777777" w:rsidTr="000426A0">
        <w:trPr>
          <w:trHeight w:val="320"/>
        </w:trPr>
        <w:tc>
          <w:tcPr>
            <w:tcW w:w="4315" w:type="dxa"/>
            <w:noWrap/>
            <w:vAlign w:val="bottom"/>
            <w:hideMark/>
          </w:tcPr>
          <w:p w14:paraId="626BB2D7"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Dull-colored Grassquit</w:t>
            </w:r>
          </w:p>
        </w:tc>
        <w:tc>
          <w:tcPr>
            <w:tcW w:w="3330" w:type="dxa"/>
            <w:noWrap/>
            <w:vAlign w:val="bottom"/>
            <w:hideMark/>
          </w:tcPr>
          <w:p w14:paraId="58B8D5CB"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Asemospiza</w:t>
            </w:r>
            <w:proofErr w:type="spellEnd"/>
            <w:r w:rsidRPr="007F0836">
              <w:rPr>
                <w:rFonts w:ascii="Times New Roman" w:hAnsi="Times New Roman" w:cs="Times New Roman"/>
                <w:i/>
                <w:iCs/>
                <w:color w:val="000000" w:themeColor="text1"/>
              </w:rPr>
              <w:t xml:space="preserve"> obscura</w:t>
            </w:r>
          </w:p>
        </w:tc>
        <w:tc>
          <w:tcPr>
            <w:tcW w:w="1705" w:type="dxa"/>
            <w:noWrap/>
            <w:vAlign w:val="bottom"/>
            <w:hideMark/>
          </w:tcPr>
          <w:p w14:paraId="45EEB7F8"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6</w:t>
            </w:r>
          </w:p>
        </w:tc>
      </w:tr>
      <w:tr w:rsidR="007F0836" w:rsidRPr="009A49C9" w14:paraId="3889620F" w14:textId="77777777" w:rsidTr="000426A0">
        <w:trPr>
          <w:trHeight w:val="320"/>
        </w:trPr>
        <w:tc>
          <w:tcPr>
            <w:tcW w:w="4315" w:type="dxa"/>
            <w:noWrap/>
            <w:vAlign w:val="bottom"/>
            <w:hideMark/>
          </w:tcPr>
          <w:p w14:paraId="16EC0D49"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Ecuadorian Thrush</w:t>
            </w:r>
          </w:p>
        </w:tc>
        <w:tc>
          <w:tcPr>
            <w:tcW w:w="3330" w:type="dxa"/>
            <w:noWrap/>
            <w:vAlign w:val="bottom"/>
            <w:hideMark/>
          </w:tcPr>
          <w:p w14:paraId="78C65BA5"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Turdus </w:t>
            </w:r>
            <w:proofErr w:type="spellStart"/>
            <w:r w:rsidRPr="007F0836">
              <w:rPr>
                <w:rFonts w:ascii="Times New Roman" w:hAnsi="Times New Roman" w:cs="Times New Roman"/>
                <w:i/>
                <w:iCs/>
                <w:color w:val="000000" w:themeColor="text1"/>
              </w:rPr>
              <w:t>maculirostris</w:t>
            </w:r>
            <w:proofErr w:type="spellEnd"/>
          </w:p>
        </w:tc>
        <w:tc>
          <w:tcPr>
            <w:tcW w:w="1705" w:type="dxa"/>
            <w:noWrap/>
            <w:vAlign w:val="bottom"/>
            <w:hideMark/>
          </w:tcPr>
          <w:p w14:paraId="6CB6B6A2"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9</w:t>
            </w:r>
          </w:p>
        </w:tc>
      </w:tr>
      <w:tr w:rsidR="007F0836" w:rsidRPr="009A49C9" w14:paraId="03131A93" w14:textId="77777777" w:rsidTr="000426A0">
        <w:trPr>
          <w:trHeight w:val="320"/>
        </w:trPr>
        <w:tc>
          <w:tcPr>
            <w:tcW w:w="4315" w:type="dxa"/>
            <w:noWrap/>
            <w:vAlign w:val="bottom"/>
            <w:hideMark/>
          </w:tcPr>
          <w:p w14:paraId="0983A102"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Flame-rumped Tanager</w:t>
            </w:r>
          </w:p>
        </w:tc>
        <w:tc>
          <w:tcPr>
            <w:tcW w:w="3330" w:type="dxa"/>
            <w:noWrap/>
            <w:vAlign w:val="bottom"/>
            <w:hideMark/>
          </w:tcPr>
          <w:p w14:paraId="19C48F1D"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Ramphocelus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flammigerus</w:t>
            </w:r>
            <w:proofErr w:type="spellEnd"/>
          </w:p>
        </w:tc>
        <w:tc>
          <w:tcPr>
            <w:tcW w:w="1705" w:type="dxa"/>
            <w:noWrap/>
            <w:vAlign w:val="bottom"/>
            <w:hideMark/>
          </w:tcPr>
          <w:p w14:paraId="24B306A8"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21</w:t>
            </w:r>
          </w:p>
        </w:tc>
      </w:tr>
      <w:tr w:rsidR="007F0836" w:rsidRPr="009A49C9" w14:paraId="3D935F89" w14:textId="77777777" w:rsidTr="000426A0">
        <w:trPr>
          <w:trHeight w:val="320"/>
        </w:trPr>
        <w:tc>
          <w:tcPr>
            <w:tcW w:w="4315" w:type="dxa"/>
            <w:noWrap/>
            <w:vAlign w:val="bottom"/>
            <w:hideMark/>
          </w:tcPr>
          <w:p w14:paraId="0EEF2E15" w14:textId="3A654C3E"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Golden-bellied Warbler</w:t>
            </w:r>
          </w:p>
        </w:tc>
        <w:tc>
          <w:tcPr>
            <w:tcW w:w="3330" w:type="dxa"/>
            <w:noWrap/>
            <w:vAlign w:val="bottom"/>
            <w:hideMark/>
          </w:tcPr>
          <w:p w14:paraId="08C78359"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Myiothlypis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chrysogaster</w:t>
            </w:r>
            <w:proofErr w:type="spellEnd"/>
          </w:p>
        </w:tc>
        <w:tc>
          <w:tcPr>
            <w:tcW w:w="1705" w:type="dxa"/>
            <w:noWrap/>
            <w:vAlign w:val="bottom"/>
            <w:hideMark/>
          </w:tcPr>
          <w:p w14:paraId="69069BC9"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9A49C9" w14:paraId="5F8555E9" w14:textId="77777777" w:rsidTr="000426A0">
        <w:trPr>
          <w:trHeight w:val="320"/>
        </w:trPr>
        <w:tc>
          <w:tcPr>
            <w:tcW w:w="4315" w:type="dxa"/>
            <w:noWrap/>
            <w:vAlign w:val="bottom"/>
            <w:hideMark/>
          </w:tcPr>
          <w:p w14:paraId="59C4EBBA"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Green Honeycreeper</w:t>
            </w:r>
          </w:p>
        </w:tc>
        <w:tc>
          <w:tcPr>
            <w:tcW w:w="3330" w:type="dxa"/>
            <w:noWrap/>
            <w:vAlign w:val="bottom"/>
            <w:hideMark/>
          </w:tcPr>
          <w:p w14:paraId="72941A0E"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Chlorophanes </w:t>
            </w:r>
            <w:proofErr w:type="spellStart"/>
            <w:r w:rsidRPr="007F0836">
              <w:rPr>
                <w:rFonts w:ascii="Times New Roman" w:hAnsi="Times New Roman" w:cs="Times New Roman"/>
                <w:i/>
                <w:iCs/>
                <w:color w:val="000000" w:themeColor="text1"/>
              </w:rPr>
              <w:t>spiza</w:t>
            </w:r>
            <w:proofErr w:type="spellEnd"/>
          </w:p>
        </w:tc>
        <w:tc>
          <w:tcPr>
            <w:tcW w:w="1705" w:type="dxa"/>
            <w:noWrap/>
            <w:vAlign w:val="bottom"/>
            <w:hideMark/>
          </w:tcPr>
          <w:p w14:paraId="36B882F9"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4</w:t>
            </w:r>
          </w:p>
        </w:tc>
      </w:tr>
      <w:tr w:rsidR="007F0836" w:rsidRPr="009A49C9" w14:paraId="1E743DE6" w14:textId="77777777" w:rsidTr="000426A0">
        <w:trPr>
          <w:trHeight w:val="320"/>
        </w:trPr>
        <w:tc>
          <w:tcPr>
            <w:tcW w:w="4315" w:type="dxa"/>
            <w:noWrap/>
            <w:vAlign w:val="bottom"/>
            <w:hideMark/>
          </w:tcPr>
          <w:p w14:paraId="193DA21D" w14:textId="100619C6"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Large-billed Seed Finch</w:t>
            </w:r>
          </w:p>
        </w:tc>
        <w:tc>
          <w:tcPr>
            <w:tcW w:w="3330" w:type="dxa"/>
            <w:noWrap/>
            <w:vAlign w:val="bottom"/>
            <w:hideMark/>
          </w:tcPr>
          <w:p w14:paraId="6C80FD89"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Sporophila</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crassirostris</w:t>
            </w:r>
            <w:proofErr w:type="spellEnd"/>
          </w:p>
        </w:tc>
        <w:tc>
          <w:tcPr>
            <w:tcW w:w="1705" w:type="dxa"/>
            <w:noWrap/>
            <w:vAlign w:val="bottom"/>
            <w:hideMark/>
          </w:tcPr>
          <w:p w14:paraId="2B8B6A28"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9A49C9" w14:paraId="5A517EE8" w14:textId="77777777" w:rsidTr="000426A0">
        <w:trPr>
          <w:trHeight w:val="320"/>
        </w:trPr>
        <w:tc>
          <w:tcPr>
            <w:tcW w:w="4315" w:type="dxa"/>
            <w:noWrap/>
            <w:vAlign w:val="bottom"/>
            <w:hideMark/>
          </w:tcPr>
          <w:p w14:paraId="6C777153"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 xml:space="preserve">Northern </w:t>
            </w:r>
            <w:proofErr w:type="spellStart"/>
            <w:r w:rsidRPr="007F0836">
              <w:rPr>
                <w:rFonts w:ascii="Times New Roman" w:hAnsi="Times New Roman" w:cs="Times New Roman"/>
                <w:color w:val="000000" w:themeColor="text1"/>
              </w:rPr>
              <w:t>Schiffornis</w:t>
            </w:r>
            <w:proofErr w:type="spellEnd"/>
          </w:p>
        </w:tc>
        <w:tc>
          <w:tcPr>
            <w:tcW w:w="3330" w:type="dxa"/>
            <w:noWrap/>
            <w:vAlign w:val="bottom"/>
            <w:hideMark/>
          </w:tcPr>
          <w:p w14:paraId="3D437603"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Schiffornis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veraepacis</w:t>
            </w:r>
            <w:proofErr w:type="spellEnd"/>
            <w:r w:rsidRPr="007F0836">
              <w:rPr>
                <w:rFonts w:ascii="Times New Roman" w:hAnsi="Times New Roman" w:cs="Times New Roman"/>
                <w:i/>
                <w:iCs/>
                <w:color w:val="000000" w:themeColor="text1"/>
              </w:rPr>
              <w:t> </w:t>
            </w:r>
          </w:p>
        </w:tc>
        <w:tc>
          <w:tcPr>
            <w:tcW w:w="1705" w:type="dxa"/>
            <w:noWrap/>
            <w:vAlign w:val="bottom"/>
            <w:hideMark/>
          </w:tcPr>
          <w:p w14:paraId="60132A7A"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7</w:t>
            </w:r>
          </w:p>
        </w:tc>
      </w:tr>
      <w:tr w:rsidR="007F0836" w:rsidRPr="009A49C9" w14:paraId="4BFFE9E7" w14:textId="77777777" w:rsidTr="000426A0">
        <w:trPr>
          <w:trHeight w:val="320"/>
        </w:trPr>
        <w:tc>
          <w:tcPr>
            <w:tcW w:w="4315" w:type="dxa"/>
            <w:noWrap/>
            <w:vAlign w:val="bottom"/>
            <w:hideMark/>
          </w:tcPr>
          <w:p w14:paraId="037E7C67"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Olivaceous Piculet</w:t>
            </w:r>
          </w:p>
        </w:tc>
        <w:tc>
          <w:tcPr>
            <w:tcW w:w="3330" w:type="dxa"/>
            <w:noWrap/>
            <w:vAlign w:val="bottom"/>
            <w:hideMark/>
          </w:tcPr>
          <w:p w14:paraId="26772109"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Myiotriccus</w:t>
            </w:r>
            <w:proofErr w:type="spellEnd"/>
            <w:r w:rsidRPr="007F0836">
              <w:rPr>
                <w:rFonts w:ascii="Times New Roman" w:hAnsi="Times New Roman" w:cs="Times New Roman"/>
                <w:i/>
                <w:iCs/>
                <w:color w:val="000000" w:themeColor="text1"/>
              </w:rPr>
              <w:t xml:space="preserve"> ornatus</w:t>
            </w:r>
          </w:p>
        </w:tc>
        <w:tc>
          <w:tcPr>
            <w:tcW w:w="1705" w:type="dxa"/>
            <w:noWrap/>
            <w:vAlign w:val="bottom"/>
            <w:hideMark/>
          </w:tcPr>
          <w:p w14:paraId="433B10CA"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3</w:t>
            </w:r>
          </w:p>
        </w:tc>
      </w:tr>
      <w:tr w:rsidR="007F0836" w:rsidRPr="009A49C9" w14:paraId="2A8AD01C" w14:textId="77777777" w:rsidTr="000426A0">
        <w:trPr>
          <w:trHeight w:val="320"/>
        </w:trPr>
        <w:tc>
          <w:tcPr>
            <w:tcW w:w="4315" w:type="dxa"/>
            <w:noWrap/>
            <w:vAlign w:val="bottom"/>
            <w:hideMark/>
          </w:tcPr>
          <w:p w14:paraId="33BD1890"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Olive-crowned Yellowthroat</w:t>
            </w:r>
          </w:p>
        </w:tc>
        <w:tc>
          <w:tcPr>
            <w:tcW w:w="3330" w:type="dxa"/>
            <w:noWrap/>
            <w:vAlign w:val="bottom"/>
            <w:hideMark/>
          </w:tcPr>
          <w:p w14:paraId="78641763"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Geothlypis </w:t>
            </w:r>
            <w:proofErr w:type="spellStart"/>
            <w:r w:rsidRPr="007F0836">
              <w:rPr>
                <w:rFonts w:ascii="Times New Roman" w:hAnsi="Times New Roman" w:cs="Times New Roman"/>
                <w:i/>
                <w:iCs/>
                <w:color w:val="000000" w:themeColor="text1"/>
              </w:rPr>
              <w:t>semiflava</w:t>
            </w:r>
            <w:proofErr w:type="spellEnd"/>
          </w:p>
        </w:tc>
        <w:tc>
          <w:tcPr>
            <w:tcW w:w="1705" w:type="dxa"/>
            <w:noWrap/>
            <w:vAlign w:val="bottom"/>
            <w:hideMark/>
          </w:tcPr>
          <w:p w14:paraId="32E23151"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3</w:t>
            </w:r>
          </w:p>
        </w:tc>
      </w:tr>
      <w:tr w:rsidR="007F0836" w:rsidRPr="009A49C9" w14:paraId="02866B00" w14:textId="77777777" w:rsidTr="000426A0">
        <w:trPr>
          <w:trHeight w:val="320"/>
        </w:trPr>
        <w:tc>
          <w:tcPr>
            <w:tcW w:w="4315" w:type="dxa"/>
            <w:noWrap/>
            <w:vAlign w:val="bottom"/>
            <w:hideMark/>
          </w:tcPr>
          <w:p w14:paraId="2A5E9A4A"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Olive-striped Flycatcher</w:t>
            </w:r>
          </w:p>
        </w:tc>
        <w:tc>
          <w:tcPr>
            <w:tcW w:w="3330" w:type="dxa"/>
            <w:noWrap/>
            <w:vAlign w:val="bottom"/>
            <w:hideMark/>
          </w:tcPr>
          <w:p w14:paraId="0A51D3BD"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Mionectes</w:t>
            </w:r>
            <w:proofErr w:type="spellEnd"/>
            <w:r w:rsidRPr="007F0836">
              <w:rPr>
                <w:rFonts w:ascii="Times New Roman" w:hAnsi="Times New Roman" w:cs="Times New Roman"/>
                <w:i/>
                <w:iCs/>
                <w:color w:val="000000" w:themeColor="text1"/>
              </w:rPr>
              <w:t xml:space="preserve"> olivaceus</w:t>
            </w:r>
          </w:p>
        </w:tc>
        <w:tc>
          <w:tcPr>
            <w:tcW w:w="1705" w:type="dxa"/>
            <w:noWrap/>
            <w:vAlign w:val="bottom"/>
            <w:hideMark/>
          </w:tcPr>
          <w:p w14:paraId="0034BEC0"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7</w:t>
            </w:r>
          </w:p>
        </w:tc>
      </w:tr>
      <w:tr w:rsidR="007F0836" w:rsidRPr="009A49C9" w14:paraId="67826EF1" w14:textId="77777777" w:rsidTr="000426A0">
        <w:trPr>
          <w:trHeight w:val="320"/>
        </w:trPr>
        <w:tc>
          <w:tcPr>
            <w:tcW w:w="4315" w:type="dxa"/>
            <w:noWrap/>
            <w:vAlign w:val="bottom"/>
            <w:hideMark/>
          </w:tcPr>
          <w:p w14:paraId="79C388A9" w14:textId="7777777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Orange-bellied Euphonia</w:t>
            </w:r>
          </w:p>
        </w:tc>
        <w:tc>
          <w:tcPr>
            <w:tcW w:w="3330" w:type="dxa"/>
            <w:noWrap/>
            <w:vAlign w:val="bottom"/>
            <w:hideMark/>
          </w:tcPr>
          <w:p w14:paraId="5D5EA34F" w14:textId="77777777" w:rsidR="007F0836" w:rsidRPr="009A49C9"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Euphonia </w:t>
            </w:r>
            <w:proofErr w:type="spellStart"/>
            <w:r w:rsidRPr="007F0836">
              <w:rPr>
                <w:rFonts w:ascii="Times New Roman" w:hAnsi="Times New Roman" w:cs="Times New Roman"/>
                <w:i/>
                <w:iCs/>
                <w:color w:val="000000" w:themeColor="text1"/>
              </w:rPr>
              <w:t>xanthogaster</w:t>
            </w:r>
            <w:proofErr w:type="spellEnd"/>
          </w:p>
        </w:tc>
        <w:tc>
          <w:tcPr>
            <w:tcW w:w="1705" w:type="dxa"/>
            <w:noWrap/>
            <w:vAlign w:val="bottom"/>
            <w:hideMark/>
          </w:tcPr>
          <w:p w14:paraId="12ABE525" w14:textId="35329737" w:rsidR="007F0836" w:rsidRPr="009A49C9"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24</w:t>
            </w:r>
          </w:p>
        </w:tc>
      </w:tr>
      <w:tr w:rsidR="007F0836" w:rsidRPr="009A49C9" w14:paraId="367CC3EC" w14:textId="77777777" w:rsidTr="000426A0">
        <w:trPr>
          <w:trHeight w:val="320"/>
        </w:trPr>
        <w:tc>
          <w:tcPr>
            <w:tcW w:w="4315" w:type="dxa"/>
            <w:noWrap/>
            <w:vAlign w:val="bottom"/>
          </w:tcPr>
          <w:p w14:paraId="0AD6BFC8" w14:textId="55A29C40"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Orange-billed Sparrow</w:t>
            </w:r>
          </w:p>
        </w:tc>
        <w:tc>
          <w:tcPr>
            <w:tcW w:w="3330" w:type="dxa"/>
            <w:noWrap/>
            <w:vAlign w:val="bottom"/>
          </w:tcPr>
          <w:p w14:paraId="6B88242F"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Arremon</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aurantiirostris</w:t>
            </w:r>
            <w:proofErr w:type="spellEnd"/>
          </w:p>
        </w:tc>
        <w:tc>
          <w:tcPr>
            <w:tcW w:w="1705" w:type="dxa"/>
            <w:noWrap/>
            <w:vAlign w:val="bottom"/>
          </w:tcPr>
          <w:p w14:paraId="60E118AE"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5</w:t>
            </w:r>
          </w:p>
        </w:tc>
      </w:tr>
      <w:tr w:rsidR="007F0836" w:rsidRPr="009A49C9" w14:paraId="4D7CC536" w14:textId="77777777" w:rsidTr="000426A0">
        <w:trPr>
          <w:trHeight w:val="320"/>
        </w:trPr>
        <w:tc>
          <w:tcPr>
            <w:tcW w:w="4315" w:type="dxa"/>
            <w:noWrap/>
            <w:vAlign w:val="bottom"/>
          </w:tcPr>
          <w:p w14:paraId="6B75001C"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Orange-crowned Euphonia</w:t>
            </w:r>
          </w:p>
        </w:tc>
        <w:tc>
          <w:tcPr>
            <w:tcW w:w="3330" w:type="dxa"/>
            <w:noWrap/>
            <w:vAlign w:val="bottom"/>
          </w:tcPr>
          <w:p w14:paraId="0292280A"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Euphonia </w:t>
            </w:r>
            <w:proofErr w:type="spellStart"/>
            <w:r w:rsidRPr="007F0836">
              <w:rPr>
                <w:rFonts w:ascii="Times New Roman" w:hAnsi="Times New Roman" w:cs="Times New Roman"/>
                <w:i/>
                <w:iCs/>
                <w:color w:val="000000" w:themeColor="text1"/>
              </w:rPr>
              <w:t>saturata</w:t>
            </w:r>
            <w:proofErr w:type="spellEnd"/>
          </w:p>
        </w:tc>
        <w:tc>
          <w:tcPr>
            <w:tcW w:w="1705" w:type="dxa"/>
            <w:noWrap/>
            <w:vAlign w:val="bottom"/>
          </w:tcPr>
          <w:p w14:paraId="3C16B078"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3</w:t>
            </w:r>
          </w:p>
        </w:tc>
      </w:tr>
      <w:tr w:rsidR="007F0836" w:rsidRPr="009A49C9" w14:paraId="44A2CF76" w14:textId="77777777" w:rsidTr="000426A0">
        <w:trPr>
          <w:trHeight w:val="320"/>
        </w:trPr>
        <w:tc>
          <w:tcPr>
            <w:tcW w:w="4315" w:type="dxa"/>
            <w:noWrap/>
            <w:vAlign w:val="bottom"/>
          </w:tcPr>
          <w:p w14:paraId="46A67C63"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Ornate Flycatcher</w:t>
            </w:r>
          </w:p>
        </w:tc>
        <w:tc>
          <w:tcPr>
            <w:tcW w:w="3330" w:type="dxa"/>
            <w:noWrap/>
            <w:vAlign w:val="bottom"/>
          </w:tcPr>
          <w:p w14:paraId="7BFEBEA6"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Myiotriccus</w:t>
            </w:r>
            <w:proofErr w:type="spellEnd"/>
            <w:r w:rsidRPr="007F0836">
              <w:rPr>
                <w:rFonts w:ascii="Times New Roman" w:hAnsi="Times New Roman" w:cs="Times New Roman"/>
                <w:i/>
                <w:iCs/>
                <w:color w:val="000000" w:themeColor="text1"/>
              </w:rPr>
              <w:t xml:space="preserve"> ornatus</w:t>
            </w:r>
          </w:p>
        </w:tc>
        <w:tc>
          <w:tcPr>
            <w:tcW w:w="1705" w:type="dxa"/>
            <w:noWrap/>
            <w:vAlign w:val="bottom"/>
          </w:tcPr>
          <w:p w14:paraId="76E4DA97"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9A49C9" w14:paraId="42B1956F" w14:textId="77777777" w:rsidTr="000426A0">
        <w:trPr>
          <w:trHeight w:val="320"/>
        </w:trPr>
        <w:tc>
          <w:tcPr>
            <w:tcW w:w="4315" w:type="dxa"/>
            <w:noWrap/>
            <w:vAlign w:val="bottom"/>
          </w:tcPr>
          <w:p w14:paraId="34FDBE68"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Pacific Antwren</w:t>
            </w:r>
          </w:p>
        </w:tc>
        <w:tc>
          <w:tcPr>
            <w:tcW w:w="3330" w:type="dxa"/>
            <w:noWrap/>
            <w:vAlign w:val="bottom"/>
          </w:tcPr>
          <w:p w14:paraId="057E5BC6"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Myrmotherula</w:t>
            </w:r>
            <w:proofErr w:type="spellEnd"/>
            <w:r w:rsidRPr="007F0836">
              <w:rPr>
                <w:rFonts w:ascii="Times New Roman" w:hAnsi="Times New Roman" w:cs="Times New Roman"/>
                <w:i/>
                <w:iCs/>
                <w:color w:val="000000" w:themeColor="text1"/>
              </w:rPr>
              <w:t xml:space="preserve"> pacifica</w:t>
            </w:r>
          </w:p>
        </w:tc>
        <w:tc>
          <w:tcPr>
            <w:tcW w:w="1705" w:type="dxa"/>
            <w:noWrap/>
            <w:vAlign w:val="bottom"/>
          </w:tcPr>
          <w:p w14:paraId="5B93730D"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9A49C9" w14:paraId="6561BF8F" w14:textId="77777777" w:rsidTr="007F0836">
        <w:trPr>
          <w:trHeight w:val="320"/>
        </w:trPr>
        <w:tc>
          <w:tcPr>
            <w:tcW w:w="4315" w:type="dxa"/>
            <w:tcBorders>
              <w:bottom w:val="single" w:sz="4" w:space="0" w:color="auto"/>
            </w:tcBorders>
            <w:noWrap/>
            <w:vAlign w:val="bottom"/>
          </w:tcPr>
          <w:p w14:paraId="31BEA9C1"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Pacific Parrotlet</w:t>
            </w:r>
          </w:p>
        </w:tc>
        <w:tc>
          <w:tcPr>
            <w:tcW w:w="3330" w:type="dxa"/>
            <w:tcBorders>
              <w:bottom w:val="single" w:sz="4" w:space="0" w:color="auto"/>
            </w:tcBorders>
            <w:noWrap/>
            <w:vAlign w:val="bottom"/>
          </w:tcPr>
          <w:p w14:paraId="7A831033"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Forpus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coelestis</w:t>
            </w:r>
            <w:proofErr w:type="spellEnd"/>
          </w:p>
        </w:tc>
        <w:tc>
          <w:tcPr>
            <w:tcW w:w="1705" w:type="dxa"/>
            <w:tcBorders>
              <w:bottom w:val="single" w:sz="4" w:space="0" w:color="auto"/>
            </w:tcBorders>
            <w:noWrap/>
            <w:vAlign w:val="bottom"/>
          </w:tcPr>
          <w:p w14:paraId="1111727C"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9A49C9" w14:paraId="59003A2C" w14:textId="77777777" w:rsidTr="007F0836">
        <w:trPr>
          <w:trHeight w:val="320"/>
        </w:trPr>
        <w:tc>
          <w:tcPr>
            <w:tcW w:w="4315" w:type="dxa"/>
            <w:tcBorders>
              <w:bottom w:val="single" w:sz="4" w:space="0" w:color="auto"/>
            </w:tcBorders>
            <w:noWrap/>
            <w:vAlign w:val="bottom"/>
          </w:tcPr>
          <w:p w14:paraId="71FEB9D9"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Red-capped Manakin</w:t>
            </w:r>
          </w:p>
        </w:tc>
        <w:tc>
          <w:tcPr>
            <w:tcW w:w="3330" w:type="dxa"/>
            <w:tcBorders>
              <w:bottom w:val="single" w:sz="4" w:space="0" w:color="auto"/>
            </w:tcBorders>
            <w:noWrap/>
            <w:vAlign w:val="bottom"/>
          </w:tcPr>
          <w:p w14:paraId="542C9F0F"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Ceratopipra</w:t>
            </w:r>
            <w:proofErr w:type="spellEnd"/>
            <w:r w:rsidRPr="007F0836">
              <w:rPr>
                <w:rFonts w:ascii="Times New Roman" w:hAnsi="Times New Roman" w:cs="Times New Roman"/>
                <w:i/>
                <w:iCs/>
                <w:color w:val="000000" w:themeColor="text1"/>
              </w:rPr>
              <w:t xml:space="preserve"> mentalis</w:t>
            </w:r>
          </w:p>
        </w:tc>
        <w:tc>
          <w:tcPr>
            <w:tcW w:w="1705" w:type="dxa"/>
            <w:tcBorders>
              <w:bottom w:val="single" w:sz="4" w:space="0" w:color="auto"/>
            </w:tcBorders>
            <w:noWrap/>
            <w:vAlign w:val="bottom"/>
          </w:tcPr>
          <w:p w14:paraId="4EDEEB93"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10</w:t>
            </w:r>
          </w:p>
        </w:tc>
      </w:tr>
    </w:tbl>
    <w:tbl>
      <w:tblPr>
        <w:tblStyle w:val="TableGrid"/>
        <w:tblpPr w:leftFromText="180" w:rightFromText="180" w:vertAnchor="text" w:horzAnchor="margin" w:tblpY="140"/>
        <w:tblW w:w="0" w:type="auto"/>
        <w:tblLook w:val="04A0" w:firstRow="1" w:lastRow="0" w:firstColumn="1" w:lastColumn="0" w:noHBand="0" w:noVBand="1"/>
      </w:tblPr>
      <w:tblGrid>
        <w:gridCol w:w="4315"/>
        <w:gridCol w:w="3330"/>
        <w:gridCol w:w="1705"/>
      </w:tblGrid>
      <w:tr w:rsidR="007F0836" w:rsidRPr="007F0836" w14:paraId="78EDAE30" w14:textId="77777777" w:rsidTr="007F0836">
        <w:trPr>
          <w:trHeight w:val="320"/>
        </w:trPr>
        <w:tc>
          <w:tcPr>
            <w:tcW w:w="9350" w:type="dxa"/>
            <w:gridSpan w:val="3"/>
            <w:tcBorders>
              <w:top w:val="nil"/>
              <w:left w:val="nil"/>
              <w:bottom w:val="single" w:sz="4" w:space="0" w:color="auto"/>
              <w:right w:val="nil"/>
            </w:tcBorders>
            <w:noWrap/>
            <w:vAlign w:val="bottom"/>
          </w:tcPr>
          <w:p w14:paraId="0C9CDD97" w14:textId="77777777" w:rsidR="007F0836" w:rsidRPr="007F0836" w:rsidRDefault="007F0836" w:rsidP="007F0836">
            <w:pPr>
              <w:spacing w:before="0"/>
              <w:rPr>
                <w:rFonts w:ascii="Times New Roman" w:hAnsi="Times New Roman" w:cs="Times New Roman"/>
                <w:color w:val="000000" w:themeColor="text1"/>
              </w:rPr>
            </w:pPr>
            <w:bookmarkStart w:id="126" w:name="_Toc195189696"/>
            <w:r w:rsidRPr="007F0836">
              <w:rPr>
                <w:rFonts w:ascii="Times New Roman" w:hAnsi="Times New Roman" w:cs="Times New Roman"/>
                <w:b/>
                <w:bCs/>
                <w:color w:val="000000" w:themeColor="text1"/>
              </w:rPr>
              <w:lastRenderedPageBreak/>
              <w:t xml:space="preserve">Supplementary Table </w:t>
            </w:r>
            <w:r w:rsidRPr="007F0836">
              <w:rPr>
                <w:rFonts w:ascii="Times New Roman" w:hAnsi="Times New Roman" w:cs="Times New Roman"/>
                <w:b/>
                <w:bCs/>
                <w:color w:val="000000" w:themeColor="text1"/>
              </w:rPr>
              <w:fldChar w:fldCharType="begin"/>
            </w:r>
            <w:r w:rsidRPr="007F0836">
              <w:rPr>
                <w:rFonts w:ascii="Times New Roman" w:hAnsi="Times New Roman" w:cs="Times New Roman"/>
                <w:b/>
                <w:bCs/>
                <w:color w:val="000000" w:themeColor="text1"/>
              </w:rPr>
              <w:instrText xml:space="preserve"> SEQ Supplementary_Table \* ARABIC </w:instrText>
            </w:r>
            <w:r w:rsidRPr="007F0836">
              <w:rPr>
                <w:rFonts w:ascii="Times New Roman" w:hAnsi="Times New Roman" w:cs="Times New Roman"/>
                <w:b/>
                <w:bCs/>
                <w:color w:val="000000" w:themeColor="text1"/>
              </w:rPr>
              <w:fldChar w:fldCharType="separate"/>
            </w:r>
            <w:r w:rsidRPr="007F0836">
              <w:rPr>
                <w:rFonts w:ascii="Times New Roman" w:hAnsi="Times New Roman" w:cs="Times New Roman"/>
                <w:b/>
                <w:bCs/>
                <w:noProof/>
                <w:color w:val="000000" w:themeColor="text1"/>
              </w:rPr>
              <w:t>4</w:t>
            </w:r>
            <w:r w:rsidRPr="007F0836">
              <w:rPr>
                <w:rFonts w:ascii="Times New Roman" w:hAnsi="Times New Roman" w:cs="Times New Roman"/>
                <w:b/>
                <w:bCs/>
                <w:color w:val="000000" w:themeColor="text1"/>
              </w:rPr>
              <w:fldChar w:fldCharType="end"/>
            </w:r>
            <w:r w:rsidRPr="007F0836">
              <w:rPr>
                <w:rFonts w:ascii="Times New Roman" w:hAnsi="Times New Roman" w:cs="Times New Roman"/>
                <w:b/>
                <w:bCs/>
                <w:color w:val="000000" w:themeColor="text1"/>
              </w:rPr>
              <w:t xml:space="preserve"> Continued.</w:t>
            </w:r>
            <w:bookmarkEnd w:id="126"/>
          </w:p>
        </w:tc>
      </w:tr>
      <w:tr w:rsidR="007F0836" w:rsidRPr="007F0836" w14:paraId="0362A803" w14:textId="77777777" w:rsidTr="007F0836">
        <w:trPr>
          <w:trHeight w:val="320"/>
        </w:trPr>
        <w:tc>
          <w:tcPr>
            <w:tcW w:w="4315" w:type="dxa"/>
            <w:tcBorders>
              <w:top w:val="single" w:sz="4" w:space="0" w:color="auto"/>
            </w:tcBorders>
            <w:noWrap/>
            <w:vAlign w:val="bottom"/>
          </w:tcPr>
          <w:p w14:paraId="51405A74"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Rufous Piha</w:t>
            </w:r>
          </w:p>
        </w:tc>
        <w:tc>
          <w:tcPr>
            <w:tcW w:w="3330" w:type="dxa"/>
            <w:tcBorders>
              <w:top w:val="single" w:sz="4" w:space="0" w:color="auto"/>
            </w:tcBorders>
            <w:noWrap/>
            <w:vAlign w:val="bottom"/>
          </w:tcPr>
          <w:p w14:paraId="2CDAE716"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Lipaugus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unirufus</w:t>
            </w:r>
            <w:proofErr w:type="spellEnd"/>
          </w:p>
        </w:tc>
        <w:tc>
          <w:tcPr>
            <w:tcW w:w="1705" w:type="dxa"/>
            <w:tcBorders>
              <w:top w:val="single" w:sz="4" w:space="0" w:color="auto"/>
            </w:tcBorders>
            <w:noWrap/>
            <w:vAlign w:val="bottom"/>
          </w:tcPr>
          <w:p w14:paraId="64E013C0"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3</w:t>
            </w:r>
          </w:p>
        </w:tc>
      </w:tr>
      <w:tr w:rsidR="007F0836" w:rsidRPr="007F0836" w14:paraId="5A85076B" w14:textId="77777777" w:rsidTr="007F0836">
        <w:trPr>
          <w:trHeight w:val="320"/>
        </w:trPr>
        <w:tc>
          <w:tcPr>
            <w:tcW w:w="4315" w:type="dxa"/>
            <w:noWrap/>
            <w:vAlign w:val="bottom"/>
          </w:tcPr>
          <w:p w14:paraId="7AD426D8"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Rufous-tailed Hummingbird</w:t>
            </w:r>
          </w:p>
        </w:tc>
        <w:tc>
          <w:tcPr>
            <w:tcW w:w="3330" w:type="dxa"/>
            <w:noWrap/>
            <w:vAlign w:val="bottom"/>
          </w:tcPr>
          <w:p w14:paraId="37E32FAB"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Amazilia </w:t>
            </w:r>
            <w:proofErr w:type="spellStart"/>
            <w:r w:rsidRPr="007F0836">
              <w:rPr>
                <w:rFonts w:ascii="Times New Roman" w:hAnsi="Times New Roman" w:cs="Times New Roman"/>
                <w:i/>
                <w:iCs/>
                <w:color w:val="000000" w:themeColor="text1"/>
              </w:rPr>
              <w:t>tzacatl</w:t>
            </w:r>
            <w:proofErr w:type="spellEnd"/>
            <w:r w:rsidRPr="007F0836">
              <w:rPr>
                <w:rFonts w:ascii="Times New Roman" w:hAnsi="Times New Roman" w:cs="Times New Roman"/>
                <w:i/>
                <w:iCs/>
                <w:color w:val="000000" w:themeColor="text1"/>
              </w:rPr>
              <w:t> </w:t>
            </w:r>
          </w:p>
        </w:tc>
        <w:tc>
          <w:tcPr>
            <w:tcW w:w="1705" w:type="dxa"/>
            <w:noWrap/>
            <w:vAlign w:val="bottom"/>
          </w:tcPr>
          <w:p w14:paraId="21A88F0F"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7F0836" w14:paraId="7E4E6E20" w14:textId="77777777" w:rsidTr="007F0836">
        <w:trPr>
          <w:trHeight w:val="320"/>
        </w:trPr>
        <w:tc>
          <w:tcPr>
            <w:tcW w:w="4315" w:type="dxa"/>
            <w:noWrap/>
            <w:vAlign w:val="bottom"/>
          </w:tcPr>
          <w:p w14:paraId="3C7A6CF6"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Scaly-breasted Wren</w:t>
            </w:r>
          </w:p>
        </w:tc>
        <w:tc>
          <w:tcPr>
            <w:tcW w:w="3330" w:type="dxa"/>
            <w:noWrap/>
            <w:vAlign w:val="bottom"/>
          </w:tcPr>
          <w:p w14:paraId="3FB2F215"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Microcerculus</w:t>
            </w:r>
            <w:proofErr w:type="spellEnd"/>
            <w:r w:rsidRPr="007F0836">
              <w:rPr>
                <w:rFonts w:ascii="Times New Roman" w:hAnsi="Times New Roman" w:cs="Times New Roman"/>
                <w:i/>
                <w:iCs/>
                <w:color w:val="000000" w:themeColor="text1"/>
              </w:rPr>
              <w:t xml:space="preserve"> marginatus </w:t>
            </w:r>
          </w:p>
        </w:tc>
        <w:tc>
          <w:tcPr>
            <w:tcW w:w="1705" w:type="dxa"/>
            <w:noWrap/>
            <w:vAlign w:val="bottom"/>
          </w:tcPr>
          <w:p w14:paraId="4EFDEBDD"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7F0836" w14:paraId="187FFFFF" w14:textId="77777777" w:rsidTr="007F0836">
        <w:trPr>
          <w:trHeight w:val="320"/>
        </w:trPr>
        <w:tc>
          <w:tcPr>
            <w:tcW w:w="4315" w:type="dxa"/>
            <w:noWrap/>
            <w:vAlign w:val="bottom"/>
          </w:tcPr>
          <w:p w14:paraId="21E3B099"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Slaty Antwren</w:t>
            </w:r>
          </w:p>
        </w:tc>
        <w:tc>
          <w:tcPr>
            <w:tcW w:w="3330" w:type="dxa"/>
            <w:noWrap/>
            <w:vAlign w:val="bottom"/>
          </w:tcPr>
          <w:p w14:paraId="36FA9182"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Myrmotherula</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schisticolor</w:t>
            </w:r>
            <w:proofErr w:type="spellEnd"/>
          </w:p>
        </w:tc>
        <w:tc>
          <w:tcPr>
            <w:tcW w:w="1705" w:type="dxa"/>
            <w:noWrap/>
            <w:vAlign w:val="bottom"/>
          </w:tcPr>
          <w:p w14:paraId="45ACFD58"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7F0836" w14:paraId="536EEF23" w14:textId="77777777" w:rsidTr="007F0836">
        <w:trPr>
          <w:trHeight w:val="320"/>
        </w:trPr>
        <w:tc>
          <w:tcPr>
            <w:tcW w:w="4315" w:type="dxa"/>
            <w:noWrap/>
            <w:vAlign w:val="bottom"/>
          </w:tcPr>
          <w:p w14:paraId="018CAA1D"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 xml:space="preserve">Slaty </w:t>
            </w:r>
            <w:proofErr w:type="spellStart"/>
            <w:r w:rsidRPr="007F0836">
              <w:rPr>
                <w:rFonts w:ascii="Times New Roman" w:hAnsi="Times New Roman" w:cs="Times New Roman"/>
                <w:color w:val="000000" w:themeColor="text1"/>
              </w:rPr>
              <w:t>Spinetail</w:t>
            </w:r>
            <w:proofErr w:type="spellEnd"/>
          </w:p>
        </w:tc>
        <w:tc>
          <w:tcPr>
            <w:tcW w:w="3330" w:type="dxa"/>
            <w:noWrap/>
            <w:vAlign w:val="bottom"/>
          </w:tcPr>
          <w:p w14:paraId="0C66D129"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Synallaxis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brachyura</w:t>
            </w:r>
            <w:proofErr w:type="spellEnd"/>
          </w:p>
        </w:tc>
        <w:tc>
          <w:tcPr>
            <w:tcW w:w="1705" w:type="dxa"/>
            <w:noWrap/>
            <w:vAlign w:val="bottom"/>
          </w:tcPr>
          <w:p w14:paraId="5F72D554"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7F0836" w14:paraId="414D6845" w14:textId="77777777" w:rsidTr="007F0836">
        <w:trPr>
          <w:trHeight w:val="320"/>
        </w:trPr>
        <w:tc>
          <w:tcPr>
            <w:tcW w:w="4315" w:type="dxa"/>
            <w:noWrap/>
            <w:vAlign w:val="bottom"/>
          </w:tcPr>
          <w:p w14:paraId="61D8FE5C"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Smooth-billed Ani</w:t>
            </w:r>
          </w:p>
        </w:tc>
        <w:tc>
          <w:tcPr>
            <w:tcW w:w="3330" w:type="dxa"/>
            <w:noWrap/>
            <w:vAlign w:val="bottom"/>
          </w:tcPr>
          <w:p w14:paraId="5CA2F7CC"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Crotophaga</w:t>
            </w:r>
            <w:proofErr w:type="spellEnd"/>
            <w:r w:rsidRPr="007F0836">
              <w:rPr>
                <w:rFonts w:ascii="Times New Roman" w:hAnsi="Times New Roman" w:cs="Times New Roman"/>
                <w:i/>
                <w:iCs/>
                <w:color w:val="000000" w:themeColor="text1"/>
              </w:rPr>
              <w:t xml:space="preserve"> ani</w:t>
            </w:r>
          </w:p>
        </w:tc>
        <w:tc>
          <w:tcPr>
            <w:tcW w:w="1705" w:type="dxa"/>
            <w:noWrap/>
            <w:vAlign w:val="bottom"/>
          </w:tcPr>
          <w:p w14:paraId="730927EB"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7F0836" w14:paraId="72172DF4" w14:textId="77777777" w:rsidTr="007F0836">
        <w:trPr>
          <w:trHeight w:val="320"/>
        </w:trPr>
        <w:tc>
          <w:tcPr>
            <w:tcW w:w="4315" w:type="dxa"/>
            <w:noWrap/>
            <w:vAlign w:val="bottom"/>
          </w:tcPr>
          <w:p w14:paraId="51A5E952"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Southern Beardless Tyrannulet</w:t>
            </w:r>
          </w:p>
        </w:tc>
        <w:tc>
          <w:tcPr>
            <w:tcW w:w="3330" w:type="dxa"/>
            <w:noWrap/>
            <w:vAlign w:val="bottom"/>
          </w:tcPr>
          <w:p w14:paraId="64F4C8DA"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Camptostoma</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obsoletum</w:t>
            </w:r>
            <w:proofErr w:type="spellEnd"/>
          </w:p>
        </w:tc>
        <w:tc>
          <w:tcPr>
            <w:tcW w:w="1705" w:type="dxa"/>
            <w:noWrap/>
            <w:vAlign w:val="bottom"/>
          </w:tcPr>
          <w:p w14:paraId="1DCA39C6"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7F0836" w14:paraId="51E9FA31" w14:textId="77777777" w:rsidTr="007F0836">
        <w:trPr>
          <w:trHeight w:val="320"/>
        </w:trPr>
        <w:tc>
          <w:tcPr>
            <w:tcW w:w="4315" w:type="dxa"/>
            <w:noWrap/>
            <w:vAlign w:val="bottom"/>
          </w:tcPr>
          <w:p w14:paraId="7E4ADF59"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Spotted Woodcreeper</w:t>
            </w:r>
          </w:p>
        </w:tc>
        <w:tc>
          <w:tcPr>
            <w:tcW w:w="3330" w:type="dxa"/>
            <w:noWrap/>
            <w:vAlign w:val="bottom"/>
          </w:tcPr>
          <w:p w14:paraId="19676753"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Xiphorhynchus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erythropygius</w:t>
            </w:r>
            <w:proofErr w:type="spellEnd"/>
          </w:p>
        </w:tc>
        <w:tc>
          <w:tcPr>
            <w:tcW w:w="1705" w:type="dxa"/>
            <w:noWrap/>
            <w:vAlign w:val="bottom"/>
          </w:tcPr>
          <w:p w14:paraId="2EF396B9"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7F0836" w14:paraId="0F2775F4" w14:textId="77777777" w:rsidTr="007F0836">
        <w:trPr>
          <w:trHeight w:val="320"/>
        </w:trPr>
        <w:tc>
          <w:tcPr>
            <w:tcW w:w="4315" w:type="dxa"/>
            <w:noWrap/>
            <w:vAlign w:val="bottom"/>
          </w:tcPr>
          <w:p w14:paraId="1830127A"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Tawny-crested Tanager</w:t>
            </w:r>
          </w:p>
        </w:tc>
        <w:tc>
          <w:tcPr>
            <w:tcW w:w="3330" w:type="dxa"/>
            <w:noWrap/>
            <w:vAlign w:val="bottom"/>
          </w:tcPr>
          <w:p w14:paraId="0741A2A6"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Tachyphonus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delatrii</w:t>
            </w:r>
            <w:proofErr w:type="spellEnd"/>
          </w:p>
        </w:tc>
        <w:tc>
          <w:tcPr>
            <w:tcW w:w="1705" w:type="dxa"/>
            <w:noWrap/>
            <w:vAlign w:val="bottom"/>
          </w:tcPr>
          <w:p w14:paraId="7C0962FD"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7F0836" w14:paraId="4B1FD4A2" w14:textId="77777777" w:rsidTr="007F0836">
        <w:trPr>
          <w:trHeight w:val="320"/>
        </w:trPr>
        <w:tc>
          <w:tcPr>
            <w:tcW w:w="4315" w:type="dxa"/>
            <w:noWrap/>
            <w:vAlign w:val="bottom"/>
          </w:tcPr>
          <w:p w14:paraId="77E4D6A6"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Thick-billed Euphonia</w:t>
            </w:r>
          </w:p>
        </w:tc>
        <w:tc>
          <w:tcPr>
            <w:tcW w:w="3330" w:type="dxa"/>
            <w:noWrap/>
            <w:vAlign w:val="bottom"/>
          </w:tcPr>
          <w:p w14:paraId="210B834F"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Euphonia </w:t>
            </w:r>
            <w:proofErr w:type="spellStart"/>
            <w:r w:rsidRPr="007F0836">
              <w:rPr>
                <w:rFonts w:ascii="Times New Roman" w:hAnsi="Times New Roman" w:cs="Times New Roman"/>
                <w:i/>
                <w:iCs/>
                <w:color w:val="000000" w:themeColor="text1"/>
              </w:rPr>
              <w:t>laniirostris</w:t>
            </w:r>
            <w:proofErr w:type="spellEnd"/>
          </w:p>
        </w:tc>
        <w:tc>
          <w:tcPr>
            <w:tcW w:w="1705" w:type="dxa"/>
            <w:noWrap/>
            <w:vAlign w:val="bottom"/>
          </w:tcPr>
          <w:p w14:paraId="51B941D8"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37</w:t>
            </w:r>
          </w:p>
        </w:tc>
      </w:tr>
      <w:tr w:rsidR="007F0836" w:rsidRPr="007F0836" w14:paraId="41DCAAE0" w14:textId="77777777" w:rsidTr="007F0836">
        <w:trPr>
          <w:trHeight w:val="320"/>
        </w:trPr>
        <w:tc>
          <w:tcPr>
            <w:tcW w:w="4315" w:type="dxa"/>
            <w:noWrap/>
            <w:vAlign w:val="bottom"/>
          </w:tcPr>
          <w:p w14:paraId="1F2D2A8A"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Thick-billed Seed Finch</w:t>
            </w:r>
          </w:p>
        </w:tc>
        <w:tc>
          <w:tcPr>
            <w:tcW w:w="3330" w:type="dxa"/>
            <w:noWrap/>
            <w:vAlign w:val="bottom"/>
          </w:tcPr>
          <w:p w14:paraId="22C5A1E3"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Sporophila</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funerea</w:t>
            </w:r>
            <w:proofErr w:type="spellEnd"/>
          </w:p>
        </w:tc>
        <w:tc>
          <w:tcPr>
            <w:tcW w:w="1705" w:type="dxa"/>
            <w:noWrap/>
            <w:vAlign w:val="bottom"/>
          </w:tcPr>
          <w:p w14:paraId="12E04C52"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5</w:t>
            </w:r>
          </w:p>
        </w:tc>
      </w:tr>
      <w:tr w:rsidR="007F0836" w:rsidRPr="007F0836" w14:paraId="673D7EED" w14:textId="77777777" w:rsidTr="007F0836">
        <w:trPr>
          <w:trHeight w:val="320"/>
        </w:trPr>
        <w:tc>
          <w:tcPr>
            <w:tcW w:w="4315" w:type="dxa"/>
            <w:noWrap/>
            <w:vAlign w:val="bottom"/>
          </w:tcPr>
          <w:p w14:paraId="499418FC"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Variable Seedeater</w:t>
            </w:r>
          </w:p>
        </w:tc>
        <w:tc>
          <w:tcPr>
            <w:tcW w:w="3330" w:type="dxa"/>
            <w:noWrap/>
            <w:vAlign w:val="bottom"/>
          </w:tcPr>
          <w:p w14:paraId="518F4B92"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Sporophila</w:t>
            </w:r>
            <w:proofErr w:type="spellEnd"/>
            <w:r w:rsidRPr="007F0836">
              <w:rPr>
                <w:rFonts w:ascii="Times New Roman" w:hAnsi="Times New Roman" w:cs="Times New Roman"/>
                <w:i/>
                <w:iCs/>
                <w:color w:val="000000" w:themeColor="text1"/>
              </w:rPr>
              <w:t xml:space="preserve"> corvina</w:t>
            </w:r>
          </w:p>
        </w:tc>
        <w:tc>
          <w:tcPr>
            <w:tcW w:w="1705" w:type="dxa"/>
            <w:noWrap/>
            <w:vAlign w:val="bottom"/>
          </w:tcPr>
          <w:p w14:paraId="0152F995"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7</w:t>
            </w:r>
          </w:p>
        </w:tc>
      </w:tr>
      <w:tr w:rsidR="007F0836" w:rsidRPr="007F0836" w14:paraId="4518C3F3" w14:textId="77777777" w:rsidTr="007F0836">
        <w:trPr>
          <w:trHeight w:val="320"/>
        </w:trPr>
        <w:tc>
          <w:tcPr>
            <w:tcW w:w="4315" w:type="dxa"/>
            <w:noWrap/>
            <w:vAlign w:val="bottom"/>
          </w:tcPr>
          <w:p w14:paraId="3D3B33F9"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White-bearded Manakin</w:t>
            </w:r>
          </w:p>
        </w:tc>
        <w:tc>
          <w:tcPr>
            <w:tcW w:w="3330" w:type="dxa"/>
            <w:noWrap/>
            <w:vAlign w:val="bottom"/>
          </w:tcPr>
          <w:p w14:paraId="2345AFA6"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Manacus</w:t>
            </w:r>
            <w:proofErr w:type="spellEnd"/>
            <w:r w:rsidRPr="007F0836">
              <w:rPr>
                <w:rFonts w:ascii="Times New Roman" w:hAnsi="Times New Roman" w:cs="Times New Roman"/>
                <w:i/>
                <w:iCs/>
                <w:color w:val="000000" w:themeColor="text1"/>
              </w:rPr>
              <w:t xml:space="preserve"> </w:t>
            </w:r>
            <w:proofErr w:type="spellStart"/>
            <w:r w:rsidRPr="007F0836">
              <w:rPr>
                <w:rFonts w:ascii="Times New Roman" w:hAnsi="Times New Roman" w:cs="Times New Roman"/>
                <w:i/>
                <w:iCs/>
                <w:color w:val="000000" w:themeColor="text1"/>
              </w:rPr>
              <w:t>manacus</w:t>
            </w:r>
            <w:proofErr w:type="spellEnd"/>
          </w:p>
        </w:tc>
        <w:tc>
          <w:tcPr>
            <w:tcW w:w="1705" w:type="dxa"/>
            <w:noWrap/>
            <w:vAlign w:val="bottom"/>
          </w:tcPr>
          <w:p w14:paraId="43704520"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16</w:t>
            </w:r>
          </w:p>
        </w:tc>
      </w:tr>
      <w:tr w:rsidR="007F0836" w:rsidRPr="007F0836" w14:paraId="56629545" w14:textId="77777777" w:rsidTr="007F0836">
        <w:trPr>
          <w:trHeight w:val="320"/>
        </w:trPr>
        <w:tc>
          <w:tcPr>
            <w:tcW w:w="4315" w:type="dxa"/>
            <w:noWrap/>
            <w:vAlign w:val="bottom"/>
          </w:tcPr>
          <w:p w14:paraId="62222D9F"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White-whiskered Puff Bird</w:t>
            </w:r>
          </w:p>
        </w:tc>
        <w:tc>
          <w:tcPr>
            <w:tcW w:w="3330" w:type="dxa"/>
            <w:noWrap/>
            <w:vAlign w:val="bottom"/>
          </w:tcPr>
          <w:p w14:paraId="543D1FA0"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Malacoptila</w:t>
            </w:r>
            <w:proofErr w:type="spellEnd"/>
            <w:r w:rsidRPr="007F0836">
              <w:rPr>
                <w:rFonts w:ascii="Times New Roman" w:hAnsi="Times New Roman" w:cs="Times New Roman"/>
                <w:i/>
                <w:iCs/>
                <w:color w:val="000000" w:themeColor="text1"/>
              </w:rPr>
              <w:t xml:space="preserve"> panamensis</w:t>
            </w:r>
          </w:p>
        </w:tc>
        <w:tc>
          <w:tcPr>
            <w:tcW w:w="1705" w:type="dxa"/>
            <w:noWrap/>
            <w:vAlign w:val="bottom"/>
          </w:tcPr>
          <w:p w14:paraId="47F3286C"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2</w:t>
            </w:r>
          </w:p>
        </w:tc>
      </w:tr>
      <w:tr w:rsidR="007F0836" w:rsidRPr="007F0836" w14:paraId="363A80E0" w14:textId="77777777" w:rsidTr="007F0836">
        <w:trPr>
          <w:trHeight w:val="320"/>
        </w:trPr>
        <w:tc>
          <w:tcPr>
            <w:tcW w:w="4315" w:type="dxa"/>
            <w:noWrap/>
            <w:vAlign w:val="bottom"/>
          </w:tcPr>
          <w:p w14:paraId="1F055056"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Yellow-bellied Seedeater</w:t>
            </w:r>
          </w:p>
        </w:tc>
        <w:tc>
          <w:tcPr>
            <w:tcW w:w="3330" w:type="dxa"/>
            <w:noWrap/>
            <w:vAlign w:val="bottom"/>
          </w:tcPr>
          <w:p w14:paraId="29E7A5AC"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Sporophila</w:t>
            </w:r>
            <w:proofErr w:type="spellEnd"/>
            <w:r w:rsidRPr="007F0836">
              <w:rPr>
                <w:rFonts w:ascii="Times New Roman" w:hAnsi="Times New Roman" w:cs="Times New Roman"/>
                <w:i/>
                <w:iCs/>
                <w:color w:val="000000" w:themeColor="text1"/>
              </w:rPr>
              <w:t xml:space="preserve"> nigricollis</w:t>
            </w:r>
          </w:p>
        </w:tc>
        <w:tc>
          <w:tcPr>
            <w:tcW w:w="1705" w:type="dxa"/>
            <w:noWrap/>
            <w:vAlign w:val="bottom"/>
          </w:tcPr>
          <w:p w14:paraId="36CB7454"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8</w:t>
            </w:r>
          </w:p>
        </w:tc>
      </w:tr>
      <w:tr w:rsidR="007F0836" w:rsidRPr="007F0836" w14:paraId="7D602DEB" w14:textId="77777777" w:rsidTr="007F0836">
        <w:trPr>
          <w:trHeight w:val="320"/>
        </w:trPr>
        <w:tc>
          <w:tcPr>
            <w:tcW w:w="4315" w:type="dxa"/>
            <w:noWrap/>
            <w:vAlign w:val="bottom"/>
          </w:tcPr>
          <w:p w14:paraId="7D6EDA5A"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Yellow-bellied Seed Finch</w:t>
            </w:r>
          </w:p>
        </w:tc>
        <w:tc>
          <w:tcPr>
            <w:tcW w:w="3330" w:type="dxa"/>
            <w:noWrap/>
            <w:vAlign w:val="bottom"/>
          </w:tcPr>
          <w:p w14:paraId="20BBABC1"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Sporophila</w:t>
            </w:r>
            <w:proofErr w:type="spellEnd"/>
            <w:r w:rsidRPr="007F0836">
              <w:rPr>
                <w:rFonts w:ascii="Times New Roman" w:hAnsi="Times New Roman" w:cs="Times New Roman"/>
                <w:i/>
                <w:iCs/>
                <w:color w:val="000000" w:themeColor="text1"/>
              </w:rPr>
              <w:t xml:space="preserve"> nigricollis</w:t>
            </w:r>
          </w:p>
        </w:tc>
        <w:tc>
          <w:tcPr>
            <w:tcW w:w="1705" w:type="dxa"/>
            <w:noWrap/>
            <w:vAlign w:val="bottom"/>
          </w:tcPr>
          <w:p w14:paraId="5AB8C4BB"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7F0836" w14:paraId="070802E4" w14:textId="77777777" w:rsidTr="007F0836">
        <w:trPr>
          <w:trHeight w:val="320"/>
        </w:trPr>
        <w:tc>
          <w:tcPr>
            <w:tcW w:w="4315" w:type="dxa"/>
            <w:noWrap/>
            <w:vAlign w:val="bottom"/>
          </w:tcPr>
          <w:p w14:paraId="6DCE9777"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Yellow-bellied Siskin</w:t>
            </w:r>
          </w:p>
        </w:tc>
        <w:tc>
          <w:tcPr>
            <w:tcW w:w="3330" w:type="dxa"/>
            <w:noWrap/>
            <w:vAlign w:val="bottom"/>
          </w:tcPr>
          <w:p w14:paraId="29959D41"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r w:rsidRPr="007F0836">
              <w:rPr>
                <w:rFonts w:ascii="Times New Roman" w:hAnsi="Times New Roman" w:cs="Times New Roman"/>
                <w:i/>
                <w:iCs/>
                <w:color w:val="000000" w:themeColor="text1"/>
              </w:rPr>
              <w:t xml:space="preserve">Spinus </w:t>
            </w:r>
            <w:proofErr w:type="spellStart"/>
            <w:r w:rsidRPr="007F0836">
              <w:rPr>
                <w:rFonts w:ascii="Times New Roman" w:hAnsi="Times New Roman" w:cs="Times New Roman"/>
                <w:i/>
                <w:iCs/>
                <w:color w:val="000000" w:themeColor="text1"/>
              </w:rPr>
              <w:t>xanthogastrus</w:t>
            </w:r>
            <w:proofErr w:type="spellEnd"/>
          </w:p>
        </w:tc>
        <w:tc>
          <w:tcPr>
            <w:tcW w:w="1705" w:type="dxa"/>
            <w:noWrap/>
            <w:vAlign w:val="bottom"/>
          </w:tcPr>
          <w:p w14:paraId="6BBE852D"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r w:rsidR="007F0836" w:rsidRPr="007F0836" w14:paraId="2C1C8E74" w14:textId="77777777" w:rsidTr="007F0836">
        <w:trPr>
          <w:trHeight w:val="320"/>
        </w:trPr>
        <w:tc>
          <w:tcPr>
            <w:tcW w:w="4315" w:type="dxa"/>
            <w:noWrap/>
            <w:vAlign w:val="bottom"/>
          </w:tcPr>
          <w:p w14:paraId="59639BC0" w14:textId="77777777" w:rsidR="007F0836" w:rsidRPr="007F0836" w:rsidRDefault="007F0836" w:rsidP="007F0836">
            <w:pPr>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Yellow-crowned Tyrannulet</w:t>
            </w:r>
          </w:p>
        </w:tc>
        <w:tc>
          <w:tcPr>
            <w:tcW w:w="3330" w:type="dxa"/>
            <w:noWrap/>
            <w:vAlign w:val="bottom"/>
          </w:tcPr>
          <w:p w14:paraId="5D5AF40F" w14:textId="77777777" w:rsidR="007F0836" w:rsidRPr="007F0836" w:rsidRDefault="007F0836" w:rsidP="007F0836">
            <w:pPr>
              <w:spacing w:before="0"/>
              <w:jc w:val="center"/>
              <w:rPr>
                <w:rFonts w:ascii="Times New Roman" w:eastAsia="Times New Roman" w:hAnsi="Times New Roman" w:cs="Times New Roman"/>
                <w:i/>
                <w:iCs/>
                <w:color w:val="000000" w:themeColor="text1"/>
                <w:kern w:val="0"/>
                <w14:ligatures w14:val="none"/>
              </w:rPr>
            </w:pPr>
            <w:proofErr w:type="spellStart"/>
            <w:r w:rsidRPr="007F0836">
              <w:rPr>
                <w:rFonts w:ascii="Times New Roman" w:hAnsi="Times New Roman" w:cs="Times New Roman"/>
                <w:i/>
                <w:iCs/>
                <w:color w:val="000000" w:themeColor="text1"/>
              </w:rPr>
              <w:t>Tyrannulus</w:t>
            </w:r>
            <w:proofErr w:type="spellEnd"/>
            <w:r w:rsidRPr="007F0836">
              <w:rPr>
                <w:rFonts w:ascii="Times New Roman" w:hAnsi="Times New Roman" w:cs="Times New Roman"/>
                <w:i/>
                <w:iCs/>
                <w:color w:val="000000" w:themeColor="text1"/>
              </w:rPr>
              <w:t xml:space="preserve"> elatus </w:t>
            </w:r>
          </w:p>
        </w:tc>
        <w:tc>
          <w:tcPr>
            <w:tcW w:w="1705" w:type="dxa"/>
            <w:noWrap/>
            <w:vAlign w:val="bottom"/>
          </w:tcPr>
          <w:p w14:paraId="0551BF17" w14:textId="77777777" w:rsidR="007F0836" w:rsidRPr="007F0836" w:rsidRDefault="007F0836" w:rsidP="007F0836">
            <w:pPr>
              <w:keepNext/>
              <w:spacing w:before="0"/>
              <w:jc w:val="center"/>
              <w:rPr>
                <w:rFonts w:ascii="Times New Roman" w:eastAsia="Times New Roman" w:hAnsi="Times New Roman" w:cs="Times New Roman"/>
                <w:color w:val="000000" w:themeColor="text1"/>
                <w:kern w:val="0"/>
                <w14:ligatures w14:val="none"/>
              </w:rPr>
            </w:pPr>
            <w:r w:rsidRPr="007F0836">
              <w:rPr>
                <w:rFonts w:ascii="Times New Roman" w:hAnsi="Times New Roman" w:cs="Times New Roman"/>
                <w:color w:val="000000" w:themeColor="text1"/>
              </w:rPr>
              <w:t>1</w:t>
            </w:r>
          </w:p>
        </w:tc>
      </w:tr>
    </w:tbl>
    <w:p w14:paraId="08FE9540" w14:textId="4B22871A" w:rsidR="007F0836" w:rsidRDefault="007F0836">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3775"/>
        <w:gridCol w:w="3870"/>
        <w:gridCol w:w="1705"/>
      </w:tblGrid>
      <w:tr w:rsidR="007F0836" w14:paraId="4671728C" w14:textId="77777777" w:rsidTr="000426A0">
        <w:tc>
          <w:tcPr>
            <w:tcW w:w="9350" w:type="dxa"/>
            <w:gridSpan w:val="3"/>
            <w:tcBorders>
              <w:top w:val="nil"/>
              <w:left w:val="nil"/>
              <w:bottom w:val="single" w:sz="4" w:space="0" w:color="auto"/>
              <w:right w:val="nil"/>
            </w:tcBorders>
            <w:vAlign w:val="center"/>
          </w:tcPr>
          <w:p w14:paraId="24A41975" w14:textId="0C93645A" w:rsidR="007F0836" w:rsidRPr="007F0836" w:rsidRDefault="007F0836" w:rsidP="007F0836">
            <w:pPr>
              <w:pStyle w:val="Caption"/>
              <w:spacing w:before="0" w:after="0"/>
              <w:rPr>
                <w:rFonts w:ascii="Times New Roman" w:hAnsi="Times New Roman" w:cs="Times New Roman"/>
                <w:b/>
                <w:bCs/>
                <w:i w:val="0"/>
                <w:iCs w:val="0"/>
                <w:sz w:val="24"/>
                <w:szCs w:val="24"/>
              </w:rPr>
            </w:pPr>
            <w:bookmarkStart w:id="127" w:name="_Toc195189697"/>
            <w:r w:rsidRPr="007F0836">
              <w:rPr>
                <w:rFonts w:ascii="Times New Roman" w:hAnsi="Times New Roman" w:cs="Times New Roman"/>
                <w:b/>
                <w:bCs/>
                <w:i w:val="0"/>
                <w:iCs w:val="0"/>
                <w:color w:val="000000" w:themeColor="text1"/>
                <w:sz w:val="24"/>
                <w:szCs w:val="24"/>
              </w:rPr>
              <w:lastRenderedPageBreak/>
              <w:t xml:space="preserve">Supplementary Table </w:t>
            </w:r>
            <w:r w:rsidRPr="007F0836">
              <w:rPr>
                <w:rFonts w:ascii="Times New Roman" w:hAnsi="Times New Roman" w:cs="Times New Roman"/>
                <w:b/>
                <w:bCs/>
                <w:i w:val="0"/>
                <w:iCs w:val="0"/>
                <w:color w:val="000000" w:themeColor="text1"/>
                <w:sz w:val="24"/>
                <w:szCs w:val="24"/>
              </w:rPr>
              <w:fldChar w:fldCharType="begin"/>
            </w:r>
            <w:r w:rsidRPr="007F0836">
              <w:rPr>
                <w:rFonts w:ascii="Times New Roman" w:hAnsi="Times New Roman" w:cs="Times New Roman"/>
                <w:b/>
                <w:bCs/>
                <w:i w:val="0"/>
                <w:iCs w:val="0"/>
                <w:color w:val="000000" w:themeColor="text1"/>
                <w:sz w:val="24"/>
                <w:szCs w:val="24"/>
              </w:rPr>
              <w:instrText xml:space="preserve"> SEQ Supplementary_Table \* ARABIC </w:instrText>
            </w:r>
            <w:r w:rsidRPr="007F083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5</w:t>
            </w:r>
            <w:r w:rsidRPr="007F0836">
              <w:rPr>
                <w:rFonts w:ascii="Times New Roman" w:hAnsi="Times New Roman" w:cs="Times New Roman"/>
                <w:b/>
                <w:bCs/>
                <w:i w:val="0"/>
                <w:iCs w:val="0"/>
                <w:color w:val="000000" w:themeColor="text1"/>
                <w:sz w:val="24"/>
                <w:szCs w:val="24"/>
              </w:rPr>
              <w:fldChar w:fldCharType="end"/>
            </w:r>
            <w:r w:rsidRPr="007F0836">
              <w:rPr>
                <w:rFonts w:ascii="Times New Roman" w:hAnsi="Times New Roman" w:cs="Times New Roman"/>
                <w:b/>
                <w:bCs/>
                <w:i w:val="0"/>
                <w:iCs w:val="0"/>
                <w:color w:val="000000" w:themeColor="text1"/>
                <w:sz w:val="24"/>
                <w:szCs w:val="24"/>
              </w:rPr>
              <w:t>:</w:t>
            </w:r>
            <w:r>
              <w:rPr>
                <w:rFonts w:ascii="Times New Roman" w:hAnsi="Times New Roman" w:cs="Times New Roman"/>
                <w:b/>
                <w:bCs/>
                <w:i w:val="0"/>
                <w:iCs w:val="0"/>
                <w:color w:val="000000" w:themeColor="text1"/>
                <w:sz w:val="24"/>
                <w:szCs w:val="24"/>
              </w:rPr>
              <w:t xml:space="preserve"> </w:t>
            </w:r>
            <w:r w:rsidRPr="007F0836">
              <w:rPr>
                <w:rFonts w:ascii="Times New Roman" w:hAnsi="Times New Roman" w:cs="Times New Roman"/>
                <w:i w:val="0"/>
                <w:iCs w:val="0"/>
                <w:color w:val="000000" w:themeColor="text1"/>
                <w:sz w:val="24"/>
                <w:szCs w:val="24"/>
              </w:rPr>
              <w:t>Disperser species observed on camera traps with realized interactions included in network analysis.</w:t>
            </w:r>
            <w:bookmarkEnd w:id="127"/>
            <w:r w:rsidRPr="007F0836">
              <w:rPr>
                <w:rFonts w:ascii="Times New Roman" w:hAnsi="Times New Roman" w:cs="Times New Roman"/>
                <w:i w:val="0"/>
                <w:iCs w:val="0"/>
                <w:color w:val="000000" w:themeColor="text1"/>
                <w:sz w:val="24"/>
                <w:szCs w:val="24"/>
              </w:rPr>
              <w:t xml:space="preserve"> </w:t>
            </w:r>
          </w:p>
        </w:tc>
      </w:tr>
      <w:tr w:rsidR="007F0836" w14:paraId="78C54DEC" w14:textId="77777777" w:rsidTr="000426A0">
        <w:tc>
          <w:tcPr>
            <w:tcW w:w="3775" w:type="dxa"/>
            <w:tcBorders>
              <w:top w:val="single" w:sz="4" w:space="0" w:color="auto"/>
            </w:tcBorders>
            <w:vAlign w:val="center"/>
          </w:tcPr>
          <w:p w14:paraId="094444EC" w14:textId="77777777" w:rsidR="007F0836" w:rsidRPr="00EB4834" w:rsidRDefault="007F0836" w:rsidP="000426A0">
            <w:pPr>
              <w:spacing w:before="0"/>
              <w:jc w:val="center"/>
              <w:rPr>
                <w:rFonts w:ascii="Times New Roman" w:hAnsi="Times New Roman" w:cs="Times New Roman"/>
                <w:b/>
                <w:bCs/>
                <w:color w:val="000000" w:themeColor="text1"/>
              </w:rPr>
            </w:pPr>
            <w:r w:rsidRPr="00EB4834">
              <w:rPr>
                <w:rFonts w:ascii="Times New Roman" w:hAnsi="Times New Roman" w:cs="Times New Roman"/>
                <w:b/>
                <w:bCs/>
                <w:color w:val="000000" w:themeColor="text1"/>
              </w:rPr>
              <w:t>Common Name</w:t>
            </w:r>
          </w:p>
        </w:tc>
        <w:tc>
          <w:tcPr>
            <w:tcW w:w="3870" w:type="dxa"/>
            <w:tcBorders>
              <w:top w:val="single" w:sz="4" w:space="0" w:color="auto"/>
            </w:tcBorders>
            <w:vAlign w:val="center"/>
          </w:tcPr>
          <w:p w14:paraId="1B14BFF8" w14:textId="77777777" w:rsidR="007F0836" w:rsidRPr="00EB4834" w:rsidRDefault="007F0836" w:rsidP="000426A0">
            <w:pPr>
              <w:spacing w:before="0"/>
              <w:jc w:val="center"/>
              <w:rPr>
                <w:rFonts w:ascii="Times New Roman" w:hAnsi="Times New Roman" w:cs="Times New Roman"/>
                <w:b/>
                <w:bCs/>
                <w:color w:val="000000" w:themeColor="text1"/>
              </w:rPr>
            </w:pPr>
            <w:r w:rsidRPr="00EB4834">
              <w:rPr>
                <w:rFonts w:ascii="Times New Roman" w:hAnsi="Times New Roman" w:cs="Times New Roman"/>
                <w:b/>
                <w:bCs/>
                <w:color w:val="000000" w:themeColor="text1"/>
              </w:rPr>
              <w:t>Scientific Name</w:t>
            </w:r>
          </w:p>
        </w:tc>
        <w:tc>
          <w:tcPr>
            <w:tcW w:w="1705" w:type="dxa"/>
            <w:tcBorders>
              <w:top w:val="single" w:sz="4" w:space="0" w:color="auto"/>
            </w:tcBorders>
            <w:vAlign w:val="center"/>
          </w:tcPr>
          <w:p w14:paraId="06154358" w14:textId="77777777" w:rsidR="007F0836" w:rsidRPr="00EB4834" w:rsidRDefault="007F0836" w:rsidP="000426A0">
            <w:pPr>
              <w:spacing w:before="0"/>
              <w:jc w:val="center"/>
              <w:rPr>
                <w:rFonts w:ascii="Times New Roman" w:hAnsi="Times New Roman" w:cs="Times New Roman"/>
                <w:b/>
                <w:bCs/>
                <w:color w:val="000000" w:themeColor="text1"/>
              </w:rPr>
            </w:pPr>
            <w:r w:rsidRPr="00EB4834">
              <w:rPr>
                <w:rFonts w:ascii="Times New Roman" w:hAnsi="Times New Roman" w:cs="Times New Roman"/>
                <w:b/>
                <w:bCs/>
                <w:color w:val="000000" w:themeColor="text1"/>
              </w:rPr>
              <w:t>Interaction Abundance</w:t>
            </w:r>
          </w:p>
        </w:tc>
      </w:tr>
      <w:tr w:rsidR="007F0836" w:rsidRPr="009A49C9" w14:paraId="06779FB6" w14:textId="77777777" w:rsidTr="000426A0">
        <w:trPr>
          <w:trHeight w:val="320"/>
        </w:trPr>
        <w:tc>
          <w:tcPr>
            <w:tcW w:w="3775" w:type="dxa"/>
            <w:noWrap/>
            <w:vAlign w:val="center"/>
            <w:hideMark/>
          </w:tcPr>
          <w:p w14:paraId="444B5776"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 xml:space="preserve">Black-winged </w:t>
            </w:r>
            <w:proofErr w:type="spellStart"/>
            <w:r w:rsidRPr="009A49C9">
              <w:rPr>
                <w:rFonts w:ascii="Times New Roman" w:eastAsia="Times New Roman" w:hAnsi="Times New Roman" w:cs="Times New Roman"/>
                <w:color w:val="000000" w:themeColor="text1"/>
                <w:kern w:val="0"/>
                <w14:ligatures w14:val="none"/>
              </w:rPr>
              <w:t>Saltador</w:t>
            </w:r>
            <w:proofErr w:type="spellEnd"/>
          </w:p>
        </w:tc>
        <w:tc>
          <w:tcPr>
            <w:tcW w:w="3870" w:type="dxa"/>
            <w:noWrap/>
            <w:vAlign w:val="center"/>
            <w:hideMark/>
          </w:tcPr>
          <w:p w14:paraId="196725F5"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Saltator </w:t>
            </w:r>
            <w:proofErr w:type="spellStart"/>
            <w:r w:rsidRPr="009A49C9">
              <w:rPr>
                <w:rFonts w:ascii="Times New Roman" w:eastAsia="Times New Roman" w:hAnsi="Times New Roman" w:cs="Times New Roman"/>
                <w:i/>
                <w:iCs/>
                <w:color w:val="000000" w:themeColor="text1"/>
                <w:kern w:val="0"/>
                <w14:ligatures w14:val="none"/>
              </w:rPr>
              <w:t>atripennis</w:t>
            </w:r>
            <w:proofErr w:type="spellEnd"/>
          </w:p>
        </w:tc>
        <w:tc>
          <w:tcPr>
            <w:tcW w:w="1705" w:type="dxa"/>
            <w:noWrap/>
            <w:vAlign w:val="center"/>
            <w:hideMark/>
          </w:tcPr>
          <w:p w14:paraId="2527E48C"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4</w:t>
            </w:r>
          </w:p>
        </w:tc>
      </w:tr>
      <w:tr w:rsidR="007F0836" w:rsidRPr="009A49C9" w14:paraId="2960198F" w14:textId="77777777" w:rsidTr="000426A0">
        <w:trPr>
          <w:trHeight w:val="320"/>
        </w:trPr>
        <w:tc>
          <w:tcPr>
            <w:tcW w:w="3775" w:type="dxa"/>
            <w:noWrap/>
            <w:vAlign w:val="center"/>
            <w:hideMark/>
          </w:tcPr>
          <w:p w14:paraId="3636BC38"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Blue-gray Tanager</w:t>
            </w:r>
          </w:p>
        </w:tc>
        <w:tc>
          <w:tcPr>
            <w:tcW w:w="3870" w:type="dxa"/>
            <w:noWrap/>
            <w:vAlign w:val="center"/>
            <w:hideMark/>
          </w:tcPr>
          <w:p w14:paraId="6CDF8589"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Thraupis</w:t>
            </w:r>
            <w:proofErr w:type="spellEnd"/>
            <w:r w:rsidRPr="009A49C9">
              <w:rPr>
                <w:rFonts w:ascii="Times New Roman" w:eastAsia="Times New Roman" w:hAnsi="Times New Roman" w:cs="Times New Roman"/>
                <w:i/>
                <w:iCs/>
                <w:color w:val="000000" w:themeColor="text1"/>
                <w:kern w:val="0"/>
                <w14:ligatures w14:val="none"/>
              </w:rPr>
              <w:t xml:space="preserve"> episcopus</w:t>
            </w:r>
          </w:p>
        </w:tc>
        <w:tc>
          <w:tcPr>
            <w:tcW w:w="1705" w:type="dxa"/>
            <w:noWrap/>
            <w:vAlign w:val="center"/>
            <w:hideMark/>
          </w:tcPr>
          <w:p w14:paraId="5612C6C3"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4</w:t>
            </w:r>
          </w:p>
        </w:tc>
      </w:tr>
      <w:tr w:rsidR="007F0836" w:rsidRPr="009A49C9" w14:paraId="5D522D42" w14:textId="77777777" w:rsidTr="000426A0">
        <w:trPr>
          <w:trHeight w:val="320"/>
        </w:trPr>
        <w:tc>
          <w:tcPr>
            <w:tcW w:w="3775" w:type="dxa"/>
            <w:noWrap/>
            <w:vAlign w:val="center"/>
            <w:hideMark/>
          </w:tcPr>
          <w:p w14:paraId="66C139F2"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Blue-necked Tanager</w:t>
            </w:r>
          </w:p>
        </w:tc>
        <w:tc>
          <w:tcPr>
            <w:tcW w:w="3870" w:type="dxa"/>
            <w:noWrap/>
            <w:vAlign w:val="center"/>
            <w:hideMark/>
          </w:tcPr>
          <w:p w14:paraId="1DD8DF32"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Stilpnia</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cyanicollis</w:t>
            </w:r>
            <w:proofErr w:type="spellEnd"/>
          </w:p>
        </w:tc>
        <w:tc>
          <w:tcPr>
            <w:tcW w:w="1705" w:type="dxa"/>
            <w:noWrap/>
            <w:vAlign w:val="center"/>
            <w:hideMark/>
          </w:tcPr>
          <w:p w14:paraId="23F73252"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5</w:t>
            </w:r>
          </w:p>
        </w:tc>
      </w:tr>
      <w:tr w:rsidR="007F0836" w:rsidRPr="009A49C9" w14:paraId="5AF606BB" w14:textId="77777777" w:rsidTr="000426A0">
        <w:trPr>
          <w:trHeight w:val="320"/>
        </w:trPr>
        <w:tc>
          <w:tcPr>
            <w:tcW w:w="3775" w:type="dxa"/>
            <w:noWrap/>
            <w:vAlign w:val="center"/>
            <w:hideMark/>
          </w:tcPr>
          <w:p w14:paraId="349F2308"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Buff-throated Saltator</w:t>
            </w:r>
          </w:p>
        </w:tc>
        <w:tc>
          <w:tcPr>
            <w:tcW w:w="3870" w:type="dxa"/>
            <w:noWrap/>
            <w:vAlign w:val="center"/>
            <w:hideMark/>
          </w:tcPr>
          <w:p w14:paraId="580FAC84"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Saltator maximus</w:t>
            </w:r>
          </w:p>
        </w:tc>
        <w:tc>
          <w:tcPr>
            <w:tcW w:w="1705" w:type="dxa"/>
            <w:noWrap/>
            <w:vAlign w:val="center"/>
            <w:hideMark/>
          </w:tcPr>
          <w:p w14:paraId="6C5A3026"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4</w:t>
            </w:r>
          </w:p>
        </w:tc>
      </w:tr>
      <w:tr w:rsidR="007F0836" w:rsidRPr="009A49C9" w14:paraId="72CEF637" w14:textId="77777777" w:rsidTr="000426A0">
        <w:trPr>
          <w:trHeight w:val="320"/>
        </w:trPr>
        <w:tc>
          <w:tcPr>
            <w:tcW w:w="3775" w:type="dxa"/>
            <w:noWrap/>
            <w:vAlign w:val="center"/>
            <w:hideMark/>
          </w:tcPr>
          <w:p w14:paraId="2B6D278D"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Central American agouti</w:t>
            </w:r>
          </w:p>
        </w:tc>
        <w:tc>
          <w:tcPr>
            <w:tcW w:w="3870" w:type="dxa"/>
            <w:noWrap/>
            <w:vAlign w:val="center"/>
            <w:hideMark/>
          </w:tcPr>
          <w:p w14:paraId="15930A1E"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Dasyprocta punctata</w:t>
            </w:r>
          </w:p>
        </w:tc>
        <w:tc>
          <w:tcPr>
            <w:tcW w:w="1705" w:type="dxa"/>
            <w:noWrap/>
            <w:vAlign w:val="center"/>
            <w:hideMark/>
          </w:tcPr>
          <w:p w14:paraId="44F7D5B9"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16</w:t>
            </w:r>
          </w:p>
        </w:tc>
      </w:tr>
      <w:tr w:rsidR="007F0836" w:rsidRPr="009A49C9" w14:paraId="75793015" w14:textId="77777777" w:rsidTr="000426A0">
        <w:trPr>
          <w:trHeight w:val="320"/>
        </w:trPr>
        <w:tc>
          <w:tcPr>
            <w:tcW w:w="3775" w:type="dxa"/>
            <w:noWrap/>
            <w:vAlign w:val="center"/>
            <w:hideMark/>
          </w:tcPr>
          <w:p w14:paraId="08C89E49"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Central American Wooly Possum</w:t>
            </w:r>
          </w:p>
        </w:tc>
        <w:tc>
          <w:tcPr>
            <w:tcW w:w="3870" w:type="dxa"/>
            <w:noWrap/>
            <w:vAlign w:val="center"/>
            <w:hideMark/>
          </w:tcPr>
          <w:p w14:paraId="136D0534"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Caluromys</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derbianus</w:t>
            </w:r>
            <w:proofErr w:type="spellEnd"/>
          </w:p>
        </w:tc>
        <w:tc>
          <w:tcPr>
            <w:tcW w:w="1705" w:type="dxa"/>
            <w:noWrap/>
            <w:vAlign w:val="center"/>
            <w:hideMark/>
          </w:tcPr>
          <w:p w14:paraId="586D5596"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w:t>
            </w:r>
          </w:p>
        </w:tc>
      </w:tr>
      <w:tr w:rsidR="007F0836" w:rsidRPr="009A49C9" w14:paraId="49E32843" w14:textId="77777777" w:rsidTr="000426A0">
        <w:trPr>
          <w:trHeight w:val="320"/>
        </w:trPr>
        <w:tc>
          <w:tcPr>
            <w:tcW w:w="3775" w:type="dxa"/>
            <w:noWrap/>
            <w:vAlign w:val="center"/>
            <w:hideMark/>
          </w:tcPr>
          <w:p w14:paraId="4536989B"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Choco Toucan</w:t>
            </w:r>
          </w:p>
        </w:tc>
        <w:tc>
          <w:tcPr>
            <w:tcW w:w="3870" w:type="dxa"/>
            <w:noWrap/>
            <w:vAlign w:val="center"/>
            <w:hideMark/>
          </w:tcPr>
          <w:p w14:paraId="5A893944"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Ramphastos</w:t>
            </w:r>
            <w:proofErr w:type="spellEnd"/>
            <w:r w:rsidRPr="009A49C9">
              <w:rPr>
                <w:rFonts w:ascii="Times New Roman" w:eastAsia="Times New Roman" w:hAnsi="Times New Roman" w:cs="Times New Roman"/>
                <w:i/>
                <w:iCs/>
                <w:color w:val="000000" w:themeColor="text1"/>
                <w:kern w:val="0"/>
                <w14:ligatures w14:val="none"/>
              </w:rPr>
              <w:t xml:space="preserve"> brevis</w:t>
            </w:r>
          </w:p>
        </w:tc>
        <w:tc>
          <w:tcPr>
            <w:tcW w:w="1705" w:type="dxa"/>
            <w:noWrap/>
            <w:vAlign w:val="center"/>
            <w:hideMark/>
          </w:tcPr>
          <w:p w14:paraId="5D66C011"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19</w:t>
            </w:r>
          </w:p>
        </w:tc>
      </w:tr>
      <w:tr w:rsidR="007F0836" w:rsidRPr="009A49C9" w14:paraId="406B3109" w14:textId="77777777" w:rsidTr="000426A0">
        <w:trPr>
          <w:trHeight w:val="320"/>
        </w:trPr>
        <w:tc>
          <w:tcPr>
            <w:tcW w:w="3775" w:type="dxa"/>
            <w:noWrap/>
            <w:vAlign w:val="center"/>
            <w:hideMark/>
          </w:tcPr>
          <w:p w14:paraId="2A8C753F"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Collared Aracari</w:t>
            </w:r>
          </w:p>
        </w:tc>
        <w:tc>
          <w:tcPr>
            <w:tcW w:w="3870" w:type="dxa"/>
            <w:noWrap/>
            <w:vAlign w:val="center"/>
            <w:hideMark/>
          </w:tcPr>
          <w:p w14:paraId="697AC2BB"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Pteroglossus</w:t>
            </w:r>
            <w:proofErr w:type="spellEnd"/>
            <w:r w:rsidRPr="009A49C9">
              <w:rPr>
                <w:rFonts w:ascii="Times New Roman" w:eastAsia="Times New Roman" w:hAnsi="Times New Roman" w:cs="Times New Roman"/>
                <w:i/>
                <w:iCs/>
                <w:color w:val="000000" w:themeColor="text1"/>
                <w:kern w:val="0"/>
                <w14:ligatures w14:val="none"/>
              </w:rPr>
              <w:t xml:space="preserve"> torquatus</w:t>
            </w:r>
          </w:p>
        </w:tc>
        <w:tc>
          <w:tcPr>
            <w:tcW w:w="1705" w:type="dxa"/>
            <w:noWrap/>
            <w:vAlign w:val="center"/>
            <w:hideMark/>
          </w:tcPr>
          <w:p w14:paraId="258D7FC3"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27</w:t>
            </w:r>
          </w:p>
        </w:tc>
      </w:tr>
      <w:tr w:rsidR="007F0836" w:rsidRPr="009A49C9" w14:paraId="1C42DABF" w14:textId="77777777" w:rsidTr="000426A0">
        <w:trPr>
          <w:trHeight w:val="320"/>
        </w:trPr>
        <w:tc>
          <w:tcPr>
            <w:tcW w:w="3775" w:type="dxa"/>
            <w:noWrap/>
            <w:vAlign w:val="center"/>
            <w:hideMark/>
          </w:tcPr>
          <w:p w14:paraId="6B44EDE6"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Dull-colored Grassquit</w:t>
            </w:r>
          </w:p>
        </w:tc>
        <w:tc>
          <w:tcPr>
            <w:tcW w:w="3870" w:type="dxa"/>
            <w:noWrap/>
            <w:vAlign w:val="center"/>
            <w:hideMark/>
          </w:tcPr>
          <w:p w14:paraId="4E678345"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Asemospiza</w:t>
            </w:r>
            <w:proofErr w:type="spellEnd"/>
            <w:r w:rsidRPr="009A49C9">
              <w:rPr>
                <w:rFonts w:ascii="Times New Roman" w:eastAsia="Times New Roman" w:hAnsi="Times New Roman" w:cs="Times New Roman"/>
                <w:i/>
                <w:iCs/>
                <w:color w:val="000000" w:themeColor="text1"/>
                <w:kern w:val="0"/>
                <w14:ligatures w14:val="none"/>
              </w:rPr>
              <w:t xml:space="preserve"> obscura</w:t>
            </w:r>
          </w:p>
        </w:tc>
        <w:tc>
          <w:tcPr>
            <w:tcW w:w="1705" w:type="dxa"/>
            <w:noWrap/>
            <w:vAlign w:val="center"/>
            <w:hideMark/>
          </w:tcPr>
          <w:p w14:paraId="7423CB80"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3</w:t>
            </w:r>
          </w:p>
        </w:tc>
      </w:tr>
      <w:tr w:rsidR="007F0836" w:rsidRPr="009A49C9" w14:paraId="0426F24D" w14:textId="77777777" w:rsidTr="000426A0">
        <w:trPr>
          <w:trHeight w:val="320"/>
        </w:trPr>
        <w:tc>
          <w:tcPr>
            <w:tcW w:w="3775" w:type="dxa"/>
            <w:noWrap/>
            <w:vAlign w:val="center"/>
            <w:hideMark/>
          </w:tcPr>
          <w:p w14:paraId="4BCEA4C8"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Ecuadorian Thrush</w:t>
            </w:r>
          </w:p>
        </w:tc>
        <w:tc>
          <w:tcPr>
            <w:tcW w:w="3870" w:type="dxa"/>
            <w:noWrap/>
            <w:vAlign w:val="center"/>
            <w:hideMark/>
          </w:tcPr>
          <w:p w14:paraId="51946CDD"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Turdus </w:t>
            </w:r>
            <w:proofErr w:type="spellStart"/>
            <w:r w:rsidRPr="009A49C9">
              <w:rPr>
                <w:rFonts w:ascii="Times New Roman" w:eastAsia="Times New Roman" w:hAnsi="Times New Roman" w:cs="Times New Roman"/>
                <w:i/>
                <w:iCs/>
                <w:color w:val="000000" w:themeColor="text1"/>
                <w:kern w:val="0"/>
                <w14:ligatures w14:val="none"/>
              </w:rPr>
              <w:t>maculirostris</w:t>
            </w:r>
            <w:proofErr w:type="spellEnd"/>
          </w:p>
        </w:tc>
        <w:tc>
          <w:tcPr>
            <w:tcW w:w="1705" w:type="dxa"/>
            <w:noWrap/>
            <w:vAlign w:val="center"/>
            <w:hideMark/>
          </w:tcPr>
          <w:p w14:paraId="46213CD1"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2</w:t>
            </w:r>
          </w:p>
        </w:tc>
      </w:tr>
      <w:tr w:rsidR="007F0836" w:rsidRPr="009A49C9" w14:paraId="087707C8" w14:textId="77777777" w:rsidTr="000426A0">
        <w:trPr>
          <w:trHeight w:val="320"/>
        </w:trPr>
        <w:tc>
          <w:tcPr>
            <w:tcW w:w="3775" w:type="dxa"/>
            <w:noWrap/>
            <w:vAlign w:val="center"/>
            <w:hideMark/>
          </w:tcPr>
          <w:p w14:paraId="652A1550"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Flame-rumped Tanager</w:t>
            </w:r>
          </w:p>
        </w:tc>
        <w:tc>
          <w:tcPr>
            <w:tcW w:w="3870" w:type="dxa"/>
            <w:noWrap/>
            <w:vAlign w:val="center"/>
            <w:hideMark/>
          </w:tcPr>
          <w:p w14:paraId="1A8097C0"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Ramphocelus</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flammigerus</w:t>
            </w:r>
            <w:proofErr w:type="spellEnd"/>
          </w:p>
        </w:tc>
        <w:tc>
          <w:tcPr>
            <w:tcW w:w="1705" w:type="dxa"/>
            <w:noWrap/>
            <w:vAlign w:val="center"/>
            <w:hideMark/>
          </w:tcPr>
          <w:p w14:paraId="524A53A0"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5</w:t>
            </w:r>
          </w:p>
        </w:tc>
      </w:tr>
      <w:tr w:rsidR="007F0836" w:rsidRPr="009A49C9" w14:paraId="58406F72" w14:textId="77777777" w:rsidTr="000426A0">
        <w:trPr>
          <w:trHeight w:val="320"/>
        </w:trPr>
        <w:tc>
          <w:tcPr>
            <w:tcW w:w="3775" w:type="dxa"/>
            <w:noWrap/>
            <w:vAlign w:val="center"/>
            <w:hideMark/>
          </w:tcPr>
          <w:p w14:paraId="59723149"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Lowland Paca</w:t>
            </w:r>
          </w:p>
        </w:tc>
        <w:tc>
          <w:tcPr>
            <w:tcW w:w="3870" w:type="dxa"/>
            <w:noWrap/>
            <w:vAlign w:val="center"/>
            <w:hideMark/>
          </w:tcPr>
          <w:p w14:paraId="0CD9AF1D"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Cuniculus paca</w:t>
            </w:r>
          </w:p>
        </w:tc>
        <w:tc>
          <w:tcPr>
            <w:tcW w:w="1705" w:type="dxa"/>
            <w:noWrap/>
            <w:vAlign w:val="center"/>
            <w:hideMark/>
          </w:tcPr>
          <w:p w14:paraId="161FAD1A"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4</w:t>
            </w:r>
          </w:p>
        </w:tc>
      </w:tr>
      <w:tr w:rsidR="007F0836" w:rsidRPr="009A49C9" w14:paraId="138B8132" w14:textId="77777777" w:rsidTr="000426A0">
        <w:trPr>
          <w:trHeight w:val="320"/>
        </w:trPr>
        <w:tc>
          <w:tcPr>
            <w:tcW w:w="3775" w:type="dxa"/>
            <w:noWrap/>
            <w:vAlign w:val="center"/>
            <w:hideMark/>
          </w:tcPr>
          <w:p w14:paraId="3B0060AD"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Orange-bellied Euphonia</w:t>
            </w:r>
          </w:p>
        </w:tc>
        <w:tc>
          <w:tcPr>
            <w:tcW w:w="3870" w:type="dxa"/>
            <w:noWrap/>
            <w:vAlign w:val="center"/>
            <w:hideMark/>
          </w:tcPr>
          <w:p w14:paraId="188994C8"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Euphonia </w:t>
            </w:r>
            <w:proofErr w:type="spellStart"/>
            <w:r w:rsidRPr="009A49C9">
              <w:rPr>
                <w:rFonts w:ascii="Times New Roman" w:eastAsia="Times New Roman" w:hAnsi="Times New Roman" w:cs="Times New Roman"/>
                <w:i/>
                <w:iCs/>
                <w:color w:val="000000" w:themeColor="text1"/>
                <w:kern w:val="0"/>
                <w14:ligatures w14:val="none"/>
              </w:rPr>
              <w:t>xanthogaster</w:t>
            </w:r>
            <w:proofErr w:type="spellEnd"/>
          </w:p>
        </w:tc>
        <w:tc>
          <w:tcPr>
            <w:tcW w:w="1705" w:type="dxa"/>
            <w:noWrap/>
            <w:vAlign w:val="center"/>
            <w:hideMark/>
          </w:tcPr>
          <w:p w14:paraId="711D7E84"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6</w:t>
            </w:r>
          </w:p>
        </w:tc>
      </w:tr>
      <w:tr w:rsidR="007F0836" w:rsidRPr="009A49C9" w14:paraId="59C3EA84" w14:textId="77777777" w:rsidTr="000426A0">
        <w:trPr>
          <w:trHeight w:val="320"/>
        </w:trPr>
        <w:tc>
          <w:tcPr>
            <w:tcW w:w="3775" w:type="dxa"/>
            <w:noWrap/>
            <w:vAlign w:val="center"/>
            <w:hideMark/>
          </w:tcPr>
          <w:p w14:paraId="69E81C93"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Orange-Billed Sparrow</w:t>
            </w:r>
          </w:p>
        </w:tc>
        <w:tc>
          <w:tcPr>
            <w:tcW w:w="3870" w:type="dxa"/>
            <w:noWrap/>
            <w:vAlign w:val="center"/>
            <w:hideMark/>
          </w:tcPr>
          <w:p w14:paraId="089D2333"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Arremon</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aurantiirostris</w:t>
            </w:r>
            <w:proofErr w:type="spellEnd"/>
          </w:p>
        </w:tc>
        <w:tc>
          <w:tcPr>
            <w:tcW w:w="1705" w:type="dxa"/>
            <w:noWrap/>
            <w:vAlign w:val="center"/>
            <w:hideMark/>
          </w:tcPr>
          <w:p w14:paraId="0F5C0F4E"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w:t>
            </w:r>
          </w:p>
        </w:tc>
      </w:tr>
      <w:tr w:rsidR="007F0836" w:rsidRPr="009A49C9" w14:paraId="45E1A08E" w14:textId="77777777" w:rsidTr="000426A0">
        <w:trPr>
          <w:trHeight w:val="320"/>
        </w:trPr>
        <w:tc>
          <w:tcPr>
            <w:tcW w:w="3775" w:type="dxa"/>
            <w:noWrap/>
            <w:vAlign w:val="center"/>
            <w:hideMark/>
          </w:tcPr>
          <w:p w14:paraId="4C08B939"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Pacific Antwren</w:t>
            </w:r>
          </w:p>
        </w:tc>
        <w:tc>
          <w:tcPr>
            <w:tcW w:w="3870" w:type="dxa"/>
            <w:noWrap/>
            <w:vAlign w:val="center"/>
            <w:hideMark/>
          </w:tcPr>
          <w:p w14:paraId="05B68F6F"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Myrmotherula</w:t>
            </w:r>
            <w:proofErr w:type="spellEnd"/>
            <w:r w:rsidRPr="009A49C9">
              <w:rPr>
                <w:rFonts w:ascii="Times New Roman" w:eastAsia="Times New Roman" w:hAnsi="Times New Roman" w:cs="Times New Roman"/>
                <w:i/>
                <w:iCs/>
                <w:color w:val="000000" w:themeColor="text1"/>
                <w:kern w:val="0"/>
                <w14:ligatures w14:val="none"/>
              </w:rPr>
              <w:t xml:space="preserve"> pacifica</w:t>
            </w:r>
          </w:p>
        </w:tc>
        <w:tc>
          <w:tcPr>
            <w:tcW w:w="1705" w:type="dxa"/>
            <w:noWrap/>
            <w:vAlign w:val="center"/>
            <w:hideMark/>
          </w:tcPr>
          <w:p w14:paraId="47A952FD"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3</w:t>
            </w:r>
          </w:p>
        </w:tc>
      </w:tr>
      <w:tr w:rsidR="007F0836" w:rsidRPr="009A49C9" w14:paraId="05347212" w14:textId="77777777" w:rsidTr="000426A0">
        <w:trPr>
          <w:trHeight w:val="320"/>
        </w:trPr>
        <w:tc>
          <w:tcPr>
            <w:tcW w:w="3775" w:type="dxa"/>
            <w:noWrap/>
            <w:vAlign w:val="center"/>
            <w:hideMark/>
          </w:tcPr>
          <w:p w14:paraId="7BD94FF5"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Pallid Dove</w:t>
            </w:r>
          </w:p>
        </w:tc>
        <w:tc>
          <w:tcPr>
            <w:tcW w:w="3870" w:type="dxa"/>
            <w:noWrap/>
            <w:vAlign w:val="center"/>
            <w:hideMark/>
          </w:tcPr>
          <w:p w14:paraId="5ADD6B2E"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Leptotila</w:t>
            </w:r>
            <w:proofErr w:type="spellEnd"/>
            <w:r w:rsidRPr="009A49C9">
              <w:rPr>
                <w:rFonts w:ascii="Times New Roman" w:eastAsia="Times New Roman" w:hAnsi="Times New Roman" w:cs="Times New Roman"/>
                <w:i/>
                <w:iCs/>
                <w:color w:val="000000" w:themeColor="text1"/>
                <w:kern w:val="0"/>
                <w14:ligatures w14:val="none"/>
              </w:rPr>
              <w:t xml:space="preserve"> pallida</w:t>
            </w:r>
          </w:p>
        </w:tc>
        <w:tc>
          <w:tcPr>
            <w:tcW w:w="1705" w:type="dxa"/>
            <w:noWrap/>
            <w:vAlign w:val="center"/>
            <w:hideMark/>
          </w:tcPr>
          <w:p w14:paraId="7B65A33E"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w:t>
            </w:r>
          </w:p>
        </w:tc>
      </w:tr>
      <w:tr w:rsidR="007F0836" w:rsidRPr="009A49C9" w14:paraId="1B54396F" w14:textId="77777777" w:rsidTr="000426A0">
        <w:trPr>
          <w:trHeight w:val="320"/>
        </w:trPr>
        <w:tc>
          <w:tcPr>
            <w:tcW w:w="3775" w:type="dxa"/>
            <w:noWrap/>
            <w:vAlign w:val="center"/>
            <w:hideMark/>
          </w:tcPr>
          <w:p w14:paraId="4808C945"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Purple Quail Dove</w:t>
            </w:r>
          </w:p>
        </w:tc>
        <w:tc>
          <w:tcPr>
            <w:tcW w:w="3870" w:type="dxa"/>
            <w:noWrap/>
            <w:vAlign w:val="center"/>
            <w:hideMark/>
          </w:tcPr>
          <w:p w14:paraId="141E46C4"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Geotrygon</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purpurata</w:t>
            </w:r>
            <w:proofErr w:type="spellEnd"/>
          </w:p>
        </w:tc>
        <w:tc>
          <w:tcPr>
            <w:tcW w:w="1705" w:type="dxa"/>
            <w:noWrap/>
            <w:vAlign w:val="center"/>
            <w:hideMark/>
          </w:tcPr>
          <w:p w14:paraId="688D99DA"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5</w:t>
            </w:r>
          </w:p>
        </w:tc>
      </w:tr>
      <w:tr w:rsidR="007F0836" w:rsidRPr="009A49C9" w14:paraId="3D57AEBB" w14:textId="77777777" w:rsidTr="000426A0">
        <w:trPr>
          <w:trHeight w:val="320"/>
        </w:trPr>
        <w:tc>
          <w:tcPr>
            <w:tcW w:w="3775" w:type="dxa"/>
            <w:noWrap/>
            <w:vAlign w:val="center"/>
            <w:hideMark/>
          </w:tcPr>
          <w:p w14:paraId="092C06C2"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Red-tailed Squirrel</w:t>
            </w:r>
          </w:p>
        </w:tc>
        <w:tc>
          <w:tcPr>
            <w:tcW w:w="3870" w:type="dxa"/>
            <w:noWrap/>
            <w:vAlign w:val="center"/>
            <w:hideMark/>
          </w:tcPr>
          <w:p w14:paraId="790BF320"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Sciurus </w:t>
            </w:r>
            <w:proofErr w:type="spellStart"/>
            <w:r w:rsidRPr="009A49C9">
              <w:rPr>
                <w:rFonts w:ascii="Times New Roman" w:eastAsia="Times New Roman" w:hAnsi="Times New Roman" w:cs="Times New Roman"/>
                <w:i/>
                <w:iCs/>
                <w:color w:val="000000" w:themeColor="text1"/>
                <w:kern w:val="0"/>
                <w14:ligatures w14:val="none"/>
              </w:rPr>
              <w:t>granatensis</w:t>
            </w:r>
            <w:proofErr w:type="spellEnd"/>
          </w:p>
        </w:tc>
        <w:tc>
          <w:tcPr>
            <w:tcW w:w="1705" w:type="dxa"/>
            <w:noWrap/>
            <w:vAlign w:val="center"/>
            <w:hideMark/>
          </w:tcPr>
          <w:p w14:paraId="5A7B0ABC"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w:t>
            </w:r>
          </w:p>
        </w:tc>
      </w:tr>
      <w:tr w:rsidR="007F0836" w:rsidRPr="009A49C9" w14:paraId="1EB4B0BF" w14:textId="77777777" w:rsidTr="000426A0">
        <w:trPr>
          <w:trHeight w:val="320"/>
        </w:trPr>
        <w:tc>
          <w:tcPr>
            <w:tcW w:w="3775" w:type="dxa"/>
            <w:noWrap/>
            <w:vAlign w:val="center"/>
            <w:hideMark/>
          </w:tcPr>
          <w:p w14:paraId="67D70D01"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proofErr w:type="spellStart"/>
            <w:r w:rsidRPr="009A49C9">
              <w:rPr>
                <w:rFonts w:ascii="Times New Roman" w:eastAsia="Times New Roman" w:hAnsi="Times New Roman" w:cs="Times New Roman"/>
                <w:color w:val="000000" w:themeColor="text1"/>
                <w:kern w:val="0"/>
                <w14:ligatures w14:val="none"/>
              </w:rPr>
              <w:t>Roufous</w:t>
            </w:r>
            <w:proofErr w:type="spellEnd"/>
            <w:r w:rsidRPr="009A49C9">
              <w:rPr>
                <w:rFonts w:ascii="Times New Roman" w:eastAsia="Times New Roman" w:hAnsi="Times New Roman" w:cs="Times New Roman"/>
                <w:color w:val="000000" w:themeColor="text1"/>
                <w:kern w:val="0"/>
                <w14:ligatures w14:val="none"/>
              </w:rPr>
              <w:t xml:space="preserve"> Motmot</w:t>
            </w:r>
          </w:p>
        </w:tc>
        <w:tc>
          <w:tcPr>
            <w:tcW w:w="3870" w:type="dxa"/>
            <w:noWrap/>
            <w:vAlign w:val="center"/>
            <w:hideMark/>
          </w:tcPr>
          <w:p w14:paraId="401ACDBC"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Baryphthengus</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martii</w:t>
            </w:r>
            <w:proofErr w:type="spellEnd"/>
          </w:p>
        </w:tc>
        <w:tc>
          <w:tcPr>
            <w:tcW w:w="1705" w:type="dxa"/>
            <w:noWrap/>
            <w:vAlign w:val="center"/>
            <w:hideMark/>
          </w:tcPr>
          <w:p w14:paraId="5F536E20"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2</w:t>
            </w:r>
          </w:p>
        </w:tc>
      </w:tr>
      <w:tr w:rsidR="007F0836" w:rsidRPr="009A49C9" w14:paraId="092308A6" w14:textId="77777777" w:rsidTr="000426A0">
        <w:trPr>
          <w:trHeight w:val="320"/>
        </w:trPr>
        <w:tc>
          <w:tcPr>
            <w:tcW w:w="3775" w:type="dxa"/>
            <w:noWrap/>
            <w:vAlign w:val="center"/>
            <w:hideMark/>
          </w:tcPr>
          <w:p w14:paraId="14ED512D"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proofErr w:type="spellStart"/>
            <w:r w:rsidRPr="009A49C9">
              <w:rPr>
                <w:rFonts w:ascii="Times New Roman" w:eastAsia="Times New Roman" w:hAnsi="Times New Roman" w:cs="Times New Roman"/>
                <w:color w:val="000000" w:themeColor="text1"/>
                <w:kern w:val="0"/>
                <w14:ligatures w14:val="none"/>
              </w:rPr>
              <w:t>Roufous</w:t>
            </w:r>
            <w:proofErr w:type="spellEnd"/>
            <w:r w:rsidRPr="009A49C9">
              <w:rPr>
                <w:rFonts w:ascii="Times New Roman" w:eastAsia="Times New Roman" w:hAnsi="Times New Roman" w:cs="Times New Roman"/>
                <w:color w:val="000000" w:themeColor="text1"/>
                <w:kern w:val="0"/>
                <w14:ligatures w14:val="none"/>
              </w:rPr>
              <w:t>-fronted Wood Quail</w:t>
            </w:r>
          </w:p>
        </w:tc>
        <w:tc>
          <w:tcPr>
            <w:tcW w:w="3870" w:type="dxa"/>
            <w:noWrap/>
            <w:vAlign w:val="center"/>
            <w:hideMark/>
          </w:tcPr>
          <w:p w14:paraId="6F4FF141"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Odontophorus</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erythrops</w:t>
            </w:r>
            <w:proofErr w:type="spellEnd"/>
          </w:p>
        </w:tc>
        <w:tc>
          <w:tcPr>
            <w:tcW w:w="1705" w:type="dxa"/>
            <w:noWrap/>
            <w:vAlign w:val="center"/>
            <w:hideMark/>
          </w:tcPr>
          <w:p w14:paraId="68E73682"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w:t>
            </w:r>
          </w:p>
        </w:tc>
      </w:tr>
      <w:tr w:rsidR="007F0836" w:rsidRPr="009A49C9" w14:paraId="1D3AE0DA" w14:textId="77777777" w:rsidTr="000426A0">
        <w:trPr>
          <w:trHeight w:val="320"/>
        </w:trPr>
        <w:tc>
          <w:tcPr>
            <w:tcW w:w="3775" w:type="dxa"/>
            <w:noWrap/>
            <w:vAlign w:val="center"/>
            <w:hideMark/>
          </w:tcPr>
          <w:p w14:paraId="200F7F9B"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hyperlink r:id="rId119" w:history="1">
              <w:r w:rsidRPr="009A49C9">
                <w:rPr>
                  <w:rFonts w:ascii="Times New Roman" w:eastAsia="Times New Roman" w:hAnsi="Times New Roman" w:cs="Times New Roman"/>
                  <w:color w:val="000000" w:themeColor="text1"/>
                  <w:kern w:val="0"/>
                  <w14:ligatures w14:val="none"/>
                </w:rPr>
                <w:t>Rufous Mouse Opossum</w:t>
              </w:r>
            </w:hyperlink>
          </w:p>
        </w:tc>
        <w:tc>
          <w:tcPr>
            <w:tcW w:w="3870" w:type="dxa"/>
            <w:noWrap/>
            <w:vAlign w:val="center"/>
            <w:hideMark/>
          </w:tcPr>
          <w:p w14:paraId="0D9F12BC"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Marmosa lepida</w:t>
            </w:r>
          </w:p>
        </w:tc>
        <w:tc>
          <w:tcPr>
            <w:tcW w:w="1705" w:type="dxa"/>
            <w:noWrap/>
            <w:vAlign w:val="center"/>
            <w:hideMark/>
          </w:tcPr>
          <w:p w14:paraId="2A9E7D55"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8</w:t>
            </w:r>
          </w:p>
        </w:tc>
      </w:tr>
      <w:tr w:rsidR="007F0836" w:rsidRPr="009A49C9" w14:paraId="228A5FC3" w14:textId="77777777" w:rsidTr="000426A0">
        <w:trPr>
          <w:trHeight w:val="320"/>
        </w:trPr>
        <w:tc>
          <w:tcPr>
            <w:tcW w:w="3775" w:type="dxa"/>
            <w:noWrap/>
            <w:vAlign w:val="center"/>
            <w:hideMark/>
          </w:tcPr>
          <w:p w14:paraId="76D0BCCB"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Smooth-billed Ani</w:t>
            </w:r>
          </w:p>
        </w:tc>
        <w:tc>
          <w:tcPr>
            <w:tcW w:w="3870" w:type="dxa"/>
            <w:noWrap/>
            <w:vAlign w:val="center"/>
            <w:hideMark/>
          </w:tcPr>
          <w:p w14:paraId="40E7C164"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Crotophaga</w:t>
            </w:r>
            <w:proofErr w:type="spellEnd"/>
            <w:r w:rsidRPr="009A49C9">
              <w:rPr>
                <w:rFonts w:ascii="Times New Roman" w:eastAsia="Times New Roman" w:hAnsi="Times New Roman" w:cs="Times New Roman"/>
                <w:i/>
                <w:iCs/>
                <w:color w:val="000000" w:themeColor="text1"/>
                <w:kern w:val="0"/>
                <w14:ligatures w14:val="none"/>
              </w:rPr>
              <w:t xml:space="preserve"> ani</w:t>
            </w:r>
          </w:p>
        </w:tc>
        <w:tc>
          <w:tcPr>
            <w:tcW w:w="1705" w:type="dxa"/>
            <w:noWrap/>
            <w:vAlign w:val="center"/>
            <w:hideMark/>
          </w:tcPr>
          <w:p w14:paraId="15F2E6BB"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4</w:t>
            </w:r>
          </w:p>
        </w:tc>
      </w:tr>
      <w:tr w:rsidR="007F0836" w:rsidRPr="009A49C9" w14:paraId="59C54558" w14:textId="77777777" w:rsidTr="000426A0">
        <w:trPr>
          <w:trHeight w:val="320"/>
        </w:trPr>
        <w:tc>
          <w:tcPr>
            <w:tcW w:w="3775" w:type="dxa"/>
            <w:noWrap/>
            <w:vAlign w:val="center"/>
            <w:hideMark/>
          </w:tcPr>
          <w:p w14:paraId="31888EC9"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South American Coatimundi</w:t>
            </w:r>
          </w:p>
        </w:tc>
        <w:tc>
          <w:tcPr>
            <w:tcW w:w="3870" w:type="dxa"/>
            <w:noWrap/>
            <w:vAlign w:val="center"/>
            <w:hideMark/>
          </w:tcPr>
          <w:p w14:paraId="5EDA91C7"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Nasua </w:t>
            </w:r>
            <w:proofErr w:type="spellStart"/>
            <w:r w:rsidRPr="009A49C9">
              <w:rPr>
                <w:rFonts w:ascii="Times New Roman" w:eastAsia="Times New Roman" w:hAnsi="Times New Roman" w:cs="Times New Roman"/>
                <w:i/>
                <w:iCs/>
                <w:color w:val="000000" w:themeColor="text1"/>
                <w:kern w:val="0"/>
                <w14:ligatures w14:val="none"/>
              </w:rPr>
              <w:t>nasua</w:t>
            </w:r>
            <w:proofErr w:type="spellEnd"/>
          </w:p>
        </w:tc>
        <w:tc>
          <w:tcPr>
            <w:tcW w:w="1705" w:type="dxa"/>
            <w:noWrap/>
            <w:vAlign w:val="center"/>
            <w:hideMark/>
          </w:tcPr>
          <w:p w14:paraId="02177A8E"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3</w:t>
            </w:r>
          </w:p>
        </w:tc>
      </w:tr>
      <w:tr w:rsidR="007F0836" w:rsidRPr="009A49C9" w14:paraId="0A240BFA" w14:textId="77777777" w:rsidTr="000426A0">
        <w:trPr>
          <w:trHeight w:val="320"/>
        </w:trPr>
        <w:tc>
          <w:tcPr>
            <w:tcW w:w="3775" w:type="dxa"/>
            <w:noWrap/>
            <w:vAlign w:val="center"/>
            <w:hideMark/>
          </w:tcPr>
          <w:p w14:paraId="00021DD0"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South American Raccoon</w:t>
            </w:r>
          </w:p>
        </w:tc>
        <w:tc>
          <w:tcPr>
            <w:tcW w:w="3870" w:type="dxa"/>
            <w:noWrap/>
            <w:vAlign w:val="center"/>
            <w:hideMark/>
          </w:tcPr>
          <w:p w14:paraId="6C3E5AB3"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Procyon </w:t>
            </w:r>
            <w:proofErr w:type="spellStart"/>
            <w:r w:rsidRPr="009A49C9">
              <w:rPr>
                <w:rFonts w:ascii="Times New Roman" w:eastAsia="Times New Roman" w:hAnsi="Times New Roman" w:cs="Times New Roman"/>
                <w:i/>
                <w:iCs/>
                <w:color w:val="000000" w:themeColor="text1"/>
                <w:kern w:val="0"/>
                <w14:ligatures w14:val="none"/>
              </w:rPr>
              <w:t>cancrivorus</w:t>
            </w:r>
            <w:proofErr w:type="spellEnd"/>
          </w:p>
        </w:tc>
        <w:tc>
          <w:tcPr>
            <w:tcW w:w="1705" w:type="dxa"/>
            <w:noWrap/>
            <w:vAlign w:val="center"/>
            <w:hideMark/>
          </w:tcPr>
          <w:p w14:paraId="2F2A7054"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w:t>
            </w:r>
          </w:p>
        </w:tc>
      </w:tr>
      <w:tr w:rsidR="007F0836" w:rsidRPr="009A49C9" w14:paraId="26D281A0" w14:textId="77777777" w:rsidTr="000426A0">
        <w:trPr>
          <w:trHeight w:val="320"/>
        </w:trPr>
        <w:tc>
          <w:tcPr>
            <w:tcW w:w="3775" w:type="dxa"/>
            <w:noWrap/>
            <w:vAlign w:val="center"/>
            <w:hideMark/>
          </w:tcPr>
          <w:p w14:paraId="23EC37E9"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Tayra</w:t>
            </w:r>
          </w:p>
        </w:tc>
        <w:tc>
          <w:tcPr>
            <w:tcW w:w="3870" w:type="dxa"/>
            <w:noWrap/>
            <w:vAlign w:val="center"/>
            <w:hideMark/>
          </w:tcPr>
          <w:p w14:paraId="3829A110"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Eira </w:t>
            </w:r>
            <w:proofErr w:type="spellStart"/>
            <w:r w:rsidRPr="009A49C9">
              <w:rPr>
                <w:rFonts w:ascii="Times New Roman" w:eastAsia="Times New Roman" w:hAnsi="Times New Roman" w:cs="Times New Roman"/>
                <w:i/>
                <w:iCs/>
                <w:color w:val="000000" w:themeColor="text1"/>
                <w:kern w:val="0"/>
                <w14:ligatures w14:val="none"/>
              </w:rPr>
              <w:t>barbara</w:t>
            </w:r>
            <w:proofErr w:type="spellEnd"/>
          </w:p>
        </w:tc>
        <w:tc>
          <w:tcPr>
            <w:tcW w:w="1705" w:type="dxa"/>
            <w:noWrap/>
            <w:vAlign w:val="center"/>
            <w:hideMark/>
          </w:tcPr>
          <w:p w14:paraId="3014BE3A"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2</w:t>
            </w:r>
          </w:p>
        </w:tc>
      </w:tr>
      <w:tr w:rsidR="007F0836" w:rsidRPr="009A49C9" w14:paraId="2C019C84" w14:textId="77777777" w:rsidTr="000426A0">
        <w:trPr>
          <w:trHeight w:val="320"/>
        </w:trPr>
        <w:tc>
          <w:tcPr>
            <w:tcW w:w="3775" w:type="dxa"/>
            <w:noWrap/>
            <w:vAlign w:val="center"/>
            <w:hideMark/>
          </w:tcPr>
          <w:p w14:paraId="74C3A6B2"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Thick-billed Euphonia</w:t>
            </w:r>
          </w:p>
        </w:tc>
        <w:tc>
          <w:tcPr>
            <w:tcW w:w="3870" w:type="dxa"/>
            <w:noWrap/>
            <w:vAlign w:val="center"/>
            <w:hideMark/>
          </w:tcPr>
          <w:p w14:paraId="10DEF720"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r w:rsidRPr="009A49C9">
              <w:rPr>
                <w:rFonts w:ascii="Times New Roman" w:eastAsia="Times New Roman" w:hAnsi="Times New Roman" w:cs="Times New Roman"/>
                <w:i/>
                <w:iCs/>
                <w:color w:val="000000" w:themeColor="text1"/>
                <w:kern w:val="0"/>
                <w14:ligatures w14:val="none"/>
              </w:rPr>
              <w:t xml:space="preserve">Euphonia </w:t>
            </w:r>
            <w:proofErr w:type="spellStart"/>
            <w:r w:rsidRPr="009A49C9">
              <w:rPr>
                <w:rFonts w:ascii="Times New Roman" w:eastAsia="Times New Roman" w:hAnsi="Times New Roman" w:cs="Times New Roman"/>
                <w:i/>
                <w:iCs/>
                <w:color w:val="000000" w:themeColor="text1"/>
                <w:kern w:val="0"/>
                <w14:ligatures w14:val="none"/>
              </w:rPr>
              <w:t>laniirostris</w:t>
            </w:r>
            <w:proofErr w:type="spellEnd"/>
          </w:p>
        </w:tc>
        <w:tc>
          <w:tcPr>
            <w:tcW w:w="1705" w:type="dxa"/>
            <w:noWrap/>
            <w:vAlign w:val="center"/>
            <w:hideMark/>
          </w:tcPr>
          <w:p w14:paraId="54BB2EDC"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12</w:t>
            </w:r>
          </w:p>
        </w:tc>
      </w:tr>
      <w:tr w:rsidR="007F0836" w:rsidRPr="009A49C9" w14:paraId="791CA32E" w14:textId="77777777" w:rsidTr="000426A0">
        <w:trPr>
          <w:trHeight w:val="320"/>
        </w:trPr>
        <w:tc>
          <w:tcPr>
            <w:tcW w:w="3775" w:type="dxa"/>
            <w:noWrap/>
            <w:vAlign w:val="center"/>
            <w:hideMark/>
          </w:tcPr>
          <w:p w14:paraId="54DE51B0"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Unknown Bat Species</w:t>
            </w:r>
          </w:p>
        </w:tc>
        <w:tc>
          <w:tcPr>
            <w:tcW w:w="3870" w:type="dxa"/>
            <w:noWrap/>
            <w:vAlign w:val="center"/>
            <w:hideMark/>
          </w:tcPr>
          <w:p w14:paraId="6FF0AFB1"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Chiroptera</w:t>
            </w:r>
            <w:proofErr w:type="spellEnd"/>
          </w:p>
        </w:tc>
        <w:tc>
          <w:tcPr>
            <w:tcW w:w="1705" w:type="dxa"/>
            <w:noWrap/>
            <w:vAlign w:val="center"/>
            <w:hideMark/>
          </w:tcPr>
          <w:p w14:paraId="7F910292"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7</w:t>
            </w:r>
          </w:p>
        </w:tc>
      </w:tr>
      <w:tr w:rsidR="007F0836" w:rsidRPr="009A49C9" w14:paraId="0A10E587" w14:textId="77777777" w:rsidTr="000426A0">
        <w:trPr>
          <w:trHeight w:val="320"/>
        </w:trPr>
        <w:tc>
          <w:tcPr>
            <w:tcW w:w="3775" w:type="dxa"/>
            <w:noWrap/>
            <w:vAlign w:val="center"/>
            <w:hideMark/>
          </w:tcPr>
          <w:p w14:paraId="5AAD1D8F"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Variable Seedeater</w:t>
            </w:r>
          </w:p>
        </w:tc>
        <w:tc>
          <w:tcPr>
            <w:tcW w:w="3870" w:type="dxa"/>
            <w:noWrap/>
            <w:vAlign w:val="center"/>
            <w:hideMark/>
          </w:tcPr>
          <w:p w14:paraId="3E53EEE9"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Sporophila</w:t>
            </w:r>
            <w:proofErr w:type="spellEnd"/>
            <w:r w:rsidRPr="009A49C9">
              <w:rPr>
                <w:rFonts w:ascii="Times New Roman" w:eastAsia="Times New Roman" w:hAnsi="Times New Roman" w:cs="Times New Roman"/>
                <w:i/>
                <w:iCs/>
                <w:color w:val="000000" w:themeColor="text1"/>
                <w:kern w:val="0"/>
                <w14:ligatures w14:val="none"/>
              </w:rPr>
              <w:t xml:space="preserve"> corvina</w:t>
            </w:r>
          </w:p>
        </w:tc>
        <w:tc>
          <w:tcPr>
            <w:tcW w:w="1705" w:type="dxa"/>
            <w:noWrap/>
            <w:vAlign w:val="center"/>
            <w:hideMark/>
          </w:tcPr>
          <w:p w14:paraId="35013311"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4</w:t>
            </w:r>
          </w:p>
        </w:tc>
      </w:tr>
      <w:tr w:rsidR="007F0836" w:rsidRPr="009A49C9" w14:paraId="132E4A11" w14:textId="77777777" w:rsidTr="000426A0">
        <w:trPr>
          <w:trHeight w:val="320"/>
        </w:trPr>
        <w:tc>
          <w:tcPr>
            <w:tcW w:w="3775" w:type="dxa"/>
            <w:noWrap/>
            <w:vAlign w:val="center"/>
            <w:hideMark/>
          </w:tcPr>
          <w:p w14:paraId="4542110F"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White-Bearded Manakin</w:t>
            </w:r>
          </w:p>
        </w:tc>
        <w:tc>
          <w:tcPr>
            <w:tcW w:w="3870" w:type="dxa"/>
            <w:noWrap/>
            <w:vAlign w:val="center"/>
            <w:hideMark/>
          </w:tcPr>
          <w:p w14:paraId="12953BF4"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Manacus</w:t>
            </w:r>
            <w:proofErr w:type="spellEnd"/>
            <w:r w:rsidRPr="009A49C9">
              <w:rPr>
                <w:rFonts w:ascii="Times New Roman" w:eastAsia="Times New Roman" w:hAnsi="Times New Roman" w:cs="Times New Roman"/>
                <w:i/>
                <w:iCs/>
                <w:color w:val="000000" w:themeColor="text1"/>
                <w:kern w:val="0"/>
                <w14:ligatures w14:val="none"/>
              </w:rPr>
              <w:t xml:space="preserve"> </w:t>
            </w:r>
            <w:proofErr w:type="spellStart"/>
            <w:r w:rsidRPr="009A49C9">
              <w:rPr>
                <w:rFonts w:ascii="Times New Roman" w:eastAsia="Times New Roman" w:hAnsi="Times New Roman" w:cs="Times New Roman"/>
                <w:i/>
                <w:iCs/>
                <w:color w:val="000000" w:themeColor="text1"/>
                <w:kern w:val="0"/>
                <w14:ligatures w14:val="none"/>
              </w:rPr>
              <w:t>manacus</w:t>
            </w:r>
            <w:proofErr w:type="spellEnd"/>
          </w:p>
        </w:tc>
        <w:tc>
          <w:tcPr>
            <w:tcW w:w="1705" w:type="dxa"/>
            <w:noWrap/>
            <w:vAlign w:val="center"/>
            <w:hideMark/>
          </w:tcPr>
          <w:p w14:paraId="0229A868"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5</w:t>
            </w:r>
          </w:p>
        </w:tc>
      </w:tr>
      <w:tr w:rsidR="007F0836" w:rsidRPr="009A49C9" w14:paraId="27366C98" w14:textId="77777777" w:rsidTr="000426A0">
        <w:trPr>
          <w:trHeight w:val="320"/>
        </w:trPr>
        <w:tc>
          <w:tcPr>
            <w:tcW w:w="3775" w:type="dxa"/>
            <w:noWrap/>
            <w:vAlign w:val="center"/>
            <w:hideMark/>
          </w:tcPr>
          <w:p w14:paraId="71DC2F10" w14:textId="77777777" w:rsidR="007F0836" w:rsidRPr="009A49C9" w:rsidRDefault="007F0836" w:rsidP="000426A0">
            <w:pPr>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Yellow-bellied Seedeater</w:t>
            </w:r>
          </w:p>
        </w:tc>
        <w:tc>
          <w:tcPr>
            <w:tcW w:w="3870" w:type="dxa"/>
            <w:noWrap/>
            <w:vAlign w:val="center"/>
            <w:hideMark/>
          </w:tcPr>
          <w:p w14:paraId="27067532" w14:textId="77777777" w:rsidR="007F0836" w:rsidRPr="009A49C9" w:rsidRDefault="007F0836" w:rsidP="000426A0">
            <w:pPr>
              <w:spacing w:before="0"/>
              <w:jc w:val="center"/>
              <w:rPr>
                <w:rFonts w:ascii="Times New Roman" w:eastAsia="Times New Roman" w:hAnsi="Times New Roman" w:cs="Times New Roman"/>
                <w:i/>
                <w:iCs/>
                <w:color w:val="000000" w:themeColor="text1"/>
                <w:kern w:val="0"/>
                <w14:ligatures w14:val="none"/>
              </w:rPr>
            </w:pPr>
            <w:proofErr w:type="spellStart"/>
            <w:r w:rsidRPr="009A49C9">
              <w:rPr>
                <w:rFonts w:ascii="Times New Roman" w:eastAsia="Times New Roman" w:hAnsi="Times New Roman" w:cs="Times New Roman"/>
                <w:i/>
                <w:iCs/>
                <w:color w:val="000000" w:themeColor="text1"/>
                <w:kern w:val="0"/>
                <w14:ligatures w14:val="none"/>
              </w:rPr>
              <w:t>Sporophila</w:t>
            </w:r>
            <w:proofErr w:type="spellEnd"/>
            <w:r w:rsidRPr="009A49C9">
              <w:rPr>
                <w:rFonts w:ascii="Times New Roman" w:eastAsia="Times New Roman" w:hAnsi="Times New Roman" w:cs="Times New Roman"/>
                <w:i/>
                <w:iCs/>
                <w:color w:val="000000" w:themeColor="text1"/>
                <w:kern w:val="0"/>
                <w14:ligatures w14:val="none"/>
              </w:rPr>
              <w:t xml:space="preserve"> nigricollis</w:t>
            </w:r>
          </w:p>
        </w:tc>
        <w:tc>
          <w:tcPr>
            <w:tcW w:w="1705" w:type="dxa"/>
            <w:noWrap/>
            <w:vAlign w:val="center"/>
            <w:hideMark/>
          </w:tcPr>
          <w:p w14:paraId="3DCAC6B9" w14:textId="77777777" w:rsidR="007F0836" w:rsidRPr="009A49C9" w:rsidRDefault="007F0836" w:rsidP="000426A0">
            <w:pPr>
              <w:keepNext/>
              <w:spacing w:before="0"/>
              <w:jc w:val="center"/>
              <w:rPr>
                <w:rFonts w:ascii="Times New Roman" w:eastAsia="Times New Roman" w:hAnsi="Times New Roman" w:cs="Times New Roman"/>
                <w:color w:val="000000" w:themeColor="text1"/>
                <w:kern w:val="0"/>
                <w14:ligatures w14:val="none"/>
              </w:rPr>
            </w:pPr>
            <w:r w:rsidRPr="009A49C9">
              <w:rPr>
                <w:rFonts w:ascii="Times New Roman" w:eastAsia="Times New Roman" w:hAnsi="Times New Roman" w:cs="Times New Roman"/>
                <w:color w:val="000000" w:themeColor="text1"/>
                <w:kern w:val="0"/>
                <w14:ligatures w14:val="none"/>
              </w:rPr>
              <w:t>3</w:t>
            </w:r>
          </w:p>
        </w:tc>
      </w:tr>
    </w:tbl>
    <w:p w14:paraId="70C85D0E" w14:textId="3BDC2EDD" w:rsidR="000C6307" w:rsidRPr="00B066C6" w:rsidRDefault="000C6307" w:rsidP="00BD07DC">
      <w:pPr>
        <w:rPr>
          <w:rFonts w:ascii="Times New Roman" w:hAnsi="Times New Roman" w:cs="Times New Roman"/>
        </w:rPr>
      </w:pPr>
      <w:r w:rsidRPr="00B066C6">
        <w:rPr>
          <w:rFonts w:ascii="Times New Roman" w:hAnsi="Times New Roman" w:cs="Times New Roman"/>
        </w:rPr>
        <w:br w:type="page"/>
      </w:r>
    </w:p>
    <w:p w14:paraId="0273AD51" w14:textId="19D66F20" w:rsidR="00EC6531" w:rsidRDefault="003E537B" w:rsidP="00EB4834">
      <w:pPr>
        <w:pStyle w:val="Heading1"/>
        <w:spacing w:before="0" w:after="0"/>
        <w:rPr>
          <w:rFonts w:ascii="Times New Roman" w:hAnsi="Times New Roman" w:cs="Times New Roman"/>
          <w:b/>
          <w:bCs/>
          <w:color w:val="auto"/>
          <w:sz w:val="24"/>
          <w:szCs w:val="24"/>
        </w:rPr>
      </w:pPr>
      <w:bookmarkStart w:id="128" w:name="_Toc195189643"/>
      <w:r w:rsidRPr="00B066C6">
        <w:rPr>
          <w:rFonts w:ascii="Times New Roman" w:hAnsi="Times New Roman" w:cs="Times New Roman"/>
          <w:b/>
          <w:bCs/>
          <w:color w:val="auto"/>
          <w:sz w:val="24"/>
          <w:szCs w:val="24"/>
        </w:rPr>
        <w:lastRenderedPageBreak/>
        <w:t>Conclusion</w:t>
      </w:r>
      <w:bookmarkEnd w:id="128"/>
    </w:p>
    <w:p w14:paraId="3E5C025C" w14:textId="535A2E9D" w:rsidR="00EC6531" w:rsidRPr="00EC6531" w:rsidRDefault="00EC6531" w:rsidP="00EB4834">
      <w:pPr>
        <w:pStyle w:val="Heading2"/>
        <w:spacing w:before="0" w:after="0"/>
        <w:rPr>
          <w:rFonts w:ascii="Times New Roman" w:hAnsi="Times New Roman" w:cs="Times New Roman"/>
          <w:b/>
          <w:bCs/>
          <w:i/>
          <w:iCs/>
          <w:color w:val="000000" w:themeColor="text1"/>
          <w:sz w:val="24"/>
          <w:szCs w:val="24"/>
        </w:rPr>
      </w:pPr>
      <w:bookmarkStart w:id="129" w:name="_Toc195189644"/>
      <w:r w:rsidRPr="00EC6531">
        <w:rPr>
          <w:rFonts w:ascii="Times New Roman" w:hAnsi="Times New Roman" w:cs="Times New Roman"/>
          <w:b/>
          <w:bCs/>
          <w:i/>
          <w:iCs/>
          <w:color w:val="000000" w:themeColor="text1"/>
          <w:sz w:val="24"/>
          <w:szCs w:val="24"/>
        </w:rPr>
        <w:t>Major Findings</w:t>
      </w:r>
      <w:bookmarkEnd w:id="129"/>
    </w:p>
    <w:p w14:paraId="6D5879D8" w14:textId="77777777" w:rsidR="007A678D" w:rsidRPr="00B736F9" w:rsidRDefault="007A678D" w:rsidP="00EB4834">
      <w:pPr>
        <w:pStyle w:val="NormalWeb"/>
        <w:spacing w:before="0" w:beforeAutospacing="0" w:after="0" w:afterAutospacing="0" w:line="360" w:lineRule="auto"/>
        <w:ind w:firstLine="720"/>
      </w:pPr>
      <w:r>
        <w:t>Tropical forests are among the most biodiverse ecosystems on Earth, yet they are growing increasingly threatened by deforestation and habitat degradation. As efforts to restore these ecosystems remain a global conservation priority, understanding how biodiversity and ecological interactions recover is essential for informing effective conservation and management strategies. To address these challenges, this work examined functional diversity measures and seed dispersal networks across varying stages of tropical forest regeneration, along with their potential applications to advance restoration practices. This research is structured into three chapters, (</w:t>
      </w:r>
      <w:proofErr w:type="spellStart"/>
      <w:r>
        <w:t>i</w:t>
      </w:r>
      <w:proofErr w:type="spellEnd"/>
      <w:r>
        <w:t>) synthesizing current knowledge on seed dispersal networks in tropical forests, (ii) evaluating the effectiveness of functional diversity measures in tracking faunal community recovery, and (iii) analyzing the reassembly of seed dispersal interactions across successional gradients. Together, these studies contribute to a broader understanding of how species interactions and functional traits can inform restoration strategies, ultimately advancing efforts to rebuild resilient and self-sustaining tropical forests.</w:t>
      </w:r>
    </w:p>
    <w:p w14:paraId="76473CF7" w14:textId="77777777" w:rsidR="007A678D" w:rsidRPr="000C5162" w:rsidRDefault="007A678D" w:rsidP="00EB4834">
      <w:pPr>
        <w:spacing w:before="0" w:after="0"/>
        <w:ind w:firstLine="720"/>
        <w:rPr>
          <w:rFonts w:ascii="Times New Roman" w:hAnsi="Times New Roman" w:cs="Times New Roman"/>
          <w:color w:val="000000" w:themeColor="text1"/>
        </w:rPr>
      </w:pPr>
      <w:r w:rsidRPr="00146CB6">
        <w:rPr>
          <w:rFonts w:ascii="Times New Roman" w:hAnsi="Times New Roman" w:cs="Times New Roman"/>
          <w:color w:val="000000" w:themeColor="text1"/>
        </w:rPr>
        <w:t xml:space="preserve">Restoring ecological interactions is a key priority for effective forest </w:t>
      </w:r>
      <w:r>
        <w:rPr>
          <w:rFonts w:ascii="Times New Roman" w:hAnsi="Times New Roman" w:cs="Times New Roman"/>
          <w:color w:val="000000" w:themeColor="text1"/>
        </w:rPr>
        <w:t>restoration</w:t>
      </w:r>
      <w:r w:rsidRPr="00146CB6">
        <w:rPr>
          <w:rFonts w:ascii="Times New Roman" w:hAnsi="Times New Roman" w:cs="Times New Roman"/>
          <w:color w:val="000000" w:themeColor="text1"/>
        </w:rPr>
        <w:t xml:space="preserve">. Frugivore-plant interactions play a central role in shaping community structure and ecosystem functions, making their restoration a crucial component of tropical forest recovery. </w:t>
      </w:r>
      <w:r>
        <w:rPr>
          <w:rFonts w:ascii="Times New Roman" w:hAnsi="Times New Roman" w:cs="Times New Roman"/>
          <w:color w:val="000000" w:themeColor="text1"/>
        </w:rPr>
        <w:t>Therefore, the</w:t>
      </w:r>
      <w:r w:rsidRPr="00146CB6">
        <w:rPr>
          <w:rFonts w:ascii="Times New Roman" w:hAnsi="Times New Roman" w:cs="Times New Roman"/>
          <w:color w:val="000000" w:themeColor="text1"/>
        </w:rPr>
        <w:t xml:space="preserve"> goal</w:t>
      </w:r>
      <w:r>
        <w:rPr>
          <w:rFonts w:ascii="Times New Roman" w:hAnsi="Times New Roman" w:cs="Times New Roman"/>
          <w:color w:val="000000" w:themeColor="text1"/>
        </w:rPr>
        <w:t xml:space="preserve"> of chapter one</w:t>
      </w:r>
      <w:r w:rsidRPr="00146CB6">
        <w:rPr>
          <w:rFonts w:ascii="Times New Roman" w:hAnsi="Times New Roman" w:cs="Times New Roman"/>
          <w:color w:val="000000" w:themeColor="text1"/>
        </w:rPr>
        <w:t xml:space="preserve"> </w:t>
      </w:r>
      <w:r>
        <w:rPr>
          <w:rFonts w:ascii="Times New Roman" w:hAnsi="Times New Roman" w:cs="Times New Roman"/>
          <w:color w:val="000000" w:themeColor="text1"/>
        </w:rPr>
        <w:t>was to</w:t>
      </w:r>
      <w:r w:rsidRPr="00146CB6">
        <w:rPr>
          <w:rFonts w:ascii="Times New Roman" w:hAnsi="Times New Roman" w:cs="Times New Roman"/>
          <w:color w:val="000000" w:themeColor="text1"/>
        </w:rPr>
        <w:t xml:space="preserve"> </w:t>
      </w:r>
      <w:r>
        <w:rPr>
          <w:rFonts w:ascii="Times New Roman" w:hAnsi="Times New Roman" w:cs="Times New Roman"/>
          <w:color w:val="000000" w:themeColor="text1"/>
        </w:rPr>
        <w:t>better understand how seed dispersal interactions could be utilized to advance tropical forest conservation and restoration. Specifically, we examined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 xml:space="preserve">) major patterns and findings in studies utilizing ecological networks to examine seed dispersal in the tropics with implications for conservation and/or restoration, (ii) biases in applying ecological networks to interactions and restoration initiatives, and (iii) current knowledge gaps and future directions for the field. To answer these major components, we conducted a systematic literature review </w:t>
      </w:r>
      <w:r w:rsidRPr="00146CB6">
        <w:rPr>
          <w:rFonts w:ascii="Times New Roman" w:hAnsi="Times New Roman" w:cs="Times New Roman"/>
          <w:color w:val="000000" w:themeColor="text1"/>
        </w:rPr>
        <w:t xml:space="preserve">with a specific focus on how studies could relate to conservation and restoration. </w:t>
      </w:r>
    </w:p>
    <w:p w14:paraId="25FAC658" w14:textId="67A9B209" w:rsidR="007A678D" w:rsidRDefault="007A678D" w:rsidP="00EB4834">
      <w:pPr>
        <w:pStyle w:val="NormalWeb"/>
        <w:spacing w:before="0" w:beforeAutospacing="0" w:after="0" w:afterAutospacing="0" w:line="360" w:lineRule="auto"/>
        <w:ind w:firstLine="720"/>
      </w:pPr>
      <w:r w:rsidRPr="00B066C6">
        <w:t xml:space="preserve">Our findings </w:t>
      </w:r>
      <w:r>
        <w:t xml:space="preserve">from chapter one </w:t>
      </w:r>
      <w:r w:rsidR="00EC6531" w:rsidRPr="00B066C6">
        <w:t>emphasizes</w:t>
      </w:r>
      <w:r>
        <w:t xml:space="preserve"> that, f</w:t>
      </w:r>
      <w:r w:rsidRPr="00B066C6">
        <w:t xml:space="preserve">rom a restoration perspective, prioritizing highly connected, species-rich seed dispersal networks may be beneficial in early successional stages, </w:t>
      </w:r>
      <w:r>
        <w:t>while more stable interaction patterns such as</w:t>
      </w:r>
      <w:r w:rsidRPr="00B066C6">
        <w:t xml:space="preserve"> nested</w:t>
      </w:r>
      <w:r>
        <w:t xml:space="preserve">ness, specialization, and </w:t>
      </w:r>
      <w:r w:rsidRPr="00B066C6">
        <w:t>modular</w:t>
      </w:r>
      <w:r>
        <w:t>ity may be important priorities for secondary forest systems.</w:t>
      </w:r>
      <w:r w:rsidRPr="00B066C6">
        <w:t xml:space="preserve"> </w:t>
      </w:r>
      <w:r>
        <w:t xml:space="preserve">We also found that utilizing a singular sampling approach for measuring seed dispersal interactions (i.e. phytocentric or zoocentric) could lead to potential biases in resultant network measures. For example, zoocentric </w:t>
      </w:r>
      <w:r>
        <w:lastRenderedPageBreak/>
        <w:t xml:space="preserve">(animal-based) sampling approaches yielded the lowest levels of network richness and the highest levels of specialization, whereas a combination of both types of methodologies resulted in the largest networks with a higher presence of generalist interactions. </w:t>
      </w:r>
      <w:r w:rsidRPr="00B066C6">
        <w:t xml:space="preserve">This integrated approach allows for a more comprehensive understanding of how dispersal interactions reassemble throughout succession. </w:t>
      </w:r>
      <w:r>
        <w:t>We suggest that future work should focus on elucidating the effects of</w:t>
      </w:r>
      <w:r w:rsidRPr="00B066C6">
        <w:t xml:space="preserve"> different restoration techniques </w:t>
      </w:r>
      <w:r>
        <w:t>on</w:t>
      </w:r>
      <w:r w:rsidRPr="00B066C6">
        <w:t xml:space="preserve"> seed dispersal network reassembly </w:t>
      </w:r>
      <w:r>
        <w:t>to</w:t>
      </w:r>
      <w:r w:rsidRPr="00B066C6">
        <w:t xml:space="preserve"> </w:t>
      </w:r>
      <w:r>
        <w:t>develop</w:t>
      </w:r>
      <w:r w:rsidRPr="00B066C6">
        <w:t xml:space="preserve"> effective and context-specific restoration strategies. </w:t>
      </w:r>
    </w:p>
    <w:p w14:paraId="2097E620" w14:textId="77777777" w:rsidR="007A678D" w:rsidRDefault="007A678D" w:rsidP="00EB4834">
      <w:pPr>
        <w:pStyle w:val="NormalWeb"/>
        <w:spacing w:before="0" w:beforeAutospacing="0" w:after="0" w:afterAutospacing="0" w:line="360" w:lineRule="auto"/>
        <w:ind w:firstLine="720"/>
      </w:pPr>
      <w:r w:rsidRPr="00B066C6">
        <w:t xml:space="preserve">As </w:t>
      </w:r>
      <w:r>
        <w:t xml:space="preserve">restoring </w:t>
      </w:r>
      <w:r w:rsidRPr="00B066C6">
        <w:t>biodiversity remains a central goal of ecological restoration, accurately assessing community recovery remains a significant challenge.</w:t>
      </w:r>
      <w:r w:rsidRPr="007B573E">
        <w:t xml:space="preserve"> </w:t>
      </w:r>
      <w:r w:rsidRPr="00B066C6">
        <w:t xml:space="preserve">Functional diversity indices offer promising insights into how </w:t>
      </w:r>
      <w:r>
        <w:t xml:space="preserve">functional roles within </w:t>
      </w:r>
      <w:r w:rsidRPr="00B066C6">
        <w:t xml:space="preserve">communities </w:t>
      </w:r>
      <w:r>
        <w:t>recover with</w:t>
      </w:r>
      <w:r w:rsidRPr="00B066C6">
        <w:t xml:space="preserve"> </w:t>
      </w:r>
      <w:r>
        <w:t>forest</w:t>
      </w:r>
      <w:r w:rsidRPr="00B066C6">
        <w:t xml:space="preserve"> regeneration, yet </w:t>
      </w:r>
      <w:r>
        <w:t>the</w:t>
      </w:r>
      <w:r w:rsidRPr="00B066C6">
        <w:t xml:space="preserve"> effectiveness </w:t>
      </w:r>
      <w:r>
        <w:t>of individual measures for reliably predicting changes in communities</w:t>
      </w:r>
      <w:r w:rsidRPr="00B066C6">
        <w:t xml:space="preserve"> is not fully understood. </w:t>
      </w:r>
      <w:r>
        <w:t>Therefore, our goal for chapter two was to assess functional diversity measures of understory bird communities to determine their applicability to community assessments in regenerating forests. Specifically, we compared the relationship between taxonomic and functional diversity measures of understory bird communities in relation to forest regeneration stage and vegetation structure</w:t>
      </w:r>
      <w:r w:rsidRPr="0081324E">
        <w:t xml:space="preserve"> </w:t>
      </w:r>
      <w:r>
        <w:t xml:space="preserve">across regenerating forests in the Chocó Rainforest of Northwest Ecuador. In addition to vegetation structure and regeneration stage, we also examined how morphological traits contributed to the changes in functional diversity indices. </w:t>
      </w:r>
    </w:p>
    <w:p w14:paraId="5B493710" w14:textId="234573BC" w:rsidR="009C38BC" w:rsidRPr="00B066C6" w:rsidRDefault="007A526F" w:rsidP="00EB4834">
      <w:pPr>
        <w:pStyle w:val="NormalWeb"/>
        <w:spacing w:before="0" w:beforeAutospacing="0" w:after="0" w:afterAutospacing="0" w:line="360" w:lineRule="auto"/>
        <w:ind w:firstLine="720"/>
        <w:rPr>
          <w:rStyle w:val="normaltextrun"/>
        </w:rPr>
      </w:pPr>
      <w:r>
        <w:t>The f</w:t>
      </w:r>
      <w:r w:rsidR="009C38BC" w:rsidRPr="00B066C6">
        <w:t xml:space="preserve">indings </w:t>
      </w:r>
      <w:r w:rsidR="009C38BC">
        <w:t xml:space="preserve">from chapter two </w:t>
      </w:r>
      <w:r w:rsidR="009C38BC" w:rsidRPr="00B066C6">
        <w:t>reveal</w:t>
      </w:r>
      <w:r w:rsidR="00A96FCD">
        <w:t>ed</w:t>
      </w:r>
      <w:r w:rsidR="009C38BC" w:rsidRPr="00B066C6">
        <w:t xml:space="preserve"> an inverse relationship between taxonomic and functional diversity measures across forest regeneration stages. While bird species richness, diversity, and functional richness peaked in early</w:t>
      </w:r>
      <w:r w:rsidR="009C38BC">
        <w:t xml:space="preserve"> </w:t>
      </w:r>
      <w:r w:rsidR="009C38BC" w:rsidRPr="00B066C6">
        <w:t>successional, open</w:t>
      </w:r>
      <w:r w:rsidR="009C38BC">
        <w:t xml:space="preserve"> </w:t>
      </w:r>
      <w:r w:rsidR="009C38BC" w:rsidRPr="00B066C6">
        <w:t>canopy habitats due to an influx of generalist species, late</w:t>
      </w:r>
      <w:r w:rsidR="009C38BC">
        <w:t xml:space="preserve"> </w:t>
      </w:r>
      <w:r w:rsidR="009C38BC" w:rsidRPr="00B066C6">
        <w:t>successional, closed</w:t>
      </w:r>
      <w:r w:rsidR="009C38BC">
        <w:t xml:space="preserve"> </w:t>
      </w:r>
      <w:r w:rsidR="009C38BC" w:rsidRPr="00B066C6">
        <w:t>canopy habitats were characterized by increases in functional dispersion, functional divergence, and Rao’s quadratic entropy</w:t>
      </w:r>
      <w:r w:rsidR="009C38BC">
        <w:t xml:space="preserve">. These changes were </w:t>
      </w:r>
      <w:r w:rsidR="009C38BC" w:rsidRPr="00B066C6">
        <w:t xml:space="preserve">primarily driven by shifts in beak and wing length. </w:t>
      </w:r>
      <w:r w:rsidR="009C38BC">
        <w:t xml:space="preserve">Furthermore, </w:t>
      </w:r>
      <w:r>
        <w:t>I</w:t>
      </w:r>
      <w:r w:rsidR="009C38BC" w:rsidRPr="00B066C6">
        <w:t xml:space="preserve"> </w:t>
      </w:r>
      <w:r w:rsidR="009C38BC">
        <w:t>showed</w:t>
      </w:r>
      <w:r w:rsidR="009C38BC" w:rsidRPr="00B066C6">
        <w:t xml:space="preserve"> that not all functional diversity indices are equally indicative of forest regeneration. Functional dispersion, functional divergence, and Rao’s quadratic entropy emerged as more reliable indicators of faunal community recovery compared to other measures</w:t>
      </w:r>
      <w:r w:rsidR="009C38BC">
        <w:t xml:space="preserve"> because they were associated more strongly with closed canopy systems indicative of later stages of forest succession</w:t>
      </w:r>
      <w:r w:rsidR="009C38BC" w:rsidRPr="00B066C6">
        <w:t xml:space="preserve">. </w:t>
      </w:r>
      <w:r w:rsidR="009C38BC">
        <w:t>Therefore, these</w:t>
      </w:r>
      <w:r w:rsidR="009C38BC" w:rsidRPr="00B066C6">
        <w:t xml:space="preserve"> indices could serve as valuable tools for restoration practitioners seeking to assess forest recovery without relying solely on taxonomic surveys. Future research </w:t>
      </w:r>
      <w:r w:rsidR="009C38BC" w:rsidRPr="00B066C6">
        <w:lastRenderedPageBreak/>
        <w:t>should refine these metrics by testing their applicability across different ecosystems and taxa, as well as integrating them with remote sensing technologies for broader-scale monitoring.</w:t>
      </w:r>
    </w:p>
    <w:p w14:paraId="22D2504F" w14:textId="1E5540BA" w:rsidR="009C38BC" w:rsidRPr="007B573E" w:rsidRDefault="009C38BC" w:rsidP="00EB4834">
      <w:pPr>
        <w:pStyle w:val="NormalWeb"/>
        <w:spacing w:before="0" w:beforeAutospacing="0" w:after="0" w:afterAutospacing="0" w:line="360" w:lineRule="auto"/>
        <w:ind w:firstLine="720"/>
      </w:pPr>
      <w:r>
        <w:t>Similarly to</w:t>
      </w:r>
      <w:r>
        <w:rPr>
          <w:rFonts w:eastAsia="Calibri"/>
          <w:color w:val="000000"/>
          <w:highlight w:val="white"/>
        </w:rPr>
        <w:t xml:space="preserve"> biodiversity recovery, successful</w:t>
      </w:r>
      <w:r w:rsidRPr="007B573E">
        <w:rPr>
          <w:rFonts w:eastAsia="Calibri"/>
          <w:color w:val="000000"/>
          <w:highlight w:val="white"/>
        </w:rPr>
        <w:t xml:space="preserve"> forest restoration is</w:t>
      </w:r>
      <w:r>
        <w:rPr>
          <w:rFonts w:eastAsia="Calibri"/>
          <w:color w:val="000000"/>
          <w:highlight w:val="white"/>
        </w:rPr>
        <w:t xml:space="preserve"> also</w:t>
      </w:r>
      <w:r w:rsidRPr="007B573E">
        <w:rPr>
          <w:rFonts w:eastAsia="Calibri"/>
          <w:color w:val="000000"/>
          <w:highlight w:val="white"/>
        </w:rPr>
        <w:t xml:space="preserve"> predicated on </w:t>
      </w:r>
      <w:r>
        <w:rPr>
          <w:rFonts w:eastAsia="Calibri"/>
          <w:color w:val="000000"/>
        </w:rPr>
        <w:t>the recovery of</w:t>
      </w:r>
      <w:r w:rsidRPr="007B573E">
        <w:rPr>
          <w:rFonts w:eastAsia="Calibri"/>
          <w:color w:val="000000"/>
        </w:rPr>
        <w:t xml:space="preserve"> species interactions and </w:t>
      </w:r>
      <w:r w:rsidRPr="007B573E">
        <w:rPr>
          <w:rFonts w:eastAsia="Calibri"/>
          <w:color w:val="000000"/>
          <w:highlight w:val="white"/>
        </w:rPr>
        <w:t>ecosystem functions.</w:t>
      </w:r>
      <w:r>
        <w:rPr>
          <w:rFonts w:eastAsia="Calibri"/>
          <w:color w:val="000000"/>
        </w:rPr>
        <w:t xml:space="preserve"> Understanding</w:t>
      </w:r>
      <w:r w:rsidRPr="007B573E">
        <w:rPr>
          <w:rFonts w:eastAsia="Calibri"/>
          <w:color w:val="000000"/>
        </w:rPr>
        <w:t xml:space="preserve"> how fruit-frugivore relationships reassemble in the context of seed dispersal can provide an invaluable tool for addressing conservation and ecosystem restoration.</w:t>
      </w:r>
      <w:r w:rsidRPr="007B573E">
        <w:rPr>
          <w:rFonts w:eastAsia="Calibri"/>
          <w:color w:val="000000"/>
          <w:highlight w:val="white"/>
        </w:rPr>
        <w:t xml:space="preserve"> </w:t>
      </w:r>
      <w:r w:rsidRPr="007B573E">
        <w:rPr>
          <w:rFonts w:eastAsia="Calibri"/>
          <w:color w:val="000000"/>
        </w:rPr>
        <w:t xml:space="preserve">Knowledge of seed dispersal processes and interactions </w:t>
      </w:r>
      <w:r w:rsidRPr="007B573E">
        <w:rPr>
          <w:rFonts w:eastAsia="Calibri"/>
        </w:rPr>
        <w:t>post-disturbance</w:t>
      </w:r>
      <w:r w:rsidRPr="007B573E">
        <w:rPr>
          <w:rFonts w:eastAsia="Calibri"/>
          <w:color w:val="000000"/>
        </w:rPr>
        <w:t xml:space="preserve"> can be used to accelerate the recovery of degraded areas by highlighting which species should be targeted for restoration efforts.</w:t>
      </w:r>
      <w:r>
        <w:rPr>
          <w:rFonts w:eastAsia="Calibri"/>
          <w:color w:val="000000"/>
        </w:rPr>
        <w:t xml:space="preserve"> Therefore, </w:t>
      </w:r>
      <w:r>
        <w:t xml:space="preserve">in chapter three </w:t>
      </w:r>
      <w:r w:rsidR="007A526F">
        <w:t>I</w:t>
      </w:r>
      <w:r>
        <w:t xml:space="preserve"> examined the reassembly of seed dispersal interactions across regenerating forest fragments in the Chocó Rainforest of Northwest Ecuador. </w:t>
      </w:r>
      <w:r w:rsidR="000F5915">
        <w:t xml:space="preserve">Here, </w:t>
      </w:r>
      <w:r w:rsidR="007A526F">
        <w:t>I</w:t>
      </w:r>
      <w:r w:rsidR="000F5915">
        <w:t xml:space="preserve"> utilized avian mist-netting and camera trap observations to survey for seed dispersal interactions across regenerating forests. </w:t>
      </w:r>
      <w:r w:rsidR="007A526F">
        <w:t>I</w:t>
      </w:r>
      <w:r w:rsidR="000F5915">
        <w:t xml:space="preserve"> then used these observed interactions to build weighted bipartite networks for varying stages of regeneration, and then compared network measures such as nestedness, specialization, connectance, and modularity to assess changes in interactions across regeneration types. </w:t>
      </w:r>
    </w:p>
    <w:p w14:paraId="6D82C776" w14:textId="77777777" w:rsidR="000767C1" w:rsidRDefault="007A526F" w:rsidP="00EB4834">
      <w:pPr>
        <w:pStyle w:val="NormalWeb"/>
        <w:spacing w:before="0" w:beforeAutospacing="0" w:after="0" w:afterAutospacing="0" w:line="360" w:lineRule="auto"/>
        <w:ind w:firstLine="720"/>
        <w:rPr>
          <w:b/>
          <w:bCs/>
          <w:i/>
          <w:iCs/>
          <w:color w:val="000000" w:themeColor="text1"/>
        </w:rPr>
      </w:pPr>
      <w:r>
        <w:t>F</w:t>
      </w:r>
      <w:r w:rsidR="009C38BC">
        <w:t>indings from chapter three</w:t>
      </w:r>
      <w:r w:rsidR="009C38BC" w:rsidRPr="00B066C6">
        <w:t xml:space="preserve"> </w:t>
      </w:r>
      <w:r w:rsidR="009C38BC">
        <w:t>highlighted how</w:t>
      </w:r>
      <w:r w:rsidR="009C38BC" w:rsidRPr="00B066C6">
        <w:t xml:space="preserve"> seed dispersal networks undergo substantial restructuring across successional stages, with interaction loss and replacement occurring as forests mature. Early-successional forests support a high diversity and frequency of dispersal interactions, whereas mid- and late-successional forests exhibit increased network specialization and modularity. These findings suggest that the high interaction diversity in early succession may serve as a foundation for long-term ecosystem resilience by facilitating species establishment and connectivity. Over time, the development of more specialized dispersal networks may contribute to the structural and functional stability of forest communities. </w:t>
      </w:r>
      <w:bookmarkStart w:id="130" w:name="_Toc195189645"/>
      <w:r w:rsidR="00EC6531" w:rsidRPr="00EC6531">
        <w:rPr>
          <w:b/>
          <w:bCs/>
          <w:i/>
          <w:iCs/>
          <w:color w:val="000000" w:themeColor="text1"/>
        </w:rPr>
        <w:t>Limitations</w:t>
      </w:r>
      <w:bookmarkStart w:id="131" w:name="_Toc195189646"/>
      <w:bookmarkEnd w:id="130"/>
    </w:p>
    <w:p w14:paraId="3EBCDE0C" w14:textId="5ED35C24" w:rsidR="000767C1" w:rsidRPr="000767C1" w:rsidRDefault="00691D72" w:rsidP="00EB4834">
      <w:pPr>
        <w:pStyle w:val="NormalWeb"/>
        <w:spacing w:before="0" w:beforeAutospacing="0" w:after="0" w:afterAutospacing="0" w:line="360" w:lineRule="auto"/>
        <w:ind w:firstLine="720"/>
      </w:pPr>
      <w:r w:rsidRPr="00691D72">
        <w:rPr>
          <w:rFonts w:eastAsiaTheme="minorHAnsi"/>
        </w:rPr>
        <w:t xml:space="preserve">Chapter one may be affected by publication and language biases. Studies published in non-English languages or less accessible regional journals may have been underrepresented, potentially excluding valuable case studies from the global South. Additionally, most network studies reviewed were based on short-term datasets and conducted in specific geographic regions, which limited the generalizability of patterns across tropical forest ecosystems. The reliance on published network metrics also introduces bias, as many studies apply different sampling efforts, analytical frameworks, and interaction definitions, which may compromise cross-study comparability. </w:t>
      </w:r>
    </w:p>
    <w:p w14:paraId="20B7156D" w14:textId="77777777" w:rsidR="000767C1" w:rsidRDefault="00691D72" w:rsidP="00EB4834">
      <w:pPr>
        <w:pStyle w:val="Heading2"/>
        <w:spacing w:before="0" w:after="0"/>
        <w:ind w:firstLine="720"/>
        <w:rPr>
          <w:rFonts w:ascii="Times New Roman" w:eastAsiaTheme="minorHAnsi" w:hAnsi="Times New Roman" w:cs="Times New Roman"/>
          <w:color w:val="auto"/>
          <w:sz w:val="24"/>
          <w:szCs w:val="24"/>
        </w:rPr>
      </w:pPr>
      <w:r w:rsidRPr="00691D72">
        <w:rPr>
          <w:rFonts w:ascii="Times New Roman" w:eastAsiaTheme="minorHAnsi" w:hAnsi="Times New Roman" w:cs="Times New Roman"/>
          <w:color w:val="auto"/>
          <w:sz w:val="24"/>
          <w:szCs w:val="24"/>
        </w:rPr>
        <w:lastRenderedPageBreak/>
        <w:t>In chapter two, we used functional diversity indices to evaluate community recovery. However, these indices are sensitive to trait selection and the availability of trait data. We primarily utilized morphological traits of understory birds, which may not fully capture the breadth of ecological functions performed by these species. Behavioral traits, such as cavity nesting or habitat preference, were not included in analyses; therefore, functional diversity metrics were potentially biased. Furthermore, due to discrepancies in field sampling for morphological traits, we relied on a generalized open-access data set to quantify traits for each species observed, which may not account for intraspecific variation or local adaptations. This study also assumes that vegetation structure and regeneration stage are the primary drivers of diversity patterns, but other environmental variables, such as microclimate, disturbance history, landscape connectivity, and specific measures of remnant vegetation structure, were not explicitly included. These unmeasured factors may have contributed to or explained our observed patterns better than those considered.</w:t>
      </w:r>
    </w:p>
    <w:p w14:paraId="65DD1BDC" w14:textId="1D675866" w:rsidR="00691D72" w:rsidRDefault="00691D72" w:rsidP="00EB4834">
      <w:pPr>
        <w:pStyle w:val="Heading2"/>
        <w:spacing w:before="0" w:after="0"/>
        <w:ind w:firstLine="720"/>
        <w:rPr>
          <w:rFonts w:ascii="Times New Roman" w:eastAsiaTheme="minorHAnsi" w:hAnsi="Times New Roman" w:cs="Times New Roman"/>
          <w:color w:val="auto"/>
          <w:sz w:val="24"/>
          <w:szCs w:val="24"/>
        </w:rPr>
      </w:pPr>
      <w:r w:rsidRPr="00691D72">
        <w:rPr>
          <w:rFonts w:ascii="Times New Roman" w:eastAsiaTheme="minorHAnsi" w:hAnsi="Times New Roman" w:cs="Times New Roman"/>
          <w:color w:val="auto"/>
          <w:sz w:val="24"/>
          <w:szCs w:val="24"/>
        </w:rPr>
        <w:t>Additionally, mist-netting and camera trapping methodologies used in chapters two and three may be subject to detection biases, leading to skewed results within closed-canopy habitats. Mist nets are known to under-sample canopy species and highly mobile birds. In contrast, camera traps on focal plant species lead to a bias in species selection, potentially causing incomplete interaction networks and underestimation of network complexity in some forest types. The data collection for chapters two and three also took place across a shortened field season (June-August) and, therefore, did not capture the scope of migratory species that could utilize this ecosystem at varying times of the year. Migratory species could significantly shape avian community dynamics and alter seed dispersal patterns across seasons. Finally, while bipartite network metrics offer valuable indicators of community structure, their ecological interpretation remains debated. Many metrics, such as modularity and nestedness, are sensitive to network size and sampling intensity. There are also many limitations to using null models to test for network-level patterns. They do not allow for direct comparisons of networks across habitats but only highlight if observed network-level patterns differ from randomly associated interactions.</w:t>
      </w:r>
    </w:p>
    <w:p w14:paraId="1AD9806C" w14:textId="3A22D89F" w:rsidR="00EC6531" w:rsidRPr="00EC6531" w:rsidRDefault="00EC6531" w:rsidP="00EB4834">
      <w:pPr>
        <w:pStyle w:val="Heading2"/>
        <w:spacing w:before="0" w:after="0"/>
        <w:rPr>
          <w:rFonts w:ascii="Times New Roman" w:hAnsi="Times New Roman" w:cs="Times New Roman"/>
          <w:b/>
          <w:bCs/>
          <w:i/>
          <w:iCs/>
          <w:color w:val="000000" w:themeColor="text1"/>
          <w:sz w:val="24"/>
          <w:szCs w:val="24"/>
        </w:rPr>
      </w:pPr>
      <w:r w:rsidRPr="00EC6531">
        <w:rPr>
          <w:rFonts w:ascii="Times New Roman" w:hAnsi="Times New Roman" w:cs="Times New Roman"/>
          <w:b/>
          <w:bCs/>
          <w:i/>
          <w:iCs/>
          <w:color w:val="000000" w:themeColor="text1"/>
          <w:sz w:val="24"/>
          <w:szCs w:val="24"/>
        </w:rPr>
        <w:t>Future work</w:t>
      </w:r>
      <w:bookmarkEnd w:id="131"/>
    </w:p>
    <w:p w14:paraId="2C394A84" w14:textId="60696736" w:rsidR="0034418B" w:rsidRDefault="00691D72" w:rsidP="00EB4834">
      <w:pPr>
        <w:pStyle w:val="NormalWeb"/>
        <w:spacing w:before="0" w:beforeAutospacing="0" w:after="0" w:afterAutospacing="0" w:line="360" w:lineRule="auto"/>
        <w:ind w:firstLine="720"/>
      </w:pPr>
      <w:r w:rsidRPr="00691D72">
        <w:t xml:space="preserve">Ultimately, this work highlights the potential of functional diversity and seed dispersal network measures as powerful tools in understanding community assembly and species </w:t>
      </w:r>
      <w:r w:rsidRPr="00691D72">
        <w:lastRenderedPageBreak/>
        <w:t>interactions in regenerating tropical forests. Future work should focus on identifying keystone species that play essential roles in shaping forest regeneration. For example, practitioners can ensure the abundance and persistence of species of frugivores that are critical for seed dispersal across degraded landscapes or plant species that act as attractants to frugivorous animal species. Functional traits of frugivorous birds can also have an impact on their role within seed dispersal networks; thus, understanding how these traits influence network structure can inform strategies that aim to maintain and enhance seed dispersal by frugivorous birds. Additionally, incorporating long-term datasets, chronosequences, and large-scale spatial studies will be crucial for understanding how these networks reassemble across greater spatial and temporal scales. By addressing these research gaps, we can move toward a more holistic approach to tropical forest restoration that prioritizes both biodiversity conservation and the restoration of essential ecosystem functions.</w:t>
      </w:r>
      <w:r w:rsidR="0034418B">
        <w:br w:type="page"/>
      </w:r>
    </w:p>
    <w:p w14:paraId="62771838" w14:textId="2C092410" w:rsidR="003E537B" w:rsidRPr="00B066C6" w:rsidRDefault="00D764EC" w:rsidP="00BD07DC">
      <w:pPr>
        <w:pStyle w:val="Heading1"/>
        <w:jc w:val="center"/>
        <w:rPr>
          <w:rFonts w:ascii="Times New Roman" w:hAnsi="Times New Roman" w:cs="Times New Roman"/>
          <w:b/>
          <w:bCs/>
          <w:color w:val="auto"/>
          <w:sz w:val="24"/>
          <w:szCs w:val="24"/>
        </w:rPr>
      </w:pPr>
      <w:bookmarkStart w:id="132" w:name="_Toc195189647"/>
      <w:r w:rsidRPr="00B066C6">
        <w:rPr>
          <w:rFonts w:ascii="Times New Roman" w:hAnsi="Times New Roman" w:cs="Times New Roman"/>
          <w:b/>
          <w:bCs/>
          <w:color w:val="auto"/>
          <w:sz w:val="24"/>
          <w:szCs w:val="24"/>
        </w:rPr>
        <w:lastRenderedPageBreak/>
        <w:t>V</w:t>
      </w:r>
      <w:r w:rsidR="00D77075">
        <w:rPr>
          <w:rFonts w:ascii="Times New Roman" w:hAnsi="Times New Roman" w:cs="Times New Roman"/>
          <w:b/>
          <w:bCs/>
          <w:color w:val="auto"/>
          <w:sz w:val="24"/>
          <w:szCs w:val="24"/>
        </w:rPr>
        <w:t>ita</w:t>
      </w:r>
      <w:bookmarkEnd w:id="132"/>
    </w:p>
    <w:p w14:paraId="760BCF45" w14:textId="1F8D3CEA" w:rsidR="00377203" w:rsidRPr="00B066C6" w:rsidRDefault="00D764EC" w:rsidP="005A0AC0">
      <w:pPr>
        <w:spacing w:before="0" w:after="0"/>
        <w:rPr>
          <w:rFonts w:ascii="Times New Roman" w:hAnsi="Times New Roman" w:cs="Times New Roman"/>
        </w:rPr>
      </w:pPr>
      <w:r w:rsidRPr="00B066C6">
        <w:rPr>
          <w:rFonts w:ascii="Times New Roman" w:hAnsi="Times New Roman" w:cs="Times New Roman"/>
        </w:rPr>
        <w:t xml:space="preserve">Nicole Lussier was born in Providence, Rhode Island where she spent her childhood and early adulthood. She attended North </w:t>
      </w:r>
      <w:r w:rsidR="005C2A5A" w:rsidRPr="00B066C6">
        <w:rPr>
          <w:rFonts w:ascii="Times New Roman" w:hAnsi="Times New Roman" w:cs="Times New Roman"/>
        </w:rPr>
        <w:t>Providence Highschool and</w:t>
      </w:r>
      <w:r w:rsidRPr="00B066C6">
        <w:rPr>
          <w:rFonts w:ascii="Times New Roman" w:hAnsi="Times New Roman" w:cs="Times New Roman"/>
        </w:rPr>
        <w:t xml:space="preserve"> graduated in May of 2016. Shortly after</w:t>
      </w:r>
      <w:r w:rsidR="00F928A2">
        <w:rPr>
          <w:rFonts w:ascii="Times New Roman" w:hAnsi="Times New Roman" w:cs="Times New Roman"/>
        </w:rPr>
        <w:t>,</w:t>
      </w:r>
      <w:r w:rsidRPr="00B066C6">
        <w:rPr>
          <w:rFonts w:ascii="Times New Roman" w:hAnsi="Times New Roman" w:cs="Times New Roman"/>
        </w:rPr>
        <w:t xml:space="preserve"> she enrolled at Wheaton College in Massachusetts</w:t>
      </w:r>
      <w:r w:rsidR="0008357F">
        <w:rPr>
          <w:rFonts w:ascii="Times New Roman" w:hAnsi="Times New Roman" w:cs="Times New Roman"/>
        </w:rPr>
        <w:t xml:space="preserve"> as an undergraduate student where she</w:t>
      </w:r>
      <w:r w:rsidRPr="00B066C6">
        <w:rPr>
          <w:rFonts w:ascii="Times New Roman" w:hAnsi="Times New Roman" w:cs="Times New Roman"/>
        </w:rPr>
        <w:t xml:space="preserve"> majored in Biology</w:t>
      </w:r>
      <w:r w:rsidR="0008357F">
        <w:rPr>
          <w:rFonts w:ascii="Times New Roman" w:hAnsi="Times New Roman" w:cs="Times New Roman"/>
        </w:rPr>
        <w:t xml:space="preserve"> and minored in Animal Behavior</w:t>
      </w:r>
      <w:r w:rsidRPr="00B066C6">
        <w:rPr>
          <w:rFonts w:ascii="Times New Roman" w:hAnsi="Times New Roman" w:cs="Times New Roman"/>
        </w:rPr>
        <w:t xml:space="preserve">. </w:t>
      </w:r>
      <w:r w:rsidR="0008357F">
        <w:rPr>
          <w:rFonts w:ascii="Times New Roman" w:hAnsi="Times New Roman" w:cs="Times New Roman"/>
        </w:rPr>
        <w:t>At Wheaton</w:t>
      </w:r>
      <w:r w:rsidR="005C2A5A" w:rsidRPr="00B066C6">
        <w:rPr>
          <w:rFonts w:ascii="Times New Roman" w:hAnsi="Times New Roman" w:cs="Times New Roman"/>
        </w:rPr>
        <w:t xml:space="preserve">, </w:t>
      </w:r>
      <w:r w:rsidR="0008357F">
        <w:rPr>
          <w:rFonts w:ascii="Times New Roman" w:hAnsi="Times New Roman" w:cs="Times New Roman"/>
        </w:rPr>
        <w:t>Nicole</w:t>
      </w:r>
      <w:r w:rsidR="005C2A5A" w:rsidRPr="00B066C6">
        <w:rPr>
          <w:rFonts w:ascii="Times New Roman" w:hAnsi="Times New Roman" w:cs="Times New Roman"/>
        </w:rPr>
        <w:t xml:space="preserve"> developed a love for ecology and </w:t>
      </w:r>
      <w:r w:rsidR="00D27FF5" w:rsidRPr="00B066C6">
        <w:rPr>
          <w:rFonts w:ascii="Times New Roman" w:hAnsi="Times New Roman" w:cs="Times New Roman"/>
        </w:rPr>
        <w:t>ornithology and</w:t>
      </w:r>
      <w:r w:rsidR="005C2A5A" w:rsidRPr="00B066C6">
        <w:rPr>
          <w:rFonts w:ascii="Times New Roman" w:hAnsi="Times New Roman" w:cs="Times New Roman"/>
        </w:rPr>
        <w:t xml:space="preserve"> </w:t>
      </w:r>
      <w:r w:rsidR="00D27FF5" w:rsidRPr="00B066C6">
        <w:rPr>
          <w:rFonts w:ascii="Times New Roman" w:hAnsi="Times New Roman" w:cs="Times New Roman"/>
        </w:rPr>
        <w:t>held</w:t>
      </w:r>
      <w:r w:rsidR="005C2A5A" w:rsidRPr="00B066C6">
        <w:rPr>
          <w:rFonts w:ascii="Times New Roman" w:hAnsi="Times New Roman" w:cs="Times New Roman"/>
        </w:rPr>
        <w:t xml:space="preserve"> </w:t>
      </w:r>
      <w:r w:rsidR="00D27FF5" w:rsidRPr="00B066C6">
        <w:rPr>
          <w:rFonts w:ascii="Times New Roman" w:hAnsi="Times New Roman" w:cs="Times New Roman"/>
        </w:rPr>
        <w:t>several</w:t>
      </w:r>
      <w:r w:rsidR="005C2A5A" w:rsidRPr="00B066C6">
        <w:rPr>
          <w:rFonts w:ascii="Times New Roman" w:hAnsi="Times New Roman" w:cs="Times New Roman"/>
        </w:rPr>
        <w:t xml:space="preserve"> internships including one at Southwick’s Zoo in Mendon MA. She also participated in multiple study abroad programs, studying wildlife conservation in Tanzania with the School of International Training, biodiversity and tropical ecology in Costa Rica and Belize, </w:t>
      </w:r>
      <w:r w:rsidR="00D53C07" w:rsidRPr="00B066C6">
        <w:rPr>
          <w:rFonts w:ascii="Times New Roman" w:hAnsi="Times New Roman" w:cs="Times New Roman"/>
        </w:rPr>
        <w:t xml:space="preserve">and working under Dr. Jessie Knowlton on a long-term </w:t>
      </w:r>
      <w:r w:rsidR="00950864">
        <w:rPr>
          <w:rFonts w:ascii="Times New Roman" w:hAnsi="Times New Roman" w:cs="Times New Roman"/>
        </w:rPr>
        <w:t xml:space="preserve">bird </w:t>
      </w:r>
      <w:r w:rsidR="00D53C07" w:rsidRPr="00B066C6">
        <w:rPr>
          <w:rFonts w:ascii="Times New Roman" w:hAnsi="Times New Roman" w:cs="Times New Roman"/>
        </w:rPr>
        <w:t xml:space="preserve">banding project in the high Andes Mountains of Southern Ecuador. </w:t>
      </w:r>
      <w:r w:rsidR="0008357F">
        <w:rPr>
          <w:rFonts w:ascii="Times New Roman" w:hAnsi="Times New Roman" w:cs="Times New Roman"/>
        </w:rPr>
        <w:t>In the summer of 2019 while working in Ecuador with Dr. Knowlton</w:t>
      </w:r>
      <w:r w:rsidR="00D53C07" w:rsidRPr="00B066C6">
        <w:rPr>
          <w:rFonts w:ascii="Times New Roman" w:hAnsi="Times New Roman" w:cs="Times New Roman"/>
        </w:rPr>
        <w:t xml:space="preserve">, she </w:t>
      </w:r>
      <w:r w:rsidR="0008357F">
        <w:rPr>
          <w:rFonts w:ascii="Times New Roman" w:hAnsi="Times New Roman" w:cs="Times New Roman"/>
        </w:rPr>
        <w:t xml:space="preserve">began field work for her honors thesis </w:t>
      </w:r>
      <w:r w:rsidR="00134E73" w:rsidRPr="00B066C6">
        <w:rPr>
          <w:rFonts w:ascii="Times New Roman" w:hAnsi="Times New Roman" w:cs="Times New Roman"/>
        </w:rPr>
        <w:t>titled “Mixed species bird flocks in the high Andes Mountains</w:t>
      </w:r>
      <w:r w:rsidR="00D53C07" w:rsidRPr="00B066C6">
        <w:rPr>
          <w:rFonts w:ascii="Times New Roman" w:hAnsi="Times New Roman" w:cs="Times New Roman"/>
        </w:rPr>
        <w:t xml:space="preserve">.” Nicole </w:t>
      </w:r>
      <w:r w:rsidRPr="00B066C6">
        <w:rPr>
          <w:rFonts w:ascii="Times New Roman" w:hAnsi="Times New Roman" w:cs="Times New Roman"/>
        </w:rPr>
        <w:t xml:space="preserve">graduated </w:t>
      </w:r>
      <w:r w:rsidR="00D53C07" w:rsidRPr="00B066C6">
        <w:rPr>
          <w:rFonts w:ascii="Times New Roman" w:hAnsi="Times New Roman" w:cs="Times New Roman"/>
        </w:rPr>
        <w:t>Wheaton College</w:t>
      </w:r>
      <w:r w:rsidRPr="00B066C6">
        <w:rPr>
          <w:rFonts w:ascii="Times New Roman" w:hAnsi="Times New Roman" w:cs="Times New Roman"/>
        </w:rPr>
        <w:t xml:space="preserve"> an </w:t>
      </w:r>
      <w:r w:rsidR="00134E73" w:rsidRPr="00B066C6">
        <w:rPr>
          <w:rFonts w:ascii="Times New Roman" w:hAnsi="Times New Roman" w:cs="Times New Roman"/>
        </w:rPr>
        <w:t>honors student</w:t>
      </w:r>
      <w:r w:rsidRPr="00B066C6">
        <w:rPr>
          <w:rFonts w:ascii="Times New Roman" w:hAnsi="Times New Roman" w:cs="Times New Roman"/>
        </w:rPr>
        <w:t xml:space="preserve"> </w:t>
      </w:r>
      <w:r w:rsidR="00134E73" w:rsidRPr="00B066C6">
        <w:rPr>
          <w:rFonts w:ascii="Times New Roman" w:hAnsi="Times New Roman" w:cs="Times New Roman"/>
        </w:rPr>
        <w:t>in May of 2020</w:t>
      </w:r>
      <w:r w:rsidR="0008357F">
        <w:rPr>
          <w:rFonts w:ascii="Times New Roman" w:hAnsi="Times New Roman" w:cs="Times New Roman"/>
        </w:rPr>
        <w:t xml:space="preserve"> and was awarded an undergraduate prize in Ecology for her honors thesis work</w:t>
      </w:r>
      <w:r w:rsidR="00134E73" w:rsidRPr="00B066C6">
        <w:rPr>
          <w:rFonts w:ascii="Times New Roman" w:hAnsi="Times New Roman" w:cs="Times New Roman"/>
        </w:rPr>
        <w:t xml:space="preserve">. </w:t>
      </w:r>
      <w:r w:rsidR="0008357F">
        <w:rPr>
          <w:rFonts w:ascii="Times New Roman" w:hAnsi="Times New Roman" w:cs="Times New Roman"/>
        </w:rPr>
        <w:t xml:space="preserve">Upon graduation from Wheaton, Nicole </w:t>
      </w:r>
      <w:r w:rsidR="00134E73" w:rsidRPr="00B066C6">
        <w:rPr>
          <w:rFonts w:ascii="Times New Roman" w:hAnsi="Times New Roman" w:cs="Times New Roman"/>
        </w:rPr>
        <w:t xml:space="preserve">joined the Department of Ecology and Evolutionary Biology as a PhD student </w:t>
      </w:r>
      <w:r w:rsidR="001749EF" w:rsidRPr="00B066C6">
        <w:rPr>
          <w:rFonts w:ascii="Times New Roman" w:hAnsi="Times New Roman" w:cs="Times New Roman"/>
        </w:rPr>
        <w:t xml:space="preserve">in Dr. Charlie Kwit’s lab </w:t>
      </w:r>
      <w:r w:rsidR="00134E73" w:rsidRPr="00B066C6">
        <w:rPr>
          <w:rFonts w:ascii="Times New Roman" w:hAnsi="Times New Roman" w:cs="Times New Roman"/>
        </w:rPr>
        <w:t>at the University of Tennessee</w:t>
      </w:r>
      <w:r w:rsidR="00301594" w:rsidRPr="00B066C6">
        <w:rPr>
          <w:rFonts w:ascii="Times New Roman" w:hAnsi="Times New Roman" w:cs="Times New Roman"/>
        </w:rPr>
        <w:t xml:space="preserve"> in September of 2020.</w:t>
      </w:r>
      <w:r w:rsidR="001749EF" w:rsidRPr="00B066C6">
        <w:rPr>
          <w:rFonts w:ascii="Times New Roman" w:hAnsi="Times New Roman" w:cs="Times New Roman"/>
        </w:rPr>
        <w:t xml:space="preserve"> </w:t>
      </w:r>
      <w:r w:rsidR="00925AFA" w:rsidRPr="00B066C6">
        <w:rPr>
          <w:rFonts w:ascii="Times New Roman" w:hAnsi="Times New Roman" w:cs="Times New Roman"/>
        </w:rPr>
        <w:t xml:space="preserve">Her initial projects focused on seed dispersal by </w:t>
      </w:r>
      <w:r w:rsidR="00925AFA" w:rsidRPr="00B066C6">
        <w:rPr>
          <w:rFonts w:ascii="Times New Roman" w:hAnsi="Times New Roman" w:cs="Times New Roman"/>
          <w:i/>
          <w:iCs/>
        </w:rPr>
        <w:t>Ursus americanus</w:t>
      </w:r>
      <w:r w:rsidR="00925AFA" w:rsidRPr="00B066C6">
        <w:rPr>
          <w:rFonts w:ascii="Times New Roman" w:hAnsi="Times New Roman" w:cs="Times New Roman"/>
        </w:rPr>
        <w:t xml:space="preserve"> and other mammals of </w:t>
      </w:r>
      <w:r w:rsidR="001B0B12">
        <w:rPr>
          <w:rFonts w:ascii="Times New Roman" w:hAnsi="Times New Roman" w:cs="Times New Roman"/>
        </w:rPr>
        <w:t>in the southern Appalachians,</w:t>
      </w:r>
      <w:r w:rsidR="00925AFA" w:rsidRPr="00B066C6">
        <w:rPr>
          <w:rFonts w:ascii="Times New Roman" w:hAnsi="Times New Roman" w:cs="Times New Roman"/>
        </w:rPr>
        <w:t xml:space="preserve"> but </w:t>
      </w:r>
      <w:r w:rsidR="00F96F90" w:rsidRPr="00B066C6">
        <w:rPr>
          <w:rFonts w:ascii="Times New Roman" w:hAnsi="Times New Roman" w:cs="Times New Roman"/>
        </w:rPr>
        <w:t xml:space="preserve">she quickly </w:t>
      </w:r>
      <w:r w:rsidR="00950864">
        <w:rPr>
          <w:rFonts w:ascii="Times New Roman" w:hAnsi="Times New Roman" w:cs="Times New Roman"/>
        </w:rPr>
        <w:t xml:space="preserve">realized </w:t>
      </w:r>
      <w:r w:rsidR="00F96F90" w:rsidRPr="00B066C6">
        <w:rPr>
          <w:rFonts w:ascii="Times New Roman" w:hAnsi="Times New Roman" w:cs="Times New Roman"/>
        </w:rPr>
        <w:t xml:space="preserve">her </w:t>
      </w:r>
      <w:r w:rsidR="00950864">
        <w:rPr>
          <w:rFonts w:ascii="Times New Roman" w:hAnsi="Times New Roman" w:cs="Times New Roman"/>
        </w:rPr>
        <w:t xml:space="preserve">true </w:t>
      </w:r>
      <w:r w:rsidR="00F96F90" w:rsidRPr="00B066C6">
        <w:rPr>
          <w:rFonts w:ascii="Times New Roman" w:hAnsi="Times New Roman" w:cs="Times New Roman"/>
        </w:rPr>
        <w:t xml:space="preserve">passion </w:t>
      </w:r>
      <w:r w:rsidR="00950864">
        <w:rPr>
          <w:rFonts w:ascii="Times New Roman" w:hAnsi="Times New Roman" w:cs="Times New Roman"/>
        </w:rPr>
        <w:t xml:space="preserve">was in </w:t>
      </w:r>
      <w:r w:rsidR="00F96F90" w:rsidRPr="00B066C6">
        <w:rPr>
          <w:rFonts w:ascii="Times New Roman" w:hAnsi="Times New Roman" w:cs="Times New Roman"/>
        </w:rPr>
        <w:t xml:space="preserve">tropical ecology </w:t>
      </w:r>
      <w:r w:rsidR="0008357F">
        <w:rPr>
          <w:rFonts w:ascii="Times New Roman" w:hAnsi="Times New Roman" w:cs="Times New Roman"/>
        </w:rPr>
        <w:t xml:space="preserve">and </w:t>
      </w:r>
      <w:r w:rsidR="00F96F90" w:rsidRPr="00B066C6">
        <w:rPr>
          <w:rFonts w:ascii="Times New Roman" w:hAnsi="Times New Roman" w:cs="Times New Roman"/>
        </w:rPr>
        <w:t xml:space="preserve">transitioned </w:t>
      </w:r>
      <w:r w:rsidR="0008357F">
        <w:rPr>
          <w:rFonts w:ascii="Times New Roman" w:hAnsi="Times New Roman" w:cs="Times New Roman"/>
        </w:rPr>
        <w:t>her research to</w:t>
      </w:r>
      <w:r w:rsidR="00F96F90" w:rsidRPr="00B066C6">
        <w:rPr>
          <w:rFonts w:ascii="Times New Roman" w:hAnsi="Times New Roman" w:cs="Times New Roman"/>
        </w:rPr>
        <w:t xml:space="preserve"> take place in the Chocó Rainforest of Northwest Ecuador. There, she worked alongside colleagues at the Fundacion para la Conservación de los Andes Tropicales to complete her dissertation </w:t>
      </w:r>
      <w:r w:rsidR="0008357F">
        <w:rPr>
          <w:rFonts w:ascii="Times New Roman" w:hAnsi="Times New Roman" w:cs="Times New Roman"/>
        </w:rPr>
        <w:t>work</w:t>
      </w:r>
      <w:r w:rsidR="00F96F90" w:rsidRPr="00B066C6">
        <w:rPr>
          <w:rFonts w:ascii="Times New Roman" w:hAnsi="Times New Roman" w:cs="Times New Roman"/>
        </w:rPr>
        <w:t xml:space="preserve">. </w:t>
      </w:r>
    </w:p>
    <w:sectPr w:rsidR="00377203" w:rsidRPr="00B066C6" w:rsidSect="003B3802">
      <w:headerReference w:type="even" r:id="rId120"/>
      <w:headerReference w:type="default" r:id="rId121"/>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D4B34" w14:textId="77777777" w:rsidR="007D5CB2" w:rsidRDefault="007D5CB2" w:rsidP="00DB05CB">
      <w:pPr>
        <w:spacing w:after="0" w:line="240" w:lineRule="auto"/>
      </w:pPr>
      <w:r>
        <w:separator/>
      </w:r>
    </w:p>
  </w:endnote>
  <w:endnote w:type="continuationSeparator" w:id="0">
    <w:p w14:paraId="0C4D4C8A" w14:textId="77777777" w:rsidR="007D5CB2" w:rsidRDefault="007D5CB2" w:rsidP="00DB05CB">
      <w:pPr>
        <w:spacing w:after="0" w:line="240" w:lineRule="auto"/>
      </w:pPr>
      <w:r>
        <w:continuationSeparator/>
      </w:r>
    </w:p>
  </w:endnote>
  <w:endnote w:type="continuationNotice" w:id="1">
    <w:p w14:paraId="5A03C97F" w14:textId="77777777" w:rsidR="007D5CB2" w:rsidRDefault="007D5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8BD97" w14:textId="77777777" w:rsidR="007D5CB2" w:rsidRDefault="007D5CB2" w:rsidP="00DB05CB">
      <w:pPr>
        <w:spacing w:after="0" w:line="240" w:lineRule="auto"/>
      </w:pPr>
      <w:r>
        <w:separator/>
      </w:r>
    </w:p>
  </w:footnote>
  <w:footnote w:type="continuationSeparator" w:id="0">
    <w:p w14:paraId="1885F311" w14:textId="77777777" w:rsidR="007D5CB2" w:rsidRDefault="007D5CB2" w:rsidP="00DB05CB">
      <w:pPr>
        <w:spacing w:after="0" w:line="240" w:lineRule="auto"/>
      </w:pPr>
      <w:r>
        <w:continuationSeparator/>
      </w:r>
    </w:p>
  </w:footnote>
  <w:footnote w:type="continuationNotice" w:id="1">
    <w:p w14:paraId="289EE3AF" w14:textId="77777777" w:rsidR="007D5CB2" w:rsidRDefault="007D5C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1800208"/>
      <w:docPartObj>
        <w:docPartGallery w:val="Page Numbers (Top of Page)"/>
        <w:docPartUnique/>
      </w:docPartObj>
    </w:sdtPr>
    <w:sdtContent>
      <w:p w14:paraId="03E121DA" w14:textId="151D7986" w:rsidR="001476A0" w:rsidRDefault="001476A0" w:rsidP="004F481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23A93" w14:textId="77777777" w:rsidR="001476A0" w:rsidRDefault="001476A0" w:rsidP="001476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1589330"/>
      <w:docPartObj>
        <w:docPartGallery w:val="Page Numbers (Top of Page)"/>
        <w:docPartUnique/>
      </w:docPartObj>
    </w:sdtPr>
    <w:sdtContent>
      <w:p w14:paraId="032FBCBC" w14:textId="77777777" w:rsidR="005F51FB" w:rsidRDefault="005F51FB" w:rsidP="005F51FB">
        <w:pPr>
          <w:pStyle w:val="Header"/>
          <w:framePr w:wrap="none" w:vAnchor="text" w:hAnchor="page" w:x="10582" w:y="21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FE24554" w14:textId="3534905E" w:rsidR="001476A0" w:rsidRDefault="001476A0" w:rsidP="007F49DC">
    <w:pPr>
      <w:pStyle w:val="Header"/>
      <w:ind w:right="360"/>
      <w:rPr>
        <w:rStyle w:val="PageNumber"/>
      </w:rPr>
    </w:pPr>
  </w:p>
  <w:p w14:paraId="640CC598" w14:textId="77777777" w:rsidR="001476A0" w:rsidRDefault="001476A0" w:rsidP="001476A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17C0" w14:textId="77777777" w:rsidR="00A43DBE" w:rsidRDefault="00A43DBE" w:rsidP="00A43DBE">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8206270"/>
      <w:docPartObj>
        <w:docPartGallery w:val="Page Numbers (Top of Page)"/>
        <w:docPartUnique/>
      </w:docPartObj>
    </w:sdtPr>
    <w:sdtContent>
      <w:p w14:paraId="31323ED8" w14:textId="294E428C" w:rsidR="00DB05CB" w:rsidRDefault="00DB05CB" w:rsidP="00E5122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D66B90" w14:textId="77777777" w:rsidR="00DB05CB" w:rsidRDefault="00DB05CB" w:rsidP="00DB05CB">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9465478"/>
      <w:docPartObj>
        <w:docPartGallery w:val="Page Numbers (Top of Page)"/>
        <w:docPartUnique/>
      </w:docPartObj>
    </w:sdtPr>
    <w:sdtEndPr>
      <w:rPr>
        <w:rStyle w:val="PageNumber"/>
        <w:rFonts w:ascii="Times New Roman" w:hAnsi="Times New Roman" w:cs="Times New Roman"/>
      </w:rPr>
    </w:sdtEndPr>
    <w:sdtContent>
      <w:p w14:paraId="264F38A2" w14:textId="0AA35C31" w:rsidR="00DB05CB" w:rsidRPr="002469D3" w:rsidRDefault="00DB05CB" w:rsidP="00E5122F">
        <w:pPr>
          <w:pStyle w:val="Header"/>
          <w:framePr w:wrap="none" w:vAnchor="text" w:hAnchor="margin" w:xAlign="right" w:y="1"/>
          <w:rPr>
            <w:rStyle w:val="PageNumber"/>
            <w:rFonts w:ascii="Times New Roman" w:hAnsi="Times New Roman" w:cs="Times New Roman"/>
          </w:rPr>
        </w:pPr>
        <w:r w:rsidRPr="002469D3">
          <w:rPr>
            <w:rStyle w:val="PageNumber"/>
            <w:rFonts w:ascii="Times New Roman" w:hAnsi="Times New Roman" w:cs="Times New Roman"/>
          </w:rPr>
          <w:fldChar w:fldCharType="begin"/>
        </w:r>
        <w:r w:rsidRPr="002469D3">
          <w:rPr>
            <w:rStyle w:val="PageNumber"/>
            <w:rFonts w:ascii="Times New Roman" w:hAnsi="Times New Roman" w:cs="Times New Roman"/>
          </w:rPr>
          <w:instrText xml:space="preserve"> PAGE </w:instrText>
        </w:r>
        <w:r w:rsidRPr="002469D3">
          <w:rPr>
            <w:rStyle w:val="PageNumber"/>
            <w:rFonts w:ascii="Times New Roman" w:hAnsi="Times New Roman" w:cs="Times New Roman"/>
          </w:rPr>
          <w:fldChar w:fldCharType="separate"/>
        </w:r>
        <w:r w:rsidRPr="002469D3">
          <w:rPr>
            <w:rStyle w:val="PageNumber"/>
            <w:rFonts w:ascii="Times New Roman" w:hAnsi="Times New Roman" w:cs="Times New Roman"/>
            <w:noProof/>
          </w:rPr>
          <w:t>1</w:t>
        </w:r>
        <w:r w:rsidRPr="002469D3">
          <w:rPr>
            <w:rStyle w:val="PageNumber"/>
            <w:rFonts w:ascii="Times New Roman" w:hAnsi="Times New Roman" w:cs="Times New Roman"/>
          </w:rPr>
          <w:fldChar w:fldCharType="end"/>
        </w:r>
      </w:p>
    </w:sdtContent>
  </w:sdt>
  <w:p w14:paraId="529A9352" w14:textId="77777777" w:rsidR="00DB05CB" w:rsidRPr="002469D3" w:rsidRDefault="00DB05CB" w:rsidP="00DB05CB">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343"/>
    <w:multiLevelType w:val="multilevel"/>
    <w:tmpl w:val="19426B0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A1195"/>
    <w:multiLevelType w:val="multilevel"/>
    <w:tmpl w:val="5C3A7F2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B10E46"/>
    <w:multiLevelType w:val="multilevel"/>
    <w:tmpl w:val="0ED2E49C"/>
    <w:lvl w:ilvl="0">
      <w:start w:val="1"/>
      <w:numFmt w:val="decimal"/>
      <w:lvlText w:val="%1."/>
      <w:lvlJc w:val="left"/>
      <w:pPr>
        <w:ind w:left="720" w:hanging="360"/>
      </w:pPr>
      <w:rPr>
        <w:rFonts w:hint="default"/>
        <w:color w:val="000000" w:themeColor="text1"/>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2A49AC"/>
    <w:multiLevelType w:val="hybridMultilevel"/>
    <w:tmpl w:val="0DBE9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B7048"/>
    <w:multiLevelType w:val="hybridMultilevel"/>
    <w:tmpl w:val="497A2874"/>
    <w:lvl w:ilvl="0" w:tplc="C3287BEA">
      <w:start w:val="1"/>
      <w:numFmt w:val="decimal"/>
      <w:lvlText w:val="%1)"/>
      <w:lvlJc w:val="left"/>
      <w:pPr>
        <w:ind w:left="720" w:hanging="360"/>
      </w:pPr>
      <w:rPr>
        <w:rFonts w:asciiTheme="minorHAnsi" w:hAnsiTheme="minorHAns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890800"/>
    <w:multiLevelType w:val="hybridMultilevel"/>
    <w:tmpl w:val="E654C29C"/>
    <w:lvl w:ilvl="0" w:tplc="C5C46FD0">
      <w:start w:val="1"/>
      <w:numFmt w:val="decimal"/>
      <w:lvlText w:val="%1."/>
      <w:lvlJc w:val="left"/>
      <w:pPr>
        <w:ind w:left="720" w:hanging="360"/>
      </w:pPr>
      <w:rPr>
        <w:rFonts w:asciiTheme="minorHAnsi" w:hAnsiTheme="min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43E66"/>
    <w:multiLevelType w:val="multilevel"/>
    <w:tmpl w:val="33A4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47A43"/>
    <w:multiLevelType w:val="hybridMultilevel"/>
    <w:tmpl w:val="FFC25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A3A5C"/>
    <w:multiLevelType w:val="multilevel"/>
    <w:tmpl w:val="459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662D8"/>
    <w:multiLevelType w:val="hybridMultilevel"/>
    <w:tmpl w:val="87B849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813648"/>
    <w:multiLevelType w:val="multilevel"/>
    <w:tmpl w:val="A3D236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540CFC"/>
    <w:multiLevelType w:val="hybridMultilevel"/>
    <w:tmpl w:val="5672C7BC"/>
    <w:lvl w:ilvl="0" w:tplc="25C0AC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9721B"/>
    <w:multiLevelType w:val="hybridMultilevel"/>
    <w:tmpl w:val="7E74B41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3" w15:restartNumberingAfterBreak="0">
    <w:nsid w:val="43D924B4"/>
    <w:multiLevelType w:val="hybridMultilevel"/>
    <w:tmpl w:val="DD602E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266DC"/>
    <w:multiLevelType w:val="hybridMultilevel"/>
    <w:tmpl w:val="97B8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507D19"/>
    <w:multiLevelType w:val="multilevel"/>
    <w:tmpl w:val="16A4F16C"/>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8DE4352"/>
    <w:multiLevelType w:val="hybridMultilevel"/>
    <w:tmpl w:val="69CC4F90"/>
    <w:lvl w:ilvl="0" w:tplc="3CA63A4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46C45"/>
    <w:multiLevelType w:val="hybridMultilevel"/>
    <w:tmpl w:val="641E3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3E1E53"/>
    <w:multiLevelType w:val="hybridMultilevel"/>
    <w:tmpl w:val="87288E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E26400"/>
    <w:multiLevelType w:val="hybridMultilevel"/>
    <w:tmpl w:val="87B84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492400"/>
    <w:multiLevelType w:val="hybridMultilevel"/>
    <w:tmpl w:val="9926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6325D0"/>
    <w:multiLevelType w:val="multilevel"/>
    <w:tmpl w:val="98604794"/>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2" w15:restartNumberingAfterBreak="0">
    <w:nsid w:val="59461A97"/>
    <w:multiLevelType w:val="hybridMultilevel"/>
    <w:tmpl w:val="82D6E9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2F692F"/>
    <w:multiLevelType w:val="multilevel"/>
    <w:tmpl w:val="DACC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760099"/>
    <w:multiLevelType w:val="hybridMultilevel"/>
    <w:tmpl w:val="4DBC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343C43"/>
    <w:multiLevelType w:val="hybridMultilevel"/>
    <w:tmpl w:val="C38A0112"/>
    <w:lvl w:ilvl="0" w:tplc="89C49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8C4420B"/>
    <w:multiLevelType w:val="multilevel"/>
    <w:tmpl w:val="D66C9F9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C187BF4"/>
    <w:multiLevelType w:val="hybridMultilevel"/>
    <w:tmpl w:val="3A48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C57793"/>
    <w:multiLevelType w:val="hybridMultilevel"/>
    <w:tmpl w:val="867CE858"/>
    <w:lvl w:ilvl="0" w:tplc="8EE671A6">
      <w:start w:val="4"/>
      <w:numFmt w:val="bullet"/>
      <w:lvlText w:val="-"/>
      <w:lvlJc w:val="left"/>
      <w:pPr>
        <w:ind w:left="720" w:hanging="360"/>
      </w:pPr>
      <w:rPr>
        <w:rFonts w:ascii="Aptos" w:eastAsiaTheme="maj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C3006B"/>
    <w:multiLevelType w:val="hybridMultilevel"/>
    <w:tmpl w:val="B7FA7F5E"/>
    <w:lvl w:ilvl="0" w:tplc="2E52449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092817742">
    <w:abstractNumId w:val="25"/>
  </w:num>
  <w:num w:numId="2" w16cid:durableId="1531605079">
    <w:abstractNumId w:val="29"/>
  </w:num>
  <w:num w:numId="3" w16cid:durableId="1266233206">
    <w:abstractNumId w:val="13"/>
  </w:num>
  <w:num w:numId="4" w16cid:durableId="935165811">
    <w:abstractNumId w:val="17"/>
  </w:num>
  <w:num w:numId="5" w16cid:durableId="271212919">
    <w:abstractNumId w:val="4"/>
  </w:num>
  <w:num w:numId="6" w16cid:durableId="908463367">
    <w:abstractNumId w:val="19"/>
  </w:num>
  <w:num w:numId="7" w16cid:durableId="949361134">
    <w:abstractNumId w:val="2"/>
  </w:num>
  <w:num w:numId="8" w16cid:durableId="194584100">
    <w:abstractNumId w:val="26"/>
  </w:num>
  <w:num w:numId="9" w16cid:durableId="1038310791">
    <w:abstractNumId w:val="21"/>
  </w:num>
  <w:num w:numId="10" w16cid:durableId="1733694787">
    <w:abstractNumId w:val="24"/>
  </w:num>
  <w:num w:numId="11" w16cid:durableId="1646163613">
    <w:abstractNumId w:val="14"/>
  </w:num>
  <w:num w:numId="12" w16cid:durableId="662002731">
    <w:abstractNumId w:val="8"/>
  </w:num>
  <w:num w:numId="13" w16cid:durableId="1529366024">
    <w:abstractNumId w:val="6"/>
  </w:num>
  <w:num w:numId="14" w16cid:durableId="1584023433">
    <w:abstractNumId w:val="3"/>
  </w:num>
  <w:num w:numId="15" w16cid:durableId="249824755">
    <w:abstractNumId w:val="27"/>
  </w:num>
  <w:num w:numId="16" w16cid:durableId="2018075022">
    <w:abstractNumId w:val="20"/>
  </w:num>
  <w:num w:numId="17" w16cid:durableId="1256864309">
    <w:abstractNumId w:val="12"/>
  </w:num>
  <w:num w:numId="18" w16cid:durableId="516501352">
    <w:abstractNumId w:val="5"/>
  </w:num>
  <w:num w:numId="19" w16cid:durableId="1608999486">
    <w:abstractNumId w:val="22"/>
  </w:num>
  <w:num w:numId="20" w16cid:durableId="900410504">
    <w:abstractNumId w:val="11"/>
  </w:num>
  <w:num w:numId="21" w16cid:durableId="1930851305">
    <w:abstractNumId w:val="7"/>
  </w:num>
  <w:num w:numId="22" w16cid:durableId="166755977">
    <w:abstractNumId w:val="1"/>
  </w:num>
  <w:num w:numId="23" w16cid:durableId="411123377">
    <w:abstractNumId w:val="10"/>
  </w:num>
  <w:num w:numId="24" w16cid:durableId="1133671880">
    <w:abstractNumId w:val="0"/>
  </w:num>
  <w:num w:numId="25" w16cid:durableId="789780481">
    <w:abstractNumId w:val="15"/>
  </w:num>
  <w:num w:numId="26" w16cid:durableId="319046735">
    <w:abstractNumId w:val="28"/>
  </w:num>
  <w:num w:numId="27" w16cid:durableId="364864239">
    <w:abstractNumId w:val="18"/>
  </w:num>
  <w:num w:numId="28" w16cid:durableId="801923702">
    <w:abstractNumId w:val="16"/>
  </w:num>
  <w:num w:numId="29" w16cid:durableId="1409186353">
    <w:abstractNumId w:val="9"/>
  </w:num>
  <w:num w:numId="30" w16cid:durableId="10883890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CF"/>
    <w:rsid w:val="0000232C"/>
    <w:rsid w:val="00002B15"/>
    <w:rsid w:val="00005075"/>
    <w:rsid w:val="00005BB1"/>
    <w:rsid w:val="000072F7"/>
    <w:rsid w:val="00007CB7"/>
    <w:rsid w:val="00010ADC"/>
    <w:rsid w:val="000144F7"/>
    <w:rsid w:val="00017ABD"/>
    <w:rsid w:val="00023E78"/>
    <w:rsid w:val="00026910"/>
    <w:rsid w:val="00026FA6"/>
    <w:rsid w:val="00027674"/>
    <w:rsid w:val="0003071A"/>
    <w:rsid w:val="000312B8"/>
    <w:rsid w:val="00032A7E"/>
    <w:rsid w:val="0003376B"/>
    <w:rsid w:val="00035212"/>
    <w:rsid w:val="0003548D"/>
    <w:rsid w:val="00035E96"/>
    <w:rsid w:val="00037A87"/>
    <w:rsid w:val="0004061A"/>
    <w:rsid w:val="000440A4"/>
    <w:rsid w:val="0004498F"/>
    <w:rsid w:val="00044A02"/>
    <w:rsid w:val="0004517A"/>
    <w:rsid w:val="000507D8"/>
    <w:rsid w:val="00050C1D"/>
    <w:rsid w:val="000525AB"/>
    <w:rsid w:val="00052C25"/>
    <w:rsid w:val="00053F53"/>
    <w:rsid w:val="0006466A"/>
    <w:rsid w:val="00065F05"/>
    <w:rsid w:val="00066329"/>
    <w:rsid w:val="00066DA3"/>
    <w:rsid w:val="00066F44"/>
    <w:rsid w:val="00070F86"/>
    <w:rsid w:val="00071F0D"/>
    <w:rsid w:val="0007205C"/>
    <w:rsid w:val="00074139"/>
    <w:rsid w:val="0007555F"/>
    <w:rsid w:val="000767C1"/>
    <w:rsid w:val="00081300"/>
    <w:rsid w:val="00082D89"/>
    <w:rsid w:val="0008357F"/>
    <w:rsid w:val="0008411D"/>
    <w:rsid w:val="000848B6"/>
    <w:rsid w:val="00085707"/>
    <w:rsid w:val="00090F70"/>
    <w:rsid w:val="00094014"/>
    <w:rsid w:val="000951DF"/>
    <w:rsid w:val="00097AFE"/>
    <w:rsid w:val="000A14BB"/>
    <w:rsid w:val="000A1C0F"/>
    <w:rsid w:val="000A305C"/>
    <w:rsid w:val="000A45E3"/>
    <w:rsid w:val="000A499C"/>
    <w:rsid w:val="000A5D11"/>
    <w:rsid w:val="000B20F2"/>
    <w:rsid w:val="000B3AD4"/>
    <w:rsid w:val="000C31BC"/>
    <w:rsid w:val="000C5289"/>
    <w:rsid w:val="000C6307"/>
    <w:rsid w:val="000D1D4B"/>
    <w:rsid w:val="000D2750"/>
    <w:rsid w:val="000D2F15"/>
    <w:rsid w:val="000D37C8"/>
    <w:rsid w:val="000D43C6"/>
    <w:rsid w:val="000D47B0"/>
    <w:rsid w:val="000D4DFF"/>
    <w:rsid w:val="000D7435"/>
    <w:rsid w:val="000E5003"/>
    <w:rsid w:val="000F0EBA"/>
    <w:rsid w:val="000F3596"/>
    <w:rsid w:val="000F3DB0"/>
    <w:rsid w:val="000F4420"/>
    <w:rsid w:val="000F5915"/>
    <w:rsid w:val="00100628"/>
    <w:rsid w:val="00100985"/>
    <w:rsid w:val="001125E2"/>
    <w:rsid w:val="00116731"/>
    <w:rsid w:val="0011768E"/>
    <w:rsid w:val="00120276"/>
    <w:rsid w:val="00120D3E"/>
    <w:rsid w:val="0012223B"/>
    <w:rsid w:val="001255DB"/>
    <w:rsid w:val="001257D4"/>
    <w:rsid w:val="001264AF"/>
    <w:rsid w:val="00126FB4"/>
    <w:rsid w:val="001308E1"/>
    <w:rsid w:val="00130B43"/>
    <w:rsid w:val="00131510"/>
    <w:rsid w:val="0013182D"/>
    <w:rsid w:val="00133009"/>
    <w:rsid w:val="00134E73"/>
    <w:rsid w:val="001354AA"/>
    <w:rsid w:val="001358B3"/>
    <w:rsid w:val="001372A2"/>
    <w:rsid w:val="00141E25"/>
    <w:rsid w:val="00144892"/>
    <w:rsid w:val="001476A0"/>
    <w:rsid w:val="00153309"/>
    <w:rsid w:val="00153A0D"/>
    <w:rsid w:val="00154034"/>
    <w:rsid w:val="00157091"/>
    <w:rsid w:val="00161299"/>
    <w:rsid w:val="0016198D"/>
    <w:rsid w:val="00162379"/>
    <w:rsid w:val="001625A8"/>
    <w:rsid w:val="00165D17"/>
    <w:rsid w:val="00170693"/>
    <w:rsid w:val="00172664"/>
    <w:rsid w:val="001749EF"/>
    <w:rsid w:val="00175ED6"/>
    <w:rsid w:val="001827A6"/>
    <w:rsid w:val="001918D7"/>
    <w:rsid w:val="00192533"/>
    <w:rsid w:val="00193968"/>
    <w:rsid w:val="0019520A"/>
    <w:rsid w:val="00195EB7"/>
    <w:rsid w:val="00197628"/>
    <w:rsid w:val="001A02D3"/>
    <w:rsid w:val="001A33FE"/>
    <w:rsid w:val="001A3A01"/>
    <w:rsid w:val="001A466F"/>
    <w:rsid w:val="001A51E6"/>
    <w:rsid w:val="001A660F"/>
    <w:rsid w:val="001A7621"/>
    <w:rsid w:val="001B00CB"/>
    <w:rsid w:val="001B0B12"/>
    <w:rsid w:val="001B2360"/>
    <w:rsid w:val="001B2CDB"/>
    <w:rsid w:val="001B418E"/>
    <w:rsid w:val="001B5EFE"/>
    <w:rsid w:val="001B6E82"/>
    <w:rsid w:val="001C2F0D"/>
    <w:rsid w:val="001C31CF"/>
    <w:rsid w:val="001C5A2C"/>
    <w:rsid w:val="001C5A35"/>
    <w:rsid w:val="001C706A"/>
    <w:rsid w:val="001C759D"/>
    <w:rsid w:val="001D23B6"/>
    <w:rsid w:val="001D2DEA"/>
    <w:rsid w:val="001D7F68"/>
    <w:rsid w:val="001D7FC0"/>
    <w:rsid w:val="001E12D8"/>
    <w:rsid w:val="001E35B3"/>
    <w:rsid w:val="001E7592"/>
    <w:rsid w:val="001E7DDD"/>
    <w:rsid w:val="001F029C"/>
    <w:rsid w:val="001F1B8B"/>
    <w:rsid w:val="001F1D3E"/>
    <w:rsid w:val="001F20ED"/>
    <w:rsid w:val="001F21AC"/>
    <w:rsid w:val="001F3D39"/>
    <w:rsid w:val="001F7880"/>
    <w:rsid w:val="002001DF"/>
    <w:rsid w:val="00204C66"/>
    <w:rsid w:val="00206AF7"/>
    <w:rsid w:val="00214231"/>
    <w:rsid w:val="002145F6"/>
    <w:rsid w:val="00215825"/>
    <w:rsid w:val="0021582A"/>
    <w:rsid w:val="00215E58"/>
    <w:rsid w:val="00222C51"/>
    <w:rsid w:val="00222D75"/>
    <w:rsid w:val="002231AC"/>
    <w:rsid w:val="00223662"/>
    <w:rsid w:val="00223E62"/>
    <w:rsid w:val="0022544A"/>
    <w:rsid w:val="002254AF"/>
    <w:rsid w:val="00225A9A"/>
    <w:rsid w:val="0022735C"/>
    <w:rsid w:val="002278F4"/>
    <w:rsid w:val="00227C05"/>
    <w:rsid w:val="002300C7"/>
    <w:rsid w:val="002330D5"/>
    <w:rsid w:val="00233E43"/>
    <w:rsid w:val="00235DD1"/>
    <w:rsid w:val="00241420"/>
    <w:rsid w:val="00241B0E"/>
    <w:rsid w:val="00244B71"/>
    <w:rsid w:val="002469D3"/>
    <w:rsid w:val="00251131"/>
    <w:rsid w:val="002515F0"/>
    <w:rsid w:val="002569F1"/>
    <w:rsid w:val="00262347"/>
    <w:rsid w:val="00263864"/>
    <w:rsid w:val="00264875"/>
    <w:rsid w:val="0027023C"/>
    <w:rsid w:val="00270B58"/>
    <w:rsid w:val="002716FC"/>
    <w:rsid w:val="002736BE"/>
    <w:rsid w:val="00275F61"/>
    <w:rsid w:val="002811C4"/>
    <w:rsid w:val="0028128C"/>
    <w:rsid w:val="0028149C"/>
    <w:rsid w:val="002844AB"/>
    <w:rsid w:val="00285465"/>
    <w:rsid w:val="002867FD"/>
    <w:rsid w:val="00292891"/>
    <w:rsid w:val="002944BB"/>
    <w:rsid w:val="0029479F"/>
    <w:rsid w:val="0029508C"/>
    <w:rsid w:val="00296F9B"/>
    <w:rsid w:val="002A05A0"/>
    <w:rsid w:val="002A312F"/>
    <w:rsid w:val="002B0801"/>
    <w:rsid w:val="002B0C2B"/>
    <w:rsid w:val="002B108B"/>
    <w:rsid w:val="002B531A"/>
    <w:rsid w:val="002C029D"/>
    <w:rsid w:val="002C219A"/>
    <w:rsid w:val="002C54C4"/>
    <w:rsid w:val="002C5B20"/>
    <w:rsid w:val="002D05EE"/>
    <w:rsid w:val="002D4A12"/>
    <w:rsid w:val="002D7161"/>
    <w:rsid w:val="002D75B0"/>
    <w:rsid w:val="002E32A6"/>
    <w:rsid w:val="002E3DEA"/>
    <w:rsid w:val="002E6022"/>
    <w:rsid w:val="002E65B2"/>
    <w:rsid w:val="002E7CB6"/>
    <w:rsid w:val="002F3FF0"/>
    <w:rsid w:val="002F5671"/>
    <w:rsid w:val="002F712A"/>
    <w:rsid w:val="00301594"/>
    <w:rsid w:val="00301B64"/>
    <w:rsid w:val="003022FF"/>
    <w:rsid w:val="003026DA"/>
    <w:rsid w:val="0030419F"/>
    <w:rsid w:val="00311DBB"/>
    <w:rsid w:val="003121EA"/>
    <w:rsid w:val="003126ED"/>
    <w:rsid w:val="00312AAA"/>
    <w:rsid w:val="00314A2E"/>
    <w:rsid w:val="00320060"/>
    <w:rsid w:val="0032064C"/>
    <w:rsid w:val="003305E0"/>
    <w:rsid w:val="003350F1"/>
    <w:rsid w:val="00335B9E"/>
    <w:rsid w:val="003361EE"/>
    <w:rsid w:val="0033663B"/>
    <w:rsid w:val="003375CA"/>
    <w:rsid w:val="0033781D"/>
    <w:rsid w:val="00340134"/>
    <w:rsid w:val="0034181B"/>
    <w:rsid w:val="003421DF"/>
    <w:rsid w:val="003440FE"/>
    <w:rsid w:val="0034418B"/>
    <w:rsid w:val="00351CA2"/>
    <w:rsid w:val="0035648C"/>
    <w:rsid w:val="00356F09"/>
    <w:rsid w:val="00357C58"/>
    <w:rsid w:val="00361604"/>
    <w:rsid w:val="0036562F"/>
    <w:rsid w:val="003660A6"/>
    <w:rsid w:val="00366CEC"/>
    <w:rsid w:val="0037129C"/>
    <w:rsid w:val="00372158"/>
    <w:rsid w:val="0037328F"/>
    <w:rsid w:val="00373E25"/>
    <w:rsid w:val="00376400"/>
    <w:rsid w:val="00376CEB"/>
    <w:rsid w:val="00377203"/>
    <w:rsid w:val="00381763"/>
    <w:rsid w:val="003823D4"/>
    <w:rsid w:val="003827A0"/>
    <w:rsid w:val="003831AD"/>
    <w:rsid w:val="003833C5"/>
    <w:rsid w:val="003846C5"/>
    <w:rsid w:val="00384B09"/>
    <w:rsid w:val="00386037"/>
    <w:rsid w:val="003873F4"/>
    <w:rsid w:val="00387D51"/>
    <w:rsid w:val="0039294D"/>
    <w:rsid w:val="00393039"/>
    <w:rsid w:val="003950F4"/>
    <w:rsid w:val="00395503"/>
    <w:rsid w:val="003977B0"/>
    <w:rsid w:val="003A6BE7"/>
    <w:rsid w:val="003B0213"/>
    <w:rsid w:val="003B1371"/>
    <w:rsid w:val="003B3802"/>
    <w:rsid w:val="003B3E2A"/>
    <w:rsid w:val="003B7950"/>
    <w:rsid w:val="003C00E0"/>
    <w:rsid w:val="003C15F6"/>
    <w:rsid w:val="003C1F70"/>
    <w:rsid w:val="003C26EF"/>
    <w:rsid w:val="003C5451"/>
    <w:rsid w:val="003C6D56"/>
    <w:rsid w:val="003C7740"/>
    <w:rsid w:val="003C7C57"/>
    <w:rsid w:val="003D0530"/>
    <w:rsid w:val="003D7047"/>
    <w:rsid w:val="003D724A"/>
    <w:rsid w:val="003D72A2"/>
    <w:rsid w:val="003E079E"/>
    <w:rsid w:val="003E36D4"/>
    <w:rsid w:val="003E495C"/>
    <w:rsid w:val="003E537B"/>
    <w:rsid w:val="003E5428"/>
    <w:rsid w:val="003E5B0C"/>
    <w:rsid w:val="003E6AA4"/>
    <w:rsid w:val="003F4C27"/>
    <w:rsid w:val="003F50CE"/>
    <w:rsid w:val="003F600A"/>
    <w:rsid w:val="00402627"/>
    <w:rsid w:val="004028F7"/>
    <w:rsid w:val="00410F8C"/>
    <w:rsid w:val="00416B3D"/>
    <w:rsid w:val="00417269"/>
    <w:rsid w:val="004174F6"/>
    <w:rsid w:val="0042238C"/>
    <w:rsid w:val="004225FF"/>
    <w:rsid w:val="00425659"/>
    <w:rsid w:val="00426513"/>
    <w:rsid w:val="00427C55"/>
    <w:rsid w:val="0043313C"/>
    <w:rsid w:val="00437FF6"/>
    <w:rsid w:val="00443F0E"/>
    <w:rsid w:val="00444A94"/>
    <w:rsid w:val="00447091"/>
    <w:rsid w:val="004473CF"/>
    <w:rsid w:val="00451968"/>
    <w:rsid w:val="00453348"/>
    <w:rsid w:val="00454339"/>
    <w:rsid w:val="00456882"/>
    <w:rsid w:val="0045734D"/>
    <w:rsid w:val="00457EB9"/>
    <w:rsid w:val="00462FE6"/>
    <w:rsid w:val="0046353A"/>
    <w:rsid w:val="0046355F"/>
    <w:rsid w:val="00463F22"/>
    <w:rsid w:val="00464038"/>
    <w:rsid w:val="00466B2B"/>
    <w:rsid w:val="00471247"/>
    <w:rsid w:val="00471AAF"/>
    <w:rsid w:val="00471B50"/>
    <w:rsid w:val="0047291B"/>
    <w:rsid w:val="00475FF3"/>
    <w:rsid w:val="0048387C"/>
    <w:rsid w:val="004851CA"/>
    <w:rsid w:val="004856BB"/>
    <w:rsid w:val="00485F5F"/>
    <w:rsid w:val="0048610E"/>
    <w:rsid w:val="00486B94"/>
    <w:rsid w:val="0049281B"/>
    <w:rsid w:val="00494BD5"/>
    <w:rsid w:val="00494EB9"/>
    <w:rsid w:val="004972D8"/>
    <w:rsid w:val="00497685"/>
    <w:rsid w:val="004A12FB"/>
    <w:rsid w:val="004B2D5E"/>
    <w:rsid w:val="004B2EC4"/>
    <w:rsid w:val="004B48DB"/>
    <w:rsid w:val="004C15A6"/>
    <w:rsid w:val="004C392C"/>
    <w:rsid w:val="004C5A1E"/>
    <w:rsid w:val="004C6192"/>
    <w:rsid w:val="004C68BE"/>
    <w:rsid w:val="004C6E83"/>
    <w:rsid w:val="004C7A4E"/>
    <w:rsid w:val="004D1343"/>
    <w:rsid w:val="004D189E"/>
    <w:rsid w:val="004E29E7"/>
    <w:rsid w:val="004E533D"/>
    <w:rsid w:val="004E5C13"/>
    <w:rsid w:val="004F4816"/>
    <w:rsid w:val="004F5FE3"/>
    <w:rsid w:val="00500103"/>
    <w:rsid w:val="0050414B"/>
    <w:rsid w:val="00510500"/>
    <w:rsid w:val="00510F09"/>
    <w:rsid w:val="005125D5"/>
    <w:rsid w:val="00517939"/>
    <w:rsid w:val="00520C2D"/>
    <w:rsid w:val="00520E9A"/>
    <w:rsid w:val="005238D2"/>
    <w:rsid w:val="005240A1"/>
    <w:rsid w:val="00525EC0"/>
    <w:rsid w:val="005305D8"/>
    <w:rsid w:val="005310A7"/>
    <w:rsid w:val="00532462"/>
    <w:rsid w:val="00532F7B"/>
    <w:rsid w:val="00533AE4"/>
    <w:rsid w:val="00536663"/>
    <w:rsid w:val="005372F6"/>
    <w:rsid w:val="00542CC4"/>
    <w:rsid w:val="00542E88"/>
    <w:rsid w:val="00543DF7"/>
    <w:rsid w:val="00544FEE"/>
    <w:rsid w:val="005521F8"/>
    <w:rsid w:val="0055443D"/>
    <w:rsid w:val="00554CF7"/>
    <w:rsid w:val="00555686"/>
    <w:rsid w:val="0056500A"/>
    <w:rsid w:val="00565082"/>
    <w:rsid w:val="005660C6"/>
    <w:rsid w:val="00566897"/>
    <w:rsid w:val="00572863"/>
    <w:rsid w:val="00575F32"/>
    <w:rsid w:val="005774C9"/>
    <w:rsid w:val="00577CC0"/>
    <w:rsid w:val="00581243"/>
    <w:rsid w:val="00584E46"/>
    <w:rsid w:val="00585898"/>
    <w:rsid w:val="005860DE"/>
    <w:rsid w:val="00590959"/>
    <w:rsid w:val="005915FB"/>
    <w:rsid w:val="00592744"/>
    <w:rsid w:val="00592C61"/>
    <w:rsid w:val="00593053"/>
    <w:rsid w:val="00593069"/>
    <w:rsid w:val="005934FC"/>
    <w:rsid w:val="00593E7F"/>
    <w:rsid w:val="00594834"/>
    <w:rsid w:val="0059791D"/>
    <w:rsid w:val="00597A1D"/>
    <w:rsid w:val="005A0AC0"/>
    <w:rsid w:val="005A3360"/>
    <w:rsid w:val="005A4826"/>
    <w:rsid w:val="005A4DD2"/>
    <w:rsid w:val="005A7A17"/>
    <w:rsid w:val="005B1167"/>
    <w:rsid w:val="005B2575"/>
    <w:rsid w:val="005B4DBA"/>
    <w:rsid w:val="005B65E5"/>
    <w:rsid w:val="005B7DF9"/>
    <w:rsid w:val="005C11E1"/>
    <w:rsid w:val="005C2A5A"/>
    <w:rsid w:val="005C485D"/>
    <w:rsid w:val="005C5802"/>
    <w:rsid w:val="005C7907"/>
    <w:rsid w:val="005D12B4"/>
    <w:rsid w:val="005D3231"/>
    <w:rsid w:val="005D50A4"/>
    <w:rsid w:val="005D6229"/>
    <w:rsid w:val="005E04E4"/>
    <w:rsid w:val="005E667C"/>
    <w:rsid w:val="005E77E7"/>
    <w:rsid w:val="005E7AE5"/>
    <w:rsid w:val="005F15FB"/>
    <w:rsid w:val="005F1905"/>
    <w:rsid w:val="005F3426"/>
    <w:rsid w:val="005F3E5D"/>
    <w:rsid w:val="005F51FB"/>
    <w:rsid w:val="00601758"/>
    <w:rsid w:val="00604DAD"/>
    <w:rsid w:val="00607051"/>
    <w:rsid w:val="006108B7"/>
    <w:rsid w:val="0061124B"/>
    <w:rsid w:val="006116A6"/>
    <w:rsid w:val="00612065"/>
    <w:rsid w:val="00614C4E"/>
    <w:rsid w:val="00622654"/>
    <w:rsid w:val="00623209"/>
    <w:rsid w:val="00623CC8"/>
    <w:rsid w:val="00624190"/>
    <w:rsid w:val="00624A02"/>
    <w:rsid w:val="006262A7"/>
    <w:rsid w:val="00626CA2"/>
    <w:rsid w:val="00627742"/>
    <w:rsid w:val="00632041"/>
    <w:rsid w:val="00633F39"/>
    <w:rsid w:val="006377E7"/>
    <w:rsid w:val="00637C9A"/>
    <w:rsid w:val="0064018A"/>
    <w:rsid w:val="00641AD4"/>
    <w:rsid w:val="006423D7"/>
    <w:rsid w:val="006426B6"/>
    <w:rsid w:val="006433BB"/>
    <w:rsid w:val="00643471"/>
    <w:rsid w:val="00647414"/>
    <w:rsid w:val="006505E2"/>
    <w:rsid w:val="0065257D"/>
    <w:rsid w:val="00655B5B"/>
    <w:rsid w:val="00656D4D"/>
    <w:rsid w:val="00656D85"/>
    <w:rsid w:val="00660AC9"/>
    <w:rsid w:val="00660EDF"/>
    <w:rsid w:val="00661250"/>
    <w:rsid w:val="00661E21"/>
    <w:rsid w:val="00662328"/>
    <w:rsid w:val="0066242A"/>
    <w:rsid w:val="006626B7"/>
    <w:rsid w:val="00662D48"/>
    <w:rsid w:val="006631BF"/>
    <w:rsid w:val="006635C3"/>
    <w:rsid w:val="00663CC7"/>
    <w:rsid w:val="0067038B"/>
    <w:rsid w:val="0067192F"/>
    <w:rsid w:val="00671E46"/>
    <w:rsid w:val="0067254B"/>
    <w:rsid w:val="00672D6F"/>
    <w:rsid w:val="00674DA9"/>
    <w:rsid w:val="0067509F"/>
    <w:rsid w:val="006750E4"/>
    <w:rsid w:val="00676F9C"/>
    <w:rsid w:val="00676FC8"/>
    <w:rsid w:val="006802DF"/>
    <w:rsid w:val="00681842"/>
    <w:rsid w:val="006848AA"/>
    <w:rsid w:val="006861DA"/>
    <w:rsid w:val="00690290"/>
    <w:rsid w:val="00690DE4"/>
    <w:rsid w:val="00691D72"/>
    <w:rsid w:val="006963B6"/>
    <w:rsid w:val="006971D5"/>
    <w:rsid w:val="006A0D42"/>
    <w:rsid w:val="006A11A3"/>
    <w:rsid w:val="006A506E"/>
    <w:rsid w:val="006A51B2"/>
    <w:rsid w:val="006A6511"/>
    <w:rsid w:val="006A6B21"/>
    <w:rsid w:val="006B1506"/>
    <w:rsid w:val="006B2C8D"/>
    <w:rsid w:val="006B4CA5"/>
    <w:rsid w:val="006B5301"/>
    <w:rsid w:val="006B7525"/>
    <w:rsid w:val="006C209C"/>
    <w:rsid w:val="006C283C"/>
    <w:rsid w:val="006C36B9"/>
    <w:rsid w:val="006D024B"/>
    <w:rsid w:val="006D331A"/>
    <w:rsid w:val="006D5774"/>
    <w:rsid w:val="006D57D7"/>
    <w:rsid w:val="006D5E45"/>
    <w:rsid w:val="006D77CD"/>
    <w:rsid w:val="006D7F13"/>
    <w:rsid w:val="006E009B"/>
    <w:rsid w:val="006E0311"/>
    <w:rsid w:val="006E0773"/>
    <w:rsid w:val="006E081A"/>
    <w:rsid w:val="006E3D8E"/>
    <w:rsid w:val="006E598B"/>
    <w:rsid w:val="006E5A23"/>
    <w:rsid w:val="006F028E"/>
    <w:rsid w:val="006F0DE5"/>
    <w:rsid w:val="006F1636"/>
    <w:rsid w:val="006F5A51"/>
    <w:rsid w:val="006F75B9"/>
    <w:rsid w:val="006F7B3B"/>
    <w:rsid w:val="0070700C"/>
    <w:rsid w:val="00710963"/>
    <w:rsid w:val="00711522"/>
    <w:rsid w:val="00720D81"/>
    <w:rsid w:val="007248BC"/>
    <w:rsid w:val="007257F3"/>
    <w:rsid w:val="0072691F"/>
    <w:rsid w:val="00727099"/>
    <w:rsid w:val="00727BE8"/>
    <w:rsid w:val="00732DF5"/>
    <w:rsid w:val="00735806"/>
    <w:rsid w:val="00735925"/>
    <w:rsid w:val="00746C4C"/>
    <w:rsid w:val="00751DDC"/>
    <w:rsid w:val="00753F0D"/>
    <w:rsid w:val="0075425D"/>
    <w:rsid w:val="00756535"/>
    <w:rsid w:val="007576B8"/>
    <w:rsid w:val="00760252"/>
    <w:rsid w:val="0076061F"/>
    <w:rsid w:val="0076242D"/>
    <w:rsid w:val="007629E4"/>
    <w:rsid w:val="00764399"/>
    <w:rsid w:val="00765353"/>
    <w:rsid w:val="007703A3"/>
    <w:rsid w:val="00771B72"/>
    <w:rsid w:val="0077703C"/>
    <w:rsid w:val="007805DA"/>
    <w:rsid w:val="00781463"/>
    <w:rsid w:val="007820CA"/>
    <w:rsid w:val="007827DE"/>
    <w:rsid w:val="007827E4"/>
    <w:rsid w:val="007840F2"/>
    <w:rsid w:val="0079216A"/>
    <w:rsid w:val="00792822"/>
    <w:rsid w:val="00793D1C"/>
    <w:rsid w:val="00793E05"/>
    <w:rsid w:val="0079402B"/>
    <w:rsid w:val="007954B5"/>
    <w:rsid w:val="00795897"/>
    <w:rsid w:val="00795936"/>
    <w:rsid w:val="007961E5"/>
    <w:rsid w:val="0079741A"/>
    <w:rsid w:val="007A012F"/>
    <w:rsid w:val="007A084C"/>
    <w:rsid w:val="007A0F64"/>
    <w:rsid w:val="007A1AA9"/>
    <w:rsid w:val="007A1CF3"/>
    <w:rsid w:val="007A2D5C"/>
    <w:rsid w:val="007A4232"/>
    <w:rsid w:val="007A4800"/>
    <w:rsid w:val="007A526F"/>
    <w:rsid w:val="007A678D"/>
    <w:rsid w:val="007A73CF"/>
    <w:rsid w:val="007B27F6"/>
    <w:rsid w:val="007B3285"/>
    <w:rsid w:val="007C02AE"/>
    <w:rsid w:val="007C091F"/>
    <w:rsid w:val="007C11A4"/>
    <w:rsid w:val="007C17EF"/>
    <w:rsid w:val="007C27ED"/>
    <w:rsid w:val="007C2E21"/>
    <w:rsid w:val="007C39EB"/>
    <w:rsid w:val="007C4397"/>
    <w:rsid w:val="007C521F"/>
    <w:rsid w:val="007C5502"/>
    <w:rsid w:val="007C7EC6"/>
    <w:rsid w:val="007D5CB2"/>
    <w:rsid w:val="007D7C42"/>
    <w:rsid w:val="007E5532"/>
    <w:rsid w:val="007E5DC9"/>
    <w:rsid w:val="007E7C8D"/>
    <w:rsid w:val="007F0836"/>
    <w:rsid w:val="007F0D13"/>
    <w:rsid w:val="007F15DD"/>
    <w:rsid w:val="007F49DC"/>
    <w:rsid w:val="007F7D25"/>
    <w:rsid w:val="008012CC"/>
    <w:rsid w:val="00801925"/>
    <w:rsid w:val="00803949"/>
    <w:rsid w:val="00806FFA"/>
    <w:rsid w:val="00807600"/>
    <w:rsid w:val="00810441"/>
    <w:rsid w:val="0081238D"/>
    <w:rsid w:val="008125EA"/>
    <w:rsid w:val="0081341D"/>
    <w:rsid w:val="00813C7B"/>
    <w:rsid w:val="0082114B"/>
    <w:rsid w:val="00823556"/>
    <w:rsid w:val="00825652"/>
    <w:rsid w:val="00826649"/>
    <w:rsid w:val="00826FEF"/>
    <w:rsid w:val="00831818"/>
    <w:rsid w:val="00831D26"/>
    <w:rsid w:val="00833839"/>
    <w:rsid w:val="008362C7"/>
    <w:rsid w:val="0083754D"/>
    <w:rsid w:val="00841570"/>
    <w:rsid w:val="00842A7E"/>
    <w:rsid w:val="00843168"/>
    <w:rsid w:val="00843D16"/>
    <w:rsid w:val="00843EDA"/>
    <w:rsid w:val="00844764"/>
    <w:rsid w:val="00845258"/>
    <w:rsid w:val="008538C0"/>
    <w:rsid w:val="00853B36"/>
    <w:rsid w:val="00853CBF"/>
    <w:rsid w:val="008541A7"/>
    <w:rsid w:val="00854AC0"/>
    <w:rsid w:val="00855AD1"/>
    <w:rsid w:val="00855C70"/>
    <w:rsid w:val="0085711E"/>
    <w:rsid w:val="00860547"/>
    <w:rsid w:val="0086453E"/>
    <w:rsid w:val="00867D62"/>
    <w:rsid w:val="0087184B"/>
    <w:rsid w:val="00871AFC"/>
    <w:rsid w:val="00871C4B"/>
    <w:rsid w:val="008735D1"/>
    <w:rsid w:val="008749D8"/>
    <w:rsid w:val="0087650B"/>
    <w:rsid w:val="00877881"/>
    <w:rsid w:val="008813E2"/>
    <w:rsid w:val="008876FD"/>
    <w:rsid w:val="0089099E"/>
    <w:rsid w:val="0089324E"/>
    <w:rsid w:val="00893D9C"/>
    <w:rsid w:val="008941E5"/>
    <w:rsid w:val="00896581"/>
    <w:rsid w:val="008974D3"/>
    <w:rsid w:val="00897756"/>
    <w:rsid w:val="008A3541"/>
    <w:rsid w:val="008A383D"/>
    <w:rsid w:val="008A3D69"/>
    <w:rsid w:val="008A4A98"/>
    <w:rsid w:val="008A5B09"/>
    <w:rsid w:val="008B13CD"/>
    <w:rsid w:val="008B1974"/>
    <w:rsid w:val="008B2F38"/>
    <w:rsid w:val="008B3BE3"/>
    <w:rsid w:val="008B4154"/>
    <w:rsid w:val="008B4238"/>
    <w:rsid w:val="008B7935"/>
    <w:rsid w:val="008B7E6A"/>
    <w:rsid w:val="008C096E"/>
    <w:rsid w:val="008C2CD4"/>
    <w:rsid w:val="008C4D39"/>
    <w:rsid w:val="008C4D48"/>
    <w:rsid w:val="008D5463"/>
    <w:rsid w:val="008D7A05"/>
    <w:rsid w:val="008D7B89"/>
    <w:rsid w:val="008D7E14"/>
    <w:rsid w:val="008E3621"/>
    <w:rsid w:val="008E3F64"/>
    <w:rsid w:val="008E47B7"/>
    <w:rsid w:val="008E62DA"/>
    <w:rsid w:val="008E636C"/>
    <w:rsid w:val="008E7E59"/>
    <w:rsid w:val="008F0915"/>
    <w:rsid w:val="008F3FA8"/>
    <w:rsid w:val="008F4B86"/>
    <w:rsid w:val="008F4F35"/>
    <w:rsid w:val="00900B3E"/>
    <w:rsid w:val="00901E55"/>
    <w:rsid w:val="00901FA8"/>
    <w:rsid w:val="00906544"/>
    <w:rsid w:val="00906D25"/>
    <w:rsid w:val="00907BD1"/>
    <w:rsid w:val="00913DF9"/>
    <w:rsid w:val="0091546D"/>
    <w:rsid w:val="00917C2A"/>
    <w:rsid w:val="009213C6"/>
    <w:rsid w:val="00921A74"/>
    <w:rsid w:val="009223EC"/>
    <w:rsid w:val="009249D4"/>
    <w:rsid w:val="009250CA"/>
    <w:rsid w:val="00925AFA"/>
    <w:rsid w:val="009316EF"/>
    <w:rsid w:val="00931DB8"/>
    <w:rsid w:val="00932152"/>
    <w:rsid w:val="00934E9E"/>
    <w:rsid w:val="009351E9"/>
    <w:rsid w:val="00935384"/>
    <w:rsid w:val="00940D47"/>
    <w:rsid w:val="00941A7B"/>
    <w:rsid w:val="00942919"/>
    <w:rsid w:val="00943709"/>
    <w:rsid w:val="0094372C"/>
    <w:rsid w:val="0094569E"/>
    <w:rsid w:val="009473D1"/>
    <w:rsid w:val="00950864"/>
    <w:rsid w:val="009548FE"/>
    <w:rsid w:val="0095533C"/>
    <w:rsid w:val="00955CEE"/>
    <w:rsid w:val="00956B3D"/>
    <w:rsid w:val="00960B6E"/>
    <w:rsid w:val="00960E41"/>
    <w:rsid w:val="00961814"/>
    <w:rsid w:val="00962111"/>
    <w:rsid w:val="00963543"/>
    <w:rsid w:val="009648E2"/>
    <w:rsid w:val="00964D86"/>
    <w:rsid w:val="00966DD6"/>
    <w:rsid w:val="00966E1C"/>
    <w:rsid w:val="00973280"/>
    <w:rsid w:val="00973A48"/>
    <w:rsid w:val="00975107"/>
    <w:rsid w:val="00975165"/>
    <w:rsid w:val="009754A1"/>
    <w:rsid w:val="009777DA"/>
    <w:rsid w:val="00982F36"/>
    <w:rsid w:val="00985636"/>
    <w:rsid w:val="00985EE0"/>
    <w:rsid w:val="0098631F"/>
    <w:rsid w:val="009868CC"/>
    <w:rsid w:val="00986D0E"/>
    <w:rsid w:val="00992B4B"/>
    <w:rsid w:val="00995E60"/>
    <w:rsid w:val="00997C1E"/>
    <w:rsid w:val="009A02AB"/>
    <w:rsid w:val="009A0F65"/>
    <w:rsid w:val="009A1825"/>
    <w:rsid w:val="009A240A"/>
    <w:rsid w:val="009A4751"/>
    <w:rsid w:val="009A6787"/>
    <w:rsid w:val="009A7746"/>
    <w:rsid w:val="009B17EC"/>
    <w:rsid w:val="009B25F6"/>
    <w:rsid w:val="009B267E"/>
    <w:rsid w:val="009B392D"/>
    <w:rsid w:val="009B69DC"/>
    <w:rsid w:val="009C38BC"/>
    <w:rsid w:val="009C3C1D"/>
    <w:rsid w:val="009C7CDB"/>
    <w:rsid w:val="009D19A3"/>
    <w:rsid w:val="009D1A2C"/>
    <w:rsid w:val="009D1D4C"/>
    <w:rsid w:val="009D2A3C"/>
    <w:rsid w:val="009D384F"/>
    <w:rsid w:val="009D460F"/>
    <w:rsid w:val="009D51C7"/>
    <w:rsid w:val="009D60EC"/>
    <w:rsid w:val="009E0EEA"/>
    <w:rsid w:val="009E2CC3"/>
    <w:rsid w:val="009E2DA0"/>
    <w:rsid w:val="009E5063"/>
    <w:rsid w:val="009E51BE"/>
    <w:rsid w:val="009F1673"/>
    <w:rsid w:val="009F2C25"/>
    <w:rsid w:val="009F483B"/>
    <w:rsid w:val="009F4FB8"/>
    <w:rsid w:val="009F6780"/>
    <w:rsid w:val="009F67CC"/>
    <w:rsid w:val="009F69B6"/>
    <w:rsid w:val="00A04783"/>
    <w:rsid w:val="00A04874"/>
    <w:rsid w:val="00A07F9E"/>
    <w:rsid w:val="00A11820"/>
    <w:rsid w:val="00A16E43"/>
    <w:rsid w:val="00A21AF0"/>
    <w:rsid w:val="00A2254D"/>
    <w:rsid w:val="00A23D9D"/>
    <w:rsid w:val="00A32EFB"/>
    <w:rsid w:val="00A33235"/>
    <w:rsid w:val="00A340E7"/>
    <w:rsid w:val="00A34713"/>
    <w:rsid w:val="00A34E31"/>
    <w:rsid w:val="00A37C7F"/>
    <w:rsid w:val="00A4035B"/>
    <w:rsid w:val="00A404BB"/>
    <w:rsid w:val="00A409A6"/>
    <w:rsid w:val="00A41243"/>
    <w:rsid w:val="00A42EE5"/>
    <w:rsid w:val="00A43DBE"/>
    <w:rsid w:val="00A44189"/>
    <w:rsid w:val="00A45318"/>
    <w:rsid w:val="00A52006"/>
    <w:rsid w:val="00A541A5"/>
    <w:rsid w:val="00A547B0"/>
    <w:rsid w:val="00A553ED"/>
    <w:rsid w:val="00A5688D"/>
    <w:rsid w:val="00A62FBB"/>
    <w:rsid w:val="00A65FF7"/>
    <w:rsid w:val="00A6683C"/>
    <w:rsid w:val="00A7215B"/>
    <w:rsid w:val="00A73C7B"/>
    <w:rsid w:val="00A75D6F"/>
    <w:rsid w:val="00A76178"/>
    <w:rsid w:val="00A773C7"/>
    <w:rsid w:val="00A821D2"/>
    <w:rsid w:val="00A94978"/>
    <w:rsid w:val="00A952E9"/>
    <w:rsid w:val="00A96FCD"/>
    <w:rsid w:val="00A97948"/>
    <w:rsid w:val="00AA0212"/>
    <w:rsid w:val="00AA46B3"/>
    <w:rsid w:val="00AA6135"/>
    <w:rsid w:val="00AA6C3C"/>
    <w:rsid w:val="00AB099B"/>
    <w:rsid w:val="00AB184A"/>
    <w:rsid w:val="00AB1EED"/>
    <w:rsid w:val="00AB3B5E"/>
    <w:rsid w:val="00AC26D2"/>
    <w:rsid w:val="00AC6EA9"/>
    <w:rsid w:val="00AD1064"/>
    <w:rsid w:val="00AD14A9"/>
    <w:rsid w:val="00AD1FED"/>
    <w:rsid w:val="00AD280D"/>
    <w:rsid w:val="00AD32A1"/>
    <w:rsid w:val="00AD32DB"/>
    <w:rsid w:val="00AD39D8"/>
    <w:rsid w:val="00AD47E1"/>
    <w:rsid w:val="00AD704E"/>
    <w:rsid w:val="00AE25C1"/>
    <w:rsid w:val="00AE267E"/>
    <w:rsid w:val="00AE34C1"/>
    <w:rsid w:val="00AE53D7"/>
    <w:rsid w:val="00AE543F"/>
    <w:rsid w:val="00AE7244"/>
    <w:rsid w:val="00AE7AD7"/>
    <w:rsid w:val="00AF0642"/>
    <w:rsid w:val="00AF2F09"/>
    <w:rsid w:val="00AF4868"/>
    <w:rsid w:val="00AF4D50"/>
    <w:rsid w:val="00AF7F5D"/>
    <w:rsid w:val="00B00A59"/>
    <w:rsid w:val="00B020F0"/>
    <w:rsid w:val="00B0210F"/>
    <w:rsid w:val="00B03CEC"/>
    <w:rsid w:val="00B0462D"/>
    <w:rsid w:val="00B05789"/>
    <w:rsid w:val="00B066C6"/>
    <w:rsid w:val="00B073F9"/>
    <w:rsid w:val="00B07827"/>
    <w:rsid w:val="00B11C23"/>
    <w:rsid w:val="00B13AE6"/>
    <w:rsid w:val="00B15469"/>
    <w:rsid w:val="00B1734F"/>
    <w:rsid w:val="00B20831"/>
    <w:rsid w:val="00B23355"/>
    <w:rsid w:val="00B23FA2"/>
    <w:rsid w:val="00B2405A"/>
    <w:rsid w:val="00B24084"/>
    <w:rsid w:val="00B2445C"/>
    <w:rsid w:val="00B24D9E"/>
    <w:rsid w:val="00B268BC"/>
    <w:rsid w:val="00B26D01"/>
    <w:rsid w:val="00B31540"/>
    <w:rsid w:val="00B31633"/>
    <w:rsid w:val="00B36B78"/>
    <w:rsid w:val="00B403DC"/>
    <w:rsid w:val="00B405E0"/>
    <w:rsid w:val="00B412AC"/>
    <w:rsid w:val="00B412C7"/>
    <w:rsid w:val="00B41D91"/>
    <w:rsid w:val="00B43B6F"/>
    <w:rsid w:val="00B469D0"/>
    <w:rsid w:val="00B46B6D"/>
    <w:rsid w:val="00B46F02"/>
    <w:rsid w:val="00B50781"/>
    <w:rsid w:val="00B53951"/>
    <w:rsid w:val="00B53EBD"/>
    <w:rsid w:val="00B55333"/>
    <w:rsid w:val="00B55E0E"/>
    <w:rsid w:val="00B62355"/>
    <w:rsid w:val="00B62991"/>
    <w:rsid w:val="00B62A96"/>
    <w:rsid w:val="00B62C09"/>
    <w:rsid w:val="00B64D08"/>
    <w:rsid w:val="00B656AF"/>
    <w:rsid w:val="00B65A19"/>
    <w:rsid w:val="00B661ED"/>
    <w:rsid w:val="00B670C5"/>
    <w:rsid w:val="00B71B6F"/>
    <w:rsid w:val="00B72013"/>
    <w:rsid w:val="00B728A2"/>
    <w:rsid w:val="00B736F9"/>
    <w:rsid w:val="00B74452"/>
    <w:rsid w:val="00B75347"/>
    <w:rsid w:val="00B7644F"/>
    <w:rsid w:val="00B7661E"/>
    <w:rsid w:val="00B7694C"/>
    <w:rsid w:val="00B84172"/>
    <w:rsid w:val="00B85A67"/>
    <w:rsid w:val="00B872EE"/>
    <w:rsid w:val="00B873EC"/>
    <w:rsid w:val="00B87525"/>
    <w:rsid w:val="00B919E7"/>
    <w:rsid w:val="00B92EC2"/>
    <w:rsid w:val="00B9450E"/>
    <w:rsid w:val="00B9511A"/>
    <w:rsid w:val="00B97410"/>
    <w:rsid w:val="00BA0612"/>
    <w:rsid w:val="00BA0A2D"/>
    <w:rsid w:val="00BA2499"/>
    <w:rsid w:val="00BA57EE"/>
    <w:rsid w:val="00BA6447"/>
    <w:rsid w:val="00BB3C06"/>
    <w:rsid w:val="00BB4158"/>
    <w:rsid w:val="00BB522F"/>
    <w:rsid w:val="00BB5ACD"/>
    <w:rsid w:val="00BB5B43"/>
    <w:rsid w:val="00BB68DF"/>
    <w:rsid w:val="00BB6D15"/>
    <w:rsid w:val="00BC12D7"/>
    <w:rsid w:val="00BC132B"/>
    <w:rsid w:val="00BC3044"/>
    <w:rsid w:val="00BC6CB6"/>
    <w:rsid w:val="00BC6D60"/>
    <w:rsid w:val="00BD07DC"/>
    <w:rsid w:val="00BD48F2"/>
    <w:rsid w:val="00BD4B95"/>
    <w:rsid w:val="00BD5569"/>
    <w:rsid w:val="00BD5FA6"/>
    <w:rsid w:val="00BD636C"/>
    <w:rsid w:val="00BD651E"/>
    <w:rsid w:val="00BD6CC8"/>
    <w:rsid w:val="00BD74AB"/>
    <w:rsid w:val="00BD78DC"/>
    <w:rsid w:val="00BE0968"/>
    <w:rsid w:val="00BE149F"/>
    <w:rsid w:val="00BE2733"/>
    <w:rsid w:val="00BE43BB"/>
    <w:rsid w:val="00BE52BB"/>
    <w:rsid w:val="00BE541E"/>
    <w:rsid w:val="00BE6345"/>
    <w:rsid w:val="00BE7EF7"/>
    <w:rsid w:val="00BF05CA"/>
    <w:rsid w:val="00BF2D46"/>
    <w:rsid w:val="00BF64FE"/>
    <w:rsid w:val="00C00CAC"/>
    <w:rsid w:val="00C021EA"/>
    <w:rsid w:val="00C0292E"/>
    <w:rsid w:val="00C05B7F"/>
    <w:rsid w:val="00C064E2"/>
    <w:rsid w:val="00C06F3B"/>
    <w:rsid w:val="00C12673"/>
    <w:rsid w:val="00C12FAE"/>
    <w:rsid w:val="00C1312C"/>
    <w:rsid w:val="00C174C1"/>
    <w:rsid w:val="00C17C9B"/>
    <w:rsid w:val="00C20083"/>
    <w:rsid w:val="00C234B6"/>
    <w:rsid w:val="00C239C1"/>
    <w:rsid w:val="00C24B33"/>
    <w:rsid w:val="00C30032"/>
    <w:rsid w:val="00C317E4"/>
    <w:rsid w:val="00C32626"/>
    <w:rsid w:val="00C34239"/>
    <w:rsid w:val="00C36E1D"/>
    <w:rsid w:val="00C40F54"/>
    <w:rsid w:val="00C418CE"/>
    <w:rsid w:val="00C4277D"/>
    <w:rsid w:val="00C42C89"/>
    <w:rsid w:val="00C43F12"/>
    <w:rsid w:val="00C509B1"/>
    <w:rsid w:val="00C535D4"/>
    <w:rsid w:val="00C5362C"/>
    <w:rsid w:val="00C552BD"/>
    <w:rsid w:val="00C57348"/>
    <w:rsid w:val="00C5779F"/>
    <w:rsid w:val="00C60347"/>
    <w:rsid w:val="00C60D3A"/>
    <w:rsid w:val="00C619D7"/>
    <w:rsid w:val="00C64263"/>
    <w:rsid w:val="00C831ED"/>
    <w:rsid w:val="00C93332"/>
    <w:rsid w:val="00C94DA3"/>
    <w:rsid w:val="00CA0809"/>
    <w:rsid w:val="00CA32CB"/>
    <w:rsid w:val="00CA44E9"/>
    <w:rsid w:val="00CA5F32"/>
    <w:rsid w:val="00CB10DB"/>
    <w:rsid w:val="00CB1AC5"/>
    <w:rsid w:val="00CB1D3F"/>
    <w:rsid w:val="00CB2B02"/>
    <w:rsid w:val="00CB30B7"/>
    <w:rsid w:val="00CB44B7"/>
    <w:rsid w:val="00CC00C6"/>
    <w:rsid w:val="00CC02A2"/>
    <w:rsid w:val="00CD0E0E"/>
    <w:rsid w:val="00CD142E"/>
    <w:rsid w:val="00CD31DF"/>
    <w:rsid w:val="00CD34FE"/>
    <w:rsid w:val="00CD560C"/>
    <w:rsid w:val="00CD609A"/>
    <w:rsid w:val="00CD6B2E"/>
    <w:rsid w:val="00CE09A4"/>
    <w:rsid w:val="00CE39F7"/>
    <w:rsid w:val="00CE409A"/>
    <w:rsid w:val="00CE4182"/>
    <w:rsid w:val="00CE4AC5"/>
    <w:rsid w:val="00CE648D"/>
    <w:rsid w:val="00CE6D79"/>
    <w:rsid w:val="00CF21D8"/>
    <w:rsid w:val="00CF29F8"/>
    <w:rsid w:val="00CF68CA"/>
    <w:rsid w:val="00D00108"/>
    <w:rsid w:val="00D00514"/>
    <w:rsid w:val="00D036E5"/>
    <w:rsid w:val="00D0451B"/>
    <w:rsid w:val="00D0509E"/>
    <w:rsid w:val="00D057F9"/>
    <w:rsid w:val="00D10B20"/>
    <w:rsid w:val="00D110D0"/>
    <w:rsid w:val="00D11987"/>
    <w:rsid w:val="00D129D2"/>
    <w:rsid w:val="00D14709"/>
    <w:rsid w:val="00D163F9"/>
    <w:rsid w:val="00D16BCE"/>
    <w:rsid w:val="00D2099C"/>
    <w:rsid w:val="00D20B3E"/>
    <w:rsid w:val="00D25BE7"/>
    <w:rsid w:val="00D26A12"/>
    <w:rsid w:val="00D272C7"/>
    <w:rsid w:val="00D27FF5"/>
    <w:rsid w:val="00D32093"/>
    <w:rsid w:val="00D32313"/>
    <w:rsid w:val="00D34605"/>
    <w:rsid w:val="00D357A0"/>
    <w:rsid w:val="00D36B6B"/>
    <w:rsid w:val="00D36EAC"/>
    <w:rsid w:val="00D37E9D"/>
    <w:rsid w:val="00D40E1C"/>
    <w:rsid w:val="00D4372A"/>
    <w:rsid w:val="00D44362"/>
    <w:rsid w:val="00D45258"/>
    <w:rsid w:val="00D453F6"/>
    <w:rsid w:val="00D46CB3"/>
    <w:rsid w:val="00D47243"/>
    <w:rsid w:val="00D479CE"/>
    <w:rsid w:val="00D5034E"/>
    <w:rsid w:val="00D53C07"/>
    <w:rsid w:val="00D54D2E"/>
    <w:rsid w:val="00D55516"/>
    <w:rsid w:val="00D56D09"/>
    <w:rsid w:val="00D605B5"/>
    <w:rsid w:val="00D61A12"/>
    <w:rsid w:val="00D67909"/>
    <w:rsid w:val="00D70A93"/>
    <w:rsid w:val="00D71B4C"/>
    <w:rsid w:val="00D74641"/>
    <w:rsid w:val="00D747EA"/>
    <w:rsid w:val="00D764EC"/>
    <w:rsid w:val="00D77070"/>
    <w:rsid w:val="00D77075"/>
    <w:rsid w:val="00D80CE3"/>
    <w:rsid w:val="00D810CE"/>
    <w:rsid w:val="00D8148A"/>
    <w:rsid w:val="00D83311"/>
    <w:rsid w:val="00D83E90"/>
    <w:rsid w:val="00D96CEC"/>
    <w:rsid w:val="00D970A7"/>
    <w:rsid w:val="00DA281E"/>
    <w:rsid w:val="00DA479C"/>
    <w:rsid w:val="00DA6F65"/>
    <w:rsid w:val="00DB05CB"/>
    <w:rsid w:val="00DB6466"/>
    <w:rsid w:val="00DC09C5"/>
    <w:rsid w:val="00DD69E2"/>
    <w:rsid w:val="00DE2135"/>
    <w:rsid w:val="00DE24B3"/>
    <w:rsid w:val="00DE2DFF"/>
    <w:rsid w:val="00DE3C9C"/>
    <w:rsid w:val="00DE7DED"/>
    <w:rsid w:val="00DE7E4B"/>
    <w:rsid w:val="00DF0936"/>
    <w:rsid w:val="00DF0D59"/>
    <w:rsid w:val="00DF21F6"/>
    <w:rsid w:val="00DF3DC7"/>
    <w:rsid w:val="00DF43CD"/>
    <w:rsid w:val="00DF50A9"/>
    <w:rsid w:val="00DF59FE"/>
    <w:rsid w:val="00DF5A49"/>
    <w:rsid w:val="00DF6B72"/>
    <w:rsid w:val="00DF7323"/>
    <w:rsid w:val="00E035F1"/>
    <w:rsid w:val="00E05FB8"/>
    <w:rsid w:val="00E0774C"/>
    <w:rsid w:val="00E07AFC"/>
    <w:rsid w:val="00E115B6"/>
    <w:rsid w:val="00E124F9"/>
    <w:rsid w:val="00E128B4"/>
    <w:rsid w:val="00E12E9F"/>
    <w:rsid w:val="00E144AE"/>
    <w:rsid w:val="00E16949"/>
    <w:rsid w:val="00E3199E"/>
    <w:rsid w:val="00E340BE"/>
    <w:rsid w:val="00E34F61"/>
    <w:rsid w:val="00E36404"/>
    <w:rsid w:val="00E4052F"/>
    <w:rsid w:val="00E41528"/>
    <w:rsid w:val="00E41EB1"/>
    <w:rsid w:val="00E42343"/>
    <w:rsid w:val="00E4564F"/>
    <w:rsid w:val="00E45683"/>
    <w:rsid w:val="00E461DA"/>
    <w:rsid w:val="00E5122F"/>
    <w:rsid w:val="00E54195"/>
    <w:rsid w:val="00E55613"/>
    <w:rsid w:val="00E612F5"/>
    <w:rsid w:val="00E629F0"/>
    <w:rsid w:val="00E62F82"/>
    <w:rsid w:val="00E64C69"/>
    <w:rsid w:val="00E662D7"/>
    <w:rsid w:val="00E66ABE"/>
    <w:rsid w:val="00E6786D"/>
    <w:rsid w:val="00E70AEA"/>
    <w:rsid w:val="00E7314A"/>
    <w:rsid w:val="00E737DD"/>
    <w:rsid w:val="00E76F8D"/>
    <w:rsid w:val="00E77EEE"/>
    <w:rsid w:val="00E80213"/>
    <w:rsid w:val="00E84808"/>
    <w:rsid w:val="00E860E5"/>
    <w:rsid w:val="00E871BF"/>
    <w:rsid w:val="00E92295"/>
    <w:rsid w:val="00E92D2F"/>
    <w:rsid w:val="00E94EE8"/>
    <w:rsid w:val="00E97378"/>
    <w:rsid w:val="00EA0861"/>
    <w:rsid w:val="00EA18E9"/>
    <w:rsid w:val="00EA4BC5"/>
    <w:rsid w:val="00EB130A"/>
    <w:rsid w:val="00EB2E91"/>
    <w:rsid w:val="00EB2EFA"/>
    <w:rsid w:val="00EB4627"/>
    <w:rsid w:val="00EB4834"/>
    <w:rsid w:val="00EB4DC9"/>
    <w:rsid w:val="00EB7F24"/>
    <w:rsid w:val="00EC0E2B"/>
    <w:rsid w:val="00EC3F07"/>
    <w:rsid w:val="00EC5A39"/>
    <w:rsid w:val="00EC6531"/>
    <w:rsid w:val="00EC6CFE"/>
    <w:rsid w:val="00EC6E3E"/>
    <w:rsid w:val="00ED0668"/>
    <w:rsid w:val="00ED11E9"/>
    <w:rsid w:val="00ED1B2B"/>
    <w:rsid w:val="00ED2368"/>
    <w:rsid w:val="00ED2EB6"/>
    <w:rsid w:val="00EE2160"/>
    <w:rsid w:val="00EF05ED"/>
    <w:rsid w:val="00EF0A5B"/>
    <w:rsid w:val="00EF0ECA"/>
    <w:rsid w:val="00EF3351"/>
    <w:rsid w:val="00EF5522"/>
    <w:rsid w:val="00EF57EE"/>
    <w:rsid w:val="00F0098E"/>
    <w:rsid w:val="00F04BD4"/>
    <w:rsid w:val="00F0543C"/>
    <w:rsid w:val="00F068DC"/>
    <w:rsid w:val="00F128CE"/>
    <w:rsid w:val="00F145A7"/>
    <w:rsid w:val="00F156A8"/>
    <w:rsid w:val="00F165ED"/>
    <w:rsid w:val="00F16CA4"/>
    <w:rsid w:val="00F21BD6"/>
    <w:rsid w:val="00F2289F"/>
    <w:rsid w:val="00F22F75"/>
    <w:rsid w:val="00F252FB"/>
    <w:rsid w:val="00F258AF"/>
    <w:rsid w:val="00F276B3"/>
    <w:rsid w:val="00F30E9A"/>
    <w:rsid w:val="00F32D4B"/>
    <w:rsid w:val="00F34EE6"/>
    <w:rsid w:val="00F377FE"/>
    <w:rsid w:val="00F4099A"/>
    <w:rsid w:val="00F41E0D"/>
    <w:rsid w:val="00F47372"/>
    <w:rsid w:val="00F47C8B"/>
    <w:rsid w:val="00F50414"/>
    <w:rsid w:val="00F5080D"/>
    <w:rsid w:val="00F54285"/>
    <w:rsid w:val="00F61851"/>
    <w:rsid w:val="00F61F26"/>
    <w:rsid w:val="00F622BF"/>
    <w:rsid w:val="00F633CE"/>
    <w:rsid w:val="00F638AB"/>
    <w:rsid w:val="00F64703"/>
    <w:rsid w:val="00F64A4C"/>
    <w:rsid w:val="00F66D69"/>
    <w:rsid w:val="00F703D1"/>
    <w:rsid w:val="00F70664"/>
    <w:rsid w:val="00F74483"/>
    <w:rsid w:val="00F75692"/>
    <w:rsid w:val="00F7766E"/>
    <w:rsid w:val="00F80E6B"/>
    <w:rsid w:val="00F80F1A"/>
    <w:rsid w:val="00F82B96"/>
    <w:rsid w:val="00F900A7"/>
    <w:rsid w:val="00F914C1"/>
    <w:rsid w:val="00F9239C"/>
    <w:rsid w:val="00F928A2"/>
    <w:rsid w:val="00F93D43"/>
    <w:rsid w:val="00F94BC1"/>
    <w:rsid w:val="00F96F3D"/>
    <w:rsid w:val="00F96F90"/>
    <w:rsid w:val="00FA120F"/>
    <w:rsid w:val="00FA4C94"/>
    <w:rsid w:val="00FB2404"/>
    <w:rsid w:val="00FB4C20"/>
    <w:rsid w:val="00FB6976"/>
    <w:rsid w:val="00FC6469"/>
    <w:rsid w:val="00FC6657"/>
    <w:rsid w:val="00FC7602"/>
    <w:rsid w:val="00FD0106"/>
    <w:rsid w:val="00FD1323"/>
    <w:rsid w:val="00FE015A"/>
    <w:rsid w:val="00FE547E"/>
    <w:rsid w:val="00FE600F"/>
    <w:rsid w:val="00FF02C9"/>
    <w:rsid w:val="00FF0CED"/>
    <w:rsid w:val="00FF5882"/>
    <w:rsid w:val="15C88865"/>
    <w:rsid w:val="212A8429"/>
    <w:rsid w:val="2B7A977A"/>
    <w:rsid w:val="3B8A2A8B"/>
    <w:rsid w:val="459A8CEE"/>
    <w:rsid w:val="4AFB4035"/>
    <w:rsid w:val="4CFC05D2"/>
    <w:rsid w:val="5ACD396E"/>
    <w:rsid w:val="64AB747E"/>
    <w:rsid w:val="6B1C89EC"/>
    <w:rsid w:val="720A52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58096"/>
  <w15:chartTrackingRefBased/>
  <w15:docId w15:val="{E3D84F90-64B6-4764-AEF0-8E064B8D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76"/>
  </w:style>
  <w:style w:type="paragraph" w:styleId="Heading1">
    <w:name w:val="heading 1"/>
    <w:basedOn w:val="Normal"/>
    <w:next w:val="Normal"/>
    <w:link w:val="Heading1Char"/>
    <w:uiPriority w:val="9"/>
    <w:qFormat/>
    <w:rsid w:val="007A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A7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7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A7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3CF"/>
    <w:rPr>
      <w:rFonts w:eastAsiaTheme="majorEastAsia" w:cstheme="majorBidi"/>
      <w:color w:val="272727" w:themeColor="text1" w:themeTint="D8"/>
    </w:rPr>
  </w:style>
  <w:style w:type="paragraph" w:styleId="Title">
    <w:name w:val="Title"/>
    <w:basedOn w:val="Normal"/>
    <w:next w:val="Normal"/>
    <w:link w:val="TitleChar"/>
    <w:uiPriority w:val="10"/>
    <w:qFormat/>
    <w:rsid w:val="007A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3CF"/>
    <w:pPr>
      <w:spacing w:before="160"/>
      <w:jc w:val="center"/>
    </w:pPr>
    <w:rPr>
      <w:i/>
      <w:iCs/>
      <w:color w:val="404040" w:themeColor="text1" w:themeTint="BF"/>
    </w:rPr>
  </w:style>
  <w:style w:type="character" w:customStyle="1" w:styleId="QuoteChar">
    <w:name w:val="Quote Char"/>
    <w:basedOn w:val="DefaultParagraphFont"/>
    <w:link w:val="Quote"/>
    <w:uiPriority w:val="29"/>
    <w:rsid w:val="007A73CF"/>
    <w:rPr>
      <w:i/>
      <w:iCs/>
      <w:color w:val="404040" w:themeColor="text1" w:themeTint="BF"/>
    </w:rPr>
  </w:style>
  <w:style w:type="paragraph" w:styleId="ListParagraph">
    <w:name w:val="List Paragraph"/>
    <w:basedOn w:val="Normal"/>
    <w:uiPriority w:val="34"/>
    <w:qFormat/>
    <w:rsid w:val="007A73CF"/>
    <w:pPr>
      <w:ind w:left="720"/>
      <w:contextualSpacing/>
    </w:pPr>
  </w:style>
  <w:style w:type="character" w:styleId="IntenseEmphasis">
    <w:name w:val="Intense Emphasis"/>
    <w:basedOn w:val="DefaultParagraphFont"/>
    <w:uiPriority w:val="21"/>
    <w:qFormat/>
    <w:rsid w:val="007A73CF"/>
    <w:rPr>
      <w:i/>
      <w:iCs/>
      <w:color w:val="0F4761" w:themeColor="accent1" w:themeShade="BF"/>
    </w:rPr>
  </w:style>
  <w:style w:type="paragraph" w:styleId="IntenseQuote">
    <w:name w:val="Intense Quote"/>
    <w:basedOn w:val="Normal"/>
    <w:next w:val="Normal"/>
    <w:link w:val="IntenseQuoteChar"/>
    <w:uiPriority w:val="30"/>
    <w:qFormat/>
    <w:rsid w:val="007A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3CF"/>
    <w:rPr>
      <w:i/>
      <w:iCs/>
      <w:color w:val="0F4761" w:themeColor="accent1" w:themeShade="BF"/>
    </w:rPr>
  </w:style>
  <w:style w:type="character" w:styleId="IntenseReference">
    <w:name w:val="Intense Reference"/>
    <w:basedOn w:val="DefaultParagraphFont"/>
    <w:uiPriority w:val="32"/>
    <w:qFormat/>
    <w:rsid w:val="007A73CF"/>
    <w:rPr>
      <w:b/>
      <w:bCs/>
      <w:smallCaps/>
      <w:color w:val="0F4761" w:themeColor="accent1" w:themeShade="BF"/>
      <w:spacing w:val="5"/>
    </w:rPr>
  </w:style>
  <w:style w:type="character" w:styleId="Hyperlink">
    <w:name w:val="Hyperlink"/>
    <w:basedOn w:val="DefaultParagraphFont"/>
    <w:uiPriority w:val="99"/>
    <w:unhideWhenUsed/>
    <w:rsid w:val="00120276"/>
    <w:rPr>
      <w:color w:val="467886" w:themeColor="hyperlink"/>
      <w:u w:val="single"/>
    </w:rPr>
  </w:style>
  <w:style w:type="paragraph" w:styleId="Header">
    <w:name w:val="header"/>
    <w:basedOn w:val="Normal"/>
    <w:link w:val="HeaderChar"/>
    <w:uiPriority w:val="99"/>
    <w:unhideWhenUsed/>
    <w:rsid w:val="00DB0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5CB"/>
  </w:style>
  <w:style w:type="paragraph" w:styleId="Footer">
    <w:name w:val="footer"/>
    <w:basedOn w:val="Normal"/>
    <w:link w:val="FooterChar"/>
    <w:uiPriority w:val="99"/>
    <w:unhideWhenUsed/>
    <w:rsid w:val="00DB0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5CB"/>
  </w:style>
  <w:style w:type="character" w:styleId="PageNumber">
    <w:name w:val="page number"/>
    <w:basedOn w:val="DefaultParagraphFont"/>
    <w:uiPriority w:val="99"/>
    <w:semiHidden/>
    <w:unhideWhenUsed/>
    <w:rsid w:val="00DB05CB"/>
  </w:style>
  <w:style w:type="table" w:styleId="PlainTable4">
    <w:name w:val="Plain Table 4"/>
    <w:basedOn w:val="TableNormal"/>
    <w:uiPriority w:val="44"/>
    <w:rsid w:val="00661E21"/>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
    <w:name w:val="4"/>
    <w:basedOn w:val="TableNormal"/>
    <w:rsid w:val="00661E21"/>
    <w:pPr>
      <w:spacing w:after="0" w:line="240"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styleId="PlainTable2">
    <w:name w:val="Plain Table 2"/>
    <w:basedOn w:val="TableNormal"/>
    <w:uiPriority w:val="42"/>
    <w:rsid w:val="00661E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
    <w:name w:val="1"/>
    <w:basedOn w:val="TableNormal"/>
    <w:rsid w:val="00661E21"/>
    <w:pPr>
      <w:spacing w:after="0" w:line="240" w:lineRule="auto"/>
    </w:pPr>
    <w:rPr>
      <w:rFonts w:ascii="Calibri" w:eastAsia="Calibri" w:hAnsi="Calibri" w:cs="Calibri"/>
      <w:kern w:val="0"/>
      <w14:ligatures w14:val="none"/>
    </w:rPr>
    <w:tblPr>
      <w:tblStyleRowBandSize w:val="1"/>
      <w:tblStyleColBandSize w:val="1"/>
      <w:tblCellMar>
        <w:top w:w="100" w:type="dxa"/>
        <w:left w:w="100" w:type="dxa"/>
        <w:bottom w:w="100" w:type="dxa"/>
        <w:right w:w="100" w:type="dxa"/>
      </w:tblCellMar>
    </w:tblPr>
  </w:style>
  <w:style w:type="character" w:customStyle="1" w:styleId="normaltextrun">
    <w:name w:val="normaltextrun"/>
    <w:basedOn w:val="DefaultParagraphFont"/>
    <w:rsid w:val="00451968"/>
  </w:style>
  <w:style w:type="paragraph" w:styleId="NormalWeb">
    <w:name w:val="Normal (Web)"/>
    <w:basedOn w:val="Normal"/>
    <w:uiPriority w:val="99"/>
    <w:unhideWhenUsed/>
    <w:rsid w:val="0033781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3781D"/>
    <w:rPr>
      <w:b/>
      <w:bCs/>
    </w:rPr>
  </w:style>
  <w:style w:type="character" w:styleId="FollowedHyperlink">
    <w:name w:val="FollowedHyperlink"/>
    <w:basedOn w:val="DefaultParagraphFont"/>
    <w:uiPriority w:val="99"/>
    <w:semiHidden/>
    <w:unhideWhenUsed/>
    <w:rsid w:val="00585898"/>
    <w:rPr>
      <w:color w:val="96607D" w:themeColor="followedHyperlink"/>
      <w:u w:val="single"/>
    </w:rPr>
  </w:style>
  <w:style w:type="paragraph" w:styleId="TOCHeading">
    <w:name w:val="TOC Heading"/>
    <w:basedOn w:val="Heading1"/>
    <w:next w:val="Normal"/>
    <w:uiPriority w:val="39"/>
    <w:unhideWhenUsed/>
    <w:qFormat/>
    <w:rsid w:val="00F252FB"/>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F252FB"/>
    <w:pPr>
      <w:spacing w:before="240"/>
    </w:pPr>
    <w:rPr>
      <w:b/>
      <w:bCs/>
      <w:sz w:val="20"/>
      <w:szCs w:val="20"/>
    </w:rPr>
  </w:style>
  <w:style w:type="paragraph" w:styleId="TOC2">
    <w:name w:val="toc 2"/>
    <w:basedOn w:val="Normal"/>
    <w:next w:val="Normal"/>
    <w:autoRedefine/>
    <w:uiPriority w:val="39"/>
    <w:unhideWhenUsed/>
    <w:rsid w:val="00F252FB"/>
    <w:pPr>
      <w:spacing w:after="0"/>
      <w:ind w:left="240"/>
    </w:pPr>
    <w:rPr>
      <w:i/>
      <w:iCs/>
      <w:sz w:val="20"/>
      <w:szCs w:val="20"/>
    </w:rPr>
  </w:style>
  <w:style w:type="paragraph" w:styleId="TOC3">
    <w:name w:val="toc 3"/>
    <w:basedOn w:val="Normal"/>
    <w:next w:val="Normal"/>
    <w:autoRedefine/>
    <w:uiPriority w:val="39"/>
    <w:unhideWhenUsed/>
    <w:rsid w:val="00C17C9B"/>
    <w:pPr>
      <w:tabs>
        <w:tab w:val="right" w:leader="dot" w:pos="9350"/>
      </w:tabs>
      <w:spacing w:after="0" w:line="276" w:lineRule="auto"/>
      <w:ind w:left="480"/>
    </w:pPr>
    <w:rPr>
      <w:sz w:val="20"/>
      <w:szCs w:val="20"/>
    </w:rPr>
  </w:style>
  <w:style w:type="paragraph" w:styleId="TOC4">
    <w:name w:val="toc 4"/>
    <w:basedOn w:val="Normal"/>
    <w:next w:val="Normal"/>
    <w:autoRedefine/>
    <w:uiPriority w:val="39"/>
    <w:semiHidden/>
    <w:unhideWhenUsed/>
    <w:rsid w:val="00F252FB"/>
    <w:pPr>
      <w:spacing w:after="0"/>
      <w:ind w:left="720"/>
    </w:pPr>
    <w:rPr>
      <w:sz w:val="20"/>
      <w:szCs w:val="20"/>
    </w:rPr>
  </w:style>
  <w:style w:type="paragraph" w:styleId="TOC5">
    <w:name w:val="toc 5"/>
    <w:basedOn w:val="Normal"/>
    <w:next w:val="Normal"/>
    <w:autoRedefine/>
    <w:uiPriority w:val="39"/>
    <w:semiHidden/>
    <w:unhideWhenUsed/>
    <w:rsid w:val="00F252FB"/>
    <w:pPr>
      <w:spacing w:after="0"/>
      <w:ind w:left="960"/>
    </w:pPr>
    <w:rPr>
      <w:sz w:val="20"/>
      <w:szCs w:val="20"/>
    </w:rPr>
  </w:style>
  <w:style w:type="paragraph" w:styleId="TOC6">
    <w:name w:val="toc 6"/>
    <w:basedOn w:val="Normal"/>
    <w:next w:val="Normal"/>
    <w:autoRedefine/>
    <w:uiPriority w:val="39"/>
    <w:semiHidden/>
    <w:unhideWhenUsed/>
    <w:rsid w:val="00F252FB"/>
    <w:pPr>
      <w:spacing w:after="0"/>
      <w:ind w:left="1200"/>
    </w:pPr>
    <w:rPr>
      <w:sz w:val="20"/>
      <w:szCs w:val="20"/>
    </w:rPr>
  </w:style>
  <w:style w:type="paragraph" w:styleId="TOC7">
    <w:name w:val="toc 7"/>
    <w:basedOn w:val="Normal"/>
    <w:next w:val="Normal"/>
    <w:autoRedefine/>
    <w:uiPriority w:val="39"/>
    <w:semiHidden/>
    <w:unhideWhenUsed/>
    <w:rsid w:val="00F252FB"/>
    <w:pPr>
      <w:spacing w:after="0"/>
      <w:ind w:left="1440"/>
    </w:pPr>
    <w:rPr>
      <w:sz w:val="20"/>
      <w:szCs w:val="20"/>
    </w:rPr>
  </w:style>
  <w:style w:type="paragraph" w:styleId="TOC8">
    <w:name w:val="toc 8"/>
    <w:basedOn w:val="Normal"/>
    <w:next w:val="Normal"/>
    <w:autoRedefine/>
    <w:uiPriority w:val="39"/>
    <w:semiHidden/>
    <w:unhideWhenUsed/>
    <w:rsid w:val="00F252FB"/>
    <w:pPr>
      <w:spacing w:after="0"/>
      <w:ind w:left="1680"/>
    </w:pPr>
    <w:rPr>
      <w:sz w:val="20"/>
      <w:szCs w:val="20"/>
    </w:rPr>
  </w:style>
  <w:style w:type="paragraph" w:styleId="TOC9">
    <w:name w:val="toc 9"/>
    <w:basedOn w:val="Normal"/>
    <w:next w:val="Normal"/>
    <w:autoRedefine/>
    <w:uiPriority w:val="39"/>
    <w:semiHidden/>
    <w:unhideWhenUsed/>
    <w:rsid w:val="00F252FB"/>
    <w:pPr>
      <w:spacing w:after="0"/>
      <w:ind w:left="1920"/>
    </w:pPr>
    <w:rPr>
      <w:sz w:val="20"/>
      <w:szCs w:val="20"/>
    </w:rPr>
  </w:style>
  <w:style w:type="character" w:styleId="Emphasis">
    <w:name w:val="Emphasis"/>
    <w:basedOn w:val="DefaultParagraphFont"/>
    <w:uiPriority w:val="20"/>
    <w:qFormat/>
    <w:rsid w:val="00B0210F"/>
    <w:rPr>
      <w:i/>
      <w:iCs/>
    </w:rPr>
  </w:style>
  <w:style w:type="character" w:styleId="UnresolvedMention">
    <w:name w:val="Unresolved Mention"/>
    <w:basedOn w:val="DefaultParagraphFont"/>
    <w:uiPriority w:val="99"/>
    <w:semiHidden/>
    <w:unhideWhenUsed/>
    <w:rsid w:val="00EA0861"/>
    <w:rPr>
      <w:color w:val="605E5C"/>
      <w:shd w:val="clear" w:color="auto" w:fill="E1DFDD"/>
    </w:rPr>
  </w:style>
  <w:style w:type="paragraph" w:customStyle="1" w:styleId="paragraph">
    <w:name w:val="paragraph"/>
    <w:basedOn w:val="Normal"/>
    <w:rsid w:val="00A340E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B23FA2"/>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6963B6"/>
    <w:pPr>
      <w:spacing w:after="0"/>
    </w:pPr>
    <w:rPr>
      <w:i/>
      <w:iCs/>
      <w:sz w:val="20"/>
      <w:szCs w:val="20"/>
    </w:rPr>
  </w:style>
  <w:style w:type="paragraph" w:styleId="Bibliography">
    <w:name w:val="Bibliography"/>
    <w:basedOn w:val="Normal"/>
    <w:next w:val="Normal"/>
    <w:uiPriority w:val="37"/>
    <w:unhideWhenUsed/>
    <w:rsid w:val="0046355F"/>
    <w:pPr>
      <w:spacing w:after="0" w:line="480" w:lineRule="auto"/>
      <w:ind w:left="720" w:hanging="720"/>
    </w:pPr>
  </w:style>
  <w:style w:type="character" w:styleId="CommentReference">
    <w:name w:val="annotation reference"/>
    <w:basedOn w:val="DefaultParagraphFont"/>
    <w:uiPriority w:val="99"/>
    <w:semiHidden/>
    <w:unhideWhenUsed/>
    <w:rsid w:val="0030419F"/>
    <w:rPr>
      <w:sz w:val="16"/>
      <w:szCs w:val="16"/>
    </w:rPr>
  </w:style>
  <w:style w:type="paragraph" w:styleId="CommentText">
    <w:name w:val="annotation text"/>
    <w:basedOn w:val="Normal"/>
    <w:link w:val="CommentTextChar"/>
    <w:uiPriority w:val="99"/>
    <w:unhideWhenUsed/>
    <w:rsid w:val="0030419F"/>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30419F"/>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131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2569F1"/>
  </w:style>
  <w:style w:type="paragraph" w:styleId="CommentSubject">
    <w:name w:val="annotation subject"/>
    <w:basedOn w:val="CommentText"/>
    <w:next w:val="CommentText"/>
    <w:link w:val="CommentSubjectChar"/>
    <w:uiPriority w:val="99"/>
    <w:semiHidden/>
    <w:unhideWhenUsed/>
    <w:rsid w:val="00130B43"/>
    <w:rPr>
      <w:b/>
      <w:bCs/>
    </w:rPr>
  </w:style>
  <w:style w:type="character" w:customStyle="1" w:styleId="CommentSubjectChar">
    <w:name w:val="Comment Subject Char"/>
    <w:basedOn w:val="CommentTextChar"/>
    <w:link w:val="CommentSubject"/>
    <w:uiPriority w:val="99"/>
    <w:semiHidden/>
    <w:rsid w:val="00130B43"/>
    <w:rPr>
      <w:rFonts w:ascii="Times New Roman" w:eastAsia="Times New Roman" w:hAnsi="Times New Roman" w:cs="Times New Roman"/>
      <w:b/>
      <w:bCs/>
      <w:kern w:val="0"/>
      <w:sz w:val="20"/>
      <w:szCs w:val="20"/>
      <w14:ligatures w14:val="none"/>
    </w:rPr>
  </w:style>
  <w:style w:type="character" w:customStyle="1" w:styleId="apple-converted-space">
    <w:name w:val="apple-converted-space"/>
    <w:basedOn w:val="DefaultParagraphFont"/>
    <w:rsid w:val="00130B43"/>
  </w:style>
  <w:style w:type="character" w:styleId="LineNumber">
    <w:name w:val="line number"/>
    <w:basedOn w:val="DefaultParagraphFont"/>
    <w:uiPriority w:val="99"/>
    <w:semiHidden/>
    <w:unhideWhenUsed/>
    <w:rsid w:val="00130B43"/>
  </w:style>
  <w:style w:type="paragraph" w:customStyle="1" w:styleId="msonormal0">
    <w:name w:val="msonormal"/>
    <w:basedOn w:val="Normal"/>
    <w:rsid w:val="00130B43"/>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dTable1Light">
    <w:name w:val="Grid Table 1 Light"/>
    <w:basedOn w:val="TableNormal"/>
    <w:uiPriority w:val="46"/>
    <w:rsid w:val="00130B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30B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30B43"/>
    <w:pPr>
      <w:spacing w:after="0" w:line="240" w:lineRule="auto"/>
    </w:pPr>
    <w:rPr>
      <w:rFonts w:ascii="Times New Roman" w:eastAsia="Times New Roman" w:hAnsi="Times New Roman" w:cs="Times New Roman"/>
      <w:kern w:val="0"/>
      <w14:ligatures w14:val="none"/>
    </w:rPr>
  </w:style>
  <w:style w:type="character" w:customStyle="1" w:styleId="a-size-large">
    <w:name w:val="a-size-large"/>
    <w:basedOn w:val="DefaultParagraphFont"/>
    <w:rsid w:val="001C5A35"/>
  </w:style>
  <w:style w:type="character" w:customStyle="1" w:styleId="uv3um">
    <w:name w:val="uv3um"/>
    <w:basedOn w:val="DefaultParagraphFont"/>
    <w:rsid w:val="00795897"/>
  </w:style>
  <w:style w:type="paragraph" w:styleId="NoSpacing">
    <w:name w:val="No Spacing"/>
    <w:link w:val="NoSpacingChar"/>
    <w:uiPriority w:val="1"/>
    <w:qFormat/>
    <w:rsid w:val="00792822"/>
    <w:pPr>
      <w:spacing w:after="0" w:line="240" w:lineRule="auto"/>
    </w:pPr>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792822"/>
    <w:rPr>
      <w:rFonts w:eastAsiaTheme="minorEastAsia"/>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18302">
      <w:bodyDiv w:val="1"/>
      <w:marLeft w:val="0"/>
      <w:marRight w:val="0"/>
      <w:marTop w:val="0"/>
      <w:marBottom w:val="0"/>
      <w:divBdr>
        <w:top w:val="none" w:sz="0" w:space="0" w:color="auto"/>
        <w:left w:val="none" w:sz="0" w:space="0" w:color="auto"/>
        <w:bottom w:val="none" w:sz="0" w:space="0" w:color="auto"/>
        <w:right w:val="none" w:sz="0" w:space="0" w:color="auto"/>
      </w:divBdr>
    </w:div>
    <w:div w:id="157842533">
      <w:bodyDiv w:val="1"/>
      <w:marLeft w:val="0"/>
      <w:marRight w:val="0"/>
      <w:marTop w:val="0"/>
      <w:marBottom w:val="0"/>
      <w:divBdr>
        <w:top w:val="none" w:sz="0" w:space="0" w:color="auto"/>
        <w:left w:val="none" w:sz="0" w:space="0" w:color="auto"/>
        <w:bottom w:val="none" w:sz="0" w:space="0" w:color="auto"/>
        <w:right w:val="none" w:sz="0" w:space="0" w:color="auto"/>
      </w:divBdr>
    </w:div>
    <w:div w:id="166602564">
      <w:bodyDiv w:val="1"/>
      <w:marLeft w:val="0"/>
      <w:marRight w:val="0"/>
      <w:marTop w:val="0"/>
      <w:marBottom w:val="0"/>
      <w:divBdr>
        <w:top w:val="none" w:sz="0" w:space="0" w:color="auto"/>
        <w:left w:val="none" w:sz="0" w:space="0" w:color="auto"/>
        <w:bottom w:val="none" w:sz="0" w:space="0" w:color="auto"/>
        <w:right w:val="none" w:sz="0" w:space="0" w:color="auto"/>
      </w:divBdr>
    </w:div>
    <w:div w:id="332226881">
      <w:bodyDiv w:val="1"/>
      <w:marLeft w:val="0"/>
      <w:marRight w:val="0"/>
      <w:marTop w:val="0"/>
      <w:marBottom w:val="0"/>
      <w:divBdr>
        <w:top w:val="none" w:sz="0" w:space="0" w:color="auto"/>
        <w:left w:val="none" w:sz="0" w:space="0" w:color="auto"/>
        <w:bottom w:val="none" w:sz="0" w:space="0" w:color="auto"/>
        <w:right w:val="none" w:sz="0" w:space="0" w:color="auto"/>
      </w:divBdr>
      <w:divsChild>
        <w:div w:id="1750884593">
          <w:marLeft w:val="480"/>
          <w:marRight w:val="0"/>
          <w:marTop w:val="0"/>
          <w:marBottom w:val="0"/>
          <w:divBdr>
            <w:top w:val="none" w:sz="0" w:space="0" w:color="auto"/>
            <w:left w:val="none" w:sz="0" w:space="0" w:color="auto"/>
            <w:bottom w:val="none" w:sz="0" w:space="0" w:color="auto"/>
            <w:right w:val="none" w:sz="0" w:space="0" w:color="auto"/>
          </w:divBdr>
          <w:divsChild>
            <w:div w:id="112230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29806">
      <w:bodyDiv w:val="1"/>
      <w:marLeft w:val="0"/>
      <w:marRight w:val="0"/>
      <w:marTop w:val="0"/>
      <w:marBottom w:val="0"/>
      <w:divBdr>
        <w:top w:val="none" w:sz="0" w:space="0" w:color="auto"/>
        <w:left w:val="none" w:sz="0" w:space="0" w:color="auto"/>
        <w:bottom w:val="none" w:sz="0" w:space="0" w:color="auto"/>
        <w:right w:val="none" w:sz="0" w:space="0" w:color="auto"/>
      </w:divBdr>
    </w:div>
    <w:div w:id="423771752">
      <w:bodyDiv w:val="1"/>
      <w:marLeft w:val="0"/>
      <w:marRight w:val="0"/>
      <w:marTop w:val="0"/>
      <w:marBottom w:val="0"/>
      <w:divBdr>
        <w:top w:val="none" w:sz="0" w:space="0" w:color="auto"/>
        <w:left w:val="none" w:sz="0" w:space="0" w:color="auto"/>
        <w:bottom w:val="none" w:sz="0" w:space="0" w:color="auto"/>
        <w:right w:val="none" w:sz="0" w:space="0" w:color="auto"/>
      </w:divBdr>
      <w:divsChild>
        <w:div w:id="954479056">
          <w:marLeft w:val="480"/>
          <w:marRight w:val="0"/>
          <w:marTop w:val="0"/>
          <w:marBottom w:val="0"/>
          <w:divBdr>
            <w:top w:val="none" w:sz="0" w:space="0" w:color="auto"/>
            <w:left w:val="none" w:sz="0" w:space="0" w:color="auto"/>
            <w:bottom w:val="none" w:sz="0" w:space="0" w:color="auto"/>
            <w:right w:val="none" w:sz="0" w:space="0" w:color="auto"/>
          </w:divBdr>
          <w:divsChild>
            <w:div w:id="148932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913827">
      <w:bodyDiv w:val="1"/>
      <w:marLeft w:val="0"/>
      <w:marRight w:val="0"/>
      <w:marTop w:val="0"/>
      <w:marBottom w:val="0"/>
      <w:divBdr>
        <w:top w:val="none" w:sz="0" w:space="0" w:color="auto"/>
        <w:left w:val="none" w:sz="0" w:space="0" w:color="auto"/>
        <w:bottom w:val="none" w:sz="0" w:space="0" w:color="auto"/>
        <w:right w:val="none" w:sz="0" w:space="0" w:color="auto"/>
      </w:divBdr>
      <w:divsChild>
        <w:div w:id="1322923783">
          <w:marLeft w:val="480"/>
          <w:marRight w:val="0"/>
          <w:marTop w:val="0"/>
          <w:marBottom w:val="0"/>
          <w:divBdr>
            <w:top w:val="none" w:sz="0" w:space="0" w:color="auto"/>
            <w:left w:val="none" w:sz="0" w:space="0" w:color="auto"/>
            <w:bottom w:val="none" w:sz="0" w:space="0" w:color="auto"/>
            <w:right w:val="none" w:sz="0" w:space="0" w:color="auto"/>
          </w:divBdr>
          <w:divsChild>
            <w:div w:id="63668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6673">
      <w:bodyDiv w:val="1"/>
      <w:marLeft w:val="0"/>
      <w:marRight w:val="0"/>
      <w:marTop w:val="0"/>
      <w:marBottom w:val="0"/>
      <w:divBdr>
        <w:top w:val="none" w:sz="0" w:space="0" w:color="auto"/>
        <w:left w:val="none" w:sz="0" w:space="0" w:color="auto"/>
        <w:bottom w:val="none" w:sz="0" w:space="0" w:color="auto"/>
        <w:right w:val="none" w:sz="0" w:space="0" w:color="auto"/>
      </w:divBdr>
      <w:divsChild>
        <w:div w:id="428352739">
          <w:marLeft w:val="480"/>
          <w:marRight w:val="0"/>
          <w:marTop w:val="0"/>
          <w:marBottom w:val="0"/>
          <w:divBdr>
            <w:top w:val="none" w:sz="0" w:space="0" w:color="auto"/>
            <w:left w:val="none" w:sz="0" w:space="0" w:color="auto"/>
            <w:bottom w:val="none" w:sz="0" w:space="0" w:color="auto"/>
            <w:right w:val="none" w:sz="0" w:space="0" w:color="auto"/>
          </w:divBdr>
          <w:divsChild>
            <w:div w:id="1992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9392">
      <w:bodyDiv w:val="1"/>
      <w:marLeft w:val="0"/>
      <w:marRight w:val="0"/>
      <w:marTop w:val="0"/>
      <w:marBottom w:val="0"/>
      <w:divBdr>
        <w:top w:val="none" w:sz="0" w:space="0" w:color="auto"/>
        <w:left w:val="none" w:sz="0" w:space="0" w:color="auto"/>
        <w:bottom w:val="none" w:sz="0" w:space="0" w:color="auto"/>
        <w:right w:val="none" w:sz="0" w:space="0" w:color="auto"/>
      </w:divBdr>
    </w:div>
    <w:div w:id="817496980">
      <w:bodyDiv w:val="1"/>
      <w:marLeft w:val="0"/>
      <w:marRight w:val="0"/>
      <w:marTop w:val="0"/>
      <w:marBottom w:val="0"/>
      <w:divBdr>
        <w:top w:val="none" w:sz="0" w:space="0" w:color="auto"/>
        <w:left w:val="none" w:sz="0" w:space="0" w:color="auto"/>
        <w:bottom w:val="none" w:sz="0" w:space="0" w:color="auto"/>
        <w:right w:val="none" w:sz="0" w:space="0" w:color="auto"/>
      </w:divBdr>
    </w:div>
    <w:div w:id="844899304">
      <w:bodyDiv w:val="1"/>
      <w:marLeft w:val="0"/>
      <w:marRight w:val="0"/>
      <w:marTop w:val="0"/>
      <w:marBottom w:val="0"/>
      <w:divBdr>
        <w:top w:val="none" w:sz="0" w:space="0" w:color="auto"/>
        <w:left w:val="none" w:sz="0" w:space="0" w:color="auto"/>
        <w:bottom w:val="none" w:sz="0" w:space="0" w:color="auto"/>
        <w:right w:val="none" w:sz="0" w:space="0" w:color="auto"/>
      </w:divBdr>
    </w:div>
    <w:div w:id="862208744">
      <w:bodyDiv w:val="1"/>
      <w:marLeft w:val="0"/>
      <w:marRight w:val="0"/>
      <w:marTop w:val="0"/>
      <w:marBottom w:val="0"/>
      <w:divBdr>
        <w:top w:val="none" w:sz="0" w:space="0" w:color="auto"/>
        <w:left w:val="none" w:sz="0" w:space="0" w:color="auto"/>
        <w:bottom w:val="none" w:sz="0" w:space="0" w:color="auto"/>
        <w:right w:val="none" w:sz="0" w:space="0" w:color="auto"/>
      </w:divBdr>
      <w:divsChild>
        <w:div w:id="425342571">
          <w:marLeft w:val="480"/>
          <w:marRight w:val="0"/>
          <w:marTop w:val="0"/>
          <w:marBottom w:val="0"/>
          <w:divBdr>
            <w:top w:val="none" w:sz="0" w:space="0" w:color="auto"/>
            <w:left w:val="none" w:sz="0" w:space="0" w:color="auto"/>
            <w:bottom w:val="none" w:sz="0" w:space="0" w:color="auto"/>
            <w:right w:val="none" w:sz="0" w:space="0" w:color="auto"/>
          </w:divBdr>
          <w:divsChild>
            <w:div w:id="135950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650">
      <w:bodyDiv w:val="1"/>
      <w:marLeft w:val="0"/>
      <w:marRight w:val="0"/>
      <w:marTop w:val="0"/>
      <w:marBottom w:val="0"/>
      <w:divBdr>
        <w:top w:val="none" w:sz="0" w:space="0" w:color="auto"/>
        <w:left w:val="none" w:sz="0" w:space="0" w:color="auto"/>
        <w:bottom w:val="none" w:sz="0" w:space="0" w:color="auto"/>
        <w:right w:val="none" w:sz="0" w:space="0" w:color="auto"/>
      </w:divBdr>
    </w:div>
    <w:div w:id="1249466446">
      <w:bodyDiv w:val="1"/>
      <w:marLeft w:val="0"/>
      <w:marRight w:val="0"/>
      <w:marTop w:val="0"/>
      <w:marBottom w:val="0"/>
      <w:divBdr>
        <w:top w:val="none" w:sz="0" w:space="0" w:color="auto"/>
        <w:left w:val="none" w:sz="0" w:space="0" w:color="auto"/>
        <w:bottom w:val="none" w:sz="0" w:space="0" w:color="auto"/>
        <w:right w:val="none" w:sz="0" w:space="0" w:color="auto"/>
      </w:divBdr>
    </w:div>
    <w:div w:id="1364477050">
      <w:bodyDiv w:val="1"/>
      <w:marLeft w:val="0"/>
      <w:marRight w:val="0"/>
      <w:marTop w:val="0"/>
      <w:marBottom w:val="0"/>
      <w:divBdr>
        <w:top w:val="none" w:sz="0" w:space="0" w:color="auto"/>
        <w:left w:val="none" w:sz="0" w:space="0" w:color="auto"/>
        <w:bottom w:val="none" w:sz="0" w:space="0" w:color="auto"/>
        <w:right w:val="none" w:sz="0" w:space="0" w:color="auto"/>
      </w:divBdr>
    </w:div>
    <w:div w:id="1379552973">
      <w:bodyDiv w:val="1"/>
      <w:marLeft w:val="0"/>
      <w:marRight w:val="0"/>
      <w:marTop w:val="0"/>
      <w:marBottom w:val="0"/>
      <w:divBdr>
        <w:top w:val="none" w:sz="0" w:space="0" w:color="auto"/>
        <w:left w:val="none" w:sz="0" w:space="0" w:color="auto"/>
        <w:bottom w:val="none" w:sz="0" w:space="0" w:color="auto"/>
        <w:right w:val="none" w:sz="0" w:space="0" w:color="auto"/>
      </w:divBdr>
    </w:div>
    <w:div w:id="1476797105">
      <w:bodyDiv w:val="1"/>
      <w:marLeft w:val="0"/>
      <w:marRight w:val="0"/>
      <w:marTop w:val="0"/>
      <w:marBottom w:val="0"/>
      <w:divBdr>
        <w:top w:val="none" w:sz="0" w:space="0" w:color="auto"/>
        <w:left w:val="none" w:sz="0" w:space="0" w:color="auto"/>
        <w:bottom w:val="none" w:sz="0" w:space="0" w:color="auto"/>
        <w:right w:val="none" w:sz="0" w:space="0" w:color="auto"/>
      </w:divBdr>
    </w:div>
    <w:div w:id="1494179844">
      <w:bodyDiv w:val="1"/>
      <w:marLeft w:val="0"/>
      <w:marRight w:val="0"/>
      <w:marTop w:val="0"/>
      <w:marBottom w:val="0"/>
      <w:divBdr>
        <w:top w:val="none" w:sz="0" w:space="0" w:color="auto"/>
        <w:left w:val="none" w:sz="0" w:space="0" w:color="auto"/>
        <w:bottom w:val="none" w:sz="0" w:space="0" w:color="auto"/>
        <w:right w:val="none" w:sz="0" w:space="0" w:color="auto"/>
      </w:divBdr>
    </w:div>
    <w:div w:id="1563564193">
      <w:bodyDiv w:val="1"/>
      <w:marLeft w:val="0"/>
      <w:marRight w:val="0"/>
      <w:marTop w:val="0"/>
      <w:marBottom w:val="0"/>
      <w:divBdr>
        <w:top w:val="none" w:sz="0" w:space="0" w:color="auto"/>
        <w:left w:val="none" w:sz="0" w:space="0" w:color="auto"/>
        <w:bottom w:val="none" w:sz="0" w:space="0" w:color="auto"/>
        <w:right w:val="none" w:sz="0" w:space="0" w:color="auto"/>
      </w:divBdr>
    </w:div>
    <w:div w:id="1564489446">
      <w:bodyDiv w:val="1"/>
      <w:marLeft w:val="0"/>
      <w:marRight w:val="0"/>
      <w:marTop w:val="0"/>
      <w:marBottom w:val="0"/>
      <w:divBdr>
        <w:top w:val="none" w:sz="0" w:space="0" w:color="auto"/>
        <w:left w:val="none" w:sz="0" w:space="0" w:color="auto"/>
        <w:bottom w:val="none" w:sz="0" w:space="0" w:color="auto"/>
        <w:right w:val="none" w:sz="0" w:space="0" w:color="auto"/>
      </w:divBdr>
    </w:div>
    <w:div w:id="1577518538">
      <w:bodyDiv w:val="1"/>
      <w:marLeft w:val="0"/>
      <w:marRight w:val="0"/>
      <w:marTop w:val="0"/>
      <w:marBottom w:val="0"/>
      <w:divBdr>
        <w:top w:val="none" w:sz="0" w:space="0" w:color="auto"/>
        <w:left w:val="none" w:sz="0" w:space="0" w:color="auto"/>
        <w:bottom w:val="none" w:sz="0" w:space="0" w:color="auto"/>
        <w:right w:val="none" w:sz="0" w:space="0" w:color="auto"/>
      </w:divBdr>
    </w:div>
    <w:div w:id="1726683256">
      <w:bodyDiv w:val="1"/>
      <w:marLeft w:val="0"/>
      <w:marRight w:val="0"/>
      <w:marTop w:val="0"/>
      <w:marBottom w:val="0"/>
      <w:divBdr>
        <w:top w:val="none" w:sz="0" w:space="0" w:color="auto"/>
        <w:left w:val="none" w:sz="0" w:space="0" w:color="auto"/>
        <w:bottom w:val="none" w:sz="0" w:space="0" w:color="auto"/>
        <w:right w:val="none" w:sz="0" w:space="0" w:color="auto"/>
      </w:divBdr>
    </w:div>
    <w:div w:id="2064788409">
      <w:bodyDiv w:val="1"/>
      <w:marLeft w:val="0"/>
      <w:marRight w:val="0"/>
      <w:marTop w:val="0"/>
      <w:marBottom w:val="0"/>
      <w:divBdr>
        <w:top w:val="none" w:sz="0" w:space="0" w:color="auto"/>
        <w:left w:val="none" w:sz="0" w:space="0" w:color="auto"/>
        <w:bottom w:val="none" w:sz="0" w:space="0" w:color="auto"/>
        <w:right w:val="none" w:sz="0" w:space="0" w:color="auto"/>
      </w:divBdr>
    </w:div>
    <w:div w:id="2073312094">
      <w:bodyDiv w:val="1"/>
      <w:marLeft w:val="0"/>
      <w:marRight w:val="0"/>
      <w:marTop w:val="0"/>
      <w:marBottom w:val="0"/>
      <w:divBdr>
        <w:top w:val="none" w:sz="0" w:space="0" w:color="auto"/>
        <w:left w:val="none" w:sz="0" w:space="0" w:color="auto"/>
        <w:bottom w:val="none" w:sz="0" w:space="0" w:color="auto"/>
        <w:right w:val="none" w:sz="0" w:space="0" w:color="auto"/>
      </w:divBdr>
      <w:divsChild>
        <w:div w:id="879321655">
          <w:marLeft w:val="480"/>
          <w:marRight w:val="0"/>
          <w:marTop w:val="0"/>
          <w:marBottom w:val="0"/>
          <w:divBdr>
            <w:top w:val="none" w:sz="0" w:space="0" w:color="auto"/>
            <w:left w:val="none" w:sz="0" w:space="0" w:color="auto"/>
            <w:bottom w:val="none" w:sz="0" w:space="0" w:color="auto"/>
            <w:right w:val="none" w:sz="0" w:space="0" w:color="auto"/>
          </w:divBdr>
          <w:divsChild>
            <w:div w:id="12388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8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00442-009-1547-y" TargetMode="External"/><Relationship Id="rId117" Type="http://schemas.openxmlformats.org/officeDocument/2006/relationships/image" Target="media/image14.png"/><Relationship Id="rId21" Type="http://schemas.openxmlformats.org/officeDocument/2006/relationships/hyperlink" Target="https://doi.org/10.1073/pnas.1633576100" TargetMode="External"/><Relationship Id="rId42" Type="http://schemas.openxmlformats.org/officeDocument/2006/relationships/hyperlink" Target="https://doi.org/10.1111/j.1461-0248.2011.01639.x" TargetMode="External"/><Relationship Id="rId47" Type="http://schemas.openxmlformats.org/officeDocument/2006/relationships/hyperlink" Target="https://doi.org/10.1111/btp.12738" TargetMode="External"/><Relationship Id="rId63" Type="http://schemas.openxmlformats.org/officeDocument/2006/relationships/hyperlink" Target="https://doi.org/10.1046/j.1461-0248.2003.00403.x" TargetMode="External"/><Relationship Id="rId68" Type="http://schemas.openxmlformats.org/officeDocument/2006/relationships/hyperlink" Target="https://doi.org/10.1111/btp.12804" TargetMode="External"/><Relationship Id="rId84" Type="http://schemas.openxmlformats.org/officeDocument/2006/relationships/hyperlink" Target="https://doi.org/10.1016/j.biocon.2013.06.026" TargetMode="External"/><Relationship Id="rId89" Type="http://schemas.openxmlformats.org/officeDocument/2006/relationships/hyperlink" Target="https://doi.org/10.1111/oik.08175" TargetMode="External"/><Relationship Id="rId112" Type="http://schemas.openxmlformats.org/officeDocument/2006/relationships/image" Target="media/image9.png"/><Relationship Id="rId16" Type="http://schemas.openxmlformats.org/officeDocument/2006/relationships/hyperlink" Target="https://doi.org/10.1186/1472-6785-11-29" TargetMode="External"/><Relationship Id="rId107" Type="http://schemas.openxmlformats.org/officeDocument/2006/relationships/hyperlink" Target="https://fw8051statistics4ecologists.netlify.app/references" TargetMode="External"/><Relationship Id="rId11" Type="http://schemas.openxmlformats.org/officeDocument/2006/relationships/hyperlink" Target="https://doi.org/10.1016/j.tree.2021.04.001" TargetMode="External"/><Relationship Id="rId32" Type="http://schemas.openxmlformats.org/officeDocument/2006/relationships/hyperlink" Target="https://doi.org/10.1111/1365-2745.13132" TargetMode="External"/><Relationship Id="rId37" Type="http://schemas.openxmlformats.org/officeDocument/2006/relationships/hyperlink" Target="https://doi.org/10.1046/j.1523-1739.1996.10020491.x" TargetMode="External"/><Relationship Id="rId53" Type="http://schemas.openxmlformats.org/officeDocument/2006/relationships/hyperlink" Target="https://doi.org/10.1111/1365-2664.12530" TargetMode="External"/><Relationship Id="rId58" Type="http://schemas.openxmlformats.org/officeDocument/2006/relationships/hyperlink" Target="https://doi.org/10.1111/1365-2664.13684" TargetMode="External"/><Relationship Id="rId74" Type="http://schemas.openxmlformats.org/officeDocument/2006/relationships/hyperlink" Target="https://doi.org/10.1073/pnas.0601602103" TargetMode="External"/><Relationship Id="rId79" Type="http://schemas.openxmlformats.org/officeDocument/2006/relationships/hyperlink" Target="https://doi.org/10.1126/science.1214915" TargetMode="External"/><Relationship Id="rId102" Type="http://schemas.openxmlformats.org/officeDocument/2006/relationships/hyperlink" Target="https://doi.org/10.1016/j.actao.2021.103805"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doi.org/10.1111/geb.12134" TargetMode="External"/><Relationship Id="rId95" Type="http://schemas.openxmlformats.org/officeDocument/2006/relationships/hyperlink" Target="https://doi.org/10.1111/1365-2664.13731" TargetMode="External"/><Relationship Id="rId22" Type="http://schemas.openxmlformats.org/officeDocument/2006/relationships/hyperlink" Target="https://doi.org/10.1017/S0376892918000334" TargetMode="External"/><Relationship Id="rId27" Type="http://schemas.openxmlformats.org/officeDocument/2006/relationships/hyperlink" Target="https://doi.org/10.1007/s10531-017-1453-2" TargetMode="External"/><Relationship Id="rId43" Type="http://schemas.openxmlformats.org/officeDocument/2006/relationships/hyperlink" Target="https://doi.org/10.1098/rspb.2016.2664" TargetMode="External"/><Relationship Id="rId48" Type="http://schemas.openxmlformats.org/officeDocument/2006/relationships/hyperlink" Target="https://doi.org/10.1007/978-3-319-68228-0_7" TargetMode="External"/><Relationship Id="rId64" Type="http://schemas.openxmlformats.org/officeDocument/2006/relationships/hyperlink" Target="https://doi.org/10.5751/ES-08149-200443" TargetMode="External"/><Relationship Id="rId69" Type="http://schemas.openxmlformats.org/officeDocument/2006/relationships/hyperlink" Target="https://doi.org/10.1111/ecog.05838" TargetMode="External"/><Relationship Id="rId113" Type="http://schemas.openxmlformats.org/officeDocument/2006/relationships/image" Target="media/image10.png"/><Relationship Id="rId118" Type="http://schemas.openxmlformats.org/officeDocument/2006/relationships/image" Target="media/image15.png"/><Relationship Id="rId80" Type="http://schemas.openxmlformats.org/officeDocument/2006/relationships/hyperlink" Target="https://doi.org/10.1111/oik.08379" TargetMode="External"/><Relationship Id="rId85" Type="http://schemas.openxmlformats.org/officeDocument/2006/relationships/hyperlink" Target="https://doi.org/10.1111/rec.12244" TargetMode="External"/><Relationship Id="rId12" Type="http://schemas.openxmlformats.org/officeDocument/2006/relationships/hyperlink" Target="https://doi.org/10.1016/j.baae.2015.09.007" TargetMode="External"/><Relationship Id="rId17" Type="http://schemas.openxmlformats.org/officeDocument/2006/relationships/hyperlink" Target="https://doi.org/10.1111/cobi.13425" TargetMode="External"/><Relationship Id="rId33" Type="http://schemas.openxmlformats.org/officeDocument/2006/relationships/hyperlink" Target="https://doi.org/10.1078/1433-8319-00042" TargetMode="External"/><Relationship Id="rId38" Type="http://schemas.openxmlformats.org/officeDocument/2006/relationships/hyperlink" Target="https://doi.org/10.1016/j.jnc.2016.08.007" TargetMode="External"/><Relationship Id="rId59" Type="http://schemas.openxmlformats.org/officeDocument/2006/relationships/hyperlink" Target="https://doi.org/10.1016/j.gecco.2016.03.002" TargetMode="External"/><Relationship Id="rId103" Type="http://schemas.openxmlformats.org/officeDocument/2006/relationships/hyperlink" Target="https://doi.org/10.1098/rspb.2022.1490" TargetMode="External"/><Relationship Id="rId108" Type="http://schemas.openxmlformats.org/officeDocument/2006/relationships/image" Target="media/image5.png"/><Relationship Id="rId54" Type="http://schemas.openxmlformats.org/officeDocument/2006/relationships/hyperlink" Target="https://doi.org/10.1016/j.biocon.2021.109393" TargetMode="External"/><Relationship Id="rId70" Type="http://schemas.openxmlformats.org/officeDocument/2006/relationships/hyperlink" Target="https://doi.org/10.1038/s41559-020-1154-1" TargetMode="External"/><Relationship Id="rId75" Type="http://schemas.openxmlformats.org/officeDocument/2006/relationships/hyperlink" Target="https://doi.org/10.1007/s00442-021-05102-7" TargetMode="External"/><Relationship Id="rId91" Type="http://schemas.openxmlformats.org/officeDocument/2006/relationships/hyperlink" Target="https://doi.org/10.1111/ecog.00983" TargetMode="External"/><Relationship Id="rId96" Type="http://schemas.openxmlformats.org/officeDocument/2006/relationships/hyperlink" Target="https://doi.org/10.1016/j.pecon.2021.05.00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38/nature07950" TargetMode="External"/><Relationship Id="rId28" Type="http://schemas.openxmlformats.org/officeDocument/2006/relationships/hyperlink" Target="https://doi.org/10.1111/1365-2664.13697" TargetMode="External"/><Relationship Id="rId49" Type="http://schemas.openxmlformats.org/officeDocument/2006/relationships/hyperlink" Target="https://doi.org/10.1016/j.ecocom.2020.100870" TargetMode="External"/><Relationship Id="rId114" Type="http://schemas.openxmlformats.org/officeDocument/2006/relationships/image" Target="media/image11.png"/><Relationship Id="rId119" Type="http://schemas.openxmlformats.org/officeDocument/2006/relationships/hyperlink" Target="https://www.inaturalist.org/taxa/42675-Marmosa-lepida" TargetMode="External"/><Relationship Id="rId44" Type="http://schemas.openxmlformats.org/officeDocument/2006/relationships/hyperlink" Target="https://doi.org/10.1111/geb.12833" TargetMode="External"/><Relationship Id="rId60" Type="http://schemas.openxmlformats.org/officeDocument/2006/relationships/hyperlink" Target="https://doi.org/10.1146/annurev.es.13.110182.001221" TargetMode="External"/><Relationship Id="rId65" Type="http://schemas.openxmlformats.org/officeDocument/2006/relationships/hyperlink" Target="https://doi.org/10.1002/ajp.20879" TargetMode="External"/><Relationship Id="rId81" Type="http://schemas.openxmlformats.org/officeDocument/2006/relationships/hyperlink" Target="https://doi.org/10.1111/ecog.03247" TargetMode="External"/><Relationship Id="rId86" Type="http://schemas.openxmlformats.org/officeDocument/2006/relationships/hyperlink" Target="https://doi.org/10.1111/rec.12244"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doi.org/10.1002/ece3.10459" TargetMode="External"/><Relationship Id="rId18" Type="http://schemas.openxmlformats.org/officeDocument/2006/relationships/hyperlink" Target="https://doi.org/10.1126/science.1199092" TargetMode="External"/><Relationship Id="rId39" Type="http://schemas.openxmlformats.org/officeDocument/2006/relationships/hyperlink" Target="https://doi.org/10.1111/1365-2435.13815" TargetMode="External"/><Relationship Id="rId109" Type="http://schemas.openxmlformats.org/officeDocument/2006/relationships/image" Target="media/image6.png"/><Relationship Id="rId34" Type="http://schemas.openxmlformats.org/officeDocument/2006/relationships/hyperlink" Target="https://doi.org/10.1111/cobi.12782" TargetMode="External"/><Relationship Id="rId50" Type="http://schemas.openxmlformats.org/officeDocument/2006/relationships/hyperlink" Target="https://doi.org/10.1111/j.1365-2656.2010.01688.x" TargetMode="External"/><Relationship Id="rId55" Type="http://schemas.openxmlformats.org/officeDocument/2006/relationships/hyperlink" Target="https://doi.org/10.1016/B978-0-12-396992-7.00002-2" TargetMode="External"/><Relationship Id="rId76" Type="http://schemas.openxmlformats.org/officeDocument/2006/relationships/hyperlink" Target="https://doi.org/10.1111/1365-2745.13809" TargetMode="External"/><Relationship Id="rId97" Type="http://schemas.openxmlformats.org/officeDocument/2006/relationships/hyperlink" Target="https://doi.org/10.1038/s41467-017-02658-y" TargetMode="External"/><Relationship Id="rId104" Type="http://schemas.openxmlformats.org/officeDocument/2006/relationships/hyperlink" Target="https://doi.org/10.1016/S0378-1127(97)00208-9" TargetMode="External"/><Relationship Id="rId120"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s://doi.org/10.1089/eco.2020.0003" TargetMode="External"/><Relationship Id="rId92" Type="http://schemas.openxmlformats.org/officeDocument/2006/relationships/hyperlink" Target="https://doi.org/10.1016/j.cub.2012.08.015" TargetMode="External"/><Relationship Id="rId2" Type="http://schemas.openxmlformats.org/officeDocument/2006/relationships/numbering" Target="numbering.xml"/><Relationship Id="rId29" Type="http://schemas.openxmlformats.org/officeDocument/2006/relationships/hyperlink" Target="https://doi.org/10.1890/15-2147.1" TargetMode="External"/><Relationship Id="rId24" Type="http://schemas.openxmlformats.org/officeDocument/2006/relationships/hyperlink" Target="https://doi.org/10.1016/j.gecco.2014.08.007" TargetMode="External"/><Relationship Id="rId40" Type="http://schemas.openxmlformats.org/officeDocument/2006/relationships/hyperlink" Target="https://doi.org/10.1098/rspb.2015.2444" TargetMode="External"/><Relationship Id="rId45" Type="http://schemas.openxmlformats.org/officeDocument/2006/relationships/hyperlink" Target="https://doi.org/10.1079/9780851995250.0437" TargetMode="External"/><Relationship Id="rId66" Type="http://schemas.openxmlformats.org/officeDocument/2006/relationships/hyperlink" Target="https://doi.org/10.1007/s10531-012-0364-5" TargetMode="External"/><Relationship Id="rId87" Type="http://schemas.openxmlformats.org/officeDocument/2006/relationships/hyperlink" Target="https://doi.org/10.1111/oik.01613" TargetMode="External"/><Relationship Id="rId110" Type="http://schemas.openxmlformats.org/officeDocument/2006/relationships/image" Target="media/image7.png"/><Relationship Id="rId115" Type="http://schemas.openxmlformats.org/officeDocument/2006/relationships/image" Target="media/image12.png"/><Relationship Id="rId61" Type="http://schemas.openxmlformats.org/officeDocument/2006/relationships/hyperlink" Target="https://doi.org/10.1086/284665" TargetMode="External"/><Relationship Id="rId82" Type="http://schemas.openxmlformats.org/officeDocument/2006/relationships/hyperlink" Target="https://doi.org/10.1007/s00114-018-1556-y" TargetMode="External"/><Relationship Id="rId19" Type="http://schemas.openxmlformats.org/officeDocument/2006/relationships/hyperlink" Target="https://doi.org/10.1111/j.1438-8677.1996.tb00806.x" TargetMode="External"/><Relationship Id="rId14" Type="http://schemas.openxmlformats.org/officeDocument/2006/relationships/image" Target="media/image1.png"/><Relationship Id="rId30" Type="http://schemas.openxmlformats.org/officeDocument/2006/relationships/hyperlink" Target="https://doi.org/10.1111/j.1365-2656.2011.01883.x" TargetMode="External"/><Relationship Id="rId35" Type="http://schemas.openxmlformats.org/officeDocument/2006/relationships/hyperlink" Target="https://doi.org/10.1111/cobi.12782" TargetMode="External"/><Relationship Id="rId56" Type="http://schemas.openxmlformats.org/officeDocument/2006/relationships/hyperlink" Target="https://doi.org/10.1111/oik.08279" TargetMode="External"/><Relationship Id="rId77" Type="http://schemas.openxmlformats.org/officeDocument/2006/relationships/hyperlink" Target="https://doi.org/10.1093/jpe/rtw063" TargetMode="External"/><Relationship Id="rId100" Type="http://schemas.openxmlformats.org/officeDocument/2006/relationships/hyperlink" Target="https://doi.org/10.1016/j.ncon.2015.03.005" TargetMode="External"/><Relationship Id="rId105" Type="http://schemas.openxmlformats.org/officeDocument/2006/relationships/image" Target="media/image3.png"/><Relationship Id="rId8" Type="http://schemas.openxmlformats.org/officeDocument/2006/relationships/header" Target="header1.xml"/><Relationship Id="rId51" Type="http://schemas.openxmlformats.org/officeDocument/2006/relationships/hyperlink" Target="https://doi.org/10.1111/j.1365-2664.2007.01390.x" TargetMode="External"/><Relationship Id="rId72" Type="http://schemas.openxmlformats.org/officeDocument/2006/relationships/hyperlink" Target="https://doi.org/10.1111/1365-2656.13005" TargetMode="External"/><Relationship Id="rId93" Type="http://schemas.openxmlformats.org/officeDocument/2006/relationships/hyperlink" Target="https://doi.org/10.1111/j.1469-8137.2010.03402.x" TargetMode="External"/><Relationship Id="rId98" Type="http://schemas.openxmlformats.org/officeDocument/2006/relationships/hyperlink" Target="https://doi.org/10.1016/j.cub.2016.01.046" TargetMode="External"/><Relationship Id="rId121" Type="http://schemas.openxmlformats.org/officeDocument/2006/relationships/header" Target="header5.xml"/><Relationship Id="rId3" Type="http://schemas.openxmlformats.org/officeDocument/2006/relationships/styles" Target="styles.xml"/><Relationship Id="rId25" Type="http://schemas.openxmlformats.org/officeDocument/2006/relationships/hyperlink" Target="https://doi.org/10.1111/btp.12329" TargetMode="External"/><Relationship Id="rId46" Type="http://schemas.openxmlformats.org/officeDocument/2006/relationships/hyperlink" Target="https://doi.org/10.1016/j.biocon.2013.07.007" TargetMode="External"/><Relationship Id="rId67" Type="http://schemas.openxmlformats.org/officeDocument/2006/relationships/hyperlink" Target="https://doi.org/10.1111/j.1523-1739.2012.01927.x" TargetMode="External"/><Relationship Id="rId116" Type="http://schemas.openxmlformats.org/officeDocument/2006/relationships/image" Target="media/image13.png"/><Relationship Id="rId20" Type="http://schemas.openxmlformats.org/officeDocument/2006/relationships/hyperlink" Target="https://doi.org/10.1146/annurev.ecolsys.38.091206.095818" TargetMode="External"/><Relationship Id="rId41" Type="http://schemas.openxmlformats.org/officeDocument/2006/relationships/hyperlink" Target="https://doi.org/10.1002/ecy.3028" TargetMode="External"/><Relationship Id="rId62" Type="http://schemas.openxmlformats.org/officeDocument/2006/relationships/hyperlink" Target="https://doi.org/10.1111/1365-2435.12763" TargetMode="External"/><Relationship Id="rId83" Type="http://schemas.openxmlformats.org/officeDocument/2006/relationships/hyperlink" Target="https://doi.org/10.1016/j.biocon.2022.109822" TargetMode="External"/><Relationship Id="rId88" Type="http://schemas.openxmlformats.org/officeDocument/2006/relationships/hyperlink" Target="https://doi.org/10.1007/s00442-014-3056-x" TargetMode="External"/><Relationship Id="rId111" Type="http://schemas.openxmlformats.org/officeDocument/2006/relationships/image" Target="media/image8.png"/><Relationship Id="rId15" Type="http://schemas.openxmlformats.org/officeDocument/2006/relationships/image" Target="media/image2.png"/><Relationship Id="rId36" Type="http://schemas.openxmlformats.org/officeDocument/2006/relationships/hyperlink" Target="https://doi.org/10.1111/1365-2435.14171" TargetMode="External"/><Relationship Id="rId57" Type="http://schemas.openxmlformats.org/officeDocument/2006/relationships/hyperlink" Target="https://doi.org/10.1007/s10530-012-0357-z" TargetMode="External"/><Relationship Id="rId106" Type="http://schemas.openxmlformats.org/officeDocument/2006/relationships/image" Target="media/image4.png"/><Relationship Id="rId10" Type="http://schemas.openxmlformats.org/officeDocument/2006/relationships/header" Target="header3.xml"/><Relationship Id="rId31" Type="http://schemas.openxmlformats.org/officeDocument/2006/relationships/hyperlink" Target="https://doi.org/10.1371/journal.pone.0054956" TargetMode="External"/><Relationship Id="rId52" Type="http://schemas.openxmlformats.org/officeDocument/2006/relationships/hyperlink" Target="https://doi.org/10.1126/science.1233774" TargetMode="External"/><Relationship Id="rId73" Type="http://schemas.openxmlformats.org/officeDocument/2006/relationships/hyperlink" Target="https://doi.org/10.1038/srep29839" TargetMode="External"/><Relationship Id="rId78" Type="http://schemas.openxmlformats.org/officeDocument/2006/relationships/hyperlink" Target="https://doi.org/10.1017/S0266467418000226" TargetMode="External"/><Relationship Id="rId94" Type="http://schemas.openxmlformats.org/officeDocument/2006/relationships/hyperlink" Target="https://doi.org/10.1111/geb.12270" TargetMode="External"/><Relationship Id="rId99" Type="http://schemas.openxmlformats.org/officeDocument/2006/relationships/hyperlink" Target="https://doi.org/10.1016/j.biocon.2009.12.004" TargetMode="External"/><Relationship Id="rId101" Type="http://schemas.openxmlformats.org/officeDocument/2006/relationships/hyperlink" Target="https://doi.org/10.1016/j.biocon.2013.03.025"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D7187-B172-3A47-9DD4-398C0706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164</Pages>
  <Words>151579</Words>
  <Characters>773056</Characters>
  <Application>Microsoft Office Word</Application>
  <DocSecurity>0</DocSecurity>
  <Lines>17978</Lines>
  <Paragraphs>8561</Paragraphs>
  <ScaleCrop>false</ScaleCrop>
  <HeadingPairs>
    <vt:vector size="2" baseType="variant">
      <vt:variant>
        <vt:lpstr>Title</vt:lpstr>
      </vt:variant>
      <vt:variant>
        <vt:i4>1</vt:i4>
      </vt:variant>
    </vt:vector>
  </HeadingPairs>
  <TitlesOfParts>
    <vt:vector size="1" baseType="lpstr">
      <vt:lpstr>The reassembly of faunal communities and species interactions in regenerating tropical forests and their potential applications to restoration initiatives</vt:lpstr>
    </vt:vector>
  </TitlesOfParts>
  <Manager/>
  <Company/>
  <LinksUpToDate>false</LinksUpToDate>
  <CharactersWithSpaces>916074</CharactersWithSpaces>
  <SharedDoc>false</SharedDoc>
  <HyperlinkBase/>
  <HLinks>
    <vt:vector size="960" baseType="variant">
      <vt:variant>
        <vt:i4>1114118</vt:i4>
      </vt:variant>
      <vt:variant>
        <vt:i4>1103</vt:i4>
      </vt:variant>
      <vt:variant>
        <vt:i4>0</vt:i4>
      </vt:variant>
      <vt:variant>
        <vt:i4>5</vt:i4>
      </vt:variant>
      <vt:variant>
        <vt:lpwstr>https://fw8051statistics4ecologists.netlify.app/references</vt:lpwstr>
      </vt:variant>
      <vt:variant>
        <vt:lpwstr>ref-dormann2013collinearity</vt:lpwstr>
      </vt:variant>
      <vt:variant>
        <vt:i4>196610</vt:i4>
      </vt:variant>
      <vt:variant>
        <vt:i4>1005</vt:i4>
      </vt:variant>
      <vt:variant>
        <vt:i4>0</vt:i4>
      </vt:variant>
      <vt:variant>
        <vt:i4>5</vt:i4>
      </vt:variant>
      <vt:variant>
        <vt:lpwstr>https://doi.org/10.1016/S0378-1127(97)00208-9</vt:lpwstr>
      </vt:variant>
      <vt:variant>
        <vt:lpwstr/>
      </vt:variant>
      <vt:variant>
        <vt:i4>2162804</vt:i4>
      </vt:variant>
      <vt:variant>
        <vt:i4>1002</vt:i4>
      </vt:variant>
      <vt:variant>
        <vt:i4>0</vt:i4>
      </vt:variant>
      <vt:variant>
        <vt:i4>5</vt:i4>
      </vt:variant>
      <vt:variant>
        <vt:lpwstr>https://doi.org/10.1098/rspb.2022.1490</vt:lpwstr>
      </vt:variant>
      <vt:variant>
        <vt:lpwstr/>
      </vt:variant>
      <vt:variant>
        <vt:i4>2293866</vt:i4>
      </vt:variant>
      <vt:variant>
        <vt:i4>999</vt:i4>
      </vt:variant>
      <vt:variant>
        <vt:i4>0</vt:i4>
      </vt:variant>
      <vt:variant>
        <vt:i4>5</vt:i4>
      </vt:variant>
      <vt:variant>
        <vt:lpwstr>https://doi.org/10.1016/j.actao.2021.103805</vt:lpwstr>
      </vt:variant>
      <vt:variant>
        <vt:lpwstr/>
      </vt:variant>
      <vt:variant>
        <vt:i4>4390997</vt:i4>
      </vt:variant>
      <vt:variant>
        <vt:i4>996</vt:i4>
      </vt:variant>
      <vt:variant>
        <vt:i4>0</vt:i4>
      </vt:variant>
      <vt:variant>
        <vt:i4>5</vt:i4>
      </vt:variant>
      <vt:variant>
        <vt:lpwstr>https://doi.org/10.1016/j.biocon.2013.03.025</vt:lpwstr>
      </vt:variant>
      <vt:variant>
        <vt:lpwstr/>
      </vt:variant>
      <vt:variant>
        <vt:i4>2752562</vt:i4>
      </vt:variant>
      <vt:variant>
        <vt:i4>993</vt:i4>
      </vt:variant>
      <vt:variant>
        <vt:i4>0</vt:i4>
      </vt:variant>
      <vt:variant>
        <vt:i4>5</vt:i4>
      </vt:variant>
      <vt:variant>
        <vt:lpwstr>https://doi.org/10.1016/j.ncon.2015.03.005</vt:lpwstr>
      </vt:variant>
      <vt:variant>
        <vt:lpwstr/>
      </vt:variant>
      <vt:variant>
        <vt:i4>4325468</vt:i4>
      </vt:variant>
      <vt:variant>
        <vt:i4>990</vt:i4>
      </vt:variant>
      <vt:variant>
        <vt:i4>0</vt:i4>
      </vt:variant>
      <vt:variant>
        <vt:i4>5</vt:i4>
      </vt:variant>
      <vt:variant>
        <vt:lpwstr>https://doi.org/10.1016/j.biocon.2009.12.004</vt:lpwstr>
      </vt:variant>
      <vt:variant>
        <vt:lpwstr/>
      </vt:variant>
      <vt:variant>
        <vt:i4>4915227</vt:i4>
      </vt:variant>
      <vt:variant>
        <vt:i4>987</vt:i4>
      </vt:variant>
      <vt:variant>
        <vt:i4>0</vt:i4>
      </vt:variant>
      <vt:variant>
        <vt:i4>5</vt:i4>
      </vt:variant>
      <vt:variant>
        <vt:lpwstr>https://doi.org/10.1016/j.cub.2016.01.046</vt:lpwstr>
      </vt:variant>
      <vt:variant>
        <vt:lpwstr/>
      </vt:variant>
      <vt:variant>
        <vt:i4>6750269</vt:i4>
      </vt:variant>
      <vt:variant>
        <vt:i4>984</vt:i4>
      </vt:variant>
      <vt:variant>
        <vt:i4>0</vt:i4>
      </vt:variant>
      <vt:variant>
        <vt:i4>5</vt:i4>
      </vt:variant>
      <vt:variant>
        <vt:lpwstr>https://doi.org/10.1038/s41467-017-02658-y</vt:lpwstr>
      </vt:variant>
      <vt:variant>
        <vt:lpwstr/>
      </vt:variant>
      <vt:variant>
        <vt:i4>3604576</vt:i4>
      </vt:variant>
      <vt:variant>
        <vt:i4>981</vt:i4>
      </vt:variant>
      <vt:variant>
        <vt:i4>0</vt:i4>
      </vt:variant>
      <vt:variant>
        <vt:i4>5</vt:i4>
      </vt:variant>
      <vt:variant>
        <vt:lpwstr>https://doi.org/10.1016/j.pecon.2021.05.002</vt:lpwstr>
      </vt:variant>
      <vt:variant>
        <vt:lpwstr/>
      </vt:variant>
      <vt:variant>
        <vt:i4>4063348</vt:i4>
      </vt:variant>
      <vt:variant>
        <vt:i4>978</vt:i4>
      </vt:variant>
      <vt:variant>
        <vt:i4>0</vt:i4>
      </vt:variant>
      <vt:variant>
        <vt:i4>5</vt:i4>
      </vt:variant>
      <vt:variant>
        <vt:lpwstr>https://doi.org/10.1111/1365-2664.13731</vt:lpwstr>
      </vt:variant>
      <vt:variant>
        <vt:lpwstr/>
      </vt:variant>
      <vt:variant>
        <vt:i4>6029404</vt:i4>
      </vt:variant>
      <vt:variant>
        <vt:i4>975</vt:i4>
      </vt:variant>
      <vt:variant>
        <vt:i4>0</vt:i4>
      </vt:variant>
      <vt:variant>
        <vt:i4>5</vt:i4>
      </vt:variant>
      <vt:variant>
        <vt:lpwstr>https://doi.org/10.1111/geb.12270</vt:lpwstr>
      </vt:variant>
      <vt:variant>
        <vt:lpwstr/>
      </vt:variant>
      <vt:variant>
        <vt:i4>5898268</vt:i4>
      </vt:variant>
      <vt:variant>
        <vt:i4>972</vt:i4>
      </vt:variant>
      <vt:variant>
        <vt:i4>0</vt:i4>
      </vt:variant>
      <vt:variant>
        <vt:i4>5</vt:i4>
      </vt:variant>
      <vt:variant>
        <vt:lpwstr>https://doi.org/10.1111/j.1469-8137.2010.03402.x</vt:lpwstr>
      </vt:variant>
      <vt:variant>
        <vt:lpwstr/>
      </vt:variant>
      <vt:variant>
        <vt:i4>4849682</vt:i4>
      </vt:variant>
      <vt:variant>
        <vt:i4>969</vt:i4>
      </vt:variant>
      <vt:variant>
        <vt:i4>0</vt:i4>
      </vt:variant>
      <vt:variant>
        <vt:i4>5</vt:i4>
      </vt:variant>
      <vt:variant>
        <vt:lpwstr>https://doi.org/10.1016/j.cub.2012.08.015</vt:lpwstr>
      </vt:variant>
      <vt:variant>
        <vt:lpwstr/>
      </vt:variant>
      <vt:variant>
        <vt:i4>2883702</vt:i4>
      </vt:variant>
      <vt:variant>
        <vt:i4>966</vt:i4>
      </vt:variant>
      <vt:variant>
        <vt:i4>0</vt:i4>
      </vt:variant>
      <vt:variant>
        <vt:i4>5</vt:i4>
      </vt:variant>
      <vt:variant>
        <vt:lpwstr>https://doi.org/10.1111/ecog.00983</vt:lpwstr>
      </vt:variant>
      <vt:variant>
        <vt:lpwstr/>
      </vt:variant>
      <vt:variant>
        <vt:i4>5767263</vt:i4>
      </vt:variant>
      <vt:variant>
        <vt:i4>963</vt:i4>
      </vt:variant>
      <vt:variant>
        <vt:i4>0</vt:i4>
      </vt:variant>
      <vt:variant>
        <vt:i4>5</vt:i4>
      </vt:variant>
      <vt:variant>
        <vt:lpwstr>https://doi.org/10.1111/geb.12134</vt:lpwstr>
      </vt:variant>
      <vt:variant>
        <vt:lpwstr/>
      </vt:variant>
      <vt:variant>
        <vt:i4>5898335</vt:i4>
      </vt:variant>
      <vt:variant>
        <vt:i4>960</vt:i4>
      </vt:variant>
      <vt:variant>
        <vt:i4>0</vt:i4>
      </vt:variant>
      <vt:variant>
        <vt:i4>5</vt:i4>
      </vt:variant>
      <vt:variant>
        <vt:lpwstr>https://doi.org/10.1111/oik.08175</vt:lpwstr>
      </vt:variant>
      <vt:variant>
        <vt:lpwstr/>
      </vt:variant>
      <vt:variant>
        <vt:i4>655389</vt:i4>
      </vt:variant>
      <vt:variant>
        <vt:i4>957</vt:i4>
      </vt:variant>
      <vt:variant>
        <vt:i4>0</vt:i4>
      </vt:variant>
      <vt:variant>
        <vt:i4>5</vt:i4>
      </vt:variant>
      <vt:variant>
        <vt:lpwstr>https://doi.org/10.1007/s00442-014-3056-x</vt:lpwstr>
      </vt:variant>
      <vt:variant>
        <vt:lpwstr/>
      </vt:variant>
      <vt:variant>
        <vt:i4>5570648</vt:i4>
      </vt:variant>
      <vt:variant>
        <vt:i4>954</vt:i4>
      </vt:variant>
      <vt:variant>
        <vt:i4>0</vt:i4>
      </vt:variant>
      <vt:variant>
        <vt:i4>5</vt:i4>
      </vt:variant>
      <vt:variant>
        <vt:lpwstr>https://doi.org/10.1111/oik.01613</vt:lpwstr>
      </vt:variant>
      <vt:variant>
        <vt:lpwstr/>
      </vt:variant>
      <vt:variant>
        <vt:i4>6225992</vt:i4>
      </vt:variant>
      <vt:variant>
        <vt:i4>951</vt:i4>
      </vt:variant>
      <vt:variant>
        <vt:i4>0</vt:i4>
      </vt:variant>
      <vt:variant>
        <vt:i4>5</vt:i4>
      </vt:variant>
      <vt:variant>
        <vt:lpwstr>https://doi.org/10.1111/rec.12244</vt:lpwstr>
      </vt:variant>
      <vt:variant>
        <vt:lpwstr/>
      </vt:variant>
      <vt:variant>
        <vt:i4>6225992</vt:i4>
      </vt:variant>
      <vt:variant>
        <vt:i4>948</vt:i4>
      </vt:variant>
      <vt:variant>
        <vt:i4>0</vt:i4>
      </vt:variant>
      <vt:variant>
        <vt:i4>5</vt:i4>
      </vt:variant>
      <vt:variant>
        <vt:lpwstr>https://doi.org/10.1111/rec.12244</vt:lpwstr>
      </vt:variant>
      <vt:variant>
        <vt:lpwstr/>
      </vt:variant>
      <vt:variant>
        <vt:i4>4522069</vt:i4>
      </vt:variant>
      <vt:variant>
        <vt:i4>945</vt:i4>
      </vt:variant>
      <vt:variant>
        <vt:i4>0</vt:i4>
      </vt:variant>
      <vt:variant>
        <vt:i4>5</vt:i4>
      </vt:variant>
      <vt:variant>
        <vt:lpwstr>https://doi.org/10.1016/j.biocon.2013.06.026</vt:lpwstr>
      </vt:variant>
      <vt:variant>
        <vt:lpwstr/>
      </vt:variant>
      <vt:variant>
        <vt:i4>4980802</vt:i4>
      </vt:variant>
      <vt:variant>
        <vt:i4>942</vt:i4>
      </vt:variant>
      <vt:variant>
        <vt:i4>0</vt:i4>
      </vt:variant>
      <vt:variant>
        <vt:i4>5</vt:i4>
      </vt:variant>
      <vt:variant>
        <vt:lpwstr>https://doi.org/10.1016/j.biocon.2022.109822</vt:lpwstr>
      </vt:variant>
      <vt:variant>
        <vt:lpwstr/>
      </vt:variant>
      <vt:variant>
        <vt:i4>458781</vt:i4>
      </vt:variant>
      <vt:variant>
        <vt:i4>939</vt:i4>
      </vt:variant>
      <vt:variant>
        <vt:i4>0</vt:i4>
      </vt:variant>
      <vt:variant>
        <vt:i4>5</vt:i4>
      </vt:variant>
      <vt:variant>
        <vt:lpwstr>https://doi.org/10.1007/s00114-018-1556-y</vt:lpwstr>
      </vt:variant>
      <vt:variant>
        <vt:lpwstr/>
      </vt:variant>
      <vt:variant>
        <vt:i4>2293881</vt:i4>
      </vt:variant>
      <vt:variant>
        <vt:i4>936</vt:i4>
      </vt:variant>
      <vt:variant>
        <vt:i4>0</vt:i4>
      </vt:variant>
      <vt:variant>
        <vt:i4>5</vt:i4>
      </vt:variant>
      <vt:variant>
        <vt:lpwstr>https://doi.org/10.1111/ecog.03247</vt:lpwstr>
      </vt:variant>
      <vt:variant>
        <vt:lpwstr/>
      </vt:variant>
      <vt:variant>
        <vt:i4>5898333</vt:i4>
      </vt:variant>
      <vt:variant>
        <vt:i4>933</vt:i4>
      </vt:variant>
      <vt:variant>
        <vt:i4>0</vt:i4>
      </vt:variant>
      <vt:variant>
        <vt:i4>5</vt:i4>
      </vt:variant>
      <vt:variant>
        <vt:lpwstr>https://doi.org/10.1111/oik.08379</vt:lpwstr>
      </vt:variant>
      <vt:variant>
        <vt:lpwstr/>
      </vt:variant>
      <vt:variant>
        <vt:i4>7143541</vt:i4>
      </vt:variant>
      <vt:variant>
        <vt:i4>930</vt:i4>
      </vt:variant>
      <vt:variant>
        <vt:i4>0</vt:i4>
      </vt:variant>
      <vt:variant>
        <vt:i4>5</vt:i4>
      </vt:variant>
      <vt:variant>
        <vt:lpwstr>https://doi.org/10.1126/science.1214915</vt:lpwstr>
      </vt:variant>
      <vt:variant>
        <vt:lpwstr/>
      </vt:variant>
      <vt:variant>
        <vt:i4>1310738</vt:i4>
      </vt:variant>
      <vt:variant>
        <vt:i4>927</vt:i4>
      </vt:variant>
      <vt:variant>
        <vt:i4>0</vt:i4>
      </vt:variant>
      <vt:variant>
        <vt:i4>5</vt:i4>
      </vt:variant>
      <vt:variant>
        <vt:lpwstr>https://doi.org/10.1017/S0266467418000226</vt:lpwstr>
      </vt:variant>
      <vt:variant>
        <vt:lpwstr/>
      </vt:variant>
      <vt:variant>
        <vt:i4>3276901</vt:i4>
      </vt:variant>
      <vt:variant>
        <vt:i4>924</vt:i4>
      </vt:variant>
      <vt:variant>
        <vt:i4>0</vt:i4>
      </vt:variant>
      <vt:variant>
        <vt:i4>5</vt:i4>
      </vt:variant>
      <vt:variant>
        <vt:lpwstr>https://doi.org/10.1093/jpe/rtw063</vt:lpwstr>
      </vt:variant>
      <vt:variant>
        <vt:lpwstr/>
      </vt:variant>
      <vt:variant>
        <vt:i4>4128891</vt:i4>
      </vt:variant>
      <vt:variant>
        <vt:i4>921</vt:i4>
      </vt:variant>
      <vt:variant>
        <vt:i4>0</vt:i4>
      </vt:variant>
      <vt:variant>
        <vt:i4>5</vt:i4>
      </vt:variant>
      <vt:variant>
        <vt:lpwstr>https://doi.org/10.1111/1365-2745.13809</vt:lpwstr>
      </vt:variant>
      <vt:variant>
        <vt:lpwstr/>
      </vt:variant>
      <vt:variant>
        <vt:i4>2097200</vt:i4>
      </vt:variant>
      <vt:variant>
        <vt:i4>918</vt:i4>
      </vt:variant>
      <vt:variant>
        <vt:i4>0</vt:i4>
      </vt:variant>
      <vt:variant>
        <vt:i4>5</vt:i4>
      </vt:variant>
      <vt:variant>
        <vt:lpwstr>https://doi.org/10.1007/s00442-021-05102-7</vt:lpwstr>
      </vt:variant>
      <vt:variant>
        <vt:lpwstr/>
      </vt:variant>
      <vt:variant>
        <vt:i4>3997792</vt:i4>
      </vt:variant>
      <vt:variant>
        <vt:i4>915</vt:i4>
      </vt:variant>
      <vt:variant>
        <vt:i4>0</vt:i4>
      </vt:variant>
      <vt:variant>
        <vt:i4>5</vt:i4>
      </vt:variant>
      <vt:variant>
        <vt:lpwstr>https://doi.org/10.1073/pnas.0601602103</vt:lpwstr>
      </vt:variant>
      <vt:variant>
        <vt:lpwstr/>
      </vt:variant>
      <vt:variant>
        <vt:i4>1572942</vt:i4>
      </vt:variant>
      <vt:variant>
        <vt:i4>912</vt:i4>
      </vt:variant>
      <vt:variant>
        <vt:i4>0</vt:i4>
      </vt:variant>
      <vt:variant>
        <vt:i4>5</vt:i4>
      </vt:variant>
      <vt:variant>
        <vt:lpwstr>https://doi.org/10.1038/srep29839</vt:lpwstr>
      </vt:variant>
      <vt:variant>
        <vt:lpwstr/>
      </vt:variant>
      <vt:variant>
        <vt:i4>4063345</vt:i4>
      </vt:variant>
      <vt:variant>
        <vt:i4>909</vt:i4>
      </vt:variant>
      <vt:variant>
        <vt:i4>0</vt:i4>
      </vt:variant>
      <vt:variant>
        <vt:i4>5</vt:i4>
      </vt:variant>
      <vt:variant>
        <vt:lpwstr>https://doi.org/10.1111/1365-2656.13005</vt:lpwstr>
      </vt:variant>
      <vt:variant>
        <vt:lpwstr/>
      </vt:variant>
      <vt:variant>
        <vt:i4>5636167</vt:i4>
      </vt:variant>
      <vt:variant>
        <vt:i4>906</vt:i4>
      </vt:variant>
      <vt:variant>
        <vt:i4>0</vt:i4>
      </vt:variant>
      <vt:variant>
        <vt:i4>5</vt:i4>
      </vt:variant>
      <vt:variant>
        <vt:lpwstr>https://doi.org/10.1089/eco.2020.0003</vt:lpwstr>
      </vt:variant>
      <vt:variant>
        <vt:lpwstr/>
      </vt:variant>
      <vt:variant>
        <vt:i4>65554</vt:i4>
      </vt:variant>
      <vt:variant>
        <vt:i4>903</vt:i4>
      </vt:variant>
      <vt:variant>
        <vt:i4>0</vt:i4>
      </vt:variant>
      <vt:variant>
        <vt:i4>5</vt:i4>
      </vt:variant>
      <vt:variant>
        <vt:lpwstr>https://doi.org/10.1038/s41559-020-1154-1</vt:lpwstr>
      </vt:variant>
      <vt:variant>
        <vt:lpwstr/>
      </vt:variant>
      <vt:variant>
        <vt:i4>2490488</vt:i4>
      </vt:variant>
      <vt:variant>
        <vt:i4>900</vt:i4>
      </vt:variant>
      <vt:variant>
        <vt:i4>0</vt:i4>
      </vt:variant>
      <vt:variant>
        <vt:i4>5</vt:i4>
      </vt:variant>
      <vt:variant>
        <vt:lpwstr>https://doi.org/10.1111/ecog.05838</vt:lpwstr>
      </vt:variant>
      <vt:variant>
        <vt:lpwstr/>
      </vt:variant>
      <vt:variant>
        <vt:i4>4849729</vt:i4>
      </vt:variant>
      <vt:variant>
        <vt:i4>897</vt:i4>
      </vt:variant>
      <vt:variant>
        <vt:i4>0</vt:i4>
      </vt:variant>
      <vt:variant>
        <vt:i4>5</vt:i4>
      </vt:variant>
      <vt:variant>
        <vt:lpwstr>https://doi.org/10.1111/btp.12804</vt:lpwstr>
      </vt:variant>
      <vt:variant>
        <vt:lpwstr/>
      </vt:variant>
      <vt:variant>
        <vt:i4>5373968</vt:i4>
      </vt:variant>
      <vt:variant>
        <vt:i4>894</vt:i4>
      </vt:variant>
      <vt:variant>
        <vt:i4>0</vt:i4>
      </vt:variant>
      <vt:variant>
        <vt:i4>5</vt:i4>
      </vt:variant>
      <vt:variant>
        <vt:lpwstr>https://doi.org/10.1111/j.1523-1739.2012.01927.x</vt:lpwstr>
      </vt:variant>
      <vt:variant>
        <vt:lpwstr/>
      </vt:variant>
      <vt:variant>
        <vt:i4>983067</vt:i4>
      </vt:variant>
      <vt:variant>
        <vt:i4>891</vt:i4>
      </vt:variant>
      <vt:variant>
        <vt:i4>0</vt:i4>
      </vt:variant>
      <vt:variant>
        <vt:i4>5</vt:i4>
      </vt:variant>
      <vt:variant>
        <vt:lpwstr>https://doi.org/10.1007/s10531-012-0364-5</vt:lpwstr>
      </vt:variant>
      <vt:variant>
        <vt:lpwstr/>
      </vt:variant>
      <vt:variant>
        <vt:i4>5242947</vt:i4>
      </vt:variant>
      <vt:variant>
        <vt:i4>888</vt:i4>
      </vt:variant>
      <vt:variant>
        <vt:i4>0</vt:i4>
      </vt:variant>
      <vt:variant>
        <vt:i4>5</vt:i4>
      </vt:variant>
      <vt:variant>
        <vt:lpwstr>https://doi.org/10.1002/ajp.20879</vt:lpwstr>
      </vt:variant>
      <vt:variant>
        <vt:lpwstr/>
      </vt:variant>
      <vt:variant>
        <vt:i4>7274545</vt:i4>
      </vt:variant>
      <vt:variant>
        <vt:i4>885</vt:i4>
      </vt:variant>
      <vt:variant>
        <vt:i4>0</vt:i4>
      </vt:variant>
      <vt:variant>
        <vt:i4>5</vt:i4>
      </vt:variant>
      <vt:variant>
        <vt:lpwstr>https://doi.org/10.5751/ES-08149-200443</vt:lpwstr>
      </vt:variant>
      <vt:variant>
        <vt:lpwstr/>
      </vt:variant>
      <vt:variant>
        <vt:i4>5898260</vt:i4>
      </vt:variant>
      <vt:variant>
        <vt:i4>882</vt:i4>
      </vt:variant>
      <vt:variant>
        <vt:i4>0</vt:i4>
      </vt:variant>
      <vt:variant>
        <vt:i4>5</vt:i4>
      </vt:variant>
      <vt:variant>
        <vt:lpwstr>https://doi.org/10.1046/j.1461-0248.2003.00403.x</vt:lpwstr>
      </vt:variant>
      <vt:variant>
        <vt:lpwstr/>
      </vt:variant>
      <vt:variant>
        <vt:i4>4128887</vt:i4>
      </vt:variant>
      <vt:variant>
        <vt:i4>879</vt:i4>
      </vt:variant>
      <vt:variant>
        <vt:i4>0</vt:i4>
      </vt:variant>
      <vt:variant>
        <vt:i4>5</vt:i4>
      </vt:variant>
      <vt:variant>
        <vt:lpwstr>https://doi.org/10.1111/1365-2435.12763</vt:lpwstr>
      </vt:variant>
      <vt:variant>
        <vt:lpwstr/>
      </vt:variant>
      <vt:variant>
        <vt:i4>2097260</vt:i4>
      </vt:variant>
      <vt:variant>
        <vt:i4>876</vt:i4>
      </vt:variant>
      <vt:variant>
        <vt:i4>0</vt:i4>
      </vt:variant>
      <vt:variant>
        <vt:i4>5</vt:i4>
      </vt:variant>
      <vt:variant>
        <vt:lpwstr>https://doi.org/10.1086/284665</vt:lpwstr>
      </vt:variant>
      <vt:variant>
        <vt:lpwstr/>
      </vt:variant>
      <vt:variant>
        <vt:i4>2752571</vt:i4>
      </vt:variant>
      <vt:variant>
        <vt:i4>873</vt:i4>
      </vt:variant>
      <vt:variant>
        <vt:i4>0</vt:i4>
      </vt:variant>
      <vt:variant>
        <vt:i4>5</vt:i4>
      </vt:variant>
      <vt:variant>
        <vt:lpwstr>https://doi.org/10.1146/annurev.es.13.110182.001221</vt:lpwstr>
      </vt:variant>
      <vt:variant>
        <vt:lpwstr/>
      </vt:variant>
      <vt:variant>
        <vt:i4>3932275</vt:i4>
      </vt:variant>
      <vt:variant>
        <vt:i4>870</vt:i4>
      </vt:variant>
      <vt:variant>
        <vt:i4>0</vt:i4>
      </vt:variant>
      <vt:variant>
        <vt:i4>5</vt:i4>
      </vt:variant>
      <vt:variant>
        <vt:lpwstr>https://doi.org/10.1016/j.gecco.2016.03.002</vt:lpwstr>
      </vt:variant>
      <vt:variant>
        <vt:lpwstr/>
      </vt:variant>
      <vt:variant>
        <vt:i4>3473525</vt:i4>
      </vt:variant>
      <vt:variant>
        <vt:i4>867</vt:i4>
      </vt:variant>
      <vt:variant>
        <vt:i4>0</vt:i4>
      </vt:variant>
      <vt:variant>
        <vt:i4>5</vt:i4>
      </vt:variant>
      <vt:variant>
        <vt:lpwstr>https://doi.org/10.1111/1365-2664.13684</vt:lpwstr>
      </vt:variant>
      <vt:variant>
        <vt:lpwstr/>
      </vt:variant>
      <vt:variant>
        <vt:i4>851992</vt:i4>
      </vt:variant>
      <vt:variant>
        <vt:i4>864</vt:i4>
      </vt:variant>
      <vt:variant>
        <vt:i4>0</vt:i4>
      </vt:variant>
      <vt:variant>
        <vt:i4>5</vt:i4>
      </vt:variant>
      <vt:variant>
        <vt:lpwstr>https://doi.org/10.1007/s10530-012-0357-z</vt:lpwstr>
      </vt:variant>
      <vt:variant>
        <vt:lpwstr/>
      </vt:variant>
      <vt:variant>
        <vt:i4>5898332</vt:i4>
      </vt:variant>
      <vt:variant>
        <vt:i4>861</vt:i4>
      </vt:variant>
      <vt:variant>
        <vt:i4>0</vt:i4>
      </vt:variant>
      <vt:variant>
        <vt:i4>5</vt:i4>
      </vt:variant>
      <vt:variant>
        <vt:lpwstr>https://doi.org/10.1111/oik.08279</vt:lpwstr>
      </vt:variant>
      <vt:variant>
        <vt:lpwstr/>
      </vt:variant>
      <vt:variant>
        <vt:i4>3801129</vt:i4>
      </vt:variant>
      <vt:variant>
        <vt:i4>858</vt:i4>
      </vt:variant>
      <vt:variant>
        <vt:i4>0</vt:i4>
      </vt:variant>
      <vt:variant>
        <vt:i4>5</vt:i4>
      </vt:variant>
      <vt:variant>
        <vt:lpwstr>https://doi.org/10.1016/B978-0-12-396992-7.00002-2</vt:lpwstr>
      </vt:variant>
      <vt:variant>
        <vt:lpwstr/>
      </vt:variant>
      <vt:variant>
        <vt:i4>4587594</vt:i4>
      </vt:variant>
      <vt:variant>
        <vt:i4>855</vt:i4>
      </vt:variant>
      <vt:variant>
        <vt:i4>0</vt:i4>
      </vt:variant>
      <vt:variant>
        <vt:i4>5</vt:i4>
      </vt:variant>
      <vt:variant>
        <vt:lpwstr>https://doi.org/10.1016/j.biocon.2021.109393</vt:lpwstr>
      </vt:variant>
      <vt:variant>
        <vt:lpwstr/>
      </vt:variant>
      <vt:variant>
        <vt:i4>4128886</vt:i4>
      </vt:variant>
      <vt:variant>
        <vt:i4>852</vt:i4>
      </vt:variant>
      <vt:variant>
        <vt:i4>0</vt:i4>
      </vt:variant>
      <vt:variant>
        <vt:i4>5</vt:i4>
      </vt:variant>
      <vt:variant>
        <vt:lpwstr>https://doi.org/10.1111/1365-2664.12530</vt:lpwstr>
      </vt:variant>
      <vt:variant>
        <vt:lpwstr/>
      </vt:variant>
      <vt:variant>
        <vt:i4>7078009</vt:i4>
      </vt:variant>
      <vt:variant>
        <vt:i4>849</vt:i4>
      </vt:variant>
      <vt:variant>
        <vt:i4>0</vt:i4>
      </vt:variant>
      <vt:variant>
        <vt:i4>5</vt:i4>
      </vt:variant>
      <vt:variant>
        <vt:lpwstr>https://doi.org/10.1126/science.1233774</vt:lpwstr>
      </vt:variant>
      <vt:variant>
        <vt:lpwstr/>
      </vt:variant>
      <vt:variant>
        <vt:i4>6029330</vt:i4>
      </vt:variant>
      <vt:variant>
        <vt:i4>846</vt:i4>
      </vt:variant>
      <vt:variant>
        <vt:i4>0</vt:i4>
      </vt:variant>
      <vt:variant>
        <vt:i4>5</vt:i4>
      </vt:variant>
      <vt:variant>
        <vt:lpwstr>https://doi.org/10.1111/j.1365-2664.2007.01390.x</vt:lpwstr>
      </vt:variant>
      <vt:variant>
        <vt:lpwstr/>
      </vt:variant>
      <vt:variant>
        <vt:i4>5570576</vt:i4>
      </vt:variant>
      <vt:variant>
        <vt:i4>843</vt:i4>
      </vt:variant>
      <vt:variant>
        <vt:i4>0</vt:i4>
      </vt:variant>
      <vt:variant>
        <vt:i4>5</vt:i4>
      </vt:variant>
      <vt:variant>
        <vt:lpwstr>https://doi.org/10.1111/j.1365-2656.2010.01688.x</vt:lpwstr>
      </vt:variant>
      <vt:variant>
        <vt:lpwstr/>
      </vt:variant>
      <vt:variant>
        <vt:i4>4653131</vt:i4>
      </vt:variant>
      <vt:variant>
        <vt:i4>840</vt:i4>
      </vt:variant>
      <vt:variant>
        <vt:i4>0</vt:i4>
      </vt:variant>
      <vt:variant>
        <vt:i4>5</vt:i4>
      </vt:variant>
      <vt:variant>
        <vt:lpwstr>https://doi.org/10.1016/j.ecocom.2020.100870</vt:lpwstr>
      </vt:variant>
      <vt:variant>
        <vt:lpwstr/>
      </vt:variant>
      <vt:variant>
        <vt:i4>4194409</vt:i4>
      </vt:variant>
      <vt:variant>
        <vt:i4>837</vt:i4>
      </vt:variant>
      <vt:variant>
        <vt:i4>0</vt:i4>
      </vt:variant>
      <vt:variant>
        <vt:i4>5</vt:i4>
      </vt:variant>
      <vt:variant>
        <vt:lpwstr>https://doi.org/10.1007/978-3-319-68228-0_7</vt:lpwstr>
      </vt:variant>
      <vt:variant>
        <vt:lpwstr/>
      </vt:variant>
      <vt:variant>
        <vt:i4>4784206</vt:i4>
      </vt:variant>
      <vt:variant>
        <vt:i4>834</vt:i4>
      </vt:variant>
      <vt:variant>
        <vt:i4>0</vt:i4>
      </vt:variant>
      <vt:variant>
        <vt:i4>5</vt:i4>
      </vt:variant>
      <vt:variant>
        <vt:lpwstr>https://doi.org/10.1111/btp.12738</vt:lpwstr>
      </vt:variant>
      <vt:variant>
        <vt:lpwstr/>
      </vt:variant>
      <vt:variant>
        <vt:i4>4522071</vt:i4>
      </vt:variant>
      <vt:variant>
        <vt:i4>831</vt:i4>
      </vt:variant>
      <vt:variant>
        <vt:i4>0</vt:i4>
      </vt:variant>
      <vt:variant>
        <vt:i4>5</vt:i4>
      </vt:variant>
      <vt:variant>
        <vt:lpwstr>https://doi.org/10.1016/j.biocon.2013.07.007</vt:lpwstr>
      </vt:variant>
      <vt:variant>
        <vt:lpwstr/>
      </vt:variant>
      <vt:variant>
        <vt:i4>3276899</vt:i4>
      </vt:variant>
      <vt:variant>
        <vt:i4>828</vt:i4>
      </vt:variant>
      <vt:variant>
        <vt:i4>0</vt:i4>
      </vt:variant>
      <vt:variant>
        <vt:i4>5</vt:i4>
      </vt:variant>
      <vt:variant>
        <vt:lpwstr>https://doi.org/10.1079/9780851995250.0437</vt:lpwstr>
      </vt:variant>
      <vt:variant>
        <vt:lpwstr/>
      </vt:variant>
      <vt:variant>
        <vt:i4>5767254</vt:i4>
      </vt:variant>
      <vt:variant>
        <vt:i4>825</vt:i4>
      </vt:variant>
      <vt:variant>
        <vt:i4>0</vt:i4>
      </vt:variant>
      <vt:variant>
        <vt:i4>5</vt:i4>
      </vt:variant>
      <vt:variant>
        <vt:lpwstr>https://doi.org/10.1111/geb.12833</vt:lpwstr>
      </vt:variant>
      <vt:variant>
        <vt:lpwstr/>
      </vt:variant>
      <vt:variant>
        <vt:i4>2359420</vt:i4>
      </vt:variant>
      <vt:variant>
        <vt:i4>822</vt:i4>
      </vt:variant>
      <vt:variant>
        <vt:i4>0</vt:i4>
      </vt:variant>
      <vt:variant>
        <vt:i4>5</vt:i4>
      </vt:variant>
      <vt:variant>
        <vt:lpwstr>https://doi.org/10.1098/rspb.2016.2664</vt:lpwstr>
      </vt:variant>
      <vt:variant>
        <vt:lpwstr/>
      </vt:variant>
      <vt:variant>
        <vt:i4>5570577</vt:i4>
      </vt:variant>
      <vt:variant>
        <vt:i4>819</vt:i4>
      </vt:variant>
      <vt:variant>
        <vt:i4>0</vt:i4>
      </vt:variant>
      <vt:variant>
        <vt:i4>5</vt:i4>
      </vt:variant>
      <vt:variant>
        <vt:lpwstr>https://doi.org/10.1111/j.1461-0248.2011.01639.x</vt:lpwstr>
      </vt:variant>
      <vt:variant>
        <vt:lpwstr/>
      </vt:variant>
      <vt:variant>
        <vt:i4>5636165</vt:i4>
      </vt:variant>
      <vt:variant>
        <vt:i4>816</vt:i4>
      </vt:variant>
      <vt:variant>
        <vt:i4>0</vt:i4>
      </vt:variant>
      <vt:variant>
        <vt:i4>5</vt:i4>
      </vt:variant>
      <vt:variant>
        <vt:lpwstr>https://doi.org/10.1002/ecy.3028</vt:lpwstr>
      </vt:variant>
      <vt:variant>
        <vt:lpwstr/>
      </vt:variant>
      <vt:variant>
        <vt:i4>2490493</vt:i4>
      </vt:variant>
      <vt:variant>
        <vt:i4>813</vt:i4>
      </vt:variant>
      <vt:variant>
        <vt:i4>0</vt:i4>
      </vt:variant>
      <vt:variant>
        <vt:i4>5</vt:i4>
      </vt:variant>
      <vt:variant>
        <vt:lpwstr>https://doi.org/10.1098/rspb.2015.2444</vt:lpwstr>
      </vt:variant>
      <vt:variant>
        <vt:lpwstr/>
      </vt:variant>
      <vt:variant>
        <vt:i4>3735672</vt:i4>
      </vt:variant>
      <vt:variant>
        <vt:i4>810</vt:i4>
      </vt:variant>
      <vt:variant>
        <vt:i4>0</vt:i4>
      </vt:variant>
      <vt:variant>
        <vt:i4>5</vt:i4>
      </vt:variant>
      <vt:variant>
        <vt:lpwstr>https://doi.org/10.1111/1365-2435.13815</vt:lpwstr>
      </vt:variant>
      <vt:variant>
        <vt:lpwstr/>
      </vt:variant>
      <vt:variant>
        <vt:i4>5505050</vt:i4>
      </vt:variant>
      <vt:variant>
        <vt:i4>807</vt:i4>
      </vt:variant>
      <vt:variant>
        <vt:i4>0</vt:i4>
      </vt:variant>
      <vt:variant>
        <vt:i4>5</vt:i4>
      </vt:variant>
      <vt:variant>
        <vt:lpwstr>https://doi.org/10.1016/j.jnc.2016.08.007</vt:lpwstr>
      </vt:variant>
      <vt:variant>
        <vt:lpwstr/>
      </vt:variant>
      <vt:variant>
        <vt:i4>3801143</vt:i4>
      </vt:variant>
      <vt:variant>
        <vt:i4>804</vt:i4>
      </vt:variant>
      <vt:variant>
        <vt:i4>0</vt:i4>
      </vt:variant>
      <vt:variant>
        <vt:i4>5</vt:i4>
      </vt:variant>
      <vt:variant>
        <vt:lpwstr>https://doi.org/10.1046/j.1523-1739.1996.10020491.x</vt:lpwstr>
      </vt:variant>
      <vt:variant>
        <vt:lpwstr/>
      </vt:variant>
      <vt:variant>
        <vt:i4>3670129</vt:i4>
      </vt:variant>
      <vt:variant>
        <vt:i4>801</vt:i4>
      </vt:variant>
      <vt:variant>
        <vt:i4>0</vt:i4>
      </vt:variant>
      <vt:variant>
        <vt:i4>5</vt:i4>
      </vt:variant>
      <vt:variant>
        <vt:lpwstr>https://doi.org/10.1111/1365-2435.14171</vt:lpwstr>
      </vt:variant>
      <vt:variant>
        <vt:lpwstr/>
      </vt:variant>
      <vt:variant>
        <vt:i4>2097279</vt:i4>
      </vt:variant>
      <vt:variant>
        <vt:i4>798</vt:i4>
      </vt:variant>
      <vt:variant>
        <vt:i4>0</vt:i4>
      </vt:variant>
      <vt:variant>
        <vt:i4>5</vt:i4>
      </vt:variant>
      <vt:variant>
        <vt:lpwstr>https://doi.org/10.1111/cobi.12782</vt:lpwstr>
      </vt:variant>
      <vt:variant>
        <vt:lpwstr/>
      </vt:variant>
      <vt:variant>
        <vt:i4>2097279</vt:i4>
      </vt:variant>
      <vt:variant>
        <vt:i4>795</vt:i4>
      </vt:variant>
      <vt:variant>
        <vt:i4>0</vt:i4>
      </vt:variant>
      <vt:variant>
        <vt:i4>5</vt:i4>
      </vt:variant>
      <vt:variant>
        <vt:lpwstr>https://doi.org/10.1111/cobi.12782</vt:lpwstr>
      </vt:variant>
      <vt:variant>
        <vt:lpwstr/>
      </vt:variant>
      <vt:variant>
        <vt:i4>3342455</vt:i4>
      </vt:variant>
      <vt:variant>
        <vt:i4>792</vt:i4>
      </vt:variant>
      <vt:variant>
        <vt:i4>0</vt:i4>
      </vt:variant>
      <vt:variant>
        <vt:i4>5</vt:i4>
      </vt:variant>
      <vt:variant>
        <vt:lpwstr>https://doi.org/10.1078/1433-8319-00042</vt:lpwstr>
      </vt:variant>
      <vt:variant>
        <vt:lpwstr/>
      </vt:variant>
      <vt:variant>
        <vt:i4>3932274</vt:i4>
      </vt:variant>
      <vt:variant>
        <vt:i4>789</vt:i4>
      </vt:variant>
      <vt:variant>
        <vt:i4>0</vt:i4>
      </vt:variant>
      <vt:variant>
        <vt:i4>5</vt:i4>
      </vt:variant>
      <vt:variant>
        <vt:lpwstr>https://doi.org/10.1111/1365-2745.13132</vt:lpwstr>
      </vt:variant>
      <vt:variant>
        <vt:lpwstr/>
      </vt:variant>
      <vt:variant>
        <vt:i4>4587588</vt:i4>
      </vt:variant>
      <vt:variant>
        <vt:i4>786</vt:i4>
      </vt:variant>
      <vt:variant>
        <vt:i4>0</vt:i4>
      </vt:variant>
      <vt:variant>
        <vt:i4>5</vt:i4>
      </vt:variant>
      <vt:variant>
        <vt:lpwstr>https://doi.org/10.1371/journal.pone.0054956</vt:lpwstr>
      </vt:variant>
      <vt:variant>
        <vt:lpwstr/>
      </vt:variant>
      <vt:variant>
        <vt:i4>5308432</vt:i4>
      </vt:variant>
      <vt:variant>
        <vt:i4>783</vt:i4>
      </vt:variant>
      <vt:variant>
        <vt:i4>0</vt:i4>
      </vt:variant>
      <vt:variant>
        <vt:i4>5</vt:i4>
      </vt:variant>
      <vt:variant>
        <vt:lpwstr>https://doi.org/10.1111/j.1365-2656.2011.01883.x</vt:lpwstr>
      </vt:variant>
      <vt:variant>
        <vt:lpwstr/>
      </vt:variant>
      <vt:variant>
        <vt:i4>458824</vt:i4>
      </vt:variant>
      <vt:variant>
        <vt:i4>780</vt:i4>
      </vt:variant>
      <vt:variant>
        <vt:i4>0</vt:i4>
      </vt:variant>
      <vt:variant>
        <vt:i4>5</vt:i4>
      </vt:variant>
      <vt:variant>
        <vt:lpwstr>https://doi.org/10.1890/15-2147.1</vt:lpwstr>
      </vt:variant>
      <vt:variant>
        <vt:lpwstr/>
      </vt:variant>
      <vt:variant>
        <vt:i4>3407989</vt:i4>
      </vt:variant>
      <vt:variant>
        <vt:i4>777</vt:i4>
      </vt:variant>
      <vt:variant>
        <vt:i4>0</vt:i4>
      </vt:variant>
      <vt:variant>
        <vt:i4>5</vt:i4>
      </vt:variant>
      <vt:variant>
        <vt:lpwstr>https://doi.org/10.1111/1365-2664.13697</vt:lpwstr>
      </vt:variant>
      <vt:variant>
        <vt:lpwstr/>
      </vt:variant>
      <vt:variant>
        <vt:i4>524315</vt:i4>
      </vt:variant>
      <vt:variant>
        <vt:i4>774</vt:i4>
      </vt:variant>
      <vt:variant>
        <vt:i4>0</vt:i4>
      </vt:variant>
      <vt:variant>
        <vt:i4>5</vt:i4>
      </vt:variant>
      <vt:variant>
        <vt:lpwstr>https://doi.org/10.1007/s10531-017-1453-2</vt:lpwstr>
      </vt:variant>
      <vt:variant>
        <vt:lpwstr/>
      </vt:variant>
      <vt:variant>
        <vt:i4>262168</vt:i4>
      </vt:variant>
      <vt:variant>
        <vt:i4>771</vt:i4>
      </vt:variant>
      <vt:variant>
        <vt:i4>0</vt:i4>
      </vt:variant>
      <vt:variant>
        <vt:i4>5</vt:i4>
      </vt:variant>
      <vt:variant>
        <vt:lpwstr>https://doi.org/10.1007/s00442-009-1547-y</vt:lpwstr>
      </vt:variant>
      <vt:variant>
        <vt:lpwstr/>
      </vt:variant>
      <vt:variant>
        <vt:i4>4718666</vt:i4>
      </vt:variant>
      <vt:variant>
        <vt:i4>768</vt:i4>
      </vt:variant>
      <vt:variant>
        <vt:i4>0</vt:i4>
      </vt:variant>
      <vt:variant>
        <vt:i4>5</vt:i4>
      </vt:variant>
      <vt:variant>
        <vt:lpwstr>https://doi.org/10.1111/btp.12329</vt:lpwstr>
      </vt:variant>
      <vt:variant>
        <vt:lpwstr/>
      </vt:variant>
      <vt:variant>
        <vt:i4>4063352</vt:i4>
      </vt:variant>
      <vt:variant>
        <vt:i4>765</vt:i4>
      </vt:variant>
      <vt:variant>
        <vt:i4>0</vt:i4>
      </vt:variant>
      <vt:variant>
        <vt:i4>5</vt:i4>
      </vt:variant>
      <vt:variant>
        <vt:lpwstr>https://doi.org/10.1016/j.gecco.2014.08.007</vt:lpwstr>
      </vt:variant>
      <vt:variant>
        <vt:lpwstr/>
      </vt:variant>
      <vt:variant>
        <vt:i4>6488115</vt:i4>
      </vt:variant>
      <vt:variant>
        <vt:i4>762</vt:i4>
      </vt:variant>
      <vt:variant>
        <vt:i4>0</vt:i4>
      </vt:variant>
      <vt:variant>
        <vt:i4>5</vt:i4>
      </vt:variant>
      <vt:variant>
        <vt:lpwstr>https://doi.org/10.1038/nature07950</vt:lpwstr>
      </vt:variant>
      <vt:variant>
        <vt:lpwstr/>
      </vt:variant>
      <vt:variant>
        <vt:i4>1900560</vt:i4>
      </vt:variant>
      <vt:variant>
        <vt:i4>759</vt:i4>
      </vt:variant>
      <vt:variant>
        <vt:i4>0</vt:i4>
      </vt:variant>
      <vt:variant>
        <vt:i4>5</vt:i4>
      </vt:variant>
      <vt:variant>
        <vt:lpwstr>https://doi.org/10.1017/S0376892918000334</vt:lpwstr>
      </vt:variant>
      <vt:variant>
        <vt:lpwstr/>
      </vt:variant>
      <vt:variant>
        <vt:i4>3670117</vt:i4>
      </vt:variant>
      <vt:variant>
        <vt:i4>756</vt:i4>
      </vt:variant>
      <vt:variant>
        <vt:i4>0</vt:i4>
      </vt:variant>
      <vt:variant>
        <vt:i4>5</vt:i4>
      </vt:variant>
      <vt:variant>
        <vt:lpwstr>https://doi.org/10.1073/pnas.1633576100</vt:lpwstr>
      </vt:variant>
      <vt:variant>
        <vt:lpwstr/>
      </vt:variant>
      <vt:variant>
        <vt:i4>65608</vt:i4>
      </vt:variant>
      <vt:variant>
        <vt:i4>753</vt:i4>
      </vt:variant>
      <vt:variant>
        <vt:i4>0</vt:i4>
      </vt:variant>
      <vt:variant>
        <vt:i4>5</vt:i4>
      </vt:variant>
      <vt:variant>
        <vt:lpwstr>https://doi.org/10.1146/annurev.ecolsys.38.091206.095818</vt:lpwstr>
      </vt:variant>
      <vt:variant>
        <vt:lpwstr/>
      </vt:variant>
      <vt:variant>
        <vt:i4>2883700</vt:i4>
      </vt:variant>
      <vt:variant>
        <vt:i4>750</vt:i4>
      </vt:variant>
      <vt:variant>
        <vt:i4>0</vt:i4>
      </vt:variant>
      <vt:variant>
        <vt:i4>5</vt:i4>
      </vt:variant>
      <vt:variant>
        <vt:lpwstr>https://doi.org/10.1111/j.1438-8677.1996.tb00806.x</vt:lpwstr>
      </vt:variant>
      <vt:variant>
        <vt:lpwstr/>
      </vt:variant>
      <vt:variant>
        <vt:i4>7012468</vt:i4>
      </vt:variant>
      <vt:variant>
        <vt:i4>747</vt:i4>
      </vt:variant>
      <vt:variant>
        <vt:i4>0</vt:i4>
      </vt:variant>
      <vt:variant>
        <vt:i4>5</vt:i4>
      </vt:variant>
      <vt:variant>
        <vt:lpwstr>https://doi.org/10.1126/science.1199092</vt:lpwstr>
      </vt:variant>
      <vt:variant>
        <vt:lpwstr/>
      </vt:variant>
      <vt:variant>
        <vt:i4>2359412</vt:i4>
      </vt:variant>
      <vt:variant>
        <vt:i4>744</vt:i4>
      </vt:variant>
      <vt:variant>
        <vt:i4>0</vt:i4>
      </vt:variant>
      <vt:variant>
        <vt:i4>5</vt:i4>
      </vt:variant>
      <vt:variant>
        <vt:lpwstr>https://doi.org/10.1111/cobi.13425</vt:lpwstr>
      </vt:variant>
      <vt:variant>
        <vt:lpwstr/>
      </vt:variant>
      <vt:variant>
        <vt:i4>3997800</vt:i4>
      </vt:variant>
      <vt:variant>
        <vt:i4>741</vt:i4>
      </vt:variant>
      <vt:variant>
        <vt:i4>0</vt:i4>
      </vt:variant>
      <vt:variant>
        <vt:i4>5</vt:i4>
      </vt:variant>
      <vt:variant>
        <vt:lpwstr>https://doi.org/10.1186/1472-6785-11-29</vt:lpwstr>
      </vt:variant>
      <vt:variant>
        <vt:lpwstr/>
      </vt:variant>
      <vt:variant>
        <vt:i4>5177418</vt:i4>
      </vt:variant>
      <vt:variant>
        <vt:i4>720</vt:i4>
      </vt:variant>
      <vt:variant>
        <vt:i4>0</vt:i4>
      </vt:variant>
      <vt:variant>
        <vt:i4>5</vt:i4>
      </vt:variant>
      <vt:variant>
        <vt:lpwstr>https://doi.org/10.1111/btp.13347</vt:lpwstr>
      </vt:variant>
      <vt:variant>
        <vt:lpwstr/>
      </vt:variant>
      <vt:variant>
        <vt:i4>1835053</vt:i4>
      </vt:variant>
      <vt:variant>
        <vt:i4>675</vt:i4>
      </vt:variant>
      <vt:variant>
        <vt:i4>0</vt:i4>
      </vt:variant>
      <vt:variant>
        <vt:i4>5</vt:i4>
      </vt:variant>
      <vt:variant>
        <vt:lpwstr/>
      </vt:variant>
      <vt:variant>
        <vt:lpwstr>_INTRODUCTION</vt:lpwstr>
      </vt:variant>
      <vt:variant>
        <vt:i4>1835053</vt:i4>
      </vt:variant>
      <vt:variant>
        <vt:i4>441</vt:i4>
      </vt:variant>
      <vt:variant>
        <vt:i4>0</vt:i4>
      </vt:variant>
      <vt:variant>
        <vt:i4>5</vt:i4>
      </vt:variant>
      <vt:variant>
        <vt:lpwstr/>
      </vt:variant>
      <vt:variant>
        <vt:lpwstr>_INTRODUCTION</vt:lpwstr>
      </vt:variant>
      <vt:variant>
        <vt:i4>1572919</vt:i4>
      </vt:variant>
      <vt:variant>
        <vt:i4>410</vt:i4>
      </vt:variant>
      <vt:variant>
        <vt:i4>0</vt:i4>
      </vt:variant>
      <vt:variant>
        <vt:i4>5</vt:i4>
      </vt:variant>
      <vt:variant>
        <vt:lpwstr/>
      </vt:variant>
      <vt:variant>
        <vt:lpwstr>_Toc191918678</vt:lpwstr>
      </vt:variant>
      <vt:variant>
        <vt:i4>1572919</vt:i4>
      </vt:variant>
      <vt:variant>
        <vt:i4>404</vt:i4>
      </vt:variant>
      <vt:variant>
        <vt:i4>0</vt:i4>
      </vt:variant>
      <vt:variant>
        <vt:i4>5</vt:i4>
      </vt:variant>
      <vt:variant>
        <vt:lpwstr/>
      </vt:variant>
      <vt:variant>
        <vt:lpwstr>_Toc191918677</vt:lpwstr>
      </vt:variant>
      <vt:variant>
        <vt:i4>1572919</vt:i4>
      </vt:variant>
      <vt:variant>
        <vt:i4>395</vt:i4>
      </vt:variant>
      <vt:variant>
        <vt:i4>0</vt:i4>
      </vt:variant>
      <vt:variant>
        <vt:i4>5</vt:i4>
      </vt:variant>
      <vt:variant>
        <vt:lpwstr/>
      </vt:variant>
      <vt:variant>
        <vt:lpwstr>_Toc191918676</vt:lpwstr>
      </vt:variant>
      <vt:variant>
        <vt:i4>1572919</vt:i4>
      </vt:variant>
      <vt:variant>
        <vt:i4>389</vt:i4>
      </vt:variant>
      <vt:variant>
        <vt:i4>0</vt:i4>
      </vt:variant>
      <vt:variant>
        <vt:i4>5</vt:i4>
      </vt:variant>
      <vt:variant>
        <vt:lpwstr/>
      </vt:variant>
      <vt:variant>
        <vt:lpwstr>_Toc191918675</vt:lpwstr>
      </vt:variant>
      <vt:variant>
        <vt:i4>1572919</vt:i4>
      </vt:variant>
      <vt:variant>
        <vt:i4>383</vt:i4>
      </vt:variant>
      <vt:variant>
        <vt:i4>0</vt:i4>
      </vt:variant>
      <vt:variant>
        <vt:i4>5</vt:i4>
      </vt:variant>
      <vt:variant>
        <vt:lpwstr/>
      </vt:variant>
      <vt:variant>
        <vt:lpwstr>_Toc191918674</vt:lpwstr>
      </vt:variant>
      <vt:variant>
        <vt:i4>1572919</vt:i4>
      </vt:variant>
      <vt:variant>
        <vt:i4>377</vt:i4>
      </vt:variant>
      <vt:variant>
        <vt:i4>0</vt:i4>
      </vt:variant>
      <vt:variant>
        <vt:i4>5</vt:i4>
      </vt:variant>
      <vt:variant>
        <vt:lpwstr/>
      </vt:variant>
      <vt:variant>
        <vt:lpwstr>_Toc191918673</vt:lpwstr>
      </vt:variant>
      <vt:variant>
        <vt:i4>1572919</vt:i4>
      </vt:variant>
      <vt:variant>
        <vt:i4>371</vt:i4>
      </vt:variant>
      <vt:variant>
        <vt:i4>0</vt:i4>
      </vt:variant>
      <vt:variant>
        <vt:i4>5</vt:i4>
      </vt:variant>
      <vt:variant>
        <vt:lpwstr/>
      </vt:variant>
      <vt:variant>
        <vt:lpwstr>_Toc191918672</vt:lpwstr>
      </vt:variant>
      <vt:variant>
        <vt:i4>1572919</vt:i4>
      </vt:variant>
      <vt:variant>
        <vt:i4>365</vt:i4>
      </vt:variant>
      <vt:variant>
        <vt:i4>0</vt:i4>
      </vt:variant>
      <vt:variant>
        <vt:i4>5</vt:i4>
      </vt:variant>
      <vt:variant>
        <vt:lpwstr/>
      </vt:variant>
      <vt:variant>
        <vt:lpwstr>_Toc191918671</vt:lpwstr>
      </vt:variant>
      <vt:variant>
        <vt:i4>1572919</vt:i4>
      </vt:variant>
      <vt:variant>
        <vt:i4>359</vt:i4>
      </vt:variant>
      <vt:variant>
        <vt:i4>0</vt:i4>
      </vt:variant>
      <vt:variant>
        <vt:i4>5</vt:i4>
      </vt:variant>
      <vt:variant>
        <vt:lpwstr/>
      </vt:variant>
      <vt:variant>
        <vt:lpwstr>_Toc191918670</vt:lpwstr>
      </vt:variant>
      <vt:variant>
        <vt:i4>1638455</vt:i4>
      </vt:variant>
      <vt:variant>
        <vt:i4>353</vt:i4>
      </vt:variant>
      <vt:variant>
        <vt:i4>0</vt:i4>
      </vt:variant>
      <vt:variant>
        <vt:i4>5</vt:i4>
      </vt:variant>
      <vt:variant>
        <vt:lpwstr/>
      </vt:variant>
      <vt:variant>
        <vt:lpwstr>_Toc191918669</vt:lpwstr>
      </vt:variant>
      <vt:variant>
        <vt:i4>1638455</vt:i4>
      </vt:variant>
      <vt:variant>
        <vt:i4>347</vt:i4>
      </vt:variant>
      <vt:variant>
        <vt:i4>0</vt:i4>
      </vt:variant>
      <vt:variant>
        <vt:i4>5</vt:i4>
      </vt:variant>
      <vt:variant>
        <vt:lpwstr/>
      </vt:variant>
      <vt:variant>
        <vt:lpwstr>_Toc191918668</vt:lpwstr>
      </vt:variant>
      <vt:variant>
        <vt:i4>1638455</vt:i4>
      </vt:variant>
      <vt:variant>
        <vt:i4>341</vt:i4>
      </vt:variant>
      <vt:variant>
        <vt:i4>0</vt:i4>
      </vt:variant>
      <vt:variant>
        <vt:i4>5</vt:i4>
      </vt:variant>
      <vt:variant>
        <vt:lpwstr/>
      </vt:variant>
      <vt:variant>
        <vt:lpwstr>_Toc191918667</vt:lpwstr>
      </vt:variant>
      <vt:variant>
        <vt:i4>1507380</vt:i4>
      </vt:variant>
      <vt:variant>
        <vt:i4>332</vt:i4>
      </vt:variant>
      <vt:variant>
        <vt:i4>0</vt:i4>
      </vt:variant>
      <vt:variant>
        <vt:i4>5</vt:i4>
      </vt:variant>
      <vt:variant>
        <vt:lpwstr/>
      </vt:variant>
      <vt:variant>
        <vt:lpwstr>_Toc191918582</vt:lpwstr>
      </vt:variant>
      <vt:variant>
        <vt:i4>1507380</vt:i4>
      </vt:variant>
      <vt:variant>
        <vt:i4>326</vt:i4>
      </vt:variant>
      <vt:variant>
        <vt:i4>0</vt:i4>
      </vt:variant>
      <vt:variant>
        <vt:i4>5</vt:i4>
      </vt:variant>
      <vt:variant>
        <vt:lpwstr/>
      </vt:variant>
      <vt:variant>
        <vt:lpwstr>_Toc191918581</vt:lpwstr>
      </vt:variant>
      <vt:variant>
        <vt:i4>1507380</vt:i4>
      </vt:variant>
      <vt:variant>
        <vt:i4>320</vt:i4>
      </vt:variant>
      <vt:variant>
        <vt:i4>0</vt:i4>
      </vt:variant>
      <vt:variant>
        <vt:i4>5</vt:i4>
      </vt:variant>
      <vt:variant>
        <vt:lpwstr/>
      </vt:variant>
      <vt:variant>
        <vt:lpwstr>_Toc191918580</vt:lpwstr>
      </vt:variant>
      <vt:variant>
        <vt:i4>1835063</vt:i4>
      </vt:variant>
      <vt:variant>
        <vt:i4>311</vt:i4>
      </vt:variant>
      <vt:variant>
        <vt:i4>0</vt:i4>
      </vt:variant>
      <vt:variant>
        <vt:i4>5</vt:i4>
      </vt:variant>
      <vt:variant>
        <vt:lpwstr/>
      </vt:variant>
      <vt:variant>
        <vt:lpwstr>_Toc191918638</vt:lpwstr>
      </vt:variant>
      <vt:variant>
        <vt:i4>1835063</vt:i4>
      </vt:variant>
      <vt:variant>
        <vt:i4>305</vt:i4>
      </vt:variant>
      <vt:variant>
        <vt:i4>0</vt:i4>
      </vt:variant>
      <vt:variant>
        <vt:i4>5</vt:i4>
      </vt:variant>
      <vt:variant>
        <vt:lpwstr/>
      </vt:variant>
      <vt:variant>
        <vt:lpwstr>_Toc191918637</vt:lpwstr>
      </vt:variant>
      <vt:variant>
        <vt:i4>1835063</vt:i4>
      </vt:variant>
      <vt:variant>
        <vt:i4>299</vt:i4>
      </vt:variant>
      <vt:variant>
        <vt:i4>0</vt:i4>
      </vt:variant>
      <vt:variant>
        <vt:i4>5</vt:i4>
      </vt:variant>
      <vt:variant>
        <vt:lpwstr/>
      </vt:variant>
      <vt:variant>
        <vt:lpwstr>_Toc191918636</vt:lpwstr>
      </vt:variant>
      <vt:variant>
        <vt:i4>1835063</vt:i4>
      </vt:variant>
      <vt:variant>
        <vt:i4>293</vt:i4>
      </vt:variant>
      <vt:variant>
        <vt:i4>0</vt:i4>
      </vt:variant>
      <vt:variant>
        <vt:i4>5</vt:i4>
      </vt:variant>
      <vt:variant>
        <vt:lpwstr/>
      </vt:variant>
      <vt:variant>
        <vt:lpwstr>_Toc191918635</vt:lpwstr>
      </vt:variant>
      <vt:variant>
        <vt:i4>1835063</vt:i4>
      </vt:variant>
      <vt:variant>
        <vt:i4>287</vt:i4>
      </vt:variant>
      <vt:variant>
        <vt:i4>0</vt:i4>
      </vt:variant>
      <vt:variant>
        <vt:i4>5</vt:i4>
      </vt:variant>
      <vt:variant>
        <vt:lpwstr/>
      </vt:variant>
      <vt:variant>
        <vt:lpwstr>_Toc191918634</vt:lpwstr>
      </vt:variant>
      <vt:variant>
        <vt:i4>1835063</vt:i4>
      </vt:variant>
      <vt:variant>
        <vt:i4>281</vt:i4>
      </vt:variant>
      <vt:variant>
        <vt:i4>0</vt:i4>
      </vt:variant>
      <vt:variant>
        <vt:i4>5</vt:i4>
      </vt:variant>
      <vt:variant>
        <vt:lpwstr/>
      </vt:variant>
      <vt:variant>
        <vt:lpwstr>_Toc191918633</vt:lpwstr>
      </vt:variant>
      <vt:variant>
        <vt:i4>1900597</vt:i4>
      </vt:variant>
      <vt:variant>
        <vt:i4>272</vt:i4>
      </vt:variant>
      <vt:variant>
        <vt:i4>0</vt:i4>
      </vt:variant>
      <vt:variant>
        <vt:i4>5</vt:i4>
      </vt:variant>
      <vt:variant>
        <vt:lpwstr/>
      </vt:variant>
      <vt:variant>
        <vt:lpwstr>_Toc191918421</vt:lpwstr>
      </vt:variant>
      <vt:variant>
        <vt:i4>1900597</vt:i4>
      </vt:variant>
      <vt:variant>
        <vt:i4>266</vt:i4>
      </vt:variant>
      <vt:variant>
        <vt:i4>0</vt:i4>
      </vt:variant>
      <vt:variant>
        <vt:i4>5</vt:i4>
      </vt:variant>
      <vt:variant>
        <vt:lpwstr/>
      </vt:variant>
      <vt:variant>
        <vt:lpwstr>_Toc191918420</vt:lpwstr>
      </vt:variant>
      <vt:variant>
        <vt:i4>1966133</vt:i4>
      </vt:variant>
      <vt:variant>
        <vt:i4>260</vt:i4>
      </vt:variant>
      <vt:variant>
        <vt:i4>0</vt:i4>
      </vt:variant>
      <vt:variant>
        <vt:i4>5</vt:i4>
      </vt:variant>
      <vt:variant>
        <vt:lpwstr/>
      </vt:variant>
      <vt:variant>
        <vt:lpwstr>_Toc191918419</vt:lpwstr>
      </vt:variant>
      <vt:variant>
        <vt:i4>1966133</vt:i4>
      </vt:variant>
      <vt:variant>
        <vt:i4>254</vt:i4>
      </vt:variant>
      <vt:variant>
        <vt:i4>0</vt:i4>
      </vt:variant>
      <vt:variant>
        <vt:i4>5</vt:i4>
      </vt:variant>
      <vt:variant>
        <vt:lpwstr/>
      </vt:variant>
      <vt:variant>
        <vt:lpwstr>_Toc191918418</vt:lpwstr>
      </vt:variant>
      <vt:variant>
        <vt:i4>1966133</vt:i4>
      </vt:variant>
      <vt:variant>
        <vt:i4>248</vt:i4>
      </vt:variant>
      <vt:variant>
        <vt:i4>0</vt:i4>
      </vt:variant>
      <vt:variant>
        <vt:i4>5</vt:i4>
      </vt:variant>
      <vt:variant>
        <vt:lpwstr/>
      </vt:variant>
      <vt:variant>
        <vt:lpwstr>_Toc191918417</vt:lpwstr>
      </vt:variant>
      <vt:variant>
        <vt:i4>1966133</vt:i4>
      </vt:variant>
      <vt:variant>
        <vt:i4>242</vt:i4>
      </vt:variant>
      <vt:variant>
        <vt:i4>0</vt:i4>
      </vt:variant>
      <vt:variant>
        <vt:i4>5</vt:i4>
      </vt:variant>
      <vt:variant>
        <vt:lpwstr/>
      </vt:variant>
      <vt:variant>
        <vt:lpwstr>_Toc191918416</vt:lpwstr>
      </vt:variant>
      <vt:variant>
        <vt:i4>1966133</vt:i4>
      </vt:variant>
      <vt:variant>
        <vt:i4>236</vt:i4>
      </vt:variant>
      <vt:variant>
        <vt:i4>0</vt:i4>
      </vt:variant>
      <vt:variant>
        <vt:i4>5</vt:i4>
      </vt:variant>
      <vt:variant>
        <vt:lpwstr/>
      </vt:variant>
      <vt:variant>
        <vt:lpwstr>_Toc191918415</vt:lpwstr>
      </vt:variant>
      <vt:variant>
        <vt:i4>1966133</vt:i4>
      </vt:variant>
      <vt:variant>
        <vt:i4>230</vt:i4>
      </vt:variant>
      <vt:variant>
        <vt:i4>0</vt:i4>
      </vt:variant>
      <vt:variant>
        <vt:i4>5</vt:i4>
      </vt:variant>
      <vt:variant>
        <vt:lpwstr/>
      </vt:variant>
      <vt:variant>
        <vt:lpwstr>_Toc191918414</vt:lpwstr>
      </vt:variant>
      <vt:variant>
        <vt:i4>1966133</vt:i4>
      </vt:variant>
      <vt:variant>
        <vt:i4>224</vt:i4>
      </vt:variant>
      <vt:variant>
        <vt:i4>0</vt:i4>
      </vt:variant>
      <vt:variant>
        <vt:i4>5</vt:i4>
      </vt:variant>
      <vt:variant>
        <vt:lpwstr/>
      </vt:variant>
      <vt:variant>
        <vt:lpwstr>_Toc191918413</vt:lpwstr>
      </vt:variant>
      <vt:variant>
        <vt:i4>1966133</vt:i4>
      </vt:variant>
      <vt:variant>
        <vt:i4>218</vt:i4>
      </vt:variant>
      <vt:variant>
        <vt:i4>0</vt:i4>
      </vt:variant>
      <vt:variant>
        <vt:i4>5</vt:i4>
      </vt:variant>
      <vt:variant>
        <vt:lpwstr/>
      </vt:variant>
      <vt:variant>
        <vt:lpwstr>_Toc191918412</vt:lpwstr>
      </vt:variant>
      <vt:variant>
        <vt:i4>1966133</vt:i4>
      </vt:variant>
      <vt:variant>
        <vt:i4>212</vt:i4>
      </vt:variant>
      <vt:variant>
        <vt:i4>0</vt:i4>
      </vt:variant>
      <vt:variant>
        <vt:i4>5</vt:i4>
      </vt:variant>
      <vt:variant>
        <vt:lpwstr/>
      </vt:variant>
      <vt:variant>
        <vt:lpwstr>_Toc191918411</vt:lpwstr>
      </vt:variant>
      <vt:variant>
        <vt:i4>1966133</vt:i4>
      </vt:variant>
      <vt:variant>
        <vt:i4>206</vt:i4>
      </vt:variant>
      <vt:variant>
        <vt:i4>0</vt:i4>
      </vt:variant>
      <vt:variant>
        <vt:i4>5</vt:i4>
      </vt:variant>
      <vt:variant>
        <vt:lpwstr/>
      </vt:variant>
      <vt:variant>
        <vt:lpwstr>_Toc191918410</vt:lpwstr>
      </vt:variant>
      <vt:variant>
        <vt:i4>2031669</vt:i4>
      </vt:variant>
      <vt:variant>
        <vt:i4>200</vt:i4>
      </vt:variant>
      <vt:variant>
        <vt:i4>0</vt:i4>
      </vt:variant>
      <vt:variant>
        <vt:i4>5</vt:i4>
      </vt:variant>
      <vt:variant>
        <vt:lpwstr/>
      </vt:variant>
      <vt:variant>
        <vt:lpwstr>_Toc191918409</vt:lpwstr>
      </vt:variant>
      <vt:variant>
        <vt:i4>2031669</vt:i4>
      </vt:variant>
      <vt:variant>
        <vt:i4>194</vt:i4>
      </vt:variant>
      <vt:variant>
        <vt:i4>0</vt:i4>
      </vt:variant>
      <vt:variant>
        <vt:i4>5</vt:i4>
      </vt:variant>
      <vt:variant>
        <vt:lpwstr/>
      </vt:variant>
      <vt:variant>
        <vt:lpwstr>_Toc191918408</vt:lpwstr>
      </vt:variant>
      <vt:variant>
        <vt:i4>2031669</vt:i4>
      </vt:variant>
      <vt:variant>
        <vt:i4>188</vt:i4>
      </vt:variant>
      <vt:variant>
        <vt:i4>0</vt:i4>
      </vt:variant>
      <vt:variant>
        <vt:i4>5</vt:i4>
      </vt:variant>
      <vt:variant>
        <vt:lpwstr/>
      </vt:variant>
      <vt:variant>
        <vt:lpwstr>_Toc191918407</vt:lpwstr>
      </vt:variant>
      <vt:variant>
        <vt:i4>2031669</vt:i4>
      </vt:variant>
      <vt:variant>
        <vt:i4>182</vt:i4>
      </vt:variant>
      <vt:variant>
        <vt:i4>0</vt:i4>
      </vt:variant>
      <vt:variant>
        <vt:i4>5</vt:i4>
      </vt:variant>
      <vt:variant>
        <vt:lpwstr/>
      </vt:variant>
      <vt:variant>
        <vt:lpwstr>_Toc191918406</vt:lpwstr>
      </vt:variant>
      <vt:variant>
        <vt:i4>2031669</vt:i4>
      </vt:variant>
      <vt:variant>
        <vt:i4>176</vt:i4>
      </vt:variant>
      <vt:variant>
        <vt:i4>0</vt:i4>
      </vt:variant>
      <vt:variant>
        <vt:i4>5</vt:i4>
      </vt:variant>
      <vt:variant>
        <vt:lpwstr/>
      </vt:variant>
      <vt:variant>
        <vt:lpwstr>_Toc191918405</vt:lpwstr>
      </vt:variant>
      <vt:variant>
        <vt:i4>2031669</vt:i4>
      </vt:variant>
      <vt:variant>
        <vt:i4>170</vt:i4>
      </vt:variant>
      <vt:variant>
        <vt:i4>0</vt:i4>
      </vt:variant>
      <vt:variant>
        <vt:i4>5</vt:i4>
      </vt:variant>
      <vt:variant>
        <vt:lpwstr/>
      </vt:variant>
      <vt:variant>
        <vt:lpwstr>_Toc191918404</vt:lpwstr>
      </vt:variant>
      <vt:variant>
        <vt:i4>2031669</vt:i4>
      </vt:variant>
      <vt:variant>
        <vt:i4>164</vt:i4>
      </vt:variant>
      <vt:variant>
        <vt:i4>0</vt:i4>
      </vt:variant>
      <vt:variant>
        <vt:i4>5</vt:i4>
      </vt:variant>
      <vt:variant>
        <vt:lpwstr/>
      </vt:variant>
      <vt:variant>
        <vt:lpwstr>_Toc191918403</vt:lpwstr>
      </vt:variant>
      <vt:variant>
        <vt:i4>2031669</vt:i4>
      </vt:variant>
      <vt:variant>
        <vt:i4>158</vt:i4>
      </vt:variant>
      <vt:variant>
        <vt:i4>0</vt:i4>
      </vt:variant>
      <vt:variant>
        <vt:i4>5</vt:i4>
      </vt:variant>
      <vt:variant>
        <vt:lpwstr/>
      </vt:variant>
      <vt:variant>
        <vt:lpwstr>_Toc191918402</vt:lpwstr>
      </vt:variant>
      <vt:variant>
        <vt:i4>2031669</vt:i4>
      </vt:variant>
      <vt:variant>
        <vt:i4>152</vt:i4>
      </vt:variant>
      <vt:variant>
        <vt:i4>0</vt:i4>
      </vt:variant>
      <vt:variant>
        <vt:i4>5</vt:i4>
      </vt:variant>
      <vt:variant>
        <vt:lpwstr/>
      </vt:variant>
      <vt:variant>
        <vt:lpwstr>_Toc191918401</vt:lpwstr>
      </vt:variant>
      <vt:variant>
        <vt:i4>2031669</vt:i4>
      </vt:variant>
      <vt:variant>
        <vt:i4>146</vt:i4>
      </vt:variant>
      <vt:variant>
        <vt:i4>0</vt:i4>
      </vt:variant>
      <vt:variant>
        <vt:i4>5</vt:i4>
      </vt:variant>
      <vt:variant>
        <vt:lpwstr/>
      </vt:variant>
      <vt:variant>
        <vt:lpwstr>_Toc191918400</vt:lpwstr>
      </vt:variant>
      <vt:variant>
        <vt:i4>1441842</vt:i4>
      </vt:variant>
      <vt:variant>
        <vt:i4>140</vt:i4>
      </vt:variant>
      <vt:variant>
        <vt:i4>0</vt:i4>
      </vt:variant>
      <vt:variant>
        <vt:i4>5</vt:i4>
      </vt:variant>
      <vt:variant>
        <vt:lpwstr/>
      </vt:variant>
      <vt:variant>
        <vt:lpwstr>_Toc191918399</vt:lpwstr>
      </vt:variant>
      <vt:variant>
        <vt:i4>1441842</vt:i4>
      </vt:variant>
      <vt:variant>
        <vt:i4>134</vt:i4>
      </vt:variant>
      <vt:variant>
        <vt:i4>0</vt:i4>
      </vt:variant>
      <vt:variant>
        <vt:i4>5</vt:i4>
      </vt:variant>
      <vt:variant>
        <vt:lpwstr/>
      </vt:variant>
      <vt:variant>
        <vt:lpwstr>_Toc191918398</vt:lpwstr>
      </vt:variant>
      <vt:variant>
        <vt:i4>1441842</vt:i4>
      </vt:variant>
      <vt:variant>
        <vt:i4>128</vt:i4>
      </vt:variant>
      <vt:variant>
        <vt:i4>0</vt:i4>
      </vt:variant>
      <vt:variant>
        <vt:i4>5</vt:i4>
      </vt:variant>
      <vt:variant>
        <vt:lpwstr/>
      </vt:variant>
      <vt:variant>
        <vt:lpwstr>_Toc191918397</vt:lpwstr>
      </vt:variant>
      <vt:variant>
        <vt:i4>1441842</vt:i4>
      </vt:variant>
      <vt:variant>
        <vt:i4>122</vt:i4>
      </vt:variant>
      <vt:variant>
        <vt:i4>0</vt:i4>
      </vt:variant>
      <vt:variant>
        <vt:i4>5</vt:i4>
      </vt:variant>
      <vt:variant>
        <vt:lpwstr/>
      </vt:variant>
      <vt:variant>
        <vt:lpwstr>_Toc191918396</vt:lpwstr>
      </vt:variant>
      <vt:variant>
        <vt:i4>1441842</vt:i4>
      </vt:variant>
      <vt:variant>
        <vt:i4>116</vt:i4>
      </vt:variant>
      <vt:variant>
        <vt:i4>0</vt:i4>
      </vt:variant>
      <vt:variant>
        <vt:i4>5</vt:i4>
      </vt:variant>
      <vt:variant>
        <vt:lpwstr/>
      </vt:variant>
      <vt:variant>
        <vt:lpwstr>_Toc191918395</vt:lpwstr>
      </vt:variant>
      <vt:variant>
        <vt:i4>1441842</vt:i4>
      </vt:variant>
      <vt:variant>
        <vt:i4>110</vt:i4>
      </vt:variant>
      <vt:variant>
        <vt:i4>0</vt:i4>
      </vt:variant>
      <vt:variant>
        <vt:i4>5</vt:i4>
      </vt:variant>
      <vt:variant>
        <vt:lpwstr/>
      </vt:variant>
      <vt:variant>
        <vt:lpwstr>_Toc191918394</vt:lpwstr>
      </vt:variant>
      <vt:variant>
        <vt:i4>1441842</vt:i4>
      </vt:variant>
      <vt:variant>
        <vt:i4>104</vt:i4>
      </vt:variant>
      <vt:variant>
        <vt:i4>0</vt:i4>
      </vt:variant>
      <vt:variant>
        <vt:i4>5</vt:i4>
      </vt:variant>
      <vt:variant>
        <vt:lpwstr/>
      </vt:variant>
      <vt:variant>
        <vt:lpwstr>_Toc191918393</vt:lpwstr>
      </vt:variant>
      <vt:variant>
        <vt:i4>1441842</vt:i4>
      </vt:variant>
      <vt:variant>
        <vt:i4>98</vt:i4>
      </vt:variant>
      <vt:variant>
        <vt:i4>0</vt:i4>
      </vt:variant>
      <vt:variant>
        <vt:i4>5</vt:i4>
      </vt:variant>
      <vt:variant>
        <vt:lpwstr/>
      </vt:variant>
      <vt:variant>
        <vt:lpwstr>_Toc191918392</vt:lpwstr>
      </vt:variant>
      <vt:variant>
        <vt:i4>1441842</vt:i4>
      </vt:variant>
      <vt:variant>
        <vt:i4>92</vt:i4>
      </vt:variant>
      <vt:variant>
        <vt:i4>0</vt:i4>
      </vt:variant>
      <vt:variant>
        <vt:i4>5</vt:i4>
      </vt:variant>
      <vt:variant>
        <vt:lpwstr/>
      </vt:variant>
      <vt:variant>
        <vt:lpwstr>_Toc191918391</vt:lpwstr>
      </vt:variant>
      <vt:variant>
        <vt:i4>1441842</vt:i4>
      </vt:variant>
      <vt:variant>
        <vt:i4>86</vt:i4>
      </vt:variant>
      <vt:variant>
        <vt:i4>0</vt:i4>
      </vt:variant>
      <vt:variant>
        <vt:i4>5</vt:i4>
      </vt:variant>
      <vt:variant>
        <vt:lpwstr/>
      </vt:variant>
      <vt:variant>
        <vt:lpwstr>_Toc191918390</vt:lpwstr>
      </vt:variant>
      <vt:variant>
        <vt:i4>1507378</vt:i4>
      </vt:variant>
      <vt:variant>
        <vt:i4>80</vt:i4>
      </vt:variant>
      <vt:variant>
        <vt:i4>0</vt:i4>
      </vt:variant>
      <vt:variant>
        <vt:i4>5</vt:i4>
      </vt:variant>
      <vt:variant>
        <vt:lpwstr/>
      </vt:variant>
      <vt:variant>
        <vt:lpwstr>_Toc191918389</vt:lpwstr>
      </vt:variant>
      <vt:variant>
        <vt:i4>1507378</vt:i4>
      </vt:variant>
      <vt:variant>
        <vt:i4>74</vt:i4>
      </vt:variant>
      <vt:variant>
        <vt:i4>0</vt:i4>
      </vt:variant>
      <vt:variant>
        <vt:i4>5</vt:i4>
      </vt:variant>
      <vt:variant>
        <vt:lpwstr/>
      </vt:variant>
      <vt:variant>
        <vt:lpwstr>_Toc191918388</vt:lpwstr>
      </vt:variant>
      <vt:variant>
        <vt:i4>1507378</vt:i4>
      </vt:variant>
      <vt:variant>
        <vt:i4>68</vt:i4>
      </vt:variant>
      <vt:variant>
        <vt:i4>0</vt:i4>
      </vt:variant>
      <vt:variant>
        <vt:i4>5</vt:i4>
      </vt:variant>
      <vt:variant>
        <vt:lpwstr/>
      </vt:variant>
      <vt:variant>
        <vt:lpwstr>_Toc191918387</vt:lpwstr>
      </vt:variant>
      <vt:variant>
        <vt:i4>1507378</vt:i4>
      </vt:variant>
      <vt:variant>
        <vt:i4>62</vt:i4>
      </vt:variant>
      <vt:variant>
        <vt:i4>0</vt:i4>
      </vt:variant>
      <vt:variant>
        <vt:i4>5</vt:i4>
      </vt:variant>
      <vt:variant>
        <vt:lpwstr/>
      </vt:variant>
      <vt:variant>
        <vt:lpwstr>_Toc191918386</vt:lpwstr>
      </vt:variant>
      <vt:variant>
        <vt:i4>1507378</vt:i4>
      </vt:variant>
      <vt:variant>
        <vt:i4>56</vt:i4>
      </vt:variant>
      <vt:variant>
        <vt:i4>0</vt:i4>
      </vt:variant>
      <vt:variant>
        <vt:i4>5</vt:i4>
      </vt:variant>
      <vt:variant>
        <vt:lpwstr/>
      </vt:variant>
      <vt:variant>
        <vt:lpwstr>_Toc191918385</vt:lpwstr>
      </vt:variant>
      <vt:variant>
        <vt:i4>1507378</vt:i4>
      </vt:variant>
      <vt:variant>
        <vt:i4>50</vt:i4>
      </vt:variant>
      <vt:variant>
        <vt:i4>0</vt:i4>
      </vt:variant>
      <vt:variant>
        <vt:i4>5</vt:i4>
      </vt:variant>
      <vt:variant>
        <vt:lpwstr/>
      </vt:variant>
      <vt:variant>
        <vt:lpwstr>_Toc191918384</vt:lpwstr>
      </vt:variant>
      <vt:variant>
        <vt:i4>1507378</vt:i4>
      </vt:variant>
      <vt:variant>
        <vt:i4>44</vt:i4>
      </vt:variant>
      <vt:variant>
        <vt:i4>0</vt:i4>
      </vt:variant>
      <vt:variant>
        <vt:i4>5</vt:i4>
      </vt:variant>
      <vt:variant>
        <vt:lpwstr/>
      </vt:variant>
      <vt:variant>
        <vt:lpwstr>_Toc191918383</vt:lpwstr>
      </vt:variant>
      <vt:variant>
        <vt:i4>1507378</vt:i4>
      </vt:variant>
      <vt:variant>
        <vt:i4>38</vt:i4>
      </vt:variant>
      <vt:variant>
        <vt:i4>0</vt:i4>
      </vt:variant>
      <vt:variant>
        <vt:i4>5</vt:i4>
      </vt:variant>
      <vt:variant>
        <vt:lpwstr/>
      </vt:variant>
      <vt:variant>
        <vt:lpwstr>_Toc191918382</vt:lpwstr>
      </vt:variant>
      <vt:variant>
        <vt:i4>1507378</vt:i4>
      </vt:variant>
      <vt:variant>
        <vt:i4>32</vt:i4>
      </vt:variant>
      <vt:variant>
        <vt:i4>0</vt:i4>
      </vt:variant>
      <vt:variant>
        <vt:i4>5</vt:i4>
      </vt:variant>
      <vt:variant>
        <vt:lpwstr/>
      </vt:variant>
      <vt:variant>
        <vt:lpwstr>_Toc191918381</vt:lpwstr>
      </vt:variant>
      <vt:variant>
        <vt:i4>1507378</vt:i4>
      </vt:variant>
      <vt:variant>
        <vt:i4>26</vt:i4>
      </vt:variant>
      <vt:variant>
        <vt:i4>0</vt:i4>
      </vt:variant>
      <vt:variant>
        <vt:i4>5</vt:i4>
      </vt:variant>
      <vt:variant>
        <vt:lpwstr/>
      </vt:variant>
      <vt:variant>
        <vt:lpwstr>_Toc191918380</vt:lpwstr>
      </vt:variant>
      <vt:variant>
        <vt:i4>1572914</vt:i4>
      </vt:variant>
      <vt:variant>
        <vt:i4>20</vt:i4>
      </vt:variant>
      <vt:variant>
        <vt:i4>0</vt:i4>
      </vt:variant>
      <vt:variant>
        <vt:i4>5</vt:i4>
      </vt:variant>
      <vt:variant>
        <vt:lpwstr/>
      </vt:variant>
      <vt:variant>
        <vt:lpwstr>_Toc191918379</vt:lpwstr>
      </vt:variant>
      <vt:variant>
        <vt:i4>1572914</vt:i4>
      </vt:variant>
      <vt:variant>
        <vt:i4>14</vt:i4>
      </vt:variant>
      <vt:variant>
        <vt:i4>0</vt:i4>
      </vt:variant>
      <vt:variant>
        <vt:i4>5</vt:i4>
      </vt:variant>
      <vt:variant>
        <vt:lpwstr/>
      </vt:variant>
      <vt:variant>
        <vt:lpwstr>_Toc191918378</vt:lpwstr>
      </vt:variant>
      <vt:variant>
        <vt:i4>1572914</vt:i4>
      </vt:variant>
      <vt:variant>
        <vt:i4>8</vt:i4>
      </vt:variant>
      <vt:variant>
        <vt:i4>0</vt:i4>
      </vt:variant>
      <vt:variant>
        <vt:i4>5</vt:i4>
      </vt:variant>
      <vt:variant>
        <vt:lpwstr/>
      </vt:variant>
      <vt:variant>
        <vt:lpwstr>_Toc191918377</vt:lpwstr>
      </vt:variant>
      <vt:variant>
        <vt:i4>1572914</vt:i4>
      </vt:variant>
      <vt:variant>
        <vt:i4>2</vt:i4>
      </vt:variant>
      <vt:variant>
        <vt:i4>0</vt:i4>
      </vt:variant>
      <vt:variant>
        <vt:i4>5</vt:i4>
      </vt:variant>
      <vt:variant>
        <vt:lpwstr/>
      </vt:variant>
      <vt:variant>
        <vt:lpwstr>_Toc191918376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reassembly of faunal communities and species interactions in regenerating tropical forests and their potential applications to restoration initiatives</dc:title>
  <dc:subject>A Thesis Presented for theDoctoral of PhilosophyDegreeDepartment of Ecology and Evolutionary BiologyThe University of Tennessee, Knoxville</dc:subject>
  <dc:creator>Lussier, Nicole</dc:creator>
  <cp:keywords/>
  <dc:description/>
  <cp:lastModifiedBy>Lussier, Nicole</cp:lastModifiedBy>
  <cp:revision>11</cp:revision>
  <dcterms:created xsi:type="dcterms:W3CDTF">2025-04-10T19:24:00Z</dcterms:created>
  <dcterms:modified xsi:type="dcterms:W3CDTF">2025-04-10T19:46:00Z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zotero-version="7.0.12"&gt;&lt;session id="caoAkjTK"/&gt;&lt;style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