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6FA5" w14:textId="3F24009A" w:rsidR="00E11AEF" w:rsidRPr="00E11AEF" w:rsidRDefault="00E11AEF" w:rsidP="00E11AEF">
      <w:pPr>
        <w:jc w:val="center"/>
        <w:rPr>
          <w:rFonts w:asciiTheme="majorBidi" w:hAnsiTheme="majorBidi" w:cstheme="majorBidi"/>
          <w:b/>
          <w:bCs/>
        </w:rPr>
      </w:pPr>
      <w:r w:rsidRPr="00E11AEF">
        <w:rPr>
          <w:rFonts w:asciiTheme="majorBidi" w:hAnsiTheme="majorBidi" w:cstheme="majorBidi"/>
          <w:b/>
          <w:bCs/>
        </w:rPr>
        <w:t>Master’s Thesis in Sociology</w:t>
      </w:r>
    </w:p>
    <w:p w14:paraId="7605D638" w14:textId="77777777" w:rsidR="00E11AEF" w:rsidRPr="00E11AEF" w:rsidRDefault="00E11AEF" w:rsidP="00E11AEF">
      <w:pPr>
        <w:jc w:val="center"/>
        <w:rPr>
          <w:rFonts w:asciiTheme="majorBidi" w:hAnsiTheme="majorBidi" w:cstheme="majorBidi"/>
          <w:b/>
          <w:bCs/>
        </w:rPr>
      </w:pPr>
    </w:p>
    <w:p w14:paraId="58F814E8" w14:textId="77777777" w:rsidR="00E11AEF" w:rsidRPr="00E11AEF" w:rsidRDefault="00E11AEF" w:rsidP="00E11AEF">
      <w:pPr>
        <w:jc w:val="center"/>
        <w:rPr>
          <w:rFonts w:asciiTheme="majorBidi" w:hAnsiTheme="majorBidi" w:cstheme="majorBidi"/>
          <w:b/>
          <w:bCs/>
        </w:rPr>
      </w:pPr>
    </w:p>
    <w:p w14:paraId="4046FE25" w14:textId="77777777" w:rsidR="00E11AEF" w:rsidRPr="00E11AEF" w:rsidRDefault="00E11AEF" w:rsidP="00E11AEF">
      <w:pPr>
        <w:jc w:val="center"/>
        <w:rPr>
          <w:rFonts w:asciiTheme="majorBidi" w:hAnsiTheme="majorBidi" w:cstheme="majorBidi"/>
          <w:b/>
          <w:bCs/>
        </w:rPr>
      </w:pPr>
    </w:p>
    <w:p w14:paraId="7E90A090" w14:textId="77777777" w:rsidR="00E11AEF" w:rsidRPr="00E11AEF" w:rsidRDefault="00E11AEF" w:rsidP="00E11AEF">
      <w:pPr>
        <w:jc w:val="center"/>
        <w:rPr>
          <w:rFonts w:asciiTheme="majorBidi" w:hAnsiTheme="majorBidi" w:cstheme="majorBidi"/>
          <w:b/>
          <w:bCs/>
        </w:rPr>
      </w:pPr>
    </w:p>
    <w:p w14:paraId="0D6CAD53" w14:textId="77777777" w:rsidR="00E11AEF" w:rsidRPr="00E11AEF" w:rsidRDefault="00E11AEF" w:rsidP="00E11AEF">
      <w:pPr>
        <w:jc w:val="center"/>
        <w:rPr>
          <w:rFonts w:asciiTheme="majorBidi" w:hAnsiTheme="majorBidi" w:cstheme="majorBidi"/>
          <w:b/>
          <w:bCs/>
        </w:rPr>
      </w:pPr>
    </w:p>
    <w:p w14:paraId="1D420A1E" w14:textId="77777777" w:rsidR="00E11AEF" w:rsidRPr="00E11AEF" w:rsidRDefault="00E11AEF" w:rsidP="00E11AEF">
      <w:pPr>
        <w:jc w:val="center"/>
        <w:rPr>
          <w:rFonts w:asciiTheme="majorBidi" w:hAnsiTheme="majorBidi" w:cstheme="majorBidi"/>
          <w:b/>
          <w:bCs/>
        </w:rPr>
      </w:pPr>
    </w:p>
    <w:p w14:paraId="098AE6E3" w14:textId="77777777" w:rsidR="00E11AEF" w:rsidRPr="00E11AEF" w:rsidRDefault="00E11AEF" w:rsidP="00E11AEF">
      <w:pPr>
        <w:jc w:val="center"/>
        <w:rPr>
          <w:rFonts w:asciiTheme="majorBidi" w:hAnsiTheme="majorBidi" w:cstheme="majorBidi"/>
          <w:b/>
          <w:bCs/>
        </w:rPr>
      </w:pPr>
    </w:p>
    <w:p w14:paraId="30C8389B" w14:textId="77777777" w:rsidR="00E11AEF" w:rsidRPr="00E11AEF" w:rsidRDefault="00E11AEF" w:rsidP="00E11AEF">
      <w:pPr>
        <w:jc w:val="center"/>
        <w:rPr>
          <w:rFonts w:asciiTheme="majorBidi" w:hAnsiTheme="majorBidi" w:cstheme="majorBidi"/>
          <w:b/>
          <w:bCs/>
          <w:i/>
          <w:iCs/>
        </w:rPr>
      </w:pPr>
      <w:r w:rsidRPr="00E11AEF">
        <w:rPr>
          <w:rFonts w:asciiTheme="majorBidi" w:hAnsiTheme="majorBidi" w:cstheme="majorBidi"/>
          <w:b/>
          <w:bCs/>
          <w:i/>
          <w:iCs/>
        </w:rPr>
        <w:t>Democracy in the Margins:</w:t>
      </w:r>
    </w:p>
    <w:p w14:paraId="0C30573F" w14:textId="77777777" w:rsidR="00E11AEF" w:rsidRPr="00E11AEF" w:rsidRDefault="00E11AEF" w:rsidP="00E11AEF">
      <w:pPr>
        <w:jc w:val="center"/>
        <w:rPr>
          <w:rFonts w:asciiTheme="majorBidi" w:hAnsiTheme="majorBidi" w:cstheme="majorBidi"/>
          <w:i/>
          <w:iCs/>
        </w:rPr>
      </w:pPr>
      <w:r w:rsidRPr="00E11AEF">
        <w:rPr>
          <w:rFonts w:asciiTheme="majorBidi" w:hAnsiTheme="majorBidi" w:cstheme="majorBidi"/>
          <w:i/>
          <w:iCs/>
        </w:rPr>
        <w:t>The Case of Iraq as an External Critique of Liberal Democracy</w:t>
      </w:r>
    </w:p>
    <w:p w14:paraId="358FC38F" w14:textId="77777777" w:rsidR="00E11AEF" w:rsidRPr="00E11AEF" w:rsidRDefault="00E11AEF" w:rsidP="00E11AEF">
      <w:pPr>
        <w:jc w:val="center"/>
        <w:rPr>
          <w:rFonts w:asciiTheme="majorBidi" w:hAnsiTheme="majorBidi" w:cstheme="majorBidi"/>
          <w:i/>
          <w:iCs/>
        </w:rPr>
      </w:pPr>
    </w:p>
    <w:p w14:paraId="674E1D36" w14:textId="77777777" w:rsidR="00E11AEF" w:rsidRPr="00E11AEF" w:rsidRDefault="00E11AEF" w:rsidP="00E11AEF">
      <w:pPr>
        <w:jc w:val="center"/>
        <w:rPr>
          <w:rFonts w:asciiTheme="majorBidi" w:hAnsiTheme="majorBidi" w:cstheme="majorBidi"/>
          <w:i/>
          <w:iCs/>
        </w:rPr>
      </w:pPr>
    </w:p>
    <w:p w14:paraId="3AC39FC5" w14:textId="77777777" w:rsidR="00E11AEF" w:rsidRPr="00E11AEF" w:rsidRDefault="00E11AEF" w:rsidP="00E11AEF">
      <w:pPr>
        <w:jc w:val="center"/>
        <w:rPr>
          <w:rFonts w:asciiTheme="majorBidi" w:hAnsiTheme="majorBidi" w:cstheme="majorBidi"/>
          <w:i/>
          <w:iCs/>
        </w:rPr>
      </w:pPr>
    </w:p>
    <w:p w14:paraId="7DD52BC5" w14:textId="77777777" w:rsidR="00E11AEF" w:rsidRPr="00E11AEF" w:rsidRDefault="00E11AEF" w:rsidP="00E11AEF">
      <w:pPr>
        <w:jc w:val="center"/>
        <w:rPr>
          <w:rFonts w:asciiTheme="majorBidi" w:hAnsiTheme="majorBidi" w:cstheme="majorBidi"/>
          <w:i/>
          <w:iCs/>
        </w:rPr>
      </w:pPr>
    </w:p>
    <w:p w14:paraId="75FD1149" w14:textId="77777777" w:rsidR="00E11AEF" w:rsidRPr="00E11AEF" w:rsidRDefault="00E11AEF" w:rsidP="00E11AEF">
      <w:pPr>
        <w:jc w:val="center"/>
        <w:rPr>
          <w:rFonts w:asciiTheme="majorBidi" w:hAnsiTheme="majorBidi" w:cstheme="majorBidi"/>
          <w:i/>
          <w:iCs/>
        </w:rPr>
      </w:pPr>
    </w:p>
    <w:p w14:paraId="088D0CF1" w14:textId="77777777" w:rsidR="00E11AEF" w:rsidRPr="00E11AEF" w:rsidRDefault="00E11AEF" w:rsidP="00E11AEF">
      <w:pPr>
        <w:jc w:val="center"/>
        <w:rPr>
          <w:rFonts w:asciiTheme="majorBidi" w:hAnsiTheme="majorBidi" w:cstheme="majorBidi"/>
          <w:i/>
          <w:iCs/>
        </w:rPr>
      </w:pPr>
    </w:p>
    <w:p w14:paraId="263630ED" w14:textId="77777777" w:rsidR="00E11AEF" w:rsidRPr="00E11AEF" w:rsidRDefault="00E11AEF" w:rsidP="00E11AEF">
      <w:pPr>
        <w:jc w:val="center"/>
        <w:rPr>
          <w:rFonts w:asciiTheme="majorBidi" w:hAnsiTheme="majorBidi" w:cstheme="majorBidi"/>
          <w:i/>
          <w:iCs/>
        </w:rPr>
      </w:pPr>
    </w:p>
    <w:p w14:paraId="07FFB07E" w14:textId="77777777" w:rsidR="00E11AEF" w:rsidRPr="00E11AEF" w:rsidRDefault="00E11AEF" w:rsidP="00E11AEF">
      <w:pPr>
        <w:spacing w:after="0"/>
        <w:jc w:val="center"/>
        <w:rPr>
          <w:rFonts w:asciiTheme="majorBidi" w:hAnsiTheme="majorBidi" w:cstheme="majorBidi"/>
        </w:rPr>
      </w:pPr>
    </w:p>
    <w:p w14:paraId="772294AE" w14:textId="77777777" w:rsidR="00E11AEF" w:rsidRPr="00E11AEF" w:rsidRDefault="00E11AEF" w:rsidP="00E11AEF">
      <w:pPr>
        <w:spacing w:after="0"/>
        <w:jc w:val="center"/>
        <w:rPr>
          <w:rFonts w:asciiTheme="majorBidi" w:hAnsiTheme="majorBidi" w:cstheme="majorBidi"/>
        </w:rPr>
      </w:pPr>
      <w:r w:rsidRPr="00E11AEF">
        <w:rPr>
          <w:rFonts w:asciiTheme="majorBidi" w:hAnsiTheme="majorBidi" w:cstheme="majorBidi"/>
        </w:rPr>
        <w:t>Dler Awsman</w:t>
      </w:r>
    </w:p>
    <w:p w14:paraId="04AEDF49" w14:textId="77777777" w:rsidR="00E11AEF" w:rsidRPr="00E11AEF" w:rsidRDefault="00E11AEF" w:rsidP="00E11AEF">
      <w:pPr>
        <w:spacing w:after="0"/>
        <w:jc w:val="center"/>
        <w:rPr>
          <w:rFonts w:asciiTheme="majorBidi" w:hAnsiTheme="majorBidi" w:cstheme="majorBidi"/>
        </w:rPr>
      </w:pPr>
      <w:r w:rsidRPr="00E11AEF">
        <w:rPr>
          <w:rFonts w:asciiTheme="majorBidi" w:hAnsiTheme="majorBidi" w:cstheme="majorBidi"/>
        </w:rPr>
        <w:t>Dr. Harry F. Dahms</w:t>
      </w:r>
    </w:p>
    <w:p w14:paraId="43B8A19A" w14:textId="77777777" w:rsidR="00E11AEF" w:rsidRPr="00E11AEF" w:rsidRDefault="00E11AEF" w:rsidP="00E11AEF">
      <w:pPr>
        <w:spacing w:after="0"/>
        <w:jc w:val="center"/>
        <w:rPr>
          <w:rFonts w:asciiTheme="majorBidi" w:hAnsiTheme="majorBidi" w:cstheme="majorBidi"/>
        </w:rPr>
      </w:pPr>
      <w:r w:rsidRPr="00E11AEF">
        <w:rPr>
          <w:rFonts w:asciiTheme="majorBidi" w:hAnsiTheme="majorBidi" w:cstheme="majorBidi"/>
        </w:rPr>
        <w:t>Department Sociology</w:t>
      </w:r>
    </w:p>
    <w:p w14:paraId="1D1C5F9F" w14:textId="77777777" w:rsidR="00E11AEF" w:rsidRPr="00E11AEF" w:rsidRDefault="00E11AEF" w:rsidP="00E11AEF">
      <w:pPr>
        <w:spacing w:after="0"/>
        <w:jc w:val="center"/>
        <w:rPr>
          <w:rFonts w:asciiTheme="majorBidi" w:hAnsiTheme="majorBidi" w:cstheme="majorBidi"/>
        </w:rPr>
      </w:pPr>
      <w:r w:rsidRPr="00E11AEF">
        <w:rPr>
          <w:rFonts w:asciiTheme="majorBidi" w:hAnsiTheme="majorBidi" w:cstheme="majorBidi"/>
        </w:rPr>
        <w:t>University of Tennessee, Knoxville</w:t>
      </w:r>
    </w:p>
    <w:p w14:paraId="648D25F6" w14:textId="369C5D20" w:rsidR="00E11AEF" w:rsidRPr="00E11AEF" w:rsidRDefault="00302E77" w:rsidP="00E11AEF">
      <w:pPr>
        <w:spacing w:after="0"/>
        <w:jc w:val="center"/>
        <w:rPr>
          <w:rFonts w:asciiTheme="majorBidi" w:hAnsiTheme="majorBidi" w:cstheme="majorBidi"/>
        </w:rPr>
      </w:pPr>
      <w:r>
        <w:rPr>
          <w:rFonts w:asciiTheme="majorBidi" w:hAnsiTheme="majorBidi" w:cstheme="majorBidi"/>
          <w:i/>
          <w:iCs/>
        </w:rPr>
        <w:t>July</w:t>
      </w:r>
      <w:r w:rsidR="00E11AEF" w:rsidRPr="00E11AEF">
        <w:rPr>
          <w:rFonts w:asciiTheme="majorBidi" w:hAnsiTheme="majorBidi" w:cstheme="majorBidi"/>
          <w:i/>
          <w:iCs/>
        </w:rPr>
        <w:t xml:space="preserve"> </w:t>
      </w:r>
      <w:r>
        <w:rPr>
          <w:rFonts w:asciiTheme="majorBidi" w:hAnsiTheme="majorBidi" w:cstheme="majorBidi"/>
          <w:i/>
          <w:iCs/>
        </w:rPr>
        <w:t>1st</w:t>
      </w:r>
      <w:r w:rsidR="00E11AEF" w:rsidRPr="00E11AEF">
        <w:rPr>
          <w:rFonts w:asciiTheme="majorBidi" w:hAnsiTheme="majorBidi" w:cstheme="majorBidi"/>
          <w:i/>
          <w:iCs/>
        </w:rPr>
        <w:t>, 2025</w:t>
      </w:r>
    </w:p>
    <w:p w14:paraId="6A6B239A" w14:textId="0C2130C9" w:rsidR="00E11AEF" w:rsidRPr="00E11AEF" w:rsidRDefault="00E11AEF">
      <w:pPr>
        <w:rPr>
          <w:rFonts w:asciiTheme="majorBidi" w:hAnsiTheme="majorBidi" w:cstheme="majorBidi"/>
          <w:b/>
          <w:bCs/>
        </w:rPr>
      </w:pPr>
    </w:p>
    <w:p w14:paraId="496D1E06" w14:textId="77777777" w:rsidR="00D333AE" w:rsidRDefault="00E11AEF">
      <w:pPr>
        <w:rPr>
          <w:rFonts w:asciiTheme="majorBidi" w:hAnsiTheme="majorBidi" w:cstheme="majorBidi"/>
          <w:b/>
          <w:bCs/>
        </w:rPr>
        <w:sectPr w:rsidR="00D333AE" w:rsidSect="00EA7DB2">
          <w:footerReference w:type="default" r:id="rId8"/>
          <w:footerReference w:type="first" r:id="rId9"/>
          <w:pgSz w:w="12240" w:h="15840"/>
          <w:pgMar w:top="1440" w:right="1440" w:bottom="1440" w:left="1440" w:header="720" w:footer="720" w:gutter="0"/>
          <w:cols w:space="720"/>
          <w:titlePg/>
          <w:docGrid w:linePitch="360"/>
        </w:sectPr>
      </w:pPr>
      <w:r w:rsidRPr="00E11AEF">
        <w:rPr>
          <w:rFonts w:asciiTheme="majorBidi" w:hAnsiTheme="majorBidi" w:cstheme="majorBidi"/>
          <w:b/>
          <w:bCs/>
        </w:rPr>
        <w:br w:type="page"/>
      </w:r>
    </w:p>
    <w:p w14:paraId="70594A49" w14:textId="77777777" w:rsidR="00E11AEF" w:rsidRPr="00E11AEF" w:rsidRDefault="00E11AEF">
      <w:pPr>
        <w:rPr>
          <w:rFonts w:asciiTheme="majorBidi" w:hAnsiTheme="majorBidi" w:cstheme="majorBidi"/>
          <w:b/>
          <w:bCs/>
        </w:rPr>
      </w:pPr>
    </w:p>
    <w:p w14:paraId="7311C78C" w14:textId="7ACB07F6" w:rsidR="00FE3A07" w:rsidRPr="005D355D" w:rsidRDefault="00E11AEF" w:rsidP="00E11AEF">
      <w:pPr>
        <w:jc w:val="center"/>
        <w:rPr>
          <w:rFonts w:asciiTheme="majorBidi" w:hAnsiTheme="majorBidi" w:cstheme="majorBidi"/>
          <w:b/>
          <w:bCs/>
        </w:rPr>
      </w:pPr>
      <w:r w:rsidRPr="005D355D">
        <w:rPr>
          <w:rFonts w:asciiTheme="majorBidi" w:hAnsiTheme="majorBidi" w:cstheme="majorBidi"/>
          <w:b/>
          <w:bCs/>
        </w:rPr>
        <w:t>Acknowledgments:</w:t>
      </w:r>
    </w:p>
    <w:p w14:paraId="0AF346B2" w14:textId="56DC176F" w:rsidR="00E11AEF" w:rsidRDefault="00E11AEF" w:rsidP="00D333AE">
      <w:pPr>
        <w:spacing w:line="480" w:lineRule="auto"/>
        <w:ind w:firstLine="720"/>
        <w:jc w:val="both"/>
        <w:rPr>
          <w:rFonts w:asciiTheme="majorBidi" w:hAnsiTheme="majorBidi" w:cstheme="majorBidi"/>
        </w:rPr>
      </w:pPr>
      <w:r w:rsidRPr="00E11AEF">
        <w:rPr>
          <w:rFonts w:asciiTheme="majorBidi" w:hAnsiTheme="majorBidi" w:cstheme="majorBidi"/>
        </w:rPr>
        <w:t xml:space="preserve">Thank you to my parents, who brought me to this world, </w:t>
      </w:r>
      <w:r>
        <w:rPr>
          <w:rFonts w:asciiTheme="majorBidi" w:hAnsiTheme="majorBidi" w:cstheme="majorBidi"/>
        </w:rPr>
        <w:t xml:space="preserve">raised me in the dire conditions of embargos, wars, genocide, and displacement. Throughout it all, they have never flinched in believing in my abilities, aspirations, and dreams, letting me charter my own path—both intellectually and professionally—with a freedom that cannot be matched. If it was not to </w:t>
      </w:r>
      <w:r w:rsidR="005D355D">
        <w:rPr>
          <w:rFonts w:asciiTheme="majorBidi" w:hAnsiTheme="majorBidi" w:cstheme="majorBidi"/>
        </w:rPr>
        <w:t>them,</w:t>
      </w:r>
      <w:r>
        <w:rPr>
          <w:rFonts w:asciiTheme="majorBidi" w:hAnsiTheme="majorBidi" w:cstheme="majorBidi"/>
        </w:rPr>
        <w:t xml:space="preserve"> I would not have made this far and, thus, writing a master thesis at an American R1 university. Special thanks to my uncle Judge Qasim Awsman, under whom I learned to write my first texts and edit the first documents ever. He has been a role model and a supporting </w:t>
      </w:r>
      <w:r w:rsidR="005D355D">
        <w:rPr>
          <w:rFonts w:asciiTheme="majorBidi" w:hAnsiTheme="majorBidi" w:cstheme="majorBidi"/>
        </w:rPr>
        <w:t xml:space="preserve">pillar for me throughout this process, constantly sending me ideas and texts from Iraqi Kurdistan. </w:t>
      </w:r>
    </w:p>
    <w:p w14:paraId="2EE5ED54" w14:textId="4EF29A9A" w:rsidR="005D355D" w:rsidRDefault="005D355D" w:rsidP="00D333AE">
      <w:pPr>
        <w:spacing w:line="480" w:lineRule="auto"/>
        <w:ind w:firstLine="720"/>
        <w:jc w:val="both"/>
        <w:rPr>
          <w:rFonts w:asciiTheme="majorBidi" w:hAnsiTheme="majorBidi" w:cstheme="majorBidi"/>
        </w:rPr>
      </w:pPr>
      <w:r>
        <w:rPr>
          <w:rFonts w:asciiTheme="majorBidi" w:hAnsiTheme="majorBidi" w:cstheme="majorBidi"/>
        </w:rPr>
        <w:t xml:space="preserve">Thank you to my advisor, Dr. Harry Dahms, who has often done more than he should to make sure I graduate in time and succeed in my program. Regardless of the outcomes of the thesis, working with has been a process of ever-expanding locus of my knowledge and understanding the social world we exist in. I also want to thank the two committee members, Drs. John Shefner and Timothy Gill, who agreed to come along on this roller coaster of a journey. Finally, I want to extend my thanks to Dr. Lois Presser, while not involved in this specific project, her mentorship and always-prompt support has been priceless in my academic and professional development. </w:t>
      </w:r>
    </w:p>
    <w:p w14:paraId="4D955108" w14:textId="0F0757B1" w:rsidR="005D355D" w:rsidRDefault="005D355D" w:rsidP="00E11AEF">
      <w:pPr>
        <w:jc w:val="both"/>
        <w:rPr>
          <w:rFonts w:asciiTheme="majorBidi" w:hAnsiTheme="majorBidi" w:cstheme="majorBidi"/>
        </w:rPr>
      </w:pPr>
    </w:p>
    <w:p w14:paraId="27BBC904" w14:textId="77777777" w:rsidR="005D355D" w:rsidRDefault="005D355D">
      <w:pPr>
        <w:rPr>
          <w:rFonts w:asciiTheme="majorBidi" w:hAnsiTheme="majorBidi" w:cstheme="majorBidi"/>
        </w:rPr>
      </w:pPr>
      <w:r>
        <w:rPr>
          <w:rFonts w:asciiTheme="majorBidi" w:hAnsiTheme="majorBidi" w:cstheme="majorBidi"/>
        </w:rPr>
        <w:br w:type="page"/>
      </w:r>
    </w:p>
    <w:p w14:paraId="1C3A98DF" w14:textId="034DD774" w:rsidR="005D355D" w:rsidRDefault="005D355D" w:rsidP="005D355D">
      <w:pPr>
        <w:jc w:val="center"/>
        <w:rPr>
          <w:rFonts w:asciiTheme="majorBidi" w:hAnsiTheme="majorBidi" w:cstheme="majorBidi"/>
          <w:b/>
          <w:bCs/>
        </w:rPr>
      </w:pPr>
      <w:r w:rsidRPr="005D355D">
        <w:rPr>
          <w:rFonts w:asciiTheme="majorBidi" w:hAnsiTheme="majorBidi" w:cstheme="majorBidi"/>
          <w:b/>
          <w:bCs/>
        </w:rPr>
        <w:lastRenderedPageBreak/>
        <w:t>Abstract:</w:t>
      </w:r>
    </w:p>
    <w:p w14:paraId="6217D0F4" w14:textId="445856C2" w:rsidR="005D355D" w:rsidRDefault="005D355D" w:rsidP="00D333AE">
      <w:pPr>
        <w:spacing w:after="0" w:line="480" w:lineRule="auto"/>
        <w:ind w:firstLine="720"/>
        <w:jc w:val="both"/>
        <w:rPr>
          <w:rFonts w:asciiTheme="majorBidi" w:hAnsiTheme="majorBidi" w:cstheme="majorBidi"/>
        </w:rPr>
      </w:pPr>
      <w:r>
        <w:rPr>
          <w:rFonts w:asciiTheme="majorBidi" w:hAnsiTheme="majorBidi" w:cstheme="majorBidi"/>
        </w:rPr>
        <w:t>Liberal democracy</w:t>
      </w:r>
      <w:r w:rsidR="00204908">
        <w:rPr>
          <w:rFonts w:asciiTheme="majorBidi" w:hAnsiTheme="majorBidi" w:cstheme="majorBidi"/>
        </w:rPr>
        <w:t xml:space="preserve">, as ambiguous of a concept as it is, </w:t>
      </w:r>
      <w:r w:rsidR="00204908" w:rsidRPr="00204908">
        <w:rPr>
          <w:rFonts w:asciiTheme="majorBidi" w:hAnsiTheme="majorBidi" w:cstheme="majorBidi"/>
        </w:rPr>
        <w:t>has been both praised and celebrated as the End of History (Fukuyama, 1992) and critiqued for its internal contradictions</w:t>
      </w:r>
      <w:r w:rsidR="00204908">
        <w:rPr>
          <w:rFonts w:asciiTheme="majorBidi" w:hAnsiTheme="majorBidi" w:cstheme="majorBidi"/>
        </w:rPr>
        <w:t xml:space="preserve">. In the </w:t>
      </w:r>
      <w:r w:rsidR="00204908" w:rsidRPr="00204908">
        <w:rPr>
          <w:rFonts w:asciiTheme="majorBidi" w:hAnsiTheme="majorBidi" w:cstheme="majorBidi"/>
          <w:i/>
          <w:iCs/>
        </w:rPr>
        <w:t>West</w:t>
      </w:r>
      <w:r w:rsidR="00204908">
        <w:rPr>
          <w:rFonts w:asciiTheme="majorBidi" w:hAnsiTheme="majorBidi" w:cstheme="majorBidi"/>
        </w:rPr>
        <w:t xml:space="preserve">, there have been rich traditions of internal critiques, focusing on the </w:t>
      </w:r>
      <w:r w:rsidR="00204908" w:rsidRPr="00204908">
        <w:rPr>
          <w:rFonts w:asciiTheme="majorBidi" w:hAnsiTheme="majorBidi" w:cstheme="majorBidi"/>
        </w:rPr>
        <w:t>inability of liberal-democratic political systems to reduce or alleviate persistent social inequalities, including racial, class, and gender inequalities, the challenge of creating and sustaining spheres for public deliberation, elite domination, and its incompatibility with capitalism and disenfranchisement</w:t>
      </w:r>
      <w:r w:rsidR="00204908">
        <w:rPr>
          <w:rFonts w:asciiTheme="majorBidi" w:hAnsiTheme="majorBidi" w:cstheme="majorBidi"/>
        </w:rPr>
        <w:t>.</w:t>
      </w:r>
    </w:p>
    <w:p w14:paraId="52AF9510" w14:textId="3382605D" w:rsidR="00204908" w:rsidRDefault="00204908" w:rsidP="00D333AE">
      <w:pPr>
        <w:spacing w:after="0" w:line="480" w:lineRule="auto"/>
        <w:ind w:firstLine="720"/>
        <w:jc w:val="both"/>
        <w:rPr>
          <w:rFonts w:asciiTheme="majorBidi" w:hAnsiTheme="majorBidi" w:cstheme="majorBidi"/>
        </w:rPr>
      </w:pPr>
      <w:r>
        <w:rPr>
          <w:rFonts w:asciiTheme="majorBidi" w:hAnsiTheme="majorBidi" w:cstheme="majorBidi"/>
        </w:rPr>
        <w:t xml:space="preserve">This thesis extends such efforts to critique the challenges of the system by answering calls to bring perspectives external to the Western world into conversation. It specifically focuses on the Iraqi historical case, as a society that had a bittersweet experience with </w:t>
      </w:r>
      <w:r w:rsidRPr="00204908">
        <w:rPr>
          <w:rFonts w:asciiTheme="majorBidi" w:hAnsiTheme="majorBidi" w:cstheme="majorBidi"/>
          <w:i/>
          <w:iCs/>
        </w:rPr>
        <w:t>imposed liberal democracy</w:t>
      </w:r>
      <w:r w:rsidR="00FD078A">
        <w:rPr>
          <w:rFonts w:asciiTheme="majorBidi" w:hAnsiTheme="majorBidi" w:cstheme="majorBidi"/>
        </w:rPr>
        <w:t>. It attempts to answer the</w:t>
      </w:r>
      <w:r w:rsidR="00FD078A" w:rsidRPr="00FD078A">
        <w:rPr>
          <w:rFonts w:asciiTheme="majorBidi" w:hAnsiTheme="majorBidi" w:cstheme="majorBidi"/>
        </w:rPr>
        <w:t xml:space="preserve"> ways</w:t>
      </w:r>
      <w:r w:rsidR="00FD078A">
        <w:rPr>
          <w:rFonts w:asciiTheme="majorBidi" w:hAnsiTheme="majorBidi" w:cstheme="majorBidi"/>
        </w:rPr>
        <w:t xml:space="preserve"> the </w:t>
      </w:r>
      <w:r w:rsidR="00FD078A" w:rsidRPr="00FD078A">
        <w:rPr>
          <w:rFonts w:asciiTheme="majorBidi" w:hAnsiTheme="majorBidi" w:cstheme="majorBidi"/>
        </w:rPr>
        <w:t>case of post-2003 Iraq offers an external critique of liberal democracy that complements or contradicts existing internal critiques in Western social theory</w:t>
      </w:r>
      <w:r w:rsidR="00FD078A">
        <w:rPr>
          <w:rFonts w:asciiTheme="majorBidi" w:hAnsiTheme="majorBidi" w:cstheme="majorBidi"/>
        </w:rPr>
        <w:t xml:space="preserve">. </w:t>
      </w:r>
    </w:p>
    <w:p w14:paraId="16B1593B" w14:textId="2C68E9EB" w:rsidR="00FD078A" w:rsidRDefault="00FD078A" w:rsidP="00D333AE">
      <w:pPr>
        <w:spacing w:after="0" w:line="480" w:lineRule="auto"/>
        <w:ind w:firstLine="720"/>
        <w:jc w:val="both"/>
        <w:rPr>
          <w:rFonts w:asciiTheme="majorBidi" w:hAnsiTheme="majorBidi" w:cstheme="majorBidi"/>
        </w:rPr>
      </w:pPr>
      <w:r>
        <w:rPr>
          <w:rFonts w:asciiTheme="majorBidi" w:hAnsiTheme="majorBidi" w:cstheme="majorBidi"/>
        </w:rPr>
        <w:t xml:space="preserve">To achieve such objectives, the thesis provides a typology of internal critiques, focusing on three specific traditions that are complimentary to one another and comparatively compatible to the Iraqi case. These traditions include elite, public sphere, and social justice perspective. After constructing the typology, the thesis implements comparative historical methods to both trace the fundamental developments in post-2003 and compare how Iraqi scholarly perspectives contradict or compliment the Western </w:t>
      </w:r>
      <w:r w:rsidRPr="00FD078A">
        <w:rPr>
          <w:rFonts w:asciiTheme="majorBidi" w:hAnsiTheme="majorBidi" w:cstheme="majorBidi"/>
          <w:i/>
          <w:iCs/>
        </w:rPr>
        <w:t>internal critiques</w:t>
      </w:r>
      <w:r>
        <w:rPr>
          <w:rFonts w:asciiTheme="majorBidi" w:hAnsiTheme="majorBidi" w:cstheme="majorBidi"/>
        </w:rPr>
        <w:t xml:space="preserve">. </w:t>
      </w:r>
    </w:p>
    <w:p w14:paraId="167CB65F" w14:textId="79496B42" w:rsidR="00D333AE" w:rsidRDefault="00D333AE" w:rsidP="00D333AE">
      <w:pPr>
        <w:spacing w:after="0" w:line="480" w:lineRule="auto"/>
        <w:ind w:firstLine="720"/>
        <w:jc w:val="both"/>
        <w:rPr>
          <w:rFonts w:asciiTheme="majorBidi" w:hAnsiTheme="majorBidi" w:cstheme="majorBidi"/>
        </w:rPr>
      </w:pPr>
      <w:r w:rsidRPr="00D333AE">
        <w:rPr>
          <w:rFonts w:asciiTheme="majorBidi" w:hAnsiTheme="majorBidi" w:cstheme="majorBidi"/>
        </w:rPr>
        <w:t>The thesis illustrates that while Iraqi scholars agree with Western critiques in terms of problems with elite domination, public sphere deficits, and inequality, they also add that monopoly on violence, constructing a shared national identity, and countering regressive tribal and ethno-religious tendencies is necessary for a functioning governance system.</w:t>
      </w:r>
    </w:p>
    <w:p w14:paraId="4A35BDDA" w14:textId="54DEDA92" w:rsidR="00D333AE" w:rsidRDefault="0021551D" w:rsidP="00D333AE">
      <w:pPr>
        <w:spacing w:after="0" w:line="480" w:lineRule="auto"/>
        <w:jc w:val="both"/>
        <w:rPr>
          <w:rFonts w:asciiTheme="majorBidi" w:hAnsiTheme="majorBidi" w:cstheme="majorBidi"/>
        </w:rPr>
      </w:pPr>
      <w:r w:rsidRPr="0021551D">
        <w:rPr>
          <w:rFonts w:asciiTheme="majorBidi" w:hAnsiTheme="majorBidi" w:cstheme="majorBidi"/>
          <w:b/>
          <w:bCs/>
        </w:rPr>
        <w:t>Key Word:</w:t>
      </w:r>
      <w:r>
        <w:rPr>
          <w:rFonts w:asciiTheme="majorBidi" w:hAnsiTheme="majorBidi" w:cstheme="majorBidi"/>
        </w:rPr>
        <w:t xml:space="preserve"> Liberal Democracy, Internal Critiques, Comparative Political Sociology, Post-2003 Iraq, Elites, Public Deliberation, Inequality  </w:t>
      </w:r>
    </w:p>
    <w:sdt>
      <w:sdtPr>
        <w:rPr>
          <w:rFonts w:asciiTheme="majorBidi" w:eastAsiaTheme="minorHAnsi" w:hAnsiTheme="majorBidi" w:cstheme="minorBidi"/>
          <w:color w:val="auto"/>
          <w:kern w:val="2"/>
          <w:sz w:val="24"/>
          <w:szCs w:val="24"/>
          <w14:ligatures w14:val="standardContextual"/>
        </w:rPr>
        <w:id w:val="-700714996"/>
        <w:docPartObj>
          <w:docPartGallery w:val="Table of Contents"/>
          <w:docPartUnique/>
        </w:docPartObj>
      </w:sdtPr>
      <w:sdtEndPr>
        <w:rPr>
          <w:b/>
          <w:bCs/>
          <w:noProof/>
        </w:rPr>
      </w:sdtEndPr>
      <w:sdtContent>
        <w:p w14:paraId="70AEEA40" w14:textId="77777777" w:rsidR="00D333AE" w:rsidRPr="000F645D" w:rsidRDefault="00D333AE" w:rsidP="00D333AE">
          <w:pPr>
            <w:pStyle w:val="TOCHeading"/>
            <w:jc w:val="center"/>
            <w:rPr>
              <w:rFonts w:asciiTheme="majorBidi" w:hAnsiTheme="majorBidi"/>
            </w:rPr>
          </w:pPr>
          <w:r w:rsidRPr="000F645D">
            <w:rPr>
              <w:rFonts w:asciiTheme="majorBidi" w:hAnsiTheme="majorBidi"/>
            </w:rPr>
            <w:t>Table of Contents</w:t>
          </w:r>
        </w:p>
        <w:p w14:paraId="4E754A2C" w14:textId="1D64C3D7" w:rsidR="00D333AE" w:rsidRPr="000F645D" w:rsidRDefault="00D333AE">
          <w:pPr>
            <w:pStyle w:val="TOC1"/>
            <w:tabs>
              <w:tab w:val="right" w:leader="dot" w:pos="9350"/>
            </w:tabs>
            <w:rPr>
              <w:rFonts w:asciiTheme="majorBidi" w:eastAsiaTheme="minorEastAsia" w:hAnsiTheme="majorBidi" w:cstheme="majorBidi"/>
              <w:noProof/>
            </w:rPr>
          </w:pPr>
          <w:r w:rsidRPr="000F645D">
            <w:rPr>
              <w:rFonts w:asciiTheme="majorBidi" w:hAnsiTheme="majorBidi" w:cstheme="majorBidi"/>
            </w:rPr>
            <w:fldChar w:fldCharType="begin"/>
          </w:r>
          <w:r w:rsidRPr="000F645D">
            <w:rPr>
              <w:rFonts w:asciiTheme="majorBidi" w:hAnsiTheme="majorBidi" w:cstheme="majorBidi"/>
            </w:rPr>
            <w:instrText xml:space="preserve"> TOC \o "1-3" \h \z \u </w:instrText>
          </w:r>
          <w:r w:rsidRPr="000F645D">
            <w:rPr>
              <w:rFonts w:asciiTheme="majorBidi" w:hAnsiTheme="majorBidi" w:cstheme="majorBidi"/>
            </w:rPr>
            <w:fldChar w:fldCharType="separate"/>
          </w:r>
          <w:hyperlink w:anchor="_Toc202283719" w:history="1">
            <w:r w:rsidRPr="000F645D">
              <w:rPr>
                <w:rStyle w:val="Hyperlink"/>
                <w:rFonts w:asciiTheme="majorBidi" w:hAnsiTheme="majorBidi" w:cstheme="majorBidi"/>
                <w:noProof/>
              </w:rPr>
              <w:t>Chapter 1: Introduction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_Toc202283719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6</w:t>
            </w:r>
            <w:r w:rsidRPr="000F645D">
              <w:rPr>
                <w:rFonts w:asciiTheme="majorBidi" w:hAnsiTheme="majorBidi" w:cstheme="majorBidi"/>
                <w:noProof/>
                <w:webHidden/>
              </w:rPr>
              <w:fldChar w:fldCharType="end"/>
            </w:r>
          </w:hyperlink>
        </w:p>
        <w:p w14:paraId="04AB4A89" w14:textId="1DB4D9E9" w:rsidR="00D333AE" w:rsidRPr="000F645D" w:rsidRDefault="00D333AE">
          <w:pPr>
            <w:pStyle w:val="TOC2"/>
            <w:tabs>
              <w:tab w:val="right" w:leader="dot" w:pos="9350"/>
            </w:tabs>
            <w:rPr>
              <w:rFonts w:asciiTheme="majorBidi" w:eastAsiaTheme="minorEastAsia" w:hAnsiTheme="majorBidi" w:cstheme="majorBidi"/>
              <w:noProof/>
            </w:rPr>
          </w:pPr>
          <w:hyperlink w:anchor="_Toc202283720" w:history="1">
            <w:r w:rsidRPr="000F645D">
              <w:rPr>
                <w:rStyle w:val="Hyperlink"/>
                <w:rFonts w:asciiTheme="majorBidi" w:hAnsiTheme="majorBidi" w:cstheme="majorBidi"/>
                <w:noProof/>
              </w:rPr>
              <w:t>1.1 Organization of the Thesis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_Toc202283720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9</w:t>
            </w:r>
            <w:r w:rsidRPr="000F645D">
              <w:rPr>
                <w:rFonts w:asciiTheme="majorBidi" w:hAnsiTheme="majorBidi" w:cstheme="majorBidi"/>
                <w:noProof/>
                <w:webHidden/>
              </w:rPr>
              <w:fldChar w:fldCharType="end"/>
            </w:r>
          </w:hyperlink>
        </w:p>
        <w:p w14:paraId="3A57275C" w14:textId="4DF93BEC" w:rsidR="00D333AE" w:rsidRPr="000F645D" w:rsidRDefault="00D333AE">
          <w:pPr>
            <w:pStyle w:val="TOC1"/>
            <w:tabs>
              <w:tab w:val="right" w:leader="dot" w:pos="9350"/>
            </w:tabs>
            <w:rPr>
              <w:rFonts w:asciiTheme="majorBidi" w:eastAsiaTheme="minorEastAsia" w:hAnsiTheme="majorBidi" w:cstheme="majorBidi"/>
              <w:noProof/>
            </w:rPr>
          </w:pPr>
          <w:hyperlink w:anchor="_Toc202283721" w:history="1">
            <w:r w:rsidRPr="000F645D">
              <w:rPr>
                <w:rStyle w:val="Hyperlink"/>
                <w:rFonts w:asciiTheme="majorBidi" w:hAnsiTheme="majorBidi" w:cstheme="majorBidi"/>
                <w:noProof/>
              </w:rPr>
              <w:t xml:space="preserve">Chapter 2: </w:t>
            </w:r>
            <w:r w:rsidRPr="000F645D">
              <w:rPr>
                <w:rStyle w:val="Hyperlink"/>
                <w:rFonts w:asciiTheme="majorBidi" w:hAnsiTheme="majorBidi" w:cstheme="majorBidi"/>
                <w:i/>
                <w:iCs/>
                <w:noProof/>
              </w:rPr>
              <w:t>The Crises of Power, Consensus, and Inequality: A Literature Review of Internal Critiques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_Toc202283721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11</w:t>
            </w:r>
            <w:r w:rsidRPr="000F645D">
              <w:rPr>
                <w:rFonts w:asciiTheme="majorBidi" w:hAnsiTheme="majorBidi" w:cstheme="majorBidi"/>
                <w:noProof/>
                <w:webHidden/>
              </w:rPr>
              <w:fldChar w:fldCharType="end"/>
            </w:r>
          </w:hyperlink>
        </w:p>
        <w:p w14:paraId="3C8DDA1A" w14:textId="608B1888" w:rsidR="00D333AE" w:rsidRPr="000F645D" w:rsidRDefault="00D333AE">
          <w:pPr>
            <w:pStyle w:val="TOC2"/>
            <w:tabs>
              <w:tab w:val="right" w:leader="dot" w:pos="9350"/>
            </w:tabs>
            <w:rPr>
              <w:rFonts w:asciiTheme="majorBidi" w:eastAsiaTheme="minorEastAsia" w:hAnsiTheme="majorBidi" w:cstheme="majorBidi"/>
              <w:noProof/>
            </w:rPr>
          </w:pPr>
          <w:hyperlink w:anchor="_Toc202283722" w:history="1">
            <w:r w:rsidRPr="000F645D">
              <w:rPr>
                <w:rStyle w:val="Hyperlink"/>
                <w:rFonts w:asciiTheme="majorBidi" w:hAnsiTheme="majorBidi" w:cstheme="majorBidi"/>
                <w:noProof/>
              </w:rPr>
              <w:t>2.1 Analytical Rationale: Why These Theories?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_Toc202283722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11</w:t>
            </w:r>
            <w:r w:rsidRPr="000F645D">
              <w:rPr>
                <w:rFonts w:asciiTheme="majorBidi" w:hAnsiTheme="majorBidi" w:cstheme="majorBidi"/>
                <w:noProof/>
                <w:webHidden/>
              </w:rPr>
              <w:fldChar w:fldCharType="end"/>
            </w:r>
          </w:hyperlink>
        </w:p>
        <w:p w14:paraId="28F4DD94" w14:textId="4DACE8F8" w:rsidR="00D333AE" w:rsidRPr="000F645D" w:rsidRDefault="00D333AE">
          <w:pPr>
            <w:pStyle w:val="TOC2"/>
            <w:tabs>
              <w:tab w:val="right" w:leader="dot" w:pos="9350"/>
            </w:tabs>
            <w:rPr>
              <w:rFonts w:asciiTheme="majorBidi" w:eastAsiaTheme="minorEastAsia" w:hAnsiTheme="majorBidi" w:cstheme="majorBidi"/>
              <w:noProof/>
            </w:rPr>
          </w:pPr>
          <w:hyperlink w:anchor="_Toc202283723" w:history="1">
            <w:r w:rsidRPr="000F645D">
              <w:rPr>
                <w:rStyle w:val="Hyperlink"/>
                <w:rFonts w:asciiTheme="majorBidi" w:hAnsiTheme="majorBidi" w:cstheme="majorBidi"/>
                <w:noProof/>
              </w:rPr>
              <w:t>2.2 Elite Domination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_Toc202283723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13</w:t>
            </w:r>
            <w:r w:rsidRPr="000F645D">
              <w:rPr>
                <w:rFonts w:asciiTheme="majorBidi" w:hAnsiTheme="majorBidi" w:cstheme="majorBidi"/>
                <w:noProof/>
                <w:webHidden/>
              </w:rPr>
              <w:fldChar w:fldCharType="end"/>
            </w:r>
          </w:hyperlink>
        </w:p>
        <w:p w14:paraId="54E55134" w14:textId="245F26EE" w:rsidR="00D333AE" w:rsidRPr="000F645D" w:rsidRDefault="00D333AE">
          <w:pPr>
            <w:pStyle w:val="TOC3"/>
            <w:tabs>
              <w:tab w:val="right" w:leader="dot" w:pos="9350"/>
            </w:tabs>
            <w:rPr>
              <w:rFonts w:asciiTheme="majorBidi" w:eastAsiaTheme="minorEastAsia" w:hAnsiTheme="majorBidi" w:cstheme="majorBidi"/>
              <w:noProof/>
            </w:rPr>
          </w:pPr>
          <w:hyperlink w:anchor="_Toc202283724" w:history="1">
            <w:r w:rsidRPr="000F645D">
              <w:rPr>
                <w:rStyle w:val="Hyperlink"/>
                <w:rFonts w:asciiTheme="majorBidi" w:hAnsiTheme="majorBidi" w:cstheme="majorBidi"/>
                <w:noProof/>
              </w:rPr>
              <w:t>2.2.1 Max Weber: The Classical Foundation of Elite Theory</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_Toc202283724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13</w:t>
            </w:r>
            <w:r w:rsidRPr="000F645D">
              <w:rPr>
                <w:rFonts w:asciiTheme="majorBidi" w:hAnsiTheme="majorBidi" w:cstheme="majorBidi"/>
                <w:noProof/>
                <w:webHidden/>
              </w:rPr>
              <w:fldChar w:fldCharType="end"/>
            </w:r>
          </w:hyperlink>
        </w:p>
        <w:p w14:paraId="7C691AF1" w14:textId="543346C0" w:rsidR="00D333AE" w:rsidRPr="000F645D" w:rsidRDefault="00D333AE">
          <w:pPr>
            <w:pStyle w:val="TOC3"/>
            <w:tabs>
              <w:tab w:val="right" w:leader="dot" w:pos="9350"/>
            </w:tabs>
            <w:rPr>
              <w:rFonts w:asciiTheme="majorBidi" w:eastAsiaTheme="minorEastAsia" w:hAnsiTheme="majorBidi" w:cstheme="majorBidi"/>
              <w:noProof/>
            </w:rPr>
          </w:pPr>
          <w:hyperlink w:anchor="_Toc202283725" w:history="1">
            <w:r w:rsidRPr="000F645D">
              <w:rPr>
                <w:rStyle w:val="Hyperlink"/>
                <w:rFonts w:asciiTheme="majorBidi" w:hAnsiTheme="majorBidi" w:cstheme="majorBidi"/>
                <w:noProof/>
              </w:rPr>
              <w:t>2.2.2 Pareto, Micheals, and Mosca: The Italian-Elitist Critique of Liberal Democracy</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_Toc202283725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16</w:t>
            </w:r>
            <w:r w:rsidRPr="000F645D">
              <w:rPr>
                <w:rFonts w:asciiTheme="majorBidi" w:hAnsiTheme="majorBidi" w:cstheme="majorBidi"/>
                <w:noProof/>
                <w:webHidden/>
              </w:rPr>
              <w:fldChar w:fldCharType="end"/>
            </w:r>
          </w:hyperlink>
        </w:p>
        <w:p w14:paraId="673B94B2" w14:textId="5AA08AF0" w:rsidR="00D333AE" w:rsidRPr="000F645D" w:rsidRDefault="00D333AE">
          <w:pPr>
            <w:pStyle w:val="TOC3"/>
            <w:tabs>
              <w:tab w:val="right" w:leader="dot" w:pos="9350"/>
            </w:tabs>
            <w:rPr>
              <w:rFonts w:asciiTheme="majorBidi" w:eastAsiaTheme="minorEastAsia" w:hAnsiTheme="majorBidi" w:cstheme="majorBidi"/>
              <w:noProof/>
            </w:rPr>
          </w:pPr>
          <w:hyperlink w:anchor="_Toc202283726" w:history="1">
            <w:r w:rsidRPr="000F645D">
              <w:rPr>
                <w:rStyle w:val="Hyperlink"/>
                <w:rFonts w:asciiTheme="majorBidi" w:hAnsiTheme="majorBidi" w:cstheme="majorBidi"/>
                <w:noProof/>
              </w:rPr>
              <w:t>2.2.3 Mills and Domhoff: The American-Leftist Critique of Oligarchy</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_Toc202283726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18</w:t>
            </w:r>
            <w:r w:rsidRPr="000F645D">
              <w:rPr>
                <w:rFonts w:asciiTheme="majorBidi" w:hAnsiTheme="majorBidi" w:cstheme="majorBidi"/>
                <w:noProof/>
                <w:webHidden/>
              </w:rPr>
              <w:fldChar w:fldCharType="end"/>
            </w:r>
          </w:hyperlink>
        </w:p>
        <w:p w14:paraId="73C46852" w14:textId="5E456AA5" w:rsidR="00D333AE" w:rsidRPr="000F645D" w:rsidRDefault="00D333AE">
          <w:pPr>
            <w:pStyle w:val="TOC2"/>
            <w:tabs>
              <w:tab w:val="right" w:leader="dot" w:pos="9350"/>
            </w:tabs>
            <w:rPr>
              <w:rFonts w:asciiTheme="majorBidi" w:eastAsiaTheme="minorEastAsia" w:hAnsiTheme="majorBidi" w:cstheme="majorBidi"/>
              <w:noProof/>
            </w:rPr>
          </w:pPr>
          <w:hyperlink w:anchor="_Toc202283727" w:history="1">
            <w:r w:rsidRPr="000F645D">
              <w:rPr>
                <w:rStyle w:val="Hyperlink"/>
                <w:rFonts w:asciiTheme="majorBidi" w:hAnsiTheme="majorBidi" w:cstheme="majorBidi"/>
                <w:noProof/>
              </w:rPr>
              <w:t>2.3 Deliberative Democracy and Public Sphere Deficits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_Toc202283727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20</w:t>
            </w:r>
            <w:r w:rsidRPr="000F645D">
              <w:rPr>
                <w:rFonts w:asciiTheme="majorBidi" w:hAnsiTheme="majorBidi" w:cstheme="majorBidi"/>
                <w:noProof/>
                <w:webHidden/>
              </w:rPr>
              <w:fldChar w:fldCharType="end"/>
            </w:r>
          </w:hyperlink>
        </w:p>
        <w:p w14:paraId="50E31510" w14:textId="68454A38" w:rsidR="00D333AE" w:rsidRPr="000F645D" w:rsidRDefault="00D333AE">
          <w:pPr>
            <w:pStyle w:val="TOC2"/>
            <w:tabs>
              <w:tab w:val="right" w:leader="dot" w:pos="9350"/>
            </w:tabs>
            <w:rPr>
              <w:rFonts w:asciiTheme="majorBidi" w:eastAsiaTheme="minorEastAsia" w:hAnsiTheme="majorBidi" w:cstheme="majorBidi"/>
              <w:noProof/>
            </w:rPr>
          </w:pPr>
          <w:hyperlink w:anchor="_Toc202283728" w:history="1">
            <w:r w:rsidRPr="000F645D">
              <w:rPr>
                <w:rStyle w:val="Hyperlink"/>
                <w:rFonts w:asciiTheme="majorBidi" w:hAnsiTheme="majorBidi" w:cstheme="majorBidi"/>
                <w:noProof/>
              </w:rPr>
              <w:t>2.4 Social Justice, Feminist, and Intersectional Critiques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_Toc202283728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21</w:t>
            </w:r>
            <w:r w:rsidRPr="000F645D">
              <w:rPr>
                <w:rFonts w:asciiTheme="majorBidi" w:hAnsiTheme="majorBidi" w:cstheme="majorBidi"/>
                <w:noProof/>
                <w:webHidden/>
              </w:rPr>
              <w:fldChar w:fldCharType="end"/>
            </w:r>
          </w:hyperlink>
        </w:p>
        <w:p w14:paraId="32ABE9A5" w14:textId="57D71C6A" w:rsidR="00D333AE" w:rsidRPr="000F645D" w:rsidRDefault="00D333AE">
          <w:pPr>
            <w:pStyle w:val="TOC1"/>
            <w:tabs>
              <w:tab w:val="right" w:leader="dot" w:pos="9350"/>
            </w:tabs>
            <w:rPr>
              <w:rFonts w:asciiTheme="majorBidi" w:eastAsiaTheme="minorEastAsia" w:hAnsiTheme="majorBidi" w:cstheme="majorBidi"/>
              <w:noProof/>
            </w:rPr>
          </w:pPr>
          <w:hyperlink w:anchor="_Toc202283729" w:history="1">
            <w:r w:rsidRPr="000F645D">
              <w:rPr>
                <w:rStyle w:val="Hyperlink"/>
                <w:rFonts w:asciiTheme="majorBidi" w:hAnsiTheme="majorBidi" w:cstheme="majorBidi"/>
                <w:noProof/>
              </w:rPr>
              <w:t>Chapter 3: Methodology</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_Toc202283729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24</w:t>
            </w:r>
            <w:r w:rsidRPr="000F645D">
              <w:rPr>
                <w:rFonts w:asciiTheme="majorBidi" w:hAnsiTheme="majorBidi" w:cstheme="majorBidi"/>
                <w:noProof/>
                <w:webHidden/>
              </w:rPr>
              <w:fldChar w:fldCharType="end"/>
            </w:r>
          </w:hyperlink>
        </w:p>
        <w:p w14:paraId="082F28D3" w14:textId="64C6E735" w:rsidR="00D333AE" w:rsidRPr="000F645D" w:rsidRDefault="00D333AE">
          <w:pPr>
            <w:pStyle w:val="TOC2"/>
            <w:tabs>
              <w:tab w:val="right" w:leader="dot" w:pos="9350"/>
            </w:tabs>
            <w:rPr>
              <w:rFonts w:asciiTheme="majorBidi" w:eastAsiaTheme="minorEastAsia" w:hAnsiTheme="majorBidi" w:cstheme="majorBidi"/>
              <w:noProof/>
            </w:rPr>
          </w:pPr>
          <w:hyperlink w:anchor="_Toc202283730" w:history="1">
            <w:r w:rsidRPr="000F645D">
              <w:rPr>
                <w:rStyle w:val="Hyperlink"/>
                <w:rFonts w:asciiTheme="majorBidi" w:hAnsiTheme="majorBidi" w:cstheme="majorBidi"/>
                <w:noProof/>
              </w:rPr>
              <w:t>3.1 Historical Analysis: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_Toc202283730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24</w:t>
            </w:r>
            <w:r w:rsidRPr="000F645D">
              <w:rPr>
                <w:rFonts w:asciiTheme="majorBidi" w:hAnsiTheme="majorBidi" w:cstheme="majorBidi"/>
                <w:noProof/>
                <w:webHidden/>
              </w:rPr>
              <w:fldChar w:fldCharType="end"/>
            </w:r>
          </w:hyperlink>
        </w:p>
        <w:p w14:paraId="143DDDE1" w14:textId="5D6A5ADE" w:rsidR="00D333AE" w:rsidRPr="000F645D" w:rsidRDefault="00D333AE">
          <w:pPr>
            <w:pStyle w:val="TOC2"/>
            <w:tabs>
              <w:tab w:val="right" w:leader="dot" w:pos="9350"/>
            </w:tabs>
            <w:rPr>
              <w:rFonts w:asciiTheme="majorBidi" w:eastAsiaTheme="minorEastAsia" w:hAnsiTheme="majorBidi" w:cstheme="majorBidi"/>
              <w:noProof/>
            </w:rPr>
          </w:pPr>
          <w:hyperlink w:anchor="_Toc202283731" w:history="1">
            <w:r w:rsidRPr="000F645D">
              <w:rPr>
                <w:rStyle w:val="Hyperlink"/>
                <w:rFonts w:asciiTheme="majorBidi" w:hAnsiTheme="majorBidi" w:cstheme="majorBidi"/>
                <w:noProof/>
              </w:rPr>
              <w:t>3.2 Iraqi Perspective and Scholarly Sources: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_Toc202283731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25</w:t>
            </w:r>
            <w:r w:rsidRPr="000F645D">
              <w:rPr>
                <w:rFonts w:asciiTheme="majorBidi" w:hAnsiTheme="majorBidi" w:cstheme="majorBidi"/>
                <w:noProof/>
                <w:webHidden/>
              </w:rPr>
              <w:fldChar w:fldCharType="end"/>
            </w:r>
          </w:hyperlink>
        </w:p>
        <w:p w14:paraId="2475AF32" w14:textId="5749D171" w:rsidR="00D333AE" w:rsidRPr="000F645D" w:rsidRDefault="00D333AE">
          <w:pPr>
            <w:pStyle w:val="TOC2"/>
            <w:tabs>
              <w:tab w:val="right" w:leader="dot" w:pos="9350"/>
            </w:tabs>
            <w:rPr>
              <w:rFonts w:asciiTheme="majorBidi" w:eastAsiaTheme="minorEastAsia" w:hAnsiTheme="majorBidi" w:cstheme="majorBidi"/>
              <w:noProof/>
            </w:rPr>
          </w:pPr>
          <w:hyperlink w:anchor="_Toc202283732" w:history="1">
            <w:r w:rsidRPr="000F645D">
              <w:rPr>
                <w:rStyle w:val="Hyperlink"/>
                <w:rFonts w:asciiTheme="majorBidi" w:hAnsiTheme="majorBidi" w:cstheme="majorBidi"/>
                <w:noProof/>
              </w:rPr>
              <w:t>3.3 Case Selection: The Specific Case of Iraq</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_Toc202283732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26</w:t>
            </w:r>
            <w:r w:rsidRPr="000F645D">
              <w:rPr>
                <w:rFonts w:asciiTheme="majorBidi" w:hAnsiTheme="majorBidi" w:cstheme="majorBidi"/>
                <w:noProof/>
                <w:webHidden/>
              </w:rPr>
              <w:fldChar w:fldCharType="end"/>
            </w:r>
          </w:hyperlink>
        </w:p>
        <w:p w14:paraId="51CEDC51" w14:textId="59CA284A" w:rsidR="00D333AE" w:rsidRPr="000F645D" w:rsidRDefault="00D333AE">
          <w:pPr>
            <w:pStyle w:val="TOC3"/>
            <w:tabs>
              <w:tab w:val="right" w:leader="dot" w:pos="9350"/>
            </w:tabs>
            <w:rPr>
              <w:rFonts w:asciiTheme="majorBidi" w:eastAsiaTheme="minorEastAsia" w:hAnsiTheme="majorBidi" w:cstheme="majorBidi"/>
              <w:noProof/>
            </w:rPr>
          </w:pPr>
          <w:hyperlink w:anchor="_Toc202283733" w:history="1">
            <w:r w:rsidRPr="000F645D">
              <w:rPr>
                <w:rStyle w:val="Hyperlink"/>
                <w:rFonts w:asciiTheme="majorBidi" w:eastAsia="Cambria" w:hAnsiTheme="majorBidi" w:cstheme="majorBidi"/>
                <w:noProof/>
              </w:rPr>
              <w:t>3.3.1What is Iraq?</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_Toc202283733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27</w:t>
            </w:r>
            <w:r w:rsidRPr="000F645D">
              <w:rPr>
                <w:rFonts w:asciiTheme="majorBidi" w:hAnsiTheme="majorBidi" w:cstheme="majorBidi"/>
                <w:noProof/>
                <w:webHidden/>
              </w:rPr>
              <w:fldChar w:fldCharType="end"/>
            </w:r>
          </w:hyperlink>
        </w:p>
        <w:p w14:paraId="07E6F063" w14:textId="19DE4A4F" w:rsidR="00D333AE" w:rsidRPr="000F645D" w:rsidRDefault="00D333AE">
          <w:pPr>
            <w:pStyle w:val="TOC3"/>
            <w:tabs>
              <w:tab w:val="right" w:leader="dot" w:pos="9350"/>
            </w:tabs>
            <w:rPr>
              <w:rFonts w:asciiTheme="majorBidi" w:eastAsiaTheme="minorEastAsia" w:hAnsiTheme="majorBidi" w:cstheme="majorBidi"/>
              <w:noProof/>
            </w:rPr>
          </w:pPr>
          <w:hyperlink w:anchor="_Toc202283734" w:history="1">
            <w:r w:rsidRPr="000F645D">
              <w:rPr>
                <w:rStyle w:val="Hyperlink"/>
                <w:rFonts w:asciiTheme="majorBidi" w:eastAsia="Cambria" w:hAnsiTheme="majorBidi" w:cstheme="majorBidi"/>
                <w:noProof/>
              </w:rPr>
              <w:t>3.3.2 Why Iraq?</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_Toc202283734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29</w:t>
            </w:r>
            <w:r w:rsidRPr="000F645D">
              <w:rPr>
                <w:rFonts w:asciiTheme="majorBidi" w:hAnsiTheme="majorBidi" w:cstheme="majorBidi"/>
                <w:noProof/>
                <w:webHidden/>
              </w:rPr>
              <w:fldChar w:fldCharType="end"/>
            </w:r>
          </w:hyperlink>
        </w:p>
        <w:p w14:paraId="41A0BB17" w14:textId="3CF6A5BD" w:rsidR="00D333AE" w:rsidRPr="000F645D" w:rsidRDefault="00D333AE">
          <w:pPr>
            <w:pStyle w:val="TOC1"/>
            <w:tabs>
              <w:tab w:val="right" w:leader="dot" w:pos="9350"/>
            </w:tabs>
            <w:rPr>
              <w:rFonts w:asciiTheme="majorBidi" w:eastAsiaTheme="minorEastAsia" w:hAnsiTheme="majorBidi" w:cstheme="majorBidi"/>
              <w:noProof/>
            </w:rPr>
          </w:pPr>
          <w:hyperlink w:anchor="_Toc202283735" w:history="1">
            <w:r w:rsidRPr="000F645D">
              <w:rPr>
                <w:rStyle w:val="Hyperlink"/>
                <w:rFonts w:asciiTheme="majorBidi" w:hAnsiTheme="majorBidi" w:cstheme="majorBidi"/>
                <w:noProof/>
              </w:rPr>
              <w:t>Chapter Four: Post-2003 Iraq as an Imposed Liberal Democratic System:</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_Toc202283735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30</w:t>
            </w:r>
            <w:r w:rsidRPr="000F645D">
              <w:rPr>
                <w:rFonts w:asciiTheme="majorBidi" w:hAnsiTheme="majorBidi" w:cstheme="majorBidi"/>
                <w:noProof/>
                <w:webHidden/>
              </w:rPr>
              <w:fldChar w:fldCharType="end"/>
            </w:r>
          </w:hyperlink>
        </w:p>
        <w:p w14:paraId="4E3632E0" w14:textId="2734FC3E" w:rsidR="00D333AE" w:rsidRPr="000F645D" w:rsidRDefault="00D333AE">
          <w:pPr>
            <w:pStyle w:val="TOC2"/>
            <w:tabs>
              <w:tab w:val="right" w:leader="dot" w:pos="9350"/>
            </w:tabs>
            <w:rPr>
              <w:rFonts w:asciiTheme="majorBidi" w:eastAsiaTheme="minorEastAsia" w:hAnsiTheme="majorBidi" w:cstheme="majorBidi"/>
              <w:noProof/>
            </w:rPr>
          </w:pPr>
          <w:hyperlink w:anchor="_Toc202283736" w:history="1">
            <w:r w:rsidRPr="000F645D">
              <w:rPr>
                <w:rStyle w:val="Hyperlink"/>
                <w:rFonts w:asciiTheme="majorBidi" w:hAnsiTheme="majorBidi" w:cstheme="majorBidi"/>
                <w:noProof/>
              </w:rPr>
              <w:t>4.1 Historical Overview of the 2003 Intervention and Political Reconstruction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_Toc202283736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30</w:t>
            </w:r>
            <w:r w:rsidRPr="000F645D">
              <w:rPr>
                <w:rFonts w:asciiTheme="majorBidi" w:hAnsiTheme="majorBidi" w:cstheme="majorBidi"/>
                <w:noProof/>
                <w:webHidden/>
              </w:rPr>
              <w:fldChar w:fldCharType="end"/>
            </w:r>
          </w:hyperlink>
        </w:p>
        <w:p w14:paraId="104AAD32" w14:textId="21CE2361" w:rsidR="00D333AE" w:rsidRPr="000F645D" w:rsidRDefault="00D333AE">
          <w:pPr>
            <w:pStyle w:val="TOC2"/>
            <w:tabs>
              <w:tab w:val="right" w:leader="dot" w:pos="9350"/>
            </w:tabs>
            <w:rPr>
              <w:rFonts w:asciiTheme="majorBidi" w:eastAsiaTheme="minorEastAsia" w:hAnsiTheme="majorBidi" w:cstheme="majorBidi"/>
              <w:noProof/>
            </w:rPr>
          </w:pPr>
          <w:hyperlink w:anchor="_Toc202283737" w:history="1">
            <w:r w:rsidRPr="000F645D">
              <w:rPr>
                <w:rStyle w:val="Hyperlink"/>
                <w:rFonts w:asciiTheme="majorBidi" w:hAnsiTheme="majorBidi" w:cstheme="majorBidi"/>
                <w:noProof/>
              </w:rPr>
              <w:t>4.2 Ideological and Political Motivations for 2003 U.S. Invasion and Democratic Transition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_Toc202283737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32</w:t>
            </w:r>
            <w:r w:rsidRPr="000F645D">
              <w:rPr>
                <w:rFonts w:asciiTheme="majorBidi" w:hAnsiTheme="majorBidi" w:cstheme="majorBidi"/>
                <w:noProof/>
                <w:webHidden/>
              </w:rPr>
              <w:fldChar w:fldCharType="end"/>
            </w:r>
          </w:hyperlink>
        </w:p>
        <w:p w14:paraId="1BE30745" w14:textId="59406726" w:rsidR="00D333AE" w:rsidRPr="000F645D" w:rsidRDefault="00D333AE">
          <w:pPr>
            <w:pStyle w:val="TOC3"/>
            <w:tabs>
              <w:tab w:val="right" w:leader="dot" w:pos="9350"/>
            </w:tabs>
            <w:rPr>
              <w:rFonts w:asciiTheme="majorBidi" w:eastAsiaTheme="minorEastAsia" w:hAnsiTheme="majorBidi" w:cstheme="majorBidi"/>
              <w:noProof/>
            </w:rPr>
          </w:pPr>
          <w:hyperlink w:anchor="_Toc202283738" w:history="1">
            <w:r w:rsidRPr="000F645D">
              <w:rPr>
                <w:rStyle w:val="Hyperlink"/>
                <w:rFonts w:asciiTheme="majorBidi" w:hAnsiTheme="majorBidi" w:cstheme="majorBidi"/>
                <w:noProof/>
              </w:rPr>
              <w:t>4.2.1 Theoretical Historical Foundations of the Bush Doctrine and Its Ideological Force</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_Toc202283738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38</w:t>
            </w:r>
            <w:r w:rsidRPr="000F645D">
              <w:rPr>
                <w:rFonts w:asciiTheme="majorBidi" w:hAnsiTheme="majorBidi" w:cstheme="majorBidi"/>
                <w:noProof/>
                <w:webHidden/>
              </w:rPr>
              <w:fldChar w:fldCharType="end"/>
            </w:r>
          </w:hyperlink>
        </w:p>
        <w:p w14:paraId="6F9AAD11" w14:textId="2A8764F6" w:rsidR="00D333AE" w:rsidRPr="000F645D" w:rsidRDefault="00D333AE">
          <w:pPr>
            <w:pStyle w:val="TOC2"/>
            <w:tabs>
              <w:tab w:val="right" w:leader="dot" w:pos="9350"/>
            </w:tabs>
            <w:rPr>
              <w:rFonts w:asciiTheme="majorBidi" w:eastAsiaTheme="minorEastAsia" w:hAnsiTheme="majorBidi" w:cstheme="majorBidi"/>
              <w:noProof/>
            </w:rPr>
          </w:pPr>
          <w:hyperlink w:anchor="_Toc202283739" w:history="1">
            <w:r w:rsidRPr="000F645D">
              <w:rPr>
                <w:rStyle w:val="Hyperlink"/>
                <w:rFonts w:asciiTheme="majorBidi" w:hAnsiTheme="majorBidi" w:cstheme="majorBidi"/>
                <w:noProof/>
              </w:rPr>
              <w:t>4.3 Political, Social, and Economic Costs of 2003 US. Invasion Democratic Transition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_Toc202283739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42</w:t>
            </w:r>
            <w:r w:rsidRPr="000F645D">
              <w:rPr>
                <w:rFonts w:asciiTheme="majorBidi" w:hAnsiTheme="majorBidi" w:cstheme="majorBidi"/>
                <w:noProof/>
                <w:webHidden/>
              </w:rPr>
              <w:fldChar w:fldCharType="end"/>
            </w:r>
          </w:hyperlink>
        </w:p>
        <w:p w14:paraId="1BEE5E90" w14:textId="4D623C1F" w:rsidR="00D333AE" w:rsidRPr="000F645D" w:rsidRDefault="00D333AE">
          <w:pPr>
            <w:pStyle w:val="TOC2"/>
            <w:tabs>
              <w:tab w:val="right" w:leader="dot" w:pos="9350"/>
            </w:tabs>
            <w:rPr>
              <w:rFonts w:asciiTheme="majorBidi" w:eastAsiaTheme="minorEastAsia" w:hAnsiTheme="majorBidi" w:cstheme="majorBidi"/>
              <w:noProof/>
            </w:rPr>
          </w:pPr>
          <w:hyperlink w:anchor="_Toc202283740" w:history="1">
            <w:r w:rsidRPr="000F645D">
              <w:rPr>
                <w:rStyle w:val="Hyperlink"/>
                <w:rFonts w:asciiTheme="majorBidi" w:hAnsiTheme="majorBidi" w:cstheme="majorBidi"/>
                <w:noProof/>
              </w:rPr>
              <w:t>4.4 Political, Social, and Economic Effects of the Post-2003 Order</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_Toc202283740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44</w:t>
            </w:r>
            <w:r w:rsidRPr="000F645D">
              <w:rPr>
                <w:rFonts w:asciiTheme="majorBidi" w:hAnsiTheme="majorBidi" w:cstheme="majorBidi"/>
                <w:noProof/>
                <w:webHidden/>
              </w:rPr>
              <w:fldChar w:fldCharType="end"/>
            </w:r>
          </w:hyperlink>
        </w:p>
        <w:p w14:paraId="22AE77AE" w14:textId="1795E065" w:rsidR="00D333AE" w:rsidRPr="000F645D" w:rsidRDefault="00D333AE">
          <w:pPr>
            <w:pStyle w:val="TOC1"/>
            <w:tabs>
              <w:tab w:val="right" w:leader="dot" w:pos="9350"/>
            </w:tabs>
            <w:rPr>
              <w:rFonts w:asciiTheme="majorBidi" w:eastAsiaTheme="minorEastAsia" w:hAnsiTheme="majorBidi" w:cstheme="majorBidi"/>
              <w:noProof/>
            </w:rPr>
          </w:pPr>
          <w:hyperlink w:anchor="_Toc202283741" w:history="1">
            <w:r w:rsidRPr="000F645D">
              <w:rPr>
                <w:rStyle w:val="Hyperlink"/>
                <w:rFonts w:asciiTheme="majorBidi" w:hAnsiTheme="majorBidi" w:cstheme="majorBidi"/>
                <w:noProof/>
              </w:rPr>
              <w:t>Chapter Five: Comparative Political Sociology of Iraqi Scholars and Western Internal Critiques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_Toc202283741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47</w:t>
            </w:r>
            <w:r w:rsidRPr="000F645D">
              <w:rPr>
                <w:rFonts w:asciiTheme="majorBidi" w:hAnsiTheme="majorBidi" w:cstheme="majorBidi"/>
                <w:noProof/>
                <w:webHidden/>
              </w:rPr>
              <w:fldChar w:fldCharType="end"/>
            </w:r>
          </w:hyperlink>
        </w:p>
        <w:p w14:paraId="1A321EFC" w14:textId="60AAA52C" w:rsidR="00D333AE" w:rsidRPr="000F645D" w:rsidRDefault="00D333AE">
          <w:pPr>
            <w:pStyle w:val="TOC2"/>
            <w:tabs>
              <w:tab w:val="right" w:leader="dot" w:pos="9350"/>
            </w:tabs>
            <w:rPr>
              <w:rFonts w:asciiTheme="majorBidi" w:eastAsiaTheme="minorEastAsia" w:hAnsiTheme="majorBidi" w:cstheme="majorBidi"/>
              <w:noProof/>
            </w:rPr>
          </w:pPr>
          <w:hyperlink w:anchor="_Toc202283742" w:history="1">
            <w:r w:rsidRPr="000F645D">
              <w:rPr>
                <w:rStyle w:val="Hyperlink"/>
                <w:rFonts w:asciiTheme="majorBidi" w:hAnsiTheme="majorBidi" w:cstheme="majorBidi"/>
                <w:noProof/>
              </w:rPr>
              <w:t>5.1 Dominant Iraqi Reactions to the Post-2003 Social Change and Order</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_Toc202283742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47</w:t>
            </w:r>
            <w:r w:rsidRPr="000F645D">
              <w:rPr>
                <w:rFonts w:asciiTheme="majorBidi" w:hAnsiTheme="majorBidi" w:cstheme="majorBidi"/>
                <w:noProof/>
                <w:webHidden/>
              </w:rPr>
              <w:fldChar w:fldCharType="end"/>
            </w:r>
          </w:hyperlink>
        </w:p>
        <w:p w14:paraId="0FDB7C0C" w14:textId="52057C5B" w:rsidR="00D333AE" w:rsidRPr="000F645D" w:rsidRDefault="00D333AE">
          <w:pPr>
            <w:pStyle w:val="TOC2"/>
            <w:tabs>
              <w:tab w:val="right" w:leader="dot" w:pos="9350"/>
            </w:tabs>
            <w:rPr>
              <w:rFonts w:asciiTheme="majorBidi" w:eastAsiaTheme="minorEastAsia" w:hAnsiTheme="majorBidi" w:cstheme="majorBidi"/>
              <w:noProof/>
            </w:rPr>
          </w:pPr>
          <w:hyperlink w:anchor="_Toc202283743" w:history="1">
            <w:r w:rsidRPr="000F645D">
              <w:rPr>
                <w:rStyle w:val="Hyperlink"/>
                <w:rFonts w:asciiTheme="majorBidi" w:hAnsiTheme="majorBidi" w:cstheme="majorBidi"/>
                <w:noProof/>
              </w:rPr>
              <w:t>Under development and to be included…</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_Toc202283743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47</w:t>
            </w:r>
            <w:r w:rsidRPr="000F645D">
              <w:rPr>
                <w:rFonts w:asciiTheme="majorBidi" w:hAnsiTheme="majorBidi" w:cstheme="majorBidi"/>
                <w:noProof/>
                <w:webHidden/>
              </w:rPr>
              <w:fldChar w:fldCharType="end"/>
            </w:r>
          </w:hyperlink>
        </w:p>
        <w:p w14:paraId="72328B4F" w14:textId="5B49D79E" w:rsidR="00D333AE" w:rsidRPr="000F645D" w:rsidRDefault="00D333AE">
          <w:pPr>
            <w:pStyle w:val="TOC2"/>
            <w:tabs>
              <w:tab w:val="right" w:leader="dot" w:pos="9350"/>
            </w:tabs>
            <w:rPr>
              <w:rFonts w:asciiTheme="majorBidi" w:eastAsiaTheme="minorEastAsia" w:hAnsiTheme="majorBidi" w:cstheme="majorBidi"/>
              <w:noProof/>
            </w:rPr>
          </w:pPr>
          <w:hyperlink w:anchor="_Toc202283744" w:history="1">
            <w:r w:rsidRPr="000F645D">
              <w:rPr>
                <w:rStyle w:val="Hyperlink"/>
                <w:rFonts w:asciiTheme="majorBidi" w:hAnsiTheme="majorBidi" w:cstheme="majorBidi"/>
                <w:noProof/>
              </w:rPr>
              <w:t>5.2 Iraq Critique vs Western Internal Critique: Similarities and Differences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_Toc202283744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47</w:t>
            </w:r>
            <w:r w:rsidRPr="000F645D">
              <w:rPr>
                <w:rFonts w:asciiTheme="majorBidi" w:hAnsiTheme="majorBidi" w:cstheme="majorBidi"/>
                <w:noProof/>
                <w:webHidden/>
              </w:rPr>
              <w:fldChar w:fldCharType="end"/>
            </w:r>
          </w:hyperlink>
        </w:p>
        <w:p w14:paraId="18174352" w14:textId="013BA03F" w:rsidR="00D333AE" w:rsidRPr="000F645D" w:rsidRDefault="00D333AE">
          <w:pPr>
            <w:pStyle w:val="TOC2"/>
            <w:tabs>
              <w:tab w:val="right" w:leader="dot" w:pos="9350"/>
            </w:tabs>
            <w:rPr>
              <w:rFonts w:asciiTheme="majorBidi" w:eastAsiaTheme="minorEastAsia" w:hAnsiTheme="majorBidi" w:cstheme="majorBidi"/>
              <w:noProof/>
            </w:rPr>
          </w:pPr>
          <w:hyperlink w:anchor="_Toc202283745" w:history="1">
            <w:r w:rsidRPr="000F645D">
              <w:rPr>
                <w:rStyle w:val="Hyperlink"/>
                <w:rFonts w:asciiTheme="majorBidi" w:hAnsiTheme="majorBidi" w:cstheme="majorBidi"/>
                <w:noProof/>
              </w:rPr>
              <w:t>Under development and to be included…</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_Toc202283745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47</w:t>
            </w:r>
            <w:r w:rsidRPr="000F645D">
              <w:rPr>
                <w:rFonts w:asciiTheme="majorBidi" w:hAnsiTheme="majorBidi" w:cstheme="majorBidi"/>
                <w:noProof/>
                <w:webHidden/>
              </w:rPr>
              <w:fldChar w:fldCharType="end"/>
            </w:r>
          </w:hyperlink>
        </w:p>
        <w:p w14:paraId="4F7E70BD" w14:textId="154F596A" w:rsidR="00D333AE" w:rsidRPr="000F645D" w:rsidRDefault="00D333AE">
          <w:pPr>
            <w:pStyle w:val="TOC1"/>
            <w:tabs>
              <w:tab w:val="right" w:leader="dot" w:pos="9350"/>
            </w:tabs>
            <w:rPr>
              <w:rFonts w:asciiTheme="majorBidi" w:eastAsiaTheme="minorEastAsia" w:hAnsiTheme="majorBidi" w:cstheme="majorBidi"/>
              <w:noProof/>
            </w:rPr>
          </w:pPr>
          <w:hyperlink w:anchor="_Toc202283746" w:history="1">
            <w:r w:rsidRPr="000F645D">
              <w:rPr>
                <w:rStyle w:val="Hyperlink"/>
                <w:rFonts w:asciiTheme="majorBidi" w:hAnsiTheme="majorBidi" w:cstheme="majorBidi"/>
                <w:noProof/>
              </w:rPr>
              <w:t>Chapter 6: Conclusion</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_Toc202283746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48</w:t>
            </w:r>
            <w:r w:rsidRPr="000F645D">
              <w:rPr>
                <w:rFonts w:asciiTheme="majorBidi" w:hAnsiTheme="majorBidi" w:cstheme="majorBidi"/>
                <w:noProof/>
                <w:webHidden/>
              </w:rPr>
              <w:fldChar w:fldCharType="end"/>
            </w:r>
          </w:hyperlink>
        </w:p>
        <w:p w14:paraId="40B7D53B" w14:textId="6A91ED42" w:rsidR="00D333AE" w:rsidRPr="000F645D" w:rsidRDefault="00D333AE">
          <w:pPr>
            <w:pStyle w:val="TOC2"/>
            <w:tabs>
              <w:tab w:val="right" w:leader="dot" w:pos="9350"/>
            </w:tabs>
            <w:rPr>
              <w:rFonts w:asciiTheme="majorBidi" w:eastAsiaTheme="minorEastAsia" w:hAnsiTheme="majorBidi" w:cstheme="majorBidi"/>
              <w:noProof/>
            </w:rPr>
          </w:pPr>
          <w:hyperlink w:anchor="_Toc202283747" w:history="1">
            <w:r w:rsidRPr="000F645D">
              <w:rPr>
                <w:rStyle w:val="Hyperlink"/>
                <w:rFonts w:asciiTheme="majorBidi" w:hAnsiTheme="majorBidi" w:cstheme="majorBidi"/>
                <w:noProof/>
              </w:rPr>
              <w:t>Under development and to be included…</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_Toc202283747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48</w:t>
            </w:r>
            <w:r w:rsidRPr="000F645D">
              <w:rPr>
                <w:rFonts w:asciiTheme="majorBidi" w:hAnsiTheme="majorBidi" w:cstheme="majorBidi"/>
                <w:noProof/>
                <w:webHidden/>
              </w:rPr>
              <w:fldChar w:fldCharType="end"/>
            </w:r>
          </w:hyperlink>
        </w:p>
        <w:p w14:paraId="677C18B7" w14:textId="1227D223" w:rsidR="00D333AE" w:rsidRPr="000F645D" w:rsidRDefault="00D333AE">
          <w:pPr>
            <w:pStyle w:val="TOC1"/>
            <w:tabs>
              <w:tab w:val="right" w:leader="dot" w:pos="9350"/>
            </w:tabs>
            <w:rPr>
              <w:rFonts w:asciiTheme="majorBidi" w:eastAsiaTheme="minorEastAsia" w:hAnsiTheme="majorBidi" w:cstheme="majorBidi"/>
              <w:noProof/>
            </w:rPr>
          </w:pPr>
          <w:hyperlink w:anchor="_Toc202283748" w:history="1">
            <w:r w:rsidRPr="000F645D">
              <w:rPr>
                <w:rStyle w:val="Hyperlink"/>
                <w:rFonts w:asciiTheme="majorBidi" w:hAnsiTheme="majorBidi" w:cstheme="majorBidi"/>
                <w:noProof/>
              </w:rPr>
              <w:t>References: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_Toc202283748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49</w:t>
            </w:r>
            <w:r w:rsidRPr="000F645D">
              <w:rPr>
                <w:rFonts w:asciiTheme="majorBidi" w:hAnsiTheme="majorBidi" w:cstheme="majorBidi"/>
                <w:noProof/>
                <w:webHidden/>
              </w:rPr>
              <w:fldChar w:fldCharType="end"/>
            </w:r>
          </w:hyperlink>
        </w:p>
        <w:p w14:paraId="1ECD0DFB" w14:textId="73148FF7" w:rsidR="00D333AE" w:rsidRPr="000F645D" w:rsidRDefault="00D333AE">
          <w:pPr>
            <w:pStyle w:val="TOC1"/>
            <w:tabs>
              <w:tab w:val="right" w:leader="dot" w:pos="9350"/>
            </w:tabs>
            <w:rPr>
              <w:rFonts w:asciiTheme="majorBidi" w:eastAsiaTheme="minorEastAsia" w:hAnsiTheme="majorBidi" w:cstheme="majorBidi"/>
              <w:noProof/>
            </w:rPr>
          </w:pPr>
          <w:hyperlink w:anchor="_Toc202283749" w:history="1">
            <w:r w:rsidRPr="000F645D">
              <w:rPr>
                <w:rStyle w:val="Hyperlink"/>
                <w:rFonts w:asciiTheme="majorBidi" w:hAnsiTheme="majorBidi" w:cstheme="majorBidi"/>
                <w:noProof/>
              </w:rPr>
              <w:t>VITA</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_Toc202283749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54</w:t>
            </w:r>
            <w:r w:rsidRPr="000F645D">
              <w:rPr>
                <w:rFonts w:asciiTheme="majorBidi" w:hAnsiTheme="majorBidi" w:cstheme="majorBidi"/>
                <w:noProof/>
                <w:webHidden/>
              </w:rPr>
              <w:fldChar w:fldCharType="end"/>
            </w:r>
          </w:hyperlink>
        </w:p>
        <w:p w14:paraId="3B9E266F" w14:textId="21938B70" w:rsidR="00D333AE" w:rsidRPr="000F645D" w:rsidRDefault="00D333AE">
          <w:pPr>
            <w:pStyle w:val="TOC2"/>
            <w:tabs>
              <w:tab w:val="right" w:leader="dot" w:pos="9350"/>
            </w:tabs>
            <w:rPr>
              <w:rFonts w:asciiTheme="majorBidi" w:eastAsiaTheme="minorEastAsia" w:hAnsiTheme="majorBidi" w:cstheme="majorBidi"/>
              <w:noProof/>
            </w:rPr>
          </w:pPr>
          <w:hyperlink w:anchor="_Toc202283750" w:history="1">
            <w:r w:rsidRPr="000F645D">
              <w:rPr>
                <w:rStyle w:val="Hyperlink"/>
                <w:rFonts w:asciiTheme="majorBidi" w:hAnsiTheme="majorBidi" w:cstheme="majorBidi"/>
                <w:noProof/>
              </w:rPr>
              <w:t>A Statement on Researcher’s Positionality and Social Justice Concerns</w:t>
            </w:r>
            <w:r w:rsidRPr="000F645D">
              <w:rPr>
                <w:rFonts w:asciiTheme="majorBidi" w:hAnsiTheme="majorBidi" w:cstheme="majorBidi"/>
                <w:noProof/>
                <w:webHidden/>
              </w:rPr>
              <w:tab/>
            </w:r>
            <w:r w:rsidRPr="000F645D">
              <w:rPr>
                <w:rFonts w:asciiTheme="majorBidi" w:hAnsiTheme="majorBidi" w:cstheme="majorBidi"/>
                <w:noProof/>
                <w:webHidden/>
              </w:rPr>
              <w:fldChar w:fldCharType="begin"/>
            </w:r>
            <w:r w:rsidRPr="000F645D">
              <w:rPr>
                <w:rFonts w:asciiTheme="majorBidi" w:hAnsiTheme="majorBidi" w:cstheme="majorBidi"/>
                <w:noProof/>
                <w:webHidden/>
              </w:rPr>
              <w:instrText xml:space="preserve"> PAGEREF _Toc202283750 \h </w:instrText>
            </w:r>
            <w:r w:rsidRPr="000F645D">
              <w:rPr>
                <w:rFonts w:asciiTheme="majorBidi" w:hAnsiTheme="majorBidi" w:cstheme="majorBidi"/>
                <w:noProof/>
                <w:webHidden/>
              </w:rPr>
            </w:r>
            <w:r w:rsidRPr="000F645D">
              <w:rPr>
                <w:rFonts w:asciiTheme="majorBidi" w:hAnsiTheme="majorBidi" w:cstheme="majorBidi"/>
                <w:noProof/>
                <w:webHidden/>
              </w:rPr>
              <w:fldChar w:fldCharType="separate"/>
            </w:r>
            <w:r w:rsidRPr="000F645D">
              <w:rPr>
                <w:rFonts w:asciiTheme="majorBidi" w:hAnsiTheme="majorBidi" w:cstheme="majorBidi"/>
                <w:noProof/>
                <w:webHidden/>
              </w:rPr>
              <w:t>54</w:t>
            </w:r>
            <w:r w:rsidRPr="000F645D">
              <w:rPr>
                <w:rFonts w:asciiTheme="majorBidi" w:hAnsiTheme="majorBidi" w:cstheme="majorBidi"/>
                <w:noProof/>
                <w:webHidden/>
              </w:rPr>
              <w:fldChar w:fldCharType="end"/>
            </w:r>
          </w:hyperlink>
        </w:p>
        <w:p w14:paraId="59FF1BE7" w14:textId="3D353868" w:rsidR="00D333AE" w:rsidRDefault="00D333AE" w:rsidP="00D333AE">
          <w:pPr>
            <w:rPr>
              <w:rFonts w:asciiTheme="majorBidi" w:hAnsiTheme="majorBidi"/>
              <w:b/>
              <w:bCs/>
              <w:noProof/>
            </w:rPr>
          </w:pPr>
          <w:r w:rsidRPr="000F645D">
            <w:rPr>
              <w:rFonts w:asciiTheme="majorBidi" w:hAnsiTheme="majorBidi" w:cstheme="majorBidi"/>
              <w:b/>
              <w:bCs/>
              <w:noProof/>
            </w:rPr>
            <w:fldChar w:fldCharType="end"/>
          </w:r>
        </w:p>
      </w:sdtContent>
    </w:sdt>
    <w:p w14:paraId="0473FC9E" w14:textId="77777777" w:rsidR="00D333AE" w:rsidRDefault="00D333AE">
      <w:pPr>
        <w:rPr>
          <w:rFonts w:asciiTheme="majorBidi" w:hAnsiTheme="majorBidi" w:cstheme="majorBidi"/>
        </w:rPr>
      </w:pPr>
      <w:r>
        <w:rPr>
          <w:rFonts w:asciiTheme="majorBidi" w:hAnsiTheme="majorBidi" w:cstheme="majorBidi"/>
        </w:rPr>
        <w:br w:type="page"/>
      </w:r>
    </w:p>
    <w:p w14:paraId="373A5BC1" w14:textId="77777777" w:rsidR="000C1B97" w:rsidRPr="000C1B97" w:rsidRDefault="000C1B97" w:rsidP="00D333AE">
      <w:pPr>
        <w:spacing w:after="0" w:line="480" w:lineRule="auto"/>
        <w:jc w:val="both"/>
        <w:sectPr w:rsidR="000C1B97" w:rsidRPr="000C1B97" w:rsidSect="00AF3EF2">
          <w:type w:val="continuous"/>
          <w:pgSz w:w="12240" w:h="15840"/>
          <w:pgMar w:top="1440" w:right="1440" w:bottom="1440" w:left="1440" w:header="720" w:footer="720" w:gutter="0"/>
          <w:pgNumType w:start="2"/>
          <w:cols w:space="720"/>
          <w:titlePg/>
          <w:docGrid w:linePitch="360"/>
        </w:sectPr>
      </w:pPr>
    </w:p>
    <w:p w14:paraId="4F2416C8" w14:textId="2D73DEB1" w:rsidR="0021551D" w:rsidRDefault="0021551D" w:rsidP="00D333AE">
      <w:pPr>
        <w:pStyle w:val="Style1"/>
        <w:ind w:firstLine="0"/>
      </w:pPr>
      <w:bookmarkStart w:id="0" w:name="_Toc202283719"/>
      <w:r>
        <w:lastRenderedPageBreak/>
        <w:t>Chapter 1: Introduction</w:t>
      </w:r>
      <w:bookmarkEnd w:id="0"/>
    </w:p>
    <w:p w14:paraId="7F208B00" w14:textId="615D30C0" w:rsidR="0021551D" w:rsidRPr="00872805"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t xml:space="preserve">Liberal democracy, as a modern political system, has been both praised and celebrated as the </w:t>
      </w:r>
      <w:r w:rsidRPr="00872805">
        <w:rPr>
          <w:rFonts w:asciiTheme="majorBidi" w:hAnsiTheme="majorBidi" w:cstheme="majorBidi"/>
          <w:i/>
          <w:iCs/>
        </w:rPr>
        <w:t>End of History</w:t>
      </w:r>
      <w:r w:rsidRPr="00872805">
        <w:rPr>
          <w:rFonts w:asciiTheme="majorBidi" w:hAnsiTheme="majorBidi" w:cstheme="majorBidi"/>
        </w:rPr>
        <w:t xml:space="preserve"> </w:t>
      </w:r>
      <w:r>
        <w:rPr>
          <w:rFonts w:asciiTheme="majorBidi" w:hAnsiTheme="majorBidi" w:cstheme="majorBidi"/>
        </w:rPr>
        <w:t xml:space="preserve">(Fukuyama, 1992) </w:t>
      </w:r>
      <w:r w:rsidRPr="00872805">
        <w:rPr>
          <w:rFonts w:asciiTheme="majorBidi" w:hAnsiTheme="majorBidi" w:cstheme="majorBidi"/>
        </w:rPr>
        <w:t xml:space="preserve">and critiqued for its internal contradictions. In Western social and political theory, long-standing and rich </w:t>
      </w:r>
      <w:r>
        <w:rPr>
          <w:rFonts w:asciiTheme="majorBidi" w:hAnsiTheme="majorBidi" w:cstheme="majorBidi"/>
        </w:rPr>
        <w:t xml:space="preserve">traditions of </w:t>
      </w:r>
      <w:r w:rsidRPr="00872805">
        <w:rPr>
          <w:rFonts w:asciiTheme="majorBidi" w:hAnsiTheme="majorBidi" w:cstheme="majorBidi"/>
        </w:rPr>
        <w:t>internal critique have existed.</w:t>
      </w:r>
      <w:r>
        <w:rPr>
          <w:rFonts w:asciiTheme="majorBidi" w:hAnsiTheme="majorBidi" w:cstheme="majorBidi"/>
        </w:rPr>
        <w:t xml:space="preserve"> </w:t>
      </w:r>
      <w:r w:rsidRPr="00872805">
        <w:rPr>
          <w:rFonts w:asciiTheme="majorBidi" w:hAnsiTheme="majorBidi" w:cstheme="majorBidi"/>
        </w:rPr>
        <w:t xml:space="preserve">These critiques have often focused on the inability </w:t>
      </w:r>
      <w:r>
        <w:rPr>
          <w:rFonts w:asciiTheme="majorBidi" w:hAnsiTheme="majorBidi" w:cstheme="majorBidi"/>
        </w:rPr>
        <w:t xml:space="preserve">of liberal-democratic political systems </w:t>
      </w:r>
      <w:r w:rsidRPr="00872805">
        <w:rPr>
          <w:rFonts w:asciiTheme="majorBidi" w:hAnsiTheme="majorBidi" w:cstheme="majorBidi"/>
        </w:rPr>
        <w:t xml:space="preserve">to </w:t>
      </w:r>
      <w:r>
        <w:rPr>
          <w:rFonts w:asciiTheme="majorBidi" w:hAnsiTheme="majorBidi" w:cstheme="majorBidi"/>
        </w:rPr>
        <w:t>reduce or alleviate persistent</w:t>
      </w:r>
      <w:r w:rsidRPr="00872805">
        <w:rPr>
          <w:rFonts w:asciiTheme="majorBidi" w:hAnsiTheme="majorBidi" w:cstheme="majorBidi"/>
        </w:rPr>
        <w:t xml:space="preserve"> social inequalities, including racial, class, and gender inequalities, </w:t>
      </w:r>
      <w:r>
        <w:rPr>
          <w:rFonts w:asciiTheme="majorBidi" w:hAnsiTheme="majorBidi" w:cstheme="majorBidi"/>
        </w:rPr>
        <w:t>the</w:t>
      </w:r>
      <w:r w:rsidRPr="00872805">
        <w:rPr>
          <w:rFonts w:asciiTheme="majorBidi" w:hAnsiTheme="majorBidi" w:cstheme="majorBidi"/>
        </w:rPr>
        <w:t xml:space="preserve"> challenge </w:t>
      </w:r>
      <w:r>
        <w:rPr>
          <w:rFonts w:asciiTheme="majorBidi" w:hAnsiTheme="majorBidi" w:cstheme="majorBidi"/>
        </w:rPr>
        <w:t>of</w:t>
      </w:r>
      <w:r w:rsidRPr="00872805">
        <w:rPr>
          <w:rFonts w:asciiTheme="majorBidi" w:hAnsiTheme="majorBidi" w:cstheme="majorBidi"/>
        </w:rPr>
        <w:t xml:space="preserve"> creating </w:t>
      </w:r>
      <w:r>
        <w:rPr>
          <w:rFonts w:asciiTheme="majorBidi" w:hAnsiTheme="majorBidi" w:cstheme="majorBidi"/>
        </w:rPr>
        <w:t xml:space="preserve">and sustaining </w:t>
      </w:r>
      <w:r w:rsidRPr="00872805">
        <w:rPr>
          <w:rFonts w:asciiTheme="majorBidi" w:hAnsiTheme="majorBidi" w:cstheme="majorBidi"/>
        </w:rPr>
        <w:t>spheres for public deliberation, elite domination, and its incompatibility with capitalism and disenfranchisement</w:t>
      </w:r>
      <w:r>
        <w:rPr>
          <w:rFonts w:asciiTheme="majorBidi" w:hAnsiTheme="majorBidi" w:cstheme="majorBidi"/>
        </w:rPr>
        <w:t xml:space="preserve"> </w:t>
      </w:r>
      <w:r w:rsidRPr="00CE55D7">
        <w:rPr>
          <w:rFonts w:asciiTheme="majorBidi" w:hAnsiTheme="majorBidi" w:cstheme="majorBidi"/>
        </w:rPr>
        <w:t>(Calhoun 1992</w:t>
      </w:r>
      <w:r>
        <w:rPr>
          <w:rFonts w:asciiTheme="majorBidi" w:hAnsiTheme="majorBidi" w:cstheme="majorBidi"/>
        </w:rPr>
        <w:t xml:space="preserve">; </w:t>
      </w:r>
      <w:r w:rsidRPr="00CE55D7">
        <w:rPr>
          <w:rFonts w:asciiTheme="majorBidi" w:hAnsiTheme="majorBidi" w:cstheme="majorBidi"/>
        </w:rPr>
        <w:t>Fraser 1992:109</w:t>
      </w:r>
      <w:r>
        <w:rPr>
          <w:rFonts w:asciiTheme="majorBidi" w:hAnsiTheme="majorBidi" w:cstheme="majorBidi"/>
        </w:rPr>
        <w:t xml:space="preserve">; </w:t>
      </w:r>
      <w:r w:rsidRPr="00407FA9">
        <w:rPr>
          <w:rFonts w:asciiTheme="majorBidi" w:hAnsiTheme="majorBidi" w:cstheme="majorBidi"/>
        </w:rPr>
        <w:t>Wolin 1994</w:t>
      </w:r>
      <w:r>
        <w:rPr>
          <w:rFonts w:asciiTheme="majorBidi" w:hAnsiTheme="majorBidi" w:cstheme="majorBidi"/>
        </w:rPr>
        <w:t xml:space="preserve">, </w:t>
      </w:r>
      <w:r w:rsidRPr="00407FA9">
        <w:rPr>
          <w:rFonts w:asciiTheme="majorBidi" w:hAnsiTheme="majorBidi" w:cstheme="majorBidi"/>
        </w:rPr>
        <w:t>Domhoff</w:t>
      </w:r>
      <w:r>
        <w:rPr>
          <w:rFonts w:asciiTheme="majorBidi" w:hAnsiTheme="majorBidi" w:cstheme="majorBidi"/>
        </w:rPr>
        <w:t xml:space="preserve"> </w:t>
      </w:r>
      <w:r w:rsidRPr="00407FA9">
        <w:rPr>
          <w:rFonts w:asciiTheme="majorBidi" w:hAnsiTheme="majorBidi" w:cstheme="majorBidi"/>
        </w:rPr>
        <w:t>2013</w:t>
      </w:r>
      <w:r>
        <w:rPr>
          <w:rFonts w:asciiTheme="majorBidi" w:hAnsiTheme="majorBidi" w:cstheme="majorBidi"/>
        </w:rPr>
        <w:t xml:space="preserve">; </w:t>
      </w:r>
      <w:r w:rsidRPr="00885429">
        <w:rPr>
          <w:rFonts w:asciiTheme="majorBidi" w:hAnsiTheme="majorBidi" w:cstheme="majorBidi"/>
        </w:rPr>
        <w:t>Brown 2015</w:t>
      </w:r>
      <w:r w:rsidRPr="00CE55D7">
        <w:rPr>
          <w:rFonts w:asciiTheme="majorBidi" w:hAnsiTheme="majorBidi" w:cstheme="majorBidi"/>
        </w:rPr>
        <w:t>)</w:t>
      </w:r>
      <w:r w:rsidRPr="00872805">
        <w:rPr>
          <w:rFonts w:asciiTheme="majorBidi" w:hAnsiTheme="majorBidi" w:cstheme="majorBidi"/>
        </w:rPr>
        <w:t xml:space="preserve">. </w:t>
      </w:r>
    </w:p>
    <w:p w14:paraId="1E8185B9" w14:textId="77777777" w:rsidR="0021551D" w:rsidRPr="00872805"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t>In recent decades, there has been a growing recognition of the fact that experiences outside of the Western context can provide equally valuable perspectives and critical engagement with liberal democracy and its limitations and challenges</w:t>
      </w:r>
      <w:r>
        <w:rPr>
          <w:rFonts w:asciiTheme="majorBidi" w:hAnsiTheme="majorBidi" w:cstheme="majorBidi"/>
        </w:rPr>
        <w:t xml:space="preserve"> (</w:t>
      </w:r>
      <w:r w:rsidRPr="008A57AD">
        <w:rPr>
          <w:rFonts w:asciiTheme="majorBidi" w:hAnsiTheme="majorBidi" w:cstheme="majorBidi"/>
        </w:rPr>
        <w:t>Held 2006</w:t>
      </w:r>
      <w:r>
        <w:rPr>
          <w:rFonts w:asciiTheme="majorBidi" w:hAnsiTheme="majorBidi" w:cstheme="majorBidi"/>
        </w:rPr>
        <w:t>, x-xi</w:t>
      </w:r>
      <w:r w:rsidRPr="008A57AD">
        <w:rPr>
          <w:rFonts w:asciiTheme="majorBidi" w:hAnsiTheme="majorBidi" w:cstheme="majorBidi"/>
        </w:rPr>
        <w:t>)</w:t>
      </w:r>
      <w:r w:rsidRPr="00872805">
        <w:rPr>
          <w:rFonts w:asciiTheme="majorBidi" w:hAnsiTheme="majorBidi" w:cstheme="majorBidi"/>
        </w:rPr>
        <w:t xml:space="preserve">. </w:t>
      </w:r>
      <w:r w:rsidRPr="00872805">
        <w:rPr>
          <w:rFonts w:asciiTheme="majorBidi" w:hAnsiTheme="majorBidi" w:cstheme="majorBidi"/>
          <w:i/>
          <w:iCs/>
        </w:rPr>
        <w:t xml:space="preserve">The Transregional Center for Democratic Studies </w:t>
      </w:r>
      <w:r w:rsidRPr="00872805">
        <w:rPr>
          <w:rFonts w:asciiTheme="majorBidi" w:hAnsiTheme="majorBidi" w:cstheme="majorBidi"/>
        </w:rPr>
        <w:t>at the New School for Social Research is an example of such an effort to bring together pluralities of global perspectives to understand the challenges facing democracies today.</w:t>
      </w:r>
      <w:r>
        <w:rPr>
          <w:rStyle w:val="FootnoteReference"/>
          <w:rFonts w:asciiTheme="majorBidi" w:hAnsiTheme="majorBidi" w:cstheme="majorBidi"/>
        </w:rPr>
        <w:footnoteReference w:id="1"/>
      </w:r>
      <w:r w:rsidRPr="00872805">
        <w:rPr>
          <w:rFonts w:asciiTheme="majorBidi" w:hAnsiTheme="majorBidi" w:cstheme="majorBidi"/>
        </w:rPr>
        <w:t xml:space="preserve"> </w:t>
      </w:r>
    </w:p>
    <w:p w14:paraId="1BEBDA8F" w14:textId="77777777" w:rsidR="000C1B97"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t>Iraq, as a society that has had a bittersweet experience with imposed liberal democracy over the past two decades, is an important case that has not been given enough focus and deliberation in providing a critique of liberal democracy. In recent years, as Iraq has overcome decades of civil wars, terrorism, and occupation</w:t>
      </w:r>
      <w:r>
        <w:rPr>
          <w:rFonts w:asciiTheme="majorBidi" w:hAnsiTheme="majorBidi" w:cstheme="majorBidi"/>
        </w:rPr>
        <w:t>,</w:t>
      </w:r>
      <w:r w:rsidRPr="00872805">
        <w:rPr>
          <w:rFonts w:asciiTheme="majorBidi" w:hAnsiTheme="majorBidi" w:cstheme="majorBidi"/>
        </w:rPr>
        <w:t xml:space="preserve"> and entered a stage of relative stability and economic development, scholars have begun to engage more with the Iraqi case as a site of </w:t>
      </w:r>
      <w:r w:rsidR="000C1B97">
        <w:rPr>
          <w:rFonts w:asciiTheme="majorBidi" w:hAnsiTheme="majorBidi" w:cstheme="majorBidi"/>
        </w:rPr>
        <w:br w:type="page"/>
      </w:r>
    </w:p>
    <w:p w14:paraId="69F3D475" w14:textId="1BE42F00" w:rsidR="0021551D" w:rsidRPr="00872805"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lastRenderedPageBreak/>
        <w:t>epistemological and critical theoretical development. Scholars like Zahra Ali at Rutgers University, for instance, have begun to position Iraq as a space that could produce theoretical</w:t>
      </w:r>
      <w:r>
        <w:rPr>
          <w:rFonts w:asciiTheme="majorBidi" w:hAnsiTheme="majorBidi" w:cstheme="majorBidi"/>
        </w:rPr>
        <w:t>ly</w:t>
      </w:r>
      <w:r w:rsidRPr="00872805">
        <w:rPr>
          <w:rFonts w:asciiTheme="majorBidi" w:hAnsiTheme="majorBidi" w:cstheme="majorBidi"/>
        </w:rPr>
        <w:t xml:space="preserve"> significan</w:t>
      </w:r>
      <w:r>
        <w:rPr>
          <w:rFonts w:asciiTheme="majorBidi" w:hAnsiTheme="majorBidi" w:cstheme="majorBidi"/>
        </w:rPr>
        <w:t>t insights about liberal democracy,</w:t>
      </w:r>
      <w:r w:rsidRPr="00872805">
        <w:rPr>
          <w:rFonts w:asciiTheme="majorBidi" w:hAnsiTheme="majorBidi" w:cstheme="majorBidi"/>
        </w:rPr>
        <w:t xml:space="preserve"> both internally and externally. Through their research initiative </w:t>
      </w:r>
      <w:r w:rsidRPr="00872805">
        <w:rPr>
          <w:rFonts w:asciiTheme="majorBidi" w:hAnsiTheme="majorBidi" w:cstheme="majorBidi"/>
          <w:i/>
          <w:iCs/>
        </w:rPr>
        <w:t>Critical Studies of Iraq</w:t>
      </w:r>
      <w:r w:rsidRPr="00872805">
        <w:rPr>
          <w:rFonts w:asciiTheme="majorBidi" w:hAnsiTheme="majorBidi" w:cstheme="majorBidi"/>
        </w:rPr>
        <w:t>, Ali and her collaborators both in the West and Iraq aim to</w:t>
      </w:r>
      <w:r>
        <w:rPr>
          <w:rFonts w:asciiTheme="majorBidi" w:hAnsiTheme="majorBidi" w:cstheme="majorBidi"/>
        </w:rPr>
        <w:t xml:space="preserve"> take</w:t>
      </w:r>
      <w:r w:rsidRPr="00872805">
        <w:rPr>
          <w:rFonts w:asciiTheme="majorBidi" w:hAnsiTheme="majorBidi" w:cstheme="majorBidi"/>
        </w:rPr>
        <w:t xml:space="preserve"> “Iraq as a framework to develop critical theory, epistemologies, and research agendas in the social sciences, and in women, gender, and feminist studies.” </w:t>
      </w:r>
      <w:r>
        <w:rPr>
          <w:rStyle w:val="FootnoteReference"/>
          <w:rFonts w:asciiTheme="majorBidi" w:hAnsiTheme="majorBidi" w:cstheme="majorBidi"/>
        </w:rPr>
        <w:footnoteReference w:id="2"/>
      </w:r>
    </w:p>
    <w:p w14:paraId="4A2A8CEE" w14:textId="77777777" w:rsidR="0021551D" w:rsidRPr="00872805"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t xml:space="preserve">Contributing to such efforts, this thesis takes Iraq as an essential case </w:t>
      </w:r>
      <w:r>
        <w:rPr>
          <w:rFonts w:asciiTheme="majorBidi" w:hAnsiTheme="majorBidi" w:cstheme="majorBidi"/>
        </w:rPr>
        <w:t xml:space="preserve">for </w:t>
      </w:r>
      <w:r w:rsidRPr="00872805">
        <w:rPr>
          <w:rFonts w:asciiTheme="majorBidi" w:hAnsiTheme="majorBidi" w:cstheme="majorBidi"/>
        </w:rPr>
        <w:t>both challeng</w:t>
      </w:r>
      <w:r>
        <w:rPr>
          <w:rFonts w:asciiTheme="majorBidi" w:hAnsiTheme="majorBidi" w:cstheme="majorBidi"/>
        </w:rPr>
        <w:t>ing</w:t>
      </w:r>
      <w:r w:rsidRPr="00872805">
        <w:rPr>
          <w:rFonts w:asciiTheme="majorBidi" w:hAnsiTheme="majorBidi" w:cstheme="majorBidi"/>
        </w:rPr>
        <w:t xml:space="preserve"> and contribut</w:t>
      </w:r>
      <w:r>
        <w:rPr>
          <w:rFonts w:asciiTheme="majorBidi" w:hAnsiTheme="majorBidi" w:cstheme="majorBidi"/>
        </w:rPr>
        <w:t xml:space="preserve">ing </w:t>
      </w:r>
      <w:r w:rsidRPr="00872805">
        <w:rPr>
          <w:rFonts w:asciiTheme="majorBidi" w:hAnsiTheme="majorBidi" w:cstheme="majorBidi"/>
        </w:rPr>
        <w:t xml:space="preserve">to critical theoretical engagements with liberal democracy as a political-economic category. It more specifically asks the following research question: </w:t>
      </w:r>
    </w:p>
    <w:p w14:paraId="5D6D6D09" w14:textId="77777777" w:rsidR="0021551D" w:rsidRPr="00AA4ACB" w:rsidRDefault="0021551D" w:rsidP="0021551D">
      <w:pPr>
        <w:spacing w:line="480" w:lineRule="auto"/>
        <w:ind w:left="720"/>
        <w:jc w:val="both"/>
        <w:rPr>
          <w:rFonts w:asciiTheme="majorBidi" w:hAnsiTheme="majorBidi" w:cstheme="majorBidi"/>
        </w:rPr>
      </w:pPr>
      <w:r w:rsidRPr="00872805">
        <w:rPr>
          <w:rFonts w:asciiTheme="majorBidi" w:hAnsiTheme="majorBidi" w:cstheme="majorBidi"/>
          <w:b/>
          <w:bCs/>
          <w:i/>
          <w:iCs/>
        </w:rPr>
        <w:t>In what ways does the case of post-2003 Iraq offer an external critique of liberal democracy that complements or contradicts existing internal critiques in Western social theory?</w:t>
      </w:r>
      <w:r>
        <w:rPr>
          <w:rFonts w:asciiTheme="majorBidi" w:hAnsiTheme="majorBidi" w:cstheme="majorBidi"/>
        </w:rPr>
        <w:t xml:space="preserve"> </w:t>
      </w:r>
    </w:p>
    <w:p w14:paraId="49FCE5A9" w14:textId="77777777" w:rsidR="0021551D" w:rsidRPr="00872805" w:rsidRDefault="0021551D" w:rsidP="0021551D">
      <w:pPr>
        <w:spacing w:line="480" w:lineRule="auto"/>
        <w:ind w:firstLine="720"/>
        <w:jc w:val="both"/>
        <w:rPr>
          <w:rFonts w:asciiTheme="majorBidi" w:hAnsiTheme="majorBidi" w:cstheme="majorBidi"/>
        </w:rPr>
      </w:pPr>
      <w:r w:rsidRPr="00872805">
        <w:rPr>
          <w:rFonts w:asciiTheme="majorBidi" w:hAnsiTheme="majorBidi" w:cstheme="majorBidi"/>
        </w:rPr>
        <w:t xml:space="preserve">To </w:t>
      </w:r>
      <w:r>
        <w:rPr>
          <w:rFonts w:asciiTheme="majorBidi" w:hAnsiTheme="majorBidi" w:cstheme="majorBidi"/>
        </w:rPr>
        <w:t xml:space="preserve">limit the scope of the thesis, </w:t>
      </w:r>
      <w:r w:rsidRPr="00872805">
        <w:rPr>
          <w:rFonts w:asciiTheme="majorBidi" w:hAnsiTheme="majorBidi" w:cstheme="majorBidi"/>
        </w:rPr>
        <w:t xml:space="preserve">and </w:t>
      </w:r>
      <w:r>
        <w:rPr>
          <w:rFonts w:asciiTheme="majorBidi" w:hAnsiTheme="majorBidi" w:cstheme="majorBidi"/>
        </w:rPr>
        <w:t xml:space="preserve">in the interest of </w:t>
      </w:r>
      <w:r w:rsidRPr="00872805">
        <w:rPr>
          <w:rFonts w:asciiTheme="majorBidi" w:hAnsiTheme="majorBidi" w:cstheme="majorBidi"/>
        </w:rPr>
        <w:t>cohe</w:t>
      </w:r>
      <w:r>
        <w:rPr>
          <w:rFonts w:asciiTheme="majorBidi" w:hAnsiTheme="majorBidi" w:cstheme="majorBidi"/>
        </w:rPr>
        <w:t>sion</w:t>
      </w:r>
      <w:r w:rsidRPr="00872805">
        <w:rPr>
          <w:rFonts w:asciiTheme="majorBidi" w:hAnsiTheme="majorBidi" w:cstheme="majorBidi"/>
        </w:rPr>
        <w:t xml:space="preserve">, </w:t>
      </w:r>
      <w:r>
        <w:rPr>
          <w:rFonts w:asciiTheme="majorBidi" w:hAnsiTheme="majorBidi" w:cstheme="majorBidi"/>
        </w:rPr>
        <w:t>the project has</w:t>
      </w:r>
      <w:r w:rsidRPr="00872805">
        <w:rPr>
          <w:rFonts w:asciiTheme="majorBidi" w:hAnsiTheme="majorBidi" w:cstheme="majorBidi"/>
        </w:rPr>
        <w:t xml:space="preserve"> </w:t>
      </w:r>
      <w:r>
        <w:rPr>
          <w:rFonts w:asciiTheme="majorBidi" w:hAnsiTheme="majorBidi" w:cstheme="majorBidi"/>
        </w:rPr>
        <w:t>attempted to categorize</w:t>
      </w:r>
      <w:r w:rsidRPr="00872805">
        <w:rPr>
          <w:rFonts w:asciiTheme="majorBidi" w:hAnsiTheme="majorBidi" w:cstheme="majorBidi"/>
        </w:rPr>
        <w:t xml:space="preserve"> and systematic</w:t>
      </w:r>
      <w:r>
        <w:rPr>
          <w:rFonts w:asciiTheme="majorBidi" w:hAnsiTheme="majorBidi" w:cstheme="majorBidi"/>
        </w:rPr>
        <w:t xml:space="preserve">ally analyze </w:t>
      </w:r>
      <w:r w:rsidRPr="00872805">
        <w:rPr>
          <w:rFonts w:asciiTheme="majorBidi" w:hAnsiTheme="majorBidi" w:cstheme="majorBidi"/>
        </w:rPr>
        <w:t>the major typ</w:t>
      </w:r>
      <w:r>
        <w:rPr>
          <w:rFonts w:asciiTheme="majorBidi" w:hAnsiTheme="majorBidi" w:cstheme="majorBidi"/>
        </w:rPr>
        <w:t>es</w:t>
      </w:r>
      <w:r w:rsidRPr="00872805">
        <w:rPr>
          <w:rFonts w:asciiTheme="majorBidi" w:hAnsiTheme="majorBidi" w:cstheme="majorBidi"/>
        </w:rPr>
        <w:t xml:space="preserve"> of internal critiques of modern liberal democracies </w:t>
      </w:r>
      <w:r>
        <w:rPr>
          <w:rFonts w:asciiTheme="majorBidi" w:hAnsiTheme="majorBidi" w:cstheme="majorBidi"/>
        </w:rPr>
        <w:t xml:space="preserve">that have been put forth and developed </w:t>
      </w:r>
      <w:r w:rsidRPr="00872805">
        <w:rPr>
          <w:rFonts w:asciiTheme="majorBidi" w:hAnsiTheme="majorBidi" w:cstheme="majorBidi"/>
        </w:rPr>
        <w:t xml:space="preserve">in </w:t>
      </w:r>
      <w:r>
        <w:rPr>
          <w:rFonts w:asciiTheme="majorBidi" w:hAnsiTheme="majorBidi" w:cstheme="majorBidi"/>
        </w:rPr>
        <w:t xml:space="preserve">the </w:t>
      </w:r>
      <w:r w:rsidRPr="00872805">
        <w:rPr>
          <w:rFonts w:asciiTheme="majorBidi" w:hAnsiTheme="majorBidi" w:cstheme="majorBidi"/>
        </w:rPr>
        <w:t>West.</w:t>
      </w:r>
      <w:r>
        <w:rPr>
          <w:rFonts w:asciiTheme="majorBidi" w:hAnsiTheme="majorBidi" w:cstheme="majorBidi"/>
        </w:rPr>
        <w:t xml:space="preserve"> </w:t>
      </w:r>
      <w:proofErr w:type="gramStart"/>
      <w:r>
        <w:rPr>
          <w:rFonts w:asciiTheme="majorBidi" w:hAnsiTheme="majorBidi" w:cstheme="majorBidi"/>
        </w:rPr>
        <w:t>A</w:t>
      </w:r>
      <w:proofErr w:type="gramEnd"/>
      <w:r>
        <w:rPr>
          <w:rFonts w:asciiTheme="majorBidi" w:hAnsiTheme="majorBidi" w:cstheme="majorBidi"/>
        </w:rPr>
        <w:t xml:space="preserve"> attention has been given to the types that are both theoretical complementary to one another, and comparatively compatible to the Iraqi case. </w:t>
      </w:r>
      <w:r w:rsidRPr="00872805">
        <w:rPr>
          <w:rFonts w:asciiTheme="majorBidi" w:hAnsiTheme="majorBidi" w:cstheme="majorBidi"/>
        </w:rPr>
        <w:t>Then,</w:t>
      </w:r>
      <w:r>
        <w:rPr>
          <w:rFonts w:asciiTheme="majorBidi" w:hAnsiTheme="majorBidi" w:cstheme="majorBidi"/>
        </w:rPr>
        <w:t xml:space="preserve"> the thesis constructed</w:t>
      </w:r>
      <w:r w:rsidRPr="00872805">
        <w:rPr>
          <w:rFonts w:asciiTheme="majorBidi" w:hAnsiTheme="majorBidi" w:cstheme="majorBidi"/>
        </w:rPr>
        <w:t xml:space="preserve"> a historical analysis of post-2003 Iraq's experience with liberal democracy as an imported and externally imposed system that raptured its pre-existing social and political orders</w:t>
      </w:r>
      <w:r>
        <w:rPr>
          <w:rFonts w:asciiTheme="majorBidi" w:hAnsiTheme="majorBidi" w:cstheme="majorBidi"/>
        </w:rPr>
        <w:t>. Following that the</w:t>
      </w:r>
      <w:r w:rsidRPr="00872805">
        <w:rPr>
          <w:rFonts w:asciiTheme="majorBidi" w:hAnsiTheme="majorBidi" w:cstheme="majorBidi"/>
        </w:rPr>
        <w:t xml:space="preserve"> thesis explore</w:t>
      </w:r>
      <w:r>
        <w:rPr>
          <w:rFonts w:asciiTheme="majorBidi" w:hAnsiTheme="majorBidi" w:cstheme="majorBidi"/>
        </w:rPr>
        <w:t>d</w:t>
      </w:r>
      <w:r w:rsidRPr="00872805">
        <w:rPr>
          <w:rFonts w:asciiTheme="majorBidi" w:hAnsiTheme="majorBidi" w:cstheme="majorBidi"/>
        </w:rPr>
        <w:t xml:space="preserve"> how the Iraqi </w:t>
      </w:r>
      <w:proofErr w:type="spellStart"/>
      <w:r>
        <w:rPr>
          <w:rFonts w:asciiTheme="majorBidi" w:hAnsiTheme="majorBidi" w:cstheme="majorBidi"/>
        </w:rPr>
        <w:t>scholarily</w:t>
      </w:r>
      <w:proofErr w:type="spellEnd"/>
      <w:r>
        <w:rPr>
          <w:rFonts w:asciiTheme="majorBidi" w:hAnsiTheme="majorBidi" w:cstheme="majorBidi"/>
        </w:rPr>
        <w:t xml:space="preserve"> engagement with the transformation and conditions of their society</w:t>
      </w:r>
      <w:r w:rsidRPr="00872805">
        <w:rPr>
          <w:rFonts w:asciiTheme="majorBidi" w:hAnsiTheme="majorBidi" w:cstheme="majorBidi"/>
        </w:rPr>
        <w:t xml:space="preserve"> challenges or exceed</w:t>
      </w:r>
      <w:r>
        <w:rPr>
          <w:rFonts w:asciiTheme="majorBidi" w:hAnsiTheme="majorBidi" w:cstheme="majorBidi"/>
        </w:rPr>
        <w:t>s</w:t>
      </w:r>
      <w:r w:rsidRPr="00872805">
        <w:rPr>
          <w:rFonts w:asciiTheme="majorBidi" w:hAnsiTheme="majorBidi" w:cstheme="majorBidi"/>
        </w:rPr>
        <w:t xml:space="preserve"> the boundaries of </w:t>
      </w:r>
      <w:r w:rsidRPr="00872805">
        <w:rPr>
          <w:rFonts w:asciiTheme="majorBidi" w:hAnsiTheme="majorBidi" w:cstheme="majorBidi"/>
        </w:rPr>
        <w:lastRenderedPageBreak/>
        <w:t>existing internal critiques</w:t>
      </w:r>
      <w:r>
        <w:rPr>
          <w:rFonts w:asciiTheme="majorBidi" w:hAnsiTheme="majorBidi" w:cstheme="majorBidi"/>
        </w:rPr>
        <w:t xml:space="preserve"> in the Western academia—American political sociology more specifically</w:t>
      </w:r>
      <w:r w:rsidRPr="00872805">
        <w:rPr>
          <w:rFonts w:asciiTheme="majorBidi" w:hAnsiTheme="majorBidi" w:cstheme="majorBidi"/>
        </w:rPr>
        <w:t xml:space="preserve">. </w:t>
      </w:r>
    </w:p>
    <w:p w14:paraId="060353BF" w14:textId="77777777" w:rsidR="0021551D" w:rsidRPr="005251A8" w:rsidRDefault="0021551D" w:rsidP="0021551D">
      <w:pPr>
        <w:spacing w:line="480" w:lineRule="auto"/>
        <w:ind w:firstLine="720"/>
        <w:jc w:val="both"/>
        <w:rPr>
          <w:rFonts w:asciiTheme="majorBidi" w:hAnsiTheme="majorBidi" w:cstheme="majorBidi"/>
        </w:rPr>
      </w:pPr>
      <w:r>
        <w:rPr>
          <w:rFonts w:asciiTheme="majorBidi" w:hAnsiTheme="majorBidi" w:cstheme="majorBidi"/>
        </w:rPr>
        <w:t>By the attempt to address the above question, the thesis has attempted to produce</w:t>
      </w:r>
      <w:r w:rsidRPr="00872805">
        <w:rPr>
          <w:rFonts w:asciiTheme="majorBidi" w:hAnsiTheme="majorBidi" w:cstheme="majorBidi"/>
        </w:rPr>
        <w:t xml:space="preserve"> sociologically significant </w:t>
      </w:r>
      <w:r>
        <w:rPr>
          <w:rFonts w:asciiTheme="majorBidi" w:hAnsiTheme="majorBidi" w:cstheme="majorBidi"/>
        </w:rPr>
        <w:t>results that can be considered relevant</w:t>
      </w:r>
      <w:r w:rsidRPr="00872805">
        <w:rPr>
          <w:rFonts w:asciiTheme="majorBidi" w:hAnsiTheme="majorBidi" w:cstheme="majorBidi"/>
        </w:rPr>
        <w:t xml:space="preserve"> </w:t>
      </w:r>
      <w:r>
        <w:rPr>
          <w:rFonts w:asciiTheme="majorBidi" w:hAnsiTheme="majorBidi" w:cstheme="majorBidi"/>
        </w:rPr>
        <w:t xml:space="preserve">two </w:t>
      </w:r>
      <w:r w:rsidRPr="00872805">
        <w:rPr>
          <w:rFonts w:asciiTheme="majorBidi" w:hAnsiTheme="majorBidi" w:cstheme="majorBidi"/>
        </w:rPr>
        <w:t>reasons</w:t>
      </w:r>
      <w:r>
        <w:rPr>
          <w:rFonts w:asciiTheme="majorBidi" w:hAnsiTheme="majorBidi" w:cstheme="majorBidi"/>
        </w:rPr>
        <w:t xml:space="preserve">, above all.  First, </w:t>
      </w:r>
      <w:r w:rsidRPr="00872805">
        <w:rPr>
          <w:rFonts w:asciiTheme="majorBidi" w:hAnsiTheme="majorBidi" w:cstheme="majorBidi"/>
        </w:rPr>
        <w:t>it bridges the gap between Western criti</w:t>
      </w:r>
      <w:r>
        <w:rPr>
          <w:rFonts w:asciiTheme="majorBidi" w:hAnsiTheme="majorBidi" w:cstheme="majorBidi"/>
        </w:rPr>
        <w:t>ques</w:t>
      </w:r>
      <w:r w:rsidRPr="00872805">
        <w:rPr>
          <w:rFonts w:asciiTheme="majorBidi" w:hAnsiTheme="majorBidi" w:cstheme="majorBidi"/>
        </w:rPr>
        <w:t xml:space="preserve"> and Middle Eastern experiences, particularly answering the calls to “center” Iraqi social scientists and activist knowledge production.</w:t>
      </w:r>
      <w:r>
        <w:rPr>
          <w:rStyle w:val="FootnoteReference"/>
          <w:rFonts w:asciiTheme="majorBidi" w:hAnsiTheme="majorBidi" w:cstheme="majorBidi"/>
        </w:rPr>
        <w:footnoteReference w:id="3"/>
      </w:r>
      <w:r w:rsidRPr="00872805">
        <w:rPr>
          <w:rFonts w:asciiTheme="majorBidi" w:hAnsiTheme="majorBidi" w:cstheme="majorBidi"/>
        </w:rPr>
        <w:t xml:space="preserve"> </w:t>
      </w:r>
      <w:r>
        <w:rPr>
          <w:rFonts w:asciiTheme="majorBidi" w:hAnsiTheme="majorBidi" w:cstheme="majorBidi"/>
        </w:rPr>
        <w:t>Secondly, i</w:t>
      </w:r>
      <w:r w:rsidRPr="00872805">
        <w:rPr>
          <w:rFonts w:asciiTheme="majorBidi" w:hAnsiTheme="majorBidi" w:cstheme="majorBidi"/>
        </w:rPr>
        <w:t xml:space="preserve">t contributes to </w:t>
      </w:r>
      <w:r w:rsidRPr="00F80AAB">
        <w:rPr>
          <w:rFonts w:asciiTheme="majorBidi" w:hAnsiTheme="majorBidi" w:cstheme="majorBidi"/>
          <w:i/>
          <w:iCs/>
        </w:rPr>
        <w:t>comparative political sociology</w:t>
      </w:r>
      <w:r w:rsidRPr="00872805">
        <w:rPr>
          <w:rFonts w:asciiTheme="majorBidi" w:hAnsiTheme="majorBidi" w:cstheme="majorBidi"/>
        </w:rPr>
        <w:t xml:space="preserve"> by illuminating how Western political systems function and are perceived when implanted in a post-colonial, post-conflict, and non-Western society. </w:t>
      </w:r>
      <w:r>
        <w:rPr>
          <w:rFonts w:asciiTheme="majorBidi" w:hAnsiTheme="majorBidi" w:cstheme="majorBidi"/>
        </w:rPr>
        <w:t xml:space="preserve"> </w:t>
      </w:r>
      <w:r w:rsidRPr="005251A8">
        <w:rPr>
          <w:rFonts w:asciiTheme="majorBidi" w:hAnsiTheme="majorBidi" w:cstheme="majorBidi"/>
          <w:i/>
          <w:iCs/>
        </w:rPr>
        <w:t>Comparative political sociology</w:t>
      </w:r>
      <w:r w:rsidRPr="005251A8">
        <w:rPr>
          <w:rFonts w:asciiTheme="majorBidi" w:hAnsiTheme="majorBidi" w:cstheme="majorBidi"/>
        </w:rPr>
        <w:t xml:space="preserve">, here, is not meant to echo political science frameworks of </w:t>
      </w:r>
      <w:r w:rsidRPr="005251A8">
        <w:rPr>
          <w:rFonts w:asciiTheme="majorBidi" w:hAnsiTheme="majorBidi" w:cstheme="majorBidi"/>
          <w:i/>
          <w:iCs/>
        </w:rPr>
        <w:t>comparative politics</w:t>
      </w:r>
      <w:r w:rsidRPr="005251A8">
        <w:rPr>
          <w:rFonts w:asciiTheme="majorBidi" w:hAnsiTheme="majorBidi" w:cstheme="majorBidi"/>
        </w:rPr>
        <w:t xml:space="preserve">, but to identify a blind spot in how sociology has approached global political transformations, highlighting a gap in sociology’s engagement with macro-political transformations across societies. Most political scientists tend to remain within institutional logic, focusing on models, measurements, and generalizability. In political science, liberal democracy is often treated as a normative baseline rather than a historically contingent formation. </w:t>
      </w:r>
    </w:p>
    <w:p w14:paraId="48B08793" w14:textId="59579A8E" w:rsidR="0021551D" w:rsidRPr="005D389C" w:rsidRDefault="0021551D" w:rsidP="0021551D">
      <w:pPr>
        <w:spacing w:line="480" w:lineRule="auto"/>
        <w:ind w:firstLine="720"/>
        <w:jc w:val="both"/>
        <w:rPr>
          <w:rFonts w:asciiTheme="majorBidi" w:hAnsiTheme="majorBidi" w:cstheme="majorBidi"/>
          <w:color w:val="EE0000"/>
        </w:rPr>
      </w:pPr>
      <w:r w:rsidRPr="005251A8">
        <w:rPr>
          <w:rFonts w:asciiTheme="majorBidi" w:hAnsiTheme="majorBidi" w:cstheme="majorBidi"/>
        </w:rPr>
        <w:t xml:space="preserve">In contrast, taking a more sociological perspective, the thesis approaches it as an imposed structure with profound contradictions when placed within post-colonial, non-Western </w:t>
      </w:r>
      <w:r w:rsidR="00DF4585" w:rsidRPr="005251A8">
        <w:rPr>
          <w:rFonts w:asciiTheme="majorBidi" w:hAnsiTheme="majorBidi" w:cstheme="majorBidi"/>
        </w:rPr>
        <w:t>settings.</w:t>
      </w:r>
      <w:r w:rsidRPr="005251A8">
        <w:rPr>
          <w:rFonts w:asciiTheme="majorBidi" w:hAnsiTheme="majorBidi" w:cstheme="majorBidi"/>
        </w:rPr>
        <w:t xml:space="preserve"> The argument that Iraq has epistemological agency, and that its experience reveals the fault lines in the liberal democratic ideal itself, challenges dominant paradigms in that </w:t>
      </w:r>
      <w:r>
        <w:rPr>
          <w:rFonts w:asciiTheme="majorBidi" w:hAnsiTheme="majorBidi" w:cstheme="majorBidi"/>
        </w:rPr>
        <w:t>political science</w:t>
      </w:r>
      <w:r w:rsidRPr="005251A8">
        <w:rPr>
          <w:rFonts w:asciiTheme="majorBidi" w:hAnsiTheme="majorBidi" w:cstheme="majorBidi"/>
        </w:rPr>
        <w:t>.  Sociology, on the other, is better equipped to take on these questions, especially given its emphasis on structural complexity, historical specificity, and reflexive critique</w:t>
      </w:r>
      <w:r w:rsidRPr="005D389C">
        <w:rPr>
          <w:rFonts w:asciiTheme="majorBidi" w:hAnsiTheme="majorBidi" w:cstheme="majorBidi"/>
          <w:color w:val="EE0000"/>
        </w:rPr>
        <w:t xml:space="preserve">. </w:t>
      </w:r>
    </w:p>
    <w:p w14:paraId="3C49415C" w14:textId="77777777" w:rsidR="0021551D" w:rsidRDefault="0021551D" w:rsidP="00D333AE">
      <w:pPr>
        <w:spacing w:line="480" w:lineRule="auto"/>
        <w:rPr>
          <w:rFonts w:asciiTheme="majorBidi" w:hAnsiTheme="majorBidi" w:cstheme="majorBidi"/>
        </w:rPr>
      </w:pPr>
    </w:p>
    <w:p w14:paraId="0A5E3BC8" w14:textId="3264CB53" w:rsidR="00B82A3C" w:rsidRDefault="00B82A3C" w:rsidP="00B82A3C">
      <w:pPr>
        <w:pStyle w:val="Style2"/>
      </w:pPr>
      <w:bookmarkStart w:id="1" w:name="_Toc202283720"/>
      <w:r>
        <w:lastRenderedPageBreak/>
        <w:t xml:space="preserve">1.1 </w:t>
      </w:r>
      <w:r w:rsidRPr="00B82A3C">
        <w:t>Organization of the Thesis</w:t>
      </w:r>
      <w:bookmarkEnd w:id="1"/>
    </w:p>
    <w:p w14:paraId="43951663" w14:textId="1C623832" w:rsidR="0021551D" w:rsidRDefault="0021551D" w:rsidP="0021551D">
      <w:pPr>
        <w:spacing w:line="480" w:lineRule="auto"/>
        <w:ind w:firstLine="720"/>
        <w:jc w:val="both"/>
        <w:rPr>
          <w:rFonts w:asciiTheme="majorBidi" w:hAnsiTheme="majorBidi" w:cstheme="majorBidi"/>
        </w:rPr>
      </w:pPr>
      <w:r>
        <w:rPr>
          <w:rFonts w:asciiTheme="majorBidi" w:hAnsiTheme="majorBidi" w:cstheme="majorBidi"/>
        </w:rPr>
        <w:t xml:space="preserve">The </w:t>
      </w:r>
      <w:r w:rsidR="00B82A3C">
        <w:rPr>
          <w:rFonts w:asciiTheme="majorBidi" w:hAnsiTheme="majorBidi" w:cstheme="majorBidi"/>
        </w:rPr>
        <w:t xml:space="preserve">Chapter </w:t>
      </w:r>
      <w:r w:rsidR="00120EC2">
        <w:rPr>
          <w:rFonts w:asciiTheme="majorBidi" w:hAnsiTheme="majorBidi" w:cstheme="majorBidi"/>
        </w:rPr>
        <w:t>t</w:t>
      </w:r>
      <w:r w:rsidR="00B82A3C">
        <w:rPr>
          <w:rFonts w:asciiTheme="majorBidi" w:hAnsiTheme="majorBidi" w:cstheme="majorBidi"/>
        </w:rPr>
        <w:t>wo</w:t>
      </w:r>
      <w:r>
        <w:rPr>
          <w:rFonts w:asciiTheme="majorBidi" w:hAnsiTheme="majorBidi" w:cstheme="majorBidi"/>
        </w:rPr>
        <w:t xml:space="preserve"> </w:t>
      </w:r>
      <w:r w:rsidRPr="00872805">
        <w:rPr>
          <w:rFonts w:asciiTheme="majorBidi" w:hAnsiTheme="majorBidi" w:cstheme="majorBidi"/>
        </w:rPr>
        <w:t>provide</w:t>
      </w:r>
      <w:r>
        <w:rPr>
          <w:rFonts w:asciiTheme="majorBidi" w:hAnsiTheme="majorBidi" w:cstheme="majorBidi"/>
        </w:rPr>
        <w:t>s</w:t>
      </w:r>
      <w:r w:rsidRPr="00872805">
        <w:rPr>
          <w:rFonts w:asciiTheme="majorBidi" w:hAnsiTheme="majorBidi" w:cstheme="majorBidi"/>
        </w:rPr>
        <w:t xml:space="preserve"> a </w:t>
      </w:r>
      <w:r>
        <w:rPr>
          <w:rFonts w:asciiTheme="majorBidi" w:hAnsiTheme="majorBidi" w:cstheme="majorBidi"/>
        </w:rPr>
        <w:t xml:space="preserve">concise typology </w:t>
      </w:r>
      <w:r w:rsidRPr="00872805">
        <w:rPr>
          <w:rFonts w:asciiTheme="majorBidi" w:hAnsiTheme="majorBidi" w:cstheme="majorBidi"/>
        </w:rPr>
        <w:t xml:space="preserve">of internal critiques of liberal democracy in the West, </w:t>
      </w:r>
      <w:r w:rsidRPr="00CD2F08">
        <w:rPr>
          <w:rFonts w:asciiTheme="majorBidi" w:hAnsiTheme="majorBidi" w:cstheme="majorBidi"/>
          <w:i/>
          <w:iCs/>
        </w:rPr>
        <w:t>based on elite and managed democracy theories</w:t>
      </w:r>
      <w:r>
        <w:rPr>
          <w:rFonts w:asciiTheme="majorBidi" w:hAnsiTheme="majorBidi" w:cstheme="majorBidi"/>
        </w:rPr>
        <w:t xml:space="preserve">, </w:t>
      </w:r>
      <w:r w:rsidRPr="00CD2F08">
        <w:rPr>
          <w:rFonts w:asciiTheme="majorBidi" w:hAnsiTheme="majorBidi" w:cstheme="majorBidi"/>
          <w:i/>
          <w:iCs/>
        </w:rPr>
        <w:t>democratic deliberation perspectives</w:t>
      </w:r>
      <w:r>
        <w:rPr>
          <w:rFonts w:asciiTheme="majorBidi" w:hAnsiTheme="majorBidi" w:cstheme="majorBidi"/>
        </w:rPr>
        <w:t xml:space="preserve">, and </w:t>
      </w:r>
      <w:r w:rsidRPr="00CD2F08">
        <w:rPr>
          <w:rFonts w:asciiTheme="majorBidi" w:hAnsiTheme="majorBidi" w:cstheme="majorBidi"/>
          <w:i/>
          <w:iCs/>
        </w:rPr>
        <w:t>social justice and feminist perspective</w:t>
      </w:r>
      <w:r>
        <w:rPr>
          <w:rFonts w:asciiTheme="majorBidi" w:hAnsiTheme="majorBidi" w:cstheme="majorBidi"/>
        </w:rPr>
        <w:t xml:space="preserve">. A clear methodological and theoretical rationality is provided for why these specific theoretical frameworks and perspectives against other are essential for comparison with the Iraqi case and perspectives. The essential shared tenants between these three perspectives and their differences are outlined, providing a specific set of concepts that can be operationalized for comparative analysis with the Iraqi case. </w:t>
      </w:r>
    </w:p>
    <w:p w14:paraId="58E51DDB" w14:textId="151A134F" w:rsidR="00120EC2" w:rsidRDefault="00120EC2" w:rsidP="0021551D">
      <w:pPr>
        <w:spacing w:line="480" w:lineRule="auto"/>
        <w:ind w:firstLine="720"/>
        <w:jc w:val="both"/>
        <w:rPr>
          <w:rFonts w:asciiTheme="majorBidi" w:hAnsiTheme="majorBidi" w:cstheme="majorBidi"/>
        </w:rPr>
      </w:pPr>
      <w:r>
        <w:rPr>
          <w:rFonts w:asciiTheme="majorBidi" w:hAnsiTheme="majorBidi" w:cstheme="majorBidi"/>
        </w:rPr>
        <w:t xml:space="preserve">Chapter three provides an explanation of research methods, sources, and case selection. It outlines the historical methods, explaining the kinds of historical sources and points of interest that will be looked at. It additionally outlines the major Iraqi scholarly perspectives that will be analyzed in chapter five. It also explains the case selection, highlighting the uniqueness and relevance of the Iraqi case. </w:t>
      </w:r>
    </w:p>
    <w:p w14:paraId="49889A06" w14:textId="16C2D3F8" w:rsidR="0021551D" w:rsidRDefault="0021551D" w:rsidP="0021551D">
      <w:pPr>
        <w:spacing w:line="480" w:lineRule="auto"/>
        <w:ind w:firstLine="720"/>
        <w:jc w:val="both"/>
        <w:rPr>
          <w:rFonts w:asciiTheme="majorBidi" w:hAnsiTheme="majorBidi" w:cstheme="majorBidi"/>
        </w:rPr>
      </w:pPr>
      <w:r>
        <w:rPr>
          <w:rFonts w:asciiTheme="majorBidi" w:hAnsiTheme="majorBidi" w:cstheme="majorBidi"/>
        </w:rPr>
        <w:t xml:space="preserve">Chapter </w:t>
      </w:r>
      <w:r w:rsidR="00120EC2">
        <w:rPr>
          <w:rFonts w:asciiTheme="majorBidi" w:hAnsiTheme="majorBidi" w:cstheme="majorBidi"/>
        </w:rPr>
        <w:t>f</w:t>
      </w:r>
      <w:r w:rsidR="00B82A3C">
        <w:rPr>
          <w:rFonts w:asciiTheme="majorBidi" w:hAnsiTheme="majorBidi" w:cstheme="majorBidi"/>
        </w:rPr>
        <w:t>our</w:t>
      </w:r>
      <w:r>
        <w:rPr>
          <w:rFonts w:asciiTheme="majorBidi" w:hAnsiTheme="majorBidi" w:cstheme="majorBidi"/>
        </w:rPr>
        <w:t xml:space="preserve"> constructs a </w:t>
      </w:r>
      <w:r w:rsidRPr="00872805">
        <w:rPr>
          <w:rFonts w:asciiTheme="majorBidi" w:hAnsiTheme="majorBidi" w:cstheme="majorBidi"/>
        </w:rPr>
        <w:t xml:space="preserve">historical </w:t>
      </w:r>
      <w:r>
        <w:rPr>
          <w:rFonts w:asciiTheme="majorBidi" w:hAnsiTheme="majorBidi" w:cstheme="majorBidi"/>
        </w:rPr>
        <w:t>narrative of the</w:t>
      </w:r>
      <w:r w:rsidRPr="00872805">
        <w:rPr>
          <w:rFonts w:asciiTheme="majorBidi" w:hAnsiTheme="majorBidi" w:cstheme="majorBidi"/>
        </w:rPr>
        <w:t xml:space="preserve"> key developments in the post-2003 Iraqi political-economic order,</w:t>
      </w:r>
      <w:r>
        <w:rPr>
          <w:rFonts w:asciiTheme="majorBidi" w:hAnsiTheme="majorBidi" w:cstheme="majorBidi"/>
        </w:rPr>
        <w:t xml:space="preserve"> with particular focus on the first twenty year, outlining the specifically significant development, instead of focusing on detailed analysis of each event. It specifically focuses on four essential developments that have been characteristic of post-2003 Iraq: 3</w:t>
      </w:r>
      <w:r w:rsidRPr="008754A1">
        <w:rPr>
          <w:rFonts w:asciiTheme="majorBidi" w:hAnsiTheme="majorBidi" w:cstheme="majorBidi"/>
        </w:rPr>
        <w:t>) the formation of what could arguably be considered oligarchic structures due to elite bargains and ethno-sectarian power-sharing (</w:t>
      </w:r>
      <w:proofErr w:type="spellStart"/>
      <w:r w:rsidRPr="008754A1">
        <w:rPr>
          <w:rFonts w:asciiTheme="majorBidi" w:hAnsiTheme="majorBidi" w:cstheme="majorBidi"/>
        </w:rPr>
        <w:t>muhasasa</w:t>
      </w:r>
      <w:proofErr w:type="spellEnd"/>
      <w:r w:rsidRPr="008754A1">
        <w:rPr>
          <w:rFonts w:asciiTheme="majorBidi" w:hAnsiTheme="majorBidi" w:cstheme="majorBidi"/>
        </w:rPr>
        <w:t xml:space="preserve">). 3) the struggle to develop public discourse and civil society under occupation, violence, and fragmentation. 4) </w:t>
      </w:r>
      <w:r>
        <w:rPr>
          <w:rFonts w:asciiTheme="majorBidi" w:hAnsiTheme="majorBidi" w:cstheme="majorBidi"/>
        </w:rPr>
        <w:t>t</w:t>
      </w:r>
      <w:r w:rsidRPr="008754A1">
        <w:rPr>
          <w:rFonts w:asciiTheme="majorBidi" w:hAnsiTheme="majorBidi" w:cstheme="majorBidi"/>
        </w:rPr>
        <w:t>he layered exclusion of women, minorities, and marginalized communities.</w:t>
      </w:r>
    </w:p>
    <w:p w14:paraId="1889ABA7" w14:textId="68AA55D3" w:rsidR="0021551D" w:rsidRDefault="00DF4585" w:rsidP="0021551D">
      <w:pPr>
        <w:spacing w:line="480" w:lineRule="auto"/>
        <w:ind w:firstLine="720"/>
        <w:jc w:val="both"/>
        <w:rPr>
          <w:rFonts w:asciiTheme="majorBidi" w:hAnsiTheme="majorBidi" w:cstheme="majorBidi"/>
        </w:rPr>
      </w:pPr>
      <w:r>
        <w:rPr>
          <w:rFonts w:asciiTheme="majorBidi" w:hAnsiTheme="majorBidi" w:cstheme="majorBidi"/>
        </w:rPr>
        <w:lastRenderedPageBreak/>
        <w:t xml:space="preserve">Chapter </w:t>
      </w:r>
      <w:r w:rsidR="00120EC2">
        <w:rPr>
          <w:rFonts w:asciiTheme="majorBidi" w:hAnsiTheme="majorBidi" w:cstheme="majorBidi"/>
        </w:rPr>
        <w:t>f</w:t>
      </w:r>
      <w:r w:rsidR="00B82A3C">
        <w:rPr>
          <w:rFonts w:asciiTheme="majorBidi" w:hAnsiTheme="majorBidi" w:cstheme="majorBidi"/>
        </w:rPr>
        <w:t>ive is</w:t>
      </w:r>
      <w:r w:rsidR="0021551D">
        <w:rPr>
          <w:rFonts w:asciiTheme="majorBidi" w:hAnsiTheme="majorBidi" w:cstheme="majorBidi"/>
        </w:rPr>
        <w:t xml:space="preserve"> the essential analytical segment of the thesis, as it brings the Iraqi scholarly reaction and engagement with the three key developments discussed in Chapter </w:t>
      </w:r>
      <w:r w:rsidR="00120EC2">
        <w:rPr>
          <w:rFonts w:asciiTheme="majorBidi" w:hAnsiTheme="majorBidi" w:cstheme="majorBidi"/>
        </w:rPr>
        <w:t>four.</w:t>
      </w:r>
      <w:r w:rsidR="0021551D">
        <w:rPr>
          <w:rFonts w:asciiTheme="majorBidi" w:hAnsiTheme="majorBidi" w:cstheme="majorBidi"/>
        </w:rPr>
        <w:t xml:space="preserve"> Then, it compares between how the dominant Iraqi social scientists and commentators have reacted to these developments and how their perspective differs or aligns with the typology of internal critiques explained in the </w:t>
      </w:r>
      <w:r w:rsidR="00120EC2">
        <w:rPr>
          <w:rFonts w:asciiTheme="majorBidi" w:hAnsiTheme="majorBidi" w:cstheme="majorBidi"/>
        </w:rPr>
        <w:t>C</w:t>
      </w:r>
      <w:r w:rsidR="0021551D">
        <w:rPr>
          <w:rFonts w:asciiTheme="majorBidi" w:hAnsiTheme="majorBidi" w:cstheme="majorBidi"/>
        </w:rPr>
        <w:t xml:space="preserve">hapter </w:t>
      </w:r>
      <w:r w:rsidR="00120EC2">
        <w:rPr>
          <w:rFonts w:asciiTheme="majorBidi" w:hAnsiTheme="majorBidi" w:cstheme="majorBidi"/>
        </w:rPr>
        <w:t>two</w:t>
      </w:r>
      <w:r w:rsidR="0021551D">
        <w:rPr>
          <w:rFonts w:asciiTheme="majorBidi" w:hAnsiTheme="majorBidi" w:cstheme="majorBidi"/>
        </w:rPr>
        <w:t xml:space="preserve">. </w:t>
      </w:r>
    </w:p>
    <w:p w14:paraId="044C3F29" w14:textId="4979B646" w:rsidR="0021551D" w:rsidRDefault="0021551D" w:rsidP="006C1B9B">
      <w:pPr>
        <w:spacing w:line="480" w:lineRule="auto"/>
        <w:ind w:firstLine="720"/>
        <w:jc w:val="both"/>
        <w:rPr>
          <w:rFonts w:asciiTheme="majorBidi" w:hAnsiTheme="majorBidi" w:cstheme="majorBidi"/>
        </w:rPr>
      </w:pPr>
      <w:r>
        <w:rPr>
          <w:rFonts w:asciiTheme="majorBidi" w:hAnsiTheme="majorBidi" w:cstheme="majorBidi"/>
        </w:rPr>
        <w:t xml:space="preserve">The conclusion provides a summary of the key insights developed by thesis, and the kinds of implications they have for our understanding of democracy and democratic theory. It specifies the ways Iraqi scholarly perspectives align, extend the Western critiques discussed in Chapter </w:t>
      </w:r>
      <w:r w:rsidR="00120EC2">
        <w:rPr>
          <w:rFonts w:asciiTheme="majorBidi" w:hAnsiTheme="majorBidi" w:cstheme="majorBidi"/>
        </w:rPr>
        <w:t>two</w:t>
      </w:r>
      <w:r w:rsidRPr="00C84E7B">
        <w:rPr>
          <w:rFonts w:asciiTheme="majorBidi" w:hAnsiTheme="majorBidi" w:cstheme="majorBidi"/>
        </w:rPr>
        <w:t>.</w:t>
      </w:r>
      <w:r>
        <w:rPr>
          <w:rFonts w:asciiTheme="majorBidi" w:hAnsiTheme="majorBidi" w:cstheme="majorBidi"/>
        </w:rPr>
        <w:t xml:space="preserve"> </w:t>
      </w:r>
      <w:r>
        <w:rPr>
          <w:rFonts w:asciiTheme="majorBidi" w:hAnsiTheme="majorBidi" w:cstheme="majorBidi"/>
        </w:rPr>
        <w:br w:type="page"/>
      </w:r>
    </w:p>
    <w:p w14:paraId="1C0A6663" w14:textId="1DEE547B" w:rsidR="001C71F6" w:rsidRDefault="001C71F6" w:rsidP="000C1B97">
      <w:pPr>
        <w:pStyle w:val="Style1"/>
      </w:pPr>
      <w:bookmarkStart w:id="2" w:name="_Toc202283721"/>
      <w:r>
        <w:lastRenderedPageBreak/>
        <w:t>Chapter</w:t>
      </w:r>
      <w:bookmarkStart w:id="3" w:name="_Toc201932372"/>
      <w:r>
        <w:t xml:space="preserve"> 2: </w:t>
      </w:r>
      <w:r w:rsidRPr="00346AF4">
        <w:rPr>
          <w:i/>
          <w:iCs/>
        </w:rPr>
        <w:t xml:space="preserve">The Crises of Power, Consensus, and Inequality: </w:t>
      </w:r>
      <w:r>
        <w:rPr>
          <w:i/>
          <w:iCs/>
        </w:rPr>
        <w:t xml:space="preserve">A Literature Review of </w:t>
      </w:r>
      <w:r w:rsidRPr="00346AF4">
        <w:rPr>
          <w:i/>
          <w:iCs/>
        </w:rPr>
        <w:t>Internal Critiques</w:t>
      </w:r>
      <w:bookmarkEnd w:id="2"/>
      <w:r w:rsidRPr="00346AF4">
        <w:rPr>
          <w:i/>
          <w:iCs/>
        </w:rPr>
        <w:t xml:space="preserve"> </w:t>
      </w:r>
      <w:bookmarkEnd w:id="3"/>
    </w:p>
    <w:p w14:paraId="56069830" w14:textId="77777777" w:rsidR="001C71F6" w:rsidRDefault="001C71F6" w:rsidP="001C71F6">
      <w:pPr>
        <w:spacing w:line="480" w:lineRule="auto"/>
        <w:ind w:firstLine="720"/>
        <w:jc w:val="both"/>
        <w:rPr>
          <w:rFonts w:asciiTheme="majorBidi" w:hAnsiTheme="majorBidi" w:cstheme="majorBidi"/>
        </w:rPr>
      </w:pPr>
      <w:r w:rsidRPr="00A50593">
        <w:rPr>
          <w:rFonts w:asciiTheme="majorBidi" w:hAnsiTheme="majorBidi" w:cstheme="majorBidi"/>
        </w:rPr>
        <w:t>While there are numerous types of internal critiques of liberal democracy, this thesis focuse</w:t>
      </w:r>
      <w:r>
        <w:rPr>
          <w:rFonts w:asciiTheme="majorBidi" w:hAnsiTheme="majorBidi" w:cstheme="majorBidi"/>
        </w:rPr>
        <w:t>d</w:t>
      </w:r>
      <w:r w:rsidRPr="00A50593">
        <w:rPr>
          <w:rFonts w:asciiTheme="majorBidi" w:hAnsiTheme="majorBidi" w:cstheme="majorBidi"/>
        </w:rPr>
        <w:t xml:space="preserve"> on only three of these types for concerns over feasibility and relevance to the Iraqi case. These types include critiques that deal with elite domination, deliberative democracy and public sphere deficits, and social justice concerns (e.g. feminist and intersectional critiques). This is not to argue that other types, including normative-internalist, post-modern, and post-liberal perspectives—are irrelevant to this study. Instead, the</w:t>
      </w:r>
      <w:r>
        <w:rPr>
          <w:rFonts w:asciiTheme="majorBidi" w:hAnsiTheme="majorBidi" w:cstheme="majorBidi"/>
        </w:rPr>
        <w:t xml:space="preserve"> exclusion</w:t>
      </w:r>
      <w:r w:rsidRPr="00A50593">
        <w:rPr>
          <w:rFonts w:asciiTheme="majorBidi" w:hAnsiTheme="majorBidi" w:cstheme="majorBidi"/>
        </w:rPr>
        <w:t xml:space="preserve"> is </w:t>
      </w:r>
      <w:proofErr w:type="gramStart"/>
      <w:r w:rsidRPr="00A50593">
        <w:rPr>
          <w:rFonts w:asciiTheme="majorBidi" w:hAnsiTheme="majorBidi" w:cstheme="majorBidi"/>
        </w:rPr>
        <w:t>based on the fact that</w:t>
      </w:r>
      <w:proofErr w:type="gramEnd"/>
      <w:r w:rsidRPr="00A50593">
        <w:rPr>
          <w:rFonts w:asciiTheme="majorBidi" w:hAnsiTheme="majorBidi" w:cstheme="majorBidi"/>
        </w:rPr>
        <w:t xml:space="preserve"> </w:t>
      </w:r>
      <w:r>
        <w:rPr>
          <w:rFonts w:asciiTheme="majorBidi" w:hAnsiTheme="majorBidi" w:cstheme="majorBidi"/>
        </w:rPr>
        <w:t>the chosen types</w:t>
      </w:r>
      <w:r w:rsidRPr="00A50593">
        <w:rPr>
          <w:rFonts w:asciiTheme="majorBidi" w:hAnsiTheme="majorBidi" w:cstheme="majorBidi"/>
        </w:rPr>
        <w:t xml:space="preserve"> are both </w:t>
      </w:r>
      <w:r>
        <w:rPr>
          <w:rFonts w:asciiTheme="majorBidi" w:hAnsiTheme="majorBidi" w:cstheme="majorBidi"/>
        </w:rPr>
        <w:t>more complementary</w:t>
      </w:r>
      <w:r w:rsidRPr="00A50593">
        <w:rPr>
          <w:rFonts w:asciiTheme="majorBidi" w:hAnsiTheme="majorBidi" w:cstheme="majorBidi"/>
        </w:rPr>
        <w:t xml:space="preserve"> with one another in terms of their structuralist approach to analyzing the different crises within liberal democratic societies, as well as</w:t>
      </w:r>
      <w:r>
        <w:rPr>
          <w:rFonts w:asciiTheme="majorBidi" w:hAnsiTheme="majorBidi" w:cstheme="majorBidi"/>
        </w:rPr>
        <w:t xml:space="preserve">, </w:t>
      </w:r>
      <w:r w:rsidRPr="00A50593">
        <w:rPr>
          <w:rFonts w:asciiTheme="majorBidi" w:hAnsiTheme="majorBidi" w:cstheme="majorBidi"/>
        </w:rPr>
        <w:t>comparative</w:t>
      </w:r>
      <w:r>
        <w:rPr>
          <w:rFonts w:asciiTheme="majorBidi" w:hAnsiTheme="majorBidi" w:cstheme="majorBidi"/>
        </w:rPr>
        <w:t>ly</w:t>
      </w:r>
      <w:r w:rsidRPr="00A50593">
        <w:rPr>
          <w:rFonts w:asciiTheme="majorBidi" w:hAnsiTheme="majorBidi" w:cstheme="majorBidi"/>
        </w:rPr>
        <w:t xml:space="preserve"> compatible with the Iraqi</w:t>
      </w:r>
      <w:r>
        <w:rPr>
          <w:rFonts w:asciiTheme="majorBidi" w:hAnsiTheme="majorBidi" w:cstheme="majorBidi"/>
        </w:rPr>
        <w:t xml:space="preserve"> case</w:t>
      </w:r>
      <w:r w:rsidRPr="00A50593">
        <w:rPr>
          <w:rFonts w:asciiTheme="majorBidi" w:hAnsiTheme="majorBidi" w:cstheme="majorBidi"/>
        </w:rPr>
        <w:t>. In the following sub-section, I first aim to provide an analytical rationale for the theoretical choices, including those based on factors related to scope and complementarity, relevance to the Iraqi context, and theoretical and comparative value.</w:t>
      </w:r>
    </w:p>
    <w:p w14:paraId="56095A6E" w14:textId="309A409E" w:rsidR="001C71F6" w:rsidRPr="00872805" w:rsidRDefault="00D333AE" w:rsidP="001C71F6">
      <w:pPr>
        <w:pStyle w:val="Style2"/>
      </w:pPr>
      <w:bookmarkStart w:id="4" w:name="_Toc201932373"/>
      <w:bookmarkStart w:id="5" w:name="_Toc202283722"/>
      <w:bookmarkStart w:id="6" w:name="_Hlk201920032"/>
      <w:r>
        <w:t>2</w:t>
      </w:r>
      <w:r w:rsidR="001C71F6" w:rsidRPr="00872805">
        <w:t>.</w:t>
      </w:r>
      <w:r w:rsidR="001C71F6">
        <w:t xml:space="preserve">1 </w:t>
      </w:r>
      <w:r w:rsidR="001C71F6" w:rsidRPr="00414E54">
        <w:t>Analytical Rationale: Why These Theories?</w:t>
      </w:r>
      <w:bookmarkEnd w:id="4"/>
      <w:bookmarkEnd w:id="5"/>
    </w:p>
    <w:bookmarkEnd w:id="6"/>
    <w:p w14:paraId="3FDF0481" w14:textId="77777777" w:rsidR="001C71F6" w:rsidRPr="00B83C27" w:rsidRDefault="001C71F6" w:rsidP="001C71F6">
      <w:pPr>
        <w:spacing w:line="480" w:lineRule="auto"/>
        <w:ind w:firstLine="720"/>
        <w:jc w:val="both"/>
        <w:rPr>
          <w:rFonts w:asciiTheme="majorBidi" w:hAnsiTheme="majorBidi" w:cstheme="majorBidi"/>
        </w:rPr>
      </w:pPr>
      <w:r w:rsidRPr="00B83C27">
        <w:rPr>
          <w:rFonts w:asciiTheme="majorBidi" w:hAnsiTheme="majorBidi" w:cstheme="majorBidi"/>
        </w:rPr>
        <w:t xml:space="preserve">As mentioned earlier in the section, the theoretical choices and limitations of the thesis are not based on arbitrary preferences and biases but </w:t>
      </w:r>
      <w:r>
        <w:rPr>
          <w:rFonts w:asciiTheme="majorBidi" w:hAnsiTheme="majorBidi" w:cstheme="majorBidi"/>
        </w:rPr>
        <w:t>grounded</w:t>
      </w:r>
      <w:r w:rsidRPr="00B83C27">
        <w:rPr>
          <w:rFonts w:asciiTheme="majorBidi" w:hAnsiTheme="majorBidi" w:cstheme="majorBidi"/>
        </w:rPr>
        <w:t xml:space="preserve"> on a specific analytical and practical rationale. The first dimension is concerned with feasibility and focus, as limiting theoretical engagement with only three perspectives prevents the analysis from becoming diffuse and generic. Each of the three types has a rich but manageable literature, which can be operationalized through critical historical comparison with Iraqi sources and scholarship. Thus, this theoretical clarity is meant to support methodological rigor and time feasibility. </w:t>
      </w:r>
    </w:p>
    <w:p w14:paraId="69BC9AD5" w14:textId="05E0FF35" w:rsidR="001C71F6" w:rsidRPr="00B83C27" w:rsidRDefault="001C71F6" w:rsidP="001C71F6">
      <w:pPr>
        <w:spacing w:line="480" w:lineRule="auto"/>
        <w:ind w:firstLine="720"/>
        <w:jc w:val="both"/>
        <w:rPr>
          <w:rFonts w:asciiTheme="majorBidi" w:hAnsiTheme="majorBidi" w:cstheme="majorBidi"/>
        </w:rPr>
      </w:pPr>
      <w:r w:rsidRPr="00B83C27">
        <w:rPr>
          <w:rFonts w:asciiTheme="majorBidi" w:hAnsiTheme="majorBidi" w:cstheme="majorBidi"/>
        </w:rPr>
        <w:lastRenderedPageBreak/>
        <w:t xml:space="preserve">The second criteria </w:t>
      </w:r>
      <w:r>
        <w:rPr>
          <w:rFonts w:asciiTheme="majorBidi" w:hAnsiTheme="majorBidi" w:cstheme="majorBidi"/>
        </w:rPr>
        <w:t>are</w:t>
      </w:r>
      <w:r w:rsidRPr="00B83C27">
        <w:rPr>
          <w:rFonts w:asciiTheme="majorBidi" w:hAnsiTheme="majorBidi" w:cstheme="majorBidi"/>
        </w:rPr>
        <w:t xml:space="preserve"> concerned with theoretical scope and complementarity, as the three theoretical types provide a comprehensive critique of liberal democracy from three structurally distinct vantage points/levels of analysis. Elite theories offer a macro-structural dimension by focusing on power concentration and oligarchic tendencies. The public sphere perspective provides a critique of an institutional and communicative dimension by examining the quality of deliberation, participation, and legitimacy. Finally, the social justice and intersectional perspective provide a social and cultural dimension by revealing how liberal democracy reproduces inequalities based on gender, class, sect, and ethnicity. While each addresses a specific blind spot, together they explain who rules, how consensus and legitimacy are (or maybe aren't) built, and who is being left out and marginalized by the system. </w:t>
      </w:r>
      <w:proofErr w:type="gramStart"/>
      <w:r w:rsidR="001D3151">
        <w:rPr>
          <w:rFonts w:asciiTheme="majorBidi" w:hAnsiTheme="majorBidi" w:cstheme="majorBidi"/>
        </w:rPr>
        <w:t>The Table</w:t>
      </w:r>
      <w:proofErr w:type="gramEnd"/>
      <w:r w:rsidR="001D3151">
        <w:rPr>
          <w:rFonts w:asciiTheme="majorBidi" w:hAnsiTheme="majorBidi" w:cstheme="majorBidi"/>
        </w:rPr>
        <w:t xml:space="preserve"> 1, </w:t>
      </w:r>
      <w:proofErr w:type="gramStart"/>
      <w:r w:rsidR="001D3151">
        <w:rPr>
          <w:rFonts w:asciiTheme="majorBidi" w:hAnsiTheme="majorBidi" w:cstheme="majorBidi"/>
        </w:rPr>
        <w:t>in</w:t>
      </w:r>
      <w:proofErr w:type="gramEnd"/>
      <w:r w:rsidR="001D3151">
        <w:rPr>
          <w:rFonts w:asciiTheme="majorBidi" w:hAnsiTheme="majorBidi" w:cstheme="majorBidi"/>
        </w:rPr>
        <w:t xml:space="preserve"> the end of this chapter clarifies the complementarity and comparison between </w:t>
      </w:r>
      <w:r w:rsidR="00120EC2">
        <w:rPr>
          <w:rFonts w:asciiTheme="majorBidi" w:hAnsiTheme="majorBidi" w:cstheme="majorBidi"/>
        </w:rPr>
        <w:t>these theoretical types</w:t>
      </w:r>
      <w:r w:rsidR="001D3151">
        <w:rPr>
          <w:rFonts w:asciiTheme="majorBidi" w:hAnsiTheme="majorBidi" w:cstheme="majorBidi"/>
        </w:rPr>
        <w:t>.</w:t>
      </w:r>
    </w:p>
    <w:p w14:paraId="038CD2A5" w14:textId="77777777" w:rsidR="001C71F6" w:rsidRPr="00A50593" w:rsidRDefault="001C71F6" w:rsidP="001C71F6">
      <w:pPr>
        <w:spacing w:line="480" w:lineRule="auto"/>
        <w:ind w:firstLine="720"/>
        <w:jc w:val="both"/>
        <w:rPr>
          <w:rFonts w:asciiTheme="majorBidi" w:hAnsiTheme="majorBidi" w:cstheme="majorBidi"/>
        </w:rPr>
      </w:pPr>
      <w:r w:rsidRPr="00B83C27">
        <w:rPr>
          <w:rFonts w:asciiTheme="majorBidi" w:hAnsiTheme="majorBidi" w:cstheme="majorBidi"/>
        </w:rPr>
        <w:t>The third criteria are concerned with the relevance to the Iraqi case, as each type of critique can be considered comparatively compatible with a specific dimension of the post-2003 Iraqi socio-political environment. As it will be expanded upon in the later section, post-2003 Iraq has been shaped by the following dimensions, and others: 1) external engineering and imposition of liberal-democratic institutions. 2) the formation of what could arguably be considered oligarchic structures due to elite bargains and ethno-sectarian power-sharing (</w:t>
      </w:r>
      <w:proofErr w:type="spellStart"/>
      <w:r w:rsidRPr="00B83C27">
        <w:rPr>
          <w:rFonts w:asciiTheme="majorBidi" w:hAnsiTheme="majorBidi" w:cstheme="majorBidi"/>
        </w:rPr>
        <w:t>muhasasa</w:t>
      </w:r>
      <w:proofErr w:type="spellEnd"/>
      <w:r w:rsidRPr="00B83C27">
        <w:rPr>
          <w:rFonts w:asciiTheme="majorBidi" w:hAnsiTheme="majorBidi" w:cstheme="majorBidi"/>
        </w:rPr>
        <w:t xml:space="preserve">). 3) the struggle to develop public discourse and civil society under occupation, violence, and fragmentation. 4) </w:t>
      </w:r>
      <w:r>
        <w:rPr>
          <w:rFonts w:asciiTheme="majorBidi" w:hAnsiTheme="majorBidi" w:cstheme="majorBidi"/>
        </w:rPr>
        <w:t>t</w:t>
      </w:r>
      <w:r w:rsidRPr="00B83C27">
        <w:rPr>
          <w:rFonts w:asciiTheme="majorBidi" w:hAnsiTheme="majorBidi" w:cstheme="majorBidi"/>
        </w:rPr>
        <w:t xml:space="preserve">he layered exclusion of women, minorities, and marginalized communities. Thus, the first type of critique can be used for the comparison to how entrenched elites and external elites shaped institutions to serve narrow interests, the second can be compared to the fragility of deliberate legitimacy and the third to how democracy was compromised by pre-existing and imported social inequalities. This is not to mention that as internationally recognized theoretical frameworks for </w:t>
      </w:r>
      <w:r w:rsidRPr="00B83C27">
        <w:rPr>
          <w:rFonts w:asciiTheme="majorBidi" w:hAnsiTheme="majorBidi" w:cstheme="majorBidi"/>
        </w:rPr>
        <w:lastRenderedPageBreak/>
        <w:t>critically examining liberal democracy, applying these types comparatively to the Iraqi intellectual critiques has the potential to contribute with theoretical and comparative value, by highlighting universal patterns (e.g., elite capture, erosion of deliberation) and showing unique Iraqi dynamics (e.g., sectarian fragmentation, postcolonial imposition).</w:t>
      </w:r>
    </w:p>
    <w:p w14:paraId="4C79C1AF" w14:textId="69172B4D" w:rsidR="001C71F6" w:rsidRDefault="001C71F6" w:rsidP="001C71F6">
      <w:pPr>
        <w:pStyle w:val="Style2"/>
      </w:pPr>
      <w:bookmarkStart w:id="7" w:name="_Toc201932374"/>
      <w:bookmarkStart w:id="8" w:name="_Toc202283723"/>
      <w:r w:rsidRPr="00872805">
        <w:t>2.</w:t>
      </w:r>
      <w:r>
        <w:t xml:space="preserve">2 </w:t>
      </w:r>
      <w:bookmarkStart w:id="9" w:name="_Hlk201917997"/>
      <w:r w:rsidRPr="00872805">
        <w:t>Elite Domination</w:t>
      </w:r>
      <w:bookmarkEnd w:id="7"/>
      <w:bookmarkEnd w:id="9"/>
      <w:r w:rsidR="004B4177">
        <w:rPr>
          <w:noProof/>
        </w:rPr>
        <mc:AlternateContent>
          <mc:Choice Requires="wps">
            <w:drawing>
              <wp:anchor distT="0" distB="0" distL="114300" distR="114300" simplePos="0" relativeHeight="251663360" behindDoc="0" locked="0" layoutInCell="1" allowOverlap="1" wp14:anchorId="38E516E5" wp14:editId="69CEC166">
                <wp:simplePos x="0" y="0"/>
                <wp:positionH relativeFrom="column">
                  <wp:posOffset>0</wp:posOffset>
                </wp:positionH>
                <wp:positionV relativeFrom="paragraph">
                  <wp:posOffset>2193925</wp:posOffset>
                </wp:positionV>
                <wp:extent cx="2590800" cy="635"/>
                <wp:effectExtent l="0" t="0" r="0" b="0"/>
                <wp:wrapSquare wrapText="bothSides"/>
                <wp:docPr id="1921459346" name="Text Box 1"/>
                <wp:cNvGraphicFramePr/>
                <a:graphic xmlns:a="http://schemas.openxmlformats.org/drawingml/2006/main">
                  <a:graphicData uri="http://schemas.microsoft.com/office/word/2010/wordprocessingShape">
                    <wps:wsp>
                      <wps:cNvSpPr txBox="1"/>
                      <wps:spPr>
                        <a:xfrm>
                          <a:off x="0" y="0"/>
                          <a:ext cx="2590800" cy="635"/>
                        </a:xfrm>
                        <a:prstGeom prst="rect">
                          <a:avLst/>
                        </a:prstGeom>
                        <a:solidFill>
                          <a:prstClr val="white"/>
                        </a:solidFill>
                        <a:ln>
                          <a:noFill/>
                        </a:ln>
                      </wps:spPr>
                      <wps:txbx>
                        <w:txbxContent>
                          <w:p w14:paraId="231A1BE3" w14:textId="11D776C6" w:rsidR="004B4177" w:rsidRPr="004B4177" w:rsidRDefault="004B4177" w:rsidP="004B4177">
                            <w:pPr>
                              <w:pStyle w:val="Caption"/>
                              <w:rPr>
                                <w:rFonts w:asciiTheme="majorBidi" w:eastAsiaTheme="majorEastAsia" w:hAnsiTheme="majorBidi" w:cstheme="majorBidi"/>
                                <w:b/>
                                <w:bCs/>
                                <w:color w:val="0F4761" w:themeColor="accent1" w:themeShade="BF"/>
                                <w:sz w:val="32"/>
                                <w:szCs w:val="32"/>
                                <w:u w:val="single"/>
                              </w:rPr>
                            </w:pPr>
                            <w:r w:rsidRPr="004B4177">
                              <w:rPr>
                                <w:rFonts w:asciiTheme="majorBidi" w:hAnsiTheme="majorBidi" w:cstheme="majorBidi"/>
                              </w:rPr>
                              <w:t xml:space="preserve">Figure </w:t>
                            </w:r>
                            <w:r w:rsidRPr="004B4177">
                              <w:rPr>
                                <w:rFonts w:asciiTheme="majorBidi" w:hAnsiTheme="majorBidi" w:cstheme="majorBidi"/>
                              </w:rPr>
                              <w:fldChar w:fldCharType="begin"/>
                            </w:r>
                            <w:r w:rsidRPr="004B4177">
                              <w:rPr>
                                <w:rFonts w:asciiTheme="majorBidi" w:hAnsiTheme="majorBidi" w:cstheme="majorBidi"/>
                              </w:rPr>
                              <w:instrText xml:space="preserve"> SEQ Figure \* ARABIC </w:instrText>
                            </w:r>
                            <w:r w:rsidRPr="004B4177">
                              <w:rPr>
                                <w:rFonts w:asciiTheme="majorBidi" w:hAnsiTheme="majorBidi" w:cstheme="majorBidi"/>
                              </w:rPr>
                              <w:fldChar w:fldCharType="separate"/>
                            </w:r>
                            <w:r w:rsidR="000C1B97">
                              <w:rPr>
                                <w:rFonts w:asciiTheme="majorBidi" w:hAnsiTheme="majorBidi" w:cstheme="majorBidi"/>
                                <w:noProof/>
                              </w:rPr>
                              <w:t>1</w:t>
                            </w:r>
                            <w:r w:rsidRPr="004B4177">
                              <w:rPr>
                                <w:rFonts w:asciiTheme="majorBidi" w:hAnsiTheme="majorBidi" w:cstheme="majorBidi"/>
                              </w:rPr>
                              <w:fldChar w:fldCharType="end"/>
                            </w:r>
                            <w:r>
                              <w:rPr>
                                <w:rFonts w:asciiTheme="majorBidi" w:hAnsiTheme="majorBidi" w:cstheme="majorBidi"/>
                              </w:rPr>
                              <w:t xml:space="preserve">. </w:t>
                            </w:r>
                            <w:r w:rsidRPr="004B4177">
                              <w:rPr>
                                <w:rFonts w:asciiTheme="majorBidi" w:hAnsiTheme="majorBidi" w:cstheme="majorBidi"/>
                              </w:rPr>
                              <w:t>President Donald J. Trump signs his first official acts in the President’s Room of the U.S. Capitol immediately following his inauguration on January 20,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8E516E5" id="_x0000_t202" coordsize="21600,21600" o:spt="202" path="m,l,21600r21600,l21600,xe">
                <v:stroke joinstyle="miter"/>
                <v:path gradientshapeok="t" o:connecttype="rect"/>
              </v:shapetype>
              <v:shape id="Text Box 1" o:spid="_x0000_s1026" type="#_x0000_t202" style="position:absolute;left:0;text-align:left;margin-left:0;margin-top:172.75pt;width:204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" stroked="f">
                <v:textbox style="mso-fit-shape-to-text:t" inset="0,0,0,0">
                  <w:txbxContent>
                    <w:p w14:paraId="231A1BE3" w14:textId="11D776C6" w:rsidR="004B4177" w:rsidRPr="004B4177" w:rsidRDefault="004B4177" w:rsidP="004B4177">
                      <w:pPr>
                        <w:pStyle w:val="Caption"/>
                        <w:rPr>
                          <w:rFonts w:asciiTheme="majorBidi" w:eastAsiaTheme="majorEastAsia" w:hAnsiTheme="majorBidi" w:cstheme="majorBidi"/>
                          <w:b/>
                          <w:bCs/>
                          <w:color w:val="0F4761" w:themeColor="accent1" w:themeShade="BF"/>
                          <w:sz w:val="32"/>
                          <w:szCs w:val="32"/>
                          <w:u w:val="single"/>
                        </w:rPr>
                      </w:pPr>
                      <w:r w:rsidRPr="004B4177">
                        <w:rPr>
                          <w:rFonts w:asciiTheme="majorBidi" w:hAnsiTheme="majorBidi" w:cstheme="majorBidi"/>
                        </w:rPr>
                        <w:t xml:space="preserve">Figure </w:t>
                      </w:r>
                      <w:r w:rsidRPr="004B4177">
                        <w:rPr>
                          <w:rFonts w:asciiTheme="majorBidi" w:hAnsiTheme="majorBidi" w:cstheme="majorBidi"/>
                        </w:rPr>
                        <w:fldChar w:fldCharType="begin"/>
                      </w:r>
                      <w:r w:rsidRPr="004B4177">
                        <w:rPr>
                          <w:rFonts w:asciiTheme="majorBidi" w:hAnsiTheme="majorBidi" w:cstheme="majorBidi"/>
                        </w:rPr>
                        <w:instrText xml:space="preserve"> SEQ Figure \* ARABIC </w:instrText>
                      </w:r>
                      <w:r w:rsidRPr="004B4177">
                        <w:rPr>
                          <w:rFonts w:asciiTheme="majorBidi" w:hAnsiTheme="majorBidi" w:cstheme="majorBidi"/>
                        </w:rPr>
                        <w:fldChar w:fldCharType="separate"/>
                      </w:r>
                      <w:r w:rsidR="000C1B97">
                        <w:rPr>
                          <w:rFonts w:asciiTheme="majorBidi" w:hAnsiTheme="majorBidi" w:cstheme="majorBidi"/>
                          <w:noProof/>
                        </w:rPr>
                        <w:t>1</w:t>
                      </w:r>
                      <w:r w:rsidRPr="004B4177">
                        <w:rPr>
                          <w:rFonts w:asciiTheme="majorBidi" w:hAnsiTheme="majorBidi" w:cstheme="majorBidi"/>
                        </w:rPr>
                        <w:fldChar w:fldCharType="end"/>
                      </w:r>
                      <w:r>
                        <w:rPr>
                          <w:rFonts w:asciiTheme="majorBidi" w:hAnsiTheme="majorBidi" w:cstheme="majorBidi"/>
                        </w:rPr>
                        <w:t xml:space="preserve">. </w:t>
                      </w:r>
                      <w:r w:rsidRPr="004B4177">
                        <w:rPr>
                          <w:rFonts w:asciiTheme="majorBidi" w:hAnsiTheme="majorBidi" w:cstheme="majorBidi"/>
                        </w:rPr>
                        <w:t>President Donald J. Trump signs his first official acts in the President’s Room of the U.S. Capitol immediately following his inauguration on January 20, 2017.</w:t>
                      </w:r>
                    </w:p>
                  </w:txbxContent>
                </v:textbox>
                <w10:wrap type="square"/>
              </v:shape>
            </w:pict>
          </mc:Fallback>
        </mc:AlternateContent>
      </w:r>
      <w:r>
        <w:rPr>
          <w:noProof/>
        </w:rPr>
        <w:drawing>
          <wp:anchor distT="0" distB="0" distL="114300" distR="114300" simplePos="0" relativeHeight="251659264" behindDoc="0" locked="0" layoutInCell="1" allowOverlap="1" wp14:anchorId="608F56DB" wp14:editId="7603EF3D">
            <wp:simplePos x="0" y="0"/>
            <wp:positionH relativeFrom="margin">
              <wp:align>left</wp:align>
            </wp:positionH>
            <wp:positionV relativeFrom="paragraph">
              <wp:posOffset>409575</wp:posOffset>
            </wp:positionV>
            <wp:extent cx="2590800" cy="1727200"/>
            <wp:effectExtent l="0" t="0" r="0" b="6350"/>
            <wp:wrapSquare wrapText="bothSides"/>
            <wp:docPr id="664145505" name="Picture 1" descr="A college professor and a cop ask, 'Who are the elites, anyway?' | America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ege professor and a cop ask, 'Who are the elites, anyway?' | America  Magaz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0800" cy="1727200"/>
                    </a:xfrm>
                    <a:prstGeom prst="rect">
                      <a:avLst/>
                    </a:prstGeom>
                    <a:noFill/>
                    <a:ln>
                      <a:noFill/>
                    </a:ln>
                  </pic:spPr>
                </pic:pic>
              </a:graphicData>
            </a:graphic>
          </wp:anchor>
        </w:drawing>
      </w:r>
      <w:bookmarkEnd w:id="8"/>
    </w:p>
    <w:p w14:paraId="760823D3" w14:textId="06A2732E" w:rsidR="001C71F6" w:rsidRDefault="001C71F6" w:rsidP="001C71F6">
      <w:pPr>
        <w:spacing w:line="480" w:lineRule="auto"/>
        <w:ind w:firstLine="720"/>
        <w:jc w:val="both"/>
        <w:rPr>
          <w:rFonts w:asciiTheme="majorBidi" w:hAnsiTheme="majorBidi" w:cstheme="majorBidi"/>
        </w:rPr>
      </w:pPr>
      <w:r>
        <w:rPr>
          <w:rFonts w:asciiTheme="majorBidi" w:hAnsiTheme="majorBidi" w:cstheme="majorBidi"/>
        </w:rPr>
        <w:t xml:space="preserve">The tension and contradiction between the promise of popular sovereignty and power concentration, persistent in most modern Western societies claimed to be liberal democratic, has been a central concern of analysis in political sociology. Elite theorists, concerned with the question of power concentration, domination, oligarchic tendencies, and the rationalization and legitimization of a powerful minority’s control, are fundamental. While different in explaining causation and distinct in their normative values, most elite theorists challenge conception of popular sovereignty and pluralistic conception of power propagated by modern Western societies. This tradition of theorists includes a </w:t>
      </w:r>
      <w:proofErr w:type="gramStart"/>
      <w:r>
        <w:rPr>
          <w:rFonts w:asciiTheme="majorBidi" w:hAnsiTheme="majorBidi" w:cstheme="majorBidi"/>
        </w:rPr>
        <w:t>range</w:t>
      </w:r>
      <w:proofErr w:type="gramEnd"/>
      <w:r>
        <w:rPr>
          <w:rFonts w:asciiTheme="majorBidi" w:hAnsiTheme="majorBidi" w:cstheme="majorBidi"/>
        </w:rPr>
        <w:t xml:space="preserve"> scholar</w:t>
      </w:r>
      <w:r w:rsidR="0021771F">
        <w:rPr>
          <w:rFonts w:asciiTheme="majorBidi" w:hAnsiTheme="majorBidi" w:cstheme="majorBidi"/>
        </w:rPr>
        <w:t>s</w:t>
      </w:r>
      <w:r>
        <w:rPr>
          <w:rFonts w:asciiTheme="majorBidi" w:hAnsiTheme="majorBidi" w:cstheme="majorBidi"/>
        </w:rPr>
        <w:t xml:space="preserve"> all the way </w:t>
      </w:r>
      <w:r w:rsidR="00982041">
        <w:rPr>
          <w:rFonts w:asciiTheme="majorBidi" w:hAnsiTheme="majorBidi" w:cstheme="majorBidi"/>
        </w:rPr>
        <w:t xml:space="preserve">from </w:t>
      </w:r>
      <w:r w:rsidR="00982041" w:rsidRPr="005E4214">
        <w:rPr>
          <w:rFonts w:asciiTheme="majorBidi" w:hAnsiTheme="majorBidi" w:cstheme="majorBidi"/>
        </w:rPr>
        <w:t xml:space="preserve">Max Weber, Vilfredo Pareto, Robert Michels, </w:t>
      </w:r>
      <w:r w:rsidR="00982041">
        <w:rPr>
          <w:rFonts w:asciiTheme="majorBidi" w:hAnsiTheme="majorBidi" w:cstheme="majorBidi"/>
        </w:rPr>
        <w:t xml:space="preserve">and </w:t>
      </w:r>
      <w:r w:rsidR="00982041" w:rsidRPr="005E4214">
        <w:rPr>
          <w:rFonts w:asciiTheme="majorBidi" w:hAnsiTheme="majorBidi" w:cstheme="majorBidi"/>
        </w:rPr>
        <w:t>Gaetano Mosca</w:t>
      </w:r>
      <w:r w:rsidRPr="005E4214">
        <w:rPr>
          <w:rFonts w:asciiTheme="majorBidi" w:hAnsiTheme="majorBidi" w:cstheme="majorBidi"/>
        </w:rPr>
        <w:t xml:space="preserve"> </w:t>
      </w:r>
      <w:r>
        <w:rPr>
          <w:rFonts w:asciiTheme="majorBidi" w:hAnsiTheme="majorBidi" w:cstheme="majorBidi"/>
        </w:rPr>
        <w:t>to</w:t>
      </w:r>
      <w:r w:rsidR="002E6058">
        <w:rPr>
          <w:rFonts w:asciiTheme="majorBidi" w:hAnsiTheme="majorBidi" w:cstheme="majorBidi"/>
        </w:rPr>
        <w:t xml:space="preserve"> </w:t>
      </w:r>
      <w:r w:rsidR="002E6058" w:rsidRPr="005E4214">
        <w:rPr>
          <w:rFonts w:asciiTheme="majorBidi" w:hAnsiTheme="majorBidi" w:cstheme="majorBidi"/>
        </w:rPr>
        <w:t xml:space="preserve">Wright Mills </w:t>
      </w:r>
      <w:r w:rsidR="002E6058">
        <w:rPr>
          <w:rFonts w:asciiTheme="majorBidi" w:hAnsiTheme="majorBidi" w:cstheme="majorBidi"/>
        </w:rPr>
        <w:t>and</w:t>
      </w:r>
      <w:r w:rsidRPr="005E4214">
        <w:rPr>
          <w:rFonts w:asciiTheme="majorBidi" w:hAnsiTheme="majorBidi" w:cstheme="majorBidi"/>
        </w:rPr>
        <w:t xml:space="preserve"> William Domhoff (Weber 1946; Pareto 1991; Michels 1915; Mosca 1939; </w:t>
      </w:r>
      <w:bookmarkStart w:id="10" w:name="_Hlk202268065"/>
      <w:r w:rsidRPr="005E4214">
        <w:rPr>
          <w:rFonts w:asciiTheme="majorBidi" w:hAnsiTheme="majorBidi" w:cstheme="majorBidi"/>
        </w:rPr>
        <w:t>Mills 1956</w:t>
      </w:r>
      <w:bookmarkEnd w:id="10"/>
      <w:r w:rsidRPr="005E4214">
        <w:rPr>
          <w:rFonts w:asciiTheme="majorBidi" w:hAnsiTheme="majorBidi" w:cstheme="majorBidi"/>
        </w:rPr>
        <w:t>; Domhoff 2014)</w:t>
      </w:r>
      <w:r>
        <w:rPr>
          <w:rFonts w:asciiTheme="majorBidi" w:hAnsiTheme="majorBidi" w:cstheme="majorBidi"/>
        </w:rPr>
        <w:t xml:space="preserve">, culminating a wide range of ideological, theoretical, and political stances. </w:t>
      </w:r>
    </w:p>
    <w:p w14:paraId="4B807AD9" w14:textId="5A41E8E2" w:rsidR="002E6058" w:rsidRDefault="002E6058" w:rsidP="002E6058">
      <w:pPr>
        <w:pStyle w:val="Style5"/>
      </w:pPr>
      <w:bookmarkStart w:id="11" w:name="_Toc202283724"/>
      <w:r>
        <w:t>2.2.1 Max Weber: The Classical Foundation of Elite Theory</w:t>
      </w:r>
      <w:bookmarkEnd w:id="11"/>
    </w:p>
    <w:p w14:paraId="315339E8" w14:textId="1E270EE3" w:rsidR="001C71F6" w:rsidRDefault="001C71F6" w:rsidP="001C71F6">
      <w:pPr>
        <w:spacing w:line="480" w:lineRule="auto"/>
        <w:ind w:firstLine="720"/>
        <w:jc w:val="both"/>
        <w:rPr>
          <w:rFonts w:asciiTheme="majorBidi" w:hAnsiTheme="majorBidi" w:cstheme="majorBidi"/>
        </w:rPr>
      </w:pPr>
      <w:r>
        <w:rPr>
          <w:rFonts w:asciiTheme="majorBidi" w:hAnsiTheme="majorBidi" w:cstheme="majorBidi"/>
        </w:rPr>
        <w:t xml:space="preserve">The classical sociologist Max Weber provides one of the first sociological analysis of the elitest nature of the modern national societies, particularly in the context of modern Western liberal capitalist societies. Weber defines the very concept of the modern state as </w:t>
      </w:r>
      <w:r w:rsidRPr="0035337D">
        <w:rPr>
          <w:rFonts w:asciiTheme="majorBidi" w:hAnsiTheme="majorBidi" w:cstheme="majorBidi"/>
        </w:rPr>
        <w:t xml:space="preserve">“a compulsory </w:t>
      </w:r>
      <w:r w:rsidRPr="0035337D">
        <w:rPr>
          <w:rFonts w:asciiTheme="majorBidi" w:hAnsiTheme="majorBidi" w:cstheme="majorBidi"/>
        </w:rPr>
        <w:lastRenderedPageBreak/>
        <w:t>association which organizes</w:t>
      </w:r>
      <w:r>
        <w:rPr>
          <w:rFonts w:asciiTheme="majorBidi" w:hAnsiTheme="majorBidi" w:cstheme="majorBidi"/>
        </w:rPr>
        <w:t xml:space="preserve"> </w:t>
      </w:r>
      <w:r w:rsidRPr="0035337D">
        <w:rPr>
          <w:rFonts w:asciiTheme="majorBidi" w:hAnsiTheme="majorBidi" w:cstheme="majorBidi"/>
        </w:rPr>
        <w:t>domination” and successfully “monopolize[s] the legitimate use of physical force as a means of domination within</w:t>
      </w:r>
      <w:r>
        <w:rPr>
          <w:rFonts w:asciiTheme="majorBidi" w:hAnsiTheme="majorBidi" w:cstheme="majorBidi"/>
        </w:rPr>
        <w:t xml:space="preserve"> </w:t>
      </w:r>
      <w:r w:rsidRPr="0035337D">
        <w:rPr>
          <w:rFonts w:asciiTheme="majorBidi" w:hAnsiTheme="majorBidi" w:cstheme="majorBidi"/>
        </w:rPr>
        <w:t>a territory”</w:t>
      </w:r>
      <w:r>
        <w:rPr>
          <w:rFonts w:asciiTheme="majorBidi" w:hAnsiTheme="majorBidi" w:cstheme="majorBidi"/>
        </w:rPr>
        <w:t xml:space="preserve"> (cite). Thus, he argues that the very societies that claim to be liberal democratic are embedded </w:t>
      </w:r>
      <w:proofErr w:type="gramStart"/>
      <w:r>
        <w:rPr>
          <w:rFonts w:asciiTheme="majorBidi" w:hAnsiTheme="majorBidi" w:cstheme="majorBidi"/>
        </w:rPr>
        <w:t xml:space="preserve">in  </w:t>
      </w:r>
      <w:r w:rsidR="00982041">
        <w:rPr>
          <w:rFonts w:asciiTheme="majorBidi" w:hAnsiTheme="majorBidi" w:cstheme="majorBidi"/>
        </w:rPr>
        <w:t>state</w:t>
      </w:r>
      <w:proofErr w:type="gramEnd"/>
      <w:r w:rsidR="00982041">
        <w:rPr>
          <w:rFonts w:asciiTheme="majorBidi" w:hAnsiTheme="majorBidi" w:cstheme="majorBidi"/>
        </w:rPr>
        <w:t xml:space="preserve"> structures that</w:t>
      </w:r>
      <w:r>
        <w:rPr>
          <w:rFonts w:asciiTheme="majorBidi" w:hAnsiTheme="majorBidi" w:cstheme="majorBidi"/>
        </w:rPr>
        <w:t xml:space="preserve"> </w:t>
      </w:r>
      <w:r w:rsidR="002E6058">
        <w:rPr>
          <w:rFonts w:asciiTheme="majorBidi" w:hAnsiTheme="majorBidi" w:cstheme="majorBidi"/>
        </w:rPr>
        <w:t>are</w:t>
      </w:r>
      <w:r>
        <w:rPr>
          <w:rFonts w:asciiTheme="majorBidi" w:hAnsiTheme="majorBidi" w:cstheme="majorBidi"/>
        </w:rPr>
        <w:t xml:space="preserve"> motivated by monopolizing material means of violence and more specifically force, as well as, producing organized domination of the population within its “territory.”</w:t>
      </w:r>
    </w:p>
    <w:p w14:paraId="60E1549E" w14:textId="2E3C1DC1" w:rsidR="001C71F6" w:rsidRDefault="001C71F6" w:rsidP="001C71F6">
      <w:pPr>
        <w:spacing w:line="480" w:lineRule="auto"/>
        <w:ind w:firstLine="720"/>
        <w:jc w:val="both"/>
        <w:rPr>
          <w:rFonts w:asciiTheme="majorBidi" w:hAnsiTheme="majorBidi" w:cstheme="majorBidi"/>
        </w:rPr>
      </w:pPr>
      <w:r>
        <w:rPr>
          <w:rFonts w:asciiTheme="majorBidi" w:hAnsiTheme="majorBidi" w:cstheme="majorBidi"/>
        </w:rPr>
        <w:t xml:space="preserve">To produce this order, Weber contends that the modern state eliminates or absorbs all the independent centers of power in the territory it dominates. This process is complementary to the economic order of modern societies, characterized by capitalist enterprises, which dominate and absorb all the smaller units of economic activity present in premodern or early modern societies. While the early efforts of domination are constituted by powerful leaders (e.g. a prince), overtime, legal rational authority and complex </w:t>
      </w:r>
      <w:r w:rsidR="002E6058">
        <w:rPr>
          <w:rFonts w:asciiTheme="majorBidi" w:hAnsiTheme="majorBidi" w:cstheme="majorBidi"/>
        </w:rPr>
        <w:t xml:space="preserve">state </w:t>
      </w:r>
      <w:r>
        <w:rPr>
          <w:rFonts w:asciiTheme="majorBidi" w:hAnsiTheme="majorBidi" w:cstheme="majorBidi"/>
        </w:rPr>
        <w:t xml:space="preserve">bureaucracies must be constituted to produce </w:t>
      </w:r>
      <w:r w:rsidRPr="00664BD6">
        <w:rPr>
          <w:rFonts w:asciiTheme="majorBidi" w:hAnsiTheme="majorBidi" w:cstheme="majorBidi"/>
          <w:i/>
          <w:iCs/>
        </w:rPr>
        <w:t>sustained domination</w:t>
      </w:r>
      <w:r>
        <w:rPr>
          <w:rFonts w:asciiTheme="majorBidi" w:hAnsiTheme="majorBidi" w:cstheme="majorBidi"/>
        </w:rPr>
        <w:t xml:space="preserve"> (cite). He defines this </w:t>
      </w:r>
      <w:r w:rsidRPr="00822319">
        <w:rPr>
          <w:rFonts w:asciiTheme="majorBidi" w:hAnsiTheme="majorBidi" w:cstheme="majorBidi"/>
          <w:i/>
          <w:iCs/>
        </w:rPr>
        <w:t>bureaucracy</w:t>
      </w:r>
      <w:r>
        <w:rPr>
          <w:rFonts w:asciiTheme="majorBidi" w:hAnsiTheme="majorBidi" w:cstheme="majorBidi"/>
        </w:rPr>
        <w:t xml:space="preserve"> as </w:t>
      </w:r>
      <w:r w:rsidRPr="00664BD6">
        <w:rPr>
          <w:rFonts w:asciiTheme="majorBidi" w:hAnsiTheme="majorBidi" w:cstheme="majorBidi"/>
        </w:rPr>
        <w:t>a hierarchically organized, rule-bound administrative system staffed by</w:t>
      </w:r>
      <w:r>
        <w:rPr>
          <w:rFonts w:asciiTheme="majorBidi" w:hAnsiTheme="majorBidi" w:cstheme="majorBidi"/>
        </w:rPr>
        <w:t xml:space="preserve"> </w:t>
      </w:r>
      <w:r w:rsidRPr="00664BD6">
        <w:rPr>
          <w:rFonts w:asciiTheme="majorBidi" w:hAnsiTheme="majorBidi" w:cstheme="majorBidi"/>
        </w:rPr>
        <w:t>experts</w:t>
      </w:r>
      <w:r>
        <w:rPr>
          <w:rFonts w:asciiTheme="majorBidi" w:hAnsiTheme="majorBidi" w:cstheme="majorBidi"/>
        </w:rPr>
        <w:t xml:space="preserve"> (cite). It is </w:t>
      </w:r>
      <w:r w:rsidR="002E6058">
        <w:rPr>
          <w:rFonts w:asciiTheme="majorBidi" w:hAnsiTheme="majorBidi" w:cstheme="majorBidi"/>
        </w:rPr>
        <w:t xml:space="preserve">with </w:t>
      </w:r>
      <w:r>
        <w:rPr>
          <w:rFonts w:asciiTheme="majorBidi" w:hAnsiTheme="majorBidi" w:cstheme="majorBidi"/>
        </w:rPr>
        <w:t xml:space="preserve">the development of this bureaucracy and its hierarchical structures that early potentialities of elite domination began, as those who can dominate the pinnacle of the bureaucracy can now also use the machinery of the state to sustain their domination—which practically does not face any powerful resistance as it has dominated all the material means of force. </w:t>
      </w:r>
    </w:p>
    <w:p w14:paraId="3F781B59" w14:textId="1B7B2FEF" w:rsidR="001C71F6" w:rsidRDefault="001C71F6" w:rsidP="00982041">
      <w:pPr>
        <w:spacing w:line="480" w:lineRule="auto"/>
        <w:ind w:firstLine="720"/>
        <w:jc w:val="both"/>
        <w:rPr>
          <w:rFonts w:asciiTheme="majorBidi" w:hAnsiTheme="majorBidi" w:cstheme="majorBidi"/>
        </w:rPr>
      </w:pPr>
      <w:r>
        <w:rPr>
          <w:rFonts w:asciiTheme="majorBidi" w:hAnsiTheme="majorBidi" w:cstheme="majorBidi"/>
        </w:rPr>
        <w:t xml:space="preserve">This development of the bureaucratic, monopolistic, and legal-rational state, also produces the </w:t>
      </w:r>
      <w:r w:rsidR="002E6058">
        <w:rPr>
          <w:rFonts w:asciiTheme="majorBidi" w:hAnsiTheme="majorBidi" w:cstheme="majorBidi"/>
        </w:rPr>
        <w:t xml:space="preserve">avenues for different political actors, including the rise of the professional politicians in modern societies. The rise of the state as the monopolistic beholder </w:t>
      </w:r>
      <w:r w:rsidR="00982041">
        <w:rPr>
          <w:rFonts w:asciiTheme="majorBidi" w:hAnsiTheme="majorBidi" w:cstheme="majorBidi"/>
        </w:rPr>
        <w:t xml:space="preserve">of force leads to the rise of different kinds of political personalities that aim to either shape or benefit from the system (cite). Two kinds of political actors emerge, which include those who live </w:t>
      </w:r>
      <w:r w:rsidR="00982041" w:rsidRPr="00982041">
        <w:rPr>
          <w:rFonts w:asciiTheme="majorBidi" w:hAnsiTheme="majorBidi" w:cstheme="majorBidi"/>
          <w:i/>
          <w:iCs/>
        </w:rPr>
        <w:t>for politics</w:t>
      </w:r>
      <w:r w:rsidR="00982041">
        <w:rPr>
          <w:rFonts w:asciiTheme="majorBidi" w:hAnsiTheme="majorBidi" w:cstheme="majorBidi"/>
        </w:rPr>
        <w:t xml:space="preserve"> or </w:t>
      </w:r>
      <w:r w:rsidR="00982041" w:rsidRPr="00982041">
        <w:rPr>
          <w:rFonts w:asciiTheme="majorBidi" w:hAnsiTheme="majorBidi" w:cstheme="majorBidi"/>
          <w:i/>
          <w:iCs/>
        </w:rPr>
        <w:t>off politics</w:t>
      </w:r>
      <w:r w:rsidR="00982041">
        <w:rPr>
          <w:rFonts w:asciiTheme="majorBidi" w:hAnsiTheme="majorBidi" w:cstheme="majorBidi"/>
        </w:rPr>
        <w:t xml:space="preserve"> (cite). The first category are people who engage in politics primarily for their passion and individual motivation </w:t>
      </w:r>
      <w:r w:rsidR="00982041">
        <w:rPr>
          <w:rFonts w:asciiTheme="majorBidi" w:hAnsiTheme="majorBidi" w:cstheme="majorBidi"/>
        </w:rPr>
        <w:lastRenderedPageBreak/>
        <w:t xml:space="preserve">(cite). The second engages in politics as a vocation, in other words, as a professional vocation under economic conditions of capitalist modernity (cite). Since everyone needs a source of income, and political activity requires time and dedication, only affluent individuals who are economically independent can become the first type of politician. Thus, while Weber does not fully emphasis, this is a class dynamic of </w:t>
      </w:r>
      <w:r w:rsidR="00230F3C">
        <w:rPr>
          <w:rFonts w:asciiTheme="majorBidi" w:hAnsiTheme="majorBidi" w:cstheme="majorBidi"/>
        </w:rPr>
        <w:t>the state. However, the existence of the second category reveals that a variety of political and economic elites can coexist, which later class-based elite theorists like Mills focus on (</w:t>
      </w:r>
      <w:r w:rsidR="00230F3C" w:rsidRPr="00230F3C">
        <w:rPr>
          <w:rFonts w:asciiTheme="majorBidi" w:hAnsiTheme="majorBidi" w:cstheme="majorBidi"/>
        </w:rPr>
        <w:t>Mills 1956</w:t>
      </w:r>
      <w:r w:rsidR="00230F3C">
        <w:rPr>
          <w:rFonts w:asciiTheme="majorBidi" w:hAnsiTheme="majorBidi" w:cstheme="majorBidi"/>
        </w:rPr>
        <w:t>)</w:t>
      </w:r>
    </w:p>
    <w:p w14:paraId="7DE60D90" w14:textId="30095F20" w:rsidR="00230F3C" w:rsidRDefault="00230F3C" w:rsidP="00982041">
      <w:pPr>
        <w:spacing w:line="480" w:lineRule="auto"/>
        <w:ind w:firstLine="720"/>
        <w:jc w:val="both"/>
        <w:rPr>
          <w:rFonts w:asciiTheme="majorBidi" w:hAnsiTheme="majorBidi" w:cstheme="majorBidi"/>
        </w:rPr>
      </w:pPr>
      <w:r>
        <w:rPr>
          <w:rFonts w:asciiTheme="majorBidi" w:hAnsiTheme="majorBidi" w:cstheme="majorBidi"/>
        </w:rPr>
        <w:t>In specific reference to modern parliamentary and electoral democracies, Weber, pays additional attention to political party leadership. He argues like large political parties, an example of which could be the Democratic or Republican, become powerhouses, are organization of power control that a group of political elites’ control (cite). This party elites are not motivated necessarily and only by ideological or moral convictions, but rather power maximization and monopolization (cite). Weber contends that sometimes skillful and charismatic leaders can rise from the bottom, but if they threaten the party</w:t>
      </w:r>
      <w:r w:rsidR="006C1B9B">
        <w:rPr>
          <w:rFonts w:asciiTheme="majorBidi" w:hAnsiTheme="majorBidi" w:cstheme="majorBidi"/>
        </w:rPr>
        <w:t xml:space="preserve"> elites’ power, they are very likely to be eliminated before they have the chance to achieve actual power (cite). </w:t>
      </w:r>
    </w:p>
    <w:p w14:paraId="293AA273" w14:textId="0CE132BC" w:rsidR="006C1B9B" w:rsidRDefault="006C1B9B" w:rsidP="00982041">
      <w:pPr>
        <w:spacing w:line="480" w:lineRule="auto"/>
        <w:ind w:firstLine="720"/>
        <w:jc w:val="both"/>
        <w:rPr>
          <w:rFonts w:asciiTheme="majorBidi" w:hAnsiTheme="majorBidi" w:cstheme="majorBidi"/>
        </w:rPr>
      </w:pPr>
      <w:r>
        <w:rPr>
          <w:rFonts w:asciiTheme="majorBidi" w:hAnsiTheme="majorBidi" w:cstheme="majorBidi"/>
        </w:rPr>
        <w:t>While Weber did not speak in pure terms of sociological inability or class-based critique, he laid the groundwork for both right-leaning elitist perspectives and left-leaning critical engagement with oligarchy to emerge.</w:t>
      </w:r>
      <w:r w:rsidR="007E687F">
        <w:rPr>
          <w:rFonts w:asciiTheme="majorBidi" w:hAnsiTheme="majorBidi" w:cstheme="majorBidi"/>
        </w:rPr>
        <w:t xml:space="preserve"> Two particularly important traditions of elite theory emerged in the two sides of the Atlantic, which I define as the following: 1) </w:t>
      </w:r>
      <w:r w:rsidR="007E687F" w:rsidRPr="007E687F">
        <w:rPr>
          <w:rFonts w:asciiTheme="majorBidi" w:hAnsiTheme="majorBidi" w:cstheme="majorBidi"/>
        </w:rPr>
        <w:t>The Italian-Elitist Critique</w:t>
      </w:r>
      <w:r w:rsidR="007E687F">
        <w:rPr>
          <w:rFonts w:asciiTheme="majorBidi" w:hAnsiTheme="majorBidi" w:cstheme="majorBidi"/>
        </w:rPr>
        <w:t xml:space="preserve">. 2) </w:t>
      </w:r>
      <w:r w:rsidR="007E687F" w:rsidRPr="007E687F">
        <w:rPr>
          <w:rFonts w:asciiTheme="majorBidi" w:hAnsiTheme="majorBidi" w:cstheme="majorBidi"/>
        </w:rPr>
        <w:t>The American-Leftist Critique</w:t>
      </w:r>
      <w:r w:rsidR="007E687F">
        <w:rPr>
          <w:rFonts w:asciiTheme="majorBidi" w:hAnsiTheme="majorBidi" w:cstheme="majorBidi"/>
        </w:rPr>
        <w:t xml:space="preserve">. </w:t>
      </w:r>
      <w:r>
        <w:rPr>
          <w:rFonts w:asciiTheme="majorBidi" w:hAnsiTheme="majorBidi" w:cstheme="majorBidi"/>
        </w:rPr>
        <w:t xml:space="preserve">The bellow subsection reviews those two theoretical tendencies and traditions. </w:t>
      </w:r>
    </w:p>
    <w:p w14:paraId="6D9537A7" w14:textId="0DBABF4B" w:rsidR="006C1B9B" w:rsidRDefault="006C1B9B" w:rsidP="006C1B9B">
      <w:pPr>
        <w:pStyle w:val="Style5"/>
      </w:pPr>
      <w:bookmarkStart w:id="12" w:name="_Toc202283725"/>
      <w:r w:rsidRPr="006C1B9B">
        <w:lastRenderedPageBreak/>
        <w:t>2.2.</w:t>
      </w:r>
      <w:r>
        <w:t>2</w:t>
      </w:r>
      <w:r w:rsidRPr="006C1B9B">
        <w:t xml:space="preserve"> </w:t>
      </w:r>
      <w:r>
        <w:t>Pareto, Micheals, and Mo</w:t>
      </w:r>
      <w:r w:rsidR="000779DC">
        <w:t>sca</w:t>
      </w:r>
      <w:r w:rsidRPr="006C1B9B">
        <w:t xml:space="preserve">: </w:t>
      </w:r>
      <w:r>
        <w:t>The Italian-Elitist Critique of Liberal Democracy</w:t>
      </w:r>
      <w:bookmarkEnd w:id="12"/>
    </w:p>
    <w:p w14:paraId="7CC3C219" w14:textId="2611F6CF" w:rsidR="006C3A0A" w:rsidRDefault="006C3A0A" w:rsidP="007E687F">
      <w:pPr>
        <w:rPr>
          <w:rFonts w:asciiTheme="majorBidi" w:hAnsiTheme="majorBidi" w:cstheme="majorBidi"/>
        </w:rPr>
      </w:pPr>
    </w:p>
    <w:p w14:paraId="1A363326" w14:textId="74F449FF" w:rsidR="006C3A0A" w:rsidRDefault="006C3A0A" w:rsidP="00EA7DB2">
      <w:pPr>
        <w:spacing w:line="480" w:lineRule="auto"/>
        <w:ind w:firstLine="720"/>
        <w:jc w:val="both"/>
        <w:rPr>
          <w:rFonts w:asciiTheme="majorBidi" w:hAnsiTheme="majorBidi" w:cstheme="majorBidi"/>
        </w:rPr>
      </w:pPr>
      <w:r>
        <w:rPr>
          <w:rFonts w:asciiTheme="majorBidi" w:hAnsiTheme="majorBidi" w:cstheme="majorBidi"/>
        </w:rPr>
        <w:t xml:space="preserve">Italian elite theorists </w:t>
      </w:r>
      <w:r w:rsidRPr="006C3A0A">
        <w:rPr>
          <w:rFonts w:asciiTheme="majorBidi" w:hAnsiTheme="majorBidi" w:cstheme="majorBidi"/>
        </w:rPr>
        <w:t>Vilfredo Pareto, Gaetano Mosca, and Robert Michels</w:t>
      </w:r>
      <w:r>
        <w:rPr>
          <w:rFonts w:asciiTheme="majorBidi" w:hAnsiTheme="majorBidi" w:cstheme="majorBidi"/>
        </w:rPr>
        <w:t xml:space="preserve"> produced penetrating critiques of liberal democracy in the late 19</w:t>
      </w:r>
      <w:r w:rsidRPr="006C3A0A">
        <w:rPr>
          <w:rFonts w:asciiTheme="majorBidi" w:hAnsiTheme="majorBidi" w:cstheme="majorBidi"/>
          <w:vertAlign w:val="superscript"/>
        </w:rPr>
        <w:t>th</w:t>
      </w:r>
      <w:r>
        <w:rPr>
          <w:rFonts w:asciiTheme="majorBidi" w:hAnsiTheme="majorBidi" w:cstheme="majorBidi"/>
        </w:rPr>
        <w:t xml:space="preserve"> and early 20</w:t>
      </w:r>
      <w:r w:rsidRPr="006C3A0A">
        <w:rPr>
          <w:rFonts w:asciiTheme="majorBidi" w:hAnsiTheme="majorBidi" w:cstheme="majorBidi"/>
          <w:vertAlign w:val="superscript"/>
        </w:rPr>
        <w:t>th</w:t>
      </w:r>
      <w:r>
        <w:rPr>
          <w:rFonts w:asciiTheme="majorBidi" w:hAnsiTheme="majorBidi" w:cstheme="majorBidi"/>
        </w:rPr>
        <w:t xml:space="preserve"> century. Instead of critiquing liberal democracy from an external vantage point, this right-leaning intellectuals critiqued democracy on its own terms and marketed ideals. The positionality of the thinker as coming </w:t>
      </w:r>
      <w:r w:rsidR="00C37C00">
        <w:rPr>
          <w:rFonts w:asciiTheme="majorBidi" w:hAnsiTheme="majorBidi" w:cstheme="majorBidi"/>
        </w:rPr>
        <w:t>from</w:t>
      </w:r>
      <w:r>
        <w:rPr>
          <w:rFonts w:asciiTheme="majorBidi" w:hAnsiTheme="majorBidi" w:cstheme="majorBidi"/>
        </w:rPr>
        <w:t xml:space="preserve"> the liberal tradition (for Pareto and Mosca) and disillusioned socialism had a profound impact on the three thinkers (cite). They </w:t>
      </w:r>
      <w:r w:rsidR="00C37C00">
        <w:rPr>
          <w:rFonts w:asciiTheme="majorBidi" w:hAnsiTheme="majorBidi" w:cstheme="majorBidi"/>
        </w:rPr>
        <w:t>systematically</w:t>
      </w:r>
      <w:r>
        <w:rPr>
          <w:rFonts w:asciiTheme="majorBidi" w:hAnsiTheme="majorBidi" w:cstheme="majorBidi"/>
        </w:rPr>
        <w:t xml:space="preserve"> criticized the emerging Italian parliamentary institutions and the very principle </w:t>
      </w:r>
      <w:r w:rsidR="00C37C00">
        <w:rPr>
          <w:rFonts w:asciiTheme="majorBidi" w:hAnsiTheme="majorBidi" w:cstheme="majorBidi"/>
        </w:rPr>
        <w:t xml:space="preserve">of popular sovereignty as they that “there is always a minority that governs a majority” (cite). </w:t>
      </w:r>
    </w:p>
    <w:p w14:paraId="27716BE3" w14:textId="5A37D70E" w:rsidR="006C1B9B" w:rsidRDefault="00C37C00" w:rsidP="00EA7DB2">
      <w:pPr>
        <w:spacing w:line="480" w:lineRule="auto"/>
        <w:ind w:firstLine="720"/>
        <w:jc w:val="both"/>
        <w:rPr>
          <w:rFonts w:asciiTheme="majorBidi" w:hAnsiTheme="majorBidi" w:cstheme="majorBidi"/>
        </w:rPr>
      </w:pPr>
      <w:r>
        <w:rPr>
          <w:rFonts w:asciiTheme="majorBidi" w:hAnsiTheme="majorBidi" w:cstheme="majorBidi"/>
        </w:rPr>
        <w:t xml:space="preserve">While they agreed in the critique developed earlier, they developed distinctive sociological concept to explain why liberal democracy fails on its own terms and suggested different remedies to the system. To begin with pareto, he believed that the democratic ideals of equality and popular sovereignty were </w:t>
      </w:r>
      <w:r w:rsidR="0062540E">
        <w:rPr>
          <w:rFonts w:asciiTheme="majorBidi" w:hAnsiTheme="majorBidi" w:cstheme="majorBidi"/>
        </w:rPr>
        <w:t>“derivations,” as he defined it, that were meant to mask the truth that elite have (and will) always governed (cite). Unlike Weber, Pareto deviated from structural explanations and focused on psychological traits (cite). For example, he argued that elites possess intellectual “</w:t>
      </w:r>
      <w:r w:rsidR="0062540E" w:rsidRPr="0062540E">
        <w:rPr>
          <w:rFonts w:asciiTheme="majorBidi" w:hAnsiTheme="majorBidi" w:cstheme="majorBidi"/>
        </w:rPr>
        <w:t>instincts of combination”</w:t>
      </w:r>
      <w:r w:rsidR="0062540E">
        <w:rPr>
          <w:rFonts w:asciiTheme="majorBidi" w:hAnsiTheme="majorBidi" w:cstheme="majorBidi"/>
        </w:rPr>
        <w:t xml:space="preserve"> like innovation and cunning, which he defined as </w:t>
      </w:r>
      <w:r w:rsidR="0062540E" w:rsidRPr="0062540E">
        <w:rPr>
          <w:rFonts w:asciiTheme="majorBidi" w:hAnsiTheme="majorBidi" w:cstheme="majorBidi"/>
        </w:rPr>
        <w:t>first-class residues</w:t>
      </w:r>
      <w:r w:rsidR="0062540E">
        <w:rPr>
          <w:rFonts w:asciiTheme="majorBidi" w:hAnsiTheme="majorBidi" w:cstheme="majorBidi"/>
        </w:rPr>
        <w:t xml:space="preserve"> (cite). On the contrary, the masses were characterized by passive and traditionalist traits, which he termed as second class residues (cite). Put simply, he believed that the temperament and abilities of the elites were the basis for their domination. </w:t>
      </w:r>
    </w:p>
    <w:p w14:paraId="498123E3" w14:textId="77777777" w:rsidR="00832135" w:rsidRDefault="0062540E" w:rsidP="00EA7DB2">
      <w:pPr>
        <w:spacing w:line="480" w:lineRule="auto"/>
        <w:ind w:firstLine="720"/>
        <w:jc w:val="both"/>
        <w:rPr>
          <w:rFonts w:asciiTheme="majorBidi" w:hAnsiTheme="majorBidi" w:cstheme="majorBidi"/>
        </w:rPr>
      </w:pPr>
      <w:r>
        <w:rPr>
          <w:rFonts w:asciiTheme="majorBidi" w:hAnsiTheme="majorBidi" w:cstheme="majorBidi"/>
        </w:rPr>
        <w:t xml:space="preserve">While Puerto criticized the liberal values for masking </w:t>
      </w:r>
      <w:r w:rsidR="00896415">
        <w:rPr>
          <w:rFonts w:asciiTheme="majorBidi" w:hAnsiTheme="majorBidi" w:cstheme="majorBidi"/>
        </w:rPr>
        <w:t xml:space="preserve">such a dismal reality of elite domination, he is not outright against liberal democracy. Pareto did support the earlier development of fascism in Italy but reversed his stance </w:t>
      </w:r>
      <w:proofErr w:type="gramStart"/>
      <w:r w:rsidR="00896415">
        <w:rPr>
          <w:rFonts w:asciiTheme="majorBidi" w:hAnsiTheme="majorBidi" w:cstheme="majorBidi"/>
        </w:rPr>
        <w:t>later on</w:t>
      </w:r>
      <w:proofErr w:type="gramEnd"/>
      <w:r w:rsidR="00896415">
        <w:rPr>
          <w:rFonts w:asciiTheme="majorBidi" w:hAnsiTheme="majorBidi" w:cstheme="majorBidi"/>
        </w:rPr>
        <w:t xml:space="preserve"> and called for more reformist </w:t>
      </w:r>
      <w:r w:rsidR="00896415">
        <w:rPr>
          <w:rFonts w:asciiTheme="majorBidi" w:hAnsiTheme="majorBidi" w:cstheme="majorBidi"/>
        </w:rPr>
        <w:lastRenderedPageBreak/>
        <w:t xml:space="preserve">approaches (cite). While he was elitest in his observations, he was deeply concerned with what kinds of elites dominated society. He believed competence and not power should define elite-mass dichotomy—which was potentially informed by his earlier economic observation such as </w:t>
      </w:r>
      <w:r w:rsidR="00896415" w:rsidRPr="00896415">
        <w:rPr>
          <w:rFonts w:asciiTheme="majorBidi" w:hAnsiTheme="majorBidi" w:cstheme="majorBidi"/>
          <w:i/>
          <w:iCs/>
        </w:rPr>
        <w:t>Pareto Distribution</w:t>
      </w:r>
      <w:r w:rsidR="00896415">
        <w:rPr>
          <w:rFonts w:asciiTheme="majorBidi" w:hAnsiTheme="majorBidi" w:cstheme="majorBidi"/>
        </w:rPr>
        <w:t xml:space="preserve"> models. </w:t>
      </w:r>
    </w:p>
    <w:p w14:paraId="0EAF3D13" w14:textId="77777777" w:rsidR="00BD1C7F" w:rsidRDefault="00832135" w:rsidP="00EA7DB2">
      <w:pPr>
        <w:spacing w:line="480" w:lineRule="auto"/>
        <w:ind w:firstLine="720"/>
        <w:jc w:val="both"/>
        <w:rPr>
          <w:rFonts w:asciiTheme="majorBidi" w:hAnsiTheme="majorBidi" w:cstheme="majorBidi"/>
        </w:rPr>
      </w:pPr>
      <w:proofErr w:type="gramStart"/>
      <w:r>
        <w:rPr>
          <w:rFonts w:asciiTheme="majorBidi" w:hAnsiTheme="majorBidi" w:cstheme="majorBidi"/>
        </w:rPr>
        <w:t>Similar to</w:t>
      </w:r>
      <w:proofErr w:type="gramEnd"/>
      <w:r>
        <w:rPr>
          <w:rFonts w:asciiTheme="majorBidi" w:hAnsiTheme="majorBidi" w:cstheme="majorBidi"/>
        </w:rPr>
        <w:t xml:space="preserve"> Pareto, Mosca argued that no modern national society was governed by the masses of the people. He instead argued that the ruling elites, or as he specifically defined as the “political class” (</w:t>
      </w:r>
      <w:proofErr w:type="spellStart"/>
      <w:r>
        <w:rPr>
          <w:rFonts w:asciiTheme="majorBidi" w:hAnsiTheme="majorBidi" w:cstheme="majorBidi"/>
        </w:rPr>
        <w:t>classe</w:t>
      </w:r>
      <w:proofErr w:type="spellEnd"/>
      <w:r>
        <w:rPr>
          <w:rFonts w:asciiTheme="majorBidi" w:hAnsiTheme="majorBidi" w:cstheme="majorBidi"/>
        </w:rPr>
        <w:t xml:space="preserve"> </w:t>
      </w:r>
      <w:proofErr w:type="spellStart"/>
      <w:r w:rsidRPr="00832135">
        <w:rPr>
          <w:rFonts w:asciiTheme="majorBidi" w:hAnsiTheme="majorBidi" w:cstheme="majorBidi"/>
        </w:rPr>
        <w:t>dirigente</w:t>
      </w:r>
      <w:proofErr w:type="spellEnd"/>
      <w:r w:rsidRPr="00832135">
        <w:rPr>
          <w:rFonts w:asciiTheme="majorBidi" w:hAnsiTheme="majorBidi" w:cstheme="majorBidi"/>
        </w:rPr>
        <w:t>)</w:t>
      </w:r>
      <w:r>
        <w:rPr>
          <w:rFonts w:asciiTheme="majorBidi" w:hAnsiTheme="majorBidi" w:cstheme="majorBidi"/>
        </w:rPr>
        <w:t xml:space="preserve"> would always prevail (cite). More importantly, he directly </w:t>
      </w:r>
      <w:r w:rsidR="00BD1C7F">
        <w:rPr>
          <w:rFonts w:asciiTheme="majorBidi" w:hAnsiTheme="majorBidi" w:cstheme="majorBidi"/>
        </w:rPr>
        <w:t>challenges</w:t>
      </w:r>
      <w:r>
        <w:rPr>
          <w:rFonts w:asciiTheme="majorBidi" w:hAnsiTheme="majorBidi" w:cstheme="majorBidi"/>
        </w:rPr>
        <w:t xml:space="preserve"> the concept of popular sovereignty, as he considered it to be </w:t>
      </w:r>
      <w:r w:rsidRPr="00BD1C7F">
        <w:rPr>
          <w:rFonts w:asciiTheme="majorBidi" w:hAnsiTheme="majorBidi" w:cstheme="majorBidi"/>
          <w:i/>
          <w:iCs/>
        </w:rPr>
        <w:t xml:space="preserve">a </w:t>
      </w:r>
      <w:r w:rsidR="00BD1C7F" w:rsidRPr="00BD1C7F">
        <w:rPr>
          <w:rFonts w:asciiTheme="majorBidi" w:hAnsiTheme="majorBidi" w:cstheme="majorBidi"/>
          <w:i/>
          <w:iCs/>
        </w:rPr>
        <w:t>political formula</w:t>
      </w:r>
      <w:r w:rsidR="00BD1C7F">
        <w:rPr>
          <w:rFonts w:asciiTheme="majorBidi" w:hAnsiTheme="majorBidi" w:cstheme="majorBidi"/>
          <w:i/>
          <w:iCs/>
        </w:rPr>
        <w:t xml:space="preserve"> (cite). </w:t>
      </w:r>
      <w:r w:rsidR="00BD1C7F" w:rsidRPr="00BD1C7F">
        <w:rPr>
          <w:rFonts w:asciiTheme="majorBidi" w:hAnsiTheme="majorBidi" w:cstheme="majorBidi"/>
          <w:i/>
          <w:iCs/>
        </w:rPr>
        <w:t>A political formula</w:t>
      </w:r>
      <w:r w:rsidR="00BD1C7F">
        <w:rPr>
          <w:rFonts w:asciiTheme="majorBidi" w:hAnsiTheme="majorBidi" w:cstheme="majorBidi"/>
        </w:rPr>
        <w:t xml:space="preserve"> in his view was a set of principles or myths that any ruling minority would use to provide intellectual and moral justification for their rule. In liberal democracy, this myth is </w:t>
      </w:r>
      <w:r w:rsidR="00BD1C7F" w:rsidRPr="00BD1C7F">
        <w:rPr>
          <w:rFonts w:asciiTheme="majorBidi" w:hAnsiTheme="majorBidi" w:cstheme="majorBidi"/>
        </w:rPr>
        <w:t xml:space="preserve">“liberty, equality, fraternity” or </w:t>
      </w:r>
      <w:r w:rsidR="00BD1C7F">
        <w:rPr>
          <w:rFonts w:asciiTheme="majorBidi" w:hAnsiTheme="majorBidi" w:cstheme="majorBidi"/>
        </w:rPr>
        <w:t>the principle of popular sovereignty.</w:t>
      </w:r>
    </w:p>
    <w:p w14:paraId="165E3BD7" w14:textId="1AD5C0B1" w:rsidR="00302E77" w:rsidRPr="00BD1C7F" w:rsidRDefault="00BD1C7F" w:rsidP="00EA7DB2">
      <w:pPr>
        <w:spacing w:line="480" w:lineRule="auto"/>
        <w:ind w:firstLine="720"/>
        <w:jc w:val="both"/>
        <w:rPr>
          <w:rFonts w:asciiTheme="majorBidi" w:hAnsiTheme="majorBidi" w:cstheme="majorBidi"/>
        </w:rPr>
      </w:pPr>
      <w:r>
        <w:rPr>
          <w:rFonts w:asciiTheme="majorBidi" w:hAnsiTheme="majorBidi" w:cstheme="majorBidi"/>
        </w:rPr>
        <w:t xml:space="preserve">Mosca believed that the elite rule not because of their psychology, but rather, due to their organizational capacity against the disorganized and fragmented masses. He contended that the political class are more organized and politically </w:t>
      </w:r>
      <w:r w:rsidR="00302E77">
        <w:rPr>
          <w:rFonts w:asciiTheme="majorBidi" w:hAnsiTheme="majorBidi" w:cstheme="majorBidi"/>
        </w:rPr>
        <w:t>savvy</w:t>
      </w:r>
      <w:r>
        <w:rPr>
          <w:rFonts w:asciiTheme="majorBidi" w:hAnsiTheme="majorBidi" w:cstheme="majorBidi"/>
        </w:rPr>
        <w:t xml:space="preserve"> in comparison to the masses (cite). A more specific element that </w:t>
      </w:r>
      <w:proofErr w:type="gramStart"/>
      <w:r>
        <w:rPr>
          <w:rFonts w:asciiTheme="majorBidi" w:hAnsiTheme="majorBidi" w:cstheme="majorBidi"/>
        </w:rPr>
        <w:t>has to</w:t>
      </w:r>
      <w:proofErr w:type="gramEnd"/>
      <w:r>
        <w:rPr>
          <w:rFonts w:asciiTheme="majorBidi" w:hAnsiTheme="majorBidi" w:cstheme="majorBidi"/>
        </w:rPr>
        <w:t xml:space="preserve"> be mentioned is that he theorized that both </w:t>
      </w:r>
      <w:r w:rsidR="00302E77">
        <w:rPr>
          <w:rFonts w:asciiTheme="majorBidi" w:hAnsiTheme="majorBidi" w:cstheme="majorBidi"/>
        </w:rPr>
        <w:t xml:space="preserve">non-governing elites (influential figures in society: e.g. economic elites) and governing elite (direct political power) exist in society. </w:t>
      </w:r>
      <w:r w:rsidR="00302E77">
        <w:rPr>
          <w:rStyle w:val="FootnoteReference"/>
          <w:rFonts w:asciiTheme="majorBidi" w:hAnsiTheme="majorBidi" w:cstheme="majorBidi"/>
        </w:rPr>
        <w:footnoteReference w:id="4"/>
      </w:r>
      <w:r w:rsidR="00302E77">
        <w:rPr>
          <w:rFonts w:asciiTheme="majorBidi" w:hAnsiTheme="majorBidi" w:cstheme="majorBidi"/>
        </w:rPr>
        <w:t xml:space="preserve"> More importantly, it must be acknowledged that Mosca pushed such conceptions of power not to support the elites, but to produce clarity on how to deal with such dismal nature of human modern society productively and realistically. He rejected fascism in Italy and </w:t>
      </w:r>
      <w:proofErr w:type="gramStart"/>
      <w:r w:rsidR="00302E77">
        <w:rPr>
          <w:rFonts w:asciiTheme="majorBidi" w:hAnsiTheme="majorBidi" w:cstheme="majorBidi"/>
        </w:rPr>
        <w:t>later on</w:t>
      </w:r>
      <w:proofErr w:type="gramEnd"/>
      <w:r w:rsidR="00302E77">
        <w:rPr>
          <w:rFonts w:asciiTheme="majorBidi" w:hAnsiTheme="majorBidi" w:cstheme="majorBidi"/>
        </w:rPr>
        <w:t xml:space="preserve"> came in terms with liberal democracy, as he believed that representative democracy was the most viable option against prevailing alternatives. </w:t>
      </w:r>
    </w:p>
    <w:p w14:paraId="425DB586" w14:textId="26EBF2C2" w:rsidR="00832135" w:rsidRDefault="00D901A6" w:rsidP="00EA7DB2">
      <w:pPr>
        <w:spacing w:line="480" w:lineRule="auto"/>
        <w:ind w:firstLine="720"/>
        <w:jc w:val="both"/>
        <w:rPr>
          <w:rFonts w:asciiTheme="majorBidi" w:hAnsiTheme="majorBidi" w:cstheme="majorBidi"/>
        </w:rPr>
      </w:pPr>
      <w:proofErr w:type="gramStart"/>
      <w:r>
        <w:rPr>
          <w:rFonts w:asciiTheme="majorBidi" w:hAnsiTheme="majorBidi" w:cstheme="majorBidi"/>
        </w:rPr>
        <w:lastRenderedPageBreak/>
        <w:t>Similar to</w:t>
      </w:r>
      <w:proofErr w:type="gramEnd"/>
      <w:r>
        <w:rPr>
          <w:rFonts w:asciiTheme="majorBidi" w:hAnsiTheme="majorBidi" w:cstheme="majorBidi"/>
        </w:rPr>
        <w:t xml:space="preserve"> Mosca, </w:t>
      </w:r>
      <w:r w:rsidRPr="00D901A6">
        <w:rPr>
          <w:rFonts w:asciiTheme="majorBidi" w:hAnsiTheme="majorBidi" w:cstheme="majorBidi"/>
        </w:rPr>
        <w:t>Robert Michels</w:t>
      </w:r>
      <w:r>
        <w:rPr>
          <w:rFonts w:asciiTheme="majorBidi" w:hAnsiTheme="majorBidi" w:cstheme="majorBidi"/>
        </w:rPr>
        <w:t xml:space="preserve"> focused on the institutional and organizational factors to explain why elites and oligarchs prevail in society. In his book </w:t>
      </w:r>
      <w:r w:rsidRPr="00D901A6">
        <w:rPr>
          <w:rFonts w:asciiTheme="majorBidi" w:hAnsiTheme="majorBidi" w:cstheme="majorBidi"/>
          <w:i/>
          <w:iCs/>
        </w:rPr>
        <w:t>Political Parties: Iron of Oligarch</w:t>
      </w:r>
      <w:r>
        <w:rPr>
          <w:rFonts w:asciiTheme="majorBidi" w:hAnsiTheme="majorBidi" w:cstheme="majorBidi"/>
          <w:i/>
          <w:iCs/>
        </w:rPr>
        <w:t xml:space="preserve">, </w:t>
      </w:r>
      <w:r w:rsidRPr="00D901A6">
        <w:rPr>
          <w:rFonts w:asciiTheme="majorBidi" w:hAnsiTheme="majorBidi" w:cstheme="majorBidi"/>
          <w:b/>
          <w:bCs/>
          <w:i/>
          <w:iCs/>
        </w:rPr>
        <w:t>Micheles</w:t>
      </w:r>
      <w:r>
        <w:rPr>
          <w:rFonts w:asciiTheme="majorBidi" w:hAnsiTheme="majorBidi" w:cstheme="majorBidi"/>
          <w:i/>
          <w:iCs/>
        </w:rPr>
        <w:t xml:space="preserve"> argued that</w:t>
      </w:r>
      <w:r>
        <w:rPr>
          <w:rFonts w:asciiTheme="majorBidi" w:hAnsiTheme="majorBidi" w:cstheme="majorBidi"/>
        </w:rPr>
        <w:t xml:space="preserve">, </w:t>
      </w:r>
      <w:r w:rsidRPr="00D901A6">
        <w:rPr>
          <w:rFonts w:asciiTheme="majorBidi" w:hAnsiTheme="majorBidi" w:cstheme="majorBidi"/>
        </w:rPr>
        <w:t>even</w:t>
      </w:r>
      <w:r>
        <w:rPr>
          <w:rFonts w:asciiTheme="majorBidi" w:hAnsiTheme="majorBidi" w:cstheme="majorBidi"/>
        </w:rPr>
        <w:t xml:space="preserve"> in </w:t>
      </w:r>
      <w:r w:rsidRPr="00D901A6">
        <w:rPr>
          <w:rFonts w:asciiTheme="majorBidi" w:hAnsiTheme="majorBidi" w:cstheme="majorBidi"/>
        </w:rPr>
        <w:t>democracies, the technical and tactical necessities lead organizations</w:t>
      </w:r>
      <w:r>
        <w:rPr>
          <w:rFonts w:asciiTheme="majorBidi" w:hAnsiTheme="majorBidi" w:cstheme="majorBidi"/>
        </w:rPr>
        <w:t xml:space="preserve"> </w:t>
      </w:r>
      <w:r w:rsidRPr="00D901A6">
        <w:rPr>
          <w:rFonts w:asciiTheme="majorBidi" w:hAnsiTheme="majorBidi" w:cstheme="majorBidi"/>
        </w:rPr>
        <w:t>to become oligarchic.</w:t>
      </w:r>
      <w:r>
        <w:rPr>
          <w:rFonts w:asciiTheme="majorBidi" w:hAnsiTheme="majorBidi" w:cstheme="majorBidi"/>
        </w:rPr>
        <w:t xml:space="preserve"> Whether it be a large political party or a labor union, once a political organization grows, the need to bureaucratize</w:t>
      </w:r>
      <w:r w:rsidR="00DB57DF">
        <w:rPr>
          <w:rFonts w:asciiTheme="majorBidi" w:hAnsiTheme="majorBidi" w:cstheme="majorBidi"/>
        </w:rPr>
        <w:t>,</w:t>
      </w:r>
      <w:r>
        <w:rPr>
          <w:rFonts w:asciiTheme="majorBidi" w:hAnsiTheme="majorBidi" w:cstheme="majorBidi"/>
        </w:rPr>
        <w:t xml:space="preserve"> produces hierarchy and power structures, which ultimately lead to oligarchy</w:t>
      </w:r>
      <w:r w:rsidR="00DB57DF">
        <w:rPr>
          <w:rFonts w:asciiTheme="majorBidi" w:hAnsiTheme="majorBidi" w:cstheme="majorBidi"/>
        </w:rPr>
        <w:t xml:space="preserve"> (cite</w:t>
      </w:r>
      <w:r>
        <w:rPr>
          <w:rFonts w:asciiTheme="majorBidi" w:hAnsiTheme="majorBidi" w:cstheme="majorBidi"/>
        </w:rPr>
        <w:t xml:space="preserve">. His theory is important to understand </w:t>
      </w:r>
      <w:r w:rsidR="00DB57DF">
        <w:rPr>
          <w:rFonts w:asciiTheme="majorBidi" w:hAnsiTheme="majorBidi" w:cstheme="majorBidi"/>
        </w:rPr>
        <w:t xml:space="preserve">way the very progressive movements, that claim to be against power hierarchies, can be co-opted in the service of power. Unlike Pareto and Mosca, Michel’s dismal view of power grounded in sociological inevitability, led him to fully support fascism. </w:t>
      </w:r>
    </w:p>
    <w:p w14:paraId="2D352349" w14:textId="52729156" w:rsidR="00832135" w:rsidRDefault="00DB57DF" w:rsidP="000C1B97">
      <w:pPr>
        <w:spacing w:line="480" w:lineRule="auto"/>
        <w:ind w:firstLine="720"/>
        <w:jc w:val="both"/>
        <w:rPr>
          <w:rFonts w:asciiTheme="majorBidi" w:hAnsiTheme="majorBidi" w:cstheme="majorBidi"/>
        </w:rPr>
      </w:pPr>
      <w:r w:rsidRPr="00DB57DF">
        <w:rPr>
          <w:rFonts w:asciiTheme="majorBidi" w:hAnsiTheme="majorBidi" w:cstheme="majorBidi"/>
        </w:rPr>
        <w:t xml:space="preserve">While the Austrian American political economist, Joseph A. Schumpeter, could be categorized among the elite theorists above, additional attention must be given to the productiveness and dynamism of his elite theory. For Schumpeter, existing democratic systems are not subverted by elite-mass dichotomy, but rather shaped by the dynamic competition between different political elites to produce popular volition (Schumpeter 250-255). In other words, while Schumpeter is critical of the way the "Classical Doctrine of Democracy" conceals these power dynamics, he also acknowledges the efficiency—and maybe the productivity—of elite competition and what he refers to as the democratic method under the right conditions (271). </w:t>
      </w:r>
      <w:r>
        <w:rPr>
          <w:rFonts w:asciiTheme="majorBidi" w:hAnsiTheme="majorBidi" w:cstheme="majorBidi"/>
        </w:rPr>
        <w:t xml:space="preserve">Pareto did share similar </w:t>
      </w:r>
      <w:proofErr w:type="gramStart"/>
      <w:r>
        <w:rPr>
          <w:rFonts w:asciiTheme="majorBidi" w:hAnsiTheme="majorBidi" w:cstheme="majorBidi"/>
        </w:rPr>
        <w:t>views,</w:t>
      </w:r>
      <w:proofErr w:type="gramEnd"/>
      <w:r>
        <w:rPr>
          <w:rFonts w:asciiTheme="majorBidi" w:hAnsiTheme="majorBidi" w:cstheme="majorBidi"/>
        </w:rPr>
        <w:t xml:space="preserve"> his theory was more extreme in terms of his perception of elite-mass dichotomy. </w:t>
      </w:r>
    </w:p>
    <w:p w14:paraId="46922CA0" w14:textId="77777777" w:rsidR="000C1B97" w:rsidRDefault="000C1B97" w:rsidP="000C1B97">
      <w:pPr>
        <w:spacing w:line="480" w:lineRule="auto"/>
        <w:ind w:firstLine="720"/>
        <w:jc w:val="both"/>
        <w:rPr>
          <w:rFonts w:asciiTheme="majorBidi" w:hAnsiTheme="majorBidi" w:cstheme="majorBidi"/>
        </w:rPr>
      </w:pPr>
    </w:p>
    <w:p w14:paraId="77813DA1" w14:textId="1C16ECBF" w:rsidR="006C1B9B" w:rsidRDefault="006C1B9B" w:rsidP="00896415">
      <w:pPr>
        <w:pStyle w:val="Style5"/>
      </w:pPr>
      <w:bookmarkStart w:id="13" w:name="_Toc202283726"/>
      <w:r w:rsidRPr="006C1B9B">
        <w:t>2.2.</w:t>
      </w:r>
      <w:r>
        <w:t>3</w:t>
      </w:r>
      <w:r w:rsidRPr="006C1B9B">
        <w:t xml:space="preserve"> </w:t>
      </w:r>
      <w:r>
        <w:t>Mills and Domhoff</w:t>
      </w:r>
      <w:r w:rsidRPr="006C1B9B">
        <w:t xml:space="preserve">: </w:t>
      </w:r>
      <w:r>
        <w:t>The American-</w:t>
      </w:r>
      <w:r w:rsidR="007E687F">
        <w:t>Leftist</w:t>
      </w:r>
      <w:r>
        <w:t xml:space="preserve"> Critique of </w:t>
      </w:r>
      <w:r w:rsidR="007E687F">
        <w:t>Oligarchy</w:t>
      </w:r>
      <w:bookmarkEnd w:id="13"/>
    </w:p>
    <w:p w14:paraId="361A393C" w14:textId="50B7EA72" w:rsidR="001C71F6" w:rsidRPr="00872805" w:rsidRDefault="001C71F6" w:rsidP="001C71F6">
      <w:pPr>
        <w:spacing w:line="480" w:lineRule="auto"/>
        <w:ind w:firstLine="720"/>
        <w:jc w:val="both"/>
        <w:rPr>
          <w:rFonts w:asciiTheme="majorBidi" w:hAnsiTheme="majorBidi" w:cstheme="majorBidi"/>
        </w:rPr>
      </w:pPr>
      <w:r>
        <w:rPr>
          <w:rFonts w:asciiTheme="majorBidi" w:hAnsiTheme="majorBidi" w:cstheme="majorBidi"/>
        </w:rPr>
        <w:t>Contemporary American</w:t>
      </w:r>
      <w:r w:rsidR="00DB57DF">
        <w:rPr>
          <w:rFonts w:asciiTheme="majorBidi" w:hAnsiTheme="majorBidi" w:cstheme="majorBidi"/>
        </w:rPr>
        <w:t xml:space="preserve"> left-leaning</w:t>
      </w:r>
      <w:r>
        <w:rPr>
          <w:rFonts w:asciiTheme="majorBidi" w:hAnsiTheme="majorBidi" w:cstheme="majorBidi"/>
        </w:rPr>
        <w:t xml:space="preserve"> sociologists, like Mills and Domhoff,</w:t>
      </w:r>
      <w:r w:rsidRPr="00872805">
        <w:rPr>
          <w:rFonts w:asciiTheme="majorBidi" w:hAnsiTheme="majorBidi" w:cstheme="majorBidi"/>
        </w:rPr>
        <w:t xml:space="preserve"> </w:t>
      </w:r>
      <w:r>
        <w:rPr>
          <w:rFonts w:asciiTheme="majorBidi" w:hAnsiTheme="majorBidi" w:cstheme="majorBidi"/>
        </w:rPr>
        <w:t>focus on</w:t>
      </w:r>
      <w:r w:rsidRPr="00872805">
        <w:rPr>
          <w:rFonts w:asciiTheme="majorBidi" w:hAnsiTheme="majorBidi" w:cstheme="majorBidi"/>
        </w:rPr>
        <w:t xml:space="preserve"> </w:t>
      </w:r>
      <w:r>
        <w:rPr>
          <w:rFonts w:asciiTheme="majorBidi" w:hAnsiTheme="majorBidi" w:cstheme="majorBidi"/>
        </w:rPr>
        <w:t xml:space="preserve">how </w:t>
      </w:r>
      <w:r w:rsidRPr="00872805">
        <w:rPr>
          <w:rFonts w:asciiTheme="majorBidi" w:hAnsiTheme="majorBidi" w:cstheme="majorBidi"/>
        </w:rPr>
        <w:t>network</w:t>
      </w:r>
      <w:r>
        <w:rPr>
          <w:rFonts w:asciiTheme="majorBidi" w:hAnsiTheme="majorBidi" w:cstheme="majorBidi"/>
        </w:rPr>
        <w:t>s</w:t>
      </w:r>
      <w:r w:rsidRPr="00872805">
        <w:rPr>
          <w:rFonts w:asciiTheme="majorBidi" w:hAnsiTheme="majorBidi" w:cstheme="majorBidi"/>
        </w:rPr>
        <w:t xml:space="preserve"> of elite</w:t>
      </w:r>
      <w:r>
        <w:rPr>
          <w:rFonts w:asciiTheme="majorBidi" w:hAnsiTheme="majorBidi" w:cstheme="majorBidi"/>
        </w:rPr>
        <w:t>s</w:t>
      </w:r>
      <w:r w:rsidRPr="00872805">
        <w:rPr>
          <w:rFonts w:asciiTheme="majorBidi" w:hAnsiTheme="majorBidi" w:cstheme="majorBidi"/>
        </w:rPr>
        <w:t xml:space="preserve"> control</w:t>
      </w:r>
      <w:r>
        <w:rPr>
          <w:rFonts w:asciiTheme="majorBidi" w:hAnsiTheme="majorBidi" w:cstheme="majorBidi"/>
        </w:rPr>
        <w:t xml:space="preserve"> </w:t>
      </w:r>
      <w:r w:rsidRPr="00872805">
        <w:rPr>
          <w:rFonts w:asciiTheme="majorBidi" w:hAnsiTheme="majorBidi" w:cstheme="majorBidi"/>
        </w:rPr>
        <w:t xml:space="preserve">the major institutions of society, rendering the pluralistic conception of power in modern liberal societies ineffective. While Mills focuses on the military, political, and </w:t>
      </w:r>
      <w:r w:rsidRPr="00872805">
        <w:rPr>
          <w:rFonts w:asciiTheme="majorBidi" w:hAnsiTheme="majorBidi" w:cstheme="majorBidi"/>
        </w:rPr>
        <w:lastRenderedPageBreak/>
        <w:t>economic institutions, D</w:t>
      </w:r>
      <w:r>
        <w:rPr>
          <w:rFonts w:asciiTheme="majorBidi" w:hAnsiTheme="majorBidi" w:cstheme="majorBidi"/>
        </w:rPr>
        <w:t>o</w:t>
      </w:r>
      <w:r w:rsidRPr="00872805">
        <w:rPr>
          <w:rFonts w:asciiTheme="majorBidi" w:hAnsiTheme="majorBidi" w:cstheme="majorBidi"/>
        </w:rPr>
        <w:t>mhoff is more interested in the economic institutions and elites who have dominated the rest</w:t>
      </w:r>
      <w:r>
        <w:rPr>
          <w:rFonts w:asciiTheme="majorBidi" w:hAnsiTheme="majorBidi" w:cstheme="majorBidi"/>
        </w:rPr>
        <w:t xml:space="preserve"> </w:t>
      </w:r>
      <w:r w:rsidRPr="00FE74DA">
        <w:rPr>
          <w:rFonts w:asciiTheme="majorBidi" w:hAnsiTheme="majorBidi" w:cstheme="majorBidi"/>
        </w:rPr>
        <w:t>(</w:t>
      </w:r>
      <w:r w:rsidRPr="00407FA9">
        <w:rPr>
          <w:rFonts w:asciiTheme="majorBidi" w:hAnsiTheme="majorBidi" w:cstheme="majorBidi"/>
        </w:rPr>
        <w:t>Domhoff</w:t>
      </w:r>
      <w:r>
        <w:rPr>
          <w:rFonts w:asciiTheme="majorBidi" w:hAnsiTheme="majorBidi" w:cstheme="majorBidi"/>
        </w:rPr>
        <w:t xml:space="preserve"> </w:t>
      </w:r>
      <w:r w:rsidRPr="00407FA9">
        <w:rPr>
          <w:rFonts w:asciiTheme="majorBidi" w:hAnsiTheme="majorBidi" w:cstheme="majorBidi"/>
        </w:rPr>
        <w:t>2013</w:t>
      </w:r>
      <w:r w:rsidRPr="00FE74DA">
        <w:rPr>
          <w:rFonts w:asciiTheme="majorBidi" w:hAnsiTheme="majorBidi" w:cstheme="majorBidi"/>
        </w:rPr>
        <w:t>:128</w:t>
      </w:r>
      <w:r>
        <w:rPr>
          <w:rFonts w:asciiTheme="majorBidi" w:hAnsiTheme="majorBidi" w:cstheme="majorBidi"/>
        </w:rPr>
        <w:t xml:space="preserve">; </w:t>
      </w:r>
      <w:r w:rsidRPr="00FE74DA">
        <w:rPr>
          <w:rFonts w:asciiTheme="majorBidi" w:hAnsiTheme="majorBidi" w:cstheme="majorBidi"/>
        </w:rPr>
        <w:t>Mills 1956)</w:t>
      </w:r>
      <w:r w:rsidRPr="00872805">
        <w:rPr>
          <w:rFonts w:asciiTheme="majorBidi" w:hAnsiTheme="majorBidi" w:cstheme="majorBidi"/>
        </w:rPr>
        <w:t>. They investigate the interlocking elite networks that connect the most powerful actors in the system</w:t>
      </w:r>
      <w:r>
        <w:rPr>
          <w:rFonts w:asciiTheme="majorBidi" w:hAnsiTheme="majorBidi" w:cstheme="majorBidi"/>
        </w:rPr>
        <w:t>, establishing</w:t>
      </w:r>
      <w:r w:rsidRPr="00872805">
        <w:rPr>
          <w:rFonts w:asciiTheme="majorBidi" w:hAnsiTheme="majorBidi" w:cstheme="majorBidi"/>
        </w:rPr>
        <w:t xml:space="preserve"> a larger footprint in political decision-making. </w:t>
      </w:r>
    </w:p>
    <w:p w14:paraId="27127C4E" w14:textId="6C172888" w:rsidR="001C71F6" w:rsidRDefault="00DB57DF" w:rsidP="001C71F6">
      <w:pPr>
        <w:spacing w:line="480" w:lineRule="auto"/>
        <w:ind w:firstLine="720"/>
        <w:jc w:val="both"/>
        <w:rPr>
          <w:rFonts w:asciiTheme="majorBidi" w:hAnsiTheme="majorBidi" w:cstheme="majorBidi"/>
        </w:rPr>
      </w:pPr>
      <w:r>
        <w:rPr>
          <w:rFonts w:asciiTheme="majorBidi" w:hAnsiTheme="majorBidi" w:cstheme="majorBidi"/>
        </w:rPr>
        <w:t xml:space="preserve">Noteless, </w:t>
      </w:r>
      <w:r w:rsidR="001C71F6" w:rsidRPr="00872805">
        <w:rPr>
          <w:rFonts w:asciiTheme="majorBidi" w:hAnsiTheme="majorBidi" w:cstheme="majorBidi"/>
        </w:rPr>
        <w:t xml:space="preserve">both perspectives, while democratic procedures exist on the surface, their ideals are being subverted and undermined by the interests of a small number of actors. Whether it be the elites or the corporation, to those perspectives, they have real power in political decision-making regardless of the electoral outcomes of democratic methods. </w:t>
      </w:r>
    </w:p>
    <w:p w14:paraId="1DD220CA" w14:textId="77777777" w:rsidR="001D3151" w:rsidRDefault="00DB57DF" w:rsidP="001D3151">
      <w:pPr>
        <w:spacing w:line="480" w:lineRule="auto"/>
        <w:ind w:firstLine="720"/>
        <w:jc w:val="both"/>
        <w:rPr>
          <w:rFonts w:asciiTheme="majorBidi" w:hAnsiTheme="majorBidi" w:cstheme="majorBidi"/>
        </w:rPr>
      </w:pPr>
      <w:r>
        <w:rPr>
          <w:rFonts w:asciiTheme="majorBidi" w:hAnsiTheme="majorBidi" w:cstheme="majorBidi"/>
        </w:rPr>
        <w:t xml:space="preserve">Unlike Italian elitest perspectives, those elite theorists believe that class conflict in society rather than sociological inevitability is what produces elite-mass dichotomy. </w:t>
      </w:r>
      <w:r w:rsidR="001D3151">
        <w:rPr>
          <w:rFonts w:asciiTheme="majorBidi" w:hAnsiTheme="majorBidi" w:cstheme="majorBidi"/>
        </w:rPr>
        <w:t>To their view</w:t>
      </w:r>
      <w:r>
        <w:rPr>
          <w:rFonts w:asciiTheme="majorBidi" w:hAnsiTheme="majorBidi" w:cstheme="majorBidi"/>
        </w:rPr>
        <w:t xml:space="preserve">, the historical material </w:t>
      </w:r>
      <w:r w:rsidR="001D3151">
        <w:rPr>
          <w:rFonts w:asciiTheme="majorBidi" w:hAnsiTheme="majorBidi" w:cstheme="majorBidi"/>
        </w:rPr>
        <w:t>conditions placed the elites at the top the social institution, who are currently utilizing the same institutions to reproduce their power. Domhoff</w:t>
      </w:r>
      <w:proofErr w:type="gramStart"/>
      <w:r w:rsidR="001D3151">
        <w:rPr>
          <w:rFonts w:asciiTheme="majorBidi" w:hAnsiTheme="majorBidi" w:cstheme="majorBidi"/>
        </w:rPr>
        <w:t>, in particular, focused</w:t>
      </w:r>
      <w:proofErr w:type="gramEnd"/>
      <w:r w:rsidR="001D3151">
        <w:rPr>
          <w:rFonts w:asciiTheme="majorBidi" w:hAnsiTheme="majorBidi" w:cstheme="majorBidi"/>
        </w:rPr>
        <w:t xml:space="preserve"> on how informal social network (e.g. universities, Think Tanks, and social clubs) produce the social cohesion necessary to unite the elites against the mass of American society (cite). </w:t>
      </w:r>
    </w:p>
    <w:p w14:paraId="05F74E56" w14:textId="664A990E" w:rsidR="001C71F6" w:rsidRPr="003D7672" w:rsidRDefault="001D3151" w:rsidP="001D3151">
      <w:pPr>
        <w:spacing w:line="480" w:lineRule="auto"/>
        <w:ind w:firstLine="720"/>
        <w:jc w:val="both"/>
        <w:rPr>
          <w:rFonts w:asciiTheme="majorBidi" w:hAnsiTheme="majorBidi" w:cstheme="majorBidi"/>
        </w:rPr>
      </w:pPr>
      <w:r>
        <w:rPr>
          <w:rFonts w:asciiTheme="majorBidi" w:hAnsiTheme="majorBidi" w:cstheme="majorBidi"/>
        </w:rPr>
        <w:t xml:space="preserve">Other critiques, </w:t>
      </w:r>
      <w:r w:rsidR="001C71F6" w:rsidRPr="003D7672">
        <w:rPr>
          <w:rFonts w:asciiTheme="majorBidi" w:hAnsiTheme="majorBidi" w:cstheme="majorBidi"/>
        </w:rPr>
        <w:t>like Noam Chomsky and Edward S. Herman, who focus on the mass media in modern societies as a function of elite domination</w:t>
      </w:r>
      <w:r>
        <w:rPr>
          <w:rFonts w:asciiTheme="majorBidi" w:hAnsiTheme="majorBidi" w:cstheme="majorBidi"/>
        </w:rPr>
        <w:t xml:space="preserve"> contribute to our understanding of how </w:t>
      </w:r>
      <w:proofErr w:type="gramStart"/>
      <w:r>
        <w:rPr>
          <w:rFonts w:asciiTheme="majorBidi" w:hAnsiTheme="majorBidi" w:cstheme="majorBidi"/>
        </w:rPr>
        <w:t>this</w:t>
      </w:r>
      <w:proofErr w:type="gramEnd"/>
      <w:r>
        <w:rPr>
          <w:rFonts w:asciiTheme="majorBidi" w:hAnsiTheme="majorBidi" w:cstheme="majorBidi"/>
        </w:rPr>
        <w:t xml:space="preserve"> elites manufacture consent among the dominated masses</w:t>
      </w:r>
      <w:r w:rsidR="001C71F6" w:rsidRPr="003D7672">
        <w:rPr>
          <w:rFonts w:asciiTheme="majorBidi" w:hAnsiTheme="majorBidi" w:cstheme="majorBidi"/>
        </w:rPr>
        <w:t xml:space="preserve">. In their book </w:t>
      </w:r>
      <w:r w:rsidR="001C71F6" w:rsidRPr="003D7672">
        <w:rPr>
          <w:rFonts w:asciiTheme="majorBidi" w:hAnsiTheme="majorBidi" w:cstheme="majorBidi"/>
          <w:i/>
          <w:iCs/>
        </w:rPr>
        <w:t>Manufacturing Consent: The Political Economy of the Mass Media,</w:t>
      </w:r>
      <w:r w:rsidR="001C71F6" w:rsidRPr="003D7672">
        <w:rPr>
          <w:rFonts w:asciiTheme="majorBidi" w:hAnsiTheme="majorBidi" w:cstheme="majorBidi"/>
        </w:rPr>
        <w:t xml:space="preserve"> the two scholars argue that in liberal </w:t>
      </w:r>
      <w:r w:rsidR="001C71F6">
        <w:rPr>
          <w:rFonts w:asciiTheme="majorBidi" w:hAnsiTheme="majorBidi" w:cstheme="majorBidi"/>
        </w:rPr>
        <w:t>democratic societies</w:t>
      </w:r>
      <w:r w:rsidR="001C71F6" w:rsidRPr="003D7672">
        <w:rPr>
          <w:rFonts w:asciiTheme="majorBidi" w:hAnsiTheme="majorBidi" w:cstheme="majorBidi"/>
        </w:rPr>
        <w:t xml:space="preserve"> such as the United States,</w:t>
      </w:r>
      <w:r w:rsidR="001C71F6">
        <w:rPr>
          <w:rFonts w:asciiTheme="majorBidi" w:hAnsiTheme="majorBidi" w:cstheme="majorBidi"/>
        </w:rPr>
        <w:t xml:space="preserve"> media </w:t>
      </w:r>
      <w:r w:rsidR="001C71F6" w:rsidRPr="003D7672">
        <w:rPr>
          <w:rFonts w:asciiTheme="majorBidi" w:hAnsiTheme="majorBidi" w:cstheme="majorBidi"/>
        </w:rPr>
        <w:t xml:space="preserve">is not a neutral informer, or a democratic watchdog as often conceptualized </w:t>
      </w:r>
      <w:r w:rsidR="001C71F6">
        <w:rPr>
          <w:rFonts w:asciiTheme="majorBidi" w:hAnsiTheme="majorBidi" w:cstheme="majorBidi"/>
        </w:rPr>
        <w:t>by the</w:t>
      </w:r>
      <w:r w:rsidR="001C71F6" w:rsidRPr="003D7672">
        <w:rPr>
          <w:rFonts w:asciiTheme="majorBidi" w:hAnsiTheme="majorBidi" w:cstheme="majorBidi"/>
        </w:rPr>
        <w:t xml:space="preserve"> </w:t>
      </w:r>
      <w:r w:rsidR="001C71F6" w:rsidRPr="003D7672">
        <w:rPr>
          <w:rFonts w:asciiTheme="majorBidi" w:hAnsiTheme="majorBidi" w:cstheme="majorBidi"/>
          <w:i/>
          <w:iCs/>
        </w:rPr>
        <w:t>Fourth Estate</w:t>
      </w:r>
      <w:r w:rsidR="001C71F6">
        <w:rPr>
          <w:rFonts w:asciiTheme="majorBidi" w:hAnsiTheme="majorBidi" w:cstheme="majorBidi"/>
          <w:i/>
          <w:iCs/>
        </w:rPr>
        <w:t xml:space="preserve"> </w:t>
      </w:r>
      <w:r w:rsidR="001C71F6" w:rsidRPr="00FE74DA">
        <w:rPr>
          <w:rFonts w:asciiTheme="majorBidi" w:hAnsiTheme="majorBidi" w:cstheme="majorBidi"/>
        </w:rPr>
        <w:t xml:space="preserve">(Chomsky and Herman 2002). </w:t>
      </w:r>
      <w:r w:rsidR="001C71F6" w:rsidRPr="003D7672">
        <w:rPr>
          <w:rFonts w:asciiTheme="majorBidi" w:hAnsiTheme="majorBidi" w:cstheme="majorBidi"/>
        </w:rPr>
        <w:t xml:space="preserve">Instead, it functions as a propaganda machine that advances the interests of the social elites. Instead of the covert mechanisms present in authoritarian regimes, what they conceptualize as the </w:t>
      </w:r>
      <w:r w:rsidR="001C71F6" w:rsidRPr="009763F8">
        <w:rPr>
          <w:rFonts w:asciiTheme="majorBidi" w:hAnsiTheme="majorBidi" w:cstheme="majorBidi"/>
          <w:i/>
          <w:iCs/>
        </w:rPr>
        <w:t>propaganda model</w:t>
      </w:r>
      <w:r w:rsidR="001C71F6" w:rsidRPr="003D7672">
        <w:rPr>
          <w:rFonts w:asciiTheme="majorBidi" w:hAnsiTheme="majorBidi" w:cstheme="majorBidi"/>
        </w:rPr>
        <w:t xml:space="preserve"> manufactures consent through the mass media industry which reproduces the dominant ideologies </w:t>
      </w:r>
      <w:r w:rsidR="001C71F6" w:rsidRPr="003D7672">
        <w:rPr>
          <w:rFonts w:asciiTheme="majorBidi" w:hAnsiTheme="majorBidi" w:cstheme="majorBidi"/>
        </w:rPr>
        <w:lastRenderedPageBreak/>
        <w:t>and suppresses and silences dissent</w:t>
      </w:r>
      <w:r w:rsidR="001C71F6">
        <w:rPr>
          <w:rFonts w:asciiTheme="majorBidi" w:hAnsiTheme="majorBidi" w:cstheme="majorBidi"/>
        </w:rPr>
        <w:t xml:space="preserve"> </w:t>
      </w:r>
      <w:r w:rsidR="001C71F6" w:rsidRPr="00FE74DA">
        <w:rPr>
          <w:rFonts w:asciiTheme="majorBidi" w:hAnsiTheme="majorBidi" w:cstheme="majorBidi"/>
        </w:rPr>
        <w:t>(2002)</w:t>
      </w:r>
      <w:r w:rsidR="001C71F6" w:rsidRPr="003D7672">
        <w:rPr>
          <w:rFonts w:asciiTheme="majorBidi" w:hAnsiTheme="majorBidi" w:cstheme="majorBidi"/>
        </w:rPr>
        <w:t xml:space="preserve">. </w:t>
      </w:r>
      <w:r>
        <w:rPr>
          <w:rFonts w:asciiTheme="majorBidi" w:hAnsiTheme="majorBidi" w:cstheme="majorBidi"/>
        </w:rPr>
        <w:t xml:space="preserve">This concept is in principle </w:t>
      </w:r>
      <w:proofErr w:type="gramStart"/>
      <w:r>
        <w:rPr>
          <w:rFonts w:asciiTheme="majorBidi" w:hAnsiTheme="majorBidi" w:cstheme="majorBidi"/>
        </w:rPr>
        <w:t>similar to</w:t>
      </w:r>
      <w:proofErr w:type="gramEnd"/>
      <w:r>
        <w:rPr>
          <w:rFonts w:asciiTheme="majorBidi" w:hAnsiTheme="majorBidi" w:cstheme="majorBidi"/>
        </w:rPr>
        <w:t xml:space="preserve"> </w:t>
      </w:r>
      <w:proofErr w:type="gramStart"/>
      <w:r>
        <w:rPr>
          <w:rFonts w:asciiTheme="majorBidi" w:hAnsiTheme="majorBidi" w:cstheme="majorBidi"/>
        </w:rPr>
        <w:t xml:space="preserve">Mosca’s  </w:t>
      </w:r>
      <w:r w:rsidRPr="001D3151">
        <w:rPr>
          <w:rFonts w:asciiTheme="majorBidi" w:hAnsiTheme="majorBidi" w:cstheme="majorBidi"/>
          <w:i/>
          <w:iCs/>
        </w:rPr>
        <w:t>political</w:t>
      </w:r>
      <w:proofErr w:type="gramEnd"/>
      <w:r w:rsidRPr="001D3151">
        <w:rPr>
          <w:rFonts w:asciiTheme="majorBidi" w:hAnsiTheme="majorBidi" w:cstheme="majorBidi"/>
          <w:i/>
          <w:iCs/>
        </w:rPr>
        <w:t xml:space="preserve"> formula</w:t>
      </w:r>
      <w:r>
        <w:rPr>
          <w:rFonts w:asciiTheme="majorBidi" w:hAnsiTheme="majorBidi" w:cstheme="majorBidi"/>
        </w:rPr>
        <w:t xml:space="preserve"> concept.</w:t>
      </w:r>
    </w:p>
    <w:p w14:paraId="7B84E24D" w14:textId="77777777" w:rsidR="001C71F6" w:rsidRPr="00872805" w:rsidRDefault="001C71F6" w:rsidP="001C71F6">
      <w:pPr>
        <w:pStyle w:val="Style2"/>
      </w:pPr>
      <w:bookmarkStart w:id="14" w:name="_Toc201932377"/>
      <w:bookmarkStart w:id="15" w:name="_Toc202283727"/>
      <w:bookmarkStart w:id="16" w:name="_Hlk199445255"/>
      <w:r w:rsidRPr="00872805">
        <w:t>2.</w:t>
      </w:r>
      <w:r>
        <w:t>3</w:t>
      </w:r>
      <w:r w:rsidRPr="00872805">
        <w:t xml:space="preserve"> </w:t>
      </w:r>
      <w:bookmarkStart w:id="17" w:name="_Hlk201918021"/>
      <w:r w:rsidRPr="00872805">
        <w:t>De</w:t>
      </w:r>
      <w:r>
        <w:t>liberative De</w:t>
      </w:r>
      <w:r w:rsidRPr="00872805">
        <w:t>mocra</w:t>
      </w:r>
      <w:r>
        <w:t>cy</w:t>
      </w:r>
      <w:r w:rsidRPr="00872805">
        <w:t xml:space="preserve"> and Public Sphere Deficits</w:t>
      </w:r>
      <w:bookmarkEnd w:id="14"/>
      <w:bookmarkEnd w:id="15"/>
      <w:bookmarkEnd w:id="17"/>
    </w:p>
    <w:bookmarkEnd w:id="16"/>
    <w:p w14:paraId="33EA927E"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 xml:space="preserve">Based on </w:t>
      </w:r>
      <w:r>
        <w:rPr>
          <w:rFonts w:asciiTheme="majorBidi" w:hAnsiTheme="majorBidi" w:cstheme="majorBidi"/>
        </w:rPr>
        <w:t>Jürgen</w:t>
      </w:r>
      <w:r w:rsidRPr="00872805">
        <w:rPr>
          <w:rFonts w:asciiTheme="majorBidi" w:hAnsiTheme="majorBidi" w:cstheme="majorBidi"/>
        </w:rPr>
        <w:t xml:space="preserve"> Habermas’s </w:t>
      </w:r>
      <w:r>
        <w:rPr>
          <w:rFonts w:asciiTheme="majorBidi" w:hAnsiTheme="majorBidi" w:cstheme="majorBidi"/>
        </w:rPr>
        <w:t xml:space="preserve">concept of the public sphere and his </w:t>
      </w:r>
      <w:r w:rsidRPr="00872805">
        <w:rPr>
          <w:rFonts w:asciiTheme="majorBidi" w:hAnsiTheme="majorBidi" w:cstheme="majorBidi"/>
        </w:rPr>
        <w:t xml:space="preserve">communicative action theory, t liberal democracy </w:t>
      </w:r>
      <w:r>
        <w:rPr>
          <w:rFonts w:asciiTheme="majorBidi" w:hAnsiTheme="majorBidi" w:cstheme="majorBidi"/>
        </w:rPr>
        <w:t>i</w:t>
      </w:r>
      <w:r w:rsidRPr="00872805">
        <w:rPr>
          <w:rFonts w:asciiTheme="majorBidi" w:hAnsiTheme="majorBidi" w:cstheme="majorBidi"/>
        </w:rPr>
        <w:t>s an inclusive space of public deliberation. W</w:t>
      </w:r>
      <w:r>
        <w:rPr>
          <w:rFonts w:asciiTheme="majorBidi" w:hAnsiTheme="majorBidi" w:cstheme="majorBidi"/>
        </w:rPr>
        <w:t>h</w:t>
      </w:r>
      <w:r w:rsidRPr="00872805">
        <w:rPr>
          <w:rFonts w:asciiTheme="majorBidi" w:hAnsiTheme="majorBidi" w:cstheme="majorBidi"/>
        </w:rPr>
        <w:t xml:space="preserve">at makes democracy more productive and inclusive is its ability to allow </w:t>
      </w:r>
      <w:r>
        <w:rPr>
          <w:rFonts w:asciiTheme="majorBidi" w:hAnsiTheme="majorBidi" w:cstheme="majorBidi"/>
        </w:rPr>
        <w:t xml:space="preserve">members and segments of </w:t>
      </w:r>
      <w:r w:rsidRPr="00872805">
        <w:rPr>
          <w:rFonts w:asciiTheme="majorBidi" w:hAnsiTheme="majorBidi" w:cstheme="majorBidi"/>
        </w:rPr>
        <w:t xml:space="preserve">the public to deliberate with one another regarding social problems </w:t>
      </w:r>
      <w:r>
        <w:rPr>
          <w:rFonts w:asciiTheme="majorBidi" w:hAnsiTheme="majorBidi" w:cstheme="majorBidi"/>
        </w:rPr>
        <w:t xml:space="preserve">and issues of social importance </w:t>
      </w:r>
      <w:r w:rsidRPr="00872805">
        <w:rPr>
          <w:rFonts w:asciiTheme="majorBidi" w:hAnsiTheme="majorBidi" w:cstheme="majorBidi"/>
        </w:rPr>
        <w:t xml:space="preserve">to reach </w:t>
      </w:r>
      <w:r>
        <w:rPr>
          <w:rFonts w:asciiTheme="majorBidi" w:hAnsiTheme="majorBidi" w:cstheme="majorBidi"/>
        </w:rPr>
        <w:t xml:space="preserve">a </w:t>
      </w:r>
      <w:r w:rsidRPr="00872805">
        <w:rPr>
          <w:rFonts w:asciiTheme="majorBidi" w:hAnsiTheme="majorBidi" w:cstheme="majorBidi"/>
        </w:rPr>
        <w:t xml:space="preserve">rational and socially beneficial </w:t>
      </w:r>
      <w:r>
        <w:rPr>
          <w:rFonts w:asciiTheme="majorBidi" w:hAnsiTheme="majorBidi" w:cstheme="majorBidi"/>
        </w:rPr>
        <w:t>understanding</w:t>
      </w:r>
      <w:r w:rsidRPr="00872805">
        <w:rPr>
          <w:rFonts w:asciiTheme="majorBidi" w:hAnsiTheme="majorBidi" w:cstheme="majorBidi"/>
        </w:rPr>
        <w:t xml:space="preserve">, </w:t>
      </w:r>
      <w:r>
        <w:rPr>
          <w:rFonts w:asciiTheme="majorBidi" w:hAnsiTheme="majorBidi" w:cstheme="majorBidi"/>
        </w:rPr>
        <w:t xml:space="preserve">by means of </w:t>
      </w:r>
      <w:r w:rsidRPr="00A021C2">
        <w:rPr>
          <w:rFonts w:asciiTheme="majorBidi" w:hAnsiTheme="majorBidi" w:cstheme="majorBidi"/>
          <w:i/>
          <w:iCs/>
        </w:rPr>
        <w:t>communicative action</w:t>
      </w:r>
      <w:r w:rsidRPr="00FE5D7F">
        <w:rPr>
          <w:rFonts w:asciiTheme="majorBidi" w:hAnsiTheme="majorBidi" w:cstheme="majorBidi"/>
        </w:rPr>
        <w:t xml:space="preserve"> (Calhoun 1992; Habermas 1984).</w:t>
      </w:r>
    </w:p>
    <w:p w14:paraId="4902C29D"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 xml:space="preserve">However, Habermas and other </w:t>
      </w:r>
      <w:r>
        <w:rPr>
          <w:rFonts w:asciiTheme="majorBidi" w:hAnsiTheme="majorBidi" w:cstheme="majorBidi"/>
        </w:rPr>
        <w:t xml:space="preserve">theorists who apply the concept of deliberative </w:t>
      </w:r>
      <w:r w:rsidRPr="00872805">
        <w:rPr>
          <w:rFonts w:asciiTheme="majorBidi" w:hAnsiTheme="majorBidi" w:cstheme="majorBidi"/>
        </w:rPr>
        <w:t>democra</w:t>
      </w:r>
      <w:r>
        <w:rPr>
          <w:rFonts w:asciiTheme="majorBidi" w:hAnsiTheme="majorBidi" w:cstheme="majorBidi"/>
        </w:rPr>
        <w:t xml:space="preserve">cy </w:t>
      </w:r>
      <w:r w:rsidRPr="00872805">
        <w:rPr>
          <w:rFonts w:asciiTheme="majorBidi" w:hAnsiTheme="majorBidi" w:cstheme="majorBidi"/>
        </w:rPr>
        <w:t>contend that capitalist societies distort communication</w:t>
      </w:r>
      <w:r>
        <w:rPr>
          <w:rFonts w:asciiTheme="majorBidi" w:hAnsiTheme="majorBidi" w:cstheme="majorBidi"/>
        </w:rPr>
        <w:t>, and as a result,</w:t>
      </w:r>
      <w:r w:rsidRPr="00872805">
        <w:rPr>
          <w:rFonts w:asciiTheme="majorBidi" w:hAnsiTheme="majorBidi" w:cstheme="majorBidi"/>
        </w:rPr>
        <w:t xml:space="preserve"> prevent genuine democratic will-form</w:t>
      </w:r>
      <w:r>
        <w:rPr>
          <w:rFonts w:asciiTheme="majorBidi" w:hAnsiTheme="majorBidi" w:cstheme="majorBidi"/>
        </w:rPr>
        <w:t>ation</w:t>
      </w:r>
      <w:r w:rsidRPr="00872805">
        <w:rPr>
          <w:rFonts w:asciiTheme="majorBidi" w:hAnsiTheme="majorBidi" w:cstheme="majorBidi"/>
        </w:rPr>
        <w:t xml:space="preserve">. </w:t>
      </w:r>
      <w:r>
        <w:rPr>
          <w:rFonts w:asciiTheme="majorBidi" w:hAnsiTheme="majorBidi" w:cstheme="majorBidi"/>
        </w:rPr>
        <w:t>Theorists</w:t>
      </w:r>
      <w:r w:rsidRPr="00872805">
        <w:rPr>
          <w:rFonts w:asciiTheme="majorBidi" w:hAnsiTheme="majorBidi" w:cstheme="majorBidi"/>
        </w:rPr>
        <w:t xml:space="preserve"> like Nancy Fraser take</w:t>
      </w:r>
      <w:r>
        <w:rPr>
          <w:rFonts w:asciiTheme="majorBidi" w:hAnsiTheme="majorBidi" w:cstheme="majorBidi"/>
        </w:rPr>
        <w:t xml:space="preserve"> </w:t>
      </w:r>
      <w:r w:rsidRPr="00872805">
        <w:rPr>
          <w:rFonts w:asciiTheme="majorBidi" w:hAnsiTheme="majorBidi" w:cstheme="majorBidi"/>
        </w:rPr>
        <w:t xml:space="preserve">the </w:t>
      </w:r>
      <w:r>
        <w:rPr>
          <w:rFonts w:asciiTheme="majorBidi" w:hAnsiTheme="majorBidi" w:cstheme="majorBidi"/>
        </w:rPr>
        <w:t>concept</w:t>
      </w:r>
      <w:r w:rsidRPr="00872805">
        <w:rPr>
          <w:rFonts w:asciiTheme="majorBidi" w:hAnsiTheme="majorBidi" w:cstheme="majorBidi"/>
        </w:rPr>
        <w:t xml:space="preserve"> to a more critical level while keeping it within the boundaries of internal critique. She critiques the classical liberal public sphere, not by rejecting its ideals but by challenging its assumptions. Fraser critiques the classical </w:t>
      </w:r>
      <w:r>
        <w:rPr>
          <w:rFonts w:asciiTheme="majorBidi" w:hAnsiTheme="majorBidi" w:cstheme="majorBidi"/>
        </w:rPr>
        <w:t xml:space="preserve">public </w:t>
      </w:r>
      <w:r w:rsidRPr="00872805">
        <w:rPr>
          <w:rFonts w:asciiTheme="majorBidi" w:hAnsiTheme="majorBidi" w:cstheme="majorBidi"/>
        </w:rPr>
        <w:t>sphere’s assumption that social equality exists in modern societies</w:t>
      </w:r>
      <w:r>
        <w:rPr>
          <w:rFonts w:asciiTheme="majorBidi" w:hAnsiTheme="majorBidi" w:cstheme="majorBidi"/>
        </w:rPr>
        <w:t xml:space="preserve"> (</w:t>
      </w:r>
      <w:r w:rsidRPr="00CE55D7">
        <w:rPr>
          <w:rFonts w:asciiTheme="majorBidi" w:hAnsiTheme="majorBidi" w:cstheme="majorBidi"/>
        </w:rPr>
        <w:t>Fraser 1992:109</w:t>
      </w:r>
      <w:r>
        <w:rPr>
          <w:rFonts w:asciiTheme="majorBidi" w:hAnsiTheme="majorBidi" w:cstheme="majorBidi"/>
        </w:rPr>
        <w:t>)</w:t>
      </w:r>
      <w:r w:rsidRPr="00872805">
        <w:rPr>
          <w:rFonts w:asciiTheme="majorBidi" w:hAnsiTheme="majorBidi" w:cstheme="majorBidi"/>
        </w:rPr>
        <w:t>. She calls for the concept of "participatory parity" as a condition for a genuinely democratic society to exist</w:t>
      </w:r>
      <w:r>
        <w:rPr>
          <w:rFonts w:asciiTheme="majorBidi" w:hAnsiTheme="majorBidi" w:cstheme="majorBidi"/>
        </w:rPr>
        <w:t xml:space="preserve"> </w:t>
      </w:r>
      <w:r w:rsidRPr="00CE55D7">
        <w:rPr>
          <w:rFonts w:asciiTheme="majorBidi" w:hAnsiTheme="majorBidi" w:cstheme="majorBidi"/>
        </w:rPr>
        <w:t>(Fraser 1997)</w:t>
      </w:r>
      <w:r w:rsidRPr="00872805">
        <w:rPr>
          <w:rFonts w:asciiTheme="majorBidi" w:hAnsiTheme="majorBidi" w:cstheme="majorBidi"/>
        </w:rPr>
        <w:t>. This concept would mean that all the structural barriers that limit the marginalization in the representative democracies of late capitalist societies must be dismantled</w:t>
      </w:r>
      <w:r>
        <w:rPr>
          <w:rFonts w:asciiTheme="majorBidi" w:hAnsiTheme="majorBidi" w:cstheme="majorBidi"/>
        </w:rPr>
        <w:t>.</w:t>
      </w:r>
      <w:r w:rsidRPr="00872805">
        <w:rPr>
          <w:rFonts w:asciiTheme="majorBidi" w:hAnsiTheme="majorBidi" w:cstheme="majorBidi"/>
        </w:rPr>
        <w:t xml:space="preserve"> </w:t>
      </w:r>
    </w:p>
    <w:p w14:paraId="09F0EEE2"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 xml:space="preserve">A similar </w:t>
      </w:r>
      <w:r>
        <w:rPr>
          <w:rFonts w:asciiTheme="majorBidi" w:hAnsiTheme="majorBidi" w:cstheme="majorBidi"/>
        </w:rPr>
        <w:t xml:space="preserve">but almost oppositional </w:t>
      </w:r>
      <w:r w:rsidRPr="00872805">
        <w:rPr>
          <w:rFonts w:asciiTheme="majorBidi" w:hAnsiTheme="majorBidi" w:cstheme="majorBidi"/>
        </w:rPr>
        <w:t xml:space="preserve">strand of internal critiques is radical democracy, also known as </w:t>
      </w:r>
      <w:r>
        <w:rPr>
          <w:rFonts w:asciiTheme="majorBidi" w:hAnsiTheme="majorBidi" w:cstheme="majorBidi"/>
        </w:rPr>
        <w:t>“a</w:t>
      </w:r>
      <w:r w:rsidRPr="00872805">
        <w:rPr>
          <w:rFonts w:asciiTheme="majorBidi" w:hAnsiTheme="majorBidi" w:cstheme="majorBidi"/>
        </w:rPr>
        <w:t xml:space="preserve">gonistic </w:t>
      </w:r>
      <w:r>
        <w:rPr>
          <w:rFonts w:asciiTheme="majorBidi" w:hAnsiTheme="majorBidi" w:cstheme="majorBidi"/>
        </w:rPr>
        <w:t>de</w:t>
      </w:r>
      <w:r w:rsidRPr="00872805">
        <w:rPr>
          <w:rFonts w:asciiTheme="majorBidi" w:hAnsiTheme="majorBidi" w:cstheme="majorBidi"/>
        </w:rPr>
        <w:t>mocracy,</w:t>
      </w:r>
      <w:r>
        <w:rPr>
          <w:rFonts w:asciiTheme="majorBidi" w:hAnsiTheme="majorBidi" w:cstheme="majorBidi"/>
        </w:rPr>
        <w:t>”</w:t>
      </w:r>
      <w:r w:rsidRPr="00872805">
        <w:rPr>
          <w:rFonts w:asciiTheme="majorBidi" w:hAnsiTheme="majorBidi" w:cstheme="majorBidi"/>
        </w:rPr>
        <w:t xml:space="preserve"> </w:t>
      </w:r>
      <w:r>
        <w:rPr>
          <w:rFonts w:asciiTheme="majorBidi" w:hAnsiTheme="majorBidi" w:cstheme="majorBidi"/>
        </w:rPr>
        <w:t>which i</w:t>
      </w:r>
      <w:r w:rsidRPr="00872805">
        <w:rPr>
          <w:rFonts w:asciiTheme="majorBidi" w:hAnsiTheme="majorBidi" w:cstheme="majorBidi"/>
        </w:rPr>
        <w:t>nclud</w:t>
      </w:r>
      <w:r>
        <w:rPr>
          <w:rFonts w:asciiTheme="majorBidi" w:hAnsiTheme="majorBidi" w:cstheme="majorBidi"/>
        </w:rPr>
        <w:t>es</w:t>
      </w:r>
      <w:r w:rsidRPr="00872805">
        <w:rPr>
          <w:rFonts w:asciiTheme="majorBidi" w:hAnsiTheme="majorBidi" w:cstheme="majorBidi"/>
        </w:rPr>
        <w:t xml:space="preserve"> thinkers like Mark Wenman and Chantal </w:t>
      </w:r>
      <w:proofErr w:type="spellStart"/>
      <w:r w:rsidRPr="00872805">
        <w:rPr>
          <w:rFonts w:asciiTheme="majorBidi" w:hAnsiTheme="majorBidi" w:cstheme="majorBidi"/>
        </w:rPr>
        <w:t>Mouffe</w:t>
      </w:r>
      <w:proofErr w:type="spellEnd"/>
      <w:r w:rsidRPr="00872805">
        <w:rPr>
          <w:rFonts w:asciiTheme="majorBidi" w:hAnsiTheme="majorBidi" w:cstheme="majorBidi"/>
        </w:rPr>
        <w:t xml:space="preserve">. They disagree with the deliberate perspective's assumption that consensus is the main purpose of democratic societies. In </w:t>
      </w:r>
      <w:r w:rsidRPr="00CE55D7">
        <w:rPr>
          <w:rFonts w:asciiTheme="majorBidi" w:hAnsiTheme="majorBidi" w:cstheme="majorBidi"/>
          <w:i/>
          <w:iCs/>
        </w:rPr>
        <w:t>The Return of the Political</w:t>
      </w:r>
      <w:r w:rsidRPr="00872805">
        <w:rPr>
          <w:rFonts w:asciiTheme="majorBidi" w:hAnsiTheme="majorBidi" w:cstheme="majorBidi"/>
        </w:rPr>
        <w:t xml:space="preserve">, </w:t>
      </w:r>
      <w:proofErr w:type="spellStart"/>
      <w:r w:rsidRPr="00872805">
        <w:rPr>
          <w:rFonts w:asciiTheme="majorBidi" w:hAnsiTheme="majorBidi" w:cstheme="majorBidi"/>
        </w:rPr>
        <w:t>Mouffe</w:t>
      </w:r>
      <w:proofErr w:type="spellEnd"/>
      <w:r w:rsidRPr="00872805">
        <w:rPr>
          <w:rFonts w:asciiTheme="majorBidi" w:hAnsiTheme="majorBidi" w:cstheme="majorBidi"/>
        </w:rPr>
        <w:t xml:space="preserve"> showcases that what the Western </w:t>
      </w:r>
      <w:r>
        <w:rPr>
          <w:rFonts w:asciiTheme="majorBidi" w:hAnsiTheme="majorBidi" w:cstheme="majorBidi"/>
        </w:rPr>
        <w:lastRenderedPageBreak/>
        <w:t>“</w:t>
      </w:r>
      <w:proofErr w:type="spellStart"/>
      <w:r w:rsidRPr="00872805">
        <w:rPr>
          <w:rFonts w:asciiTheme="majorBidi" w:hAnsiTheme="majorBidi" w:cstheme="majorBidi"/>
        </w:rPr>
        <w:t>triumphalist</w:t>
      </w:r>
      <w:r>
        <w:rPr>
          <w:rFonts w:asciiTheme="majorBidi" w:hAnsiTheme="majorBidi" w:cstheme="majorBidi"/>
        </w:rPr>
        <w:t>s</w:t>
      </w:r>
      <w:proofErr w:type="spellEnd"/>
      <w:r>
        <w:rPr>
          <w:rFonts w:asciiTheme="majorBidi" w:hAnsiTheme="majorBidi" w:cstheme="majorBidi"/>
        </w:rPr>
        <w:t xml:space="preserve">" like Fukuyama – whom he later qualified and even retracted his earlier assessment – </w:t>
      </w:r>
      <w:r w:rsidRPr="00872805">
        <w:rPr>
          <w:rFonts w:asciiTheme="majorBidi" w:hAnsiTheme="majorBidi" w:cstheme="majorBidi"/>
        </w:rPr>
        <w:t>claimed to be the universal victory of liberal democracy was followed by the explosion of "particularism" based on religion, ethnicity, and nationalism</w:t>
      </w:r>
      <w:r>
        <w:rPr>
          <w:rFonts w:asciiTheme="majorBidi" w:hAnsiTheme="majorBidi" w:cstheme="majorBidi"/>
        </w:rPr>
        <w:t>,</w:t>
      </w:r>
      <w:r w:rsidRPr="00872805">
        <w:rPr>
          <w:rFonts w:asciiTheme="majorBidi" w:hAnsiTheme="majorBidi" w:cstheme="majorBidi"/>
        </w:rPr>
        <w:t xml:space="preserve"> following the ideological conflicts </w:t>
      </w:r>
      <w:r>
        <w:rPr>
          <w:rFonts w:asciiTheme="majorBidi" w:hAnsiTheme="majorBidi" w:cstheme="majorBidi"/>
        </w:rPr>
        <w:t xml:space="preserve">that arose after the end </w:t>
      </w:r>
      <w:r w:rsidRPr="00872805">
        <w:rPr>
          <w:rFonts w:asciiTheme="majorBidi" w:hAnsiTheme="majorBidi" w:cstheme="majorBidi"/>
        </w:rPr>
        <w:t>of the Cold War</w:t>
      </w:r>
      <w:r>
        <w:rPr>
          <w:rFonts w:asciiTheme="majorBidi" w:hAnsiTheme="majorBidi" w:cstheme="majorBidi"/>
        </w:rPr>
        <w:t xml:space="preserve"> </w:t>
      </w:r>
      <w:r w:rsidRPr="00CE55D7">
        <w:rPr>
          <w:rFonts w:asciiTheme="majorBidi" w:hAnsiTheme="majorBidi" w:cstheme="majorBidi"/>
        </w:rPr>
        <w:t>(</w:t>
      </w:r>
      <w:proofErr w:type="spellStart"/>
      <w:r w:rsidRPr="00CE55D7">
        <w:rPr>
          <w:rFonts w:asciiTheme="majorBidi" w:hAnsiTheme="majorBidi" w:cstheme="majorBidi"/>
        </w:rPr>
        <w:t>Mouffe</w:t>
      </w:r>
      <w:proofErr w:type="spellEnd"/>
      <w:r w:rsidRPr="00CE55D7">
        <w:rPr>
          <w:rFonts w:asciiTheme="majorBidi" w:hAnsiTheme="majorBidi" w:cstheme="majorBidi"/>
        </w:rPr>
        <w:t xml:space="preserve"> 1993:42)</w:t>
      </w:r>
      <w:r w:rsidRPr="00872805">
        <w:rPr>
          <w:rFonts w:asciiTheme="majorBidi" w:hAnsiTheme="majorBidi" w:cstheme="majorBidi"/>
        </w:rPr>
        <w:t xml:space="preserve">. Thus, </w:t>
      </w:r>
      <w:r>
        <w:rPr>
          <w:rFonts w:asciiTheme="majorBidi" w:hAnsiTheme="majorBidi" w:cstheme="majorBidi"/>
        </w:rPr>
        <w:t>s</w:t>
      </w:r>
      <w:r w:rsidRPr="00872805">
        <w:rPr>
          <w:rFonts w:asciiTheme="majorBidi" w:hAnsiTheme="majorBidi" w:cstheme="majorBidi"/>
        </w:rPr>
        <w:t xml:space="preserve">he suggests that liberal democracy depoliticizes legitimate social conflict by pressuring consensus. In </w:t>
      </w:r>
      <w:r w:rsidRPr="00CE55D7">
        <w:rPr>
          <w:rFonts w:asciiTheme="majorBidi" w:hAnsiTheme="majorBidi" w:cstheme="majorBidi"/>
          <w:i/>
          <w:iCs/>
        </w:rPr>
        <w:t>Agonistic Democracy: Constituent Power in the Era of Globalization</w:t>
      </w:r>
      <w:r w:rsidRPr="00872805">
        <w:rPr>
          <w:rFonts w:asciiTheme="majorBidi" w:hAnsiTheme="majorBidi" w:cstheme="majorBidi"/>
        </w:rPr>
        <w:t xml:space="preserve">, Wenman pushes a similar argument by </w:t>
      </w:r>
      <w:r>
        <w:rPr>
          <w:rFonts w:asciiTheme="majorBidi" w:hAnsiTheme="majorBidi" w:cstheme="majorBidi"/>
        </w:rPr>
        <w:t>contending</w:t>
      </w:r>
      <w:r w:rsidRPr="00872805">
        <w:rPr>
          <w:rFonts w:asciiTheme="majorBidi" w:hAnsiTheme="majorBidi" w:cstheme="majorBidi"/>
        </w:rPr>
        <w:t xml:space="preserve"> that political contestation and conflict rather than consensus could be a positive force for social and political progress</w:t>
      </w:r>
      <w:r>
        <w:rPr>
          <w:rFonts w:asciiTheme="majorBidi" w:hAnsiTheme="majorBidi" w:cstheme="majorBidi"/>
        </w:rPr>
        <w:t xml:space="preserve"> </w:t>
      </w:r>
      <w:r w:rsidRPr="00CE55D7">
        <w:rPr>
          <w:rFonts w:asciiTheme="majorBidi" w:hAnsiTheme="majorBidi" w:cstheme="majorBidi"/>
        </w:rPr>
        <w:t>(Wenman 2013)</w:t>
      </w:r>
      <w:r>
        <w:rPr>
          <w:rFonts w:asciiTheme="majorBidi" w:hAnsiTheme="majorBidi" w:cstheme="majorBidi"/>
        </w:rPr>
        <w:t xml:space="preserve">, thus reaffirming a central tenet of conflict theory as put forth, e.g., by Ralf </w:t>
      </w:r>
      <w:proofErr w:type="spellStart"/>
      <w:r>
        <w:rPr>
          <w:rFonts w:asciiTheme="majorBidi" w:hAnsiTheme="majorBidi" w:cstheme="majorBidi"/>
        </w:rPr>
        <w:t>Dahrendorf</w:t>
      </w:r>
      <w:proofErr w:type="spellEnd"/>
      <w:r w:rsidRPr="00872805">
        <w:rPr>
          <w:rFonts w:asciiTheme="majorBidi" w:hAnsiTheme="majorBidi" w:cstheme="majorBidi"/>
        </w:rPr>
        <w:t xml:space="preserve">. </w:t>
      </w:r>
    </w:p>
    <w:p w14:paraId="7B091283" w14:textId="77777777" w:rsidR="001C71F6" w:rsidRPr="00872805" w:rsidRDefault="001C71F6" w:rsidP="001C71F6">
      <w:pPr>
        <w:pStyle w:val="Style2"/>
      </w:pPr>
      <w:bookmarkStart w:id="18" w:name="_Toc201932378"/>
      <w:bookmarkStart w:id="19" w:name="_Toc202283728"/>
      <w:r w:rsidRPr="00872805">
        <w:t>2.</w:t>
      </w:r>
      <w:bookmarkStart w:id="20" w:name="_Hlk201918036"/>
      <w:r>
        <w:t xml:space="preserve">4 </w:t>
      </w:r>
      <w:r w:rsidRPr="00872805">
        <w:t>Social Justice, Feminist, and Intersectional Critiques</w:t>
      </w:r>
      <w:bookmarkEnd w:id="18"/>
      <w:bookmarkEnd w:id="19"/>
      <w:bookmarkEnd w:id="20"/>
    </w:p>
    <w:p w14:paraId="2618378F"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Th</w:t>
      </w:r>
      <w:r>
        <w:rPr>
          <w:rFonts w:asciiTheme="majorBidi" w:hAnsiTheme="majorBidi" w:cstheme="majorBidi"/>
        </w:rPr>
        <w:t>e</w:t>
      </w:r>
      <w:r w:rsidRPr="00872805">
        <w:rPr>
          <w:rFonts w:asciiTheme="majorBidi" w:hAnsiTheme="majorBidi" w:cstheme="majorBidi"/>
        </w:rPr>
        <w:t xml:space="preserve">se internal critiques focus on and highlight how liberal democracy conceals patriarchal and racialized power dynamics. Some of these perspectives, such as that of Fraser, which was </w:t>
      </w:r>
      <w:r>
        <w:rPr>
          <w:rFonts w:asciiTheme="majorBidi" w:hAnsiTheme="majorBidi" w:cstheme="majorBidi"/>
        </w:rPr>
        <w:t>mentioned</w:t>
      </w:r>
      <w:r w:rsidRPr="00872805">
        <w:rPr>
          <w:rFonts w:asciiTheme="majorBidi" w:hAnsiTheme="majorBidi" w:cstheme="majorBidi"/>
        </w:rPr>
        <w:t xml:space="preserve"> above, remain focused on public</w:t>
      </w:r>
      <w:r>
        <w:rPr>
          <w:rFonts w:asciiTheme="majorBidi" w:hAnsiTheme="majorBidi" w:cstheme="majorBidi"/>
        </w:rPr>
        <w:t>-</w:t>
      </w:r>
      <w:r w:rsidRPr="00872805">
        <w:rPr>
          <w:rFonts w:asciiTheme="majorBidi" w:hAnsiTheme="majorBidi" w:cstheme="majorBidi"/>
        </w:rPr>
        <w:t xml:space="preserve">sphere issues. For </w:t>
      </w:r>
      <w:r>
        <w:rPr>
          <w:rFonts w:asciiTheme="majorBidi" w:hAnsiTheme="majorBidi" w:cstheme="majorBidi"/>
        </w:rPr>
        <w:t xml:space="preserve">another </w:t>
      </w:r>
      <w:r w:rsidRPr="00872805">
        <w:rPr>
          <w:rFonts w:asciiTheme="majorBidi" w:hAnsiTheme="majorBidi" w:cstheme="majorBidi"/>
        </w:rPr>
        <w:t>example, in her essay, "Private Rights and Public Virtues: Women, the Family, and Democracy," Carol C. Gould argues that the separation between the private and the public spheres undermines democratic values</w:t>
      </w:r>
      <w:r>
        <w:rPr>
          <w:rFonts w:asciiTheme="majorBidi" w:hAnsiTheme="majorBidi" w:cstheme="majorBidi"/>
        </w:rPr>
        <w:t xml:space="preserve"> </w:t>
      </w:r>
      <w:r w:rsidRPr="00143326">
        <w:rPr>
          <w:rFonts w:asciiTheme="majorBidi" w:hAnsiTheme="majorBidi" w:cstheme="majorBidi"/>
        </w:rPr>
        <w:t>(Gould 1983)</w:t>
      </w:r>
      <w:r w:rsidRPr="00872805">
        <w:rPr>
          <w:rFonts w:asciiTheme="majorBidi" w:hAnsiTheme="majorBidi" w:cstheme="majorBidi"/>
        </w:rPr>
        <w:t>. Gould critiques</w:t>
      </w:r>
      <w:r>
        <w:rPr>
          <w:rFonts w:asciiTheme="majorBidi" w:hAnsiTheme="majorBidi" w:cstheme="majorBidi"/>
        </w:rPr>
        <w:t xml:space="preserve"> the way </w:t>
      </w:r>
      <w:r w:rsidRPr="00872805">
        <w:rPr>
          <w:rFonts w:asciiTheme="majorBidi" w:hAnsiTheme="majorBidi" w:cstheme="majorBidi"/>
        </w:rPr>
        <w:t xml:space="preserve">many of women's rights and concerns, such as domestic work, household responsibilities, and reproductive labor, are relegated to the private sphere, preventing them from advancing </w:t>
      </w:r>
      <w:r>
        <w:rPr>
          <w:rFonts w:asciiTheme="majorBidi" w:hAnsiTheme="majorBidi" w:cstheme="majorBidi"/>
        </w:rPr>
        <w:t>women’s</w:t>
      </w:r>
      <w:r w:rsidRPr="00872805">
        <w:rPr>
          <w:rFonts w:asciiTheme="majorBidi" w:hAnsiTheme="majorBidi" w:cstheme="majorBidi"/>
        </w:rPr>
        <w:t xml:space="preserve"> rights </w:t>
      </w:r>
      <w:r>
        <w:rPr>
          <w:rFonts w:asciiTheme="majorBidi" w:hAnsiTheme="majorBidi" w:cstheme="majorBidi"/>
        </w:rPr>
        <w:t xml:space="preserve">as </w:t>
      </w:r>
      <w:r w:rsidRPr="00872805">
        <w:rPr>
          <w:rFonts w:asciiTheme="majorBidi" w:hAnsiTheme="majorBidi" w:cstheme="majorBidi"/>
        </w:rPr>
        <w:t xml:space="preserve">legitimate </w:t>
      </w:r>
      <w:r>
        <w:rPr>
          <w:rFonts w:asciiTheme="majorBidi" w:hAnsiTheme="majorBidi" w:cstheme="majorBidi"/>
        </w:rPr>
        <w:t xml:space="preserve">in the </w:t>
      </w:r>
      <w:r w:rsidRPr="00872805">
        <w:rPr>
          <w:rFonts w:asciiTheme="majorBidi" w:hAnsiTheme="majorBidi" w:cstheme="majorBidi"/>
        </w:rPr>
        <w:t xml:space="preserve">democratic </w:t>
      </w:r>
      <w:r>
        <w:rPr>
          <w:rFonts w:asciiTheme="majorBidi" w:hAnsiTheme="majorBidi" w:cstheme="majorBidi"/>
        </w:rPr>
        <w:t xml:space="preserve">process </w:t>
      </w:r>
      <w:r w:rsidRPr="00143326">
        <w:rPr>
          <w:rFonts w:asciiTheme="majorBidi" w:hAnsiTheme="majorBidi" w:cstheme="majorBidi"/>
        </w:rPr>
        <w:t>(1983)</w:t>
      </w:r>
      <w:r w:rsidRPr="00872805">
        <w:rPr>
          <w:rFonts w:asciiTheme="majorBidi" w:hAnsiTheme="majorBidi" w:cstheme="majorBidi"/>
        </w:rPr>
        <w:t xml:space="preserve">. </w:t>
      </w:r>
    </w:p>
    <w:p w14:paraId="0A18281E"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In a similar</w:t>
      </w:r>
      <w:r>
        <w:rPr>
          <w:rFonts w:asciiTheme="majorBidi" w:hAnsiTheme="majorBidi" w:cstheme="majorBidi"/>
        </w:rPr>
        <w:t xml:space="preserve"> fashion, </w:t>
      </w:r>
      <w:r w:rsidRPr="00872805">
        <w:rPr>
          <w:rFonts w:asciiTheme="majorBidi" w:hAnsiTheme="majorBidi" w:cstheme="majorBidi"/>
        </w:rPr>
        <w:t xml:space="preserve">Fraser focuses on what is accepted and not accepted as legitimate discourse in the liberal public sphere. In her book, </w:t>
      </w:r>
      <w:r w:rsidRPr="00872805">
        <w:rPr>
          <w:rFonts w:asciiTheme="majorBidi" w:hAnsiTheme="majorBidi" w:cstheme="majorBidi"/>
          <w:i/>
          <w:iCs/>
        </w:rPr>
        <w:t>Unruly Practices: Power, Discourse, and Gender in Contemporary Social Theory</w:t>
      </w:r>
      <w:r w:rsidRPr="00872805">
        <w:rPr>
          <w:rFonts w:asciiTheme="majorBidi" w:hAnsiTheme="majorBidi" w:cstheme="majorBidi"/>
        </w:rPr>
        <w:t>, Fraser goes beyond Habermas’s conception of the public sphere and integrates Michel Foucault’s critiques of</w:t>
      </w:r>
      <w:r>
        <w:rPr>
          <w:rFonts w:asciiTheme="majorBidi" w:hAnsiTheme="majorBidi" w:cstheme="majorBidi"/>
        </w:rPr>
        <w:t xml:space="preserve"> the</w:t>
      </w:r>
      <w:r w:rsidRPr="00872805">
        <w:rPr>
          <w:rFonts w:asciiTheme="majorBidi" w:hAnsiTheme="majorBidi" w:cstheme="majorBidi"/>
        </w:rPr>
        <w:t xml:space="preserve"> </w:t>
      </w:r>
      <w:r w:rsidRPr="00872805">
        <w:rPr>
          <w:rFonts w:asciiTheme="majorBidi" w:hAnsiTheme="majorBidi" w:cstheme="majorBidi"/>
          <w:i/>
          <w:iCs/>
        </w:rPr>
        <w:t>liberal normative framework</w:t>
      </w:r>
      <w:r w:rsidRPr="00872805">
        <w:rPr>
          <w:rFonts w:asciiTheme="majorBidi" w:hAnsiTheme="majorBidi" w:cstheme="majorBidi"/>
        </w:rPr>
        <w:t xml:space="preserve"> and how it </w:t>
      </w:r>
      <w:r w:rsidRPr="00872805">
        <w:rPr>
          <w:rFonts w:asciiTheme="majorBidi" w:hAnsiTheme="majorBidi" w:cstheme="majorBidi"/>
        </w:rPr>
        <w:lastRenderedPageBreak/>
        <w:t>excludes and marginalizes other legitimate d</w:t>
      </w:r>
      <w:r>
        <w:rPr>
          <w:rFonts w:asciiTheme="majorBidi" w:hAnsiTheme="majorBidi" w:cstheme="majorBidi"/>
        </w:rPr>
        <w:t>ebates and issues</w:t>
      </w:r>
      <w:r w:rsidRPr="00872805">
        <w:rPr>
          <w:rFonts w:asciiTheme="majorBidi" w:hAnsiTheme="majorBidi" w:cstheme="majorBidi"/>
        </w:rPr>
        <w:t>, including those of women, racial and ethnic minorities, and lower classes</w:t>
      </w:r>
      <w:r w:rsidRPr="00143326">
        <w:t xml:space="preserve"> </w:t>
      </w:r>
      <w:r w:rsidRPr="00143326">
        <w:rPr>
          <w:rFonts w:asciiTheme="majorBidi" w:hAnsiTheme="majorBidi" w:cstheme="majorBidi"/>
        </w:rPr>
        <w:t>(Fraser 1989)</w:t>
      </w:r>
      <w:r w:rsidRPr="00872805">
        <w:rPr>
          <w:rFonts w:asciiTheme="majorBidi" w:hAnsiTheme="majorBidi" w:cstheme="majorBidi"/>
        </w:rPr>
        <w:t>. In other words, it is not only the separation of the public and private spheres that is the problem, but the very liberal normative framework which is undermined by patriarchal, classist, and racial power dynamics.</w:t>
      </w:r>
    </w:p>
    <w:p w14:paraId="5BC7BF18"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 xml:space="preserve">Intersectional critiques, on the other hand, have focused on how liberal democracy conceals structural constraints </w:t>
      </w:r>
      <w:r>
        <w:rPr>
          <w:rFonts w:asciiTheme="majorBidi" w:hAnsiTheme="majorBidi" w:cstheme="majorBidi"/>
        </w:rPr>
        <w:t>in</w:t>
      </w:r>
      <w:r w:rsidRPr="00872805">
        <w:rPr>
          <w:rFonts w:asciiTheme="majorBidi" w:hAnsiTheme="majorBidi" w:cstheme="majorBidi"/>
        </w:rPr>
        <w:t xml:space="preserve"> discourses </w:t>
      </w:r>
      <w:r>
        <w:rPr>
          <w:rFonts w:asciiTheme="majorBidi" w:hAnsiTheme="majorBidi" w:cstheme="majorBidi"/>
        </w:rPr>
        <w:t>about</w:t>
      </w:r>
      <w:r w:rsidRPr="00872805">
        <w:rPr>
          <w:rFonts w:asciiTheme="majorBidi" w:hAnsiTheme="majorBidi" w:cstheme="majorBidi"/>
        </w:rPr>
        <w:t xml:space="preserve"> individual freedom, equality, and dignity of personhood. Maureen R. Waller and Marianne Cooper's "Low-Income Fatherhood in the Era of Neoliberalism</w:t>
      </w:r>
      <w:r>
        <w:rPr>
          <w:rFonts w:asciiTheme="majorBidi" w:hAnsiTheme="majorBidi" w:cstheme="majorBidi"/>
        </w:rPr>
        <w:t>,</w:t>
      </w:r>
      <w:r w:rsidRPr="00872805">
        <w:rPr>
          <w:rFonts w:asciiTheme="majorBidi" w:hAnsiTheme="majorBidi" w:cstheme="majorBidi"/>
        </w:rPr>
        <w:t>" and Rebecca Helman and colleagues' "Young people's reproductions of the 'father as provider' discourse: intersections of race, class, culture, and gender within a liberal democracy" contend with such structural contradiction.</w:t>
      </w:r>
      <w:r>
        <w:rPr>
          <w:rFonts w:asciiTheme="majorBidi" w:hAnsiTheme="majorBidi" w:cstheme="majorBidi"/>
        </w:rPr>
        <w:t xml:space="preserve"> T</w:t>
      </w:r>
      <w:r w:rsidRPr="00872805">
        <w:rPr>
          <w:rFonts w:asciiTheme="majorBidi" w:hAnsiTheme="majorBidi" w:cstheme="majorBidi"/>
        </w:rPr>
        <w:t xml:space="preserve">he second article analyzes how the legal rights provided by liberal democracy in South Africa overshadow the entrenched racial, gendered, and class-based inequalities inherited from apartheid and global capitalism, which pushes responsibilities </w:t>
      </w:r>
      <w:r>
        <w:rPr>
          <w:rFonts w:asciiTheme="majorBidi" w:hAnsiTheme="majorBidi" w:cstheme="majorBidi"/>
        </w:rPr>
        <w:t>o</w:t>
      </w:r>
      <w:r w:rsidRPr="00872805">
        <w:rPr>
          <w:rFonts w:asciiTheme="majorBidi" w:hAnsiTheme="majorBidi" w:cstheme="majorBidi"/>
        </w:rPr>
        <w:t>nto low-income fathers that are structurally constrained</w:t>
      </w:r>
      <w:r>
        <w:rPr>
          <w:rFonts w:asciiTheme="majorBidi" w:hAnsiTheme="majorBidi" w:cstheme="majorBidi"/>
        </w:rPr>
        <w:t xml:space="preserve"> </w:t>
      </w:r>
      <w:r w:rsidRPr="00143326">
        <w:rPr>
          <w:rFonts w:asciiTheme="majorBidi" w:hAnsiTheme="majorBidi" w:cstheme="majorBidi"/>
        </w:rPr>
        <w:t>(Weaver-Hightower 2011</w:t>
      </w:r>
      <w:r>
        <w:rPr>
          <w:rFonts w:asciiTheme="majorBidi" w:hAnsiTheme="majorBidi" w:cstheme="majorBidi"/>
        </w:rPr>
        <w:t>)</w:t>
      </w:r>
      <w:r w:rsidRPr="00872805">
        <w:rPr>
          <w:rFonts w:asciiTheme="majorBidi" w:hAnsiTheme="majorBidi" w:cstheme="majorBidi"/>
        </w:rPr>
        <w:t>. The first article provide</w:t>
      </w:r>
      <w:r>
        <w:rPr>
          <w:rFonts w:asciiTheme="majorBidi" w:hAnsiTheme="majorBidi" w:cstheme="majorBidi"/>
        </w:rPr>
        <w:t>s</w:t>
      </w:r>
      <w:r w:rsidRPr="00872805">
        <w:rPr>
          <w:rFonts w:asciiTheme="majorBidi" w:hAnsiTheme="majorBidi" w:cstheme="majorBidi"/>
        </w:rPr>
        <w:t xml:space="preserve"> a similar critique in the context of the US while integrating the impact of neoliberalism into the equation</w:t>
      </w:r>
      <w:r w:rsidRPr="0064351C">
        <w:rPr>
          <w:rFonts w:asciiTheme="majorBidi" w:hAnsiTheme="majorBidi" w:cstheme="majorBidi"/>
        </w:rPr>
        <w:t xml:space="preserve"> </w:t>
      </w:r>
      <w:r>
        <w:rPr>
          <w:rFonts w:asciiTheme="majorBidi" w:hAnsiTheme="majorBidi" w:cstheme="majorBidi"/>
        </w:rPr>
        <w:t>(</w:t>
      </w:r>
      <w:r w:rsidRPr="00143326">
        <w:rPr>
          <w:rFonts w:asciiTheme="majorBidi" w:hAnsiTheme="majorBidi" w:cstheme="majorBidi"/>
        </w:rPr>
        <w:t>Helman, Ratele, and Shefer 2016)</w:t>
      </w:r>
      <w:r w:rsidRPr="00872805">
        <w:rPr>
          <w:rFonts w:asciiTheme="majorBidi" w:hAnsiTheme="majorBidi" w:cstheme="majorBidi"/>
        </w:rPr>
        <w:t xml:space="preserve">. </w:t>
      </w:r>
    </w:p>
    <w:p w14:paraId="18FADE67" w14:textId="3DE4C5C0" w:rsidR="001C71F6"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Th</w:t>
      </w:r>
      <w:r>
        <w:rPr>
          <w:rFonts w:asciiTheme="majorBidi" w:hAnsiTheme="majorBidi" w:cstheme="majorBidi"/>
        </w:rPr>
        <w:t>is</w:t>
      </w:r>
      <w:r w:rsidRPr="00872805">
        <w:rPr>
          <w:rFonts w:asciiTheme="majorBidi" w:hAnsiTheme="majorBidi" w:cstheme="majorBidi"/>
        </w:rPr>
        <w:t xml:space="preserve"> typ</w:t>
      </w:r>
      <w:r>
        <w:rPr>
          <w:rFonts w:asciiTheme="majorBidi" w:hAnsiTheme="majorBidi" w:cstheme="majorBidi"/>
        </w:rPr>
        <w:t>e</w:t>
      </w:r>
      <w:r w:rsidRPr="00872805">
        <w:rPr>
          <w:rFonts w:asciiTheme="majorBidi" w:hAnsiTheme="majorBidi" w:cstheme="majorBidi"/>
        </w:rPr>
        <w:t xml:space="preserve"> of internal critique is aimed at advancing inclusion </w:t>
      </w:r>
      <w:r>
        <w:rPr>
          <w:rFonts w:asciiTheme="majorBidi" w:hAnsiTheme="majorBidi" w:cstheme="majorBidi"/>
        </w:rPr>
        <w:t>within</w:t>
      </w:r>
      <w:r w:rsidRPr="00872805">
        <w:rPr>
          <w:rFonts w:asciiTheme="majorBidi" w:hAnsiTheme="majorBidi" w:cstheme="majorBidi"/>
        </w:rPr>
        <w:t xml:space="preserve"> the liberal democratic framework. In other words, </w:t>
      </w:r>
      <w:r>
        <w:rPr>
          <w:rFonts w:asciiTheme="majorBidi" w:hAnsiTheme="majorBidi" w:cstheme="majorBidi"/>
        </w:rPr>
        <w:t>it</w:t>
      </w:r>
      <w:r w:rsidRPr="00872805">
        <w:rPr>
          <w:rFonts w:asciiTheme="majorBidi" w:hAnsiTheme="majorBidi" w:cstheme="majorBidi"/>
        </w:rPr>
        <w:t xml:space="preserve"> resonate</w:t>
      </w:r>
      <w:r>
        <w:rPr>
          <w:rFonts w:asciiTheme="majorBidi" w:hAnsiTheme="majorBidi" w:cstheme="majorBidi"/>
        </w:rPr>
        <w:t>s</w:t>
      </w:r>
      <w:r w:rsidRPr="00872805">
        <w:rPr>
          <w:rFonts w:asciiTheme="majorBidi" w:hAnsiTheme="majorBidi" w:cstheme="majorBidi"/>
        </w:rPr>
        <w:t xml:space="preserve"> with Antony Gramsci's critique of civil society and hegemony in the 20</w:t>
      </w:r>
      <w:r w:rsidRPr="00872805">
        <w:rPr>
          <w:rFonts w:asciiTheme="majorBidi" w:hAnsiTheme="majorBidi" w:cstheme="majorBidi"/>
          <w:vertAlign w:val="superscript"/>
        </w:rPr>
        <w:t>th</w:t>
      </w:r>
      <w:r w:rsidRPr="00872805">
        <w:rPr>
          <w:rFonts w:asciiTheme="majorBidi" w:hAnsiTheme="majorBidi" w:cstheme="majorBidi"/>
        </w:rPr>
        <w:t xml:space="preserve"> century, in that liberal values </w:t>
      </w:r>
      <w:r>
        <w:rPr>
          <w:rFonts w:asciiTheme="majorBidi" w:hAnsiTheme="majorBidi" w:cstheme="majorBidi"/>
        </w:rPr>
        <w:t>claim to apply</w:t>
      </w:r>
      <w:r w:rsidRPr="00872805">
        <w:rPr>
          <w:rFonts w:asciiTheme="majorBidi" w:hAnsiTheme="majorBidi" w:cstheme="majorBidi"/>
        </w:rPr>
        <w:t xml:space="preserve"> universally</w:t>
      </w:r>
      <w:r>
        <w:rPr>
          <w:rFonts w:asciiTheme="majorBidi" w:hAnsiTheme="majorBidi" w:cstheme="majorBidi"/>
        </w:rPr>
        <w:t>,</w:t>
      </w:r>
      <w:r w:rsidRPr="00872805">
        <w:rPr>
          <w:rFonts w:asciiTheme="majorBidi" w:hAnsiTheme="majorBidi" w:cstheme="majorBidi"/>
        </w:rPr>
        <w:t xml:space="preserve"> </w:t>
      </w:r>
      <w:r>
        <w:rPr>
          <w:rFonts w:asciiTheme="majorBidi" w:hAnsiTheme="majorBidi" w:cstheme="majorBidi"/>
        </w:rPr>
        <w:t>but</w:t>
      </w:r>
      <w:r w:rsidRPr="00872805">
        <w:rPr>
          <w:rFonts w:asciiTheme="majorBidi" w:hAnsiTheme="majorBidi" w:cstheme="majorBidi"/>
        </w:rPr>
        <w:t xml:space="preserve"> they exclude the marginalized</w:t>
      </w:r>
      <w:r>
        <w:rPr>
          <w:rFonts w:asciiTheme="majorBidi" w:hAnsiTheme="majorBidi" w:cstheme="majorBidi"/>
        </w:rPr>
        <w:t xml:space="preserve"> (</w:t>
      </w:r>
      <w:r w:rsidRPr="00143326">
        <w:rPr>
          <w:rFonts w:asciiTheme="majorBidi" w:hAnsiTheme="majorBidi" w:cstheme="majorBidi"/>
        </w:rPr>
        <w:t>Buttigieg 1995)</w:t>
      </w:r>
      <w:r w:rsidRPr="00872805">
        <w:rPr>
          <w:rFonts w:asciiTheme="majorBidi" w:hAnsiTheme="majorBidi" w:cstheme="majorBidi"/>
        </w:rPr>
        <w:t xml:space="preserve">. The </w:t>
      </w:r>
      <w:r>
        <w:rPr>
          <w:rFonts w:asciiTheme="majorBidi" w:hAnsiTheme="majorBidi" w:cstheme="majorBidi"/>
        </w:rPr>
        <w:t xml:space="preserve">goal </w:t>
      </w:r>
      <w:r w:rsidRPr="00872805">
        <w:rPr>
          <w:rFonts w:asciiTheme="majorBidi" w:hAnsiTheme="majorBidi" w:cstheme="majorBidi"/>
        </w:rPr>
        <w:t xml:space="preserve">here is not to tear down liberal democracy or </w:t>
      </w:r>
      <w:r>
        <w:rPr>
          <w:rFonts w:asciiTheme="majorBidi" w:hAnsiTheme="majorBidi" w:cstheme="majorBidi"/>
        </w:rPr>
        <w:t xml:space="preserve">to </w:t>
      </w:r>
      <w:r w:rsidRPr="00872805">
        <w:rPr>
          <w:rFonts w:asciiTheme="majorBidi" w:hAnsiTheme="majorBidi" w:cstheme="majorBidi"/>
        </w:rPr>
        <w:t xml:space="preserve">question its value, but to uncover who is being excluded and, thus, </w:t>
      </w:r>
      <w:r>
        <w:rPr>
          <w:rFonts w:asciiTheme="majorBidi" w:hAnsiTheme="majorBidi" w:cstheme="majorBidi"/>
        </w:rPr>
        <w:t xml:space="preserve">to </w:t>
      </w:r>
      <w:r w:rsidRPr="00872805">
        <w:rPr>
          <w:rFonts w:asciiTheme="majorBidi" w:hAnsiTheme="majorBidi" w:cstheme="majorBidi"/>
        </w:rPr>
        <w:t xml:space="preserve">push for more inclusiveness in the democratic discourse and process.  </w:t>
      </w:r>
    </w:p>
    <w:p w14:paraId="11D8B724" w14:textId="6A14A66B" w:rsidR="00A32F85" w:rsidRDefault="00A32F85" w:rsidP="00A32F85">
      <w:pPr>
        <w:pStyle w:val="Caption"/>
        <w:keepNext/>
      </w:pPr>
      <w:r>
        <w:lastRenderedPageBreak/>
        <w:t xml:space="preserve">Table </w:t>
      </w:r>
      <w:fldSimple w:instr=" SEQ Table \* ARABIC ">
        <w:r w:rsidR="000C1B97">
          <w:rPr>
            <w:noProof/>
          </w:rPr>
          <w:t>1</w:t>
        </w:r>
      </w:fldSimple>
      <w:r>
        <w:t xml:space="preserve"> This analytical table provides a comparative summary of the main types of internal critique discussed in the chapter.</w:t>
      </w:r>
    </w:p>
    <w:tbl>
      <w:tblPr>
        <w:tblStyle w:val="GridTable4"/>
        <w:tblW w:w="9625" w:type="dxa"/>
        <w:tblLook w:val="04A0" w:firstRow="1" w:lastRow="0" w:firstColumn="1" w:lastColumn="0" w:noHBand="0" w:noVBand="1"/>
      </w:tblPr>
      <w:tblGrid>
        <w:gridCol w:w="2525"/>
        <w:gridCol w:w="1392"/>
        <w:gridCol w:w="1812"/>
        <w:gridCol w:w="1759"/>
        <w:gridCol w:w="2137"/>
      </w:tblGrid>
      <w:tr w:rsidR="00A32F85" w:rsidRPr="00A32F85" w14:paraId="6B33028F" w14:textId="77777777" w:rsidTr="00A32F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68C8BAC5" w14:textId="77777777" w:rsidR="00A32F85" w:rsidRPr="00A32F85" w:rsidRDefault="00A32F85" w:rsidP="00F66036">
            <w:pPr>
              <w:rPr>
                <w:rFonts w:asciiTheme="majorBidi" w:hAnsiTheme="majorBidi" w:cstheme="majorBidi"/>
                <w:b w:val="0"/>
                <w:bCs w:val="0"/>
              </w:rPr>
            </w:pPr>
            <w:r w:rsidRPr="00A32F85">
              <w:rPr>
                <w:rFonts w:asciiTheme="majorBidi" w:hAnsiTheme="majorBidi" w:cstheme="majorBidi"/>
                <w:b w:val="0"/>
                <w:bCs w:val="0"/>
              </w:rPr>
              <w:t>Framework</w:t>
            </w:r>
          </w:p>
          <w:p w14:paraId="77B20C74" w14:textId="77777777" w:rsidR="00A32F85" w:rsidRPr="00A32F85" w:rsidRDefault="00A32F85" w:rsidP="00F66036">
            <w:pPr>
              <w:rPr>
                <w:rFonts w:asciiTheme="majorBidi" w:hAnsiTheme="majorBidi" w:cstheme="majorBidi"/>
                <w:b w:val="0"/>
                <w:bCs w:val="0"/>
              </w:rPr>
            </w:pPr>
          </w:p>
        </w:tc>
        <w:tc>
          <w:tcPr>
            <w:tcW w:w="1392" w:type="dxa"/>
          </w:tcPr>
          <w:p w14:paraId="0494B428" w14:textId="77777777" w:rsidR="00A32F85" w:rsidRPr="00A32F85" w:rsidRDefault="00A32F85" w:rsidP="00F66036">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A32F85">
              <w:rPr>
                <w:rFonts w:asciiTheme="majorBidi" w:hAnsiTheme="majorBidi" w:cstheme="majorBidi"/>
                <w:b w:val="0"/>
                <w:bCs w:val="0"/>
              </w:rPr>
              <w:t>Ontological Focus</w:t>
            </w:r>
          </w:p>
        </w:tc>
        <w:tc>
          <w:tcPr>
            <w:tcW w:w="1812" w:type="dxa"/>
          </w:tcPr>
          <w:p w14:paraId="57D0194D" w14:textId="77777777" w:rsidR="00A32F85" w:rsidRPr="00A32F85" w:rsidRDefault="00A32F85" w:rsidP="00F66036">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A32F85">
              <w:rPr>
                <w:rFonts w:asciiTheme="majorBidi" w:hAnsiTheme="majorBidi" w:cstheme="majorBidi"/>
                <w:b w:val="0"/>
                <w:bCs w:val="0"/>
              </w:rPr>
              <w:t>Epistemological Lens</w:t>
            </w:r>
          </w:p>
        </w:tc>
        <w:tc>
          <w:tcPr>
            <w:tcW w:w="1759" w:type="dxa"/>
          </w:tcPr>
          <w:p w14:paraId="656796B5" w14:textId="77777777" w:rsidR="00A32F85" w:rsidRPr="00A32F85" w:rsidRDefault="00A32F85" w:rsidP="00F66036">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A32F85">
              <w:rPr>
                <w:rFonts w:asciiTheme="majorBidi" w:hAnsiTheme="majorBidi" w:cstheme="majorBidi"/>
                <w:b w:val="0"/>
                <w:bCs w:val="0"/>
              </w:rPr>
              <w:t>Main Critique of Liberal Democracy</w:t>
            </w:r>
          </w:p>
        </w:tc>
        <w:tc>
          <w:tcPr>
            <w:tcW w:w="2137" w:type="dxa"/>
          </w:tcPr>
          <w:p w14:paraId="520D81A2" w14:textId="77777777" w:rsidR="00A32F85" w:rsidRPr="00A32F85" w:rsidRDefault="00A32F85" w:rsidP="00F66036">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A32F85">
              <w:rPr>
                <w:rFonts w:asciiTheme="majorBidi" w:hAnsiTheme="majorBidi" w:cstheme="majorBidi"/>
                <w:b w:val="0"/>
                <w:bCs w:val="0"/>
              </w:rPr>
              <w:t xml:space="preserve">Implications for Social Justice </w:t>
            </w:r>
          </w:p>
        </w:tc>
      </w:tr>
      <w:tr w:rsidR="00A32F85" w:rsidRPr="00A32F85" w14:paraId="31CB1FE3" w14:textId="77777777" w:rsidTr="00A32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1EF61892" w14:textId="77777777" w:rsidR="00A32F85" w:rsidRPr="00A32F85" w:rsidRDefault="00A32F85" w:rsidP="00F66036">
            <w:pPr>
              <w:rPr>
                <w:rFonts w:asciiTheme="majorBidi" w:hAnsiTheme="majorBidi" w:cstheme="majorBidi"/>
                <w:b w:val="0"/>
                <w:bCs w:val="0"/>
              </w:rPr>
            </w:pPr>
            <w:r w:rsidRPr="00A32F85">
              <w:rPr>
                <w:rFonts w:asciiTheme="majorBidi" w:hAnsiTheme="majorBidi" w:cstheme="majorBidi"/>
                <w:b w:val="0"/>
                <w:bCs w:val="0"/>
              </w:rPr>
              <w:t>Elite Theories</w:t>
            </w:r>
          </w:p>
        </w:tc>
        <w:tc>
          <w:tcPr>
            <w:tcW w:w="1392" w:type="dxa"/>
          </w:tcPr>
          <w:p w14:paraId="62194CD0"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Material institutions</w:t>
            </w:r>
          </w:p>
        </w:tc>
        <w:tc>
          <w:tcPr>
            <w:tcW w:w="1812" w:type="dxa"/>
          </w:tcPr>
          <w:p w14:paraId="7FA4B51B"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Empirical-structural analysis</w:t>
            </w:r>
          </w:p>
        </w:tc>
        <w:tc>
          <w:tcPr>
            <w:tcW w:w="1759" w:type="dxa"/>
          </w:tcPr>
          <w:p w14:paraId="6CC4BC13"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Structural oligarchy behind democratic façade</w:t>
            </w:r>
          </w:p>
        </w:tc>
        <w:tc>
          <w:tcPr>
            <w:tcW w:w="2137" w:type="dxa"/>
          </w:tcPr>
          <w:p w14:paraId="52701B10"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Limited reform</w:t>
            </w:r>
          </w:p>
        </w:tc>
      </w:tr>
      <w:tr w:rsidR="00A32F85" w:rsidRPr="00A32F85" w14:paraId="49F6CA14" w14:textId="77777777" w:rsidTr="00A32F85">
        <w:tc>
          <w:tcPr>
            <w:cnfStyle w:val="001000000000" w:firstRow="0" w:lastRow="0" w:firstColumn="1" w:lastColumn="0" w:oddVBand="0" w:evenVBand="0" w:oddHBand="0" w:evenHBand="0" w:firstRowFirstColumn="0" w:firstRowLastColumn="0" w:lastRowFirstColumn="0" w:lastRowLastColumn="0"/>
            <w:tcW w:w="2525" w:type="dxa"/>
          </w:tcPr>
          <w:p w14:paraId="58931098" w14:textId="77777777" w:rsidR="00A32F85" w:rsidRPr="00A32F85" w:rsidRDefault="00A32F85" w:rsidP="00F66036">
            <w:pPr>
              <w:rPr>
                <w:rFonts w:asciiTheme="majorBidi" w:hAnsiTheme="majorBidi" w:cstheme="majorBidi"/>
                <w:b w:val="0"/>
                <w:bCs w:val="0"/>
              </w:rPr>
            </w:pPr>
            <w:r w:rsidRPr="00A32F85">
              <w:rPr>
                <w:rFonts w:asciiTheme="majorBidi" w:hAnsiTheme="majorBidi" w:cstheme="majorBidi"/>
                <w:b w:val="0"/>
                <w:bCs w:val="0"/>
              </w:rPr>
              <w:t>Public Sphere Theory</w:t>
            </w:r>
          </w:p>
        </w:tc>
        <w:tc>
          <w:tcPr>
            <w:tcW w:w="1392" w:type="dxa"/>
          </w:tcPr>
          <w:p w14:paraId="1CF07BDA" w14:textId="77777777" w:rsidR="00A32F85" w:rsidRPr="00A32F85" w:rsidRDefault="00A32F85" w:rsidP="00F660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Discursive practices</w:t>
            </w:r>
          </w:p>
        </w:tc>
        <w:tc>
          <w:tcPr>
            <w:tcW w:w="1812" w:type="dxa"/>
          </w:tcPr>
          <w:p w14:paraId="50CC0B7F" w14:textId="77777777" w:rsidR="00A32F85" w:rsidRPr="00A32F85" w:rsidRDefault="00A32F85" w:rsidP="00F660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Critical theory</w:t>
            </w:r>
          </w:p>
        </w:tc>
        <w:tc>
          <w:tcPr>
            <w:tcW w:w="1759" w:type="dxa"/>
          </w:tcPr>
          <w:p w14:paraId="3EE1F4E8" w14:textId="77777777" w:rsidR="00A32F85" w:rsidRPr="00A32F85" w:rsidRDefault="00A32F85" w:rsidP="00F660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Colonization of communicative action</w:t>
            </w:r>
          </w:p>
        </w:tc>
        <w:tc>
          <w:tcPr>
            <w:tcW w:w="2137" w:type="dxa"/>
          </w:tcPr>
          <w:p w14:paraId="7D7D4617" w14:textId="77777777" w:rsidR="00A32F85" w:rsidRPr="00A32F85" w:rsidRDefault="00A32F85" w:rsidP="00F6603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Democratization of discourse</w:t>
            </w:r>
          </w:p>
        </w:tc>
      </w:tr>
      <w:tr w:rsidR="00A32F85" w:rsidRPr="00A32F85" w14:paraId="25C351C9" w14:textId="77777777" w:rsidTr="00A32F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14:paraId="1BB3467F" w14:textId="77777777" w:rsidR="00A32F85" w:rsidRPr="00A32F85" w:rsidRDefault="00A32F85" w:rsidP="00F66036">
            <w:pPr>
              <w:rPr>
                <w:rFonts w:asciiTheme="majorBidi" w:hAnsiTheme="majorBidi" w:cstheme="majorBidi"/>
                <w:b w:val="0"/>
                <w:bCs w:val="0"/>
              </w:rPr>
            </w:pPr>
            <w:r w:rsidRPr="00A32F85">
              <w:rPr>
                <w:rFonts w:asciiTheme="majorBidi" w:hAnsiTheme="majorBidi" w:cstheme="majorBidi"/>
                <w:b w:val="0"/>
                <w:bCs w:val="0"/>
              </w:rPr>
              <w:t>Intersectional/Feminist</w:t>
            </w:r>
          </w:p>
        </w:tc>
        <w:tc>
          <w:tcPr>
            <w:tcW w:w="1392" w:type="dxa"/>
          </w:tcPr>
          <w:p w14:paraId="47A438D3"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Intersecting identities</w:t>
            </w:r>
          </w:p>
        </w:tc>
        <w:tc>
          <w:tcPr>
            <w:tcW w:w="1812" w:type="dxa"/>
          </w:tcPr>
          <w:p w14:paraId="0224C375"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Standpoint epistemology</w:t>
            </w:r>
          </w:p>
        </w:tc>
        <w:tc>
          <w:tcPr>
            <w:tcW w:w="1759" w:type="dxa"/>
          </w:tcPr>
          <w:p w14:paraId="576B19F2"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Systemic exclusion and reproduction of oppression</w:t>
            </w:r>
          </w:p>
        </w:tc>
        <w:tc>
          <w:tcPr>
            <w:tcW w:w="2137" w:type="dxa"/>
          </w:tcPr>
          <w:p w14:paraId="42CF4CD5" w14:textId="77777777" w:rsidR="00A32F85" w:rsidRPr="00A32F85" w:rsidRDefault="00A32F85" w:rsidP="00F6603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32F85">
              <w:rPr>
                <w:rFonts w:asciiTheme="majorBidi" w:hAnsiTheme="majorBidi" w:cstheme="majorBidi"/>
              </w:rPr>
              <w:t>Transformative equality</w:t>
            </w:r>
          </w:p>
        </w:tc>
      </w:tr>
    </w:tbl>
    <w:p w14:paraId="1DF4501C" w14:textId="77777777" w:rsidR="00A32F85" w:rsidRDefault="00A32F85" w:rsidP="001C71F6">
      <w:pPr>
        <w:spacing w:line="480" w:lineRule="auto"/>
        <w:ind w:firstLine="720"/>
        <w:jc w:val="both"/>
        <w:rPr>
          <w:rFonts w:asciiTheme="majorBidi" w:hAnsiTheme="majorBidi" w:cstheme="majorBidi"/>
        </w:rPr>
      </w:pPr>
    </w:p>
    <w:p w14:paraId="3419A95D" w14:textId="4244A0B6" w:rsidR="001D3151" w:rsidRDefault="001D3151" w:rsidP="001C71F6">
      <w:pPr>
        <w:spacing w:line="480" w:lineRule="auto"/>
        <w:ind w:firstLine="720"/>
        <w:jc w:val="both"/>
        <w:rPr>
          <w:rFonts w:asciiTheme="majorBidi" w:hAnsiTheme="majorBidi" w:cstheme="majorBidi"/>
        </w:rPr>
      </w:pPr>
    </w:p>
    <w:p w14:paraId="0C833D8E" w14:textId="77777777" w:rsidR="001C71F6" w:rsidRDefault="001C71F6">
      <w:pPr>
        <w:rPr>
          <w:rFonts w:asciiTheme="majorBidi" w:hAnsiTheme="majorBidi" w:cstheme="majorBidi"/>
        </w:rPr>
      </w:pPr>
      <w:r>
        <w:rPr>
          <w:rFonts w:asciiTheme="majorBidi" w:hAnsiTheme="majorBidi" w:cstheme="majorBidi"/>
        </w:rPr>
        <w:br w:type="page"/>
      </w:r>
    </w:p>
    <w:p w14:paraId="104CBC31" w14:textId="0B2005D2" w:rsidR="001C71F6" w:rsidRPr="00E1166A" w:rsidRDefault="001C71F6" w:rsidP="001C71F6">
      <w:pPr>
        <w:pStyle w:val="Style1"/>
      </w:pPr>
      <w:bookmarkStart w:id="21" w:name="_Toc201932385"/>
      <w:bookmarkStart w:id="22" w:name="_Toc202283729"/>
      <w:bookmarkStart w:id="23" w:name="_Hlk201924754"/>
      <w:r>
        <w:lastRenderedPageBreak/>
        <w:t xml:space="preserve">Chapter </w:t>
      </w:r>
      <w:r w:rsidR="003E4924">
        <w:t>3</w:t>
      </w:r>
      <w:r>
        <w:t>:</w:t>
      </w:r>
      <w:r w:rsidRPr="00E1166A">
        <w:t xml:space="preserve"> Methodology</w:t>
      </w:r>
      <w:bookmarkEnd w:id="21"/>
      <w:bookmarkEnd w:id="22"/>
    </w:p>
    <w:p w14:paraId="6ADC5F4B" w14:textId="77777777" w:rsidR="001C71F6" w:rsidRPr="00B43CE3" w:rsidRDefault="001C71F6" w:rsidP="001C71F6">
      <w:pPr>
        <w:spacing w:line="480" w:lineRule="auto"/>
        <w:ind w:firstLine="720"/>
        <w:jc w:val="both"/>
        <w:rPr>
          <w:rFonts w:asciiTheme="majorBidi" w:hAnsiTheme="majorBidi" w:cstheme="majorBidi"/>
        </w:rPr>
      </w:pPr>
      <w:r>
        <w:rPr>
          <w:rFonts w:asciiTheme="majorBidi" w:hAnsiTheme="majorBidi" w:cstheme="majorBidi"/>
        </w:rPr>
        <w:t xml:space="preserve">The thesis will primarily employ a qualitative methodology, combining historical analysis with critical textual analysis. The purpose of such a combination is to bridge empirical history with theoretical inquiry, providing sufficient answers to the proposed research question. </w:t>
      </w:r>
    </w:p>
    <w:p w14:paraId="2340A2A1" w14:textId="251069FF" w:rsidR="001C71F6" w:rsidRPr="00D02598" w:rsidRDefault="003E4924" w:rsidP="001C71F6">
      <w:pPr>
        <w:pStyle w:val="Style2"/>
      </w:pPr>
      <w:bookmarkStart w:id="24" w:name="_Toc201932386"/>
      <w:bookmarkStart w:id="25" w:name="_Toc202283730"/>
      <w:r>
        <w:t>3</w:t>
      </w:r>
      <w:r w:rsidR="001C71F6" w:rsidRPr="00D02598">
        <w:t>.1 Historical Analysis:</w:t>
      </w:r>
      <w:bookmarkEnd w:id="24"/>
      <w:bookmarkEnd w:id="25"/>
    </w:p>
    <w:p w14:paraId="1B8DE501" w14:textId="6D4C785E" w:rsidR="001C71F6" w:rsidRPr="00872805" w:rsidRDefault="001C71F6" w:rsidP="001C71F6">
      <w:pPr>
        <w:spacing w:line="480" w:lineRule="auto"/>
        <w:ind w:firstLine="720"/>
        <w:jc w:val="both"/>
        <w:rPr>
          <w:rFonts w:asciiTheme="majorBidi" w:hAnsiTheme="majorBidi" w:cstheme="majorBidi"/>
        </w:rPr>
      </w:pPr>
      <w:r w:rsidRPr="00853384">
        <w:rPr>
          <w:rFonts w:asciiTheme="majorBidi" w:hAnsiTheme="majorBidi" w:cstheme="majorBidi"/>
        </w:rPr>
        <w:t xml:space="preserve">This thesis will pursue a historical-sociological analysis of post-2003 Iraq. The research efforts will involve the examination of primary and secondary sources that have documented the Iraqi economic conditions, social change, and significant political development. Key sources will include official sources (e.g., the constitution, CPA order, election law, new policies, unclassified intelligence), reports by international organizations, non-governmental organizations, major think tanks and research centers, and scholarly historiography of post-2003 Iraq. The historical analysis aims to trace the timeline of the major events that shaped the current order, including the US invasion, the transfer of sovereignty, the drafting of the constitutions, successive elections, sectarian conflict, and civil wars, a period of relative stability, and up to 2019 protest movements. By deconstructing and reconstructing such a historical trajectory, the thesis will contextualize how liberal democracy was imposed and evolved in practice. Through the historical analysis, we can understand the contingent and path-dependent nature of the post-2003 socio-political order, including the legacy of authoritarianism, foreign interventions, and internal conflicts that have shaped the country's politics. </w:t>
      </w:r>
    </w:p>
    <w:p w14:paraId="3517CD8E" w14:textId="1B740909" w:rsidR="001C71F6" w:rsidRDefault="003E4924" w:rsidP="001C71F6">
      <w:pPr>
        <w:pStyle w:val="Style2"/>
      </w:pPr>
      <w:bookmarkStart w:id="26" w:name="_Hlk199773337"/>
      <w:bookmarkStart w:id="27" w:name="_Toc201932387"/>
      <w:bookmarkStart w:id="28" w:name="_Toc202283731"/>
      <w:r>
        <w:lastRenderedPageBreak/>
        <w:t>3</w:t>
      </w:r>
      <w:r w:rsidR="001C71F6">
        <w:t xml:space="preserve">.2 </w:t>
      </w:r>
      <w:r w:rsidR="001C71F6" w:rsidRPr="000C24EC">
        <w:t>Iraqi Perspective and Scholarly Sources</w:t>
      </w:r>
      <w:r w:rsidR="001C71F6" w:rsidRPr="00D02598">
        <w:t>:</w:t>
      </w:r>
      <w:bookmarkEnd w:id="23"/>
      <w:bookmarkEnd w:id="26"/>
      <w:bookmarkEnd w:id="27"/>
      <w:bookmarkEnd w:id="28"/>
    </w:p>
    <w:p w14:paraId="6D358F09" w14:textId="77777777" w:rsidR="001C71F6" w:rsidRDefault="001C71F6" w:rsidP="001C71F6">
      <w:pPr>
        <w:spacing w:line="480" w:lineRule="auto"/>
        <w:ind w:firstLine="720"/>
        <w:jc w:val="both"/>
        <w:rPr>
          <w:rFonts w:asciiTheme="majorBidi" w:hAnsiTheme="majorBidi" w:cstheme="majorBidi"/>
        </w:rPr>
      </w:pPr>
      <w:r w:rsidRPr="00A525E7">
        <w:rPr>
          <w:rFonts w:asciiTheme="majorBidi" w:hAnsiTheme="majorBidi" w:cstheme="majorBidi"/>
        </w:rPr>
        <w:t>In parallel</w:t>
      </w:r>
      <w:r>
        <w:rPr>
          <w:rFonts w:asciiTheme="majorBidi" w:hAnsiTheme="majorBidi" w:cstheme="majorBidi"/>
        </w:rPr>
        <w:t xml:space="preserve"> </w:t>
      </w:r>
      <w:r w:rsidRPr="00A525E7">
        <w:rPr>
          <w:rFonts w:asciiTheme="majorBidi" w:hAnsiTheme="majorBidi" w:cstheme="majorBidi"/>
        </w:rPr>
        <w:t xml:space="preserve">with </w:t>
      </w:r>
      <w:r>
        <w:rPr>
          <w:rFonts w:asciiTheme="majorBidi" w:hAnsiTheme="majorBidi" w:cstheme="majorBidi"/>
        </w:rPr>
        <w:t xml:space="preserve">historical-sociological analysis, the thesis aims to establish a comparative analysis between the way Iraqi scholars critiqued the post-2003 Iraqi political system and the typology of Western internal critiques established earlier. Below is a list of relevant scholarly sources and perspectives that will be potentially included. To be included in the list, the scholar </w:t>
      </w:r>
      <w:proofErr w:type="gramStart"/>
      <w:r>
        <w:rPr>
          <w:rFonts w:asciiTheme="majorBidi" w:hAnsiTheme="majorBidi" w:cstheme="majorBidi"/>
        </w:rPr>
        <w:t>has to</w:t>
      </w:r>
      <w:proofErr w:type="gramEnd"/>
      <w:r>
        <w:rPr>
          <w:rFonts w:asciiTheme="majorBidi" w:hAnsiTheme="majorBidi" w:cstheme="majorBidi"/>
        </w:rPr>
        <w:t xml:space="preserve"> belong to one of the following categories: 1) Essential intellectual authority in the political sociology of modern Iraqi society. 2) Comparatively compatible with the typology of internal critiques established earlier. 3) directly critiques the political system of post-2003 Iraq. Not all scholars will be utilized equally, and the more contemporary ones that directly deal with the democratization process and democratic system will be prioritized. While most of those scholars have available sources in English, if I happen to utilize any Arabic text, I will provide a thorough translation as a native.</w:t>
      </w:r>
    </w:p>
    <w:p w14:paraId="3ABD43EE" w14:textId="77777777" w:rsidR="001C71F6" w:rsidRDefault="001C71F6" w:rsidP="001C71F6">
      <w:pPr>
        <w:jc w:val="both"/>
        <w:rPr>
          <w:rFonts w:asciiTheme="majorBidi" w:hAnsiTheme="majorBidi" w:cstheme="majorBidi"/>
        </w:rPr>
      </w:pPr>
    </w:p>
    <w:p w14:paraId="09E3DE73" w14:textId="77777777" w:rsidR="001C71F6" w:rsidRPr="004D64B5" w:rsidRDefault="001C71F6" w:rsidP="001C71F6">
      <w:pPr>
        <w:jc w:val="both"/>
        <w:rPr>
          <w:rFonts w:asciiTheme="majorBidi" w:hAnsiTheme="majorBidi" w:cstheme="majorBidi"/>
          <w:b/>
          <w:bCs/>
          <w:u w:val="single"/>
        </w:rPr>
      </w:pPr>
      <w:r w:rsidRPr="00F85A4B">
        <w:rPr>
          <w:rFonts w:asciiTheme="majorBidi" w:hAnsiTheme="majorBidi" w:cstheme="majorBidi"/>
          <w:b/>
          <w:bCs/>
          <w:u w:val="single"/>
        </w:rPr>
        <w:t xml:space="preserve">The </w:t>
      </w:r>
      <w:r>
        <w:rPr>
          <w:rFonts w:asciiTheme="majorBidi" w:hAnsiTheme="majorBidi" w:cstheme="majorBidi"/>
          <w:b/>
          <w:bCs/>
          <w:u w:val="single"/>
        </w:rPr>
        <w:t>F</w:t>
      </w:r>
      <w:r w:rsidRPr="00F85A4B">
        <w:rPr>
          <w:rFonts w:asciiTheme="majorBidi" w:hAnsiTheme="majorBidi" w:cstheme="majorBidi"/>
          <w:b/>
          <w:bCs/>
          <w:u w:val="single"/>
        </w:rPr>
        <w:t xml:space="preserve">irst </w:t>
      </w:r>
      <w:r>
        <w:rPr>
          <w:rFonts w:asciiTheme="majorBidi" w:hAnsiTheme="majorBidi" w:cstheme="majorBidi"/>
          <w:b/>
          <w:bCs/>
          <w:u w:val="single"/>
        </w:rPr>
        <w:t>C</w:t>
      </w:r>
      <w:r w:rsidRPr="00F85A4B">
        <w:rPr>
          <w:rFonts w:asciiTheme="majorBidi" w:hAnsiTheme="majorBidi" w:cstheme="majorBidi"/>
          <w:b/>
          <w:bCs/>
          <w:u w:val="single"/>
        </w:rPr>
        <w:t>ategory</w:t>
      </w:r>
      <w:r>
        <w:rPr>
          <w:rFonts w:asciiTheme="majorBidi" w:hAnsiTheme="majorBidi" w:cstheme="majorBidi"/>
          <w:b/>
          <w:bCs/>
          <w:u w:val="single"/>
        </w:rPr>
        <w:t>:</w:t>
      </w:r>
    </w:p>
    <w:p w14:paraId="05D9A537" w14:textId="77777777" w:rsidR="001C71F6" w:rsidRPr="00F85A4B" w:rsidRDefault="001C71F6" w:rsidP="001C71F6">
      <w:pPr>
        <w:pStyle w:val="ListParagraph"/>
        <w:numPr>
          <w:ilvl w:val="0"/>
          <w:numId w:val="1"/>
        </w:numPr>
        <w:rPr>
          <w:rFonts w:asciiTheme="majorBidi" w:hAnsiTheme="majorBidi" w:cstheme="majorBidi"/>
        </w:rPr>
      </w:pPr>
      <w:r w:rsidRPr="00F85A4B">
        <w:rPr>
          <w:rFonts w:asciiTheme="majorBidi" w:hAnsiTheme="majorBidi" w:cstheme="majorBidi"/>
        </w:rPr>
        <w:t>Ali Al-Wardi: Recognized as one of the most influential sociologists of modern Iraq</w:t>
      </w:r>
      <w:r>
        <w:rPr>
          <w:rFonts w:asciiTheme="majorBidi" w:hAnsiTheme="majorBidi" w:cstheme="majorBidi"/>
        </w:rPr>
        <w:t xml:space="preserve"> and the founder of Iraqi sociology</w:t>
      </w:r>
      <w:r w:rsidRPr="00F85A4B">
        <w:rPr>
          <w:rFonts w:asciiTheme="majorBidi" w:hAnsiTheme="majorBidi" w:cstheme="majorBidi"/>
        </w:rPr>
        <w:t xml:space="preserve">, Al-Wardi’s analyses of Iraqi social structures, sectarian dynamics, and the tension between Bedouin and civic values provide a critical backdrop for interpreting the fragility of democratic institutions. His work offers a </w:t>
      </w:r>
      <w:r w:rsidRPr="00F85A4B">
        <w:rPr>
          <w:rFonts w:asciiTheme="majorBidi" w:hAnsiTheme="majorBidi" w:cstheme="majorBidi"/>
          <w:i/>
          <w:iCs/>
        </w:rPr>
        <w:t>longue durée</w:t>
      </w:r>
      <w:r w:rsidRPr="00F85A4B">
        <w:rPr>
          <w:rFonts w:asciiTheme="majorBidi" w:hAnsiTheme="majorBidi" w:cstheme="majorBidi"/>
        </w:rPr>
        <w:t xml:space="preserve"> perspective indispensable for sitting contemporary critiques.</w:t>
      </w:r>
    </w:p>
    <w:p w14:paraId="09A3F4BE" w14:textId="77777777" w:rsidR="001C71F6" w:rsidRDefault="001C71F6" w:rsidP="001C71F6">
      <w:pPr>
        <w:pStyle w:val="ListParagraph"/>
        <w:numPr>
          <w:ilvl w:val="0"/>
          <w:numId w:val="1"/>
        </w:numPr>
        <w:jc w:val="both"/>
        <w:rPr>
          <w:rFonts w:asciiTheme="majorBidi" w:hAnsiTheme="majorBidi" w:cstheme="majorBidi"/>
        </w:rPr>
      </w:pPr>
      <w:r w:rsidRPr="00F85A4B">
        <w:rPr>
          <w:rFonts w:asciiTheme="majorBidi" w:hAnsiTheme="majorBidi" w:cstheme="majorBidi"/>
        </w:rPr>
        <w:t xml:space="preserve">Faleh A. Jabar: As a </w:t>
      </w:r>
      <w:r>
        <w:rPr>
          <w:rFonts w:asciiTheme="majorBidi" w:hAnsiTheme="majorBidi" w:cstheme="majorBidi"/>
        </w:rPr>
        <w:t xml:space="preserve">prominent political sociologist and </w:t>
      </w:r>
      <w:r w:rsidRPr="00F85A4B">
        <w:rPr>
          <w:rFonts w:asciiTheme="majorBidi" w:hAnsiTheme="majorBidi" w:cstheme="majorBidi"/>
        </w:rPr>
        <w:t>leading authority on Iraqi state formation, sectarianism, and the rise of hybrid political orders, Jabar’s scholarship directly interrogates the underlying sociological and ideological currents that shaped the post-2003 order. His analysis of Shi’a political mobilization and the fragmentation of public authority are particularly relevant to understanding elite capture and the limitations of the public sphere.</w:t>
      </w:r>
    </w:p>
    <w:p w14:paraId="71F0D49E" w14:textId="77777777" w:rsidR="001C71F6" w:rsidRPr="004D64B5" w:rsidRDefault="001C71F6" w:rsidP="001C71F6">
      <w:pPr>
        <w:rPr>
          <w:rFonts w:asciiTheme="majorBidi" w:hAnsiTheme="majorBidi" w:cstheme="majorBidi"/>
          <w:b/>
          <w:bCs/>
          <w:u w:val="single"/>
        </w:rPr>
      </w:pPr>
      <w:r w:rsidRPr="00F85A4B">
        <w:rPr>
          <w:rFonts w:asciiTheme="majorBidi" w:hAnsiTheme="majorBidi" w:cstheme="majorBidi"/>
          <w:b/>
          <w:bCs/>
          <w:u w:val="single"/>
        </w:rPr>
        <w:t xml:space="preserve">The </w:t>
      </w:r>
      <w:r>
        <w:rPr>
          <w:rFonts w:asciiTheme="majorBidi" w:hAnsiTheme="majorBidi" w:cstheme="majorBidi"/>
          <w:b/>
          <w:bCs/>
          <w:u w:val="single"/>
        </w:rPr>
        <w:t>S</w:t>
      </w:r>
      <w:r w:rsidRPr="00F85A4B">
        <w:rPr>
          <w:rFonts w:asciiTheme="majorBidi" w:hAnsiTheme="majorBidi" w:cstheme="majorBidi"/>
          <w:b/>
          <w:bCs/>
          <w:u w:val="single"/>
        </w:rPr>
        <w:t xml:space="preserve">econd </w:t>
      </w:r>
      <w:r>
        <w:rPr>
          <w:rFonts w:asciiTheme="majorBidi" w:hAnsiTheme="majorBidi" w:cstheme="majorBidi"/>
          <w:b/>
          <w:bCs/>
          <w:u w:val="single"/>
        </w:rPr>
        <w:t>C</w:t>
      </w:r>
      <w:r w:rsidRPr="00F85A4B">
        <w:rPr>
          <w:rFonts w:asciiTheme="majorBidi" w:hAnsiTheme="majorBidi" w:cstheme="majorBidi"/>
          <w:b/>
          <w:bCs/>
          <w:u w:val="single"/>
        </w:rPr>
        <w:t>ategory</w:t>
      </w:r>
    </w:p>
    <w:p w14:paraId="3F19A90F" w14:textId="77777777" w:rsidR="001C71F6" w:rsidRPr="00F85A4B" w:rsidRDefault="001C71F6" w:rsidP="001C71F6">
      <w:pPr>
        <w:pStyle w:val="ListParagraph"/>
        <w:numPr>
          <w:ilvl w:val="0"/>
          <w:numId w:val="2"/>
        </w:numPr>
        <w:rPr>
          <w:rFonts w:asciiTheme="majorBidi" w:hAnsiTheme="majorBidi" w:cstheme="majorBidi"/>
        </w:rPr>
      </w:pPr>
      <w:r w:rsidRPr="00F85A4B">
        <w:rPr>
          <w:rFonts w:asciiTheme="majorBidi" w:hAnsiTheme="majorBidi" w:cstheme="majorBidi"/>
        </w:rPr>
        <w:t xml:space="preserve">Saad Salloum: An advocate for religious and ethnic pluralism, Salloum’s work examines how minority communities have navigated the emergent political system and the erosion </w:t>
      </w:r>
      <w:r w:rsidRPr="00F85A4B">
        <w:rPr>
          <w:rFonts w:asciiTheme="majorBidi" w:hAnsiTheme="majorBidi" w:cstheme="majorBidi"/>
        </w:rPr>
        <w:lastRenderedPageBreak/>
        <w:t xml:space="preserve">of inclusive citizenship, contributing an intersectional dimension that complements feminist and </w:t>
      </w:r>
      <w:r>
        <w:rPr>
          <w:rFonts w:asciiTheme="majorBidi" w:hAnsiTheme="majorBidi" w:cstheme="majorBidi"/>
        </w:rPr>
        <w:t>intersectional</w:t>
      </w:r>
      <w:r w:rsidRPr="00F85A4B">
        <w:rPr>
          <w:rFonts w:asciiTheme="majorBidi" w:hAnsiTheme="majorBidi" w:cstheme="majorBidi"/>
        </w:rPr>
        <w:t xml:space="preserve"> critiques.</w:t>
      </w:r>
    </w:p>
    <w:p w14:paraId="5677816F" w14:textId="77777777" w:rsidR="001C71F6" w:rsidRPr="00F85A4B" w:rsidRDefault="001C71F6" w:rsidP="001C71F6">
      <w:pPr>
        <w:pStyle w:val="ListParagraph"/>
        <w:numPr>
          <w:ilvl w:val="0"/>
          <w:numId w:val="2"/>
        </w:numPr>
        <w:rPr>
          <w:rFonts w:asciiTheme="majorBidi" w:hAnsiTheme="majorBidi" w:cstheme="majorBidi"/>
        </w:rPr>
      </w:pPr>
      <w:proofErr w:type="spellStart"/>
      <w:r w:rsidRPr="00F85A4B">
        <w:rPr>
          <w:rFonts w:asciiTheme="majorBidi" w:hAnsiTheme="majorBidi" w:cstheme="majorBidi"/>
        </w:rPr>
        <w:t>Massaab</w:t>
      </w:r>
      <w:proofErr w:type="spellEnd"/>
      <w:r w:rsidRPr="00F85A4B">
        <w:rPr>
          <w:rFonts w:asciiTheme="majorBidi" w:hAnsiTheme="majorBidi" w:cstheme="majorBidi"/>
        </w:rPr>
        <w:t xml:space="preserve"> Al-</w:t>
      </w:r>
      <w:proofErr w:type="spellStart"/>
      <w:r w:rsidRPr="00F85A4B">
        <w:rPr>
          <w:rFonts w:asciiTheme="majorBidi" w:hAnsiTheme="majorBidi" w:cstheme="majorBidi"/>
        </w:rPr>
        <w:t>Aloosy</w:t>
      </w:r>
      <w:proofErr w:type="spellEnd"/>
      <w:r w:rsidRPr="00F85A4B">
        <w:rPr>
          <w:rFonts w:asciiTheme="majorBidi" w:hAnsiTheme="majorBidi" w:cstheme="majorBidi"/>
        </w:rPr>
        <w:t>: His analyses of Iraqi foreign policy and internal governance highlight the contradictions inherent in externally imposed democratization projects and the agency of local actors in shaping outcomes, making his work compatible with elite theory and critiques of liberal hegemony.</w:t>
      </w:r>
    </w:p>
    <w:p w14:paraId="41AD6920" w14:textId="77777777" w:rsidR="001C71F6" w:rsidRDefault="001C71F6" w:rsidP="001C71F6">
      <w:pPr>
        <w:pStyle w:val="ListParagraph"/>
        <w:numPr>
          <w:ilvl w:val="0"/>
          <w:numId w:val="2"/>
        </w:numPr>
        <w:jc w:val="both"/>
        <w:rPr>
          <w:rFonts w:asciiTheme="majorBidi" w:hAnsiTheme="majorBidi" w:cstheme="majorBidi"/>
        </w:rPr>
      </w:pPr>
      <w:r>
        <w:rPr>
          <w:rFonts w:asciiTheme="majorBidi" w:hAnsiTheme="majorBidi" w:cstheme="majorBidi"/>
        </w:rPr>
        <w:t>Z</w:t>
      </w:r>
      <w:r w:rsidRPr="00F85A4B">
        <w:rPr>
          <w:rFonts w:asciiTheme="majorBidi" w:hAnsiTheme="majorBidi" w:cstheme="majorBidi"/>
        </w:rPr>
        <w:t xml:space="preserve">ahra Ali: Through critical assessments of gender politics, civil society, and women’s activism, Zahra Ali’s scholarship interrogates the social and structural exclusions reproduced under the post-2003 order. Her work foregrounds feminist and intersectional critiques of the limits of liberal democracy in Iraq. </w:t>
      </w:r>
    </w:p>
    <w:p w14:paraId="34A6B662" w14:textId="77777777" w:rsidR="001C71F6" w:rsidRDefault="001C71F6" w:rsidP="001C71F6">
      <w:pPr>
        <w:pStyle w:val="ListParagraph"/>
        <w:numPr>
          <w:ilvl w:val="0"/>
          <w:numId w:val="2"/>
        </w:numPr>
        <w:jc w:val="both"/>
        <w:rPr>
          <w:rFonts w:asciiTheme="majorBidi" w:hAnsiTheme="majorBidi" w:cstheme="majorBidi"/>
        </w:rPr>
      </w:pPr>
      <w:r w:rsidRPr="00F85A4B">
        <w:rPr>
          <w:rFonts w:asciiTheme="majorBidi" w:hAnsiTheme="majorBidi" w:cstheme="majorBidi"/>
        </w:rPr>
        <w:t>Fanar Haddad: As a prominent voice on sectarian politics and identity, Haddad’s work situates the post-2003 order within broader debates on nationalism, exclusion, and the instrumentalization of communal identities, aligning with intersectional and public sphere critiques.</w:t>
      </w:r>
    </w:p>
    <w:p w14:paraId="7AAFAB8F" w14:textId="77777777" w:rsidR="001C71F6" w:rsidRDefault="001C71F6" w:rsidP="001C71F6">
      <w:pPr>
        <w:jc w:val="both"/>
        <w:rPr>
          <w:rFonts w:asciiTheme="majorBidi" w:hAnsiTheme="majorBidi" w:cstheme="majorBidi"/>
          <w:b/>
          <w:bCs/>
          <w:u w:val="single"/>
        </w:rPr>
      </w:pPr>
      <w:r w:rsidRPr="00F85A4B">
        <w:rPr>
          <w:rFonts w:asciiTheme="majorBidi" w:hAnsiTheme="majorBidi" w:cstheme="majorBidi"/>
          <w:b/>
          <w:bCs/>
          <w:u w:val="single"/>
        </w:rPr>
        <w:t xml:space="preserve">The </w:t>
      </w:r>
      <w:r>
        <w:rPr>
          <w:rFonts w:asciiTheme="majorBidi" w:hAnsiTheme="majorBidi" w:cstheme="majorBidi"/>
          <w:b/>
          <w:bCs/>
          <w:u w:val="single"/>
        </w:rPr>
        <w:t>T</w:t>
      </w:r>
      <w:r w:rsidRPr="00F85A4B">
        <w:rPr>
          <w:rFonts w:asciiTheme="majorBidi" w:hAnsiTheme="majorBidi" w:cstheme="majorBidi"/>
          <w:b/>
          <w:bCs/>
          <w:u w:val="single"/>
        </w:rPr>
        <w:t xml:space="preserve">hird </w:t>
      </w:r>
      <w:r>
        <w:rPr>
          <w:rFonts w:asciiTheme="majorBidi" w:hAnsiTheme="majorBidi" w:cstheme="majorBidi"/>
          <w:b/>
          <w:bCs/>
          <w:u w:val="single"/>
        </w:rPr>
        <w:t>C</w:t>
      </w:r>
      <w:r w:rsidRPr="00F85A4B">
        <w:rPr>
          <w:rFonts w:asciiTheme="majorBidi" w:hAnsiTheme="majorBidi" w:cstheme="majorBidi"/>
          <w:b/>
          <w:bCs/>
          <w:u w:val="single"/>
        </w:rPr>
        <w:t>ategory</w:t>
      </w:r>
    </w:p>
    <w:p w14:paraId="4055849C" w14:textId="77777777" w:rsidR="001C71F6" w:rsidRPr="004D64B5" w:rsidRDefault="001C71F6" w:rsidP="001C71F6">
      <w:pPr>
        <w:pStyle w:val="ListParagraph"/>
        <w:numPr>
          <w:ilvl w:val="0"/>
          <w:numId w:val="4"/>
        </w:numPr>
        <w:jc w:val="both"/>
        <w:rPr>
          <w:rFonts w:asciiTheme="majorBidi" w:hAnsiTheme="majorBidi" w:cstheme="majorBidi"/>
        </w:rPr>
      </w:pPr>
      <w:r w:rsidRPr="004D64B5">
        <w:rPr>
          <w:rFonts w:asciiTheme="majorBidi" w:hAnsiTheme="majorBidi" w:cstheme="majorBidi"/>
        </w:rPr>
        <w:t>Ali A. Allawi: Drawing on his experience in government and deep historical knowledge, Allawi offers a critical narrative of the failures and unintended consequences of Iraq’s reconstruction, problematizing the ideal of a liberal democratic transformation.</w:t>
      </w:r>
    </w:p>
    <w:p w14:paraId="2BCD31A9" w14:textId="77777777" w:rsidR="001C71F6" w:rsidRPr="00F85A4B" w:rsidRDefault="001C71F6" w:rsidP="001C71F6">
      <w:pPr>
        <w:pStyle w:val="ListParagraph"/>
        <w:numPr>
          <w:ilvl w:val="0"/>
          <w:numId w:val="3"/>
        </w:numPr>
        <w:jc w:val="both"/>
        <w:rPr>
          <w:rFonts w:asciiTheme="majorBidi" w:hAnsiTheme="majorBidi" w:cstheme="majorBidi"/>
        </w:rPr>
      </w:pPr>
      <w:r w:rsidRPr="00F85A4B">
        <w:rPr>
          <w:rFonts w:asciiTheme="majorBidi" w:hAnsiTheme="majorBidi" w:cstheme="majorBidi"/>
        </w:rPr>
        <w:t>David Ghanim: His scholarship provides a detailed assessment of state fragmentation, the entrenchment of sectarian patronage networks, and the persistence of authoritarian practices under democratic veneers, resonating strongly with elite theory and critiques of democratic hollowing.</w:t>
      </w:r>
    </w:p>
    <w:p w14:paraId="79F6E3D4" w14:textId="77777777" w:rsidR="001C71F6" w:rsidRPr="00F85A4B" w:rsidRDefault="001C71F6" w:rsidP="001C71F6">
      <w:pPr>
        <w:pStyle w:val="ListParagraph"/>
        <w:numPr>
          <w:ilvl w:val="0"/>
          <w:numId w:val="3"/>
        </w:numPr>
        <w:jc w:val="both"/>
        <w:rPr>
          <w:rFonts w:asciiTheme="majorBidi" w:hAnsiTheme="majorBidi" w:cstheme="majorBidi"/>
        </w:rPr>
      </w:pPr>
      <w:r w:rsidRPr="00F85A4B">
        <w:rPr>
          <w:rFonts w:asciiTheme="majorBidi" w:hAnsiTheme="majorBidi" w:cstheme="majorBidi"/>
        </w:rPr>
        <w:t xml:space="preserve">Zaid Al-Ali: An authority on Iraq’s constitutional process, Al-Ali offers </w:t>
      </w:r>
      <w:r>
        <w:rPr>
          <w:rFonts w:asciiTheme="majorBidi" w:hAnsiTheme="majorBidi" w:cstheme="majorBidi"/>
        </w:rPr>
        <w:t xml:space="preserve">important </w:t>
      </w:r>
      <w:r w:rsidRPr="00F85A4B">
        <w:rPr>
          <w:rFonts w:asciiTheme="majorBidi" w:hAnsiTheme="majorBidi" w:cstheme="majorBidi"/>
        </w:rPr>
        <w:t>critiques of how legal and institutional frameworks were manipulated to entrench power among narrow elites, undermining participatory legitimacy and accountability</w:t>
      </w:r>
      <w:r>
        <w:rPr>
          <w:rFonts w:asciiTheme="majorBidi" w:hAnsiTheme="majorBidi" w:cstheme="majorBidi"/>
        </w:rPr>
        <w:t xml:space="preserve">, </w:t>
      </w:r>
      <w:r w:rsidRPr="00F85A4B">
        <w:rPr>
          <w:rFonts w:asciiTheme="majorBidi" w:hAnsiTheme="majorBidi" w:cstheme="majorBidi"/>
        </w:rPr>
        <w:t>core concerns in both elite and public sphere critiques.</w:t>
      </w:r>
    </w:p>
    <w:p w14:paraId="6B32D15C" w14:textId="2387ABE6" w:rsidR="001C71F6" w:rsidRDefault="001C71F6" w:rsidP="001C71F6">
      <w:pPr>
        <w:rPr>
          <w:rFonts w:asciiTheme="majorBidi" w:hAnsiTheme="majorBidi" w:cstheme="majorBidi"/>
          <w:b/>
          <w:bCs/>
        </w:rPr>
      </w:pPr>
    </w:p>
    <w:p w14:paraId="6FC02D1D" w14:textId="49CE00D7" w:rsidR="00BC538C" w:rsidRDefault="003E4924" w:rsidP="00BC538C">
      <w:pPr>
        <w:pStyle w:val="Style2"/>
      </w:pPr>
      <w:bookmarkStart w:id="29" w:name="_Toc202283732"/>
      <w:r>
        <w:t>3</w:t>
      </w:r>
      <w:r w:rsidR="00BC538C">
        <w:t>.</w:t>
      </w:r>
      <w:r>
        <w:t>3</w:t>
      </w:r>
      <w:r w:rsidR="00BC538C">
        <w:t xml:space="preserve"> Case Selection</w:t>
      </w:r>
      <w:r w:rsidR="00BC538C" w:rsidRPr="00D02598">
        <w:t>:</w:t>
      </w:r>
      <w:r w:rsidR="00BC538C">
        <w:t xml:space="preserve"> </w:t>
      </w:r>
      <w:r w:rsidR="00BC538C" w:rsidRPr="00BC538C">
        <w:t>The Specific Case of Iraq</w:t>
      </w:r>
      <w:bookmarkEnd w:id="29"/>
    </w:p>
    <w:p w14:paraId="6AE77FCB"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 xml:space="preserve">I shall clarify that this study does not aim to develop a general theory of democratic transition. Neither does it aim to produce a generalized correlation between democratic promotion/imposition and the rise of violence. Quite the contrary, my study suggests that these phenomena are specific and contingent on the specific spatiotemporal context they exist within. The “democracy” that was promoted by Americans in Iraq, in its logic and implementation, was radically distinct from that which was put into place in the post-War Germany and Japan, or the African societies today through development programs and pressures. The specificity of the dynamics that characterize the Iraqi national society are also </w:t>
      </w:r>
      <w:r w:rsidRPr="0079770F">
        <w:rPr>
          <w:rFonts w:ascii="Cambria" w:eastAsia="Cambria" w:hAnsi="Cambria" w:cs="Cambria"/>
        </w:rPr>
        <w:lastRenderedPageBreak/>
        <w:t xml:space="preserve">unique in comparison to elsewhere. This acknowledgement of the contingency is essential here, as it both clarifies the uniqueness of my study and how social phenomena and their outcomes change across spatiotemporal dimensions. </w:t>
      </w:r>
    </w:p>
    <w:p w14:paraId="4E1E85CE" w14:textId="2ACC6CF1" w:rsidR="00BC538C" w:rsidRPr="0079770F" w:rsidRDefault="003E4924" w:rsidP="00BC538C">
      <w:pPr>
        <w:pStyle w:val="Style5"/>
        <w:rPr>
          <w:rFonts w:eastAsia="Cambria"/>
          <w:i w:val="0"/>
        </w:rPr>
      </w:pPr>
      <w:bookmarkStart w:id="30" w:name="_Toc202283733"/>
      <w:r>
        <w:rPr>
          <w:rFonts w:eastAsia="Cambria"/>
        </w:rPr>
        <w:t>3.3.1</w:t>
      </w:r>
      <w:r w:rsidR="00BC538C" w:rsidRPr="0079770F">
        <w:rPr>
          <w:rFonts w:eastAsia="Cambria"/>
        </w:rPr>
        <w:t>What is Iraq?</w:t>
      </w:r>
      <w:bookmarkEnd w:id="30"/>
    </w:p>
    <w:p w14:paraId="040021CE"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 xml:space="preserve">Most studies on Iraq and its political transition and reality neglect a very important question and take it for granted: What is Iraq? Is it a people, a territory, a geography, a culture, a state, a social formation, or a national society? Does it have deep-rooted historical and civilizational foundations or is it purely a product of Western </w:t>
      </w:r>
      <w:r w:rsidRPr="0079770F">
        <w:rPr>
          <w:rFonts w:ascii="Cambria" w:eastAsia="Cambria" w:hAnsi="Cambria" w:cs="Cambria"/>
          <w:i/>
        </w:rPr>
        <w:t>colonialism</w:t>
      </w:r>
      <w:r w:rsidRPr="0079770F">
        <w:rPr>
          <w:rFonts w:ascii="Cambria" w:eastAsia="Cambria" w:hAnsi="Cambria" w:cs="Cambria"/>
        </w:rPr>
        <w:t xml:space="preserve"> and the </w:t>
      </w:r>
      <w:r w:rsidRPr="0079770F">
        <w:rPr>
          <w:rFonts w:ascii="Cambria" w:eastAsia="Cambria" w:hAnsi="Cambria" w:cs="Cambria"/>
          <w:i/>
        </w:rPr>
        <w:t>World System</w:t>
      </w:r>
      <w:r w:rsidRPr="0079770F">
        <w:rPr>
          <w:rFonts w:ascii="Cambria" w:eastAsia="Cambria" w:hAnsi="Cambria" w:cs="Cambria"/>
        </w:rPr>
        <w:t xml:space="preserve"> it is embedded in? To answer these questions, I specify my definition and distinction to the following: Iraq is a national society that emerged because of the formation of the Iraqi state and cotangent upon the expansion of modernity, outcomes of </w:t>
      </w:r>
      <w:r w:rsidRPr="0079770F">
        <w:rPr>
          <w:rFonts w:ascii="Cambria" w:eastAsia="Cambria" w:hAnsi="Cambria" w:cs="Cambria"/>
          <w:i/>
        </w:rPr>
        <w:t>World War I</w:t>
      </w:r>
      <w:r w:rsidRPr="0079770F">
        <w:rPr>
          <w:rFonts w:ascii="Cambria" w:eastAsia="Cambria" w:hAnsi="Cambria" w:cs="Cambria"/>
        </w:rPr>
        <w:t xml:space="preserve">, and the subsequent British colonial rule and mandate. By a </w:t>
      </w:r>
      <w:r w:rsidRPr="0079770F">
        <w:rPr>
          <w:rFonts w:ascii="Cambria" w:eastAsia="Cambria" w:hAnsi="Cambria" w:cs="Cambria"/>
          <w:i/>
        </w:rPr>
        <w:t>national society</w:t>
      </w:r>
      <w:r w:rsidRPr="0079770F">
        <w:rPr>
          <w:rFonts w:ascii="Cambria" w:eastAsia="Cambria" w:hAnsi="Cambria" w:cs="Cambria"/>
        </w:rPr>
        <w:t>, I mean a historically constructed, institutionally sustained social system that integrates:</w:t>
      </w:r>
    </w:p>
    <w:p w14:paraId="141D99E1" w14:textId="77777777" w:rsidR="00BC538C" w:rsidRPr="0079770F" w:rsidRDefault="00BC538C" w:rsidP="00BC538C">
      <w:pPr>
        <w:numPr>
          <w:ilvl w:val="0"/>
          <w:numId w:val="6"/>
        </w:numPr>
        <w:spacing w:after="0" w:line="259" w:lineRule="auto"/>
        <w:ind w:firstLine="0"/>
        <w:jc w:val="both"/>
        <w:rPr>
          <w:rFonts w:ascii="Cambria" w:eastAsia="Cambria" w:hAnsi="Cambria" w:cs="Cambria"/>
        </w:rPr>
      </w:pPr>
      <w:r w:rsidRPr="0079770F">
        <w:rPr>
          <w:rFonts w:ascii="Cambria" w:eastAsia="Cambria" w:hAnsi="Cambria" w:cs="Cambria"/>
        </w:rPr>
        <w:t xml:space="preserve">State Power – Political governance &amp; legal order (Weber, Tilly) </w:t>
      </w:r>
    </w:p>
    <w:p w14:paraId="4EA50F80" w14:textId="77777777" w:rsidR="00BC538C" w:rsidRPr="0079770F" w:rsidRDefault="00BC538C" w:rsidP="00BC538C">
      <w:pPr>
        <w:numPr>
          <w:ilvl w:val="0"/>
          <w:numId w:val="6"/>
        </w:numPr>
        <w:spacing w:after="0" w:line="259" w:lineRule="auto"/>
        <w:ind w:firstLine="0"/>
        <w:jc w:val="both"/>
        <w:rPr>
          <w:rFonts w:ascii="Cambria" w:eastAsia="Cambria" w:hAnsi="Cambria" w:cs="Cambria"/>
        </w:rPr>
      </w:pPr>
      <w:r w:rsidRPr="0079770F">
        <w:rPr>
          <w:rFonts w:ascii="Cambria" w:eastAsia="Cambria" w:hAnsi="Cambria" w:cs="Cambria"/>
        </w:rPr>
        <w:t>Collective Identity – Shared culture, language, &amp; history (Anderson, Gramsci)</w:t>
      </w:r>
    </w:p>
    <w:p w14:paraId="2D507545" w14:textId="77777777" w:rsidR="00BC538C" w:rsidRPr="0079770F" w:rsidRDefault="00BC538C" w:rsidP="00BC538C">
      <w:pPr>
        <w:numPr>
          <w:ilvl w:val="0"/>
          <w:numId w:val="6"/>
        </w:numPr>
        <w:spacing w:line="259" w:lineRule="auto"/>
        <w:ind w:firstLine="0"/>
        <w:jc w:val="both"/>
        <w:rPr>
          <w:rFonts w:ascii="Cambria" w:eastAsia="Cambria" w:hAnsi="Cambria" w:cs="Cambria"/>
        </w:rPr>
      </w:pPr>
      <w:r w:rsidRPr="0079770F">
        <w:rPr>
          <w:rFonts w:ascii="Cambria" w:eastAsia="Cambria" w:hAnsi="Cambria" w:cs="Cambria"/>
        </w:rPr>
        <w:t>Institutional Stability – Economic, legal, &amp; social frameworks (Luhmann, Giddens)</w:t>
      </w:r>
    </w:p>
    <w:p w14:paraId="02AFB4C2"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There are different interpretations of Iraq’s origins and national history. Those who ruled the central state in Baghdad often linked the modern national society to the history of the geography it was embedded in.</w:t>
      </w:r>
      <w:r w:rsidRPr="0079770F">
        <w:rPr>
          <w:rStyle w:val="FootnoteReference"/>
          <w:rFonts w:ascii="Cambria" w:eastAsia="Cambria" w:hAnsi="Cambria" w:cs="Cambria"/>
        </w:rPr>
        <w:footnoteReference w:id="5"/>
      </w:r>
      <w:r w:rsidRPr="0079770F">
        <w:rPr>
          <w:rFonts w:ascii="Cambria" w:eastAsia="Cambria" w:hAnsi="Cambria" w:cs="Cambria"/>
        </w:rPr>
        <w:t xml:space="preserve"> Often, this meant connecting the history of Iraq all the way back to the Mesopotamian civilization and ancient Near Eastern origins. This allowed the modern state to distinguish itself from its Arab and Muslim surroundings. Nonetheless, the Arab nationalist and Islamist currents often tried to mix that identity and history with the larger pan-Arab and pan-Islamic contexts.</w:t>
      </w:r>
      <w:r w:rsidRPr="0079770F">
        <w:rPr>
          <w:rStyle w:val="FootnoteReference"/>
          <w:rFonts w:ascii="Cambria" w:eastAsia="Cambria" w:hAnsi="Cambria" w:cs="Cambria"/>
        </w:rPr>
        <w:footnoteReference w:id="6"/>
      </w:r>
      <w:r w:rsidRPr="0079770F">
        <w:rPr>
          <w:rFonts w:ascii="Cambria" w:eastAsia="Cambria" w:hAnsi="Cambria" w:cs="Cambria"/>
        </w:rPr>
        <w:t xml:space="preserve"> </w:t>
      </w:r>
    </w:p>
    <w:p w14:paraId="29B61E0A"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However, objectively speaking, there cannot be any discussion of an Iraqi modern national society prior to the early 20th century. In 1918, the Ottoman Empire lost World War</w:t>
      </w:r>
      <w:r>
        <w:rPr>
          <w:rFonts w:ascii="Cambria" w:eastAsia="Cambria" w:hAnsi="Cambria" w:cs="Cambria"/>
        </w:rPr>
        <w:t xml:space="preserve"> One</w:t>
      </w:r>
      <w:r w:rsidRPr="0079770F">
        <w:rPr>
          <w:rFonts w:ascii="Cambria" w:eastAsia="Cambria" w:hAnsi="Cambria" w:cs="Cambria"/>
        </w:rPr>
        <w:t>.</w:t>
      </w:r>
      <w:r>
        <w:rPr>
          <w:rFonts w:ascii="Cambria" w:eastAsia="Cambria" w:hAnsi="Cambria" w:cs="Cambria"/>
        </w:rPr>
        <w:t xml:space="preserve"> </w:t>
      </w:r>
      <w:r w:rsidRPr="0079770F">
        <w:rPr>
          <w:rFonts w:ascii="Cambria" w:eastAsia="Cambria" w:hAnsi="Cambria" w:cs="Cambria"/>
        </w:rPr>
        <w:t xml:space="preserve">The Empire was dissolved and divided into new states. Based on the Sykes-Picot Agreement, the British took control of the provinces of Baghdad, Basra, and Mosul. In 1920, they received the mandate over the Mandatory Iraq as designated by the </w:t>
      </w:r>
      <w:r w:rsidRPr="0079770F">
        <w:rPr>
          <w:rFonts w:ascii="Cambria" w:eastAsia="Cambria" w:hAnsi="Cambria" w:cs="Cambria"/>
          <w:i/>
        </w:rPr>
        <w:t>League of Nations.</w:t>
      </w:r>
      <w:r w:rsidRPr="0079770F">
        <w:rPr>
          <w:rFonts w:ascii="Cambria" w:eastAsia="Cambria" w:hAnsi="Cambria" w:cs="Cambria"/>
        </w:rPr>
        <w:t xml:space="preserve"> In 1921, they installed King Faisal I, a Hashemite prince. Iraq began to be governed by a constitutional monarchy, which had certain elements of the democratic methods and institutions.</w:t>
      </w:r>
      <w:r w:rsidRPr="0079770F">
        <w:rPr>
          <w:rStyle w:val="FootnoteReference"/>
          <w:rFonts w:ascii="Cambria" w:eastAsia="Cambria" w:hAnsi="Cambria" w:cs="Cambria"/>
        </w:rPr>
        <w:footnoteReference w:id="7"/>
      </w:r>
      <w:r w:rsidRPr="0079770F">
        <w:rPr>
          <w:rFonts w:ascii="Cambria" w:eastAsia="Cambria" w:hAnsi="Cambria" w:cs="Cambria"/>
        </w:rPr>
        <w:t xml:space="preserve"> At this point, a distinctively Iraqi politics began, as the different groups and individuals began their quest to capture the keys of power and dominate the echelons of the </w:t>
      </w:r>
      <w:r w:rsidRPr="0079770F">
        <w:rPr>
          <w:rFonts w:ascii="Cambria" w:eastAsia="Cambria" w:hAnsi="Cambria" w:cs="Cambria"/>
        </w:rPr>
        <w:lastRenderedPageBreak/>
        <w:t>state in central Baghdad.</w:t>
      </w:r>
      <w:r w:rsidRPr="0079770F">
        <w:rPr>
          <w:rStyle w:val="FootnoteReference"/>
          <w:rFonts w:ascii="Cambria" w:eastAsia="Cambria" w:hAnsi="Cambria" w:cs="Cambria"/>
        </w:rPr>
        <w:footnoteReference w:id="8"/>
      </w:r>
      <w:r w:rsidRPr="0079770F">
        <w:rPr>
          <w:rFonts w:ascii="Cambria" w:eastAsia="Cambria" w:hAnsi="Cambria" w:cs="Cambria"/>
        </w:rPr>
        <w:t xml:space="preserve"> The emergence of the new national society also meant that the people, who inhabited the geography of current Iraq had to grapple with the new state structures, national identity and institutions that were being imposed on the them.</w:t>
      </w:r>
      <w:r w:rsidRPr="0079770F">
        <w:rPr>
          <w:rStyle w:val="FootnoteReference"/>
          <w:rFonts w:ascii="Cambria" w:eastAsia="Cambria" w:hAnsi="Cambria" w:cs="Cambria"/>
        </w:rPr>
        <w:footnoteReference w:id="9"/>
      </w:r>
      <w:r w:rsidRPr="0079770F">
        <w:rPr>
          <w:rFonts w:ascii="Cambria" w:eastAsia="Cambria" w:hAnsi="Cambria" w:cs="Cambria"/>
        </w:rPr>
        <w:t xml:space="preserve"> Since this geography was super diverse and included different interests, cultures, identities, and forms of organization, Iraq as an emergent property was always in a crisis of governance. </w:t>
      </w:r>
    </w:p>
    <w:p w14:paraId="4AAB3BE1"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 xml:space="preserve">As the constitutional monarchy began to face serious challenges throughout its geography, it began to develop a militarized state structure to both impose the system as well as modernize the society. However, the very militarized state institutions it built came back to haunt it, as the elite officers began to challenge the civilian forms of governance and </w:t>
      </w:r>
      <w:r w:rsidRPr="0079770F">
        <w:rPr>
          <w:rFonts w:ascii="Cambria" w:eastAsia="Cambria" w:hAnsi="Cambria" w:cs="Cambria"/>
          <w:i/>
        </w:rPr>
        <w:t>civil society</w:t>
      </w:r>
      <w:r w:rsidRPr="0079770F">
        <w:rPr>
          <w:rFonts w:ascii="Cambria" w:eastAsia="Cambria" w:hAnsi="Cambria" w:cs="Cambria"/>
        </w:rPr>
        <w:t xml:space="preserve">. In other words, the </w:t>
      </w:r>
      <w:proofErr w:type="spellStart"/>
      <w:r w:rsidRPr="0079770F">
        <w:rPr>
          <w:rFonts w:ascii="Cambria" w:eastAsia="Cambria" w:hAnsi="Cambria" w:cs="Cambria"/>
        </w:rPr>
        <w:t>militarisation</w:t>
      </w:r>
      <w:proofErr w:type="spellEnd"/>
      <w:r w:rsidRPr="0079770F">
        <w:rPr>
          <w:rFonts w:ascii="Cambria" w:eastAsia="Cambria" w:hAnsi="Cambria" w:cs="Cambria"/>
        </w:rPr>
        <w:t xml:space="preserve"> of the Iraqi society and state, that would later lead to Saddam Husain’s rule and Ba’ath party, were indeed a weakness of the state and a sign of the erosion of its legitimacy. Thus, what Saddam Husain and the Ba'ath regime represented </w:t>
      </w:r>
      <w:proofErr w:type="gramStart"/>
      <w:r w:rsidRPr="0079770F">
        <w:rPr>
          <w:rFonts w:ascii="Cambria" w:eastAsia="Cambria" w:hAnsi="Cambria" w:cs="Cambria"/>
        </w:rPr>
        <w:t>later on</w:t>
      </w:r>
      <w:proofErr w:type="gramEnd"/>
      <w:r w:rsidRPr="0079770F">
        <w:rPr>
          <w:rFonts w:ascii="Cambria" w:eastAsia="Cambria" w:hAnsi="Cambria" w:cs="Cambria"/>
        </w:rPr>
        <w:t xml:space="preserve"> was a state ruled by a minority of Sunni Arab elites and sustained through constant overt state violence and internal and external wars.  It was a fragile state in its own way, and it would have probably collapsed, even without the American invasion. Nonetheless, the U.S. invasion accelerated the erosion and the collapse of the first Iraqi national society.</w:t>
      </w:r>
    </w:p>
    <w:p w14:paraId="2624F3D7"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 xml:space="preserve">Therefore, it is false to assume that what was changed in 2003 was just the transformation of the Iraqi regime, it was instead the formation of a new state. This is what makes the Iraqi case of democratic impositions distinct. It was revolutionary in nature, as it dismantled the previous state institutions, completely ended its monopoly on violence, brought the massive Shia electoral power into the center of politics, constituted a federalized government, and distributed power between a much larger number of elites from different ethnic and religious groups. In that sense, the Iraqi politics of today is distinctively progressive, and continuous to be progressive, in comparison to the whole region. </w:t>
      </w:r>
    </w:p>
    <w:p w14:paraId="72AB556C"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However, for this new national society and its order to emerge, Iraq went through several civil wars, wars on terror, and an expansion of the state security and administrative structures. Nonetheless, and unlike other similar cases like Afghanistan, the Iraqi state could defend its system and suppressing other alternatives, such as an</w:t>
      </w:r>
      <w:r w:rsidRPr="0079770F">
        <w:rPr>
          <w:rFonts w:ascii="Cambria" w:eastAsia="Cambria" w:hAnsi="Cambria" w:cs="Cambria"/>
          <w:i/>
        </w:rPr>
        <w:t xml:space="preserve"> Islamic State</w:t>
      </w:r>
      <w:r w:rsidRPr="0079770F">
        <w:rPr>
          <w:rFonts w:ascii="Cambria" w:eastAsia="Cambria" w:hAnsi="Cambria" w:cs="Cambria"/>
        </w:rPr>
        <w:t xml:space="preserve">. Iraq could sustain its democratic framework, as much as it is being continuously influenced by elite power, sectarian divisions, and economic exploitation by a small minority of elites and their patronages. Some scholars have begun to witness how actually the two outcomes were not clearly negational, but rather reinforcing connected to one another. As the post-2003 Iraq national society is an emerging property that is still in its process of formation, the study of its system is challenging, but also worthed-while, as there is a large amount of data and interest available in relation to this topic. </w:t>
      </w:r>
    </w:p>
    <w:p w14:paraId="31F8F3AA" w14:textId="274B5CB0" w:rsidR="00BC538C" w:rsidRPr="0079770F" w:rsidRDefault="00BC538C" w:rsidP="00BC538C">
      <w:pPr>
        <w:pStyle w:val="Style5"/>
        <w:rPr>
          <w:rFonts w:eastAsia="Cambria"/>
        </w:rPr>
      </w:pPr>
      <w:r w:rsidRPr="0079770F">
        <w:rPr>
          <w:rFonts w:eastAsia="Cambria"/>
        </w:rPr>
        <w:lastRenderedPageBreak/>
        <w:t xml:space="preserve"> </w:t>
      </w:r>
      <w:bookmarkStart w:id="31" w:name="_Toc202283734"/>
      <w:r w:rsidR="003E4924">
        <w:rPr>
          <w:rFonts w:eastAsia="Cambria"/>
        </w:rPr>
        <w:t xml:space="preserve">3.3.2 </w:t>
      </w:r>
      <w:r w:rsidRPr="0079770F">
        <w:rPr>
          <w:rFonts w:eastAsia="Cambria"/>
        </w:rPr>
        <w:t>Why Iraq?</w:t>
      </w:r>
      <w:bookmarkEnd w:id="31"/>
    </w:p>
    <w:p w14:paraId="36A89C19"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Iraq is a critical case of democracy imposition, where democratization was pursued with maximum ideological and military force but resulted in widespread violence, sectarian fragmentation, and elite competition. Unlike Germany or Japan, where democratization followed military occupation but retained bureaucratic structures, Iraq's state was entirely dismantled before democratic mechanisms were introduced, creating a power vacuum that allowed for multiple power centers to emerge, fostering instability and prolonged conflict. The absence of strong institutional frameworks and the rapid introduction of electoral mechanisms enabled factional politics to dominate, further deepening divisions and entrenching violence as a political tool.</w:t>
      </w:r>
    </w:p>
    <w:p w14:paraId="7D792EAA"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 xml:space="preserve">However, at the same time, the system did not completely collapse or disintegrate or collapse, as it has been the case in many African countries, or more similarly, Afghanistan. The Civilian government has also been able to impose a civil government structure overtime. The integrity of the state and its democratic functionaries are also functional, as Iraq has elected more than 5 presidents, 7 prime ministers, and 6 speakers of parliament. </w:t>
      </w:r>
      <w:proofErr w:type="gramStart"/>
      <w:r w:rsidRPr="0079770F">
        <w:rPr>
          <w:rFonts w:ascii="Cambria" w:eastAsia="Cambria" w:hAnsi="Cambria" w:cs="Cambria"/>
        </w:rPr>
        <w:t>Thus</w:t>
      </w:r>
      <w:proofErr w:type="gramEnd"/>
      <w:r w:rsidRPr="0079770F">
        <w:rPr>
          <w:rFonts w:ascii="Cambria" w:eastAsia="Cambria" w:hAnsi="Cambria" w:cs="Cambria"/>
        </w:rPr>
        <w:t xml:space="preserve"> the Iraqi case provides a unique situation, where democratic imposition has produced contradictory outcomes that cannot be generally considered fully negative or positive, but rather transformative. It is both a result of the Classical Doctrine of Democracy, but provides a strong question to its validity and ability to capture the complexity of democratic systems and the contradictory social system and forces they are embedded in. </w:t>
      </w:r>
    </w:p>
    <w:p w14:paraId="2D0029D1" w14:textId="77777777" w:rsidR="00BC538C" w:rsidRPr="0079770F" w:rsidRDefault="00BC538C" w:rsidP="00BC538C">
      <w:pPr>
        <w:ind w:firstLine="720"/>
        <w:jc w:val="both"/>
        <w:rPr>
          <w:rFonts w:ascii="Cambria" w:eastAsia="Cambria" w:hAnsi="Cambria" w:cs="Cambria"/>
        </w:rPr>
      </w:pPr>
      <w:r w:rsidRPr="0079770F">
        <w:rPr>
          <w:rFonts w:ascii="Cambria" w:eastAsia="Cambria" w:hAnsi="Cambria" w:cs="Cambria"/>
        </w:rPr>
        <w:t>The second reason making Iraq an excellent case selection is its representation of a specific logic of liberal democracy that developed in the Western societies in the Cold War societies. Thus, understanding and elaborating on the Iraqi case, can explain the larger transformation in the system over the last few decades and can open the door to question the presuppositions that govern our understanding of major democratic societies – such as the United States– too. In his “How to Tell That the Chain Saw Is Coming for America,” the prominent American commentator Thomas L. Friedman has recently argued that the current wave attacks on the U.S. government and institutions by the second Trump Administration is similar in logic to what was imposed in post-2003 Iraq.</w:t>
      </w:r>
      <w:r w:rsidRPr="0079770F">
        <w:rPr>
          <w:rStyle w:val="FootnoteReference"/>
          <w:rFonts w:ascii="Cambria" w:eastAsia="Cambria" w:hAnsi="Cambria" w:cs="Cambria"/>
        </w:rPr>
        <w:footnoteReference w:id="10"/>
      </w:r>
      <w:r w:rsidRPr="0079770F">
        <w:rPr>
          <w:rFonts w:ascii="Cambria" w:eastAsia="Cambria" w:hAnsi="Cambria" w:cs="Cambria"/>
        </w:rPr>
        <w:t xml:space="preserve"> In other words, the contradictory policies and outcomes of post-2003 Iraq are still relevant to understanding the current crises of democracy many modern national societies are facing. </w:t>
      </w:r>
    </w:p>
    <w:p w14:paraId="26DA6C46" w14:textId="77777777" w:rsidR="001C71F6" w:rsidRDefault="001C71F6">
      <w:pPr>
        <w:rPr>
          <w:rFonts w:asciiTheme="majorBidi" w:hAnsiTheme="majorBidi" w:cstheme="majorBidi"/>
          <w:b/>
          <w:bCs/>
        </w:rPr>
      </w:pPr>
      <w:r>
        <w:rPr>
          <w:rFonts w:asciiTheme="majorBidi" w:hAnsiTheme="majorBidi" w:cstheme="majorBidi"/>
          <w:b/>
          <w:bCs/>
        </w:rPr>
        <w:br w:type="page"/>
      </w:r>
    </w:p>
    <w:p w14:paraId="3A993CC5" w14:textId="26C3525F" w:rsidR="001C71F6" w:rsidRPr="00D02598" w:rsidRDefault="001C71F6" w:rsidP="001C71F6">
      <w:pPr>
        <w:pStyle w:val="Style1"/>
      </w:pPr>
      <w:bookmarkStart w:id="32" w:name="_Toc201932379"/>
      <w:bookmarkStart w:id="33" w:name="_Toc202283735"/>
      <w:r>
        <w:lastRenderedPageBreak/>
        <w:t xml:space="preserve">Chapter Four: </w:t>
      </w:r>
      <w:r w:rsidRPr="00872805">
        <w:t>Post-2003 Iraq as an Imposed Liberal Democratic System:</w:t>
      </w:r>
      <w:bookmarkEnd w:id="32"/>
      <w:bookmarkEnd w:id="33"/>
    </w:p>
    <w:p w14:paraId="73A67135" w14:textId="2327DAD9" w:rsidR="002E6058" w:rsidRDefault="000C1B97" w:rsidP="000C1B97">
      <w:pPr>
        <w:pStyle w:val="Style2"/>
      </w:pPr>
      <w:bookmarkStart w:id="34" w:name="_Toc201932380"/>
      <w:bookmarkStart w:id="35" w:name="_Hlk199760982"/>
      <w:bookmarkStart w:id="36" w:name="_Toc202283736"/>
      <w:r>
        <w:rPr>
          <w:noProof/>
        </w:rPr>
        <mc:AlternateContent>
          <mc:Choice Requires="wps">
            <w:drawing>
              <wp:anchor distT="0" distB="0" distL="114300" distR="114300" simplePos="0" relativeHeight="251665408" behindDoc="0" locked="0" layoutInCell="1" allowOverlap="1" wp14:anchorId="44B21A07" wp14:editId="761789D3">
                <wp:simplePos x="0" y="0"/>
                <wp:positionH relativeFrom="column">
                  <wp:posOffset>1539875</wp:posOffset>
                </wp:positionH>
                <wp:positionV relativeFrom="paragraph">
                  <wp:posOffset>3128010</wp:posOffset>
                </wp:positionV>
                <wp:extent cx="2679700" cy="635"/>
                <wp:effectExtent l="0" t="0" r="0" b="0"/>
                <wp:wrapTopAndBottom/>
                <wp:docPr id="164314310" name="Text Box 1"/>
                <wp:cNvGraphicFramePr/>
                <a:graphic xmlns:a="http://schemas.openxmlformats.org/drawingml/2006/main">
                  <a:graphicData uri="http://schemas.microsoft.com/office/word/2010/wordprocessingShape">
                    <wps:wsp>
                      <wps:cNvSpPr txBox="1"/>
                      <wps:spPr>
                        <a:xfrm>
                          <a:off x="0" y="0"/>
                          <a:ext cx="2679700" cy="635"/>
                        </a:xfrm>
                        <a:prstGeom prst="rect">
                          <a:avLst/>
                        </a:prstGeom>
                        <a:solidFill>
                          <a:prstClr val="white"/>
                        </a:solidFill>
                        <a:ln>
                          <a:noFill/>
                        </a:ln>
                      </wps:spPr>
                      <wps:txbx>
                        <w:txbxContent>
                          <w:p w14:paraId="38D5D7AD" w14:textId="2B9B820B" w:rsidR="000C1B97" w:rsidRPr="009F13FA" w:rsidRDefault="000C1B97" w:rsidP="000C1B97">
                            <w:pPr>
                              <w:pStyle w:val="Caption"/>
                              <w:rPr>
                                <w:rFonts w:asciiTheme="majorBidi" w:eastAsiaTheme="majorEastAsia" w:hAnsiTheme="majorBidi" w:cstheme="majorBidi"/>
                                <w:b/>
                                <w:bCs/>
                                <w:noProof/>
                                <w:color w:val="0F4761" w:themeColor="accent1" w:themeShade="BF"/>
                                <w:sz w:val="32"/>
                                <w:szCs w:val="32"/>
                                <w:u w:val="single"/>
                              </w:rPr>
                            </w:pPr>
                            <w:r>
                              <w:t xml:space="preserve">Figure </w:t>
                            </w:r>
                            <w:fldSimple w:instr=" SEQ Figure \* ARABIC ">
                              <w:r>
                                <w:rPr>
                                  <w:noProof/>
                                </w:rPr>
                                <w:t>2</w:t>
                              </w:r>
                            </w:fldSimple>
                            <w:r>
                              <w:t xml:space="preserve"> </w:t>
                            </w:r>
                            <w:r w:rsidRPr="000376F0">
                              <w:t>A U.S. Marine directs operations in Firdos Square, Baghdad, during the dismantling of a statue of Saddam Hussein on April 9, 2003.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B21A07" id="_x0000_s1027" type="#_x0000_t202" style="position:absolute;left:0;text-align:left;margin-left:121.25pt;margin-top:246.3pt;width:211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" stroked="f">
                <v:textbox style="mso-fit-shape-to-text:t" inset="0,0,0,0">
                  <w:txbxContent>
                    <w:p w14:paraId="38D5D7AD" w14:textId="2B9B820B" w:rsidR="000C1B97" w:rsidRPr="009F13FA" w:rsidRDefault="000C1B97" w:rsidP="000C1B97">
                      <w:pPr>
                        <w:pStyle w:val="Caption"/>
                        <w:rPr>
                          <w:rFonts w:asciiTheme="majorBidi" w:eastAsiaTheme="majorEastAsia" w:hAnsiTheme="majorBidi" w:cstheme="majorBidi"/>
                          <w:b/>
                          <w:bCs/>
                          <w:noProof/>
                          <w:color w:val="0F4761" w:themeColor="accent1" w:themeShade="BF"/>
                          <w:sz w:val="32"/>
                          <w:szCs w:val="32"/>
                          <w:u w:val="single"/>
                        </w:rPr>
                      </w:pPr>
                      <w:r>
                        <w:t xml:space="preserve">Figure </w:t>
                      </w:r>
                      <w:fldSimple w:instr=" SEQ Figure \* ARABIC ">
                        <w:r>
                          <w:rPr>
                            <w:noProof/>
                          </w:rPr>
                          <w:t>2</w:t>
                        </w:r>
                      </w:fldSimple>
                      <w:r>
                        <w:t xml:space="preserve"> </w:t>
                      </w:r>
                      <w:r w:rsidRPr="000376F0">
                        <w:t>A U.S. Marine directs operations in Firdos Square, Baghdad, during the dismantling of a statue of Saddam Hussein on April 9, 2003.</w:t>
                      </w:r>
                    </w:p>
                  </w:txbxContent>
                </v:textbox>
                <w10:wrap type="topAndBottom"/>
              </v:shape>
            </w:pict>
          </mc:Fallback>
        </mc:AlternateContent>
      </w:r>
      <w:r w:rsidR="002E6058">
        <w:rPr>
          <w:noProof/>
        </w:rPr>
        <w:drawing>
          <wp:anchor distT="0" distB="0" distL="114300" distR="114300" simplePos="0" relativeHeight="251661312" behindDoc="0" locked="0" layoutInCell="1" allowOverlap="1" wp14:anchorId="42907914" wp14:editId="006D06F7">
            <wp:simplePos x="0" y="0"/>
            <wp:positionH relativeFrom="column">
              <wp:posOffset>1539875</wp:posOffset>
            </wp:positionH>
            <wp:positionV relativeFrom="paragraph">
              <wp:posOffset>1060792</wp:posOffset>
            </wp:positionV>
            <wp:extent cx="2679700" cy="2010410"/>
            <wp:effectExtent l="0" t="0" r="6350" b="8890"/>
            <wp:wrapTopAndBottom/>
            <wp:docPr id="2041578319" name="Picture 1" descr="A bloody delusion: how Iraq war led to catastrophic aftermath in Middle  East | Iraq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oody delusion: how Iraq war led to catastrophic aftermath in Middle  East | Iraq | The Guardi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9700" cy="201041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924">
        <w:t>4</w:t>
      </w:r>
      <w:r w:rsidR="001C71F6" w:rsidRPr="00872805">
        <w:t>.1 Historical Overview of the 2003 Intervention and Political Reconstruction</w:t>
      </w:r>
      <w:bookmarkEnd w:id="34"/>
      <w:bookmarkEnd w:id="35"/>
      <w:bookmarkEnd w:id="36"/>
    </w:p>
    <w:p w14:paraId="2C98968C" w14:textId="5094B311"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Post-2003 Iraq presents a compelling test case for the study of liberal democracy when externally driven. In 2003, the United States (US) and its allies invaded Iraq after more than a decade of US-led international sanctions and several military campaigns and interventions. The Iraqi President Saddam Husain and the Arab nationalist and socialist Ba'ath party, accused by Western governments of tyranny, ethnic cleansing, harboring terrorists, and developing weapons of mass destruction, were toppled. After the toppling of Saddam and the pre-2003 Iraqi state apparatus, George W. Bush was unable to find weapons of mass destruction</w:t>
      </w:r>
      <w:r>
        <w:rPr>
          <w:rFonts w:asciiTheme="majorBidi" w:hAnsiTheme="majorBidi" w:cstheme="majorBidi"/>
        </w:rPr>
        <w:t>,</w:t>
      </w:r>
      <w:r w:rsidRPr="00872805">
        <w:rPr>
          <w:rFonts w:asciiTheme="majorBidi" w:hAnsiTheme="majorBidi" w:cstheme="majorBidi"/>
        </w:rPr>
        <w:t xml:space="preserve"> which </w:t>
      </w:r>
      <w:r>
        <w:rPr>
          <w:rFonts w:asciiTheme="majorBidi" w:hAnsiTheme="majorBidi" w:cstheme="majorBidi"/>
        </w:rPr>
        <w:t xml:space="preserve">had been put forth </w:t>
      </w:r>
      <w:r w:rsidRPr="00872805">
        <w:rPr>
          <w:rFonts w:asciiTheme="majorBidi" w:hAnsiTheme="majorBidi" w:cstheme="majorBidi"/>
        </w:rPr>
        <w:t xml:space="preserve">as the primary justification for the pre-emptive attack, invasion, and subsequent occupation. Following </w:t>
      </w:r>
      <w:r>
        <w:rPr>
          <w:rFonts w:asciiTheme="majorBidi" w:hAnsiTheme="majorBidi" w:cstheme="majorBidi"/>
        </w:rPr>
        <w:t xml:space="preserve">the </w:t>
      </w:r>
      <w:r w:rsidRPr="00872805">
        <w:rPr>
          <w:rFonts w:asciiTheme="majorBidi" w:hAnsiTheme="majorBidi" w:cstheme="majorBidi"/>
        </w:rPr>
        <w:t>failure</w:t>
      </w:r>
      <w:r>
        <w:rPr>
          <w:rFonts w:asciiTheme="majorBidi" w:hAnsiTheme="majorBidi" w:cstheme="majorBidi"/>
        </w:rPr>
        <w:t xml:space="preserve"> to find evidence of WMDs</w:t>
      </w:r>
      <w:r w:rsidRPr="00872805">
        <w:rPr>
          <w:rFonts w:asciiTheme="majorBidi" w:hAnsiTheme="majorBidi" w:cstheme="majorBidi"/>
        </w:rPr>
        <w:t xml:space="preserve">, the focus shifted to the establishment of a democratized Iraq. This is not to say that </w:t>
      </w:r>
      <w:r>
        <w:rPr>
          <w:rFonts w:asciiTheme="majorBidi" w:hAnsiTheme="majorBidi" w:cstheme="majorBidi"/>
        </w:rPr>
        <w:t>this</w:t>
      </w:r>
      <w:r w:rsidRPr="00872805">
        <w:rPr>
          <w:rFonts w:asciiTheme="majorBidi" w:hAnsiTheme="majorBidi" w:cstheme="majorBidi"/>
        </w:rPr>
        <w:t xml:space="preserve"> objective was not based on prior political </w:t>
      </w:r>
      <w:r w:rsidRPr="00872805">
        <w:rPr>
          <w:rFonts w:asciiTheme="majorBidi" w:hAnsiTheme="majorBidi" w:cstheme="majorBidi"/>
        </w:rPr>
        <w:lastRenderedPageBreak/>
        <w:t>configurations among the external Iraqi opposition and influenced by the American National Security Strategy of 2002 which stated the Americans intended "to bring the hope of democracy, development, free markets, and free trade to every corner of the world"</w:t>
      </w:r>
      <w:r>
        <w:rPr>
          <w:rFonts w:asciiTheme="majorBidi" w:hAnsiTheme="majorBidi" w:cstheme="majorBidi"/>
        </w:rPr>
        <w:t xml:space="preserve"> </w:t>
      </w:r>
      <w:r w:rsidRPr="002932A4">
        <w:rPr>
          <w:rFonts w:asciiTheme="majorBidi" w:hAnsiTheme="majorBidi" w:cstheme="majorBidi"/>
        </w:rPr>
        <w:t>(White House 2002)</w:t>
      </w:r>
      <w:r>
        <w:rPr>
          <w:rFonts w:asciiTheme="majorBidi" w:hAnsiTheme="majorBidi" w:cstheme="majorBidi"/>
        </w:rPr>
        <w:t xml:space="preserve">. </w:t>
      </w:r>
      <w:r w:rsidRPr="00872805">
        <w:rPr>
          <w:rFonts w:asciiTheme="majorBidi" w:hAnsiTheme="majorBidi" w:cstheme="majorBidi"/>
        </w:rPr>
        <w:t xml:space="preserve">Thus, while the democratization paradigm was influenced by strategic and economic interests, it was also a result of Western triumphalism and </w:t>
      </w:r>
      <w:r>
        <w:rPr>
          <w:rFonts w:asciiTheme="majorBidi" w:hAnsiTheme="majorBidi" w:cstheme="majorBidi"/>
        </w:rPr>
        <w:t xml:space="preserve">Fukuyama’s </w:t>
      </w:r>
      <w:r w:rsidRPr="00872805">
        <w:rPr>
          <w:rFonts w:asciiTheme="majorBidi" w:hAnsiTheme="majorBidi" w:cstheme="majorBidi"/>
          <w:i/>
          <w:iCs/>
        </w:rPr>
        <w:t>end of history</w:t>
      </w:r>
      <w:r w:rsidRPr="00872805">
        <w:rPr>
          <w:rFonts w:asciiTheme="majorBidi" w:hAnsiTheme="majorBidi" w:cstheme="majorBidi"/>
        </w:rPr>
        <w:t xml:space="preserve"> thesis following the end of the Cold War. </w:t>
      </w:r>
    </w:p>
    <w:p w14:paraId="74D44A14" w14:textId="77777777" w:rsidR="001C71F6" w:rsidRPr="00872805"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The political re-organization and reconstruction of the new Iraqi state were spearheaded by the US-led Coalition Provisional Authority (CPA)</w:t>
      </w:r>
      <w:r>
        <w:rPr>
          <w:rFonts w:asciiTheme="majorBidi" w:hAnsiTheme="majorBidi" w:cstheme="majorBidi"/>
        </w:rPr>
        <w:t xml:space="preserve"> and</w:t>
      </w:r>
      <w:r w:rsidRPr="00872805">
        <w:rPr>
          <w:rFonts w:asciiTheme="majorBidi" w:hAnsiTheme="majorBidi" w:cstheme="majorBidi"/>
        </w:rPr>
        <w:t xml:space="preserve"> its leader Paul Bremer, followed by the Iraqi elite</w:t>
      </w:r>
      <w:r>
        <w:rPr>
          <w:rFonts w:asciiTheme="majorBidi" w:hAnsiTheme="majorBidi" w:cstheme="majorBidi"/>
        </w:rPr>
        <w:t>s</w:t>
      </w:r>
      <w:r w:rsidRPr="00872805">
        <w:rPr>
          <w:rFonts w:asciiTheme="majorBidi" w:hAnsiTheme="majorBidi" w:cstheme="majorBidi"/>
        </w:rPr>
        <w:t xml:space="preserve"> under the coalition and United Nations</w:t>
      </w:r>
      <w:r>
        <w:rPr>
          <w:rFonts w:asciiTheme="majorBidi" w:hAnsiTheme="majorBidi" w:cstheme="majorBidi"/>
        </w:rPr>
        <w:t>’</w:t>
      </w:r>
      <w:r w:rsidRPr="00872805">
        <w:rPr>
          <w:rFonts w:asciiTheme="majorBidi" w:hAnsiTheme="majorBidi" w:cstheme="majorBidi"/>
        </w:rPr>
        <w:t xml:space="preserve"> supervision. A new constitution was drafted and adopted in 2005, which enshrined many features of liberal democracy in the new Iraqi political system, including multiple parties, regular elections, a parliamentary government, federalism, and a formal bill of rights that ensured civil rights including religious and certain gender freedoms. Many other developments must be acknowledged, including the expansion of media (where thousands of outlets exist today), civil society organizations, multi-lingual education systems, and connections to global internet networks. While paying a big prize and delayed, Iraq</w:t>
      </w:r>
      <w:r>
        <w:rPr>
          <w:rFonts w:asciiTheme="majorBidi" w:hAnsiTheme="majorBidi" w:cstheme="majorBidi"/>
        </w:rPr>
        <w:t xml:space="preserve"> is the only</w:t>
      </w:r>
      <w:r w:rsidRPr="00872805">
        <w:rPr>
          <w:rFonts w:asciiTheme="majorBidi" w:hAnsiTheme="majorBidi" w:cstheme="majorBidi"/>
        </w:rPr>
        <w:t xml:space="preserve"> society in the region that has solved the Kurdish question—even if remotely and comparatively. </w:t>
      </w:r>
    </w:p>
    <w:p w14:paraId="0F2ADD93" w14:textId="77777777" w:rsidR="001C71F6" w:rsidRDefault="001C71F6" w:rsidP="001C71F6">
      <w:pPr>
        <w:spacing w:line="480" w:lineRule="auto"/>
        <w:ind w:firstLine="720"/>
        <w:jc w:val="both"/>
        <w:rPr>
          <w:rFonts w:asciiTheme="majorBidi" w:hAnsiTheme="majorBidi" w:cstheme="majorBidi"/>
        </w:rPr>
      </w:pPr>
      <w:r w:rsidRPr="00872805">
        <w:rPr>
          <w:rFonts w:asciiTheme="majorBidi" w:hAnsiTheme="majorBidi" w:cstheme="majorBidi"/>
        </w:rPr>
        <w:t xml:space="preserve">However, the key processes, dynamics, and outcomes were shaped by the contradictory forces of external engineering and local power struggle. While the economic system was shaped to serve the dominant states, the governance structures were designed along ethno-sectarian lines and </w:t>
      </w:r>
      <w:proofErr w:type="spellStart"/>
      <w:r w:rsidRPr="00872805">
        <w:rPr>
          <w:rFonts w:asciiTheme="majorBidi" w:hAnsiTheme="majorBidi" w:cstheme="majorBidi"/>
        </w:rPr>
        <w:t>consociational</w:t>
      </w:r>
      <w:proofErr w:type="spellEnd"/>
      <w:r w:rsidRPr="00872805">
        <w:rPr>
          <w:rFonts w:asciiTheme="majorBidi" w:hAnsiTheme="majorBidi" w:cstheme="majorBidi"/>
        </w:rPr>
        <w:t xml:space="preserve"> elites.</w:t>
      </w:r>
      <w:r>
        <w:rPr>
          <w:rStyle w:val="FootnoteReference"/>
          <w:rFonts w:asciiTheme="majorBidi" w:hAnsiTheme="majorBidi" w:cstheme="majorBidi"/>
        </w:rPr>
        <w:footnoteReference w:id="11"/>
      </w:r>
      <w:r w:rsidRPr="00872805">
        <w:rPr>
          <w:rFonts w:asciiTheme="majorBidi" w:hAnsiTheme="majorBidi" w:cstheme="majorBidi"/>
        </w:rPr>
        <w:t xml:space="preserve"> An informal power configuration, often referred to as </w:t>
      </w:r>
      <w:proofErr w:type="spellStart"/>
      <w:r w:rsidRPr="00872805">
        <w:rPr>
          <w:rFonts w:asciiTheme="majorBidi" w:hAnsiTheme="majorBidi" w:cstheme="majorBidi"/>
          <w:i/>
          <w:iCs/>
        </w:rPr>
        <w:t>muhāṣaṣa</w:t>
      </w:r>
      <w:proofErr w:type="spellEnd"/>
      <w:r w:rsidRPr="00872805">
        <w:rPr>
          <w:rFonts w:asciiTheme="majorBidi" w:hAnsiTheme="majorBidi" w:cstheme="majorBidi"/>
        </w:rPr>
        <w:t xml:space="preserve"> (Sectarian or ethnic apportionment - </w:t>
      </w:r>
      <w:r w:rsidRPr="00872805">
        <w:rPr>
          <w:rFonts w:asciiTheme="majorBidi" w:hAnsiTheme="majorBidi" w:cstheme="majorBidi"/>
          <w:rtl/>
        </w:rPr>
        <w:t>محاصصة</w:t>
      </w:r>
      <w:r w:rsidRPr="00872805">
        <w:rPr>
          <w:rFonts w:asciiTheme="majorBidi" w:hAnsiTheme="majorBidi" w:cstheme="majorBidi"/>
        </w:rPr>
        <w:t xml:space="preserve">) dominated the system, which divided public </w:t>
      </w:r>
      <w:r w:rsidRPr="00872805">
        <w:rPr>
          <w:rFonts w:asciiTheme="majorBidi" w:hAnsiTheme="majorBidi" w:cstheme="majorBidi"/>
        </w:rPr>
        <w:lastRenderedPageBreak/>
        <w:t>resource</w:t>
      </w:r>
      <w:r>
        <w:rPr>
          <w:rFonts w:asciiTheme="majorBidi" w:hAnsiTheme="majorBidi" w:cstheme="majorBidi"/>
        </w:rPr>
        <w:t>s</w:t>
      </w:r>
      <w:r w:rsidRPr="00872805">
        <w:rPr>
          <w:rFonts w:asciiTheme="majorBidi" w:hAnsiTheme="majorBidi" w:cstheme="majorBidi"/>
        </w:rPr>
        <w:t xml:space="preserve"> and offices along sectarian and ethnic lines of Shi’a Arabs, Sunni Arabs, and Kurds, under the slogan of consensus, making nationally motivated and class-based politics an unviable option. This configuration has devolved in many ways into a patronage system, where the elites have agreed to divide the spoils of the state along ethnic and sectarian lines. In such a system, the increase in economic inequality and political marginalization has been rampant. As many Iraqis often humorously say: democracy took away one </w:t>
      </w:r>
      <w:r w:rsidRPr="00A4636B">
        <w:rPr>
          <w:rFonts w:asciiTheme="majorBidi" w:hAnsiTheme="majorBidi" w:cstheme="majorBidi"/>
          <w:i/>
          <w:iCs/>
        </w:rPr>
        <w:t>dictator</w:t>
      </w:r>
      <w:r w:rsidRPr="00872805">
        <w:rPr>
          <w:rFonts w:asciiTheme="majorBidi" w:hAnsiTheme="majorBidi" w:cstheme="majorBidi"/>
        </w:rPr>
        <w:t xml:space="preserve"> and multiplied it to a</w:t>
      </w:r>
      <w:r w:rsidRPr="00872805">
        <w:rPr>
          <w:rFonts w:asciiTheme="majorBidi" w:hAnsiTheme="majorBidi" w:cstheme="majorBidi"/>
          <w:i/>
          <w:iCs/>
        </w:rPr>
        <w:t xml:space="preserve"> diverse many</w:t>
      </w:r>
      <w:r w:rsidRPr="00872805">
        <w:rPr>
          <w:rFonts w:asciiTheme="majorBidi" w:hAnsiTheme="majorBidi" w:cstheme="majorBidi"/>
        </w:rPr>
        <w:t>.</w:t>
      </w:r>
    </w:p>
    <w:p w14:paraId="399021E8" w14:textId="7CA0AB1E" w:rsidR="0068189E" w:rsidRPr="00872805" w:rsidRDefault="003E4924" w:rsidP="0068189E">
      <w:pPr>
        <w:pStyle w:val="Style2"/>
      </w:pPr>
      <w:bookmarkStart w:id="37" w:name="_Toc202283737"/>
      <w:r>
        <w:t xml:space="preserve">4.2 </w:t>
      </w:r>
      <w:r w:rsidR="0068189E">
        <w:t>Ideological and Political Motivations for 2003 U.S. Invasion and Democratic Transition</w:t>
      </w:r>
      <w:bookmarkEnd w:id="37"/>
    </w:p>
    <w:p w14:paraId="74338434" w14:textId="77777777" w:rsidR="0068189E" w:rsidRPr="0068189E" w:rsidRDefault="0068189E" w:rsidP="0068189E">
      <w:pPr>
        <w:spacing w:line="480" w:lineRule="auto"/>
        <w:ind w:firstLine="720"/>
        <w:jc w:val="both"/>
        <w:rPr>
          <w:rFonts w:asciiTheme="majorBidi" w:eastAsia="Cambria" w:hAnsiTheme="majorBidi" w:cstheme="majorBidi"/>
          <w:b/>
          <w:i/>
          <w:u w:val="single"/>
        </w:rPr>
      </w:pPr>
      <w:r w:rsidRPr="0068189E">
        <w:rPr>
          <w:rFonts w:asciiTheme="majorBidi" w:eastAsia="Cambria" w:hAnsiTheme="majorBidi" w:cstheme="majorBidi"/>
        </w:rPr>
        <w:t xml:space="preserve">The real motivations for the war are still not fully clear and contested. </w:t>
      </w:r>
      <w:r w:rsidRPr="0068189E">
        <w:rPr>
          <w:rFonts w:asciiTheme="majorBidi" w:eastAsia="Cambria" w:hAnsiTheme="majorBidi" w:cstheme="majorBidi"/>
          <w:i/>
        </w:rPr>
        <w:t>Elite theory</w:t>
      </w:r>
      <w:r w:rsidRPr="0068189E">
        <w:rPr>
          <w:rFonts w:asciiTheme="majorBidi" w:eastAsia="Cambria" w:hAnsiTheme="majorBidi" w:cstheme="majorBidi"/>
        </w:rPr>
        <w:t xml:space="preserve"> political sociologists argue it was motivated by the economic and political interests of the American oil and military corporations and elites.</w:t>
      </w:r>
      <w:r w:rsidRPr="0068189E">
        <w:rPr>
          <w:rFonts w:asciiTheme="majorBidi" w:eastAsia="Cambria" w:hAnsiTheme="majorBidi" w:cstheme="majorBidi"/>
          <w:vertAlign w:val="superscript"/>
        </w:rPr>
        <w:t xml:space="preserve"> </w:t>
      </w:r>
      <w:r w:rsidRPr="0068189E">
        <w:rPr>
          <w:rFonts w:asciiTheme="majorBidi" w:eastAsia="Cambria" w:hAnsiTheme="majorBidi" w:cstheme="majorBidi"/>
          <w:vertAlign w:val="superscript"/>
        </w:rPr>
        <w:footnoteReference w:id="12"/>
      </w:r>
      <w:r w:rsidRPr="0068189E">
        <w:rPr>
          <w:rFonts w:asciiTheme="majorBidi" w:eastAsia="Cambria" w:hAnsiTheme="majorBidi" w:cstheme="majorBidi"/>
          <w:b/>
          <w:i/>
        </w:rPr>
        <w:t xml:space="preserve"> </w:t>
      </w:r>
      <w:r w:rsidRPr="0068189E">
        <w:rPr>
          <w:rFonts w:asciiTheme="majorBidi" w:eastAsia="Cambria" w:hAnsiTheme="majorBidi" w:cstheme="majorBidi"/>
        </w:rPr>
        <w:t xml:space="preserve"> Others have argued that it was the paranoia of the American national security apparatus and George W. Bush’s administration dominated by neoconservatives and their push for preemptive attacks and military means for dominations.</w:t>
      </w:r>
      <w:r w:rsidRPr="0068189E">
        <w:rPr>
          <w:rFonts w:asciiTheme="majorBidi" w:eastAsia="Cambria" w:hAnsiTheme="majorBidi" w:cstheme="majorBidi"/>
          <w:vertAlign w:val="superscript"/>
        </w:rPr>
        <w:footnoteReference w:id="13"/>
      </w:r>
      <w:r w:rsidRPr="0068189E">
        <w:rPr>
          <w:rFonts w:asciiTheme="majorBidi" w:eastAsia="Cambria" w:hAnsiTheme="majorBidi" w:cstheme="majorBidi"/>
        </w:rPr>
        <w:t xml:space="preserve"> Major American realist international relations scholars, like John Mearsheimer, have argued that the war was motivated by actors who are against the ‘rational’ interests of the US in the international system.</w:t>
      </w:r>
      <w:r w:rsidRPr="0068189E">
        <w:rPr>
          <w:rFonts w:asciiTheme="majorBidi" w:eastAsia="Cambria" w:hAnsiTheme="majorBidi" w:cstheme="majorBidi"/>
          <w:vertAlign w:val="superscript"/>
        </w:rPr>
        <w:footnoteReference w:id="14"/>
      </w:r>
      <w:r w:rsidRPr="0068189E">
        <w:rPr>
          <w:rFonts w:asciiTheme="majorBidi" w:eastAsia="Cambria" w:hAnsiTheme="majorBidi" w:cstheme="majorBidi"/>
        </w:rPr>
        <w:t xml:space="preserve"> Here, he specifically accused the multi-billion Israeli and Zionist lobby, which he believed influences the US foreign policy through organizations like The American Israel Public Affairs Committee (AIPAC) and the Foundation for Defense of Democracies (FDD). Iraqi American political Sociologist Wisam </w:t>
      </w:r>
      <w:proofErr w:type="spellStart"/>
      <w:r w:rsidRPr="0068189E">
        <w:rPr>
          <w:rFonts w:asciiTheme="majorBidi" w:eastAsia="Cambria" w:hAnsiTheme="majorBidi" w:cstheme="majorBidi"/>
        </w:rPr>
        <w:t>Alshaibi</w:t>
      </w:r>
      <w:proofErr w:type="spellEnd"/>
      <w:r w:rsidRPr="0068189E">
        <w:rPr>
          <w:rFonts w:asciiTheme="majorBidi" w:eastAsia="Cambria" w:hAnsiTheme="majorBidi" w:cstheme="majorBidi"/>
        </w:rPr>
        <w:t xml:space="preserve"> has recently gone far enough to argue that the Iraqi exile </w:t>
      </w:r>
      <w:r w:rsidRPr="0068189E">
        <w:rPr>
          <w:rFonts w:asciiTheme="majorBidi" w:eastAsia="Cambria" w:hAnsiTheme="majorBidi" w:cstheme="majorBidi"/>
        </w:rPr>
        <w:lastRenderedPageBreak/>
        <w:t>opposition against Saddam Husain was a determining factor in the initiation of war and regime change.</w:t>
      </w:r>
      <w:r w:rsidRPr="0068189E">
        <w:rPr>
          <w:rFonts w:asciiTheme="majorBidi" w:eastAsia="Cambria" w:hAnsiTheme="majorBidi" w:cstheme="majorBidi"/>
          <w:vertAlign w:val="superscript"/>
        </w:rPr>
        <w:footnoteReference w:id="15"/>
      </w:r>
      <w:r w:rsidRPr="0068189E">
        <w:rPr>
          <w:rFonts w:asciiTheme="majorBidi" w:eastAsia="Cambria" w:hAnsiTheme="majorBidi" w:cstheme="majorBidi"/>
        </w:rPr>
        <w:t xml:space="preserve"> </w:t>
      </w:r>
    </w:p>
    <w:p w14:paraId="7763B952"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While the factors, actors, motivators, and initiators of the Iraq war and regime change are a lot and often contested, there is one historical fact and development that cannot and should not be ignored, which was the rise of what I shall call </w:t>
      </w:r>
      <w:r w:rsidRPr="0068189E">
        <w:rPr>
          <w:rFonts w:asciiTheme="majorBidi" w:eastAsia="Cambria" w:hAnsiTheme="majorBidi" w:cstheme="majorBidi"/>
          <w:i/>
        </w:rPr>
        <w:t xml:space="preserve">democratic fanaticism </w:t>
      </w:r>
      <w:r w:rsidRPr="0068189E">
        <w:rPr>
          <w:rFonts w:asciiTheme="majorBidi" w:eastAsia="Cambria" w:hAnsiTheme="majorBidi" w:cstheme="majorBidi"/>
        </w:rPr>
        <w:t>in the end of the Cold War. An idea that was the product of the specific historical epoch that gave birth to it but quickly dominated the minds and souls of intellectuals, policy makers, and state apparatus in the Western societies. The belief that democracy, as embodied by modern Western societies, was the most supreme form of human social and political organization. It was the final product of human political evolution as argued by Francis Fukuyama.</w:t>
      </w:r>
      <w:r w:rsidRPr="0068189E">
        <w:rPr>
          <w:rFonts w:asciiTheme="majorBidi" w:eastAsia="Cambria" w:hAnsiTheme="majorBidi" w:cstheme="majorBidi"/>
          <w:vertAlign w:val="superscript"/>
        </w:rPr>
        <w:footnoteReference w:id="16"/>
      </w:r>
      <w:r w:rsidRPr="0068189E">
        <w:rPr>
          <w:rFonts w:asciiTheme="majorBidi" w:eastAsia="Cambria" w:hAnsiTheme="majorBidi" w:cstheme="majorBidi"/>
        </w:rPr>
        <w:t xml:space="preserve"> The final product of this evolution was indeed the </w:t>
      </w:r>
      <w:r w:rsidRPr="0068189E">
        <w:rPr>
          <w:rFonts w:asciiTheme="majorBidi" w:eastAsia="Cambria" w:hAnsiTheme="majorBidi" w:cstheme="majorBidi"/>
          <w:i/>
        </w:rPr>
        <w:t>homo-</w:t>
      </w:r>
      <w:proofErr w:type="spellStart"/>
      <w:r w:rsidRPr="0068189E">
        <w:rPr>
          <w:rFonts w:asciiTheme="majorBidi" w:eastAsia="Cambria" w:hAnsiTheme="majorBidi" w:cstheme="majorBidi"/>
          <w:i/>
        </w:rPr>
        <w:t>democraticus</w:t>
      </w:r>
      <w:proofErr w:type="spellEnd"/>
      <w:r w:rsidRPr="0068189E">
        <w:rPr>
          <w:rFonts w:asciiTheme="majorBidi" w:eastAsia="Cambria" w:hAnsiTheme="majorBidi" w:cstheme="majorBidi"/>
        </w:rPr>
        <w:t xml:space="preserve"> as argued by Filip Spagnoli only five months after the Iraq War.</w:t>
      </w:r>
      <w:r w:rsidRPr="0068189E">
        <w:rPr>
          <w:rFonts w:asciiTheme="majorBidi" w:eastAsia="Cambria" w:hAnsiTheme="majorBidi" w:cstheme="majorBidi"/>
          <w:vertAlign w:val="superscript"/>
        </w:rPr>
        <w:footnoteReference w:id="17"/>
      </w:r>
    </w:p>
    <w:p w14:paraId="47C97780"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However, as I shall further clarify in the theoretical section of the proposal and the thesis though, the push for such ideological conception does not mean that they are fond of a democratic society in some objective sense of the word. Quite the contrary, it is grounded in the unquestionable belief in a specific thesis of history and theory of democracy that covers the repressive structures and interests they represent.</w:t>
      </w:r>
    </w:p>
    <w:p w14:paraId="16FA34F5"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The idea emerged first within the echelons of the Western academia but soon turned the giant US state apparatus into a crusader machine aimed at the forced transformation of “non-democratic” ‘rogue’ states throughout eastern parts of Eurasia and the Global South to liberal </w:t>
      </w:r>
      <w:r w:rsidRPr="0068189E">
        <w:rPr>
          <w:rFonts w:asciiTheme="majorBidi" w:eastAsia="Cambria" w:hAnsiTheme="majorBidi" w:cstheme="majorBidi"/>
        </w:rPr>
        <w:lastRenderedPageBreak/>
        <w:t>democracies.</w:t>
      </w:r>
      <w:r w:rsidRPr="0068189E">
        <w:rPr>
          <w:rFonts w:asciiTheme="majorBidi" w:eastAsia="Cambria" w:hAnsiTheme="majorBidi" w:cstheme="majorBidi"/>
          <w:vertAlign w:val="superscript"/>
        </w:rPr>
        <w:footnoteReference w:id="18"/>
      </w:r>
      <w:r w:rsidRPr="0068189E">
        <w:rPr>
          <w:rFonts w:asciiTheme="majorBidi" w:eastAsia="Cambria" w:hAnsiTheme="majorBidi" w:cstheme="majorBidi"/>
        </w:rPr>
        <w:t xml:space="preserve"> The idea started with the collapse of the Soviet Union, as an event unbelievable to even the American dreamers. Liberal intellectuals like Francis Fukuyama claimed this moment to be an end to the ideological political struggle that had characterized modern societies for more than 200 years- the conflict between </w:t>
      </w:r>
      <w:r w:rsidRPr="0068189E">
        <w:rPr>
          <w:rFonts w:asciiTheme="majorBidi" w:eastAsia="Cambria" w:hAnsiTheme="majorBidi" w:cstheme="majorBidi"/>
          <w:i/>
        </w:rPr>
        <w:t>liberalism, fascism, and communism</w:t>
      </w:r>
      <w:r w:rsidRPr="0068189E">
        <w:rPr>
          <w:rFonts w:asciiTheme="majorBidi" w:eastAsia="Cambria" w:hAnsiTheme="majorBidi" w:cstheme="majorBidi"/>
        </w:rPr>
        <w:t>.</w:t>
      </w:r>
      <w:r w:rsidRPr="0068189E">
        <w:rPr>
          <w:rFonts w:asciiTheme="majorBidi" w:eastAsia="Cambria" w:hAnsiTheme="majorBidi" w:cstheme="majorBidi"/>
          <w:vertAlign w:val="superscript"/>
        </w:rPr>
        <w:footnoteReference w:id="19"/>
      </w:r>
      <w:r w:rsidRPr="0068189E">
        <w:rPr>
          <w:rFonts w:asciiTheme="majorBidi" w:eastAsia="Cambria" w:hAnsiTheme="majorBidi" w:cstheme="majorBidi"/>
        </w:rPr>
        <w:t xml:space="preserve">  </w:t>
      </w:r>
    </w:p>
    <w:p w14:paraId="17CE4B1C"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Soon, paradigms of democratic theory, democratic-peace theory, and liberal universalism began to dominate the Western political science departments, as neoliberalism had dominated economics. Democratic-peace theory for instance produced what it believed to be a natural law, which posited that democracies never go into wars with one another. While most of those theoretical conclusions came out of positivist political science research, they were often supported by more ideological texts that mystified liberal democracy as a manifestation of universal divine will and unchallenged direction of human social evolution. These texts included seminal works like </w:t>
      </w:r>
      <w:r w:rsidRPr="0068189E">
        <w:rPr>
          <w:rFonts w:asciiTheme="majorBidi" w:eastAsia="Cambria" w:hAnsiTheme="majorBidi" w:cstheme="majorBidi"/>
          <w:i/>
        </w:rPr>
        <w:t>Homo-</w:t>
      </w:r>
      <w:proofErr w:type="spellStart"/>
      <w:r w:rsidRPr="0068189E">
        <w:rPr>
          <w:rFonts w:asciiTheme="majorBidi" w:eastAsia="Cambria" w:hAnsiTheme="majorBidi" w:cstheme="majorBidi"/>
          <w:i/>
        </w:rPr>
        <w:t>Democraticus</w:t>
      </w:r>
      <w:proofErr w:type="spellEnd"/>
      <w:r w:rsidRPr="0068189E">
        <w:rPr>
          <w:rFonts w:asciiTheme="majorBidi" w:eastAsia="Cambria" w:hAnsiTheme="majorBidi" w:cstheme="majorBidi"/>
          <w:i/>
        </w:rPr>
        <w:t xml:space="preserve">: On the Universal Desirability and the Not So Universal Possibility of Democracy and Human Rights </w:t>
      </w:r>
      <w:r w:rsidRPr="0068189E">
        <w:rPr>
          <w:rFonts w:asciiTheme="majorBidi" w:eastAsia="Cambria" w:hAnsiTheme="majorBidi" w:cstheme="majorBidi"/>
        </w:rPr>
        <w:t xml:space="preserve">by Filip Spagnoli and </w:t>
      </w:r>
      <w:r w:rsidRPr="0068189E">
        <w:rPr>
          <w:rFonts w:asciiTheme="majorBidi" w:eastAsia="Cambria" w:hAnsiTheme="majorBidi" w:cstheme="majorBidi"/>
          <w:i/>
        </w:rPr>
        <w:t xml:space="preserve">The End of History and the Last Man </w:t>
      </w:r>
      <w:r w:rsidRPr="0068189E">
        <w:rPr>
          <w:rFonts w:asciiTheme="majorBidi" w:eastAsia="Cambria" w:hAnsiTheme="majorBidi" w:cstheme="majorBidi"/>
        </w:rPr>
        <w:t xml:space="preserve">by Francis Fukuyama. Fukuyama, for instance, argued the following: </w:t>
      </w:r>
    </w:p>
    <w:p w14:paraId="60243C2C" w14:textId="77777777" w:rsidR="0068189E" w:rsidRPr="0068189E" w:rsidRDefault="0068189E" w:rsidP="0068189E">
      <w:pPr>
        <w:spacing w:line="240" w:lineRule="auto"/>
        <w:ind w:firstLine="720"/>
        <w:jc w:val="both"/>
        <w:rPr>
          <w:rFonts w:asciiTheme="majorBidi" w:eastAsia="Cambria" w:hAnsiTheme="majorBidi" w:cstheme="majorBidi"/>
          <w:i/>
        </w:rPr>
      </w:pPr>
      <w:r w:rsidRPr="0068189E">
        <w:rPr>
          <w:rFonts w:asciiTheme="majorBidi" w:eastAsia="Cambria" w:hAnsiTheme="majorBidi" w:cstheme="majorBidi"/>
          <w:i/>
        </w:rPr>
        <w:t xml:space="preserve">What we may be witnessing is not just the end of the Cold War, or the passing of a particular period of postwar history, but the end of history as such: that is, the end point of mankind’s ideological evolution and the universalization of Western liberal democracy as the final form of human government (cite). </w:t>
      </w:r>
    </w:p>
    <w:p w14:paraId="69255D5E" w14:textId="77777777" w:rsidR="0068189E" w:rsidRPr="0068189E" w:rsidRDefault="0068189E" w:rsidP="0068189E">
      <w:pPr>
        <w:spacing w:line="480" w:lineRule="auto"/>
        <w:jc w:val="both"/>
        <w:rPr>
          <w:rFonts w:asciiTheme="majorBidi" w:eastAsia="Cambria" w:hAnsiTheme="majorBidi" w:cstheme="majorBidi"/>
        </w:rPr>
      </w:pPr>
      <w:r w:rsidRPr="0068189E">
        <w:rPr>
          <w:rFonts w:asciiTheme="majorBidi" w:eastAsia="Cambria" w:hAnsiTheme="majorBidi" w:cstheme="majorBidi"/>
        </w:rPr>
        <w:t>Then, he went on and argued, “The triumph of the West, of the Western idea, is evident first of all in the total exhaustion of viable systematic alternatives to Western liberalism” (cite).</w:t>
      </w:r>
    </w:p>
    <w:p w14:paraId="597BC2E0"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lastRenderedPageBreak/>
        <w:t xml:space="preserve">This theoretical development led to the rise of several presuppositions that were treated as “natural laws” in political sciences and many other sciences of society in the United States and the rest of the West. These natural laws include but are not limited to the following: </w:t>
      </w:r>
    </w:p>
    <w:p w14:paraId="7BF00282" w14:textId="4860ADAE" w:rsidR="0068189E" w:rsidRPr="0068189E" w:rsidRDefault="002E4B39" w:rsidP="0068189E">
      <w:pPr>
        <w:numPr>
          <w:ilvl w:val="0"/>
          <w:numId w:val="5"/>
        </w:numPr>
        <w:spacing w:after="0" w:line="480" w:lineRule="auto"/>
        <w:jc w:val="both"/>
        <w:rPr>
          <w:rFonts w:asciiTheme="majorBidi" w:eastAsia="Cambria" w:hAnsiTheme="majorBidi" w:cstheme="majorBidi"/>
        </w:rPr>
      </w:pPr>
      <w:r w:rsidRPr="0068189E">
        <w:rPr>
          <w:rFonts w:asciiTheme="majorBidi" w:eastAsia="Cambria" w:hAnsiTheme="majorBidi" w:cstheme="majorBidi"/>
        </w:rPr>
        <w:t>Liberal</w:t>
      </w:r>
      <w:r w:rsidR="0068189E" w:rsidRPr="0068189E">
        <w:rPr>
          <w:rFonts w:asciiTheme="majorBidi" w:eastAsia="Cambria" w:hAnsiTheme="majorBidi" w:cstheme="majorBidi"/>
        </w:rPr>
        <w:t xml:space="preserve"> democracy is the final product of human political evolution.</w:t>
      </w:r>
      <w:r w:rsidR="0068189E" w:rsidRPr="0068189E">
        <w:rPr>
          <w:rFonts w:asciiTheme="majorBidi" w:eastAsia="Cambria" w:hAnsiTheme="majorBidi" w:cstheme="majorBidi"/>
          <w:vertAlign w:val="superscript"/>
        </w:rPr>
        <w:footnoteReference w:id="20"/>
      </w:r>
      <w:r w:rsidR="0068189E" w:rsidRPr="0068189E">
        <w:rPr>
          <w:rFonts w:asciiTheme="majorBidi" w:eastAsia="Cambria" w:hAnsiTheme="majorBidi" w:cstheme="majorBidi"/>
        </w:rPr>
        <w:t xml:space="preserve"> 2) liberal democracies are the most desirable form of governance that could exist.</w:t>
      </w:r>
      <w:r w:rsidR="0068189E" w:rsidRPr="0068189E">
        <w:rPr>
          <w:rFonts w:asciiTheme="majorBidi" w:eastAsia="Cambria" w:hAnsiTheme="majorBidi" w:cstheme="majorBidi"/>
          <w:vertAlign w:val="superscript"/>
        </w:rPr>
        <w:footnoteReference w:id="21"/>
      </w:r>
      <w:r w:rsidR="0068189E" w:rsidRPr="0068189E">
        <w:rPr>
          <w:rFonts w:asciiTheme="majorBidi" w:eastAsia="Cambria" w:hAnsiTheme="majorBidi" w:cstheme="majorBidi"/>
        </w:rPr>
        <w:t xml:space="preserve"> 3) Democracies never go to war with one another.</w:t>
      </w:r>
      <w:r w:rsidR="0068189E" w:rsidRPr="0068189E">
        <w:rPr>
          <w:rFonts w:asciiTheme="majorBidi" w:eastAsia="Cambria" w:hAnsiTheme="majorBidi" w:cstheme="majorBidi"/>
          <w:vertAlign w:val="superscript"/>
        </w:rPr>
        <w:footnoteReference w:id="22"/>
      </w:r>
      <w:r w:rsidR="0068189E" w:rsidRPr="0068189E">
        <w:rPr>
          <w:rFonts w:asciiTheme="majorBidi" w:eastAsia="Cambria" w:hAnsiTheme="majorBidi" w:cstheme="majorBidi"/>
        </w:rPr>
        <w:t xml:space="preserve"> </w:t>
      </w:r>
    </w:p>
    <w:p w14:paraId="419D2E16" w14:textId="77777777" w:rsidR="0068189E" w:rsidRPr="0068189E" w:rsidRDefault="0068189E" w:rsidP="0068189E">
      <w:pPr>
        <w:numPr>
          <w:ilvl w:val="0"/>
          <w:numId w:val="5"/>
        </w:numPr>
        <w:spacing w:after="0" w:line="480" w:lineRule="auto"/>
        <w:jc w:val="both"/>
        <w:rPr>
          <w:rFonts w:asciiTheme="majorBidi" w:eastAsia="Cambria" w:hAnsiTheme="majorBidi" w:cstheme="majorBidi"/>
        </w:rPr>
      </w:pPr>
      <w:r w:rsidRPr="0068189E">
        <w:rPr>
          <w:rFonts w:asciiTheme="majorBidi" w:eastAsia="Cambria" w:hAnsiTheme="majorBidi" w:cstheme="majorBidi"/>
        </w:rPr>
        <w:t>capitalism, free markets, and democracy are inherently interconnected and interdependent.</w:t>
      </w:r>
      <w:r w:rsidRPr="0068189E">
        <w:rPr>
          <w:rFonts w:asciiTheme="majorBidi" w:eastAsia="Cambria" w:hAnsiTheme="majorBidi" w:cstheme="majorBidi"/>
          <w:vertAlign w:val="superscript"/>
        </w:rPr>
        <w:footnoteReference w:id="23"/>
      </w:r>
      <w:r w:rsidRPr="0068189E">
        <w:rPr>
          <w:rFonts w:asciiTheme="majorBidi" w:eastAsia="Cambria" w:hAnsiTheme="majorBidi" w:cstheme="majorBidi"/>
        </w:rPr>
        <w:t xml:space="preserve"> </w:t>
      </w:r>
    </w:p>
    <w:p w14:paraId="45FDDB62" w14:textId="77777777" w:rsidR="0068189E" w:rsidRPr="0068189E" w:rsidRDefault="0068189E" w:rsidP="0068189E">
      <w:pPr>
        <w:numPr>
          <w:ilvl w:val="0"/>
          <w:numId w:val="5"/>
        </w:numPr>
        <w:spacing w:after="0" w:line="480" w:lineRule="auto"/>
        <w:jc w:val="both"/>
        <w:rPr>
          <w:rFonts w:asciiTheme="majorBidi" w:eastAsia="Cambria" w:hAnsiTheme="majorBidi" w:cstheme="majorBidi"/>
        </w:rPr>
      </w:pPr>
      <w:r w:rsidRPr="0068189E">
        <w:rPr>
          <w:rFonts w:asciiTheme="majorBidi" w:eastAsia="Cambria" w:hAnsiTheme="majorBidi" w:cstheme="majorBidi"/>
        </w:rPr>
        <w:t>rooted in the conception of civil society, societies are inherently liberal in nature, they are just stagnated by authoritarian and totalitarian systems.</w:t>
      </w:r>
      <w:r w:rsidRPr="0068189E">
        <w:rPr>
          <w:rFonts w:asciiTheme="majorBidi" w:eastAsia="Cambria" w:hAnsiTheme="majorBidi" w:cstheme="majorBidi"/>
          <w:vertAlign w:val="superscript"/>
        </w:rPr>
        <w:footnoteReference w:id="24"/>
      </w:r>
      <w:r w:rsidRPr="0068189E">
        <w:rPr>
          <w:rFonts w:asciiTheme="majorBidi" w:eastAsia="Cambria" w:hAnsiTheme="majorBidi" w:cstheme="majorBidi"/>
        </w:rPr>
        <w:t xml:space="preserve"> </w:t>
      </w:r>
    </w:p>
    <w:p w14:paraId="36D60CD4" w14:textId="77777777" w:rsidR="0068189E" w:rsidRPr="0068189E" w:rsidRDefault="0068189E" w:rsidP="0068189E">
      <w:pPr>
        <w:numPr>
          <w:ilvl w:val="0"/>
          <w:numId w:val="5"/>
        </w:numPr>
        <w:spacing w:line="480" w:lineRule="auto"/>
        <w:jc w:val="both"/>
        <w:rPr>
          <w:rFonts w:asciiTheme="majorBidi" w:eastAsia="Cambria" w:hAnsiTheme="majorBidi" w:cstheme="majorBidi"/>
        </w:rPr>
      </w:pPr>
      <w:r w:rsidRPr="0068189E">
        <w:rPr>
          <w:rFonts w:asciiTheme="majorBidi" w:eastAsia="Cambria" w:hAnsiTheme="majorBidi" w:cstheme="majorBidi"/>
        </w:rPr>
        <w:t xml:space="preserve">There is no evolutionary possibility for any other modern political ideology to emerge, thus, any other form of political organization is just a back-warded remnant of a world that will no longer exist.  </w:t>
      </w:r>
    </w:p>
    <w:p w14:paraId="4CB6ECC5"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These beliefs and theoretical assumptions started to be co-opted by the American political class and institutions in early 1980s and got solidified by late 1990s, many times to justify anti-democratic trends. It began with the establishment of organizations like the </w:t>
      </w:r>
      <w:r w:rsidRPr="0068189E">
        <w:rPr>
          <w:rFonts w:asciiTheme="majorBidi" w:eastAsia="Cambria" w:hAnsiTheme="majorBidi" w:cstheme="majorBidi"/>
          <w:i/>
        </w:rPr>
        <w:t>National Endowment for Democracy</w:t>
      </w:r>
      <w:r w:rsidRPr="0068189E">
        <w:rPr>
          <w:rFonts w:asciiTheme="majorBidi" w:eastAsia="Cambria" w:hAnsiTheme="majorBidi" w:cstheme="majorBidi"/>
        </w:rPr>
        <w:t xml:space="preserve"> in 1983, which was inaugurated by President Ronald Reagan himself. On the 20</w:t>
      </w:r>
      <w:r w:rsidRPr="0068189E">
        <w:rPr>
          <w:rFonts w:asciiTheme="majorBidi" w:eastAsia="Cambria" w:hAnsiTheme="majorBidi" w:cstheme="majorBidi"/>
          <w:vertAlign w:val="superscript"/>
        </w:rPr>
        <w:t>th</w:t>
      </w:r>
      <w:r w:rsidRPr="0068189E">
        <w:rPr>
          <w:rFonts w:asciiTheme="majorBidi" w:eastAsia="Cambria" w:hAnsiTheme="majorBidi" w:cstheme="majorBidi"/>
        </w:rPr>
        <w:t xml:space="preserve"> anniversary of the endowment and only three months after his troops had occupied Iraq and were well into their efforts of establishing a liberal democracy, George W. Bush gave his remarkable </w:t>
      </w:r>
      <w:r w:rsidRPr="0068189E">
        <w:rPr>
          <w:rFonts w:asciiTheme="majorBidi" w:eastAsia="Cambria" w:hAnsiTheme="majorBidi" w:cstheme="majorBidi"/>
        </w:rPr>
        <w:lastRenderedPageBreak/>
        <w:t xml:space="preserve">speech that provides the best historical instantiation of how such logic dominated American political thinking. I shall argue that this speech was not short of a </w:t>
      </w:r>
      <w:r w:rsidRPr="0068189E">
        <w:rPr>
          <w:rFonts w:asciiTheme="majorBidi" w:eastAsia="Cambria" w:hAnsiTheme="majorBidi" w:cstheme="majorBidi"/>
          <w:i/>
        </w:rPr>
        <w:t>liberal democratic manifesto</w:t>
      </w:r>
      <w:r w:rsidRPr="0068189E">
        <w:rPr>
          <w:rFonts w:asciiTheme="majorBidi" w:eastAsia="Cambria" w:hAnsiTheme="majorBidi" w:cstheme="majorBidi"/>
        </w:rPr>
        <w:t xml:space="preserve"> like the </w:t>
      </w:r>
      <w:r w:rsidRPr="0068189E">
        <w:rPr>
          <w:rFonts w:asciiTheme="majorBidi" w:eastAsia="Cambria" w:hAnsiTheme="majorBidi" w:cstheme="majorBidi"/>
          <w:i/>
        </w:rPr>
        <w:t>communist manifesto</w:t>
      </w:r>
      <w:r w:rsidRPr="0068189E">
        <w:rPr>
          <w:rFonts w:asciiTheme="majorBidi" w:eastAsia="Cambria" w:hAnsiTheme="majorBidi" w:cstheme="majorBidi"/>
        </w:rPr>
        <w:t xml:space="preserve"> that was laid out by Marx and Engels almost 200 years ago, except it was coming from the president of the United States – the hegemonic power in the international system and for clear political objectives. </w:t>
      </w:r>
    </w:p>
    <w:p w14:paraId="20A60D8C"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He started his speech by arguing that the dominance of democracy was in conjunction with the dominance of the US as the most influential nation in the world. Bush stated the following passages: </w:t>
      </w:r>
    </w:p>
    <w:p w14:paraId="1D626E61" w14:textId="77777777" w:rsidR="0068189E" w:rsidRPr="0068189E" w:rsidRDefault="0068189E" w:rsidP="0068189E">
      <w:pPr>
        <w:spacing w:line="240" w:lineRule="auto"/>
        <w:ind w:left="720"/>
        <w:jc w:val="both"/>
        <w:rPr>
          <w:rFonts w:asciiTheme="majorBidi" w:eastAsia="Cambria" w:hAnsiTheme="majorBidi" w:cstheme="majorBidi"/>
          <w:i/>
        </w:rPr>
      </w:pPr>
      <w:r w:rsidRPr="0068189E">
        <w:rPr>
          <w:rFonts w:asciiTheme="majorBidi" w:eastAsia="Cambria" w:hAnsiTheme="majorBidi" w:cstheme="majorBidi"/>
          <w:i/>
        </w:rPr>
        <w:t>We’ve witnessed, in a little over a generation, the swiftest advance in freedom in the 2,500-year story of democracy. Historians in the future will offer their own explanations for why this happened. Yet we already know some of the reasons they will cite. It is no accident that the rise of so many democracies took place in a time when the world’s most influential nation was itself a democracy.</w:t>
      </w:r>
    </w:p>
    <w:p w14:paraId="643153C1" w14:textId="77777777" w:rsidR="0068189E" w:rsidRPr="0068189E" w:rsidRDefault="0068189E" w:rsidP="0068189E">
      <w:pPr>
        <w:spacing w:line="240" w:lineRule="auto"/>
        <w:ind w:left="720"/>
        <w:jc w:val="both"/>
        <w:rPr>
          <w:rFonts w:asciiTheme="majorBidi" w:eastAsia="Cambria" w:hAnsiTheme="majorBidi" w:cstheme="majorBidi"/>
          <w:i/>
        </w:rPr>
      </w:pPr>
      <w:r w:rsidRPr="0068189E">
        <w:rPr>
          <w:rFonts w:asciiTheme="majorBidi" w:eastAsia="Cambria" w:hAnsiTheme="majorBidi" w:cstheme="majorBidi"/>
          <w:i/>
        </w:rPr>
        <w:t>In prison camps, in banned union meetings, in clandestine churches, men and women knew that the whole world was not sharing their own nightmare. They knew of at least one place — a bright and hopeful land — where freedom was valued and secure. And they prayed that America would not forget them or forget the mission to promote liberty around the world.</w:t>
      </w:r>
    </w:p>
    <w:p w14:paraId="53670F1E" w14:textId="77777777" w:rsidR="0068189E" w:rsidRPr="0068189E" w:rsidRDefault="0068189E" w:rsidP="0068189E">
      <w:pPr>
        <w:spacing w:line="240" w:lineRule="auto"/>
        <w:ind w:left="720"/>
        <w:jc w:val="both"/>
        <w:rPr>
          <w:rFonts w:asciiTheme="majorBidi" w:eastAsia="Cambria" w:hAnsiTheme="majorBidi" w:cstheme="majorBidi"/>
          <w:i/>
        </w:rPr>
      </w:pPr>
      <w:r w:rsidRPr="0068189E">
        <w:rPr>
          <w:rFonts w:asciiTheme="majorBidi" w:eastAsia="Cambria" w:hAnsiTheme="majorBidi" w:cstheme="majorBidi"/>
          <w:i/>
        </w:rPr>
        <w:t>Historians will note that in many nations, the advance of markets and free enterprises helped to create a middle class that was confident enough to demand their own rights. They will point to the role of technology in frustrating censorship and central control — and marvel at the power of instant communications to spread the truth, the news, and courage across borders.</w:t>
      </w:r>
    </w:p>
    <w:p w14:paraId="33BBE357" w14:textId="77777777" w:rsidR="0068189E" w:rsidRPr="0068189E" w:rsidRDefault="0068189E" w:rsidP="0068189E">
      <w:pPr>
        <w:spacing w:line="240" w:lineRule="auto"/>
        <w:ind w:left="720"/>
        <w:jc w:val="both"/>
        <w:rPr>
          <w:rFonts w:asciiTheme="majorBidi" w:eastAsia="Cambria" w:hAnsiTheme="majorBidi" w:cstheme="majorBidi"/>
          <w:i/>
        </w:rPr>
      </w:pPr>
      <w:r w:rsidRPr="0068189E">
        <w:rPr>
          <w:rFonts w:asciiTheme="majorBidi" w:eastAsia="Cambria" w:hAnsiTheme="majorBidi" w:cstheme="majorBidi"/>
          <w:i/>
        </w:rPr>
        <w:t>Historians in the future will reflect on an extraordinary, undeniable fact: Over time, free nations grow stronger, and dictatorships grow weaker. In the middle of the 20th century, some imagined that central planning and social regimentation were a shortcut to national strength.</w:t>
      </w:r>
    </w:p>
    <w:p w14:paraId="4A0D5A98" w14:textId="77777777" w:rsidR="0068189E" w:rsidRPr="0068189E" w:rsidRDefault="0068189E" w:rsidP="0068189E">
      <w:pPr>
        <w:spacing w:line="240" w:lineRule="auto"/>
        <w:ind w:left="720"/>
        <w:jc w:val="both"/>
        <w:rPr>
          <w:rFonts w:asciiTheme="majorBidi" w:eastAsia="Cambria" w:hAnsiTheme="majorBidi" w:cstheme="majorBidi"/>
          <w:i/>
        </w:rPr>
      </w:pPr>
      <w:bookmarkStart w:id="38" w:name="_heading=h.uwsgjgobw57a" w:colFirst="0" w:colLast="0"/>
      <w:bookmarkEnd w:id="38"/>
      <w:r w:rsidRPr="0068189E">
        <w:rPr>
          <w:rFonts w:asciiTheme="majorBidi" w:eastAsia="Cambria" w:hAnsiTheme="majorBidi" w:cstheme="majorBidi"/>
          <w:i/>
        </w:rPr>
        <w:t>Liberty is both the plan of Heaven for humanity, and the best hope for progress here on Earth. The progress of liberty is a powerful trend. Yet, we also know that liberty, if not defended, can be lost. The success of freedom is not determined by some dialectic of history.</w:t>
      </w:r>
      <w:r w:rsidRPr="0068189E">
        <w:rPr>
          <w:rFonts w:asciiTheme="majorBidi" w:eastAsia="Cambria" w:hAnsiTheme="majorBidi" w:cstheme="majorBidi"/>
          <w:i/>
          <w:vertAlign w:val="superscript"/>
        </w:rPr>
        <w:footnoteReference w:id="25"/>
      </w:r>
    </w:p>
    <w:p w14:paraId="7D5958D3"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lastRenderedPageBreak/>
        <w:t xml:space="preserve">Here, Bush’s speech was more reminiscent of political poetry than a rational speech by the president of the United States. Nonetheless, it represented a pervasive logic that was outlined above as </w:t>
      </w:r>
      <w:r w:rsidRPr="0068189E">
        <w:rPr>
          <w:rFonts w:asciiTheme="majorBidi" w:eastAsia="Cambria" w:hAnsiTheme="majorBidi" w:cstheme="majorBidi"/>
          <w:i/>
        </w:rPr>
        <w:t>democratic fanaticism</w:t>
      </w:r>
      <w:r w:rsidRPr="0068189E">
        <w:rPr>
          <w:rFonts w:asciiTheme="majorBidi" w:eastAsia="Cambria" w:hAnsiTheme="majorBidi" w:cstheme="majorBidi"/>
        </w:rPr>
        <w:t xml:space="preserve">. The belief that “liberty” as outlined within the frameworks of Western liberal democracy is the divine “plan of heaven for humanity”. Adding to that, the history of democracy had determined the United States as the force in “the mission to promote liberty around the world.” More importantly, the oppressed nations of the world “prayed that” America would fulfill its mission and promote their freedom, thus in promoting liberty globally is where America finds its heavenly calling. Based on similar logic, the Secretary of Defense Colin Powel argued that they were “liberators” and not “occupiers,” adding, “We came as liberators. We have experience of being liberators. Our history over the last fifty and sixty years is quite clear. We have liberated </w:t>
      </w:r>
      <w:proofErr w:type="gramStart"/>
      <w:r w:rsidRPr="0068189E">
        <w:rPr>
          <w:rFonts w:asciiTheme="majorBidi" w:eastAsia="Cambria" w:hAnsiTheme="majorBidi" w:cstheme="majorBidi"/>
        </w:rPr>
        <w:t>a number of</w:t>
      </w:r>
      <w:proofErr w:type="gramEnd"/>
      <w:r w:rsidRPr="0068189E">
        <w:rPr>
          <w:rFonts w:asciiTheme="majorBidi" w:eastAsia="Cambria" w:hAnsiTheme="majorBidi" w:cstheme="majorBidi"/>
        </w:rPr>
        <w:t xml:space="preserve"> countries, and we do not own one square foot of any of those countries except where we bury our dead”.</w:t>
      </w:r>
      <w:r w:rsidRPr="0068189E">
        <w:rPr>
          <w:rFonts w:asciiTheme="majorBidi" w:eastAsia="Cambria" w:hAnsiTheme="majorBidi" w:cstheme="majorBidi"/>
          <w:vertAlign w:val="superscript"/>
        </w:rPr>
        <w:footnoteReference w:id="26"/>
      </w:r>
    </w:p>
    <w:p w14:paraId="67B18E29" w14:textId="77777777" w:rsidR="0068189E" w:rsidRP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In this newly emerged epoch, Iraq became the historical testing ground for such historical trends and ideas. The ideas of democratic peace, the promised purpose of America, and universality and evolutionary dominance of liberal democracy. In that regard, Iraq represented more than just a basic American regime change effort, as it was the case in many Latin American countries. Iraq was where the validity of the modern human millennium dominated by liberal democracy and the US empire were to be tested. Iraq was represented as everything evil in modern world order, part of the “Axis of Evil,” ruled by the “Butcher of Baghdad”-Saddam Husain, stronghold of terror, produced mass distraction weapons, and the only country who was willing to challenge the all-mighty American empire directly in the post-cold war era through </w:t>
      </w:r>
      <w:r w:rsidRPr="0068189E">
        <w:rPr>
          <w:rFonts w:asciiTheme="majorBidi" w:eastAsia="Cambria" w:hAnsiTheme="majorBidi" w:cstheme="majorBidi"/>
          <w:i/>
        </w:rPr>
        <w:t>Kuwait War.</w:t>
      </w:r>
      <w:r w:rsidRPr="0068189E">
        <w:rPr>
          <w:rFonts w:asciiTheme="majorBidi" w:eastAsia="Cambria" w:hAnsiTheme="majorBidi" w:cstheme="majorBidi"/>
        </w:rPr>
        <w:t xml:space="preserve"> Thus, Iraq served </w:t>
      </w:r>
      <w:r w:rsidRPr="0068189E">
        <w:rPr>
          <w:rFonts w:asciiTheme="majorBidi" w:eastAsia="Cambria" w:hAnsiTheme="majorBidi" w:cstheme="majorBidi"/>
        </w:rPr>
        <w:lastRenderedPageBreak/>
        <w:t xml:space="preserve">as the perfect testing ground to prove the dominance of America, but also the “end of history” as argued by Fukuyama. </w:t>
      </w:r>
    </w:p>
    <w:p w14:paraId="21A7B04F" w14:textId="6B50B0B3" w:rsidR="0068189E" w:rsidRDefault="0068189E" w:rsidP="0068189E">
      <w:pPr>
        <w:spacing w:line="480" w:lineRule="auto"/>
        <w:ind w:firstLine="720"/>
        <w:jc w:val="both"/>
        <w:rPr>
          <w:rFonts w:asciiTheme="majorBidi" w:eastAsia="Cambria" w:hAnsiTheme="majorBidi" w:cstheme="majorBidi"/>
        </w:rPr>
      </w:pPr>
      <w:r w:rsidRPr="0068189E">
        <w:rPr>
          <w:rFonts w:asciiTheme="majorBidi" w:eastAsia="Cambria" w:hAnsiTheme="majorBidi" w:cstheme="majorBidi"/>
        </w:rPr>
        <w:t xml:space="preserve">In this sense, the Iraq War was fought for more than rational self-interested goals as utilitarian perspectives have pushed forward, it was a war over a historical idea. An idea that the United States was willing to sacrifice a lot for, including but not limited to challenging the state-sovereignty rule-based international order for which it was the primary architect, agonize much of the international community – including its main European allies, and engage in a costly seven </w:t>
      </w:r>
      <w:proofErr w:type="gramStart"/>
      <w:r w:rsidRPr="0068189E">
        <w:rPr>
          <w:rFonts w:asciiTheme="majorBidi" w:eastAsia="Cambria" w:hAnsiTheme="majorBidi" w:cstheme="majorBidi"/>
        </w:rPr>
        <w:t>years</w:t>
      </w:r>
      <w:proofErr w:type="gramEnd"/>
      <w:r w:rsidRPr="0068189E">
        <w:rPr>
          <w:rFonts w:asciiTheme="majorBidi" w:eastAsia="Cambria" w:hAnsiTheme="majorBidi" w:cstheme="majorBidi"/>
        </w:rPr>
        <w:t xml:space="preserve"> long war. This is without mentioning the suppression of an internal opposition that was represented by more than 35 million protesters from January to April 2003 throughout the Western world. Those were the largest protest movements in the entire recorded human history, which I shall argue came back to haunt </w:t>
      </w:r>
      <w:r w:rsidR="002E4B39" w:rsidRPr="0068189E">
        <w:rPr>
          <w:rFonts w:asciiTheme="majorBidi" w:eastAsia="Cambria" w:hAnsiTheme="majorBidi" w:cstheme="majorBidi"/>
        </w:rPr>
        <w:t>Western</w:t>
      </w:r>
      <w:r w:rsidRPr="0068189E">
        <w:rPr>
          <w:rFonts w:asciiTheme="majorBidi" w:eastAsia="Cambria" w:hAnsiTheme="majorBidi" w:cstheme="majorBidi"/>
        </w:rPr>
        <w:t xml:space="preserve"> liberal order internally </w:t>
      </w:r>
      <w:proofErr w:type="gramStart"/>
      <w:r w:rsidRPr="0068189E">
        <w:rPr>
          <w:rFonts w:asciiTheme="majorBidi" w:eastAsia="Cambria" w:hAnsiTheme="majorBidi" w:cstheme="majorBidi"/>
        </w:rPr>
        <w:t>later on</w:t>
      </w:r>
      <w:proofErr w:type="gramEnd"/>
      <w:r w:rsidRPr="0068189E">
        <w:rPr>
          <w:rFonts w:asciiTheme="majorBidi" w:eastAsia="Cambria" w:hAnsiTheme="majorBidi" w:cstheme="majorBidi"/>
        </w:rPr>
        <w:t>.</w:t>
      </w:r>
      <w:r w:rsidRPr="0068189E">
        <w:rPr>
          <w:rFonts w:asciiTheme="majorBidi" w:eastAsia="Cambria" w:hAnsiTheme="majorBidi" w:cstheme="majorBidi"/>
          <w:vertAlign w:val="superscript"/>
        </w:rPr>
        <w:footnoteReference w:id="27"/>
      </w:r>
      <w:r w:rsidRPr="0068189E">
        <w:rPr>
          <w:rFonts w:asciiTheme="majorBidi" w:eastAsia="Cambria" w:hAnsiTheme="majorBidi" w:cstheme="majorBidi"/>
        </w:rPr>
        <w:t xml:space="preserve"> Additionally, it turned out to be the second most costly war the US had ever fought following World War II. While the U.S. fought the first one to establish itself as the dominant global power, the second was fought to not leave the universality of liberal democracy to be “determined by some dialectic of history” as marshalled by Bush. </w:t>
      </w:r>
    </w:p>
    <w:p w14:paraId="2F6EEA25" w14:textId="5CBFABC6" w:rsidR="002E4B39" w:rsidRPr="00BC538C" w:rsidRDefault="003E4924" w:rsidP="00BC538C">
      <w:pPr>
        <w:pStyle w:val="Style5"/>
        <w:rPr>
          <w:i w:val="0"/>
        </w:rPr>
      </w:pPr>
      <w:bookmarkStart w:id="39" w:name="_Toc202283738"/>
      <w:r>
        <w:t xml:space="preserve">4.2.1 </w:t>
      </w:r>
      <w:r w:rsidR="002E4B39">
        <w:t>Theoretical Historical Foundations of the Bush Doctrine and Its Ideological Force</w:t>
      </w:r>
      <w:bookmarkEnd w:id="39"/>
    </w:p>
    <w:p w14:paraId="0CFD7BFC" w14:textId="7B48B5AF"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The Classical Doctrine of democracy is both a theoretical ideal type and an ideology. It shapes the academic and political analysts’ assessment of southern global societies but also justifies why the political evolution of Western societies is the most ideal form of human social organization. However, in the context of this specific thesis, it is political and practical too. It </w:t>
      </w:r>
      <w:r w:rsidRPr="002E4B39">
        <w:rPr>
          <w:rFonts w:asciiTheme="majorBidi" w:eastAsia="Cambria" w:hAnsiTheme="majorBidi" w:cstheme="majorBidi"/>
        </w:rPr>
        <w:lastRenderedPageBreak/>
        <w:t xml:space="preserve">becomes a policy style and project in the context of democratic promotion and the political economy of development in the Global South and the Third World societies. </w:t>
      </w:r>
    </w:p>
    <w:p w14:paraId="738A30BC"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What starts as a self-justifying ideology and doctrine in modern Western liberal democracies is pushed as a clear and unquestioned policy program on non-western national societies. Devoid of an articulation of all the repressive structures outlined earlier by other theoretical typologies, the classical doctrine constructs an ideal that is far away from the real conditions that gave rise and sustains today’s Western democratic societies. It assumes that no repressive forces exist within the system, </w:t>
      </w:r>
      <w:r w:rsidRPr="002E4B39">
        <w:rPr>
          <w:rFonts w:asciiTheme="majorBidi" w:eastAsia="Cambria" w:hAnsiTheme="majorBidi" w:cstheme="majorBidi"/>
          <w:i/>
        </w:rPr>
        <w:t>the political</w:t>
      </w:r>
      <w:r w:rsidRPr="002E4B39">
        <w:rPr>
          <w:rFonts w:asciiTheme="majorBidi" w:eastAsia="Cambria" w:hAnsiTheme="majorBidi" w:cstheme="majorBidi"/>
        </w:rPr>
        <w:t xml:space="preserve"> is the representation of the people’s </w:t>
      </w:r>
      <w:r w:rsidRPr="002E4B39">
        <w:rPr>
          <w:rFonts w:asciiTheme="majorBidi" w:eastAsia="Cambria" w:hAnsiTheme="majorBidi" w:cstheme="majorBidi"/>
          <w:i/>
        </w:rPr>
        <w:t>volition</w:t>
      </w:r>
      <w:r w:rsidRPr="002E4B39">
        <w:rPr>
          <w:rFonts w:asciiTheme="majorBidi" w:eastAsia="Cambria" w:hAnsiTheme="majorBidi" w:cstheme="majorBidi"/>
        </w:rPr>
        <w:t>, every individual has the intellectual and mental faculties to rationally access information and make decisions that are productive of the “greater good”.</w:t>
      </w:r>
      <w:r w:rsidRPr="002E4B39">
        <w:rPr>
          <w:rStyle w:val="FootnoteReference"/>
          <w:rFonts w:asciiTheme="majorBidi" w:eastAsia="Cambria" w:hAnsiTheme="majorBidi" w:cstheme="majorBidi"/>
        </w:rPr>
        <w:footnoteReference w:id="28"/>
      </w:r>
      <w:r w:rsidRPr="002E4B39">
        <w:rPr>
          <w:rFonts w:asciiTheme="majorBidi" w:eastAsia="Cambria" w:hAnsiTheme="majorBidi" w:cstheme="majorBidi"/>
        </w:rPr>
        <w:t xml:space="preserve"> Democratic societies, it assumes, are more likely to avoid violence and war (at different levels) as it contradicts the aspirations of the rational aggregates who have an awareness of absolute good and truth with capital G and T.</w:t>
      </w:r>
      <w:r w:rsidRPr="002E4B39">
        <w:rPr>
          <w:rStyle w:val="FootnoteReference"/>
          <w:rFonts w:asciiTheme="majorBidi" w:eastAsia="Cambria" w:hAnsiTheme="majorBidi" w:cstheme="majorBidi"/>
        </w:rPr>
        <w:footnoteReference w:id="29"/>
      </w:r>
      <w:r w:rsidRPr="002E4B39">
        <w:rPr>
          <w:rFonts w:asciiTheme="majorBidi" w:eastAsia="Cambria" w:hAnsiTheme="majorBidi" w:cstheme="majorBidi"/>
        </w:rPr>
        <w:t xml:space="preserve"> </w:t>
      </w:r>
    </w:p>
    <w:p w14:paraId="177C935C"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Like the neoliberal and neoclassical doctrines and policies, it views democracy as being in a negative correlation with state power. In economic doctrine, the weaker the state, the stronger capitalism. In the political sense, the weaker the state, the stronger democracy.</w:t>
      </w:r>
      <w:r w:rsidRPr="002E4B39">
        <w:rPr>
          <w:rStyle w:val="FootnoteReference"/>
          <w:rFonts w:asciiTheme="majorBidi" w:eastAsia="Cambria" w:hAnsiTheme="majorBidi" w:cstheme="majorBidi"/>
        </w:rPr>
        <w:footnoteReference w:id="30"/>
      </w:r>
      <w:r w:rsidRPr="002E4B39">
        <w:rPr>
          <w:rFonts w:asciiTheme="majorBidi" w:eastAsia="Cambria" w:hAnsiTheme="majorBidi" w:cstheme="majorBidi"/>
        </w:rPr>
        <w:t xml:space="preserve"> The two doctrines are built on a similar assumption, societies are an aggregate of rational decision-making individuals. Thus, the democratic state is only necessary to the extent it allows for the collective rational decision making to be facilitated most efficiently. An example of an extreme version of this democratic doctrine being revived today in the Western spaces is what is being pushed in the second Trump Administration and Elon Musk’s Department of Government Efficiency. One could term it as a </w:t>
      </w:r>
      <w:r w:rsidRPr="002E4B39">
        <w:rPr>
          <w:rFonts w:asciiTheme="majorBidi" w:eastAsia="Cambria" w:hAnsiTheme="majorBidi" w:cstheme="majorBidi"/>
          <w:i/>
        </w:rPr>
        <w:t>neoclassical doctrine</w:t>
      </w:r>
      <w:r w:rsidRPr="002E4B39">
        <w:rPr>
          <w:rFonts w:asciiTheme="majorBidi" w:eastAsia="Cambria" w:hAnsiTheme="majorBidi" w:cstheme="majorBidi"/>
        </w:rPr>
        <w:t xml:space="preserve">, but that’s not my task here. What is important is that the doctrine </w:t>
      </w:r>
      <w:r w:rsidRPr="002E4B39">
        <w:rPr>
          <w:rFonts w:asciiTheme="majorBidi" w:eastAsia="Cambria" w:hAnsiTheme="majorBidi" w:cstheme="majorBidi"/>
        </w:rPr>
        <w:lastRenderedPageBreak/>
        <w:t>is motivated to erode state institutions as much as possible, it despises bureaucratic structures, and collective political currents.</w:t>
      </w:r>
    </w:p>
    <w:p w14:paraId="212DFC07"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This doctrine has been an effective ideology in sustaining a sense of false freedom in advanced industrial societies as Herbert Marcuse might have put it.</w:t>
      </w:r>
      <w:r w:rsidRPr="002E4B39">
        <w:rPr>
          <w:rStyle w:val="FootnoteReference"/>
          <w:rFonts w:asciiTheme="majorBidi" w:eastAsia="Cambria" w:hAnsiTheme="majorBidi" w:cstheme="majorBidi"/>
        </w:rPr>
        <w:footnoteReference w:id="31"/>
      </w:r>
      <w:r w:rsidRPr="002E4B39">
        <w:rPr>
          <w:rFonts w:asciiTheme="majorBidi" w:eastAsia="Cambria" w:hAnsiTheme="majorBidi" w:cstheme="majorBidi"/>
        </w:rPr>
        <w:t xml:space="preserve"> It was also, more deliberately, pushed as a part of the larger rational choice theory as an ideological tool to combat the global expansion of communism in the Cold War era. In this sense, democracy became spontaneous with liberal economics and its rational choice foundations.</w:t>
      </w:r>
      <w:r w:rsidRPr="002E4B39">
        <w:rPr>
          <w:rStyle w:val="FootnoteReference"/>
          <w:rFonts w:asciiTheme="majorBidi" w:eastAsia="Cambria" w:hAnsiTheme="majorBidi" w:cstheme="majorBidi"/>
        </w:rPr>
        <w:footnoteReference w:id="32"/>
      </w:r>
      <w:r w:rsidRPr="002E4B39">
        <w:rPr>
          <w:rFonts w:asciiTheme="majorBidi" w:eastAsia="Cambria" w:hAnsiTheme="majorBidi" w:cstheme="majorBidi"/>
        </w:rPr>
        <w:t xml:space="preserve"> It also served as an ideological construct that settler-colonial societies, such as the United States, which did not have cohesive foundational national histories, to create a national ideal and purpose -- “Liberty” (however vaguely it has been defined and contested).</w:t>
      </w:r>
      <w:r w:rsidRPr="002E4B39">
        <w:rPr>
          <w:rStyle w:val="FootnoteReference"/>
          <w:rFonts w:asciiTheme="majorBidi" w:eastAsia="Cambria" w:hAnsiTheme="majorBidi" w:cstheme="majorBidi"/>
        </w:rPr>
        <w:footnoteReference w:id="33"/>
      </w:r>
      <w:r w:rsidRPr="002E4B39">
        <w:rPr>
          <w:rFonts w:asciiTheme="majorBidi" w:eastAsia="Cambria" w:hAnsiTheme="majorBidi" w:cstheme="majorBidi"/>
        </w:rPr>
        <w:t xml:space="preserve"> </w:t>
      </w:r>
    </w:p>
    <w:p w14:paraId="7C2A5695"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The end of the Cold War marked a radical and transformative moment in the history of the </w:t>
      </w:r>
      <w:r w:rsidRPr="002E4B39">
        <w:rPr>
          <w:rFonts w:asciiTheme="majorBidi" w:eastAsia="Cambria" w:hAnsiTheme="majorBidi" w:cstheme="majorBidi"/>
          <w:i/>
        </w:rPr>
        <w:t>Classical Doctrine of Democracy</w:t>
      </w:r>
      <w:r w:rsidRPr="002E4B39">
        <w:rPr>
          <w:rFonts w:asciiTheme="majorBidi" w:eastAsia="Cambria" w:hAnsiTheme="majorBidi" w:cstheme="majorBidi"/>
        </w:rPr>
        <w:t xml:space="preserve">. It turned it into an unquestioned belief and action system that had to shape the direction of the new human millennium- it became a religion, and this is what I define as </w:t>
      </w:r>
      <w:r w:rsidRPr="002E4B39">
        <w:rPr>
          <w:rFonts w:asciiTheme="majorBidi" w:eastAsia="Cambria" w:hAnsiTheme="majorBidi" w:cstheme="majorBidi"/>
          <w:i/>
        </w:rPr>
        <w:t>democratic fanaticism.</w:t>
      </w:r>
      <w:r w:rsidRPr="002E4B39">
        <w:rPr>
          <w:rFonts w:asciiTheme="majorBidi" w:eastAsia="Cambria" w:hAnsiTheme="majorBidi" w:cstheme="majorBidi"/>
        </w:rPr>
        <w:t xml:space="preserve"> It was developed theoretically by concepts like the </w:t>
      </w:r>
      <w:r w:rsidRPr="002E4B39">
        <w:rPr>
          <w:rFonts w:asciiTheme="majorBidi" w:eastAsia="Cambria" w:hAnsiTheme="majorBidi" w:cstheme="majorBidi"/>
          <w:i/>
        </w:rPr>
        <w:t>End of History</w:t>
      </w:r>
      <w:r w:rsidRPr="002E4B39">
        <w:rPr>
          <w:rFonts w:asciiTheme="majorBidi" w:eastAsia="Cambria" w:hAnsiTheme="majorBidi" w:cstheme="majorBidi"/>
        </w:rPr>
        <w:t xml:space="preserve"> by Fracis Fukuyama and other liberal thinkers and turned into the mission of the U.S. global power by Ronald Regan, Bill Clinton, and George W. Bush. By </w:t>
      </w:r>
      <w:r w:rsidRPr="002E4B39">
        <w:rPr>
          <w:rFonts w:asciiTheme="majorBidi" w:eastAsia="Cambria" w:hAnsiTheme="majorBidi" w:cstheme="majorBidi"/>
          <w:i/>
        </w:rPr>
        <w:t>democratic fanaticism</w:t>
      </w:r>
      <w:r w:rsidRPr="002E4B39">
        <w:rPr>
          <w:rFonts w:asciiTheme="majorBidi" w:eastAsia="Cambria" w:hAnsiTheme="majorBidi" w:cstheme="majorBidi"/>
        </w:rPr>
        <w:t xml:space="preserve">, I do not mean the pursuit of radical democratic society in some sort of objective meaning of the word. Quite the contrary, it means the unquestioned belief in a specific doctrine of democracy as the absolute explanation of how history has unfolded and a road for how it should unfold in the future. The doctrine was also taken to the most radical ends during the dominance of the neoconservative </w:t>
      </w:r>
      <w:r w:rsidRPr="002E4B39">
        <w:rPr>
          <w:rFonts w:asciiTheme="majorBidi" w:eastAsia="Cambria" w:hAnsiTheme="majorBidi" w:cstheme="majorBidi"/>
        </w:rPr>
        <w:lastRenderedPageBreak/>
        <w:t xml:space="preserve">represented by George W. Bush’s administration, perhaps one of the most authoritarian shifts in U.S. politics. </w:t>
      </w:r>
    </w:p>
    <w:p w14:paraId="7F487B40"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In the context of this thesis, the doctrine was used both as a justification of the U.S. invasion of Iraq and the shaping of the policy program for how the Iraqi society and state had to be shaped in the post-War period. Besides the economic liberalization of much of the national industries and sectors aside from oil </w:t>
      </w:r>
      <w:proofErr w:type="gramStart"/>
      <w:r w:rsidRPr="002E4B39">
        <w:rPr>
          <w:rFonts w:asciiTheme="majorBidi" w:eastAsia="Cambria" w:hAnsiTheme="majorBidi" w:cstheme="majorBidi"/>
        </w:rPr>
        <w:t>as a result of</w:t>
      </w:r>
      <w:proofErr w:type="gramEnd"/>
      <w:r w:rsidRPr="002E4B39">
        <w:rPr>
          <w:rFonts w:asciiTheme="majorBidi" w:eastAsia="Cambria" w:hAnsiTheme="majorBidi" w:cstheme="majorBidi"/>
        </w:rPr>
        <w:t xml:space="preserve"> the neoliberal doctrine, the political arena had to face a similar fate based on the </w:t>
      </w:r>
      <w:r w:rsidRPr="002E4B39">
        <w:rPr>
          <w:rFonts w:asciiTheme="majorBidi" w:eastAsia="Cambria" w:hAnsiTheme="majorBidi" w:cstheme="majorBidi"/>
          <w:i/>
        </w:rPr>
        <w:t>Classical Doctrine</w:t>
      </w:r>
      <w:r w:rsidRPr="002E4B39">
        <w:rPr>
          <w:rFonts w:asciiTheme="majorBidi" w:eastAsia="Cambria" w:hAnsiTheme="majorBidi" w:cstheme="majorBidi"/>
        </w:rPr>
        <w:t xml:space="preserve">. Mandatory conscription, which was the bastion of modernization in Iraqi society, had to be demolished. The traditional military </w:t>
      </w:r>
      <w:proofErr w:type="gramStart"/>
      <w:r w:rsidRPr="002E4B39">
        <w:rPr>
          <w:rFonts w:asciiTheme="majorBidi" w:eastAsia="Cambria" w:hAnsiTheme="majorBidi" w:cstheme="majorBidi"/>
        </w:rPr>
        <w:t>as a whole was</w:t>
      </w:r>
      <w:proofErr w:type="gramEnd"/>
      <w:r w:rsidRPr="002E4B39">
        <w:rPr>
          <w:rFonts w:asciiTheme="majorBidi" w:eastAsia="Cambria" w:hAnsiTheme="majorBidi" w:cstheme="majorBidi"/>
        </w:rPr>
        <w:t xml:space="preserve"> dismantled as a matter of fact, which ended the effective state monopoly on violence. Alternative ideological currents against liberalism and democracy, including religious politics, were not suppressed. </w:t>
      </w:r>
    </w:p>
    <w:p w14:paraId="1AAD4076" w14:textId="77777777" w:rsidR="002E4B39" w:rsidRPr="002E4B39"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More importantly, the underlying social relations characteristic of the Iraqi state and what they signified at a material level were not comprehendible from a </w:t>
      </w:r>
      <w:r w:rsidRPr="002E4B39">
        <w:rPr>
          <w:rFonts w:asciiTheme="majorBidi" w:eastAsia="Cambria" w:hAnsiTheme="majorBidi" w:cstheme="majorBidi"/>
          <w:i/>
        </w:rPr>
        <w:t xml:space="preserve">Classical </w:t>
      </w:r>
      <w:r w:rsidRPr="002E4B39">
        <w:rPr>
          <w:rFonts w:asciiTheme="majorBidi" w:eastAsia="Cambria" w:hAnsiTheme="majorBidi" w:cstheme="majorBidi"/>
        </w:rPr>
        <w:t>perspective. For instance, the identity of Sunni and Shia were awakened at a basic religious and demographic level. However, the identity of the Sunni also represented the majority of political, economic, and military that possessed much of the material power (including coercive means). And the Shias, who of course represented a religious category, also represented the mass majority of the Iraqi population that was impoverished for decades and highly influenced by class consciousness and communism in the 60s and 70s.</w:t>
      </w:r>
      <w:r w:rsidRPr="002E4B39">
        <w:rPr>
          <w:rStyle w:val="FootnoteReference"/>
          <w:rFonts w:asciiTheme="majorBidi" w:eastAsia="Cambria" w:hAnsiTheme="majorBidi" w:cstheme="majorBidi"/>
        </w:rPr>
        <w:footnoteReference w:id="34"/>
      </w:r>
      <w:r w:rsidRPr="002E4B39">
        <w:rPr>
          <w:rFonts w:asciiTheme="majorBidi" w:eastAsia="Cambria" w:hAnsiTheme="majorBidi" w:cstheme="majorBidi"/>
        </w:rPr>
        <w:t xml:space="preserve"> Through a sociological point of view, what Americans viewed as a regime change at a political level, which brought the mass of the Shiite populus to the center </w:t>
      </w:r>
      <w:r w:rsidRPr="002E4B39">
        <w:rPr>
          <w:rFonts w:asciiTheme="majorBidi" w:eastAsia="Cambria" w:hAnsiTheme="majorBidi" w:cstheme="majorBidi"/>
        </w:rPr>
        <w:lastRenderedPageBreak/>
        <w:t xml:space="preserve">of politics, produced a revolutionary transformation at a societal level. As a </w:t>
      </w:r>
      <w:proofErr w:type="gramStart"/>
      <w:r w:rsidRPr="002E4B39">
        <w:rPr>
          <w:rFonts w:asciiTheme="majorBidi" w:eastAsia="Cambria" w:hAnsiTheme="majorBidi" w:cstheme="majorBidi"/>
        </w:rPr>
        <w:t>result</w:t>
      </w:r>
      <w:proofErr w:type="gramEnd"/>
      <w:r w:rsidRPr="002E4B39">
        <w:rPr>
          <w:rFonts w:asciiTheme="majorBidi" w:eastAsia="Cambria" w:hAnsiTheme="majorBidi" w:cstheme="majorBidi"/>
        </w:rPr>
        <w:t xml:space="preserve"> it produced reactionary violence from the Sunnis. </w:t>
      </w:r>
    </w:p>
    <w:p w14:paraId="331FD823" w14:textId="05F9084B" w:rsidR="002E4B39" w:rsidRPr="0068189E" w:rsidRDefault="002E4B39" w:rsidP="002E4B39">
      <w:pPr>
        <w:spacing w:line="480" w:lineRule="auto"/>
        <w:ind w:firstLine="720"/>
        <w:jc w:val="both"/>
        <w:rPr>
          <w:rFonts w:asciiTheme="majorBidi" w:eastAsia="Cambria" w:hAnsiTheme="majorBidi" w:cstheme="majorBidi"/>
        </w:rPr>
      </w:pPr>
      <w:r w:rsidRPr="002E4B39">
        <w:rPr>
          <w:rFonts w:asciiTheme="majorBidi" w:eastAsia="Cambria" w:hAnsiTheme="majorBidi" w:cstheme="majorBidi"/>
        </w:rPr>
        <w:t xml:space="preserve">While as a policy program, classical doctrine produced unintended consequences, as a theoretical framework, it fails to comprehend the dialectical relationship between those outcomes and liberal democracy.  The rational, liberating, and universal conception of democracy upheld by classicals contradict the complex and unclear outcomes of the democratic imposition in Iraq. Thus, those who uphold the Classical view jump quickly to argue that the system has failed. However, as clarified in the previous section, liberal democracy has always been related and embedded in contradictory structures, relations, and forces. The inability to capture these contradictions leads to simplified conclusions in which reality is being sacrificed for the theory that produced it in the first place.   </w:t>
      </w:r>
    </w:p>
    <w:p w14:paraId="0F9C39BA" w14:textId="2D90C0C7" w:rsidR="0068189E" w:rsidRPr="00872805" w:rsidRDefault="003E4924" w:rsidP="0068189E">
      <w:pPr>
        <w:pStyle w:val="Style2"/>
      </w:pPr>
      <w:bookmarkStart w:id="40" w:name="_Toc202283739"/>
      <w:r>
        <w:t xml:space="preserve">4.3 </w:t>
      </w:r>
      <w:r w:rsidR="0068189E" w:rsidRPr="00872805">
        <w:t xml:space="preserve">Political, Social, and Economic </w:t>
      </w:r>
      <w:r w:rsidR="0068189E">
        <w:t>Costs of</w:t>
      </w:r>
      <w:r w:rsidR="0068189E" w:rsidRPr="00872805">
        <w:t xml:space="preserve"> </w:t>
      </w:r>
      <w:r w:rsidR="0068189E">
        <w:t>2003 US. Invasion</w:t>
      </w:r>
      <w:r w:rsidR="0068189E" w:rsidRPr="00872805">
        <w:t xml:space="preserve"> </w:t>
      </w:r>
      <w:r w:rsidR="0068189E">
        <w:t>Democratic Transition</w:t>
      </w:r>
      <w:bookmarkEnd w:id="40"/>
    </w:p>
    <w:p w14:paraId="1A3FD758" w14:textId="77777777" w:rsidR="0068189E" w:rsidRDefault="0068189E" w:rsidP="0068189E">
      <w:pPr>
        <w:spacing w:line="480" w:lineRule="auto"/>
        <w:ind w:firstLine="720"/>
        <w:jc w:val="both"/>
        <w:rPr>
          <w:rFonts w:ascii="Cambria" w:eastAsia="Cambria" w:hAnsi="Cambria" w:cs="Cambria"/>
        </w:rPr>
      </w:pPr>
      <w:r>
        <w:rPr>
          <w:rFonts w:ascii="Cambria" w:eastAsia="Cambria" w:hAnsi="Cambria" w:cs="Cambria"/>
        </w:rPr>
        <w:t xml:space="preserve">The outcomes of the war and the regime change efforts were, undeniably, destructive, violent, and repressive. Extensive research has been conducted on the violent outcomes of regime change in Iraq, including the </w:t>
      </w:r>
      <w:r>
        <w:rPr>
          <w:rFonts w:ascii="Cambria" w:eastAsia="Cambria" w:hAnsi="Cambria" w:cs="Cambria"/>
          <w:i/>
        </w:rPr>
        <w:t>Costs of Wars</w:t>
      </w:r>
      <w:r>
        <w:rPr>
          <w:rFonts w:ascii="Cambria" w:eastAsia="Cambria" w:hAnsi="Cambria" w:cs="Cambria"/>
        </w:rPr>
        <w:t xml:space="preserve"> project by Brown University’s Institute for International and Public Affairs, which has well-documented the financial and human costs in a systematic manner.</w:t>
      </w:r>
      <w:r>
        <w:rPr>
          <w:rFonts w:ascii="Cambria" w:eastAsia="Cambria" w:hAnsi="Cambria" w:cs="Cambria"/>
          <w:vertAlign w:val="superscript"/>
        </w:rPr>
        <w:footnoteReference w:id="35"/>
      </w:r>
      <w:r>
        <w:rPr>
          <w:rFonts w:ascii="Cambria" w:eastAsia="Cambria" w:hAnsi="Cambria" w:cs="Cambria"/>
        </w:rPr>
        <w:t xml:space="preserve"> The project estimated the financial cost of the War to be more than $1.1 trillion, an amount that could have productively addressed many of the stressing global crises. However, the financial costs are not even comparable to the human costs of this war. </w:t>
      </w:r>
      <w:r>
        <w:rPr>
          <w:rFonts w:ascii="Cambria" w:eastAsia="Cambria" w:hAnsi="Cambria" w:cs="Cambria"/>
        </w:rPr>
        <w:lastRenderedPageBreak/>
        <w:t xml:space="preserve">In combination with consequences of the Afghanistan war, it resulted in 4.5–4.7 million deaths. </w:t>
      </w:r>
    </w:p>
    <w:p w14:paraId="1E3516E0" w14:textId="77777777" w:rsidR="0068189E" w:rsidRDefault="0068189E" w:rsidP="0068189E">
      <w:pPr>
        <w:spacing w:line="480" w:lineRule="auto"/>
        <w:ind w:firstLine="720"/>
        <w:jc w:val="both"/>
        <w:rPr>
          <w:rFonts w:ascii="Cambria" w:eastAsia="Cambria" w:hAnsi="Cambria" w:cs="Cambria"/>
        </w:rPr>
      </w:pPr>
      <w:r>
        <w:rPr>
          <w:rFonts w:ascii="Cambria" w:eastAsia="Cambria" w:hAnsi="Cambria" w:cs="Cambria"/>
        </w:rPr>
        <w:t>While the financial and human costs have been measured somewhat systematically, other costs associated with this historical disaster have often been neglected. According to the Center for Strategic and International Studies (CSIS), The U.S.-led invasion of Iraq in 2003 displaced at least 9.2 million people. This includes millions of internally displaced people (IDPs) and refugees.</w:t>
      </w:r>
      <w:r>
        <w:rPr>
          <w:rFonts w:ascii="Cambria" w:eastAsia="Cambria" w:hAnsi="Cambria" w:cs="Cambria"/>
          <w:vertAlign w:val="superscript"/>
        </w:rPr>
        <w:footnoteReference w:id="36"/>
      </w:r>
      <w:r>
        <w:rPr>
          <w:rFonts w:ascii="Cambria" w:eastAsia="Cambria" w:hAnsi="Cambria" w:cs="Cambria"/>
        </w:rPr>
        <w:t xml:space="preserve"> Entire communities, such as the Yazidis, were removed from their ancestral land and faced genocidal campaigns. </w:t>
      </w:r>
    </w:p>
    <w:p w14:paraId="75BB42EC" w14:textId="77777777" w:rsidR="0068189E" w:rsidRDefault="0068189E" w:rsidP="0068189E">
      <w:pPr>
        <w:spacing w:line="480" w:lineRule="auto"/>
        <w:ind w:firstLine="720"/>
        <w:jc w:val="both"/>
        <w:rPr>
          <w:rFonts w:ascii="Cambria" w:eastAsia="Cambria" w:hAnsi="Cambria" w:cs="Cambria"/>
        </w:rPr>
      </w:pPr>
      <w:r>
        <w:rPr>
          <w:rFonts w:ascii="Cambria" w:eastAsia="Cambria" w:hAnsi="Cambria" w:cs="Cambria"/>
        </w:rPr>
        <w:t xml:space="preserve">The attention to environmental destruction because of the War and subsequent events is immeasurable and would take an extended </w:t>
      </w:r>
      <w:proofErr w:type="gramStart"/>
      <w:r>
        <w:rPr>
          <w:rFonts w:ascii="Cambria" w:eastAsia="Cambria" w:hAnsi="Cambria" w:cs="Cambria"/>
        </w:rPr>
        <w:t>period of time</w:t>
      </w:r>
      <w:proofErr w:type="gramEnd"/>
      <w:r>
        <w:rPr>
          <w:rFonts w:ascii="Cambria" w:eastAsia="Cambria" w:hAnsi="Cambria" w:cs="Cambria"/>
        </w:rPr>
        <w:t xml:space="preserve"> to be well-documented. Nonetheless, the War resulted in significant environmental destruction, including widespread oil spills, contaminated water supplies, air pollution from oil well fires, damage to infrastructure like water treatment plants, soil contamination from military activity, and the proliferation of landmines, rendering large areas of land unusable for agriculture and wildlife habitats; all contributing to long-term environmental degradation in the region.</w:t>
      </w:r>
      <w:r>
        <w:rPr>
          <w:rFonts w:ascii="Cambria" w:eastAsia="Cambria" w:hAnsi="Cambria" w:cs="Cambria"/>
          <w:vertAlign w:val="superscript"/>
        </w:rPr>
        <w:footnoteReference w:id="37"/>
      </w:r>
      <w:r>
        <w:rPr>
          <w:rFonts w:ascii="Cambria" w:eastAsia="Cambria" w:hAnsi="Cambria" w:cs="Cambria"/>
          <w:vertAlign w:val="superscript"/>
        </w:rPr>
        <w:footnoteReference w:id="38"/>
      </w:r>
      <w:r>
        <w:rPr>
          <w:rFonts w:ascii="Cambria" w:eastAsia="Cambria" w:hAnsi="Cambria" w:cs="Cambria"/>
          <w:vertAlign w:val="superscript"/>
        </w:rPr>
        <w:footnoteReference w:id="39"/>
      </w:r>
      <w:r>
        <w:rPr>
          <w:rFonts w:ascii="Cambria" w:eastAsia="Cambria" w:hAnsi="Cambria" w:cs="Cambria"/>
        </w:rPr>
        <w:t xml:space="preserve"> </w:t>
      </w:r>
    </w:p>
    <w:p w14:paraId="7A831110" w14:textId="49075097" w:rsidR="001C71F6" w:rsidRPr="0068189E" w:rsidRDefault="0068189E" w:rsidP="0068189E">
      <w:pPr>
        <w:spacing w:line="480" w:lineRule="auto"/>
        <w:ind w:firstLine="720"/>
        <w:jc w:val="both"/>
        <w:rPr>
          <w:rFonts w:ascii="Cambria" w:eastAsia="Cambria" w:hAnsi="Cambria" w:cs="Cambria"/>
        </w:rPr>
      </w:pPr>
      <w:r>
        <w:rPr>
          <w:rFonts w:ascii="Cambria" w:eastAsia="Cambria" w:hAnsi="Cambria" w:cs="Cambria"/>
        </w:rPr>
        <w:t xml:space="preserve">Rise of inequality and the collapse of the Iraqi middle class is the most important political economic impact of the war and regime change, yet it has been mostly ignored. A </w:t>
      </w:r>
      <w:r>
        <w:rPr>
          <w:rFonts w:ascii="Cambria" w:eastAsia="Cambria" w:hAnsi="Cambria" w:cs="Cambria"/>
        </w:rPr>
        <w:lastRenderedPageBreak/>
        <w:t>recent study by the CSIS has indicated that the Iraqi middle class has decreased from more than 60% of the population to an estimated 30%, shrinking to less than half of its essential percentage. The upper class decreased to 10% in 2020 from more than 16% in 2007, while the lower class has increased from 23% in 2007 to more than 60% in 2020. In other words, the system has caused more people to become poorer and increasingly less people are rich. Much of this wealth transfer occurred through mass political violence and distraction, as the war and the subsequent civil wars destroyed infrastructures and livelihoods of the populations equally, yet the reconstruction efforts effectively benefited a narrow class of exploitative winners.</w:t>
      </w:r>
      <w:r>
        <w:rPr>
          <w:rFonts w:ascii="Cambria" w:eastAsia="Cambria" w:hAnsi="Cambria" w:cs="Cambria"/>
          <w:vertAlign w:val="superscript"/>
        </w:rPr>
        <w:footnoteReference w:id="40"/>
      </w:r>
      <w:r>
        <w:rPr>
          <w:rFonts w:ascii="Cambria" w:eastAsia="Cambria" w:hAnsi="Cambria" w:cs="Cambria"/>
        </w:rPr>
        <w:t xml:space="preserve"> </w:t>
      </w:r>
    </w:p>
    <w:p w14:paraId="113289A7" w14:textId="10B1A9EF" w:rsidR="001C71F6" w:rsidRPr="00872805" w:rsidRDefault="003E4924" w:rsidP="001C71F6">
      <w:pPr>
        <w:pStyle w:val="Style2"/>
      </w:pPr>
      <w:bookmarkStart w:id="41" w:name="_Toc201932381"/>
      <w:bookmarkStart w:id="42" w:name="_Toc202283740"/>
      <w:bookmarkStart w:id="43" w:name="_Hlk199767799"/>
      <w:r>
        <w:t xml:space="preserve">4.4 </w:t>
      </w:r>
      <w:r w:rsidR="001C71F6" w:rsidRPr="00872805">
        <w:t>Political, Social, and Economic Effects of the Post-2003 Order</w:t>
      </w:r>
      <w:bookmarkEnd w:id="41"/>
      <w:bookmarkEnd w:id="42"/>
    </w:p>
    <w:bookmarkEnd w:id="43"/>
    <w:p w14:paraId="5AD78270" w14:textId="0DA90663" w:rsidR="001C71F6" w:rsidRPr="008A381B" w:rsidRDefault="001C71F6" w:rsidP="001C71F6">
      <w:pPr>
        <w:spacing w:line="480" w:lineRule="auto"/>
        <w:ind w:firstLine="720"/>
        <w:jc w:val="both"/>
        <w:rPr>
          <w:rFonts w:asciiTheme="majorBidi" w:hAnsiTheme="majorBidi" w:cstheme="majorBidi"/>
        </w:rPr>
      </w:pPr>
      <w:r w:rsidRPr="008A381B">
        <w:rPr>
          <w:rFonts w:asciiTheme="majorBidi" w:hAnsiTheme="majorBidi" w:cstheme="majorBidi"/>
        </w:rPr>
        <w:t xml:space="preserve">While much of the systematic academic research on Iraq remains stuck in the 2003 war and its immediate dramatic aftermath, the subsequent consequences of the externally imposed "liberal democratic" order have been profound, complex, and often contradictory. At a formal and institutional </w:t>
      </w:r>
      <w:r w:rsidRPr="008A381B">
        <w:rPr>
          <w:rFonts w:asciiTheme="majorBidi" w:hAnsiTheme="majorBidi" w:cstheme="majorBidi"/>
          <w:b/>
          <w:bCs/>
        </w:rPr>
        <w:t>political level</w:t>
      </w:r>
      <w:r w:rsidRPr="008A381B">
        <w:rPr>
          <w:rFonts w:asciiTheme="majorBidi" w:hAnsiTheme="majorBidi" w:cstheme="majorBidi"/>
        </w:rPr>
        <w:t xml:space="preserve">, Iraq has been successful in holding multiple elections and peaceful transfers of power. Nonetheless, this surface achievement conceals deeper structural problems. The ethnic and sectarian oligarchs, political legacy families, economic elites, and co-opted intellectuals have solidified their power through the </w:t>
      </w:r>
      <w:proofErr w:type="spellStart"/>
      <w:r w:rsidRPr="008A381B">
        <w:rPr>
          <w:rFonts w:asciiTheme="majorBidi" w:hAnsiTheme="majorBidi" w:cstheme="majorBidi"/>
          <w:i/>
          <w:iCs/>
        </w:rPr>
        <w:t>muhāṣaṣa</w:t>
      </w:r>
      <w:proofErr w:type="spellEnd"/>
      <w:r w:rsidRPr="008A381B">
        <w:rPr>
          <w:rFonts w:asciiTheme="majorBidi" w:hAnsiTheme="majorBidi" w:cstheme="majorBidi"/>
        </w:rPr>
        <w:t xml:space="preserve"> system explained above, which has led to rampant corruption in every facet of the state and society, causing a crisis of legitimacy. While much of the Iraqi economy depends on oil exports</w:t>
      </w:r>
      <w:r>
        <w:rPr>
          <w:rFonts w:asciiTheme="majorBidi" w:hAnsiTheme="majorBidi" w:cstheme="majorBidi"/>
        </w:rPr>
        <w:t xml:space="preserve"> – </w:t>
      </w:r>
      <w:r w:rsidRPr="008A381B">
        <w:rPr>
          <w:rFonts w:asciiTheme="majorBidi" w:hAnsiTheme="majorBidi" w:cstheme="majorBidi"/>
        </w:rPr>
        <w:t>as some political economists call it</w:t>
      </w:r>
      <w:r>
        <w:rPr>
          <w:rFonts w:asciiTheme="majorBidi" w:hAnsiTheme="majorBidi" w:cstheme="majorBidi"/>
        </w:rPr>
        <w:t>,</w:t>
      </w:r>
      <w:r w:rsidRPr="008A381B">
        <w:rPr>
          <w:rFonts w:asciiTheme="majorBidi" w:hAnsiTheme="majorBidi" w:cstheme="majorBidi"/>
        </w:rPr>
        <w:t xml:space="preserve"> </w:t>
      </w:r>
      <w:r>
        <w:rPr>
          <w:rFonts w:asciiTheme="majorBidi" w:hAnsiTheme="majorBidi" w:cstheme="majorBidi"/>
        </w:rPr>
        <w:t xml:space="preserve">a </w:t>
      </w:r>
      <w:r w:rsidRPr="008A381B">
        <w:rPr>
          <w:rFonts w:asciiTheme="majorBidi" w:hAnsiTheme="majorBidi" w:cstheme="majorBidi"/>
          <w:i/>
          <w:iCs/>
        </w:rPr>
        <w:t>rentier economy</w:t>
      </w:r>
      <w:r w:rsidRPr="001A471A">
        <w:rPr>
          <w:rFonts w:asciiTheme="majorBidi" w:hAnsiTheme="majorBidi" w:cstheme="majorBidi"/>
        </w:rPr>
        <w:t xml:space="preserve"> – </w:t>
      </w:r>
      <w:r w:rsidRPr="008A381B">
        <w:rPr>
          <w:rFonts w:asciiTheme="majorBidi" w:hAnsiTheme="majorBidi" w:cstheme="majorBidi"/>
        </w:rPr>
        <w:t>the spoil</w:t>
      </w:r>
      <w:r>
        <w:rPr>
          <w:rFonts w:asciiTheme="majorBidi" w:hAnsiTheme="majorBidi" w:cstheme="majorBidi"/>
        </w:rPr>
        <w:t>s</w:t>
      </w:r>
      <w:r w:rsidRPr="008A381B">
        <w:rPr>
          <w:rFonts w:asciiTheme="majorBidi" w:hAnsiTheme="majorBidi" w:cstheme="majorBidi"/>
        </w:rPr>
        <w:t xml:space="preserve"> are not divided equally. The economy has been </w:t>
      </w:r>
      <w:r>
        <w:rPr>
          <w:rFonts w:asciiTheme="majorBidi" w:hAnsiTheme="majorBidi" w:cstheme="majorBidi"/>
        </w:rPr>
        <w:t>marred</w:t>
      </w:r>
      <w:r w:rsidRPr="008A381B">
        <w:rPr>
          <w:rFonts w:asciiTheme="majorBidi" w:hAnsiTheme="majorBidi" w:cstheme="majorBidi"/>
        </w:rPr>
        <w:t xml:space="preserve"> with sectarian clientelism, which has created a class system defined by who is closer to the pinnacle of </w:t>
      </w:r>
      <w:r w:rsidR="00B82A3C">
        <w:rPr>
          <w:rFonts w:asciiTheme="majorBidi" w:hAnsiTheme="majorBidi" w:cstheme="majorBidi"/>
        </w:rPr>
        <w:t>power,</w:t>
      </w:r>
      <w:r>
        <w:rPr>
          <w:rFonts w:asciiTheme="majorBidi" w:hAnsiTheme="majorBidi" w:cstheme="majorBidi"/>
        </w:rPr>
        <w:t xml:space="preserve"> </w:t>
      </w:r>
      <w:r w:rsidRPr="008A381B">
        <w:rPr>
          <w:rFonts w:asciiTheme="majorBidi" w:hAnsiTheme="majorBidi" w:cstheme="majorBidi"/>
        </w:rPr>
        <w:lastRenderedPageBreak/>
        <w:t>capitalizing from the exploitive regimes of the state. An increasingly securitized state system is developed to protect and conceal such class interests.</w:t>
      </w:r>
    </w:p>
    <w:p w14:paraId="18B3FA6D" w14:textId="77777777" w:rsidR="001C71F6" w:rsidRPr="008A381B" w:rsidRDefault="001C71F6" w:rsidP="001C71F6">
      <w:pPr>
        <w:spacing w:line="480" w:lineRule="auto"/>
        <w:ind w:firstLine="720"/>
        <w:jc w:val="both"/>
        <w:rPr>
          <w:rFonts w:asciiTheme="majorBidi" w:hAnsiTheme="majorBidi" w:cstheme="majorBidi"/>
        </w:rPr>
      </w:pPr>
      <w:r w:rsidRPr="008A381B">
        <w:rPr>
          <w:rFonts w:asciiTheme="majorBidi" w:hAnsiTheme="majorBidi" w:cstheme="majorBidi"/>
        </w:rPr>
        <w:t>Aside from the rampant inequality and class relations, the</w:t>
      </w:r>
      <w:r>
        <w:rPr>
          <w:rFonts w:asciiTheme="majorBidi" w:hAnsiTheme="majorBidi" w:cstheme="majorBidi"/>
        </w:rPr>
        <w:t xml:space="preserve">re </w:t>
      </w:r>
      <w:r w:rsidRPr="008A381B">
        <w:rPr>
          <w:rFonts w:asciiTheme="majorBidi" w:hAnsiTheme="majorBidi" w:cstheme="majorBidi"/>
        </w:rPr>
        <w:t>have been complex and drastic</w:t>
      </w:r>
      <w:r>
        <w:rPr>
          <w:rFonts w:asciiTheme="majorBidi" w:hAnsiTheme="majorBidi" w:cstheme="majorBidi"/>
        </w:rPr>
        <w:t xml:space="preserve"> changes</w:t>
      </w:r>
      <w:r w:rsidRPr="008A381B">
        <w:rPr>
          <w:rFonts w:asciiTheme="majorBidi" w:hAnsiTheme="majorBidi" w:cstheme="majorBidi"/>
        </w:rPr>
        <w:t xml:space="preserve"> at a </w:t>
      </w:r>
      <w:r w:rsidRPr="008A381B">
        <w:rPr>
          <w:rFonts w:asciiTheme="majorBidi" w:hAnsiTheme="majorBidi" w:cstheme="majorBidi"/>
          <w:b/>
          <w:bCs/>
        </w:rPr>
        <w:t>social level</w:t>
      </w:r>
      <w:r w:rsidRPr="008A381B">
        <w:rPr>
          <w:rFonts w:asciiTheme="majorBidi" w:hAnsiTheme="majorBidi" w:cstheme="majorBidi"/>
        </w:rPr>
        <w:t xml:space="preserve"> of analysis. The promised liberal ideals of individual rights, pluralism, and the rise of civil society have faced </w:t>
      </w:r>
      <w:r>
        <w:rPr>
          <w:rFonts w:asciiTheme="majorBidi" w:hAnsiTheme="majorBidi" w:cstheme="majorBidi"/>
        </w:rPr>
        <w:t>resistance</w:t>
      </w:r>
      <w:r w:rsidRPr="008A381B">
        <w:rPr>
          <w:rFonts w:asciiTheme="majorBidi" w:hAnsiTheme="majorBidi" w:cstheme="majorBidi"/>
        </w:rPr>
        <w:t xml:space="preserve"> even in cases where it has witnessed comparative improvement. The eruption of sectarian violence (through two civil wars) tore apart the fabric of the Iraqi society, which the modern national society was constructed upon. Millions were killed, wounded, or displaced</w:t>
      </w:r>
      <w:r>
        <w:rPr>
          <w:rFonts w:asciiTheme="majorBidi" w:hAnsiTheme="majorBidi" w:cstheme="majorBidi"/>
        </w:rPr>
        <w:t>,</w:t>
      </w:r>
      <w:r w:rsidRPr="008A381B">
        <w:rPr>
          <w:rFonts w:asciiTheme="majorBidi" w:hAnsiTheme="majorBidi" w:cstheme="majorBidi"/>
        </w:rPr>
        <w:t xml:space="preserve"> causing mistrust among communities</w:t>
      </w:r>
      <w:r>
        <w:rPr>
          <w:rFonts w:asciiTheme="majorBidi" w:hAnsiTheme="majorBidi" w:cstheme="majorBidi"/>
        </w:rPr>
        <w:t>,</w:t>
      </w:r>
      <w:r w:rsidRPr="008A381B">
        <w:rPr>
          <w:rFonts w:asciiTheme="majorBidi" w:hAnsiTheme="majorBidi" w:cstheme="majorBidi"/>
        </w:rPr>
        <w:t xml:space="preserve"> and arguably implanting a deep trauma in the Iraqi social psyche. While the constitutional order granted formal equality, the </w:t>
      </w:r>
      <w:proofErr w:type="spellStart"/>
      <w:r w:rsidRPr="008A381B">
        <w:rPr>
          <w:rFonts w:asciiTheme="majorBidi" w:hAnsiTheme="majorBidi" w:cstheme="majorBidi"/>
          <w:i/>
          <w:iCs/>
        </w:rPr>
        <w:t>muhāṣaṣa</w:t>
      </w:r>
      <w:proofErr w:type="spellEnd"/>
      <w:r w:rsidRPr="008A381B">
        <w:rPr>
          <w:rFonts w:asciiTheme="majorBidi" w:hAnsiTheme="majorBidi" w:cstheme="majorBidi"/>
        </w:rPr>
        <w:t xml:space="preserve"> system empowered sectarian authorities and fragmented the legal framework of society. This fragmentation has allowed for regressive </w:t>
      </w:r>
      <w:r>
        <w:rPr>
          <w:rFonts w:asciiTheme="majorBidi" w:hAnsiTheme="majorBidi" w:cstheme="majorBidi"/>
        </w:rPr>
        <w:t xml:space="preserve">and </w:t>
      </w:r>
      <w:r w:rsidRPr="008A381B">
        <w:rPr>
          <w:rFonts w:asciiTheme="majorBidi" w:hAnsiTheme="majorBidi" w:cstheme="majorBidi"/>
        </w:rPr>
        <w:t xml:space="preserve">religiously motivated legal transformation to take place, such as allowing nine-year-old </w:t>
      </w:r>
      <w:r>
        <w:rPr>
          <w:rFonts w:asciiTheme="majorBidi" w:hAnsiTheme="majorBidi" w:cstheme="majorBidi"/>
        </w:rPr>
        <w:t xml:space="preserve">girls to be </w:t>
      </w:r>
      <w:r w:rsidRPr="008A381B">
        <w:rPr>
          <w:rFonts w:asciiTheme="majorBidi" w:hAnsiTheme="majorBidi" w:cstheme="majorBidi"/>
        </w:rPr>
        <w:t>forced into marriage. As Mina Al-Oraibi put it, "</w:t>
      </w:r>
      <w:r>
        <w:rPr>
          <w:rFonts w:asciiTheme="majorBidi" w:hAnsiTheme="majorBidi" w:cstheme="majorBidi"/>
        </w:rPr>
        <w:t>[a]</w:t>
      </w:r>
      <w:r w:rsidRPr="008A381B">
        <w:rPr>
          <w:rFonts w:asciiTheme="majorBidi" w:hAnsiTheme="majorBidi" w:cstheme="majorBidi"/>
        </w:rPr>
        <w:t xml:space="preserve"> country that was once a trailblazer for gender equality in the Arab world is embracing regressive sectarian policies</w:t>
      </w:r>
      <w:r>
        <w:rPr>
          <w:rFonts w:asciiTheme="majorBidi" w:hAnsiTheme="majorBidi" w:cstheme="majorBidi"/>
        </w:rPr>
        <w:t xml:space="preserve">” </w:t>
      </w:r>
      <w:r w:rsidRPr="001D735B">
        <w:rPr>
          <w:rFonts w:asciiTheme="majorBidi" w:hAnsiTheme="majorBidi" w:cstheme="majorBidi"/>
        </w:rPr>
        <w:t>(Al-Oraibi 2024)</w:t>
      </w:r>
      <w:r>
        <w:rPr>
          <w:rFonts w:asciiTheme="majorBidi" w:hAnsiTheme="majorBidi" w:cstheme="majorBidi"/>
        </w:rPr>
        <w:t>.</w:t>
      </w:r>
    </w:p>
    <w:p w14:paraId="4B9AE51D" w14:textId="77777777" w:rsidR="001C71F6" w:rsidRPr="008A381B" w:rsidRDefault="001C71F6" w:rsidP="001C71F6">
      <w:pPr>
        <w:spacing w:line="480" w:lineRule="auto"/>
        <w:ind w:firstLine="720"/>
        <w:jc w:val="both"/>
        <w:rPr>
          <w:rFonts w:asciiTheme="majorBidi" w:hAnsiTheme="majorBidi" w:cstheme="majorBidi"/>
        </w:rPr>
      </w:pPr>
      <w:r w:rsidRPr="008A381B">
        <w:rPr>
          <w:rFonts w:asciiTheme="majorBidi" w:hAnsiTheme="majorBidi" w:cstheme="majorBidi"/>
        </w:rPr>
        <w:t>At an economic level, post-2003 Iraq was shaped by the neoliberal shock therapy, also referred to as neoliberal fundamentalism by David Harvey</w:t>
      </w:r>
      <w:r>
        <w:rPr>
          <w:rFonts w:asciiTheme="majorBidi" w:hAnsiTheme="majorBidi" w:cstheme="majorBidi"/>
        </w:rPr>
        <w:t xml:space="preserve"> </w:t>
      </w:r>
      <w:r w:rsidRPr="00EE01EF">
        <w:rPr>
          <w:rFonts w:asciiTheme="majorBidi" w:hAnsiTheme="majorBidi" w:cstheme="majorBidi"/>
        </w:rPr>
        <w:t>(Harvey 2007)</w:t>
      </w:r>
      <w:r w:rsidRPr="008A381B">
        <w:rPr>
          <w:rFonts w:asciiTheme="majorBidi" w:hAnsiTheme="majorBidi" w:cstheme="majorBidi"/>
        </w:rPr>
        <w:t xml:space="preserve">, and the devastation of war and decades of sanctions. The SPA dismantled many state controls in favor of "free market" reform, but instead of prosperity, Iraq witnessed the collapse of public service, rampant inflations during some periods, and the shrinking of the middle class. Aside from unequal exploitation of oil spoils, throughout the country, what </w:t>
      </w:r>
      <w:r>
        <w:rPr>
          <w:rFonts w:asciiTheme="majorBidi" w:hAnsiTheme="majorBidi" w:cstheme="majorBidi"/>
        </w:rPr>
        <w:t>could</w:t>
      </w:r>
      <w:r w:rsidRPr="008A381B">
        <w:rPr>
          <w:rFonts w:asciiTheme="majorBidi" w:hAnsiTheme="majorBidi" w:cstheme="majorBidi"/>
        </w:rPr>
        <w:t xml:space="preserve"> be referred to as </w:t>
      </w:r>
      <w:r w:rsidRPr="009A2AF2">
        <w:rPr>
          <w:rFonts w:asciiTheme="majorBidi" w:hAnsiTheme="majorBidi" w:cstheme="majorBidi"/>
          <w:i/>
          <w:iCs/>
        </w:rPr>
        <w:t>neoliberal pockets</w:t>
      </w:r>
      <w:r w:rsidRPr="008A381B">
        <w:rPr>
          <w:rFonts w:asciiTheme="majorBidi" w:hAnsiTheme="majorBidi" w:cstheme="majorBidi"/>
        </w:rPr>
        <w:t xml:space="preserve"> have emerged, including private schools and universities, Western-styled gated communities, private hospitals with helicopter services, and hospitality industries to serve the upper classes. Nonetheless, the economic disenchantment has led to large progressive and grassroots social movements, </w:t>
      </w:r>
      <w:r w:rsidRPr="008A381B">
        <w:rPr>
          <w:rFonts w:asciiTheme="majorBidi" w:hAnsiTheme="majorBidi" w:cstheme="majorBidi"/>
        </w:rPr>
        <w:lastRenderedPageBreak/>
        <w:t xml:space="preserve">particularly among the young Iraqis who have no memory of Saddam and </w:t>
      </w:r>
      <w:r>
        <w:rPr>
          <w:rFonts w:asciiTheme="majorBidi" w:hAnsiTheme="majorBidi" w:cstheme="majorBidi"/>
        </w:rPr>
        <w:t xml:space="preserve">who </w:t>
      </w:r>
      <w:r w:rsidRPr="008A381B">
        <w:rPr>
          <w:rFonts w:asciiTheme="majorBidi" w:hAnsiTheme="majorBidi" w:cstheme="majorBidi"/>
        </w:rPr>
        <w:t xml:space="preserve">grew </w:t>
      </w:r>
      <w:r>
        <w:rPr>
          <w:rFonts w:asciiTheme="majorBidi" w:hAnsiTheme="majorBidi" w:cstheme="majorBidi"/>
        </w:rPr>
        <w:t xml:space="preserve">up with the </w:t>
      </w:r>
      <w:r w:rsidRPr="008A381B">
        <w:rPr>
          <w:rFonts w:asciiTheme="majorBidi" w:hAnsiTheme="majorBidi" w:cstheme="majorBidi"/>
        </w:rPr>
        <w:t>contradiction</w:t>
      </w:r>
      <w:r>
        <w:rPr>
          <w:rFonts w:asciiTheme="majorBidi" w:hAnsiTheme="majorBidi" w:cstheme="majorBidi"/>
        </w:rPr>
        <w:t>s</w:t>
      </w:r>
      <w:r w:rsidRPr="008A381B">
        <w:rPr>
          <w:rFonts w:asciiTheme="majorBidi" w:hAnsiTheme="majorBidi" w:cstheme="majorBidi"/>
        </w:rPr>
        <w:t xml:space="preserve"> of the post-2003 order. </w:t>
      </w:r>
      <w:proofErr w:type="spellStart"/>
      <w:r w:rsidRPr="001D735B">
        <w:rPr>
          <w:rFonts w:asciiTheme="majorBidi" w:hAnsiTheme="majorBidi" w:cstheme="majorBidi"/>
          <w:i/>
          <w:iCs/>
        </w:rPr>
        <w:t>Thawrat</w:t>
      </w:r>
      <w:proofErr w:type="spellEnd"/>
      <w:r w:rsidRPr="001D735B">
        <w:rPr>
          <w:rFonts w:asciiTheme="majorBidi" w:hAnsiTheme="majorBidi" w:cstheme="majorBidi"/>
          <w:i/>
          <w:iCs/>
        </w:rPr>
        <w:t xml:space="preserve"> </w:t>
      </w:r>
      <w:proofErr w:type="spellStart"/>
      <w:r w:rsidRPr="001D735B">
        <w:rPr>
          <w:rFonts w:asciiTheme="majorBidi" w:hAnsiTheme="majorBidi" w:cstheme="majorBidi"/>
          <w:i/>
          <w:iCs/>
        </w:rPr>
        <w:t>Tishrīn</w:t>
      </w:r>
      <w:proofErr w:type="spellEnd"/>
      <w:r w:rsidRPr="008A381B">
        <w:rPr>
          <w:rFonts w:asciiTheme="majorBidi" w:hAnsiTheme="majorBidi" w:cstheme="majorBidi"/>
        </w:rPr>
        <w:t xml:space="preserve"> (October Revolution) uprising in 2019 was particularly influential, as hundreds of thousands of youths around the country chanted “</w:t>
      </w:r>
      <w:proofErr w:type="spellStart"/>
      <w:proofErr w:type="gramStart"/>
      <w:r w:rsidRPr="008A381B">
        <w:rPr>
          <w:rFonts w:asciiTheme="majorBidi" w:hAnsiTheme="majorBidi" w:cstheme="majorBidi"/>
        </w:rPr>
        <w:t>alsha‘</w:t>
      </w:r>
      <w:proofErr w:type="gramEnd"/>
      <w:r w:rsidRPr="008A381B">
        <w:rPr>
          <w:rFonts w:asciiTheme="majorBidi" w:hAnsiTheme="majorBidi" w:cstheme="majorBidi"/>
        </w:rPr>
        <w:t>b</w:t>
      </w:r>
      <w:proofErr w:type="spellEnd"/>
      <w:r w:rsidRPr="008A381B">
        <w:rPr>
          <w:rFonts w:asciiTheme="majorBidi" w:hAnsiTheme="majorBidi" w:cstheme="majorBidi"/>
        </w:rPr>
        <w:t xml:space="preserve"> </w:t>
      </w:r>
      <w:proofErr w:type="spellStart"/>
      <w:r w:rsidRPr="008A381B">
        <w:rPr>
          <w:rFonts w:asciiTheme="majorBidi" w:hAnsiTheme="majorBidi" w:cstheme="majorBidi"/>
        </w:rPr>
        <w:t>yurid</w:t>
      </w:r>
      <w:proofErr w:type="spellEnd"/>
      <w:r w:rsidRPr="008A381B">
        <w:rPr>
          <w:rFonts w:asciiTheme="majorBidi" w:hAnsiTheme="majorBidi" w:cstheme="majorBidi"/>
        </w:rPr>
        <w:t xml:space="preserve"> </w:t>
      </w:r>
      <w:proofErr w:type="spellStart"/>
      <w:r w:rsidRPr="008A381B">
        <w:rPr>
          <w:rFonts w:asciiTheme="majorBidi" w:hAnsiTheme="majorBidi" w:cstheme="majorBidi"/>
        </w:rPr>
        <w:t>isqāt</w:t>
      </w:r>
      <w:proofErr w:type="spellEnd"/>
      <w:r w:rsidRPr="008A381B">
        <w:rPr>
          <w:rFonts w:asciiTheme="majorBidi" w:hAnsiTheme="majorBidi" w:cstheme="majorBidi"/>
        </w:rPr>
        <w:t xml:space="preserve"> al-</w:t>
      </w:r>
      <w:proofErr w:type="spellStart"/>
      <w:r w:rsidRPr="008A381B">
        <w:rPr>
          <w:rFonts w:asciiTheme="majorBidi" w:hAnsiTheme="majorBidi" w:cstheme="majorBidi"/>
        </w:rPr>
        <w:t>niẓām</w:t>
      </w:r>
      <w:proofErr w:type="spellEnd"/>
      <w:r w:rsidRPr="008A381B">
        <w:rPr>
          <w:rFonts w:asciiTheme="majorBidi" w:hAnsiTheme="majorBidi" w:cstheme="majorBidi"/>
        </w:rPr>
        <w:t>” (“the people want to overthrow the regime”) and “</w:t>
      </w:r>
      <w:proofErr w:type="spellStart"/>
      <w:r w:rsidRPr="008A381B">
        <w:rPr>
          <w:rFonts w:asciiTheme="majorBidi" w:hAnsiTheme="majorBidi" w:cstheme="majorBidi"/>
        </w:rPr>
        <w:t>nurīd</w:t>
      </w:r>
      <w:proofErr w:type="spellEnd"/>
      <w:r w:rsidRPr="008A381B">
        <w:rPr>
          <w:rFonts w:asciiTheme="majorBidi" w:hAnsiTheme="majorBidi" w:cstheme="majorBidi"/>
        </w:rPr>
        <w:t xml:space="preserve"> </w:t>
      </w:r>
      <w:proofErr w:type="spellStart"/>
      <w:r w:rsidRPr="008A381B">
        <w:rPr>
          <w:rFonts w:asciiTheme="majorBidi" w:hAnsiTheme="majorBidi" w:cstheme="majorBidi"/>
        </w:rPr>
        <w:t>waṭan</w:t>
      </w:r>
      <w:proofErr w:type="spellEnd"/>
      <w:r w:rsidRPr="008A381B">
        <w:rPr>
          <w:rFonts w:asciiTheme="majorBidi" w:hAnsiTheme="majorBidi" w:cstheme="majorBidi"/>
        </w:rPr>
        <w:t>” (“we want a homeland”). They were able to remove the sitting administration and demand reform from the following governments.</w:t>
      </w:r>
    </w:p>
    <w:p w14:paraId="4B9B1B53" w14:textId="77777777" w:rsidR="00A32F85" w:rsidRDefault="001C71F6" w:rsidP="00A32F85">
      <w:pPr>
        <w:spacing w:line="480" w:lineRule="auto"/>
        <w:ind w:firstLine="720"/>
        <w:jc w:val="both"/>
        <w:rPr>
          <w:rFonts w:asciiTheme="majorBidi" w:hAnsiTheme="majorBidi" w:cstheme="majorBidi"/>
        </w:rPr>
      </w:pPr>
      <w:r w:rsidRPr="008A381B">
        <w:rPr>
          <w:rFonts w:asciiTheme="majorBidi" w:hAnsiTheme="majorBidi" w:cstheme="majorBidi"/>
        </w:rPr>
        <w:t xml:space="preserve">In sum, the Iraqi experience provides a mirror and reflection of the internal contradictions and crises of liberal democracy discussed by the internal critiques in the prior section. Many of the social problems, such as elite domination, erosion of public deliberation, extreme inequality, and patriarchal rollback of rights are arguably manifest in the Iraqi case. </w:t>
      </w:r>
    </w:p>
    <w:p w14:paraId="28355E92" w14:textId="2230AC02" w:rsidR="003E4924" w:rsidRPr="00A32F85" w:rsidRDefault="00A32F85" w:rsidP="00A32F85">
      <w:pPr>
        <w:spacing w:line="480" w:lineRule="auto"/>
        <w:ind w:firstLine="720"/>
        <w:jc w:val="both"/>
        <w:rPr>
          <w:rFonts w:asciiTheme="majorBidi" w:hAnsiTheme="majorBidi" w:cstheme="majorBidi"/>
        </w:rPr>
      </w:pPr>
      <w:r w:rsidRPr="00A32F85">
        <w:rPr>
          <w:rFonts w:asciiTheme="majorBidi" w:hAnsiTheme="majorBidi" w:cstheme="majorBidi"/>
        </w:rPr>
        <w:t>It more specifically has been shaped by the following</w:t>
      </w:r>
      <w:r>
        <w:rPr>
          <w:rFonts w:asciiTheme="majorBidi" w:hAnsiTheme="majorBidi" w:cstheme="majorBidi"/>
        </w:rPr>
        <w:t xml:space="preserve"> four developments and dynamics, which will be used in the final chapter to contextualize the Iraqi scholarly reaction in comparison to the Western internal critiques:</w:t>
      </w:r>
      <w:r w:rsidRPr="00A32F85">
        <w:rPr>
          <w:rFonts w:asciiTheme="majorBidi" w:hAnsiTheme="majorBidi" w:cstheme="majorBidi"/>
        </w:rPr>
        <w:t xml:space="preserve"> 1) external engineering and imposition of liberal-democratic institutions. 2) the formation of what could arguably be considered oligarchic structures due to elite bargains and ethno-sectarian power-sharing (</w:t>
      </w:r>
      <w:proofErr w:type="spellStart"/>
      <w:r w:rsidRPr="00A32F85">
        <w:rPr>
          <w:rFonts w:asciiTheme="majorBidi" w:hAnsiTheme="majorBidi" w:cstheme="majorBidi"/>
        </w:rPr>
        <w:t>muhasasa</w:t>
      </w:r>
      <w:proofErr w:type="spellEnd"/>
      <w:r w:rsidR="002D0527">
        <w:rPr>
          <w:rFonts w:asciiTheme="majorBidi" w:hAnsiTheme="majorBidi" w:cstheme="majorBidi"/>
        </w:rPr>
        <w:t>—</w:t>
      </w:r>
      <w:r w:rsidR="002D0527" w:rsidRPr="002D0527">
        <w:rPr>
          <w:rFonts w:asciiTheme="majorBidi" w:hAnsiTheme="majorBidi" w:cs="Times New Roman" w:hint="cs"/>
          <w:rtl/>
        </w:rPr>
        <w:t>محاصصة</w:t>
      </w:r>
      <w:r w:rsidRPr="00A32F85">
        <w:rPr>
          <w:rFonts w:asciiTheme="majorBidi" w:hAnsiTheme="majorBidi" w:cstheme="majorBidi"/>
        </w:rPr>
        <w:t xml:space="preserve">). 3) the struggle to develop public discourse and civil society under occupation, violence, and fragmentation. 4) the layered exclusion of women, minorities, and marginalized communities. </w:t>
      </w:r>
      <w:r w:rsidR="003E4924" w:rsidRPr="00A32F85">
        <w:rPr>
          <w:rFonts w:asciiTheme="majorBidi" w:hAnsiTheme="majorBidi" w:cstheme="majorBidi"/>
          <w:i/>
          <w:iCs/>
        </w:rPr>
        <w:br w:type="page"/>
      </w:r>
    </w:p>
    <w:p w14:paraId="2279D617" w14:textId="7613C608" w:rsidR="003E4924" w:rsidRPr="00D02598" w:rsidRDefault="003E4924" w:rsidP="003E4924">
      <w:pPr>
        <w:pStyle w:val="Style1"/>
      </w:pPr>
      <w:bookmarkStart w:id="44" w:name="_Toc202283741"/>
      <w:r>
        <w:lastRenderedPageBreak/>
        <w:t xml:space="preserve">Chapter </w:t>
      </w:r>
      <w:r w:rsidR="00DF4585">
        <w:t>Five</w:t>
      </w:r>
      <w:r>
        <w:t xml:space="preserve">: </w:t>
      </w:r>
      <w:r w:rsidR="00DF4585">
        <w:t>Comparative Political Sociology of Iraqi Scholar</w:t>
      </w:r>
      <w:r w:rsidR="00E87A87">
        <w:t>s and Western Internal Critiques</w:t>
      </w:r>
      <w:bookmarkEnd w:id="44"/>
    </w:p>
    <w:p w14:paraId="3716FC09" w14:textId="59FE2637" w:rsidR="003E4924" w:rsidRPr="00DF4585" w:rsidRDefault="00DF4585" w:rsidP="003E4924">
      <w:pPr>
        <w:pStyle w:val="Style2"/>
        <w:rPr>
          <w:sz w:val="28"/>
          <w:szCs w:val="28"/>
        </w:rPr>
      </w:pPr>
      <w:bookmarkStart w:id="45" w:name="_Toc202283742"/>
      <w:r w:rsidRPr="00DF4585">
        <w:rPr>
          <w:sz w:val="28"/>
          <w:szCs w:val="28"/>
        </w:rPr>
        <w:t>5</w:t>
      </w:r>
      <w:r w:rsidR="003E4924" w:rsidRPr="00DF4585">
        <w:rPr>
          <w:sz w:val="28"/>
          <w:szCs w:val="28"/>
        </w:rPr>
        <w:t xml:space="preserve">.1 </w:t>
      </w:r>
      <w:r w:rsidRPr="00DF4585">
        <w:rPr>
          <w:sz w:val="28"/>
          <w:szCs w:val="28"/>
        </w:rPr>
        <w:t>Dominant Iraqi Reactions to the Post-2003 Social Change and Order</w:t>
      </w:r>
      <w:bookmarkEnd w:id="45"/>
    </w:p>
    <w:p w14:paraId="1225AF30" w14:textId="06E9C2E8" w:rsidR="00DF4585" w:rsidRPr="00120EC2" w:rsidRDefault="00120EC2" w:rsidP="003E4924">
      <w:pPr>
        <w:pStyle w:val="Style2"/>
        <w:rPr>
          <w:b w:val="0"/>
          <w:bCs w:val="0"/>
          <w:color w:val="auto"/>
          <w:sz w:val="28"/>
          <w:szCs w:val="28"/>
          <w:u w:val="none"/>
        </w:rPr>
      </w:pPr>
      <w:bookmarkStart w:id="46" w:name="_Toc202283743"/>
      <w:r w:rsidRPr="00120EC2">
        <w:rPr>
          <w:b w:val="0"/>
          <w:bCs w:val="0"/>
          <w:color w:val="auto"/>
          <w:sz w:val="28"/>
          <w:szCs w:val="28"/>
          <w:u w:val="none"/>
        </w:rPr>
        <w:t>Under development and to be included</w:t>
      </w:r>
      <w:r>
        <w:rPr>
          <w:b w:val="0"/>
          <w:bCs w:val="0"/>
          <w:color w:val="auto"/>
          <w:sz w:val="28"/>
          <w:szCs w:val="28"/>
          <w:u w:val="none"/>
        </w:rPr>
        <w:t>…</w:t>
      </w:r>
      <w:bookmarkEnd w:id="46"/>
    </w:p>
    <w:p w14:paraId="38AFACD4" w14:textId="2962A272" w:rsidR="00DF4585" w:rsidRPr="00DF4585" w:rsidRDefault="00DF4585" w:rsidP="00DF4585">
      <w:pPr>
        <w:pStyle w:val="Style2"/>
        <w:rPr>
          <w:sz w:val="28"/>
          <w:szCs w:val="28"/>
        </w:rPr>
      </w:pPr>
      <w:bookmarkStart w:id="47" w:name="_Toc202283744"/>
      <w:r w:rsidRPr="00DF4585">
        <w:rPr>
          <w:sz w:val="28"/>
          <w:szCs w:val="28"/>
        </w:rPr>
        <w:t>5.2 Iraq Critique vs Western Internal Critique: Similarities and Differences</w:t>
      </w:r>
      <w:bookmarkEnd w:id="47"/>
    </w:p>
    <w:p w14:paraId="1B474DC1" w14:textId="77777777" w:rsidR="00120EC2" w:rsidRPr="00120EC2" w:rsidRDefault="00120EC2" w:rsidP="00120EC2">
      <w:pPr>
        <w:pStyle w:val="Style2"/>
        <w:rPr>
          <w:b w:val="0"/>
          <w:bCs w:val="0"/>
          <w:color w:val="auto"/>
          <w:sz w:val="28"/>
          <w:szCs w:val="28"/>
          <w:u w:val="none"/>
        </w:rPr>
      </w:pPr>
      <w:bookmarkStart w:id="48" w:name="_Toc202283745"/>
      <w:r w:rsidRPr="00120EC2">
        <w:rPr>
          <w:b w:val="0"/>
          <w:bCs w:val="0"/>
          <w:color w:val="auto"/>
          <w:sz w:val="28"/>
          <w:szCs w:val="28"/>
          <w:u w:val="none"/>
        </w:rPr>
        <w:t>Under development and to be included</w:t>
      </w:r>
      <w:r>
        <w:rPr>
          <w:b w:val="0"/>
          <w:bCs w:val="0"/>
          <w:color w:val="auto"/>
          <w:sz w:val="28"/>
          <w:szCs w:val="28"/>
          <w:u w:val="none"/>
        </w:rPr>
        <w:t>…</w:t>
      </w:r>
      <w:bookmarkEnd w:id="48"/>
    </w:p>
    <w:p w14:paraId="0C750854" w14:textId="77777777" w:rsidR="00DF4585" w:rsidRPr="00872805" w:rsidRDefault="00DF4585" w:rsidP="003E4924">
      <w:pPr>
        <w:pStyle w:val="Style2"/>
      </w:pPr>
    </w:p>
    <w:p w14:paraId="676E4936" w14:textId="39764841" w:rsidR="003E4924" w:rsidRDefault="003E4924" w:rsidP="001C71F6">
      <w:pPr>
        <w:spacing w:line="480" w:lineRule="auto"/>
        <w:ind w:firstLine="720"/>
        <w:jc w:val="both"/>
        <w:rPr>
          <w:rFonts w:asciiTheme="majorBidi" w:hAnsiTheme="majorBidi" w:cstheme="majorBidi"/>
        </w:rPr>
      </w:pPr>
    </w:p>
    <w:p w14:paraId="09BEBEC8" w14:textId="77777777" w:rsidR="003E4924" w:rsidRDefault="003E4924">
      <w:pPr>
        <w:rPr>
          <w:rFonts w:asciiTheme="majorBidi" w:hAnsiTheme="majorBidi" w:cstheme="majorBidi"/>
        </w:rPr>
      </w:pPr>
      <w:r>
        <w:rPr>
          <w:rFonts w:asciiTheme="majorBidi" w:hAnsiTheme="majorBidi" w:cstheme="majorBidi"/>
        </w:rPr>
        <w:br w:type="page"/>
      </w:r>
    </w:p>
    <w:p w14:paraId="75A9B7F9" w14:textId="6A78FDE8" w:rsidR="003E4924" w:rsidRPr="00D02598" w:rsidRDefault="00DF4585" w:rsidP="00DF4585">
      <w:pPr>
        <w:pStyle w:val="Style1"/>
      </w:pPr>
      <w:bookmarkStart w:id="49" w:name="_Toc202283746"/>
      <w:r>
        <w:lastRenderedPageBreak/>
        <w:t xml:space="preserve">Chapter 6: </w:t>
      </w:r>
      <w:r w:rsidR="003E4924">
        <w:t>Conc</w:t>
      </w:r>
      <w:r>
        <w:t>lusion</w:t>
      </w:r>
      <w:bookmarkEnd w:id="49"/>
    </w:p>
    <w:p w14:paraId="57C68EDB" w14:textId="5F07D535" w:rsidR="00DF4585" w:rsidRPr="00120EC2" w:rsidRDefault="00120EC2" w:rsidP="00120EC2">
      <w:pPr>
        <w:pStyle w:val="Style2"/>
        <w:rPr>
          <w:b w:val="0"/>
          <w:bCs w:val="0"/>
          <w:color w:val="auto"/>
          <w:sz w:val="28"/>
          <w:szCs w:val="28"/>
          <w:u w:val="none"/>
        </w:rPr>
      </w:pPr>
      <w:bookmarkStart w:id="50" w:name="_Toc202283747"/>
      <w:r w:rsidRPr="00120EC2">
        <w:rPr>
          <w:b w:val="0"/>
          <w:bCs w:val="0"/>
          <w:color w:val="auto"/>
          <w:sz w:val="28"/>
          <w:szCs w:val="28"/>
          <w:u w:val="none"/>
        </w:rPr>
        <w:t>Under development and to be included</w:t>
      </w:r>
      <w:r>
        <w:rPr>
          <w:b w:val="0"/>
          <w:bCs w:val="0"/>
          <w:color w:val="auto"/>
          <w:sz w:val="28"/>
          <w:szCs w:val="28"/>
          <w:u w:val="none"/>
        </w:rPr>
        <w:t>…</w:t>
      </w:r>
      <w:bookmarkEnd w:id="50"/>
    </w:p>
    <w:p w14:paraId="4C18356E" w14:textId="77777777" w:rsidR="00DF4585" w:rsidRDefault="00DF4585" w:rsidP="00DF4585">
      <w:pPr>
        <w:spacing w:line="480" w:lineRule="auto"/>
        <w:jc w:val="both"/>
        <w:rPr>
          <w:rFonts w:asciiTheme="majorBidi" w:hAnsiTheme="majorBidi" w:cstheme="majorBidi"/>
        </w:rPr>
      </w:pPr>
    </w:p>
    <w:p w14:paraId="1160B6B0" w14:textId="77777777" w:rsidR="00DF4585" w:rsidRPr="00872805" w:rsidRDefault="00DF4585" w:rsidP="001C71F6">
      <w:pPr>
        <w:spacing w:line="480" w:lineRule="auto"/>
        <w:ind w:firstLine="720"/>
        <w:jc w:val="both"/>
        <w:rPr>
          <w:rFonts w:asciiTheme="majorBidi" w:hAnsiTheme="majorBidi" w:cstheme="majorBidi"/>
        </w:rPr>
      </w:pPr>
    </w:p>
    <w:p w14:paraId="0BE9CDC5" w14:textId="77777777" w:rsidR="001C71F6" w:rsidRPr="001C71F6" w:rsidRDefault="001C71F6" w:rsidP="001C71F6">
      <w:pPr>
        <w:rPr>
          <w:rFonts w:asciiTheme="majorBidi" w:hAnsiTheme="majorBidi" w:cstheme="majorBidi"/>
          <w:b/>
          <w:bCs/>
        </w:rPr>
      </w:pPr>
    </w:p>
    <w:p w14:paraId="4C83C1C1" w14:textId="5465F0EC" w:rsidR="009F653E" w:rsidRDefault="009F653E" w:rsidP="0021551D">
      <w:pPr>
        <w:spacing w:line="480" w:lineRule="auto"/>
        <w:jc w:val="both"/>
        <w:rPr>
          <w:rFonts w:asciiTheme="majorBidi" w:hAnsiTheme="majorBidi" w:cstheme="majorBidi"/>
        </w:rPr>
      </w:pPr>
    </w:p>
    <w:p w14:paraId="65D87642" w14:textId="77777777" w:rsidR="009F653E" w:rsidRDefault="009F653E">
      <w:pPr>
        <w:rPr>
          <w:rFonts w:asciiTheme="majorBidi" w:hAnsiTheme="majorBidi" w:cstheme="majorBidi"/>
        </w:rPr>
      </w:pPr>
      <w:r>
        <w:rPr>
          <w:rFonts w:asciiTheme="majorBidi" w:hAnsiTheme="majorBidi" w:cstheme="majorBidi"/>
        </w:rPr>
        <w:br w:type="page"/>
      </w:r>
    </w:p>
    <w:p w14:paraId="29D6D374" w14:textId="164FBF6B" w:rsidR="009F653E" w:rsidRPr="00872805" w:rsidRDefault="009F653E" w:rsidP="009F653E">
      <w:pPr>
        <w:pStyle w:val="Style1"/>
      </w:pPr>
      <w:bookmarkStart w:id="51" w:name="_Toc202283748"/>
      <w:r>
        <w:lastRenderedPageBreak/>
        <w:t>References:</w:t>
      </w:r>
      <w:bookmarkEnd w:id="51"/>
      <w:r>
        <w:t xml:space="preserve"> </w:t>
      </w:r>
    </w:p>
    <w:p w14:paraId="317AC5A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Al-Oraibi, Mina. 2024. “Iraq Is Threatening to Roll Back Women’s Rights.” </w:t>
      </w:r>
      <w:r w:rsidRPr="001D735B">
        <w:rPr>
          <w:rFonts w:asciiTheme="majorBidi" w:hAnsiTheme="majorBidi" w:cstheme="majorBidi"/>
          <w:i/>
          <w:iCs/>
        </w:rPr>
        <w:t>Foreign Policy</w:t>
      </w:r>
      <w:r w:rsidRPr="001D735B">
        <w:rPr>
          <w:rFonts w:asciiTheme="majorBidi" w:hAnsiTheme="majorBidi" w:cstheme="majorBidi"/>
        </w:rPr>
        <w:t>, October 8. Retrieved June 4, 2025 (</w:t>
      </w:r>
      <w:hyperlink r:id="rId12" w:tgtFrame="_new" w:history="1">
        <w:r w:rsidRPr="001D735B">
          <w:rPr>
            <w:rStyle w:val="Hyperlink"/>
            <w:rFonts w:asciiTheme="majorBidi" w:hAnsiTheme="majorBidi"/>
          </w:rPr>
          <w:t>https://foreignpolicy.com/2024/10/08/iraq-sunni-shiite-womens-rights-religion-law/</w:t>
        </w:r>
      </w:hyperlink>
      <w:r w:rsidRPr="001D735B">
        <w:rPr>
          <w:rFonts w:asciiTheme="majorBidi" w:hAnsiTheme="majorBidi" w:cstheme="majorBidi"/>
        </w:rPr>
        <w:t>).</w:t>
      </w:r>
    </w:p>
    <w:p w14:paraId="4DFE9B6C" w14:textId="77777777" w:rsidR="009F653E" w:rsidRPr="001D735B" w:rsidRDefault="009F653E" w:rsidP="009F653E">
      <w:pPr>
        <w:ind w:hanging="720"/>
        <w:jc w:val="both"/>
        <w:rPr>
          <w:rFonts w:asciiTheme="majorBidi" w:hAnsiTheme="majorBidi" w:cstheme="majorBidi"/>
        </w:rPr>
      </w:pPr>
      <w:proofErr w:type="spellStart"/>
      <w:r w:rsidRPr="001D735B">
        <w:rPr>
          <w:rFonts w:asciiTheme="majorBidi" w:hAnsiTheme="majorBidi" w:cstheme="majorBidi"/>
        </w:rPr>
        <w:t>Amadae</w:t>
      </w:r>
      <w:proofErr w:type="spellEnd"/>
      <w:r w:rsidRPr="001D735B">
        <w:rPr>
          <w:rFonts w:asciiTheme="majorBidi" w:hAnsiTheme="majorBidi" w:cstheme="majorBidi"/>
        </w:rPr>
        <w:t xml:space="preserve">, S. M. 2003. </w:t>
      </w:r>
      <w:r w:rsidRPr="001D735B">
        <w:rPr>
          <w:rFonts w:asciiTheme="majorBidi" w:hAnsiTheme="majorBidi" w:cstheme="majorBidi"/>
          <w:i/>
          <w:iCs/>
        </w:rPr>
        <w:t>Rationalizing Capitalist Democracy: The Cold War Origins of Rational Choice Liberalism.</w:t>
      </w:r>
      <w:r w:rsidRPr="001D735B">
        <w:rPr>
          <w:rFonts w:asciiTheme="majorBidi" w:hAnsiTheme="majorBidi" w:cstheme="majorBidi"/>
        </w:rPr>
        <w:t xml:space="preserve"> Chicago: University of Chicago Press.</w:t>
      </w:r>
    </w:p>
    <w:p w14:paraId="3B9D57B3"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Anderson, Benedict R. O'G. 1991. </w:t>
      </w:r>
      <w:r w:rsidRPr="001D735B">
        <w:rPr>
          <w:rFonts w:asciiTheme="majorBidi" w:hAnsiTheme="majorBidi" w:cstheme="majorBidi"/>
          <w:i/>
          <w:iCs/>
        </w:rPr>
        <w:t>Imagined Communities: Reflections on the Origin and Spread of Nationalism.</w:t>
      </w:r>
      <w:r w:rsidRPr="001D735B">
        <w:rPr>
          <w:rFonts w:asciiTheme="majorBidi" w:hAnsiTheme="majorBidi" w:cstheme="majorBidi"/>
        </w:rPr>
        <w:t xml:space="preserve"> Rev. and extended ed. London and New York: Verso.</w:t>
      </w:r>
    </w:p>
    <w:p w14:paraId="1E3A433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Andres, Kenneth. 2019. "The American War on Iraq: The Failure of the Neoconservative Ideal and the Triumph of Political Realism." </w:t>
      </w:r>
      <w:r w:rsidRPr="001D735B">
        <w:rPr>
          <w:rFonts w:asciiTheme="majorBidi" w:hAnsiTheme="majorBidi" w:cstheme="majorBidi"/>
          <w:i/>
        </w:rPr>
        <w:t>Medium</w:t>
      </w:r>
      <w:r w:rsidRPr="001D735B">
        <w:rPr>
          <w:rFonts w:asciiTheme="majorBidi" w:hAnsiTheme="majorBidi" w:cstheme="majorBidi"/>
        </w:rPr>
        <w:t>. (</w:t>
      </w:r>
      <w:hyperlink r:id="rId13">
        <w:r w:rsidRPr="001D735B">
          <w:rPr>
            <w:rStyle w:val="Hyperlink"/>
            <w:rFonts w:asciiTheme="majorBidi" w:hAnsiTheme="majorBidi"/>
          </w:rPr>
          <w:t>https://medium.com/@kennethandres/the-american-war-on-iraq-the-failure-of-the-neoconservative-ideal-and-the-triumph-of-political-5c9047cf615c</w:t>
        </w:r>
      </w:hyperlink>
      <w:r w:rsidRPr="001D735B">
        <w:rPr>
          <w:rFonts w:asciiTheme="majorBidi" w:hAnsiTheme="majorBidi" w:cstheme="majorBidi"/>
        </w:rPr>
        <w:t>).</w:t>
      </w:r>
    </w:p>
    <w:p w14:paraId="3C31A957"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Arendt, Hannah. 1973. </w:t>
      </w:r>
      <w:r w:rsidRPr="001D735B">
        <w:rPr>
          <w:rFonts w:asciiTheme="majorBidi" w:hAnsiTheme="majorBidi" w:cstheme="majorBidi"/>
          <w:i/>
          <w:iCs/>
        </w:rPr>
        <w:t>The Origins of Totalitarianism.</w:t>
      </w:r>
      <w:r w:rsidRPr="001D735B">
        <w:rPr>
          <w:rFonts w:asciiTheme="majorBidi" w:hAnsiTheme="majorBidi" w:cstheme="majorBidi"/>
        </w:rPr>
        <w:t xml:space="preserve"> New York: Harcourt Brace Jovanovich.</w:t>
      </w:r>
    </w:p>
    <w:p w14:paraId="583A3AF5"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Bennis, Phyllis. 2020. "Remembering the World’s Biggest Peace Protest." </w:t>
      </w:r>
      <w:r w:rsidRPr="001D735B">
        <w:rPr>
          <w:rFonts w:asciiTheme="majorBidi" w:hAnsiTheme="majorBidi" w:cstheme="majorBidi"/>
          <w:i/>
        </w:rPr>
        <w:t>Transnational Institute</w:t>
      </w:r>
      <w:r w:rsidRPr="001D735B">
        <w:rPr>
          <w:rFonts w:asciiTheme="majorBidi" w:hAnsiTheme="majorBidi" w:cstheme="majorBidi"/>
        </w:rPr>
        <w:t>. Retrieved February 20, 2025 (</w:t>
      </w:r>
      <w:hyperlink r:id="rId14">
        <w:r w:rsidRPr="001D735B">
          <w:rPr>
            <w:rStyle w:val="Hyperlink"/>
            <w:rFonts w:asciiTheme="majorBidi" w:hAnsiTheme="majorBidi"/>
          </w:rPr>
          <w:t>https://www.tni.org/en/video/remembering-the-worlds-biggest-peace-protest</w:t>
        </w:r>
      </w:hyperlink>
      <w:r w:rsidRPr="001D735B">
        <w:rPr>
          <w:rFonts w:asciiTheme="majorBidi" w:hAnsiTheme="majorBidi" w:cstheme="majorBidi"/>
        </w:rPr>
        <w:t>).</w:t>
      </w:r>
    </w:p>
    <w:p w14:paraId="4CF4A65D"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Brown, Wendy. 2015. </w:t>
      </w:r>
      <w:r w:rsidRPr="001D735B">
        <w:rPr>
          <w:rFonts w:asciiTheme="majorBidi" w:hAnsiTheme="majorBidi" w:cstheme="majorBidi"/>
          <w:i/>
          <w:iCs/>
        </w:rPr>
        <w:t>Undoing the Demos: Neoliberalism’s Stealth Revolution</w:t>
      </w:r>
      <w:r w:rsidRPr="001D735B">
        <w:rPr>
          <w:rFonts w:asciiTheme="majorBidi" w:hAnsiTheme="majorBidi" w:cstheme="majorBidi"/>
        </w:rPr>
        <w:t>. New York: Zone Books.</w:t>
      </w:r>
    </w:p>
    <w:p w14:paraId="609F2410"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Bush, George W. 2003. "Remarks by President George W. Bush at the 20th Anniversary of the National Endowment for Democracy." </w:t>
      </w:r>
      <w:r w:rsidRPr="001D735B">
        <w:rPr>
          <w:rFonts w:asciiTheme="majorBidi" w:hAnsiTheme="majorBidi" w:cstheme="majorBidi"/>
          <w:i/>
        </w:rPr>
        <w:t>National Endowment for Democracy</w:t>
      </w:r>
      <w:r w:rsidRPr="001D735B">
        <w:rPr>
          <w:rFonts w:asciiTheme="majorBidi" w:hAnsiTheme="majorBidi" w:cstheme="majorBidi"/>
        </w:rPr>
        <w:t>. Retrieved February 20, 2025 (</w:t>
      </w:r>
      <w:hyperlink r:id="rId15">
        <w:r w:rsidRPr="001D735B">
          <w:rPr>
            <w:rStyle w:val="Hyperlink"/>
            <w:rFonts w:asciiTheme="majorBidi" w:hAnsiTheme="majorBidi"/>
          </w:rPr>
          <w:t>https://www.ned.org/remarks-by-president-george-w-bush-at-the-20th-anniversary/</w:t>
        </w:r>
      </w:hyperlink>
      <w:r w:rsidRPr="001D735B">
        <w:rPr>
          <w:rFonts w:asciiTheme="majorBidi" w:hAnsiTheme="majorBidi" w:cstheme="majorBidi"/>
        </w:rPr>
        <w:t>).</w:t>
      </w:r>
    </w:p>
    <w:p w14:paraId="5437515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Buttigieg, Joseph A. 1995. “Gramsci on Civil Society.” </w:t>
      </w:r>
      <w:r w:rsidRPr="001D735B">
        <w:rPr>
          <w:rFonts w:asciiTheme="majorBidi" w:hAnsiTheme="majorBidi" w:cstheme="majorBidi"/>
          <w:i/>
          <w:iCs/>
        </w:rPr>
        <w:t>boundary 2</w:t>
      </w:r>
      <w:r w:rsidRPr="001D735B">
        <w:rPr>
          <w:rFonts w:asciiTheme="majorBidi" w:hAnsiTheme="majorBidi" w:cstheme="majorBidi"/>
        </w:rPr>
        <w:t xml:space="preserve"> 22(3):1–32.</w:t>
      </w:r>
    </w:p>
    <w:p w14:paraId="6937E35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Calhoun, Craig, ed. 1992. </w:t>
      </w:r>
      <w:r w:rsidRPr="001D735B">
        <w:rPr>
          <w:rFonts w:asciiTheme="majorBidi" w:hAnsiTheme="majorBidi" w:cstheme="majorBidi"/>
          <w:i/>
          <w:iCs/>
        </w:rPr>
        <w:t>Habermas and the Public Sphere</w:t>
      </w:r>
      <w:r w:rsidRPr="001D735B">
        <w:rPr>
          <w:rFonts w:asciiTheme="majorBidi" w:hAnsiTheme="majorBidi" w:cstheme="majorBidi"/>
        </w:rPr>
        <w:t>. Cambridge, MA: MIT Press.</w:t>
      </w:r>
    </w:p>
    <w:p w14:paraId="2019B363"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Cammett, Melani. 2013. "Democracy in Post-Invasion Iraq." </w:t>
      </w:r>
      <w:r w:rsidRPr="001D735B">
        <w:rPr>
          <w:rFonts w:asciiTheme="majorBidi" w:hAnsiTheme="majorBidi" w:cstheme="majorBidi"/>
          <w:i/>
        </w:rPr>
        <w:t>Costs of War</w:t>
      </w:r>
      <w:r w:rsidRPr="001D735B">
        <w:rPr>
          <w:rFonts w:asciiTheme="majorBidi" w:hAnsiTheme="majorBidi" w:cstheme="majorBidi"/>
        </w:rPr>
        <w:t>, Watson Institute for International and Public Affairs, Brown University. Retrieved February 20, 2025 (</w:t>
      </w:r>
      <w:hyperlink r:id="rId16">
        <w:r w:rsidRPr="001D735B">
          <w:rPr>
            <w:rStyle w:val="Hyperlink"/>
            <w:rFonts w:asciiTheme="majorBidi" w:hAnsiTheme="majorBidi"/>
          </w:rPr>
          <w:t>https://watson.brown.edu/costsofwar/files/cow/imce/papers/2013/Democracy%20in%20PostInvasion%20Iraq.pdf</w:t>
        </w:r>
      </w:hyperlink>
      <w:r w:rsidRPr="001D735B">
        <w:rPr>
          <w:rFonts w:asciiTheme="majorBidi" w:hAnsiTheme="majorBidi" w:cstheme="majorBidi"/>
        </w:rPr>
        <w:t>).</w:t>
      </w:r>
    </w:p>
    <w:p w14:paraId="15039F9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Chomsky, Noam and Edward S. Herman. 2002. </w:t>
      </w:r>
      <w:r w:rsidRPr="001D735B">
        <w:rPr>
          <w:rFonts w:asciiTheme="majorBidi" w:hAnsiTheme="majorBidi" w:cstheme="majorBidi"/>
          <w:i/>
          <w:iCs/>
        </w:rPr>
        <w:t>Manufacturing Consent: The Political Economy of the Mass Media.</w:t>
      </w:r>
      <w:r w:rsidRPr="001D735B">
        <w:rPr>
          <w:rFonts w:asciiTheme="majorBidi" w:hAnsiTheme="majorBidi" w:cstheme="majorBidi"/>
        </w:rPr>
        <w:t xml:space="preserve"> New York: Pantheon Books.</w:t>
      </w:r>
    </w:p>
    <w:p w14:paraId="470DB69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Cox, Ronald W. 2017. "Corporate Interests and U.S. Foreign Policy." Pp. 126-142 in </w:t>
      </w:r>
      <w:r w:rsidRPr="001D735B">
        <w:rPr>
          <w:rFonts w:asciiTheme="majorBidi" w:hAnsiTheme="majorBidi" w:cstheme="majorBidi"/>
          <w:i/>
        </w:rPr>
        <w:t>Studying the Power Elite: 50 Years of Who Rules America</w:t>
      </w:r>
      <w:r w:rsidRPr="001D735B">
        <w:rPr>
          <w:rFonts w:asciiTheme="majorBidi" w:hAnsiTheme="majorBidi" w:cstheme="majorBidi"/>
        </w:rPr>
        <w:t>, edited by G. W. Domhoff. New York: Routledge.</w:t>
      </w:r>
    </w:p>
    <w:p w14:paraId="7422F082"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lastRenderedPageBreak/>
        <w:t xml:space="preserve">Crawford, Neta C., et al. "Environmental Costs." </w:t>
      </w:r>
      <w:r w:rsidRPr="001D735B">
        <w:rPr>
          <w:rFonts w:asciiTheme="majorBidi" w:hAnsiTheme="majorBidi" w:cstheme="majorBidi"/>
          <w:i/>
        </w:rPr>
        <w:t>Costs of War</w:t>
      </w:r>
      <w:r w:rsidRPr="001D735B">
        <w:rPr>
          <w:rFonts w:asciiTheme="majorBidi" w:hAnsiTheme="majorBidi" w:cstheme="majorBidi"/>
        </w:rPr>
        <w:t>, Watson Institute for International and Public Affairs, Brown University. Retrieved February 20, 2025 (</w:t>
      </w:r>
      <w:hyperlink r:id="rId17">
        <w:r w:rsidRPr="001D735B">
          <w:rPr>
            <w:rStyle w:val="Hyperlink"/>
            <w:rFonts w:asciiTheme="majorBidi" w:hAnsiTheme="majorBidi"/>
          </w:rPr>
          <w:t>https://watson.brown.edu/costsofwar/costs/environmental</w:t>
        </w:r>
      </w:hyperlink>
      <w:r w:rsidRPr="001D735B">
        <w:rPr>
          <w:rFonts w:asciiTheme="majorBidi" w:hAnsiTheme="majorBidi" w:cstheme="majorBidi"/>
        </w:rPr>
        <w:t>).</w:t>
      </w:r>
    </w:p>
    <w:p w14:paraId="7B719EC3"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Dagher, </w:t>
      </w:r>
      <w:proofErr w:type="spellStart"/>
      <w:r w:rsidRPr="001D735B">
        <w:rPr>
          <w:rFonts w:asciiTheme="majorBidi" w:hAnsiTheme="majorBidi" w:cstheme="majorBidi"/>
        </w:rPr>
        <w:t>Munqith</w:t>
      </w:r>
      <w:proofErr w:type="spellEnd"/>
      <w:r w:rsidRPr="001D735B">
        <w:rPr>
          <w:rFonts w:asciiTheme="majorBidi" w:hAnsiTheme="majorBidi" w:cstheme="majorBidi"/>
        </w:rPr>
        <w:t xml:space="preserve">. 2020. "Iraqi Stability and Its Free-Falling Middle Class." </w:t>
      </w:r>
      <w:r w:rsidRPr="001D735B">
        <w:rPr>
          <w:rFonts w:asciiTheme="majorBidi" w:hAnsiTheme="majorBidi" w:cstheme="majorBidi"/>
          <w:i/>
        </w:rPr>
        <w:t>Center for Strategic and International Studies</w:t>
      </w:r>
      <w:r w:rsidRPr="001D735B">
        <w:rPr>
          <w:rFonts w:asciiTheme="majorBidi" w:hAnsiTheme="majorBidi" w:cstheme="majorBidi"/>
        </w:rPr>
        <w:t>. Retrieved February 20, 2025 (</w:t>
      </w:r>
      <w:hyperlink r:id="rId18">
        <w:r w:rsidRPr="001D735B">
          <w:rPr>
            <w:rStyle w:val="Hyperlink"/>
            <w:rFonts w:asciiTheme="majorBidi" w:hAnsiTheme="majorBidi"/>
          </w:rPr>
          <w:t>https://www.csis.org/analysis/iraqi-stability-and-its-free-falling-middle-class</w:t>
        </w:r>
      </w:hyperlink>
      <w:r w:rsidRPr="001D735B">
        <w:rPr>
          <w:rFonts w:asciiTheme="majorBidi" w:hAnsiTheme="majorBidi" w:cstheme="majorBidi"/>
        </w:rPr>
        <w:t>).</w:t>
      </w:r>
    </w:p>
    <w:p w14:paraId="50E4A2A3"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Dahl, Adam. 2018. </w:t>
      </w:r>
      <w:r w:rsidRPr="001D735B">
        <w:rPr>
          <w:rFonts w:asciiTheme="majorBidi" w:hAnsiTheme="majorBidi" w:cstheme="majorBidi"/>
          <w:i/>
        </w:rPr>
        <w:t>Empire of the People: Settler Colonialism and the Foundations of Modern Democratic Thought</w:t>
      </w:r>
      <w:r w:rsidRPr="001D735B">
        <w:rPr>
          <w:rFonts w:asciiTheme="majorBidi" w:hAnsiTheme="majorBidi" w:cstheme="majorBidi"/>
        </w:rPr>
        <w:t xml:space="preserve">. Lawrence: University Press of Kansas. </w:t>
      </w:r>
      <w:hyperlink r:id="rId19">
        <w:r w:rsidRPr="001D735B">
          <w:rPr>
            <w:rStyle w:val="Hyperlink"/>
            <w:rFonts w:asciiTheme="majorBidi" w:hAnsiTheme="majorBidi"/>
          </w:rPr>
          <w:t>https://doi.org/10.2307/j.ctt22rbjjz</w:t>
        </w:r>
      </w:hyperlink>
      <w:r w:rsidRPr="001D735B">
        <w:rPr>
          <w:rFonts w:asciiTheme="majorBidi" w:hAnsiTheme="majorBidi" w:cstheme="majorBidi"/>
        </w:rPr>
        <w:t>.</w:t>
      </w:r>
    </w:p>
    <w:p w14:paraId="6E403488"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Dahl, Robert A. 1989. </w:t>
      </w:r>
      <w:r w:rsidRPr="001D735B">
        <w:rPr>
          <w:rFonts w:asciiTheme="majorBidi" w:hAnsiTheme="majorBidi" w:cstheme="majorBidi"/>
          <w:i/>
        </w:rPr>
        <w:t>Democracy and Its Critics</w:t>
      </w:r>
      <w:r w:rsidRPr="001D735B">
        <w:rPr>
          <w:rFonts w:asciiTheme="majorBidi" w:hAnsiTheme="majorBidi" w:cstheme="majorBidi"/>
        </w:rPr>
        <w:t>. New Haven: Yale University Press.</w:t>
      </w:r>
    </w:p>
    <w:p w14:paraId="302C4622"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t xml:space="preserve">Dahms, Harry F. 1992. </w:t>
      </w:r>
      <w:r w:rsidRPr="00145CC1">
        <w:rPr>
          <w:rFonts w:asciiTheme="majorBidi" w:hAnsiTheme="majorBidi" w:cstheme="majorBidi"/>
          <w:i/>
          <w:iCs/>
        </w:rPr>
        <w:t>“Democracy and the Post-Enlightenment: Lyotard and Habermas Reappraised.”</w:t>
      </w:r>
      <w:r w:rsidRPr="00145CC1">
        <w:rPr>
          <w:rFonts w:asciiTheme="majorBidi" w:hAnsiTheme="majorBidi" w:cstheme="majorBidi"/>
        </w:rPr>
        <w:t xml:space="preserve"> </w:t>
      </w:r>
      <w:r w:rsidRPr="00145CC1">
        <w:rPr>
          <w:rFonts w:asciiTheme="majorBidi" w:hAnsiTheme="majorBidi" w:cstheme="majorBidi"/>
          <w:i/>
          <w:iCs/>
        </w:rPr>
        <w:t>International Journal of Politics, Culture, and Society</w:t>
      </w:r>
      <w:r w:rsidRPr="00145CC1">
        <w:rPr>
          <w:rFonts w:asciiTheme="majorBidi" w:hAnsiTheme="majorBidi" w:cstheme="majorBidi"/>
        </w:rPr>
        <w:t xml:space="preserve"> 5(3):473–509. </w:t>
      </w:r>
      <w:proofErr w:type="spellStart"/>
      <w:r w:rsidRPr="00145CC1">
        <w:rPr>
          <w:rFonts w:asciiTheme="majorBidi" w:hAnsiTheme="majorBidi" w:cstheme="majorBidi"/>
        </w:rPr>
        <w:t>doi</w:t>
      </w:r>
      <w:proofErr w:type="spellEnd"/>
      <w:r w:rsidRPr="00145CC1">
        <w:rPr>
          <w:rFonts w:asciiTheme="majorBidi" w:hAnsiTheme="majorBidi" w:cstheme="majorBidi"/>
        </w:rPr>
        <w:t>: 10.1007/BF01387295.</w:t>
      </w:r>
    </w:p>
    <w:p w14:paraId="2D8B6297" w14:textId="77777777" w:rsidR="009F653E" w:rsidRPr="001D735B" w:rsidRDefault="009F653E" w:rsidP="009F653E">
      <w:pPr>
        <w:ind w:hanging="720"/>
        <w:jc w:val="both"/>
        <w:rPr>
          <w:rFonts w:asciiTheme="majorBidi" w:hAnsiTheme="majorBidi" w:cstheme="majorBidi"/>
        </w:rPr>
      </w:pPr>
      <w:proofErr w:type="spellStart"/>
      <w:r w:rsidRPr="001D735B">
        <w:rPr>
          <w:rFonts w:asciiTheme="majorBidi" w:hAnsiTheme="majorBidi" w:cstheme="majorBidi"/>
        </w:rPr>
        <w:t>Dawisha</w:t>
      </w:r>
      <w:proofErr w:type="spellEnd"/>
      <w:r w:rsidRPr="001D735B">
        <w:rPr>
          <w:rFonts w:asciiTheme="majorBidi" w:hAnsiTheme="majorBidi" w:cstheme="majorBidi"/>
        </w:rPr>
        <w:t xml:space="preserve">, </w:t>
      </w:r>
      <w:proofErr w:type="spellStart"/>
      <w:r w:rsidRPr="001D735B">
        <w:rPr>
          <w:rFonts w:asciiTheme="majorBidi" w:hAnsiTheme="majorBidi" w:cstheme="majorBidi"/>
        </w:rPr>
        <w:t>Adeed</w:t>
      </w:r>
      <w:proofErr w:type="spellEnd"/>
      <w:r w:rsidRPr="001D735B">
        <w:rPr>
          <w:rFonts w:asciiTheme="majorBidi" w:hAnsiTheme="majorBidi" w:cstheme="majorBidi"/>
        </w:rPr>
        <w:t xml:space="preserve">. 2013. </w:t>
      </w:r>
      <w:r w:rsidRPr="001D735B">
        <w:rPr>
          <w:rFonts w:asciiTheme="majorBidi" w:hAnsiTheme="majorBidi" w:cstheme="majorBidi"/>
          <w:i/>
          <w:iCs/>
        </w:rPr>
        <w:t>Iraq: A Political History.</w:t>
      </w:r>
      <w:r w:rsidRPr="001D735B">
        <w:rPr>
          <w:rFonts w:asciiTheme="majorBidi" w:hAnsiTheme="majorBidi" w:cstheme="majorBidi"/>
        </w:rPr>
        <w:t xml:space="preserve"> Princeton, NJ: Princeton University Press.</w:t>
      </w:r>
    </w:p>
    <w:p w14:paraId="57520555" w14:textId="77777777" w:rsidR="009F653E" w:rsidRPr="00145CC1" w:rsidRDefault="009F653E" w:rsidP="009F653E">
      <w:pPr>
        <w:ind w:hanging="720"/>
        <w:jc w:val="both"/>
        <w:rPr>
          <w:rFonts w:asciiTheme="majorBidi" w:hAnsiTheme="majorBidi" w:cstheme="majorBidi"/>
        </w:rPr>
      </w:pPr>
      <w:r w:rsidRPr="00261CEE">
        <w:rPr>
          <w:rFonts w:asciiTheme="majorBidi" w:hAnsiTheme="majorBidi" w:cstheme="majorBidi"/>
        </w:rPr>
        <w:t>Deneen, Patrick J. 2023. Regime Change: Toward a Postliberal Future. New York: Sentinel.</w:t>
      </w:r>
    </w:p>
    <w:p w14:paraId="00A37CDA"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Desai, Radhika. 2013. </w:t>
      </w:r>
      <w:r w:rsidRPr="001D735B">
        <w:rPr>
          <w:rFonts w:asciiTheme="majorBidi" w:hAnsiTheme="majorBidi" w:cstheme="majorBidi"/>
          <w:i/>
          <w:iCs/>
        </w:rPr>
        <w:t>Geopolitical Economy: After US Hegemony, Globalization and Empire.</w:t>
      </w:r>
      <w:r w:rsidRPr="001D735B">
        <w:rPr>
          <w:rFonts w:asciiTheme="majorBidi" w:hAnsiTheme="majorBidi" w:cstheme="majorBidi"/>
        </w:rPr>
        <w:t xml:space="preserve"> London: Pluto Press.</w:t>
      </w:r>
    </w:p>
    <w:p w14:paraId="1AF96B0C" w14:textId="77777777" w:rsidR="009F653E" w:rsidRPr="001D735B" w:rsidRDefault="009F653E" w:rsidP="009F653E">
      <w:pPr>
        <w:ind w:hanging="720"/>
        <w:jc w:val="both"/>
        <w:rPr>
          <w:rFonts w:asciiTheme="majorBidi" w:hAnsiTheme="majorBidi" w:cstheme="majorBidi"/>
        </w:rPr>
      </w:pPr>
      <w:proofErr w:type="spellStart"/>
      <w:r w:rsidRPr="001D735B">
        <w:rPr>
          <w:rFonts w:asciiTheme="majorBidi" w:hAnsiTheme="majorBidi" w:cstheme="majorBidi"/>
        </w:rPr>
        <w:t>Doces</w:t>
      </w:r>
      <w:proofErr w:type="spellEnd"/>
      <w:r w:rsidRPr="001D735B">
        <w:rPr>
          <w:rFonts w:asciiTheme="majorBidi" w:hAnsiTheme="majorBidi" w:cstheme="majorBidi"/>
        </w:rPr>
        <w:t xml:space="preserve">, John A. 2024. </w:t>
      </w:r>
      <w:r w:rsidRPr="001D735B">
        <w:rPr>
          <w:rFonts w:asciiTheme="majorBidi" w:hAnsiTheme="majorBidi" w:cstheme="majorBidi"/>
          <w:i/>
          <w:iCs/>
        </w:rPr>
        <w:t>Political Violence: Colonization, Democracy, and Conflict in the Developing World.</w:t>
      </w:r>
      <w:r w:rsidRPr="001D735B">
        <w:rPr>
          <w:rFonts w:asciiTheme="majorBidi" w:hAnsiTheme="majorBidi" w:cstheme="majorBidi"/>
        </w:rPr>
        <w:t xml:space="preserve"> Northampton, MA: Edward Elgar Publishing.</w:t>
      </w:r>
    </w:p>
    <w:p w14:paraId="6D8C7982"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Domhoff, G. William. 2013. </w:t>
      </w:r>
      <w:r w:rsidRPr="001D735B">
        <w:rPr>
          <w:rFonts w:asciiTheme="majorBidi" w:hAnsiTheme="majorBidi" w:cstheme="majorBidi"/>
          <w:i/>
          <w:iCs/>
        </w:rPr>
        <w:t>Who Rules America? The Triumph of the Corporate Rich.</w:t>
      </w:r>
      <w:r w:rsidRPr="001D735B">
        <w:rPr>
          <w:rFonts w:asciiTheme="majorBidi" w:hAnsiTheme="majorBidi" w:cstheme="majorBidi"/>
        </w:rPr>
        <w:t xml:space="preserve"> 7th ed. New York: McGraw-Hill.</w:t>
      </w:r>
    </w:p>
    <w:p w14:paraId="411E66E0"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Doyle, Michael W. 1986. "Liberalism and World Politics." </w:t>
      </w:r>
      <w:r w:rsidRPr="001D735B">
        <w:rPr>
          <w:rFonts w:asciiTheme="majorBidi" w:hAnsiTheme="majorBidi" w:cstheme="majorBidi"/>
          <w:i/>
        </w:rPr>
        <w:t>The American Political Science Review</w:t>
      </w:r>
      <w:r w:rsidRPr="001D735B">
        <w:rPr>
          <w:rFonts w:asciiTheme="majorBidi" w:hAnsiTheme="majorBidi" w:cstheme="majorBidi"/>
        </w:rPr>
        <w:t xml:space="preserve"> 80(4):1151-1169.</w:t>
      </w:r>
    </w:p>
    <w:p w14:paraId="465D7E2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Fraser, Nancy. 1989. </w:t>
      </w:r>
      <w:r w:rsidRPr="001D735B">
        <w:rPr>
          <w:rFonts w:asciiTheme="majorBidi" w:hAnsiTheme="majorBidi" w:cstheme="majorBidi"/>
          <w:i/>
          <w:iCs/>
        </w:rPr>
        <w:t>Unruly Practices: Power, Discourse, and Gender in Contemporary Social Theory</w:t>
      </w:r>
      <w:r w:rsidRPr="001D735B">
        <w:rPr>
          <w:rFonts w:asciiTheme="majorBidi" w:hAnsiTheme="majorBidi" w:cstheme="majorBidi"/>
        </w:rPr>
        <w:t>. Minneapolis: University of Minnesota Press.</w:t>
      </w:r>
    </w:p>
    <w:p w14:paraId="0BBDBC1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Fraser, Nancy. 1992. “Rethinking the Public Sphere: A Contribution to the Critique of Actually Existing Democracy.” Pp. 109–142 in </w:t>
      </w:r>
      <w:r w:rsidRPr="001D735B">
        <w:rPr>
          <w:rFonts w:asciiTheme="majorBidi" w:hAnsiTheme="majorBidi" w:cstheme="majorBidi"/>
          <w:i/>
          <w:iCs/>
        </w:rPr>
        <w:t>Habermas and the Public Sphere</w:t>
      </w:r>
      <w:r w:rsidRPr="001D735B">
        <w:rPr>
          <w:rFonts w:asciiTheme="majorBidi" w:hAnsiTheme="majorBidi" w:cstheme="majorBidi"/>
        </w:rPr>
        <w:t>, edited by C. Calhoun. Cambridge, MA: MIT Press.</w:t>
      </w:r>
    </w:p>
    <w:p w14:paraId="08E6A0D8"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Friedman, Milton. 1962. </w:t>
      </w:r>
      <w:r w:rsidRPr="001D735B">
        <w:rPr>
          <w:rFonts w:asciiTheme="majorBidi" w:hAnsiTheme="majorBidi" w:cstheme="majorBidi"/>
          <w:i/>
        </w:rPr>
        <w:t>Capitalism and Freedom</w:t>
      </w:r>
      <w:r w:rsidRPr="001D735B">
        <w:rPr>
          <w:rFonts w:asciiTheme="majorBidi" w:hAnsiTheme="majorBidi" w:cstheme="majorBidi"/>
        </w:rPr>
        <w:t>. Chicago: University of Chicago Press.</w:t>
      </w:r>
    </w:p>
    <w:p w14:paraId="12B53F0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Friedman, Thomas L. 2025. "How to Tell That the Chain Saw Is Coming </w:t>
      </w:r>
      <w:proofErr w:type="gramStart"/>
      <w:r w:rsidRPr="001D735B">
        <w:rPr>
          <w:rFonts w:asciiTheme="majorBidi" w:hAnsiTheme="majorBidi" w:cstheme="majorBidi"/>
        </w:rPr>
        <w:t>for</w:t>
      </w:r>
      <w:proofErr w:type="gramEnd"/>
      <w:r w:rsidRPr="001D735B">
        <w:rPr>
          <w:rFonts w:asciiTheme="majorBidi" w:hAnsiTheme="majorBidi" w:cstheme="majorBidi"/>
        </w:rPr>
        <w:t xml:space="preserve"> America." </w:t>
      </w:r>
      <w:r w:rsidRPr="001D735B">
        <w:rPr>
          <w:rFonts w:asciiTheme="majorBidi" w:hAnsiTheme="majorBidi" w:cstheme="majorBidi"/>
          <w:i/>
          <w:iCs/>
        </w:rPr>
        <w:t>The New York Times</w:t>
      </w:r>
      <w:r w:rsidRPr="001D735B">
        <w:rPr>
          <w:rFonts w:asciiTheme="majorBidi" w:hAnsiTheme="majorBidi" w:cstheme="majorBidi"/>
        </w:rPr>
        <w:t>, March 5. Retrieved March 5, 2025 (</w:t>
      </w:r>
      <w:hyperlink r:id="rId20" w:tgtFrame="_new" w:history="1">
        <w:r w:rsidRPr="001D735B">
          <w:rPr>
            <w:rStyle w:val="Hyperlink"/>
            <w:rFonts w:asciiTheme="majorBidi" w:hAnsiTheme="majorBidi"/>
          </w:rPr>
          <w:t>https://www.nytimes.com/2025/03/05/opinion/trump-musk-ukraine-iraq.html?smid=wa-share</w:t>
        </w:r>
      </w:hyperlink>
      <w:r w:rsidRPr="001D735B">
        <w:rPr>
          <w:rFonts w:asciiTheme="majorBidi" w:hAnsiTheme="majorBidi" w:cstheme="majorBidi"/>
        </w:rPr>
        <w:t>).</w:t>
      </w:r>
    </w:p>
    <w:p w14:paraId="4E40EBF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Fukuyama, Francis. 1992. </w:t>
      </w:r>
      <w:r w:rsidRPr="001D735B">
        <w:rPr>
          <w:rFonts w:asciiTheme="majorBidi" w:hAnsiTheme="majorBidi" w:cstheme="majorBidi"/>
          <w:i/>
        </w:rPr>
        <w:t>The End of History and the Last Man</w:t>
      </w:r>
      <w:r w:rsidRPr="001D735B">
        <w:rPr>
          <w:rFonts w:asciiTheme="majorBidi" w:hAnsiTheme="majorBidi" w:cstheme="majorBidi"/>
        </w:rPr>
        <w:t>. New York: Free Press.</w:t>
      </w:r>
    </w:p>
    <w:p w14:paraId="2BA8D0C0" w14:textId="77777777" w:rsidR="009F653E" w:rsidRDefault="009F653E" w:rsidP="009F653E">
      <w:pPr>
        <w:ind w:hanging="720"/>
        <w:jc w:val="both"/>
        <w:rPr>
          <w:rFonts w:asciiTheme="majorBidi" w:hAnsiTheme="majorBidi" w:cstheme="majorBidi"/>
        </w:rPr>
      </w:pPr>
      <w:r w:rsidRPr="00261CEE">
        <w:rPr>
          <w:rFonts w:asciiTheme="majorBidi" w:hAnsiTheme="majorBidi" w:cstheme="majorBidi"/>
        </w:rPr>
        <w:lastRenderedPageBreak/>
        <w:t xml:space="preserve">Gottfried, Paul. 1999. </w:t>
      </w:r>
      <w:r w:rsidRPr="00261CEE">
        <w:rPr>
          <w:rFonts w:asciiTheme="majorBidi" w:hAnsiTheme="majorBidi" w:cstheme="majorBidi"/>
          <w:i/>
          <w:iCs/>
        </w:rPr>
        <w:t>After Liberalism: Mass Democracy in the Managerial State</w:t>
      </w:r>
      <w:r w:rsidRPr="00261CEE">
        <w:rPr>
          <w:rFonts w:asciiTheme="majorBidi" w:hAnsiTheme="majorBidi" w:cstheme="majorBidi"/>
        </w:rPr>
        <w:t>. Princeton, NJ: Princeton University Press.</w:t>
      </w:r>
    </w:p>
    <w:p w14:paraId="065D18D1"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Gould, Carol C. 1983. “Private Rights and Public Virtues: Women, the Family, and Democracy.” Pp. 55–72 in </w:t>
      </w:r>
      <w:r w:rsidRPr="001D735B">
        <w:rPr>
          <w:rFonts w:asciiTheme="majorBidi" w:hAnsiTheme="majorBidi" w:cstheme="majorBidi"/>
          <w:i/>
          <w:iCs/>
        </w:rPr>
        <w:t>Beyond Domination: New Perspectives on Women and Philosophy</w:t>
      </w:r>
      <w:r w:rsidRPr="001D735B">
        <w:rPr>
          <w:rFonts w:asciiTheme="majorBidi" w:hAnsiTheme="majorBidi" w:cstheme="majorBidi"/>
        </w:rPr>
        <w:t xml:space="preserve">, edited by C. C. Gould. Totowa, NJ: Rowman &amp; </w:t>
      </w:r>
      <w:proofErr w:type="spellStart"/>
      <w:r w:rsidRPr="001D735B">
        <w:rPr>
          <w:rFonts w:asciiTheme="majorBidi" w:hAnsiTheme="majorBidi" w:cstheme="majorBidi"/>
        </w:rPr>
        <w:t>Allanheld</w:t>
      </w:r>
      <w:proofErr w:type="spellEnd"/>
      <w:r w:rsidRPr="001D735B">
        <w:rPr>
          <w:rFonts w:asciiTheme="majorBidi" w:hAnsiTheme="majorBidi" w:cstheme="majorBidi"/>
        </w:rPr>
        <w:t>.</w:t>
      </w:r>
    </w:p>
    <w:p w14:paraId="3C8DACD8"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Gramsci, Antonio. 1971. </w:t>
      </w:r>
      <w:r w:rsidRPr="001D735B">
        <w:rPr>
          <w:rFonts w:asciiTheme="majorBidi" w:hAnsiTheme="majorBidi" w:cstheme="majorBidi"/>
          <w:i/>
          <w:iCs/>
        </w:rPr>
        <w:t>Selections from the Prison Notebooks.</w:t>
      </w:r>
      <w:r w:rsidRPr="001D735B">
        <w:rPr>
          <w:rFonts w:asciiTheme="majorBidi" w:hAnsiTheme="majorBidi" w:cstheme="majorBidi"/>
        </w:rPr>
        <w:t xml:space="preserve"> Edited and translated by Quintin Hoare and Geoffrey Nowell-Smith. New York: International Publishers.</w:t>
      </w:r>
    </w:p>
    <w:p w14:paraId="222CA6AC"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Habermas, Jürgen. 1984. </w:t>
      </w:r>
      <w:r w:rsidRPr="001D735B">
        <w:rPr>
          <w:rFonts w:asciiTheme="majorBidi" w:hAnsiTheme="majorBidi" w:cstheme="majorBidi"/>
          <w:i/>
          <w:iCs/>
        </w:rPr>
        <w:t>The Theory of Communicative Action, Volume 1: Reason and the Rationalization of Society</w:t>
      </w:r>
      <w:r w:rsidRPr="001D735B">
        <w:rPr>
          <w:rFonts w:asciiTheme="majorBidi" w:hAnsiTheme="majorBidi" w:cstheme="majorBidi"/>
        </w:rPr>
        <w:t>. Translated by T. McCarthy. Boston: Beacon Press.</w:t>
      </w:r>
    </w:p>
    <w:p w14:paraId="2602E3E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Harinath, A. S., and Ali, A. 2024. "Conflict Pollution: Lessons from Iraq." </w:t>
      </w:r>
      <w:r w:rsidRPr="001D735B">
        <w:rPr>
          <w:rFonts w:asciiTheme="majorBidi" w:hAnsiTheme="majorBidi" w:cstheme="majorBidi"/>
          <w:i/>
        </w:rPr>
        <w:t>World Bank Blogs</w:t>
      </w:r>
      <w:r w:rsidRPr="001D735B">
        <w:rPr>
          <w:rFonts w:asciiTheme="majorBidi" w:hAnsiTheme="majorBidi" w:cstheme="majorBidi"/>
        </w:rPr>
        <w:t xml:space="preserve">. March 5, 2024. </w:t>
      </w:r>
      <w:hyperlink r:id="rId21">
        <w:r w:rsidRPr="001D735B">
          <w:rPr>
            <w:rStyle w:val="Hyperlink"/>
            <w:rFonts w:asciiTheme="majorBidi" w:hAnsiTheme="majorBidi"/>
          </w:rPr>
          <w:t>https://blogs.worldbank.org/en/arabvoices/conflict-pollution-lessons-iraq</w:t>
        </w:r>
      </w:hyperlink>
      <w:r w:rsidRPr="001D735B">
        <w:rPr>
          <w:rFonts w:asciiTheme="majorBidi" w:hAnsiTheme="majorBidi" w:cstheme="majorBidi"/>
        </w:rPr>
        <w:t>.</w:t>
      </w:r>
    </w:p>
    <w:p w14:paraId="57EE29CD" w14:textId="77777777" w:rsidR="009F653E" w:rsidRDefault="009F653E" w:rsidP="009F653E">
      <w:pPr>
        <w:ind w:hanging="720"/>
        <w:jc w:val="both"/>
        <w:rPr>
          <w:rFonts w:asciiTheme="majorBidi" w:hAnsiTheme="majorBidi" w:cstheme="majorBidi"/>
        </w:rPr>
      </w:pPr>
      <w:r w:rsidRPr="00261CEE">
        <w:rPr>
          <w:rFonts w:asciiTheme="majorBidi" w:hAnsiTheme="majorBidi" w:cstheme="majorBidi"/>
        </w:rPr>
        <w:t xml:space="preserve">Hazony, Yoram. 2018. </w:t>
      </w:r>
      <w:r w:rsidRPr="00261CEE">
        <w:rPr>
          <w:rFonts w:asciiTheme="majorBidi" w:hAnsiTheme="majorBidi" w:cstheme="majorBidi"/>
          <w:i/>
          <w:iCs/>
        </w:rPr>
        <w:t>The Virtue of Nationalism</w:t>
      </w:r>
      <w:r w:rsidRPr="00261CEE">
        <w:rPr>
          <w:rFonts w:asciiTheme="majorBidi" w:hAnsiTheme="majorBidi" w:cstheme="majorBidi"/>
        </w:rPr>
        <w:t>. New York: Basic Books.</w:t>
      </w:r>
    </w:p>
    <w:p w14:paraId="66C6743D"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t xml:space="preserve">Held, David. 2006. </w:t>
      </w:r>
      <w:r w:rsidRPr="00145CC1">
        <w:rPr>
          <w:rFonts w:asciiTheme="majorBidi" w:hAnsiTheme="majorBidi" w:cstheme="majorBidi"/>
          <w:i/>
          <w:iCs/>
        </w:rPr>
        <w:t>Models of Democracy</w:t>
      </w:r>
      <w:r w:rsidRPr="00145CC1">
        <w:rPr>
          <w:rFonts w:asciiTheme="majorBidi" w:hAnsiTheme="majorBidi" w:cstheme="majorBidi"/>
        </w:rPr>
        <w:t>. 3rd ed. Stanford, CA: Stanford University Press.</w:t>
      </w:r>
    </w:p>
    <w:p w14:paraId="66662F0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Helman, Rebecca, Kopano Ratele, and Tamara Shefer. 2016. “Young People's Reproductions of the ‘Father as Provider’ Discourse: Intersections of Race, Class, Culture and Gender within a Liberal Democracy.” </w:t>
      </w:r>
      <w:r w:rsidRPr="001D735B">
        <w:rPr>
          <w:rFonts w:asciiTheme="majorBidi" w:hAnsiTheme="majorBidi" w:cstheme="majorBidi"/>
          <w:i/>
          <w:iCs/>
        </w:rPr>
        <w:t>Perspectives in Education</w:t>
      </w:r>
      <w:r w:rsidRPr="001D735B">
        <w:rPr>
          <w:rFonts w:asciiTheme="majorBidi" w:hAnsiTheme="majorBidi" w:cstheme="majorBidi"/>
        </w:rPr>
        <w:t xml:space="preserve"> 34(3):96–108.</w:t>
      </w:r>
    </w:p>
    <w:p w14:paraId="7927552A"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Kelley, David. 2021. "Iraq’s Ecocide: The Environmental Impact of War and Oil." </w:t>
      </w:r>
      <w:r w:rsidRPr="001D735B">
        <w:rPr>
          <w:rFonts w:asciiTheme="majorBidi" w:hAnsiTheme="majorBidi" w:cstheme="majorBidi"/>
          <w:i/>
        </w:rPr>
        <w:t>Inside Climate News</w:t>
      </w:r>
      <w:r w:rsidRPr="001D735B">
        <w:rPr>
          <w:rFonts w:asciiTheme="majorBidi" w:hAnsiTheme="majorBidi" w:cstheme="majorBidi"/>
        </w:rPr>
        <w:t xml:space="preserve">. December 29, 2021. </w:t>
      </w:r>
      <w:hyperlink r:id="rId22">
        <w:r w:rsidRPr="001D735B">
          <w:rPr>
            <w:rStyle w:val="Hyperlink"/>
            <w:rFonts w:asciiTheme="majorBidi" w:hAnsiTheme="majorBidi"/>
          </w:rPr>
          <w:t>https://insideclimatenews.org/news/29122021/iraq-ecocide/</w:t>
        </w:r>
      </w:hyperlink>
      <w:r w:rsidRPr="001D735B">
        <w:rPr>
          <w:rFonts w:asciiTheme="majorBidi" w:hAnsiTheme="majorBidi" w:cstheme="majorBidi"/>
        </w:rPr>
        <w:t>.</w:t>
      </w:r>
    </w:p>
    <w:p w14:paraId="74FB37D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King, Michael, and Chris Thornhill. 2003. </w:t>
      </w:r>
      <w:r w:rsidRPr="001D735B">
        <w:rPr>
          <w:rFonts w:asciiTheme="majorBidi" w:hAnsiTheme="majorBidi" w:cstheme="majorBidi"/>
          <w:i/>
          <w:iCs/>
        </w:rPr>
        <w:t>Niklas Luhmann’s Theory of Politics and Law.</w:t>
      </w:r>
      <w:r w:rsidRPr="001D735B">
        <w:rPr>
          <w:rFonts w:asciiTheme="majorBidi" w:hAnsiTheme="majorBidi" w:cstheme="majorBidi"/>
        </w:rPr>
        <w:t xml:space="preserve"> New York: Palgrave Macmillan.</w:t>
      </w:r>
    </w:p>
    <w:p w14:paraId="649A68F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Larnerd, Nicolas Jude, Erol </w:t>
      </w:r>
      <w:proofErr w:type="spellStart"/>
      <w:r w:rsidRPr="001D735B">
        <w:rPr>
          <w:rFonts w:asciiTheme="majorBidi" w:hAnsiTheme="majorBidi" w:cstheme="majorBidi"/>
        </w:rPr>
        <w:t>Yayboke</w:t>
      </w:r>
      <w:proofErr w:type="spellEnd"/>
      <w:r w:rsidRPr="001D735B">
        <w:rPr>
          <w:rFonts w:asciiTheme="majorBidi" w:hAnsiTheme="majorBidi" w:cstheme="majorBidi"/>
        </w:rPr>
        <w:t xml:space="preserve">, and Giorgi Gigauri. 2023. "Iraq 20 Years After the Invasion: Humanitarian, Displacement, and Climate Change Challenges." </w:t>
      </w:r>
      <w:r w:rsidRPr="001D735B">
        <w:rPr>
          <w:rFonts w:asciiTheme="majorBidi" w:hAnsiTheme="majorBidi" w:cstheme="majorBidi"/>
          <w:i/>
        </w:rPr>
        <w:t>Center for Strategic and International Studies</w:t>
      </w:r>
      <w:r w:rsidRPr="001D735B">
        <w:rPr>
          <w:rFonts w:asciiTheme="majorBidi" w:hAnsiTheme="majorBidi" w:cstheme="majorBidi"/>
        </w:rPr>
        <w:t xml:space="preserve">. March 20, 2023. </w:t>
      </w:r>
      <w:hyperlink r:id="rId23">
        <w:r w:rsidRPr="001D735B">
          <w:rPr>
            <w:rStyle w:val="Hyperlink"/>
            <w:rFonts w:asciiTheme="majorBidi" w:hAnsiTheme="majorBidi"/>
          </w:rPr>
          <w:t>https://www.csis.org/analysis/iraq-20-years-after-invasion-humanitarian-displacement-and-climate-change-challenges</w:t>
        </w:r>
      </w:hyperlink>
      <w:r w:rsidRPr="001D735B">
        <w:rPr>
          <w:rFonts w:asciiTheme="majorBidi" w:hAnsiTheme="majorBidi" w:cstheme="majorBidi"/>
        </w:rPr>
        <w:t>.</w:t>
      </w:r>
    </w:p>
    <w:p w14:paraId="12B952DA"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Luhmann, Niklas. 1995. </w:t>
      </w:r>
      <w:r w:rsidRPr="001D735B">
        <w:rPr>
          <w:rFonts w:asciiTheme="majorBidi" w:hAnsiTheme="majorBidi" w:cstheme="majorBidi"/>
          <w:i/>
          <w:iCs/>
        </w:rPr>
        <w:t>Social Systems.</w:t>
      </w:r>
      <w:r w:rsidRPr="001D735B">
        <w:rPr>
          <w:rFonts w:asciiTheme="majorBidi" w:hAnsiTheme="majorBidi" w:cstheme="majorBidi"/>
        </w:rPr>
        <w:t xml:space="preserve"> Stanford, CA: Stanford University Press.</w:t>
      </w:r>
    </w:p>
    <w:p w14:paraId="6AAC327C"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Lukes, Steven. 2005. </w:t>
      </w:r>
      <w:r w:rsidRPr="001D735B">
        <w:rPr>
          <w:rFonts w:asciiTheme="majorBidi" w:hAnsiTheme="majorBidi" w:cstheme="majorBidi"/>
          <w:i/>
          <w:iCs/>
        </w:rPr>
        <w:t>Power: A Radical View.</w:t>
      </w:r>
      <w:r w:rsidRPr="001D735B">
        <w:rPr>
          <w:rFonts w:asciiTheme="majorBidi" w:hAnsiTheme="majorBidi" w:cstheme="majorBidi"/>
        </w:rPr>
        <w:t xml:space="preserve"> 2nd ed. London: Palgrave Macmillan.</w:t>
      </w:r>
    </w:p>
    <w:p w14:paraId="6B19AF36"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Mann, Michael. 1984. “The Autonomous Power of the State: Its Origins, Mechanisms and Results.” </w:t>
      </w:r>
      <w:r w:rsidRPr="001D735B">
        <w:rPr>
          <w:rFonts w:asciiTheme="majorBidi" w:hAnsiTheme="majorBidi" w:cstheme="majorBidi"/>
          <w:i/>
          <w:iCs/>
        </w:rPr>
        <w:t>European Journal of Sociology</w:t>
      </w:r>
      <w:r w:rsidRPr="001D735B">
        <w:rPr>
          <w:rFonts w:asciiTheme="majorBidi" w:hAnsiTheme="majorBidi" w:cstheme="majorBidi"/>
        </w:rPr>
        <w:t xml:space="preserve"> 25(2):185–213.</w:t>
      </w:r>
    </w:p>
    <w:p w14:paraId="5363A79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Marcuse, Herbert. 1964. </w:t>
      </w:r>
      <w:r w:rsidRPr="001D735B">
        <w:rPr>
          <w:rFonts w:asciiTheme="majorBidi" w:hAnsiTheme="majorBidi" w:cstheme="majorBidi"/>
          <w:i/>
          <w:iCs/>
        </w:rPr>
        <w:t>One-Dimensional Man: Studies in the Ideology of Advanced Industrial Society.</w:t>
      </w:r>
      <w:r w:rsidRPr="001D735B">
        <w:rPr>
          <w:rFonts w:asciiTheme="majorBidi" w:hAnsiTheme="majorBidi" w:cstheme="majorBidi"/>
        </w:rPr>
        <w:t xml:space="preserve"> Boston: Beacon Press.</w:t>
      </w:r>
    </w:p>
    <w:p w14:paraId="31217186"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May, Vanessa. 2008. “Young People's Reproductions of the ‘Father as Provider’ Discourse: Intersections of Race, Class, Culture and Gender within a Liberal Democracy.” </w:t>
      </w:r>
      <w:r w:rsidRPr="001D735B">
        <w:rPr>
          <w:rFonts w:asciiTheme="majorBidi" w:hAnsiTheme="majorBidi" w:cstheme="majorBidi"/>
          <w:i/>
          <w:iCs/>
        </w:rPr>
        <w:t>Journal of Youth Studies</w:t>
      </w:r>
      <w:r w:rsidRPr="001D735B">
        <w:rPr>
          <w:rFonts w:asciiTheme="majorBidi" w:hAnsiTheme="majorBidi" w:cstheme="majorBidi"/>
        </w:rPr>
        <w:t xml:space="preserve"> 11(1):95–113.</w:t>
      </w:r>
    </w:p>
    <w:p w14:paraId="6B0CEC75"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lastRenderedPageBreak/>
        <w:t xml:space="preserve">Michels, Robert. 1915. </w:t>
      </w:r>
      <w:r w:rsidRPr="00145CC1">
        <w:rPr>
          <w:rFonts w:asciiTheme="majorBidi" w:hAnsiTheme="majorBidi" w:cstheme="majorBidi"/>
          <w:i/>
          <w:iCs/>
        </w:rPr>
        <w:t>Political Parties: A Sociological Study of the Oligarchical Tendencies of Modern Democracy</w:t>
      </w:r>
      <w:r w:rsidRPr="00145CC1">
        <w:rPr>
          <w:rFonts w:asciiTheme="majorBidi" w:hAnsiTheme="majorBidi" w:cstheme="majorBidi"/>
        </w:rPr>
        <w:t>. New York: Free Press.</w:t>
      </w:r>
    </w:p>
    <w:p w14:paraId="69D828FB"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Mills, C. Wright. 1956. </w:t>
      </w:r>
      <w:r w:rsidRPr="001D735B">
        <w:rPr>
          <w:rFonts w:asciiTheme="majorBidi" w:hAnsiTheme="majorBidi" w:cstheme="majorBidi"/>
          <w:i/>
          <w:iCs/>
        </w:rPr>
        <w:t>The Power Elite</w:t>
      </w:r>
      <w:r w:rsidRPr="001D735B">
        <w:rPr>
          <w:rFonts w:asciiTheme="majorBidi" w:hAnsiTheme="majorBidi" w:cstheme="majorBidi"/>
        </w:rPr>
        <w:t>. New York: Oxford University Press.</w:t>
      </w:r>
    </w:p>
    <w:p w14:paraId="24A9155A"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Moore, Barrington. 1978. “The Suppression of Historical Alternatives: Germany 1918–1920.” Pp. 376-381 in </w:t>
      </w:r>
      <w:r w:rsidRPr="001D735B">
        <w:rPr>
          <w:rFonts w:asciiTheme="majorBidi" w:hAnsiTheme="majorBidi" w:cstheme="majorBidi"/>
          <w:i/>
          <w:iCs/>
        </w:rPr>
        <w:t>Injustice: The Social Bases of Obedience and Revolt</w:t>
      </w:r>
      <w:r w:rsidRPr="001D735B">
        <w:rPr>
          <w:rFonts w:asciiTheme="majorBidi" w:hAnsiTheme="majorBidi" w:cstheme="majorBidi"/>
        </w:rPr>
        <w:t>, 1st ed. New York: Routledge.</w:t>
      </w:r>
    </w:p>
    <w:p w14:paraId="05A4F451"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t>Mosca, Gaetano</w:t>
      </w:r>
      <w:r w:rsidRPr="00145CC1">
        <w:rPr>
          <w:rFonts w:asciiTheme="majorBidi" w:hAnsiTheme="majorBidi" w:cstheme="majorBidi"/>
          <w:b/>
          <w:bCs/>
        </w:rPr>
        <w:t>.</w:t>
      </w:r>
      <w:r w:rsidRPr="00145CC1">
        <w:rPr>
          <w:rFonts w:asciiTheme="majorBidi" w:hAnsiTheme="majorBidi" w:cstheme="majorBidi"/>
        </w:rPr>
        <w:t xml:space="preserve"> 1939. </w:t>
      </w:r>
      <w:r w:rsidRPr="00145CC1">
        <w:rPr>
          <w:rFonts w:asciiTheme="majorBidi" w:hAnsiTheme="majorBidi" w:cstheme="majorBidi"/>
          <w:i/>
          <w:iCs/>
        </w:rPr>
        <w:t>The Ruling Class</w:t>
      </w:r>
      <w:r w:rsidRPr="00145CC1">
        <w:rPr>
          <w:rFonts w:asciiTheme="majorBidi" w:hAnsiTheme="majorBidi" w:cstheme="majorBidi"/>
        </w:rPr>
        <w:t>. Translated by Hannah D. Kahn. New York: McGraw-Hill.</w:t>
      </w:r>
    </w:p>
    <w:p w14:paraId="243D7A01" w14:textId="77777777" w:rsidR="009F653E" w:rsidRPr="001D735B" w:rsidRDefault="009F653E" w:rsidP="009F653E">
      <w:pPr>
        <w:ind w:hanging="720"/>
        <w:jc w:val="both"/>
        <w:rPr>
          <w:rFonts w:asciiTheme="majorBidi" w:hAnsiTheme="majorBidi" w:cstheme="majorBidi"/>
        </w:rPr>
      </w:pPr>
      <w:proofErr w:type="spellStart"/>
      <w:r w:rsidRPr="001D735B">
        <w:rPr>
          <w:rFonts w:asciiTheme="majorBidi" w:hAnsiTheme="majorBidi" w:cstheme="majorBidi"/>
        </w:rPr>
        <w:t>Mouffe</w:t>
      </w:r>
      <w:proofErr w:type="spellEnd"/>
      <w:r w:rsidRPr="001D735B">
        <w:rPr>
          <w:rFonts w:asciiTheme="majorBidi" w:hAnsiTheme="majorBidi" w:cstheme="majorBidi"/>
        </w:rPr>
        <w:t xml:space="preserve">, Chantal. 1993. </w:t>
      </w:r>
      <w:r w:rsidRPr="001D735B">
        <w:rPr>
          <w:rFonts w:asciiTheme="majorBidi" w:hAnsiTheme="majorBidi" w:cstheme="majorBidi"/>
          <w:i/>
          <w:iCs/>
        </w:rPr>
        <w:t>The Return of the Political</w:t>
      </w:r>
      <w:r w:rsidRPr="001D735B">
        <w:rPr>
          <w:rFonts w:asciiTheme="majorBidi" w:hAnsiTheme="majorBidi" w:cstheme="majorBidi"/>
        </w:rPr>
        <w:t>. London: Verso.</w:t>
      </w:r>
    </w:p>
    <w:p w14:paraId="657E432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Nazir, </w:t>
      </w:r>
      <w:proofErr w:type="spellStart"/>
      <w:r w:rsidRPr="001D735B">
        <w:rPr>
          <w:rFonts w:asciiTheme="majorBidi" w:hAnsiTheme="majorBidi" w:cstheme="majorBidi"/>
        </w:rPr>
        <w:t>Muntazra</w:t>
      </w:r>
      <w:proofErr w:type="spellEnd"/>
      <w:r w:rsidRPr="001D735B">
        <w:rPr>
          <w:rFonts w:asciiTheme="majorBidi" w:hAnsiTheme="majorBidi" w:cstheme="majorBidi"/>
        </w:rPr>
        <w:t xml:space="preserve">. 2006. "Democracy, Islam, and Insurgency in Iraq." </w:t>
      </w:r>
      <w:r w:rsidRPr="001D735B">
        <w:rPr>
          <w:rFonts w:asciiTheme="majorBidi" w:hAnsiTheme="majorBidi" w:cstheme="majorBidi"/>
          <w:i/>
        </w:rPr>
        <w:t>Pakistan Horizon</w:t>
      </w:r>
      <w:r w:rsidRPr="001D735B">
        <w:rPr>
          <w:rFonts w:asciiTheme="majorBidi" w:hAnsiTheme="majorBidi" w:cstheme="majorBidi"/>
        </w:rPr>
        <w:t xml:space="preserve"> 59(3):47-65.</w:t>
      </w:r>
    </w:p>
    <w:p w14:paraId="37E2A08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Noonan, Jeff. 2020. "Democracy in Troubled Times." </w:t>
      </w:r>
      <w:r w:rsidRPr="001D735B">
        <w:rPr>
          <w:rFonts w:asciiTheme="majorBidi" w:hAnsiTheme="majorBidi" w:cstheme="majorBidi"/>
          <w:i/>
        </w:rPr>
        <w:t>Alternate Routes: A Journal of Critical Social Research</w:t>
      </w:r>
      <w:r w:rsidRPr="001D735B">
        <w:rPr>
          <w:rFonts w:asciiTheme="majorBidi" w:hAnsiTheme="majorBidi" w:cstheme="majorBidi"/>
        </w:rPr>
        <w:t xml:space="preserve"> 31(1). (</w:t>
      </w:r>
      <w:hyperlink r:id="rId24">
        <w:r w:rsidRPr="001D735B">
          <w:rPr>
            <w:rStyle w:val="Hyperlink"/>
            <w:rFonts w:asciiTheme="majorBidi" w:hAnsiTheme="majorBidi"/>
          </w:rPr>
          <w:t>https://alternateroutes.ca/index.php/ar/article/view/22515</w:t>
        </w:r>
      </w:hyperlink>
      <w:r w:rsidRPr="001D735B">
        <w:rPr>
          <w:rFonts w:asciiTheme="majorBidi" w:hAnsiTheme="majorBidi" w:cstheme="majorBidi"/>
        </w:rPr>
        <w:t>).</w:t>
      </w:r>
    </w:p>
    <w:p w14:paraId="0C3657AF"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t xml:space="preserve">Pareto, Vilfredo. 1991. </w:t>
      </w:r>
      <w:r w:rsidRPr="00145CC1">
        <w:rPr>
          <w:rFonts w:asciiTheme="majorBidi" w:hAnsiTheme="majorBidi" w:cstheme="majorBidi"/>
          <w:i/>
          <w:iCs/>
        </w:rPr>
        <w:t>The Rise and Fall of Elites: An Application of Theoretical Sociology</w:t>
      </w:r>
      <w:r w:rsidRPr="00145CC1">
        <w:rPr>
          <w:rFonts w:asciiTheme="majorBidi" w:hAnsiTheme="majorBidi" w:cstheme="majorBidi"/>
        </w:rPr>
        <w:t>. New Brunswick, NJ: Transaction Publishers. [Original Italian 1901–1906]</w:t>
      </w:r>
    </w:p>
    <w:p w14:paraId="1BCE7DDD"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Rubíes, Joan-Pau. 2005. “Oriental Despotism and European Orientalism: Botero to Montesquieu.” </w:t>
      </w:r>
      <w:r w:rsidRPr="001D735B">
        <w:rPr>
          <w:rFonts w:asciiTheme="majorBidi" w:hAnsiTheme="majorBidi" w:cstheme="majorBidi"/>
          <w:i/>
          <w:iCs/>
        </w:rPr>
        <w:t>Journal of Early Modern History</w:t>
      </w:r>
      <w:r w:rsidRPr="001D735B">
        <w:rPr>
          <w:rFonts w:asciiTheme="majorBidi" w:hAnsiTheme="majorBidi" w:cstheme="majorBidi"/>
        </w:rPr>
        <w:t xml:space="preserve"> 9(1–2):109–180.</w:t>
      </w:r>
    </w:p>
    <w:p w14:paraId="5BBF3DFB"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Sakurai, </w:t>
      </w:r>
      <w:proofErr w:type="spellStart"/>
      <w:r w:rsidRPr="001D735B">
        <w:rPr>
          <w:rFonts w:asciiTheme="majorBidi" w:hAnsiTheme="majorBidi" w:cstheme="majorBidi"/>
        </w:rPr>
        <w:t>Takamichi</w:t>
      </w:r>
      <w:proofErr w:type="spellEnd"/>
      <w:r w:rsidRPr="001D735B">
        <w:rPr>
          <w:rFonts w:asciiTheme="majorBidi" w:hAnsiTheme="majorBidi" w:cstheme="majorBidi"/>
        </w:rPr>
        <w:t xml:space="preserve">. 2024. "The Authoritarian Orientation in Liberal Democracies: Labor Market and Workplace Authoritarianism." </w:t>
      </w:r>
      <w:r w:rsidRPr="001D735B">
        <w:rPr>
          <w:rFonts w:asciiTheme="majorBidi" w:hAnsiTheme="majorBidi" w:cstheme="majorBidi"/>
          <w:i/>
        </w:rPr>
        <w:t>Constellations</w:t>
      </w:r>
      <w:r w:rsidRPr="001D735B">
        <w:rPr>
          <w:rFonts w:asciiTheme="majorBidi" w:hAnsiTheme="majorBidi" w:cstheme="majorBidi"/>
        </w:rPr>
        <w:t xml:space="preserve"> 31(1):32-50. </w:t>
      </w:r>
      <w:hyperlink r:id="rId25">
        <w:r w:rsidRPr="001D735B">
          <w:rPr>
            <w:rStyle w:val="Hyperlink"/>
            <w:rFonts w:asciiTheme="majorBidi" w:hAnsiTheme="majorBidi"/>
          </w:rPr>
          <w:t>https://doi.org/10.1111/1467-8675.12743</w:t>
        </w:r>
      </w:hyperlink>
      <w:r w:rsidRPr="001D735B">
        <w:rPr>
          <w:rFonts w:asciiTheme="majorBidi" w:hAnsiTheme="majorBidi" w:cstheme="majorBidi"/>
        </w:rPr>
        <w:t>.</w:t>
      </w:r>
    </w:p>
    <w:p w14:paraId="52B9B6F3"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Schumpeter, Joseph A. 2008. </w:t>
      </w:r>
      <w:r w:rsidRPr="001D735B">
        <w:rPr>
          <w:rFonts w:asciiTheme="majorBidi" w:hAnsiTheme="majorBidi" w:cstheme="majorBidi"/>
          <w:i/>
          <w:iCs/>
        </w:rPr>
        <w:t>Capitalism, Socialism, and Democracy.</w:t>
      </w:r>
      <w:r w:rsidRPr="001D735B">
        <w:rPr>
          <w:rFonts w:asciiTheme="majorBidi" w:hAnsiTheme="majorBidi" w:cstheme="majorBidi"/>
        </w:rPr>
        <w:t xml:space="preserve"> 3rd ed. New York: Harper Perennial Modern Thought.</w:t>
      </w:r>
    </w:p>
    <w:p w14:paraId="39AC7047"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Skocpol, Theda. 1979. </w:t>
      </w:r>
      <w:r w:rsidRPr="001D735B">
        <w:rPr>
          <w:rFonts w:asciiTheme="majorBidi" w:hAnsiTheme="majorBidi" w:cstheme="majorBidi"/>
          <w:i/>
          <w:iCs/>
        </w:rPr>
        <w:t>States and Social Revolutions: A Comparative Analysis of France, Russia, and China.</w:t>
      </w:r>
      <w:r w:rsidRPr="001D735B">
        <w:rPr>
          <w:rFonts w:asciiTheme="majorBidi" w:hAnsiTheme="majorBidi" w:cstheme="majorBidi"/>
        </w:rPr>
        <w:t xml:space="preserve"> Cambridge: Cambridge University Press.</w:t>
      </w:r>
    </w:p>
    <w:p w14:paraId="275C3221"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Spagnoli, Filip. 2003. </w:t>
      </w:r>
      <w:r w:rsidRPr="001D735B">
        <w:rPr>
          <w:rFonts w:asciiTheme="majorBidi" w:hAnsiTheme="majorBidi" w:cstheme="majorBidi"/>
          <w:i/>
        </w:rPr>
        <w:t xml:space="preserve">Homo </w:t>
      </w:r>
      <w:proofErr w:type="spellStart"/>
      <w:r w:rsidRPr="001D735B">
        <w:rPr>
          <w:rFonts w:asciiTheme="majorBidi" w:hAnsiTheme="majorBidi" w:cstheme="majorBidi"/>
          <w:i/>
        </w:rPr>
        <w:t>Democraticus</w:t>
      </w:r>
      <w:proofErr w:type="spellEnd"/>
      <w:r w:rsidRPr="001D735B">
        <w:rPr>
          <w:rFonts w:asciiTheme="majorBidi" w:hAnsiTheme="majorBidi" w:cstheme="majorBidi"/>
          <w:i/>
        </w:rPr>
        <w:t>: On the Universal Desirability and the Not So Universal Possibility of Democracy and Human Rights</w:t>
      </w:r>
      <w:r w:rsidRPr="001D735B">
        <w:rPr>
          <w:rFonts w:asciiTheme="majorBidi" w:hAnsiTheme="majorBidi" w:cstheme="majorBidi"/>
        </w:rPr>
        <w:t>. London: Cambridge Scholars.</w:t>
      </w:r>
    </w:p>
    <w:p w14:paraId="16FBE9C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Starr, Paul. 2003. "The President's New Crusade." </w:t>
      </w:r>
      <w:r w:rsidRPr="001D735B">
        <w:rPr>
          <w:rFonts w:asciiTheme="majorBidi" w:hAnsiTheme="majorBidi" w:cstheme="majorBidi"/>
          <w:i/>
        </w:rPr>
        <w:t>The American Prospect</w:t>
      </w:r>
      <w:r w:rsidRPr="001D735B">
        <w:rPr>
          <w:rFonts w:asciiTheme="majorBidi" w:hAnsiTheme="majorBidi" w:cstheme="majorBidi"/>
        </w:rPr>
        <w:t>, December.  (</w:t>
      </w:r>
      <w:hyperlink r:id="rId26">
        <w:r w:rsidRPr="001D735B">
          <w:rPr>
            <w:rStyle w:val="Hyperlink"/>
            <w:rFonts w:asciiTheme="majorBidi" w:hAnsiTheme="majorBidi"/>
          </w:rPr>
          <w:t>https://www.prospect.org</w:t>
        </w:r>
      </w:hyperlink>
      <w:r w:rsidRPr="001D735B">
        <w:rPr>
          <w:rFonts w:asciiTheme="majorBidi" w:hAnsiTheme="majorBidi" w:cstheme="majorBidi"/>
        </w:rPr>
        <w:t>).</w:t>
      </w:r>
    </w:p>
    <w:p w14:paraId="5943CC82"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Tilly, Charles, and Sidney Tarrow. 2006. </w:t>
      </w:r>
      <w:r w:rsidRPr="001D735B">
        <w:rPr>
          <w:rFonts w:asciiTheme="majorBidi" w:hAnsiTheme="majorBidi" w:cstheme="majorBidi"/>
          <w:i/>
          <w:iCs/>
        </w:rPr>
        <w:t>Contentious Politics.</w:t>
      </w:r>
      <w:r w:rsidRPr="001D735B">
        <w:rPr>
          <w:rFonts w:asciiTheme="majorBidi" w:hAnsiTheme="majorBidi" w:cstheme="majorBidi"/>
        </w:rPr>
        <w:t xml:space="preserve"> Boulder, CO: Paradigm Publishers.</w:t>
      </w:r>
    </w:p>
    <w:p w14:paraId="19097BE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Tilly, Charles. 2010. "War Making and State Making as Organized Crime." Pp. 1-19 in </w:t>
      </w:r>
      <w:r w:rsidRPr="001D735B">
        <w:rPr>
          <w:rFonts w:asciiTheme="majorBidi" w:hAnsiTheme="majorBidi" w:cstheme="majorBidi"/>
          <w:i/>
        </w:rPr>
        <w:t>Bringing the State Back In</w:t>
      </w:r>
      <w:r w:rsidRPr="001D735B">
        <w:rPr>
          <w:rFonts w:asciiTheme="majorBidi" w:hAnsiTheme="majorBidi" w:cstheme="majorBidi"/>
        </w:rPr>
        <w:t xml:space="preserve">, edited by Peter B. Evans, Dietrich </w:t>
      </w:r>
      <w:proofErr w:type="spellStart"/>
      <w:r w:rsidRPr="001D735B">
        <w:rPr>
          <w:rFonts w:asciiTheme="majorBidi" w:hAnsiTheme="majorBidi" w:cstheme="majorBidi"/>
        </w:rPr>
        <w:t>Rueschemeyer</w:t>
      </w:r>
      <w:proofErr w:type="spellEnd"/>
      <w:r w:rsidRPr="001D735B">
        <w:rPr>
          <w:rFonts w:asciiTheme="majorBidi" w:hAnsiTheme="majorBidi" w:cstheme="majorBidi"/>
        </w:rPr>
        <w:t xml:space="preserve">, and Theda Skocpol. Cambridge: Cambridge University Press. </w:t>
      </w:r>
      <w:hyperlink r:id="rId27">
        <w:r w:rsidRPr="001D735B">
          <w:rPr>
            <w:rStyle w:val="Hyperlink"/>
            <w:rFonts w:asciiTheme="majorBidi" w:hAnsiTheme="majorBidi"/>
          </w:rPr>
          <w:t>https://doi.org/10.1017/CBO9780511628283.008</w:t>
        </w:r>
      </w:hyperlink>
      <w:r w:rsidRPr="001D735B">
        <w:rPr>
          <w:rFonts w:asciiTheme="majorBidi" w:hAnsiTheme="majorBidi" w:cstheme="majorBidi"/>
        </w:rPr>
        <w:t>.</w:t>
      </w:r>
    </w:p>
    <w:p w14:paraId="1BE43819"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Tripp, Charles. 2007. </w:t>
      </w:r>
      <w:r w:rsidRPr="001D735B">
        <w:rPr>
          <w:rFonts w:asciiTheme="majorBidi" w:hAnsiTheme="majorBidi" w:cstheme="majorBidi"/>
          <w:i/>
          <w:iCs/>
        </w:rPr>
        <w:t>A History of Iraq.</w:t>
      </w:r>
      <w:r w:rsidRPr="001D735B">
        <w:rPr>
          <w:rFonts w:asciiTheme="majorBidi" w:hAnsiTheme="majorBidi" w:cstheme="majorBidi"/>
        </w:rPr>
        <w:t xml:space="preserve"> 3rd ed. Cambridge: Cambridge University Press.</w:t>
      </w:r>
    </w:p>
    <w:p w14:paraId="1D48DA5F"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Weber, Max. 1946. “Politics as a Vocation.” Pp. 77–128 in </w:t>
      </w:r>
      <w:r w:rsidRPr="001D735B">
        <w:rPr>
          <w:rFonts w:asciiTheme="majorBidi" w:hAnsiTheme="majorBidi" w:cstheme="majorBidi"/>
          <w:i/>
          <w:iCs/>
        </w:rPr>
        <w:t>From Max Weber: Essays in Sociology</w:t>
      </w:r>
      <w:r w:rsidRPr="001D735B">
        <w:rPr>
          <w:rFonts w:asciiTheme="majorBidi" w:hAnsiTheme="majorBidi" w:cstheme="majorBidi"/>
        </w:rPr>
        <w:t>, edited by H. H. Gerth and C. Wright Mills. New York: Oxford University Press.</w:t>
      </w:r>
    </w:p>
    <w:p w14:paraId="0EEE2656" w14:textId="77777777" w:rsidR="009F653E" w:rsidRDefault="009F653E" w:rsidP="009F653E">
      <w:pPr>
        <w:ind w:hanging="720"/>
        <w:jc w:val="both"/>
        <w:rPr>
          <w:rFonts w:asciiTheme="majorBidi" w:hAnsiTheme="majorBidi" w:cstheme="majorBidi"/>
        </w:rPr>
      </w:pPr>
      <w:r w:rsidRPr="00145CC1">
        <w:rPr>
          <w:rFonts w:asciiTheme="majorBidi" w:hAnsiTheme="majorBidi" w:cstheme="majorBidi"/>
        </w:rPr>
        <w:lastRenderedPageBreak/>
        <w:t xml:space="preserve">Weber, Max. 1946. </w:t>
      </w:r>
      <w:r w:rsidRPr="00145CC1">
        <w:rPr>
          <w:rFonts w:asciiTheme="majorBidi" w:hAnsiTheme="majorBidi" w:cstheme="majorBidi"/>
          <w:i/>
          <w:iCs/>
        </w:rPr>
        <w:t>From Max Weber: Essays in Sociology</w:t>
      </w:r>
      <w:r w:rsidRPr="00145CC1">
        <w:rPr>
          <w:rFonts w:asciiTheme="majorBidi" w:hAnsiTheme="majorBidi" w:cstheme="majorBidi"/>
        </w:rPr>
        <w:t>. Edited by H. H. Gerth and C. Wright Mills. New York: Oxford University Press.</w:t>
      </w:r>
    </w:p>
    <w:p w14:paraId="61417114"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Wenman, Mark. 2013. </w:t>
      </w:r>
      <w:r w:rsidRPr="001D735B">
        <w:rPr>
          <w:rFonts w:asciiTheme="majorBidi" w:hAnsiTheme="majorBidi" w:cstheme="majorBidi"/>
          <w:i/>
          <w:iCs/>
        </w:rPr>
        <w:t>Agonistic Democracy: Constituent Power in the Era of Globalization</w:t>
      </w:r>
      <w:r w:rsidRPr="001D735B">
        <w:rPr>
          <w:rFonts w:asciiTheme="majorBidi" w:hAnsiTheme="majorBidi" w:cstheme="majorBidi"/>
        </w:rPr>
        <w:t>. Cambridge: Cambridge University Press.</w:t>
      </w:r>
    </w:p>
    <w:p w14:paraId="269C032E" w14:textId="77777777" w:rsidR="009F653E" w:rsidRPr="001D735B" w:rsidRDefault="009F653E" w:rsidP="009F653E">
      <w:pPr>
        <w:ind w:hanging="720"/>
        <w:jc w:val="both"/>
        <w:rPr>
          <w:rFonts w:asciiTheme="majorBidi" w:hAnsiTheme="majorBidi" w:cstheme="majorBidi"/>
        </w:rPr>
      </w:pPr>
      <w:r w:rsidRPr="001D735B">
        <w:rPr>
          <w:rFonts w:asciiTheme="majorBidi" w:hAnsiTheme="majorBidi" w:cstheme="majorBidi"/>
        </w:rPr>
        <w:t xml:space="preserve">Wolin, Sheldon S. 1994. “Fugitive Democracy.” </w:t>
      </w:r>
      <w:r w:rsidRPr="001D735B">
        <w:rPr>
          <w:rFonts w:asciiTheme="majorBidi" w:hAnsiTheme="majorBidi" w:cstheme="majorBidi"/>
          <w:i/>
          <w:iCs/>
        </w:rPr>
        <w:t>Constellations</w:t>
      </w:r>
      <w:r w:rsidRPr="001D735B">
        <w:rPr>
          <w:rFonts w:asciiTheme="majorBidi" w:hAnsiTheme="majorBidi" w:cstheme="majorBidi"/>
        </w:rPr>
        <w:t xml:space="preserve"> 1(1):11–25.</w:t>
      </w:r>
    </w:p>
    <w:p w14:paraId="4A32B94D" w14:textId="6CA89A0E" w:rsidR="009F653E" w:rsidRDefault="009F653E" w:rsidP="009F653E">
      <w:pPr>
        <w:ind w:hanging="720"/>
        <w:jc w:val="both"/>
        <w:rPr>
          <w:rFonts w:asciiTheme="majorBidi" w:hAnsiTheme="majorBidi" w:cstheme="majorBidi"/>
        </w:rPr>
      </w:pPr>
      <w:r w:rsidRPr="001D735B">
        <w:rPr>
          <w:rFonts w:asciiTheme="majorBidi" w:hAnsiTheme="majorBidi" w:cstheme="majorBidi"/>
        </w:rPr>
        <w:t xml:space="preserve">Wolin, Sheldon S. 2008. </w:t>
      </w:r>
      <w:r w:rsidRPr="001D735B">
        <w:rPr>
          <w:rFonts w:asciiTheme="majorBidi" w:hAnsiTheme="majorBidi" w:cstheme="majorBidi"/>
          <w:i/>
          <w:iCs/>
        </w:rPr>
        <w:t>Democracy Incorporated: Managed Democracy and the Specter of Inverted Totalitarianism</w:t>
      </w:r>
      <w:r w:rsidRPr="001D735B">
        <w:rPr>
          <w:rFonts w:asciiTheme="majorBidi" w:hAnsiTheme="majorBidi" w:cstheme="majorBidi"/>
        </w:rPr>
        <w:t>. Princeton, NJ: Princeton University Press.</w:t>
      </w:r>
    </w:p>
    <w:p w14:paraId="1B2AF304" w14:textId="77777777" w:rsidR="009F653E" w:rsidRDefault="009F653E">
      <w:pPr>
        <w:rPr>
          <w:rFonts w:asciiTheme="majorBidi" w:hAnsiTheme="majorBidi" w:cstheme="majorBidi"/>
        </w:rPr>
      </w:pPr>
      <w:r>
        <w:rPr>
          <w:rFonts w:asciiTheme="majorBidi" w:hAnsiTheme="majorBidi" w:cstheme="majorBidi"/>
        </w:rPr>
        <w:br w:type="page"/>
      </w:r>
    </w:p>
    <w:p w14:paraId="1FFDF4E4" w14:textId="489F65E8" w:rsidR="009F653E" w:rsidRPr="00F8675A" w:rsidRDefault="009F653E" w:rsidP="00DF4585">
      <w:pPr>
        <w:pStyle w:val="Style1"/>
      </w:pPr>
      <w:bookmarkStart w:id="52" w:name="_Toc202283749"/>
      <w:r w:rsidRPr="00F8675A">
        <w:lastRenderedPageBreak/>
        <w:t>VITA</w:t>
      </w:r>
      <w:bookmarkEnd w:id="52"/>
    </w:p>
    <w:p w14:paraId="5A766247" w14:textId="3B62F226" w:rsidR="00F8675A" w:rsidRPr="00872805" w:rsidRDefault="00F8675A" w:rsidP="00194AFF">
      <w:pPr>
        <w:jc w:val="both"/>
        <w:rPr>
          <w:rFonts w:asciiTheme="majorBidi" w:hAnsiTheme="majorBidi" w:cstheme="majorBidi"/>
        </w:rPr>
      </w:pPr>
      <w:r w:rsidRPr="00F8675A">
        <w:rPr>
          <w:rFonts w:asciiTheme="majorBidi" w:hAnsiTheme="majorBidi" w:cstheme="majorBidi"/>
        </w:rPr>
        <w:t xml:space="preserve">Dler Awsman is a second-year Sociology MA student </w:t>
      </w:r>
      <w:r w:rsidR="00194AFF">
        <w:rPr>
          <w:rFonts w:asciiTheme="majorBidi" w:hAnsiTheme="majorBidi" w:cstheme="majorBidi"/>
        </w:rPr>
        <w:t xml:space="preserve">and prospective PhD student </w:t>
      </w:r>
      <w:r w:rsidRPr="00F8675A">
        <w:rPr>
          <w:rFonts w:asciiTheme="majorBidi" w:hAnsiTheme="majorBidi" w:cstheme="majorBidi"/>
        </w:rPr>
        <w:t>at UTK, hailing from northern Iraq and specializing in political economy and globalization. Before arriving in Knoxville, Dler spent two years in Italy, where he earned an International Baccalaureate (IB) from the United World College of Adriatic in 2019. He then moved to the United States and completed a BA in International Political Economy from the College of Idaho in 2023. At the age of 25, Dler lived on three continents and speaks three languages fluently.</w:t>
      </w:r>
      <w:r>
        <w:rPr>
          <w:rFonts w:asciiTheme="majorBidi" w:hAnsiTheme="majorBidi" w:cstheme="majorBidi"/>
        </w:rPr>
        <w:t xml:space="preserve"> </w:t>
      </w:r>
      <w:r w:rsidRPr="00F8675A">
        <w:rPr>
          <w:rFonts w:asciiTheme="majorBidi" w:hAnsiTheme="majorBidi" w:cstheme="majorBidi"/>
        </w:rPr>
        <w:t>His</w:t>
      </w:r>
      <w:r w:rsidR="00194AFF">
        <w:rPr>
          <w:rFonts w:asciiTheme="majorBidi" w:hAnsiTheme="majorBidi" w:cstheme="majorBidi"/>
        </w:rPr>
        <w:t xml:space="preserve"> lived experience shaped by post-2003 Iraqi politics and the Yazidi Genocide of post-2003 Iraq informs his intellectual and academic interests and commitments. His</w:t>
      </w:r>
      <w:r w:rsidRPr="00F8675A">
        <w:rPr>
          <w:rFonts w:asciiTheme="majorBidi" w:hAnsiTheme="majorBidi" w:cstheme="majorBidi"/>
        </w:rPr>
        <w:t xml:space="preserve"> research interests include</w:t>
      </w:r>
      <w:r>
        <w:rPr>
          <w:rFonts w:asciiTheme="majorBidi" w:hAnsiTheme="majorBidi" w:cstheme="majorBidi"/>
        </w:rPr>
        <w:t xml:space="preserve"> </w:t>
      </w:r>
      <w:r w:rsidR="00194AFF">
        <w:rPr>
          <w:rFonts w:asciiTheme="majorBidi" w:hAnsiTheme="majorBidi" w:cstheme="majorBidi"/>
        </w:rPr>
        <w:t>d</w:t>
      </w:r>
      <w:r>
        <w:rPr>
          <w:rFonts w:asciiTheme="majorBidi" w:hAnsiTheme="majorBidi" w:cstheme="majorBidi"/>
        </w:rPr>
        <w:t>emocracy</w:t>
      </w:r>
      <w:r w:rsidR="00194AFF">
        <w:rPr>
          <w:rFonts w:asciiTheme="majorBidi" w:hAnsiTheme="majorBidi" w:cstheme="majorBidi"/>
        </w:rPr>
        <w:t>, g</w:t>
      </w:r>
      <w:r>
        <w:rPr>
          <w:rFonts w:asciiTheme="majorBidi" w:hAnsiTheme="majorBidi" w:cstheme="majorBidi"/>
        </w:rPr>
        <w:t>overnance</w:t>
      </w:r>
      <w:r w:rsidR="00194AFF">
        <w:rPr>
          <w:rFonts w:asciiTheme="majorBidi" w:hAnsiTheme="majorBidi" w:cstheme="majorBidi"/>
        </w:rPr>
        <w:t>, and violence</w:t>
      </w:r>
      <w:r>
        <w:rPr>
          <w:rFonts w:asciiTheme="majorBidi" w:hAnsiTheme="majorBidi" w:cstheme="majorBidi"/>
        </w:rPr>
        <w:t>,</w:t>
      </w:r>
      <w:r w:rsidRPr="00F8675A">
        <w:rPr>
          <w:rFonts w:asciiTheme="majorBidi" w:hAnsiTheme="majorBidi" w:cstheme="majorBidi"/>
        </w:rPr>
        <w:t xml:space="preserve"> Middle Eastern geopolitical and religious dynamics, the political economy of post-2003 Iraq, and social conflicts and minority social movements, particularly those involving Kurds and Yazidis in contemporary Iraqi society.</w:t>
      </w:r>
    </w:p>
    <w:p w14:paraId="3397C3DD" w14:textId="77777777" w:rsidR="00F8675A" w:rsidRPr="00194AFF" w:rsidRDefault="00F8675A" w:rsidP="00DF4585">
      <w:pPr>
        <w:pStyle w:val="Style2"/>
        <w:rPr>
          <w:sz w:val="28"/>
          <w:szCs w:val="28"/>
        </w:rPr>
      </w:pPr>
      <w:bookmarkStart w:id="53" w:name="_Toc202283750"/>
      <w:r w:rsidRPr="00194AFF">
        <w:rPr>
          <w:sz w:val="28"/>
          <w:szCs w:val="28"/>
        </w:rPr>
        <w:t>A Statement on Researcher’s Positionality and Social Justice Concerns</w:t>
      </w:r>
      <w:bookmarkEnd w:id="53"/>
    </w:p>
    <w:p w14:paraId="6041D69E" w14:textId="77777777" w:rsidR="00F8675A" w:rsidRPr="00F8675A" w:rsidRDefault="00F8675A" w:rsidP="00F8675A">
      <w:pPr>
        <w:spacing w:line="240" w:lineRule="auto"/>
        <w:jc w:val="both"/>
        <w:rPr>
          <w:rFonts w:asciiTheme="majorBidi" w:hAnsiTheme="majorBidi" w:cstheme="majorBidi"/>
          <w:i/>
          <w:iCs/>
        </w:rPr>
      </w:pPr>
      <w:r w:rsidRPr="00F8675A">
        <w:rPr>
          <w:rFonts w:asciiTheme="majorBidi" w:hAnsiTheme="majorBidi" w:cstheme="majorBidi"/>
          <w:i/>
          <w:iCs/>
        </w:rPr>
        <w:t xml:space="preserve">In developing social theory and research, the biography of the researcher is very important, as their very thinking is determined by the social structures and historical epoch they grew within. As a Yazidi Iraqi born in 1999, the concerned object of analysis here is not merely abstract, but rather personal and sociologically autobiographical. </w:t>
      </w:r>
    </w:p>
    <w:p w14:paraId="58D3435D" w14:textId="77777777" w:rsidR="00F8675A" w:rsidRPr="00F8675A" w:rsidRDefault="00F8675A" w:rsidP="00F8675A">
      <w:pPr>
        <w:spacing w:line="240" w:lineRule="auto"/>
        <w:jc w:val="both"/>
        <w:rPr>
          <w:rFonts w:asciiTheme="majorBidi" w:hAnsiTheme="majorBidi" w:cstheme="majorBidi"/>
          <w:i/>
          <w:iCs/>
        </w:rPr>
      </w:pPr>
      <w:r w:rsidRPr="00F8675A">
        <w:rPr>
          <w:rFonts w:asciiTheme="majorBidi" w:hAnsiTheme="majorBidi" w:cstheme="majorBidi"/>
          <w:i/>
          <w:iCs/>
        </w:rPr>
        <w:t>I am analyzing events and social changes that I was directly impacted by and witnessed its dynamics as a member of a family that was active in the Kurdish national movements and the early civil society development in post-2003 Iraq. My father was a</w:t>
      </w:r>
      <w:r w:rsidRPr="00F8675A">
        <w:rPr>
          <w:rFonts w:asciiTheme="majorBidi" w:hAnsiTheme="majorBidi" w:cstheme="majorBidi" w:hint="cs"/>
          <w:i/>
          <w:iCs/>
          <w:rtl/>
        </w:rPr>
        <w:t xml:space="preserve"> </w:t>
      </w:r>
      <w:r w:rsidRPr="00F8675A">
        <w:rPr>
          <w:rFonts w:asciiTheme="majorBidi" w:hAnsiTheme="majorBidi" w:cstheme="majorBidi"/>
          <w:i/>
          <w:iCs/>
        </w:rPr>
        <w:t xml:space="preserve">political cadre of the </w:t>
      </w:r>
      <w:r w:rsidRPr="00F8675A">
        <w:rPr>
          <w:rFonts w:asciiTheme="majorBidi" w:hAnsiTheme="majorBidi" w:cstheme="majorBidi"/>
          <w:b/>
          <w:bCs/>
          <w:i/>
          <w:iCs/>
        </w:rPr>
        <w:t>Kurdistan Patriotic Union</w:t>
      </w:r>
      <w:r w:rsidRPr="00F8675A">
        <w:rPr>
          <w:rFonts w:asciiTheme="majorBidi" w:hAnsiTheme="majorBidi" w:cstheme="majorBidi"/>
          <w:i/>
          <w:iCs/>
        </w:rPr>
        <w:t xml:space="preserve">—which the first democratically elected Iraqi president Jalal Talabani was a part of. He also co-founded the first civil society organization in our region after the regime change, </w:t>
      </w:r>
      <w:r w:rsidRPr="00F8675A">
        <w:rPr>
          <w:rFonts w:asciiTheme="majorBidi" w:hAnsiTheme="majorBidi" w:cstheme="majorBidi"/>
          <w:b/>
          <w:bCs/>
          <w:i/>
          <w:iCs/>
        </w:rPr>
        <w:t>The Sinjar Beneficent Foundation</w:t>
      </w:r>
      <w:r w:rsidRPr="00F8675A">
        <w:rPr>
          <w:rFonts w:asciiTheme="majorBidi" w:hAnsiTheme="majorBidi" w:cstheme="majorBidi"/>
          <w:i/>
          <w:iCs/>
        </w:rPr>
        <w:t xml:space="preserve">. My uncle, Qasim Awsman, was the first Yazidi Judge to be appointed by Talabani as part of the president’s pluralistic vision of post-war Iraq. He was actively involved with the Iraqi post-war political elites and the drafting of later constitutional reforms. Shadowing the two men, gave me a deeper perspective of the inner workings of the Iraqi political dynamics and personality. </w:t>
      </w:r>
    </w:p>
    <w:p w14:paraId="3BCC2A11" w14:textId="77777777" w:rsidR="00F8675A" w:rsidRPr="00F8675A" w:rsidRDefault="00F8675A" w:rsidP="00F8675A">
      <w:pPr>
        <w:spacing w:line="240" w:lineRule="auto"/>
        <w:jc w:val="both"/>
        <w:rPr>
          <w:rFonts w:asciiTheme="majorBidi" w:hAnsiTheme="majorBidi" w:cstheme="majorBidi"/>
          <w:i/>
          <w:iCs/>
        </w:rPr>
      </w:pPr>
      <w:r w:rsidRPr="00F8675A">
        <w:rPr>
          <w:rFonts w:asciiTheme="majorBidi" w:hAnsiTheme="majorBidi" w:cstheme="majorBidi"/>
          <w:i/>
          <w:iCs/>
        </w:rPr>
        <w:t xml:space="preserve">On the other hand, I have spent my late teenage years and early twenties in the Western academic echelons. From </w:t>
      </w:r>
      <w:r w:rsidRPr="00F8675A">
        <w:rPr>
          <w:rFonts w:asciiTheme="majorBidi" w:hAnsiTheme="majorBidi" w:cstheme="majorBidi"/>
          <w:b/>
          <w:bCs/>
          <w:i/>
          <w:iCs/>
        </w:rPr>
        <w:t>the United World College of Adriatic</w:t>
      </w:r>
      <w:r w:rsidRPr="00F8675A">
        <w:rPr>
          <w:rFonts w:asciiTheme="majorBidi" w:hAnsiTheme="majorBidi" w:cstheme="majorBidi"/>
          <w:i/>
          <w:iCs/>
        </w:rPr>
        <w:t xml:space="preserve"> in Italy to the Liberal Arts education at the </w:t>
      </w:r>
      <w:r w:rsidRPr="00F8675A">
        <w:rPr>
          <w:rFonts w:asciiTheme="majorBidi" w:hAnsiTheme="majorBidi" w:cstheme="majorBidi"/>
          <w:b/>
          <w:bCs/>
          <w:i/>
          <w:iCs/>
        </w:rPr>
        <w:t>College of Idaho</w:t>
      </w:r>
      <w:r w:rsidRPr="00F8675A">
        <w:rPr>
          <w:rFonts w:asciiTheme="majorBidi" w:hAnsiTheme="majorBidi" w:cstheme="majorBidi"/>
          <w:i/>
          <w:iCs/>
        </w:rPr>
        <w:t xml:space="preserve">, to the R1 </w:t>
      </w:r>
      <w:r w:rsidRPr="00F8675A">
        <w:rPr>
          <w:rFonts w:asciiTheme="majorBidi" w:hAnsiTheme="majorBidi" w:cstheme="majorBidi"/>
          <w:b/>
          <w:bCs/>
          <w:i/>
          <w:iCs/>
        </w:rPr>
        <w:t>University of Tennessee</w:t>
      </w:r>
      <w:r w:rsidRPr="00F8675A">
        <w:rPr>
          <w:rFonts w:asciiTheme="majorBidi" w:hAnsiTheme="majorBidi" w:cstheme="majorBidi"/>
          <w:i/>
          <w:iCs/>
        </w:rPr>
        <w:t xml:space="preserve">, I have been able to experience and critically interact with the West, its thought and history, its traditions, its flaws, and its perception of itself and the other. It is in the comparative bridge between the two worlds, civilizations, and histories, where I believe universal truths and consistent social problems can be unraveled. </w:t>
      </w:r>
    </w:p>
    <w:p w14:paraId="489D44D1" w14:textId="0DCC62DD" w:rsidR="0021551D" w:rsidRPr="00B82A3C" w:rsidRDefault="00F8675A" w:rsidP="00B82A3C">
      <w:pPr>
        <w:spacing w:line="240" w:lineRule="auto"/>
        <w:jc w:val="both"/>
        <w:rPr>
          <w:rFonts w:asciiTheme="majorBidi" w:hAnsiTheme="majorBidi" w:cstheme="majorBidi"/>
          <w:i/>
          <w:iCs/>
        </w:rPr>
      </w:pPr>
      <w:r w:rsidRPr="00F8675A">
        <w:rPr>
          <w:rFonts w:asciiTheme="majorBidi" w:hAnsiTheme="majorBidi" w:cstheme="majorBidi"/>
          <w:i/>
          <w:iCs/>
        </w:rPr>
        <w:t xml:space="preserve">To add to that, every science has a direction, and that of sociology is arguably social justice in the most ambiguous definition of the word. In that sense, this research has an orientation toward social justice in two important ways. First, it wants to give a language to the ambiguous social reality that Iraqi social movements and activists are struggling against. Second, it contributes to humanity's need for cross-civilizational understanding and communication. </w:t>
      </w:r>
    </w:p>
    <w:sectPr w:rsidR="0021551D" w:rsidRPr="00B82A3C" w:rsidSect="00EA7DB2">
      <w:pgSz w:w="12240" w:h="15840"/>
      <w:pgMar w:top="1440" w:right="1440" w:bottom="1440" w:left="1440"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98AA9" w14:textId="77777777" w:rsidR="00E57B6C" w:rsidRDefault="00E57B6C" w:rsidP="0021551D">
      <w:pPr>
        <w:spacing w:after="0" w:line="240" w:lineRule="auto"/>
      </w:pPr>
      <w:r>
        <w:separator/>
      </w:r>
    </w:p>
  </w:endnote>
  <w:endnote w:type="continuationSeparator" w:id="0">
    <w:p w14:paraId="59DE6688" w14:textId="77777777" w:rsidR="00E57B6C" w:rsidRDefault="00E57B6C" w:rsidP="00215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047251"/>
      <w:docPartObj>
        <w:docPartGallery w:val="Page Numbers (Bottom of Page)"/>
        <w:docPartUnique/>
      </w:docPartObj>
    </w:sdtPr>
    <w:sdtEndPr>
      <w:rPr>
        <w:noProof/>
      </w:rPr>
    </w:sdtEndPr>
    <w:sdtContent>
      <w:p w14:paraId="76E7D2DA" w14:textId="13F65169" w:rsidR="000C1B97" w:rsidRDefault="000C1B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7418F8" w14:textId="77777777" w:rsidR="000C1B97" w:rsidRDefault="000C1B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006535"/>
      <w:docPartObj>
        <w:docPartGallery w:val="Page Numbers (Bottom of Page)"/>
        <w:docPartUnique/>
      </w:docPartObj>
    </w:sdtPr>
    <w:sdtEndPr>
      <w:rPr>
        <w:noProof/>
      </w:rPr>
    </w:sdtEndPr>
    <w:sdtContent>
      <w:p w14:paraId="1AD58A4D" w14:textId="70BF77EB" w:rsidR="00EA7DB2" w:rsidRDefault="00EA7D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370601" w14:textId="0AEE3DA4" w:rsidR="00EA7DB2" w:rsidRDefault="00EA7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692D" w14:textId="77777777" w:rsidR="00E57B6C" w:rsidRDefault="00E57B6C" w:rsidP="0021551D">
      <w:pPr>
        <w:spacing w:after="0" w:line="240" w:lineRule="auto"/>
      </w:pPr>
      <w:r>
        <w:separator/>
      </w:r>
    </w:p>
  </w:footnote>
  <w:footnote w:type="continuationSeparator" w:id="0">
    <w:p w14:paraId="1C21425B" w14:textId="77777777" w:rsidR="00E57B6C" w:rsidRDefault="00E57B6C" w:rsidP="0021551D">
      <w:pPr>
        <w:spacing w:after="0" w:line="240" w:lineRule="auto"/>
      </w:pPr>
      <w:r>
        <w:continuationSeparator/>
      </w:r>
    </w:p>
  </w:footnote>
  <w:footnote w:id="1">
    <w:p w14:paraId="41B9FC76" w14:textId="77777777" w:rsidR="0021551D" w:rsidRPr="00D86E0C" w:rsidRDefault="0021551D" w:rsidP="0021551D">
      <w:pPr>
        <w:pStyle w:val="FootnoteText"/>
        <w:rPr>
          <w:rFonts w:asciiTheme="majorBidi" w:hAnsiTheme="majorBidi" w:cstheme="majorBidi"/>
        </w:rPr>
      </w:pPr>
      <w:r w:rsidRPr="00D86E0C">
        <w:rPr>
          <w:rStyle w:val="FootnoteReference"/>
          <w:rFonts w:asciiTheme="majorBidi" w:hAnsiTheme="majorBidi" w:cstheme="majorBidi"/>
        </w:rPr>
        <w:footnoteRef/>
      </w:r>
      <w:r w:rsidRPr="00D86E0C">
        <w:rPr>
          <w:rFonts w:asciiTheme="majorBidi" w:hAnsiTheme="majorBidi" w:cstheme="majorBidi"/>
        </w:rPr>
        <w:t xml:space="preserve"> Transregional Center for Democratic Studies. "Mission." The New School for Social Research. Accessed June 4, 2025. https://blogs.newschool.edu/tcds/about/tcds-home/</w:t>
      </w:r>
    </w:p>
  </w:footnote>
  <w:footnote w:id="2">
    <w:p w14:paraId="1717256B" w14:textId="77777777" w:rsidR="0021551D" w:rsidRPr="00D86E0C" w:rsidRDefault="0021551D" w:rsidP="0021551D">
      <w:pPr>
        <w:pStyle w:val="FootnoteText"/>
        <w:rPr>
          <w:rFonts w:asciiTheme="majorBidi" w:hAnsiTheme="majorBidi" w:cstheme="majorBidi"/>
        </w:rPr>
      </w:pPr>
      <w:r w:rsidRPr="00D86E0C">
        <w:rPr>
          <w:rStyle w:val="FootnoteReference"/>
          <w:rFonts w:asciiTheme="majorBidi" w:hAnsiTheme="majorBidi" w:cstheme="majorBidi"/>
        </w:rPr>
        <w:footnoteRef/>
      </w:r>
      <w:r w:rsidRPr="00D86E0C">
        <w:rPr>
          <w:rFonts w:asciiTheme="majorBidi" w:hAnsiTheme="majorBidi" w:cstheme="majorBidi"/>
        </w:rPr>
        <w:t xml:space="preserve"> Rutgers University–Newark. 2025. “Critical Studies of Iraq.” </w:t>
      </w:r>
      <w:r w:rsidRPr="00D86E0C">
        <w:rPr>
          <w:rFonts w:asciiTheme="majorBidi" w:hAnsiTheme="majorBidi" w:cstheme="majorBidi"/>
          <w:i/>
          <w:iCs/>
        </w:rPr>
        <w:t>School of Arts and Sciences–Newark</w:t>
      </w:r>
      <w:r w:rsidRPr="00D86E0C">
        <w:rPr>
          <w:rFonts w:asciiTheme="majorBidi" w:hAnsiTheme="majorBidi" w:cstheme="majorBidi"/>
        </w:rPr>
        <w:t xml:space="preserve">. Accessed June 3, 2025. </w:t>
      </w:r>
      <w:hyperlink r:id="rId1" w:tgtFrame="_new" w:history="1">
        <w:r w:rsidRPr="00D86E0C">
          <w:rPr>
            <w:rStyle w:val="Hyperlink"/>
            <w:rFonts w:asciiTheme="majorBidi" w:hAnsiTheme="majorBidi" w:cstheme="majorBidi"/>
          </w:rPr>
          <w:t>https://sasn.rutgers.edu/critical-studies-iraq</w:t>
        </w:r>
      </w:hyperlink>
      <w:r w:rsidRPr="00D86E0C">
        <w:rPr>
          <w:rFonts w:asciiTheme="majorBidi" w:hAnsiTheme="majorBidi" w:cstheme="majorBidi"/>
        </w:rPr>
        <w:t>.</w:t>
      </w:r>
    </w:p>
  </w:footnote>
  <w:footnote w:id="3">
    <w:p w14:paraId="6E033895" w14:textId="77777777" w:rsidR="0021551D" w:rsidRPr="00437F16" w:rsidRDefault="0021551D" w:rsidP="0021551D">
      <w:pPr>
        <w:pStyle w:val="FootnoteText"/>
        <w:rPr>
          <w:rFonts w:ascii="Cambria" w:hAnsi="Cambria"/>
        </w:rPr>
      </w:pPr>
      <w:r w:rsidRPr="00437F16">
        <w:rPr>
          <w:rStyle w:val="FootnoteReference"/>
          <w:rFonts w:ascii="Cambria" w:hAnsi="Cambria"/>
        </w:rPr>
        <w:footnoteRef/>
      </w:r>
      <w:r w:rsidRPr="00437F16">
        <w:rPr>
          <w:rFonts w:ascii="Cambria" w:hAnsi="Cambria"/>
        </w:rPr>
        <w:t xml:space="preserve"> </w:t>
      </w:r>
      <w:r w:rsidRPr="00996206">
        <w:rPr>
          <w:rFonts w:asciiTheme="majorBidi" w:hAnsiTheme="majorBidi" w:cstheme="majorBidi"/>
        </w:rPr>
        <w:t>Rutgers University–Newark</w:t>
      </w:r>
    </w:p>
  </w:footnote>
  <w:footnote w:id="4">
    <w:p w14:paraId="19AF3EA4" w14:textId="3784C2DA" w:rsidR="00302E77" w:rsidRDefault="00302E77">
      <w:pPr>
        <w:pStyle w:val="FootnoteText"/>
      </w:pPr>
      <w:r>
        <w:rPr>
          <w:rStyle w:val="FootnoteReference"/>
        </w:rPr>
        <w:footnoteRef/>
      </w:r>
      <w:r>
        <w:t xml:space="preserve"> The point that elites exist outside of the political realm of society is compatible to the American-Leftist that will be discussed later.</w:t>
      </w:r>
    </w:p>
  </w:footnote>
  <w:footnote w:id="5">
    <w:p w14:paraId="7A510CB7" w14:textId="77777777" w:rsidR="00BC538C" w:rsidRDefault="00BC538C" w:rsidP="00BC538C">
      <w:pPr>
        <w:pStyle w:val="FootnoteText"/>
      </w:pPr>
      <w:r>
        <w:rPr>
          <w:rStyle w:val="FootnoteReference"/>
        </w:rPr>
        <w:footnoteRef/>
      </w:r>
      <w:r>
        <w:t xml:space="preserve"> </w:t>
      </w:r>
      <w:r w:rsidRPr="00B90DED">
        <w:t xml:space="preserve">Charles Tripp, </w:t>
      </w:r>
      <w:r w:rsidRPr="00B90DED">
        <w:rPr>
          <w:i/>
          <w:iCs/>
        </w:rPr>
        <w:t>A History of Iraq</w:t>
      </w:r>
      <w:r w:rsidRPr="00B90DED">
        <w:t>, 3rd ed. (Cambridge: Cambridge University Press, 2007)</w:t>
      </w:r>
      <w:r>
        <w:t>, 1-7</w:t>
      </w:r>
      <w:r w:rsidRPr="00B90DED">
        <w:t>.</w:t>
      </w:r>
    </w:p>
  </w:footnote>
  <w:footnote w:id="6">
    <w:p w14:paraId="1261C7DD" w14:textId="77777777" w:rsidR="00BC538C" w:rsidRDefault="00BC538C" w:rsidP="00BC538C">
      <w:pPr>
        <w:pStyle w:val="FootnoteText"/>
      </w:pPr>
      <w:r>
        <w:rPr>
          <w:rStyle w:val="FootnoteReference"/>
        </w:rPr>
        <w:footnoteRef/>
      </w:r>
      <w:r>
        <w:t xml:space="preserve"> </w:t>
      </w:r>
      <w:r w:rsidRPr="00B90DED">
        <w:t>Tripp</w:t>
      </w:r>
      <w:r>
        <w:t>, 1-7.</w:t>
      </w:r>
    </w:p>
  </w:footnote>
  <w:footnote w:id="7">
    <w:p w14:paraId="4C3D14AB" w14:textId="77777777" w:rsidR="00BC538C" w:rsidRDefault="00BC538C" w:rsidP="00BC538C">
      <w:pPr>
        <w:pStyle w:val="FootnoteText"/>
      </w:pPr>
      <w:r>
        <w:rPr>
          <w:rStyle w:val="FootnoteReference"/>
        </w:rPr>
        <w:footnoteRef/>
      </w:r>
      <w:r>
        <w:t xml:space="preserve"> </w:t>
      </w:r>
      <w:r w:rsidRPr="00B90DED">
        <w:t>Tripp</w:t>
      </w:r>
      <w:r>
        <w:t xml:space="preserve"> 76-77</w:t>
      </w:r>
    </w:p>
  </w:footnote>
  <w:footnote w:id="8">
    <w:p w14:paraId="5E4EC47A" w14:textId="77777777" w:rsidR="00BC538C" w:rsidRDefault="00BC538C" w:rsidP="00BC538C">
      <w:pPr>
        <w:pStyle w:val="FootnoteText"/>
      </w:pPr>
      <w:r>
        <w:rPr>
          <w:rStyle w:val="FootnoteReference"/>
        </w:rPr>
        <w:footnoteRef/>
      </w:r>
      <w:r>
        <w:t xml:space="preserve"> </w:t>
      </w:r>
      <w:r w:rsidRPr="00B90DED">
        <w:t>Tripp</w:t>
      </w:r>
      <w:r>
        <w:t>, 4</w:t>
      </w:r>
    </w:p>
  </w:footnote>
  <w:footnote w:id="9">
    <w:p w14:paraId="0ED46CCA" w14:textId="77777777" w:rsidR="00BC538C" w:rsidRDefault="00BC538C" w:rsidP="00BC538C">
      <w:pPr>
        <w:pStyle w:val="FootnoteText"/>
      </w:pPr>
      <w:r>
        <w:rPr>
          <w:rStyle w:val="FootnoteReference"/>
        </w:rPr>
        <w:footnoteRef/>
      </w:r>
      <w:r>
        <w:t xml:space="preserve"> </w:t>
      </w:r>
      <w:r w:rsidRPr="00B90DED">
        <w:t>Tripp</w:t>
      </w:r>
      <w:r>
        <w:t>, 1</w:t>
      </w:r>
    </w:p>
  </w:footnote>
  <w:footnote w:id="10">
    <w:p w14:paraId="065E4D84" w14:textId="77777777" w:rsidR="00BC538C" w:rsidRDefault="00BC538C" w:rsidP="00BC538C">
      <w:pPr>
        <w:pStyle w:val="FootnoteText"/>
      </w:pPr>
      <w:r>
        <w:rPr>
          <w:rStyle w:val="FootnoteReference"/>
        </w:rPr>
        <w:footnoteRef/>
      </w:r>
      <w:r>
        <w:t xml:space="preserve"> T</w:t>
      </w:r>
      <w:r w:rsidRPr="0079770F">
        <w:t xml:space="preserve">homas L. Friedman. 2025. "How to Tell That the Chain Saw Is Coming for America." </w:t>
      </w:r>
      <w:r w:rsidRPr="0079770F">
        <w:rPr>
          <w:i/>
          <w:iCs/>
        </w:rPr>
        <w:t>The New York Times</w:t>
      </w:r>
      <w:r w:rsidRPr="0079770F">
        <w:t>, March 5. Retrieved March 5, 2025 (</w:t>
      </w:r>
      <w:hyperlink r:id="rId2" w:tgtFrame="_new" w:history="1">
        <w:r w:rsidRPr="0079770F">
          <w:rPr>
            <w:rStyle w:val="Hyperlink"/>
          </w:rPr>
          <w:t>https://www.nytimes.com/2025/03/05/opinion/trump-musk-ukraine-iraq.html?smid=wa-share</w:t>
        </w:r>
      </w:hyperlink>
      <w:r w:rsidRPr="0079770F">
        <w:t>).</w:t>
      </w:r>
    </w:p>
  </w:footnote>
  <w:footnote w:id="11">
    <w:p w14:paraId="79F55624" w14:textId="71717363" w:rsidR="001C71F6" w:rsidRPr="002E4B39" w:rsidRDefault="001C71F6" w:rsidP="001C71F6">
      <w:pPr>
        <w:pStyle w:val="FootnoteText"/>
        <w:rPr>
          <w:rFonts w:asciiTheme="majorBidi" w:hAnsiTheme="majorBidi" w:cstheme="majorBidi"/>
        </w:rPr>
      </w:pPr>
      <w:r w:rsidRPr="002E4B39">
        <w:rPr>
          <w:rStyle w:val="FootnoteReference"/>
          <w:rFonts w:asciiTheme="majorBidi" w:hAnsiTheme="majorBidi" w:cstheme="majorBidi"/>
        </w:rPr>
        <w:footnoteRef/>
      </w:r>
      <w:r w:rsidRPr="002E4B39">
        <w:rPr>
          <w:rFonts w:asciiTheme="majorBidi" w:hAnsiTheme="majorBidi" w:cstheme="majorBidi"/>
        </w:rPr>
        <w:t xml:space="preserve">  "Consociation" is a familiar concept in political science and refers to "A political arrangement in which various groups, such as ethnic or racial populations within a country or region, share power according to an agreed formula or mechanism.</w:t>
      </w:r>
      <w:r w:rsidR="002E4B39">
        <w:rPr>
          <w:rFonts w:asciiTheme="majorBidi" w:hAnsiTheme="majorBidi" w:cstheme="majorBidi"/>
        </w:rPr>
        <w:t>”</w:t>
      </w:r>
      <w:r w:rsidR="002E4B39" w:rsidRPr="002E4B39">
        <w:rPr>
          <w:rFonts w:asciiTheme="majorBidi" w:hAnsiTheme="majorBidi" w:cstheme="majorBidi"/>
        </w:rPr>
        <w:t xml:space="preserve"> See The</w:t>
      </w:r>
      <w:r w:rsidRPr="002E4B39">
        <w:rPr>
          <w:rFonts w:asciiTheme="majorBidi" w:hAnsiTheme="majorBidi" w:cstheme="majorBidi"/>
        </w:rPr>
        <w:t xml:space="preserve"> American Heritage Dictionary of the English Language, 5th Edition.</w:t>
      </w:r>
    </w:p>
  </w:footnote>
  <w:footnote w:id="12">
    <w:p w14:paraId="39239261" w14:textId="77777777" w:rsidR="0068189E" w:rsidRDefault="0068189E" w:rsidP="0068189E">
      <w:pPr>
        <w:widowControl w:val="0"/>
        <w:pBdr>
          <w:top w:val="nil"/>
          <w:left w:val="nil"/>
          <w:bottom w:val="nil"/>
          <w:right w:val="nil"/>
          <w:between w:val="nil"/>
        </w:pBdr>
        <w:spacing w:after="0" w:line="240" w:lineRule="auto"/>
        <w:rPr>
          <w:color w:val="000000"/>
          <w:sz w:val="16"/>
          <w:szCs w:val="16"/>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6"/>
          <w:szCs w:val="16"/>
        </w:rPr>
        <w:t xml:space="preserve">Ronald W. Cox, "Corporate Interests and U.S. Foreign Policy," in </w:t>
      </w:r>
      <w:r>
        <w:rPr>
          <w:rFonts w:ascii="Times New Roman" w:eastAsia="Times New Roman" w:hAnsi="Times New Roman" w:cs="Times New Roman"/>
          <w:i/>
          <w:color w:val="000000"/>
          <w:sz w:val="16"/>
          <w:szCs w:val="16"/>
        </w:rPr>
        <w:t>Studying the Power Elite: 50 Years of Who Rules America</w:t>
      </w:r>
      <w:r>
        <w:rPr>
          <w:rFonts w:ascii="Times New Roman" w:eastAsia="Times New Roman" w:hAnsi="Times New Roman" w:cs="Times New Roman"/>
          <w:color w:val="000000"/>
          <w:sz w:val="16"/>
          <w:szCs w:val="16"/>
        </w:rPr>
        <w:t>, ed. G. William Domhoff (New York: Routledge, 2017), 126-142.</w:t>
      </w:r>
    </w:p>
  </w:footnote>
  <w:footnote w:id="13">
    <w:p w14:paraId="24B35840"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Kenneth Andres, "The American War on Iraq: The Failure of the Neoconservative Ideal and the Triumph of Political Realism," </w:t>
      </w:r>
      <w:r>
        <w:rPr>
          <w:rFonts w:ascii="Times New Roman" w:eastAsia="Times New Roman" w:hAnsi="Times New Roman" w:cs="Times New Roman"/>
          <w:i/>
          <w:color w:val="000000"/>
          <w:sz w:val="16"/>
          <w:szCs w:val="16"/>
        </w:rPr>
        <w:t>Medium</w:t>
      </w:r>
      <w:r>
        <w:rPr>
          <w:rFonts w:ascii="Times New Roman" w:eastAsia="Times New Roman" w:hAnsi="Times New Roman" w:cs="Times New Roman"/>
          <w:color w:val="000000"/>
          <w:sz w:val="16"/>
          <w:szCs w:val="16"/>
        </w:rPr>
        <w:t xml:space="preserve">, February 10, 2019, </w:t>
      </w:r>
      <w:hyperlink r:id="rId3">
        <w:r>
          <w:rPr>
            <w:rFonts w:ascii="Times New Roman" w:eastAsia="Times New Roman" w:hAnsi="Times New Roman" w:cs="Times New Roman"/>
            <w:color w:val="467886"/>
            <w:sz w:val="16"/>
            <w:szCs w:val="16"/>
            <w:u w:val="single"/>
          </w:rPr>
          <w:t>https://medium.com/@kennethandres/the-american-war-on-iraq-the-failure-of-the-neoconservative-ideal-and-the-triumph-of-political-5c9047cf615c</w:t>
        </w:r>
      </w:hyperlink>
      <w:r>
        <w:rPr>
          <w:rFonts w:ascii="Times New Roman" w:eastAsia="Times New Roman" w:hAnsi="Times New Roman" w:cs="Times New Roman"/>
          <w:color w:val="000000"/>
          <w:sz w:val="16"/>
          <w:szCs w:val="16"/>
        </w:rPr>
        <w:t xml:space="preserve">. </w:t>
      </w:r>
    </w:p>
  </w:footnote>
  <w:footnote w:id="14">
    <w:p w14:paraId="0F4D4DE5"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John J. Mearsheimer and Stephen M. Walt, The Israel Lobby and U.S. Foreign Policy (New York: Farrar, Straus and Giroux, 2007), 8.</w:t>
      </w:r>
    </w:p>
  </w:footnote>
  <w:footnote w:id="15">
    <w:p w14:paraId="23B1F7FA"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Alshaibi</w:t>
      </w:r>
      <w:proofErr w:type="spellEnd"/>
      <w:r>
        <w:rPr>
          <w:rFonts w:ascii="Times New Roman" w:eastAsia="Times New Roman" w:hAnsi="Times New Roman" w:cs="Times New Roman"/>
          <w:color w:val="000000"/>
          <w:sz w:val="16"/>
          <w:szCs w:val="16"/>
        </w:rPr>
        <w:t xml:space="preserve">, Wisam. 2024. “The Anatomy of Regime Change: Transnational Political Opposition and Domestic Foreign Policy Elites in the Making of US Foreign Policy on Iraq.” </w:t>
      </w:r>
      <w:r>
        <w:rPr>
          <w:rFonts w:ascii="Times New Roman" w:eastAsia="Times New Roman" w:hAnsi="Times New Roman" w:cs="Times New Roman"/>
          <w:i/>
          <w:color w:val="000000"/>
          <w:sz w:val="16"/>
          <w:szCs w:val="16"/>
        </w:rPr>
        <w:t>American Journal of Sociology</w:t>
      </w:r>
      <w:r>
        <w:rPr>
          <w:rFonts w:ascii="Times New Roman" w:eastAsia="Times New Roman" w:hAnsi="Times New Roman" w:cs="Times New Roman"/>
          <w:color w:val="000000"/>
          <w:sz w:val="16"/>
          <w:szCs w:val="16"/>
        </w:rPr>
        <w:t xml:space="preserve"> 130(6):539–594. https://doi.org/10.1086/732155.</w:t>
      </w:r>
    </w:p>
  </w:footnote>
  <w:footnote w:id="16">
    <w:p w14:paraId="7D82E49E"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Francis Fukuyama, </w:t>
      </w:r>
      <w:r>
        <w:rPr>
          <w:rFonts w:ascii="Times New Roman" w:eastAsia="Times New Roman" w:hAnsi="Times New Roman" w:cs="Times New Roman"/>
          <w:i/>
          <w:color w:val="000000"/>
          <w:sz w:val="16"/>
          <w:szCs w:val="16"/>
        </w:rPr>
        <w:t>The End of History and the Last Man</w:t>
      </w:r>
      <w:r>
        <w:rPr>
          <w:rFonts w:ascii="Times New Roman" w:eastAsia="Times New Roman" w:hAnsi="Times New Roman" w:cs="Times New Roman"/>
          <w:color w:val="000000"/>
          <w:sz w:val="16"/>
          <w:szCs w:val="16"/>
        </w:rPr>
        <w:t xml:space="preserve"> (New York: Free Press, 1992). </w:t>
      </w:r>
    </w:p>
  </w:footnote>
  <w:footnote w:id="17">
    <w:p w14:paraId="21898773"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Filip Spagnoli, </w:t>
      </w:r>
      <w:r>
        <w:rPr>
          <w:rFonts w:ascii="Times New Roman" w:eastAsia="Times New Roman" w:hAnsi="Times New Roman" w:cs="Times New Roman"/>
          <w:i/>
          <w:color w:val="000000"/>
          <w:sz w:val="16"/>
          <w:szCs w:val="16"/>
        </w:rPr>
        <w:t xml:space="preserve">Homo </w:t>
      </w:r>
      <w:proofErr w:type="spellStart"/>
      <w:r>
        <w:rPr>
          <w:rFonts w:ascii="Times New Roman" w:eastAsia="Times New Roman" w:hAnsi="Times New Roman" w:cs="Times New Roman"/>
          <w:i/>
          <w:color w:val="000000"/>
          <w:sz w:val="16"/>
          <w:szCs w:val="16"/>
        </w:rPr>
        <w:t>Democraticus</w:t>
      </w:r>
      <w:proofErr w:type="spellEnd"/>
      <w:r>
        <w:rPr>
          <w:rFonts w:ascii="Times New Roman" w:eastAsia="Times New Roman" w:hAnsi="Times New Roman" w:cs="Times New Roman"/>
          <w:i/>
          <w:color w:val="000000"/>
          <w:sz w:val="16"/>
          <w:szCs w:val="16"/>
        </w:rPr>
        <w:t>: On the Universal Desirability and the Not So Universal Possibility of Democracy and Human Rights</w:t>
      </w:r>
      <w:r>
        <w:rPr>
          <w:rFonts w:ascii="Times New Roman" w:eastAsia="Times New Roman" w:hAnsi="Times New Roman" w:cs="Times New Roman"/>
          <w:color w:val="000000"/>
          <w:sz w:val="16"/>
          <w:szCs w:val="16"/>
        </w:rPr>
        <w:t xml:space="preserve"> (London: Cambridge Scholars, 2003).</w:t>
      </w:r>
    </w:p>
  </w:footnote>
  <w:footnote w:id="18">
    <w:p w14:paraId="341DF89B"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Paul Starr, "The President's New Crusade," </w:t>
      </w:r>
      <w:r>
        <w:rPr>
          <w:rFonts w:ascii="Times New Roman" w:eastAsia="Times New Roman" w:hAnsi="Times New Roman" w:cs="Times New Roman"/>
          <w:i/>
          <w:color w:val="000000"/>
          <w:sz w:val="16"/>
          <w:szCs w:val="16"/>
        </w:rPr>
        <w:t>The American Prospect</w:t>
      </w:r>
      <w:r>
        <w:rPr>
          <w:rFonts w:ascii="Times New Roman" w:eastAsia="Times New Roman" w:hAnsi="Times New Roman" w:cs="Times New Roman"/>
          <w:color w:val="000000"/>
          <w:sz w:val="16"/>
          <w:szCs w:val="16"/>
        </w:rPr>
        <w:t xml:space="preserve">, December 2003, </w:t>
      </w:r>
      <w:hyperlink r:id="rId4">
        <w:r>
          <w:rPr>
            <w:rFonts w:ascii="Times New Roman" w:eastAsia="Times New Roman" w:hAnsi="Times New Roman" w:cs="Times New Roman"/>
            <w:color w:val="467886"/>
            <w:sz w:val="16"/>
            <w:szCs w:val="16"/>
            <w:u w:val="single"/>
          </w:rPr>
          <w:t>https://www.prospect.org</w:t>
        </w:r>
      </w:hyperlink>
      <w:r>
        <w:rPr>
          <w:rFonts w:ascii="Times New Roman" w:eastAsia="Times New Roman" w:hAnsi="Times New Roman" w:cs="Times New Roman"/>
          <w:color w:val="000000"/>
          <w:sz w:val="16"/>
          <w:szCs w:val="16"/>
        </w:rPr>
        <w:t>.</w:t>
      </w:r>
    </w:p>
  </w:footnote>
  <w:footnote w:id="19">
    <w:p w14:paraId="7CD72420"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16"/>
          <w:szCs w:val="16"/>
        </w:rPr>
        <w:t xml:space="preserve"> Francis Fukuyama</w:t>
      </w:r>
    </w:p>
  </w:footnote>
  <w:footnote w:id="20">
    <w:p w14:paraId="6491ED50"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Fukuyama</w:t>
      </w:r>
    </w:p>
  </w:footnote>
  <w:footnote w:id="21">
    <w:p w14:paraId="4D4A027C"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Robert A. Dahl, </w:t>
      </w:r>
      <w:r>
        <w:rPr>
          <w:rFonts w:ascii="Times New Roman" w:eastAsia="Times New Roman" w:hAnsi="Times New Roman" w:cs="Times New Roman"/>
          <w:i/>
          <w:color w:val="000000"/>
          <w:sz w:val="16"/>
          <w:szCs w:val="16"/>
        </w:rPr>
        <w:t>Democracy and Its Critics</w:t>
      </w:r>
      <w:r>
        <w:rPr>
          <w:rFonts w:ascii="Times New Roman" w:eastAsia="Times New Roman" w:hAnsi="Times New Roman" w:cs="Times New Roman"/>
          <w:color w:val="000000"/>
          <w:sz w:val="16"/>
          <w:szCs w:val="16"/>
        </w:rPr>
        <w:t xml:space="preserve"> (New Haven: Yale University Press, 1989).</w:t>
      </w:r>
    </w:p>
  </w:footnote>
  <w:footnote w:id="22">
    <w:p w14:paraId="2B4E2285"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Michael W. Doyle, "Liberalism and World Politics," </w:t>
      </w:r>
      <w:r>
        <w:rPr>
          <w:rFonts w:ascii="Times New Roman" w:eastAsia="Times New Roman" w:hAnsi="Times New Roman" w:cs="Times New Roman"/>
          <w:i/>
          <w:color w:val="000000"/>
          <w:sz w:val="16"/>
          <w:szCs w:val="16"/>
        </w:rPr>
        <w:t>The American Political Science Review</w:t>
      </w:r>
      <w:r>
        <w:rPr>
          <w:rFonts w:ascii="Times New Roman" w:eastAsia="Times New Roman" w:hAnsi="Times New Roman" w:cs="Times New Roman"/>
          <w:color w:val="000000"/>
          <w:sz w:val="16"/>
          <w:szCs w:val="16"/>
        </w:rPr>
        <w:t xml:space="preserve"> 80, no. 4 (1986): 1151-1169.</w:t>
      </w:r>
    </w:p>
  </w:footnote>
  <w:footnote w:id="23">
    <w:p w14:paraId="6F8F0920"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Milton Friedman, </w:t>
      </w:r>
      <w:r>
        <w:rPr>
          <w:rFonts w:ascii="Times New Roman" w:eastAsia="Times New Roman" w:hAnsi="Times New Roman" w:cs="Times New Roman"/>
          <w:i/>
          <w:color w:val="000000"/>
          <w:sz w:val="16"/>
          <w:szCs w:val="16"/>
        </w:rPr>
        <w:t>Capitalism and Freedom</w:t>
      </w:r>
      <w:r>
        <w:rPr>
          <w:rFonts w:ascii="Times New Roman" w:eastAsia="Times New Roman" w:hAnsi="Times New Roman" w:cs="Times New Roman"/>
          <w:color w:val="000000"/>
          <w:sz w:val="16"/>
          <w:szCs w:val="16"/>
        </w:rPr>
        <w:t xml:space="preserve"> (Chicago: University of Chicago Press, 1962).</w:t>
      </w:r>
    </w:p>
  </w:footnote>
  <w:footnote w:id="24">
    <w:p w14:paraId="5D5E1565"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16"/>
          <w:szCs w:val="16"/>
        </w:rPr>
        <w:t xml:space="preserve"> Fukuyama</w:t>
      </w:r>
    </w:p>
  </w:footnote>
  <w:footnote w:id="25">
    <w:p w14:paraId="7D67BECC"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6"/>
          <w:szCs w:val="16"/>
        </w:rPr>
        <w:t xml:space="preserve">George W. Bush, "Remarks by President George W. Bush at the 20th Anniversary of the National Endowment for Democracy," </w:t>
      </w:r>
      <w:r>
        <w:rPr>
          <w:rFonts w:ascii="Times New Roman" w:eastAsia="Times New Roman" w:hAnsi="Times New Roman" w:cs="Times New Roman"/>
          <w:i/>
          <w:color w:val="000000"/>
          <w:sz w:val="16"/>
          <w:szCs w:val="16"/>
        </w:rPr>
        <w:t>National Endowment for Democracy</w:t>
      </w:r>
      <w:r>
        <w:rPr>
          <w:rFonts w:ascii="Times New Roman" w:eastAsia="Times New Roman" w:hAnsi="Times New Roman" w:cs="Times New Roman"/>
          <w:color w:val="000000"/>
          <w:sz w:val="16"/>
          <w:szCs w:val="16"/>
        </w:rPr>
        <w:t xml:space="preserve">, December 2003, </w:t>
      </w:r>
      <w:hyperlink r:id="rId5">
        <w:r>
          <w:rPr>
            <w:rFonts w:ascii="Times New Roman" w:eastAsia="Times New Roman" w:hAnsi="Times New Roman" w:cs="Times New Roman"/>
            <w:color w:val="467886"/>
            <w:sz w:val="16"/>
            <w:szCs w:val="16"/>
            <w:u w:val="single"/>
          </w:rPr>
          <w:t>https://www.ned.org/remarks-by-president-george-w-bush-at-the-20th-anniversary/</w:t>
        </w:r>
      </w:hyperlink>
      <w:r>
        <w:rPr>
          <w:rFonts w:ascii="Times New Roman" w:eastAsia="Times New Roman" w:hAnsi="Times New Roman" w:cs="Times New Roman"/>
          <w:color w:val="000000"/>
          <w:sz w:val="16"/>
          <w:szCs w:val="16"/>
        </w:rPr>
        <w:t>.</w:t>
      </w:r>
    </w:p>
  </w:footnote>
  <w:footnote w:id="26">
    <w:p w14:paraId="100F82A9"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Voice of America. 2003. "Liberators, Not Occupiers." </w:t>
      </w:r>
      <w:r>
        <w:rPr>
          <w:rFonts w:ascii="Times New Roman" w:eastAsia="Times New Roman" w:hAnsi="Times New Roman" w:cs="Times New Roman"/>
          <w:i/>
          <w:color w:val="000000"/>
          <w:sz w:val="16"/>
          <w:szCs w:val="16"/>
        </w:rPr>
        <w:t>The Voice of America</w:t>
      </w:r>
      <w:r>
        <w:rPr>
          <w:rFonts w:ascii="Times New Roman" w:eastAsia="Times New Roman" w:hAnsi="Times New Roman" w:cs="Times New Roman"/>
          <w:color w:val="000000"/>
          <w:sz w:val="16"/>
          <w:szCs w:val="16"/>
        </w:rPr>
        <w:t xml:space="preserve">, September 22. Retrieved from </w:t>
      </w:r>
      <w:hyperlink r:id="rId6">
        <w:r>
          <w:rPr>
            <w:rFonts w:ascii="Times New Roman" w:eastAsia="Times New Roman" w:hAnsi="Times New Roman" w:cs="Times New Roman"/>
            <w:color w:val="467886"/>
            <w:sz w:val="16"/>
            <w:szCs w:val="16"/>
            <w:u w:val="single"/>
          </w:rPr>
          <w:t>https://editorials.voa.gov/a/a-41-a-2003-09-22-7-1-83097722/1478313.html</w:t>
        </w:r>
      </w:hyperlink>
    </w:p>
  </w:footnote>
  <w:footnote w:id="27">
    <w:p w14:paraId="3E144C43"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Phyllis Bennis, "Remembering the World’s Biggest Peace Protest," </w:t>
      </w:r>
      <w:r>
        <w:rPr>
          <w:rFonts w:ascii="Times New Roman" w:eastAsia="Times New Roman" w:hAnsi="Times New Roman" w:cs="Times New Roman"/>
          <w:i/>
          <w:color w:val="000000"/>
          <w:sz w:val="16"/>
          <w:szCs w:val="16"/>
        </w:rPr>
        <w:t>Transnational Institute</w:t>
      </w:r>
      <w:r>
        <w:rPr>
          <w:rFonts w:ascii="Times New Roman" w:eastAsia="Times New Roman" w:hAnsi="Times New Roman" w:cs="Times New Roman"/>
          <w:color w:val="000000"/>
          <w:sz w:val="16"/>
          <w:szCs w:val="16"/>
        </w:rPr>
        <w:t xml:space="preserve">, 2020, </w:t>
      </w:r>
      <w:hyperlink r:id="rId7">
        <w:r>
          <w:rPr>
            <w:rFonts w:ascii="Times New Roman" w:eastAsia="Times New Roman" w:hAnsi="Times New Roman" w:cs="Times New Roman"/>
            <w:color w:val="467886"/>
            <w:sz w:val="16"/>
            <w:szCs w:val="16"/>
            <w:u w:val="single"/>
          </w:rPr>
          <w:t>https://www.tni.org/en/video/remembering-the-worlds-biggest-peace-protest</w:t>
        </w:r>
      </w:hyperlink>
      <w:r>
        <w:rPr>
          <w:rFonts w:ascii="Times New Roman" w:eastAsia="Times New Roman" w:hAnsi="Times New Roman" w:cs="Times New Roman"/>
          <w:color w:val="000000"/>
          <w:sz w:val="16"/>
          <w:szCs w:val="16"/>
        </w:rPr>
        <w:t>.</w:t>
      </w:r>
    </w:p>
  </w:footnote>
  <w:footnote w:id="28">
    <w:p w14:paraId="13724A93" w14:textId="77777777" w:rsidR="002E4B39" w:rsidRDefault="002E4B39" w:rsidP="002E4B39">
      <w:pPr>
        <w:pStyle w:val="FootnoteText"/>
      </w:pPr>
      <w:r>
        <w:rPr>
          <w:rStyle w:val="FootnoteReference"/>
        </w:rPr>
        <w:footnoteRef/>
      </w:r>
      <w:r>
        <w:t xml:space="preserve"> </w:t>
      </w:r>
      <w:r w:rsidRPr="00A571BD">
        <w:rPr>
          <w:rFonts w:asciiTheme="majorBidi" w:eastAsia="Cambria" w:hAnsiTheme="majorBidi" w:cstheme="majorBidi"/>
        </w:rPr>
        <w:t>Schumpeter, 250-252.</w:t>
      </w:r>
    </w:p>
  </w:footnote>
  <w:footnote w:id="29">
    <w:p w14:paraId="22A3958A" w14:textId="77777777" w:rsidR="002E4B39" w:rsidRDefault="002E4B39" w:rsidP="002E4B39">
      <w:pPr>
        <w:pStyle w:val="FootnoteText"/>
      </w:pPr>
      <w:r>
        <w:rPr>
          <w:rStyle w:val="FootnoteReference"/>
        </w:rPr>
        <w:footnoteRef/>
      </w:r>
      <w:r>
        <w:t xml:space="preserve"> </w:t>
      </w:r>
      <w:r w:rsidRPr="00A571BD">
        <w:t>Schumpeter</w:t>
      </w:r>
      <w:r>
        <w:t>, 250.</w:t>
      </w:r>
    </w:p>
  </w:footnote>
  <w:footnote w:id="30">
    <w:p w14:paraId="78AC8215" w14:textId="77777777" w:rsidR="002E4B39" w:rsidRDefault="002E4B39" w:rsidP="002E4B39">
      <w:pPr>
        <w:pStyle w:val="FootnoteText"/>
      </w:pPr>
      <w:r>
        <w:rPr>
          <w:rStyle w:val="FootnoteReference"/>
        </w:rPr>
        <w:footnoteRef/>
      </w:r>
      <w:r>
        <w:t xml:space="preserve"> </w:t>
      </w:r>
      <w:r w:rsidRPr="00A571BD">
        <w:t>Francis Fukuyama, The End of History and the Last Man (New York: Free Press, 2006)</w:t>
      </w:r>
      <w:r>
        <w:t>, 13-22</w:t>
      </w:r>
      <w:r w:rsidRPr="00A571BD">
        <w:t>.</w:t>
      </w:r>
    </w:p>
  </w:footnote>
  <w:footnote w:id="31">
    <w:p w14:paraId="0D074D41" w14:textId="77777777" w:rsidR="002E4B39" w:rsidRDefault="002E4B39" w:rsidP="002E4B39">
      <w:pPr>
        <w:pStyle w:val="FootnoteText"/>
      </w:pPr>
      <w:r>
        <w:rPr>
          <w:rStyle w:val="FootnoteReference"/>
        </w:rPr>
        <w:footnoteRef/>
      </w:r>
      <w:r>
        <w:t xml:space="preserve"> </w:t>
      </w:r>
      <w:r w:rsidRPr="00221DDA">
        <w:t xml:space="preserve">Herbert Marcuse, </w:t>
      </w:r>
      <w:r w:rsidRPr="00221DDA">
        <w:rPr>
          <w:i/>
          <w:iCs/>
        </w:rPr>
        <w:t>One-Dimensional Man: Studies in the Ideology of Advanced Industrial Society</w:t>
      </w:r>
      <w:r w:rsidRPr="00221DDA">
        <w:t xml:space="preserve"> (Boston: Beacon Press, 1964).</w:t>
      </w:r>
    </w:p>
  </w:footnote>
  <w:footnote w:id="32">
    <w:p w14:paraId="6C2B6032" w14:textId="77777777" w:rsidR="002E4B39" w:rsidRDefault="002E4B39" w:rsidP="002E4B39">
      <w:pPr>
        <w:pStyle w:val="FootnoteText"/>
      </w:pPr>
      <w:r>
        <w:rPr>
          <w:rStyle w:val="FootnoteReference"/>
        </w:rPr>
        <w:footnoteRef/>
      </w:r>
      <w:r>
        <w:t xml:space="preserve"> </w:t>
      </w:r>
      <w:r w:rsidRPr="00051EA1">
        <w:t xml:space="preserve">S. M. </w:t>
      </w:r>
      <w:proofErr w:type="spellStart"/>
      <w:r w:rsidRPr="00051EA1">
        <w:t>Amadae</w:t>
      </w:r>
      <w:proofErr w:type="spellEnd"/>
      <w:r w:rsidRPr="00051EA1">
        <w:t xml:space="preserve">, </w:t>
      </w:r>
      <w:r w:rsidRPr="00051EA1">
        <w:rPr>
          <w:i/>
          <w:iCs/>
        </w:rPr>
        <w:t>Rationalizing Capitalist Democracy: The Cold War Origins of Rational Choice Liberalism</w:t>
      </w:r>
      <w:r w:rsidRPr="00051EA1">
        <w:t xml:space="preserve"> (Chicago: University of Chicago Press, 2003).</w:t>
      </w:r>
    </w:p>
  </w:footnote>
  <w:footnote w:id="33">
    <w:p w14:paraId="57165719" w14:textId="77777777" w:rsidR="002E4B39" w:rsidRDefault="002E4B39" w:rsidP="002E4B39">
      <w:pPr>
        <w:pStyle w:val="FootnoteText"/>
      </w:pPr>
      <w:r>
        <w:rPr>
          <w:rStyle w:val="FootnoteReference"/>
        </w:rPr>
        <w:footnoteRef/>
      </w:r>
      <w:r>
        <w:t xml:space="preserve"> </w:t>
      </w:r>
      <w:r w:rsidRPr="00051EA1">
        <w:t xml:space="preserve">Charles W. Mills, </w:t>
      </w:r>
      <w:r w:rsidRPr="00051EA1">
        <w:rPr>
          <w:i/>
          <w:iCs/>
        </w:rPr>
        <w:t>The Racial Contract</w:t>
      </w:r>
      <w:r w:rsidRPr="00051EA1">
        <w:t xml:space="preserve"> (Ithaca, NY: Cornell University Press, 1997).</w:t>
      </w:r>
    </w:p>
  </w:footnote>
  <w:footnote w:id="34">
    <w:p w14:paraId="0F183A85" w14:textId="77777777" w:rsidR="002E4B39" w:rsidRDefault="002E4B39" w:rsidP="002E4B39">
      <w:pPr>
        <w:pStyle w:val="FootnoteText"/>
      </w:pPr>
      <w:r>
        <w:rPr>
          <w:rStyle w:val="FootnoteReference"/>
        </w:rPr>
        <w:footnoteRef/>
      </w:r>
      <w:r>
        <w:t xml:space="preserve"> </w:t>
      </w:r>
      <w:r w:rsidRPr="00051EA1">
        <w:t xml:space="preserve">Pierre-Jean Luizard, "2003-2022, the Impossible Shiite Power in Iraq," </w:t>
      </w:r>
      <w:r w:rsidRPr="00051EA1">
        <w:rPr>
          <w:i/>
          <w:iCs/>
        </w:rPr>
        <w:t>European Institute for Studies on the Middle East and North Africa</w:t>
      </w:r>
      <w:r w:rsidRPr="00051EA1">
        <w:t xml:space="preserve">, June 1, 2022, </w:t>
      </w:r>
      <w:hyperlink r:id="rId8" w:tgtFrame="_new" w:history="1">
        <w:r w:rsidRPr="00051EA1">
          <w:rPr>
            <w:rStyle w:val="Hyperlink"/>
          </w:rPr>
          <w:t>https://eismena.com/en/article/2003-2022-the-impossible-shiite-power-in-iraq-2022-06-01</w:t>
        </w:r>
      </w:hyperlink>
      <w:r w:rsidRPr="00051EA1">
        <w:t>.</w:t>
      </w:r>
    </w:p>
  </w:footnote>
  <w:footnote w:id="35">
    <w:p w14:paraId="17236602"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Neta C. Crawford, et al, "Environmental Costs," </w:t>
      </w:r>
      <w:r>
        <w:rPr>
          <w:rFonts w:ascii="Times New Roman" w:eastAsia="Times New Roman" w:hAnsi="Times New Roman" w:cs="Times New Roman"/>
          <w:i/>
          <w:color w:val="000000"/>
          <w:sz w:val="16"/>
          <w:szCs w:val="16"/>
        </w:rPr>
        <w:t>Costs of War</w:t>
      </w:r>
      <w:r>
        <w:rPr>
          <w:rFonts w:ascii="Times New Roman" w:eastAsia="Times New Roman" w:hAnsi="Times New Roman" w:cs="Times New Roman"/>
          <w:color w:val="000000"/>
          <w:sz w:val="16"/>
          <w:szCs w:val="16"/>
        </w:rPr>
        <w:t xml:space="preserve">, Watson Institute for International and Public Affairs, Brown University, 2024, </w:t>
      </w:r>
      <w:hyperlink r:id="rId9">
        <w:r>
          <w:rPr>
            <w:rFonts w:ascii="Times New Roman" w:eastAsia="Times New Roman" w:hAnsi="Times New Roman" w:cs="Times New Roman"/>
            <w:color w:val="467886"/>
            <w:sz w:val="16"/>
            <w:szCs w:val="16"/>
            <w:u w:val="single"/>
          </w:rPr>
          <w:t>https://watson.brown.edu/costsofwar/costs/environmental</w:t>
        </w:r>
      </w:hyperlink>
      <w:r>
        <w:rPr>
          <w:rFonts w:ascii="Times New Roman" w:eastAsia="Times New Roman" w:hAnsi="Times New Roman" w:cs="Times New Roman"/>
          <w:color w:val="000000"/>
          <w:sz w:val="16"/>
          <w:szCs w:val="16"/>
        </w:rPr>
        <w:t>.</w:t>
      </w:r>
    </w:p>
  </w:footnote>
  <w:footnote w:id="36">
    <w:p w14:paraId="440D09EE"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Larnerd, Nicolas Jude, Erol </w:t>
      </w:r>
      <w:proofErr w:type="spellStart"/>
      <w:r>
        <w:rPr>
          <w:rFonts w:ascii="Times New Roman" w:eastAsia="Times New Roman" w:hAnsi="Times New Roman" w:cs="Times New Roman"/>
          <w:color w:val="000000"/>
          <w:sz w:val="16"/>
          <w:szCs w:val="16"/>
        </w:rPr>
        <w:t>Yayboke</w:t>
      </w:r>
      <w:proofErr w:type="spellEnd"/>
      <w:r>
        <w:rPr>
          <w:rFonts w:ascii="Times New Roman" w:eastAsia="Times New Roman" w:hAnsi="Times New Roman" w:cs="Times New Roman"/>
          <w:color w:val="000000"/>
          <w:sz w:val="16"/>
          <w:szCs w:val="16"/>
        </w:rPr>
        <w:t xml:space="preserve">, and Giorgi Gigauri. 2023. "Iraq 20 Years After the Invasion: Humanitarian, Displacement, and Climate Change Challenges." </w:t>
      </w:r>
      <w:r>
        <w:rPr>
          <w:rFonts w:ascii="Times New Roman" w:eastAsia="Times New Roman" w:hAnsi="Times New Roman" w:cs="Times New Roman"/>
          <w:i/>
          <w:color w:val="000000"/>
          <w:sz w:val="16"/>
          <w:szCs w:val="16"/>
        </w:rPr>
        <w:t>Center for Strategic and International Studies (CSIS)</w:t>
      </w:r>
      <w:r>
        <w:rPr>
          <w:rFonts w:ascii="Times New Roman" w:eastAsia="Times New Roman" w:hAnsi="Times New Roman" w:cs="Times New Roman"/>
          <w:color w:val="000000"/>
          <w:sz w:val="16"/>
          <w:szCs w:val="16"/>
        </w:rPr>
        <w:t xml:space="preserve">. Retrieved from </w:t>
      </w:r>
      <w:hyperlink r:id="rId10">
        <w:r>
          <w:rPr>
            <w:rFonts w:ascii="Times New Roman" w:eastAsia="Times New Roman" w:hAnsi="Times New Roman" w:cs="Times New Roman"/>
            <w:color w:val="467886"/>
            <w:sz w:val="16"/>
            <w:szCs w:val="16"/>
            <w:u w:val="single"/>
          </w:rPr>
          <w:t>https://www.csis.org/analysis/iraq-20-years-after-invasion-humanitarian-displacement-and-climate-change-challenges</w:t>
        </w:r>
      </w:hyperlink>
      <w:r>
        <w:rPr>
          <w:rFonts w:ascii="Times New Roman" w:eastAsia="Times New Roman" w:hAnsi="Times New Roman" w:cs="Times New Roman"/>
          <w:color w:val="000000"/>
          <w:sz w:val="16"/>
          <w:szCs w:val="16"/>
        </w:rPr>
        <w:t xml:space="preserve">. </w:t>
      </w:r>
    </w:p>
  </w:footnote>
  <w:footnote w:id="37">
    <w:p w14:paraId="4342D9EF"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Harinath, A. S., and Ali, A. 2024. "Conflict Pollution: Lessons from Iraq," </w:t>
      </w:r>
      <w:r>
        <w:rPr>
          <w:rFonts w:ascii="Times New Roman" w:eastAsia="Times New Roman" w:hAnsi="Times New Roman" w:cs="Times New Roman"/>
          <w:i/>
          <w:color w:val="000000"/>
          <w:sz w:val="16"/>
          <w:szCs w:val="16"/>
        </w:rPr>
        <w:t>World Bank Blogs</w:t>
      </w:r>
      <w:r>
        <w:rPr>
          <w:rFonts w:ascii="Times New Roman" w:eastAsia="Times New Roman" w:hAnsi="Times New Roman" w:cs="Times New Roman"/>
          <w:color w:val="000000"/>
          <w:sz w:val="16"/>
          <w:szCs w:val="16"/>
        </w:rPr>
        <w:t xml:space="preserve">, March 5, 2024, Available at: </w:t>
      </w:r>
      <w:hyperlink r:id="rId11">
        <w:r>
          <w:rPr>
            <w:rFonts w:ascii="Times New Roman" w:eastAsia="Times New Roman" w:hAnsi="Times New Roman" w:cs="Times New Roman"/>
            <w:color w:val="467886"/>
            <w:sz w:val="16"/>
            <w:szCs w:val="16"/>
            <w:u w:val="single"/>
          </w:rPr>
          <w:t>https://blogs.worldbank.org/en/arabvoices/conflict-pollution-lessons-iraq</w:t>
        </w:r>
      </w:hyperlink>
      <w:r>
        <w:rPr>
          <w:rFonts w:ascii="Times New Roman" w:eastAsia="Times New Roman" w:hAnsi="Times New Roman" w:cs="Times New Roman"/>
          <w:color w:val="000000"/>
          <w:sz w:val="16"/>
          <w:szCs w:val="16"/>
        </w:rPr>
        <w:t>.</w:t>
      </w:r>
    </w:p>
  </w:footnote>
  <w:footnote w:id="38">
    <w:p w14:paraId="76AF83EE"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Neta C. Crawford</w:t>
      </w:r>
    </w:p>
  </w:footnote>
  <w:footnote w:id="39">
    <w:p w14:paraId="4665470F"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David Kelley. 2021. "Iraq’s Ecocide: The Environmental Impact of War and Oil," </w:t>
      </w:r>
      <w:r>
        <w:rPr>
          <w:rFonts w:ascii="Times New Roman" w:eastAsia="Times New Roman" w:hAnsi="Times New Roman" w:cs="Times New Roman"/>
          <w:i/>
          <w:color w:val="000000"/>
          <w:sz w:val="16"/>
          <w:szCs w:val="16"/>
        </w:rPr>
        <w:t>Inside Climate News</w:t>
      </w:r>
      <w:r>
        <w:rPr>
          <w:rFonts w:ascii="Times New Roman" w:eastAsia="Times New Roman" w:hAnsi="Times New Roman" w:cs="Times New Roman"/>
          <w:color w:val="000000"/>
          <w:sz w:val="16"/>
          <w:szCs w:val="16"/>
        </w:rPr>
        <w:t xml:space="preserve">, December 29, 2021, </w:t>
      </w:r>
      <w:hyperlink r:id="rId12">
        <w:r>
          <w:rPr>
            <w:rFonts w:ascii="Times New Roman" w:eastAsia="Times New Roman" w:hAnsi="Times New Roman" w:cs="Times New Roman"/>
            <w:color w:val="467886"/>
            <w:sz w:val="16"/>
            <w:szCs w:val="16"/>
            <w:u w:val="single"/>
          </w:rPr>
          <w:t>https://insideclimatenews.org/news/29122021/iraq-ecocide/</w:t>
        </w:r>
      </w:hyperlink>
      <w:r>
        <w:rPr>
          <w:rFonts w:ascii="Times New Roman" w:eastAsia="Times New Roman" w:hAnsi="Times New Roman" w:cs="Times New Roman"/>
          <w:color w:val="000000"/>
          <w:sz w:val="16"/>
          <w:szCs w:val="16"/>
        </w:rPr>
        <w:t>.</w:t>
      </w:r>
    </w:p>
    <w:p w14:paraId="3663DF32"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40">
    <w:p w14:paraId="3076455A" w14:textId="77777777" w:rsidR="0068189E" w:rsidRDefault="0068189E" w:rsidP="0068189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Munqith</w:t>
      </w:r>
      <w:proofErr w:type="spellEnd"/>
      <w:r>
        <w:rPr>
          <w:rFonts w:ascii="Times New Roman" w:eastAsia="Times New Roman" w:hAnsi="Times New Roman" w:cs="Times New Roman"/>
          <w:color w:val="000000"/>
          <w:sz w:val="16"/>
          <w:szCs w:val="16"/>
        </w:rPr>
        <w:t xml:space="preserve"> Dagher, "Iraqi Stability and Its Free-Falling Middle Class," </w:t>
      </w:r>
      <w:r>
        <w:rPr>
          <w:rFonts w:ascii="Times New Roman" w:eastAsia="Times New Roman" w:hAnsi="Times New Roman" w:cs="Times New Roman"/>
          <w:i/>
          <w:color w:val="000000"/>
          <w:sz w:val="16"/>
          <w:szCs w:val="16"/>
        </w:rPr>
        <w:t>Center for Strategic and International Studies</w:t>
      </w:r>
      <w:r>
        <w:rPr>
          <w:rFonts w:ascii="Times New Roman" w:eastAsia="Times New Roman" w:hAnsi="Times New Roman" w:cs="Times New Roman"/>
          <w:color w:val="000000"/>
          <w:sz w:val="16"/>
          <w:szCs w:val="16"/>
        </w:rPr>
        <w:t xml:space="preserve">, October 21, 2020, </w:t>
      </w:r>
      <w:hyperlink r:id="rId13">
        <w:r>
          <w:rPr>
            <w:rFonts w:ascii="Times New Roman" w:eastAsia="Times New Roman" w:hAnsi="Times New Roman" w:cs="Times New Roman"/>
            <w:color w:val="467886"/>
            <w:sz w:val="16"/>
            <w:szCs w:val="16"/>
            <w:u w:val="single"/>
          </w:rPr>
          <w:t>https://www.csis.org/analysis/iraqi-stability-and-its-free-falling-middle-class</w:t>
        </w:r>
      </w:hyperlink>
      <w:r>
        <w:rPr>
          <w:rFonts w:ascii="Times New Roman" w:eastAsia="Times New Roman" w:hAnsi="Times New Roman" w:cs="Times New Roman"/>
          <w:color w:val="000000"/>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D79"/>
    <w:multiLevelType w:val="hybridMultilevel"/>
    <w:tmpl w:val="1186843A"/>
    <w:lvl w:ilvl="0" w:tplc="55C60ED2">
      <w:start w:val="1"/>
      <w:numFmt w:val="bullet"/>
      <w:lvlText w:val=""/>
      <w:lvlJc w:val="left"/>
      <w:pPr>
        <w:ind w:left="720" w:hanging="360"/>
      </w:pPr>
      <w:rPr>
        <w:rFonts w:ascii="Symbol" w:hAnsi="Symbol" w:hint="default"/>
      </w:rPr>
    </w:lvl>
    <w:lvl w:ilvl="1" w:tplc="13748EDE" w:tentative="1">
      <w:start w:val="1"/>
      <w:numFmt w:val="bullet"/>
      <w:lvlText w:val="o"/>
      <w:lvlJc w:val="left"/>
      <w:pPr>
        <w:ind w:left="1440" w:hanging="360"/>
      </w:pPr>
      <w:rPr>
        <w:rFonts w:ascii="Courier New" w:hAnsi="Courier New" w:cs="Courier New" w:hint="default"/>
      </w:rPr>
    </w:lvl>
    <w:lvl w:ilvl="2" w:tplc="625A8922" w:tentative="1">
      <w:start w:val="1"/>
      <w:numFmt w:val="bullet"/>
      <w:lvlText w:val=""/>
      <w:lvlJc w:val="left"/>
      <w:pPr>
        <w:ind w:left="2160" w:hanging="360"/>
      </w:pPr>
      <w:rPr>
        <w:rFonts w:ascii="Wingdings" w:hAnsi="Wingdings" w:hint="default"/>
      </w:rPr>
    </w:lvl>
    <w:lvl w:ilvl="3" w:tplc="556214CA" w:tentative="1">
      <w:start w:val="1"/>
      <w:numFmt w:val="bullet"/>
      <w:lvlText w:val=""/>
      <w:lvlJc w:val="left"/>
      <w:pPr>
        <w:ind w:left="2880" w:hanging="360"/>
      </w:pPr>
      <w:rPr>
        <w:rFonts w:ascii="Symbol" w:hAnsi="Symbol" w:hint="default"/>
      </w:rPr>
    </w:lvl>
    <w:lvl w:ilvl="4" w:tplc="EA30F5D8" w:tentative="1">
      <w:start w:val="1"/>
      <w:numFmt w:val="bullet"/>
      <w:lvlText w:val="o"/>
      <w:lvlJc w:val="left"/>
      <w:pPr>
        <w:ind w:left="3600" w:hanging="360"/>
      </w:pPr>
      <w:rPr>
        <w:rFonts w:ascii="Courier New" w:hAnsi="Courier New" w:cs="Courier New" w:hint="default"/>
      </w:rPr>
    </w:lvl>
    <w:lvl w:ilvl="5" w:tplc="F89E6D6E" w:tentative="1">
      <w:start w:val="1"/>
      <w:numFmt w:val="bullet"/>
      <w:lvlText w:val=""/>
      <w:lvlJc w:val="left"/>
      <w:pPr>
        <w:ind w:left="4320" w:hanging="360"/>
      </w:pPr>
      <w:rPr>
        <w:rFonts w:ascii="Wingdings" w:hAnsi="Wingdings" w:hint="default"/>
      </w:rPr>
    </w:lvl>
    <w:lvl w:ilvl="6" w:tplc="7B84D9CE" w:tentative="1">
      <w:start w:val="1"/>
      <w:numFmt w:val="bullet"/>
      <w:lvlText w:val=""/>
      <w:lvlJc w:val="left"/>
      <w:pPr>
        <w:ind w:left="5040" w:hanging="360"/>
      </w:pPr>
      <w:rPr>
        <w:rFonts w:ascii="Symbol" w:hAnsi="Symbol" w:hint="default"/>
      </w:rPr>
    </w:lvl>
    <w:lvl w:ilvl="7" w:tplc="6EE6C9AC" w:tentative="1">
      <w:start w:val="1"/>
      <w:numFmt w:val="bullet"/>
      <w:lvlText w:val="o"/>
      <w:lvlJc w:val="left"/>
      <w:pPr>
        <w:ind w:left="5760" w:hanging="360"/>
      </w:pPr>
      <w:rPr>
        <w:rFonts w:ascii="Courier New" w:hAnsi="Courier New" w:cs="Courier New" w:hint="default"/>
      </w:rPr>
    </w:lvl>
    <w:lvl w:ilvl="8" w:tplc="78002E70" w:tentative="1">
      <w:start w:val="1"/>
      <w:numFmt w:val="bullet"/>
      <w:lvlText w:val=""/>
      <w:lvlJc w:val="left"/>
      <w:pPr>
        <w:ind w:left="6480" w:hanging="360"/>
      </w:pPr>
      <w:rPr>
        <w:rFonts w:ascii="Wingdings" w:hAnsi="Wingdings" w:hint="default"/>
      </w:rPr>
    </w:lvl>
  </w:abstractNum>
  <w:abstractNum w:abstractNumId="1" w15:restartNumberingAfterBreak="0">
    <w:nsid w:val="13BB32B5"/>
    <w:multiLevelType w:val="multilevel"/>
    <w:tmpl w:val="FA7AD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1D131B"/>
    <w:multiLevelType w:val="hybridMultilevel"/>
    <w:tmpl w:val="5D4EF1B6"/>
    <w:lvl w:ilvl="0" w:tplc="20A486B2">
      <w:start w:val="1"/>
      <w:numFmt w:val="bullet"/>
      <w:lvlText w:val=""/>
      <w:lvlJc w:val="left"/>
      <w:pPr>
        <w:ind w:left="720" w:hanging="360"/>
      </w:pPr>
      <w:rPr>
        <w:rFonts w:ascii="Symbol" w:hAnsi="Symbol" w:hint="default"/>
      </w:rPr>
    </w:lvl>
    <w:lvl w:ilvl="1" w:tplc="E690BEEA" w:tentative="1">
      <w:start w:val="1"/>
      <w:numFmt w:val="bullet"/>
      <w:lvlText w:val="o"/>
      <w:lvlJc w:val="left"/>
      <w:pPr>
        <w:ind w:left="1440" w:hanging="360"/>
      </w:pPr>
      <w:rPr>
        <w:rFonts w:ascii="Courier New" w:hAnsi="Courier New" w:cs="Courier New" w:hint="default"/>
      </w:rPr>
    </w:lvl>
    <w:lvl w:ilvl="2" w:tplc="9DC410A0" w:tentative="1">
      <w:start w:val="1"/>
      <w:numFmt w:val="bullet"/>
      <w:lvlText w:val=""/>
      <w:lvlJc w:val="left"/>
      <w:pPr>
        <w:ind w:left="2160" w:hanging="360"/>
      </w:pPr>
      <w:rPr>
        <w:rFonts w:ascii="Wingdings" w:hAnsi="Wingdings" w:hint="default"/>
      </w:rPr>
    </w:lvl>
    <w:lvl w:ilvl="3" w:tplc="09160464" w:tentative="1">
      <w:start w:val="1"/>
      <w:numFmt w:val="bullet"/>
      <w:lvlText w:val=""/>
      <w:lvlJc w:val="left"/>
      <w:pPr>
        <w:ind w:left="2880" w:hanging="360"/>
      </w:pPr>
      <w:rPr>
        <w:rFonts w:ascii="Symbol" w:hAnsi="Symbol" w:hint="default"/>
      </w:rPr>
    </w:lvl>
    <w:lvl w:ilvl="4" w:tplc="EFB47036" w:tentative="1">
      <w:start w:val="1"/>
      <w:numFmt w:val="bullet"/>
      <w:lvlText w:val="o"/>
      <w:lvlJc w:val="left"/>
      <w:pPr>
        <w:ind w:left="3600" w:hanging="360"/>
      </w:pPr>
      <w:rPr>
        <w:rFonts w:ascii="Courier New" w:hAnsi="Courier New" w:cs="Courier New" w:hint="default"/>
      </w:rPr>
    </w:lvl>
    <w:lvl w:ilvl="5" w:tplc="39E8F044" w:tentative="1">
      <w:start w:val="1"/>
      <w:numFmt w:val="bullet"/>
      <w:lvlText w:val=""/>
      <w:lvlJc w:val="left"/>
      <w:pPr>
        <w:ind w:left="4320" w:hanging="360"/>
      </w:pPr>
      <w:rPr>
        <w:rFonts w:ascii="Wingdings" w:hAnsi="Wingdings" w:hint="default"/>
      </w:rPr>
    </w:lvl>
    <w:lvl w:ilvl="6" w:tplc="EA10E89C" w:tentative="1">
      <w:start w:val="1"/>
      <w:numFmt w:val="bullet"/>
      <w:lvlText w:val=""/>
      <w:lvlJc w:val="left"/>
      <w:pPr>
        <w:ind w:left="5040" w:hanging="360"/>
      </w:pPr>
      <w:rPr>
        <w:rFonts w:ascii="Symbol" w:hAnsi="Symbol" w:hint="default"/>
      </w:rPr>
    </w:lvl>
    <w:lvl w:ilvl="7" w:tplc="65141472" w:tentative="1">
      <w:start w:val="1"/>
      <w:numFmt w:val="bullet"/>
      <w:lvlText w:val="o"/>
      <w:lvlJc w:val="left"/>
      <w:pPr>
        <w:ind w:left="5760" w:hanging="360"/>
      </w:pPr>
      <w:rPr>
        <w:rFonts w:ascii="Courier New" w:hAnsi="Courier New" w:cs="Courier New" w:hint="default"/>
      </w:rPr>
    </w:lvl>
    <w:lvl w:ilvl="8" w:tplc="C85C2728" w:tentative="1">
      <w:start w:val="1"/>
      <w:numFmt w:val="bullet"/>
      <w:lvlText w:val=""/>
      <w:lvlJc w:val="left"/>
      <w:pPr>
        <w:ind w:left="6480" w:hanging="360"/>
      </w:pPr>
      <w:rPr>
        <w:rFonts w:ascii="Wingdings" w:hAnsi="Wingdings" w:hint="default"/>
      </w:rPr>
    </w:lvl>
  </w:abstractNum>
  <w:abstractNum w:abstractNumId="3" w15:restartNumberingAfterBreak="0">
    <w:nsid w:val="31F26110"/>
    <w:multiLevelType w:val="multilevel"/>
    <w:tmpl w:val="E25EEA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89775D"/>
    <w:multiLevelType w:val="hybridMultilevel"/>
    <w:tmpl w:val="ED56C1E0"/>
    <w:lvl w:ilvl="0" w:tplc="617EA806">
      <w:start w:val="1"/>
      <w:numFmt w:val="bullet"/>
      <w:lvlText w:val=""/>
      <w:lvlJc w:val="left"/>
      <w:pPr>
        <w:ind w:left="720" w:hanging="360"/>
      </w:pPr>
      <w:rPr>
        <w:rFonts w:ascii="Symbol" w:hAnsi="Symbol" w:hint="default"/>
      </w:rPr>
    </w:lvl>
    <w:lvl w:ilvl="1" w:tplc="A34AFFB0" w:tentative="1">
      <w:start w:val="1"/>
      <w:numFmt w:val="bullet"/>
      <w:lvlText w:val="o"/>
      <w:lvlJc w:val="left"/>
      <w:pPr>
        <w:ind w:left="1440" w:hanging="360"/>
      </w:pPr>
      <w:rPr>
        <w:rFonts w:ascii="Courier New" w:hAnsi="Courier New" w:cs="Courier New" w:hint="default"/>
      </w:rPr>
    </w:lvl>
    <w:lvl w:ilvl="2" w:tplc="8B720214" w:tentative="1">
      <w:start w:val="1"/>
      <w:numFmt w:val="bullet"/>
      <w:lvlText w:val=""/>
      <w:lvlJc w:val="left"/>
      <w:pPr>
        <w:ind w:left="2160" w:hanging="360"/>
      </w:pPr>
      <w:rPr>
        <w:rFonts w:ascii="Wingdings" w:hAnsi="Wingdings" w:hint="default"/>
      </w:rPr>
    </w:lvl>
    <w:lvl w:ilvl="3" w:tplc="F45281B0" w:tentative="1">
      <w:start w:val="1"/>
      <w:numFmt w:val="bullet"/>
      <w:lvlText w:val=""/>
      <w:lvlJc w:val="left"/>
      <w:pPr>
        <w:ind w:left="2880" w:hanging="360"/>
      </w:pPr>
      <w:rPr>
        <w:rFonts w:ascii="Symbol" w:hAnsi="Symbol" w:hint="default"/>
      </w:rPr>
    </w:lvl>
    <w:lvl w:ilvl="4" w:tplc="B3FECBBE" w:tentative="1">
      <w:start w:val="1"/>
      <w:numFmt w:val="bullet"/>
      <w:lvlText w:val="o"/>
      <w:lvlJc w:val="left"/>
      <w:pPr>
        <w:ind w:left="3600" w:hanging="360"/>
      </w:pPr>
      <w:rPr>
        <w:rFonts w:ascii="Courier New" w:hAnsi="Courier New" w:cs="Courier New" w:hint="default"/>
      </w:rPr>
    </w:lvl>
    <w:lvl w:ilvl="5" w:tplc="AEF43A84" w:tentative="1">
      <w:start w:val="1"/>
      <w:numFmt w:val="bullet"/>
      <w:lvlText w:val=""/>
      <w:lvlJc w:val="left"/>
      <w:pPr>
        <w:ind w:left="4320" w:hanging="360"/>
      </w:pPr>
      <w:rPr>
        <w:rFonts w:ascii="Wingdings" w:hAnsi="Wingdings" w:hint="default"/>
      </w:rPr>
    </w:lvl>
    <w:lvl w:ilvl="6" w:tplc="4300AB8A" w:tentative="1">
      <w:start w:val="1"/>
      <w:numFmt w:val="bullet"/>
      <w:lvlText w:val=""/>
      <w:lvlJc w:val="left"/>
      <w:pPr>
        <w:ind w:left="5040" w:hanging="360"/>
      </w:pPr>
      <w:rPr>
        <w:rFonts w:ascii="Symbol" w:hAnsi="Symbol" w:hint="default"/>
      </w:rPr>
    </w:lvl>
    <w:lvl w:ilvl="7" w:tplc="604253A4" w:tentative="1">
      <w:start w:val="1"/>
      <w:numFmt w:val="bullet"/>
      <w:lvlText w:val="o"/>
      <w:lvlJc w:val="left"/>
      <w:pPr>
        <w:ind w:left="5760" w:hanging="360"/>
      </w:pPr>
      <w:rPr>
        <w:rFonts w:ascii="Courier New" w:hAnsi="Courier New" w:cs="Courier New" w:hint="default"/>
      </w:rPr>
    </w:lvl>
    <w:lvl w:ilvl="8" w:tplc="110A2B94" w:tentative="1">
      <w:start w:val="1"/>
      <w:numFmt w:val="bullet"/>
      <w:lvlText w:val=""/>
      <w:lvlJc w:val="left"/>
      <w:pPr>
        <w:ind w:left="6480" w:hanging="360"/>
      </w:pPr>
      <w:rPr>
        <w:rFonts w:ascii="Wingdings" w:hAnsi="Wingdings" w:hint="default"/>
      </w:rPr>
    </w:lvl>
  </w:abstractNum>
  <w:abstractNum w:abstractNumId="5" w15:restartNumberingAfterBreak="0">
    <w:nsid w:val="74332C11"/>
    <w:multiLevelType w:val="hybridMultilevel"/>
    <w:tmpl w:val="8B92D0B0"/>
    <w:lvl w:ilvl="0" w:tplc="B674F0BE">
      <w:start w:val="1"/>
      <w:numFmt w:val="bullet"/>
      <w:lvlText w:val=""/>
      <w:lvlJc w:val="left"/>
      <w:pPr>
        <w:ind w:left="720" w:hanging="360"/>
      </w:pPr>
      <w:rPr>
        <w:rFonts w:ascii="Symbol" w:hAnsi="Symbol" w:hint="default"/>
      </w:rPr>
    </w:lvl>
    <w:lvl w:ilvl="1" w:tplc="3D044518" w:tentative="1">
      <w:start w:val="1"/>
      <w:numFmt w:val="bullet"/>
      <w:lvlText w:val="o"/>
      <w:lvlJc w:val="left"/>
      <w:pPr>
        <w:ind w:left="1440" w:hanging="360"/>
      </w:pPr>
      <w:rPr>
        <w:rFonts w:ascii="Courier New" w:hAnsi="Courier New" w:cs="Courier New" w:hint="default"/>
      </w:rPr>
    </w:lvl>
    <w:lvl w:ilvl="2" w:tplc="400C5F00" w:tentative="1">
      <w:start w:val="1"/>
      <w:numFmt w:val="bullet"/>
      <w:lvlText w:val=""/>
      <w:lvlJc w:val="left"/>
      <w:pPr>
        <w:ind w:left="2160" w:hanging="360"/>
      </w:pPr>
      <w:rPr>
        <w:rFonts w:ascii="Wingdings" w:hAnsi="Wingdings" w:hint="default"/>
      </w:rPr>
    </w:lvl>
    <w:lvl w:ilvl="3" w:tplc="06B461CE" w:tentative="1">
      <w:start w:val="1"/>
      <w:numFmt w:val="bullet"/>
      <w:lvlText w:val=""/>
      <w:lvlJc w:val="left"/>
      <w:pPr>
        <w:ind w:left="2880" w:hanging="360"/>
      </w:pPr>
      <w:rPr>
        <w:rFonts w:ascii="Symbol" w:hAnsi="Symbol" w:hint="default"/>
      </w:rPr>
    </w:lvl>
    <w:lvl w:ilvl="4" w:tplc="A4BC432E" w:tentative="1">
      <w:start w:val="1"/>
      <w:numFmt w:val="bullet"/>
      <w:lvlText w:val="o"/>
      <w:lvlJc w:val="left"/>
      <w:pPr>
        <w:ind w:left="3600" w:hanging="360"/>
      </w:pPr>
      <w:rPr>
        <w:rFonts w:ascii="Courier New" w:hAnsi="Courier New" w:cs="Courier New" w:hint="default"/>
      </w:rPr>
    </w:lvl>
    <w:lvl w:ilvl="5" w:tplc="9170D778" w:tentative="1">
      <w:start w:val="1"/>
      <w:numFmt w:val="bullet"/>
      <w:lvlText w:val=""/>
      <w:lvlJc w:val="left"/>
      <w:pPr>
        <w:ind w:left="4320" w:hanging="360"/>
      </w:pPr>
      <w:rPr>
        <w:rFonts w:ascii="Wingdings" w:hAnsi="Wingdings" w:hint="default"/>
      </w:rPr>
    </w:lvl>
    <w:lvl w:ilvl="6" w:tplc="A6EC31E0" w:tentative="1">
      <w:start w:val="1"/>
      <w:numFmt w:val="bullet"/>
      <w:lvlText w:val=""/>
      <w:lvlJc w:val="left"/>
      <w:pPr>
        <w:ind w:left="5040" w:hanging="360"/>
      </w:pPr>
      <w:rPr>
        <w:rFonts w:ascii="Symbol" w:hAnsi="Symbol" w:hint="default"/>
      </w:rPr>
    </w:lvl>
    <w:lvl w:ilvl="7" w:tplc="B48A9A48" w:tentative="1">
      <w:start w:val="1"/>
      <w:numFmt w:val="bullet"/>
      <w:lvlText w:val="o"/>
      <w:lvlJc w:val="left"/>
      <w:pPr>
        <w:ind w:left="5760" w:hanging="360"/>
      </w:pPr>
      <w:rPr>
        <w:rFonts w:ascii="Courier New" w:hAnsi="Courier New" w:cs="Courier New" w:hint="default"/>
      </w:rPr>
    </w:lvl>
    <w:lvl w:ilvl="8" w:tplc="37DE93FC" w:tentative="1">
      <w:start w:val="1"/>
      <w:numFmt w:val="bullet"/>
      <w:lvlText w:val=""/>
      <w:lvlJc w:val="left"/>
      <w:pPr>
        <w:ind w:left="6480" w:hanging="360"/>
      </w:pPr>
      <w:rPr>
        <w:rFonts w:ascii="Wingdings" w:hAnsi="Wingdings" w:hint="default"/>
      </w:rPr>
    </w:lvl>
  </w:abstractNum>
  <w:num w:numId="1" w16cid:durableId="956132949">
    <w:abstractNumId w:val="5"/>
  </w:num>
  <w:num w:numId="2" w16cid:durableId="407658460">
    <w:abstractNumId w:val="4"/>
  </w:num>
  <w:num w:numId="3" w16cid:durableId="1234777648">
    <w:abstractNumId w:val="2"/>
  </w:num>
  <w:num w:numId="4" w16cid:durableId="1602756799">
    <w:abstractNumId w:val="0"/>
  </w:num>
  <w:num w:numId="5" w16cid:durableId="472136168">
    <w:abstractNumId w:val="1"/>
  </w:num>
  <w:num w:numId="6" w16cid:durableId="1297107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E2"/>
    <w:rsid w:val="000779DC"/>
    <w:rsid w:val="000C1B97"/>
    <w:rsid w:val="000F645D"/>
    <w:rsid w:val="00120EC2"/>
    <w:rsid w:val="00194AFF"/>
    <w:rsid w:val="001C71F6"/>
    <w:rsid w:val="001D3151"/>
    <w:rsid w:val="00204908"/>
    <w:rsid w:val="0021551D"/>
    <w:rsid w:val="0021771F"/>
    <w:rsid w:val="00230F3C"/>
    <w:rsid w:val="002A2F5C"/>
    <w:rsid w:val="002C3F1E"/>
    <w:rsid w:val="002D0527"/>
    <w:rsid w:val="002D7F00"/>
    <w:rsid w:val="002E4B39"/>
    <w:rsid w:val="002E6058"/>
    <w:rsid w:val="00302E77"/>
    <w:rsid w:val="003248BA"/>
    <w:rsid w:val="003358C3"/>
    <w:rsid w:val="003E4924"/>
    <w:rsid w:val="004112E2"/>
    <w:rsid w:val="004B4177"/>
    <w:rsid w:val="005D355D"/>
    <w:rsid w:val="0062540E"/>
    <w:rsid w:val="0068189E"/>
    <w:rsid w:val="006C1B9B"/>
    <w:rsid w:val="006C3A0A"/>
    <w:rsid w:val="00774226"/>
    <w:rsid w:val="007873B3"/>
    <w:rsid w:val="007E687F"/>
    <w:rsid w:val="00825266"/>
    <w:rsid w:val="00832135"/>
    <w:rsid w:val="00835179"/>
    <w:rsid w:val="00896415"/>
    <w:rsid w:val="00903483"/>
    <w:rsid w:val="00982041"/>
    <w:rsid w:val="009F653E"/>
    <w:rsid w:val="00A32F85"/>
    <w:rsid w:val="00AC3E98"/>
    <w:rsid w:val="00AF3EF2"/>
    <w:rsid w:val="00B45171"/>
    <w:rsid w:val="00B82A3C"/>
    <w:rsid w:val="00BA710F"/>
    <w:rsid w:val="00BC538C"/>
    <w:rsid w:val="00BD1C7F"/>
    <w:rsid w:val="00C37C00"/>
    <w:rsid w:val="00CC6F3C"/>
    <w:rsid w:val="00D333AE"/>
    <w:rsid w:val="00D33DED"/>
    <w:rsid w:val="00D721AF"/>
    <w:rsid w:val="00D901A6"/>
    <w:rsid w:val="00DA2405"/>
    <w:rsid w:val="00DB57DF"/>
    <w:rsid w:val="00DE7E7B"/>
    <w:rsid w:val="00DF4585"/>
    <w:rsid w:val="00E11AEF"/>
    <w:rsid w:val="00E279DF"/>
    <w:rsid w:val="00E57B6C"/>
    <w:rsid w:val="00E87A87"/>
    <w:rsid w:val="00EA7DB2"/>
    <w:rsid w:val="00F02131"/>
    <w:rsid w:val="00F8675A"/>
    <w:rsid w:val="00FB5923"/>
    <w:rsid w:val="00FD078A"/>
    <w:rsid w:val="00FD2CAA"/>
    <w:rsid w:val="00FE3A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101D2"/>
  <w15:chartTrackingRefBased/>
  <w15:docId w15:val="{33D17735-8DC6-4AA6-9BD5-3D7236EE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89E"/>
  </w:style>
  <w:style w:type="paragraph" w:styleId="Heading1">
    <w:name w:val="heading 1"/>
    <w:basedOn w:val="Normal"/>
    <w:next w:val="Normal"/>
    <w:link w:val="Heading1Char"/>
    <w:uiPriority w:val="9"/>
    <w:qFormat/>
    <w:rsid w:val="00411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2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2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2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2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2E2"/>
    <w:rPr>
      <w:rFonts w:eastAsiaTheme="majorEastAsia" w:cstheme="majorBidi"/>
      <w:color w:val="272727" w:themeColor="text1" w:themeTint="D8"/>
    </w:rPr>
  </w:style>
  <w:style w:type="paragraph" w:styleId="Title">
    <w:name w:val="Title"/>
    <w:basedOn w:val="Normal"/>
    <w:next w:val="Normal"/>
    <w:link w:val="TitleChar"/>
    <w:uiPriority w:val="10"/>
    <w:qFormat/>
    <w:rsid w:val="00411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2E2"/>
    <w:pPr>
      <w:spacing w:before="160"/>
      <w:jc w:val="center"/>
    </w:pPr>
    <w:rPr>
      <w:i/>
      <w:iCs/>
      <w:color w:val="404040" w:themeColor="text1" w:themeTint="BF"/>
    </w:rPr>
  </w:style>
  <w:style w:type="character" w:customStyle="1" w:styleId="QuoteChar">
    <w:name w:val="Quote Char"/>
    <w:basedOn w:val="DefaultParagraphFont"/>
    <w:link w:val="Quote"/>
    <w:uiPriority w:val="29"/>
    <w:rsid w:val="004112E2"/>
    <w:rPr>
      <w:i/>
      <w:iCs/>
      <w:color w:val="404040" w:themeColor="text1" w:themeTint="BF"/>
    </w:rPr>
  </w:style>
  <w:style w:type="paragraph" w:styleId="ListParagraph">
    <w:name w:val="List Paragraph"/>
    <w:basedOn w:val="Normal"/>
    <w:uiPriority w:val="34"/>
    <w:qFormat/>
    <w:rsid w:val="004112E2"/>
    <w:pPr>
      <w:ind w:left="720"/>
      <w:contextualSpacing/>
    </w:pPr>
  </w:style>
  <w:style w:type="character" w:styleId="IntenseEmphasis">
    <w:name w:val="Intense Emphasis"/>
    <w:basedOn w:val="DefaultParagraphFont"/>
    <w:uiPriority w:val="21"/>
    <w:qFormat/>
    <w:rsid w:val="004112E2"/>
    <w:rPr>
      <w:i/>
      <w:iCs/>
      <w:color w:val="0F4761" w:themeColor="accent1" w:themeShade="BF"/>
    </w:rPr>
  </w:style>
  <w:style w:type="paragraph" w:styleId="IntenseQuote">
    <w:name w:val="Intense Quote"/>
    <w:basedOn w:val="Normal"/>
    <w:next w:val="Normal"/>
    <w:link w:val="IntenseQuoteChar"/>
    <w:uiPriority w:val="30"/>
    <w:qFormat/>
    <w:rsid w:val="00411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2E2"/>
    <w:rPr>
      <w:i/>
      <w:iCs/>
      <w:color w:val="0F4761" w:themeColor="accent1" w:themeShade="BF"/>
    </w:rPr>
  </w:style>
  <w:style w:type="character" w:styleId="IntenseReference">
    <w:name w:val="Intense Reference"/>
    <w:basedOn w:val="DefaultParagraphFont"/>
    <w:uiPriority w:val="32"/>
    <w:qFormat/>
    <w:rsid w:val="004112E2"/>
    <w:rPr>
      <w:b/>
      <w:bCs/>
      <w:smallCaps/>
      <w:color w:val="0F4761" w:themeColor="accent1" w:themeShade="BF"/>
      <w:spacing w:val="5"/>
    </w:rPr>
  </w:style>
  <w:style w:type="paragraph" w:styleId="TOCHeading">
    <w:name w:val="TOC Heading"/>
    <w:basedOn w:val="Heading1"/>
    <w:next w:val="Normal"/>
    <w:uiPriority w:val="39"/>
    <w:unhideWhenUsed/>
    <w:qFormat/>
    <w:rsid w:val="0021551D"/>
    <w:pPr>
      <w:spacing w:before="240" w:after="0" w:line="259" w:lineRule="auto"/>
      <w:outlineLvl w:val="9"/>
    </w:pPr>
    <w:rPr>
      <w:kern w:val="0"/>
      <w:sz w:val="32"/>
      <w:szCs w:val="32"/>
      <w14:ligatures w14:val="none"/>
    </w:rPr>
  </w:style>
  <w:style w:type="paragraph" w:styleId="FootnoteText">
    <w:name w:val="footnote text"/>
    <w:basedOn w:val="Normal"/>
    <w:link w:val="FootnoteTextChar"/>
    <w:uiPriority w:val="99"/>
    <w:semiHidden/>
    <w:unhideWhenUsed/>
    <w:rsid w:val="002155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551D"/>
    <w:rPr>
      <w:sz w:val="20"/>
      <w:szCs w:val="20"/>
    </w:rPr>
  </w:style>
  <w:style w:type="character" w:styleId="FootnoteReference">
    <w:name w:val="footnote reference"/>
    <w:basedOn w:val="DefaultParagraphFont"/>
    <w:uiPriority w:val="99"/>
    <w:semiHidden/>
    <w:unhideWhenUsed/>
    <w:rsid w:val="0021551D"/>
    <w:rPr>
      <w:vertAlign w:val="superscript"/>
    </w:rPr>
  </w:style>
  <w:style w:type="character" w:styleId="Hyperlink">
    <w:name w:val="Hyperlink"/>
    <w:basedOn w:val="DefaultParagraphFont"/>
    <w:uiPriority w:val="99"/>
    <w:unhideWhenUsed/>
    <w:rsid w:val="0021551D"/>
    <w:rPr>
      <w:color w:val="467886" w:themeColor="hyperlink"/>
      <w:u w:val="single"/>
    </w:rPr>
  </w:style>
  <w:style w:type="paragraph" w:customStyle="1" w:styleId="Style1">
    <w:name w:val="Style1"/>
    <w:basedOn w:val="Heading1"/>
    <w:link w:val="Style1Char"/>
    <w:qFormat/>
    <w:rsid w:val="0021551D"/>
    <w:pPr>
      <w:spacing w:line="480" w:lineRule="auto"/>
      <w:ind w:firstLine="720"/>
      <w:jc w:val="center"/>
    </w:pPr>
    <w:rPr>
      <w:rFonts w:asciiTheme="majorBidi" w:hAnsiTheme="majorBidi"/>
      <w:b/>
      <w:sz w:val="32"/>
    </w:rPr>
  </w:style>
  <w:style w:type="character" w:customStyle="1" w:styleId="Style1Char">
    <w:name w:val="Style1 Char"/>
    <w:basedOn w:val="Heading1Char"/>
    <w:link w:val="Style1"/>
    <w:rsid w:val="0021551D"/>
    <w:rPr>
      <w:rFonts w:asciiTheme="majorBidi" w:eastAsiaTheme="majorEastAsia" w:hAnsiTheme="majorBidi" w:cstheme="majorBidi"/>
      <w:b/>
      <w:color w:val="0F4761" w:themeColor="accent1" w:themeShade="BF"/>
      <w:sz w:val="32"/>
      <w:szCs w:val="40"/>
    </w:rPr>
  </w:style>
  <w:style w:type="paragraph" w:customStyle="1" w:styleId="Style2">
    <w:name w:val="Style2"/>
    <w:basedOn w:val="Heading2"/>
    <w:link w:val="Style2Char"/>
    <w:qFormat/>
    <w:rsid w:val="001C71F6"/>
    <w:pPr>
      <w:spacing w:line="480" w:lineRule="auto"/>
      <w:jc w:val="both"/>
    </w:pPr>
    <w:rPr>
      <w:rFonts w:asciiTheme="majorBidi" w:hAnsiTheme="majorBidi"/>
      <w:b/>
      <w:bCs/>
      <w:u w:val="single"/>
    </w:rPr>
  </w:style>
  <w:style w:type="character" w:customStyle="1" w:styleId="Style2Char">
    <w:name w:val="Style2 Char"/>
    <w:basedOn w:val="Heading2Char"/>
    <w:link w:val="Style2"/>
    <w:rsid w:val="001C71F6"/>
    <w:rPr>
      <w:rFonts w:asciiTheme="majorBidi" w:eastAsiaTheme="majorEastAsia" w:hAnsiTheme="majorBidi" w:cstheme="majorBidi"/>
      <w:b/>
      <w:bCs/>
      <w:color w:val="0F4761" w:themeColor="accent1" w:themeShade="BF"/>
      <w:sz w:val="32"/>
      <w:szCs w:val="32"/>
      <w:u w:val="single"/>
    </w:rPr>
  </w:style>
  <w:style w:type="paragraph" w:customStyle="1" w:styleId="Style3">
    <w:name w:val="Style3"/>
    <w:basedOn w:val="Heading3"/>
    <w:link w:val="Style3Char"/>
    <w:qFormat/>
    <w:rsid w:val="001C71F6"/>
  </w:style>
  <w:style w:type="character" w:customStyle="1" w:styleId="Style3Char">
    <w:name w:val="Style3 Char"/>
    <w:basedOn w:val="Heading3Char"/>
    <w:link w:val="Style3"/>
    <w:rsid w:val="001C71F6"/>
    <w:rPr>
      <w:rFonts w:eastAsiaTheme="majorEastAsia" w:cstheme="majorBidi"/>
      <w:color w:val="0F4761" w:themeColor="accent1" w:themeShade="BF"/>
      <w:sz w:val="28"/>
      <w:szCs w:val="28"/>
    </w:rPr>
  </w:style>
  <w:style w:type="paragraph" w:styleId="TOC1">
    <w:name w:val="toc 1"/>
    <w:basedOn w:val="Normal"/>
    <w:next w:val="Normal"/>
    <w:autoRedefine/>
    <w:uiPriority w:val="39"/>
    <w:unhideWhenUsed/>
    <w:rsid w:val="001C71F6"/>
    <w:pPr>
      <w:spacing w:after="100"/>
    </w:pPr>
  </w:style>
  <w:style w:type="paragraph" w:styleId="TOC2">
    <w:name w:val="toc 2"/>
    <w:basedOn w:val="Normal"/>
    <w:next w:val="Normal"/>
    <w:autoRedefine/>
    <w:uiPriority w:val="39"/>
    <w:unhideWhenUsed/>
    <w:rsid w:val="001C71F6"/>
    <w:pPr>
      <w:spacing w:after="100"/>
      <w:ind w:left="240"/>
    </w:pPr>
  </w:style>
  <w:style w:type="paragraph" w:styleId="TOC3">
    <w:name w:val="toc 3"/>
    <w:basedOn w:val="Normal"/>
    <w:next w:val="Normal"/>
    <w:autoRedefine/>
    <w:uiPriority w:val="39"/>
    <w:unhideWhenUsed/>
    <w:rsid w:val="001C71F6"/>
    <w:pPr>
      <w:spacing w:after="100"/>
      <w:ind w:left="480"/>
    </w:pPr>
  </w:style>
  <w:style w:type="paragraph" w:customStyle="1" w:styleId="Style4">
    <w:name w:val="Style4"/>
    <w:basedOn w:val="Heading3"/>
    <w:link w:val="Style4Char"/>
    <w:qFormat/>
    <w:rsid w:val="002E4B39"/>
    <w:pPr>
      <w:ind w:left="720"/>
    </w:pPr>
  </w:style>
  <w:style w:type="character" w:customStyle="1" w:styleId="Style4Char">
    <w:name w:val="Style4 Char"/>
    <w:basedOn w:val="Heading3Char"/>
    <w:link w:val="Style4"/>
    <w:rsid w:val="002E4B39"/>
    <w:rPr>
      <w:rFonts w:eastAsiaTheme="majorEastAsia" w:cstheme="majorBidi"/>
      <w:color w:val="0F4761" w:themeColor="accent1" w:themeShade="BF"/>
      <w:sz w:val="28"/>
      <w:szCs w:val="28"/>
    </w:rPr>
  </w:style>
  <w:style w:type="paragraph" w:customStyle="1" w:styleId="Style5">
    <w:name w:val="Style5"/>
    <w:basedOn w:val="Style4"/>
    <w:link w:val="Style5Char"/>
    <w:qFormat/>
    <w:rsid w:val="00BC538C"/>
    <w:rPr>
      <w:rFonts w:asciiTheme="majorBidi" w:hAnsiTheme="majorBidi"/>
      <w:b/>
      <w:i/>
      <w:u w:val="single"/>
    </w:rPr>
  </w:style>
  <w:style w:type="character" w:customStyle="1" w:styleId="Style5Char">
    <w:name w:val="Style5 Char"/>
    <w:basedOn w:val="Style4Char"/>
    <w:link w:val="Style5"/>
    <w:rsid w:val="00BC538C"/>
    <w:rPr>
      <w:rFonts w:asciiTheme="majorBidi" w:eastAsiaTheme="majorEastAsia" w:hAnsiTheme="majorBidi" w:cstheme="majorBidi"/>
      <w:b/>
      <w:i/>
      <w:color w:val="0F4761" w:themeColor="accent1" w:themeShade="BF"/>
      <w:sz w:val="28"/>
      <w:szCs w:val="28"/>
      <w:u w:val="single"/>
    </w:rPr>
  </w:style>
  <w:style w:type="table" w:styleId="TableGrid">
    <w:name w:val="Table Grid"/>
    <w:basedOn w:val="TableNormal"/>
    <w:uiPriority w:val="39"/>
    <w:rsid w:val="00A3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A32F8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A32F85"/>
    <w:pPr>
      <w:spacing w:after="200" w:line="240" w:lineRule="auto"/>
    </w:pPr>
    <w:rPr>
      <w:i/>
      <w:iCs/>
      <w:color w:val="0E2841" w:themeColor="text2"/>
      <w:sz w:val="18"/>
      <w:szCs w:val="18"/>
    </w:rPr>
  </w:style>
  <w:style w:type="paragraph" w:styleId="Header">
    <w:name w:val="header"/>
    <w:basedOn w:val="Normal"/>
    <w:link w:val="HeaderChar"/>
    <w:uiPriority w:val="99"/>
    <w:unhideWhenUsed/>
    <w:rsid w:val="00EA7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DB2"/>
  </w:style>
  <w:style w:type="paragraph" w:styleId="Footer">
    <w:name w:val="footer"/>
    <w:basedOn w:val="Normal"/>
    <w:link w:val="FooterChar"/>
    <w:uiPriority w:val="99"/>
    <w:unhideWhenUsed/>
    <w:rsid w:val="00EA7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DB2"/>
  </w:style>
  <w:style w:type="character" w:styleId="LineNumber">
    <w:name w:val="line number"/>
    <w:basedOn w:val="DefaultParagraphFont"/>
    <w:uiPriority w:val="99"/>
    <w:semiHidden/>
    <w:unhideWhenUsed/>
    <w:rsid w:val="00EA7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82367">
      <w:bodyDiv w:val="1"/>
      <w:marLeft w:val="0"/>
      <w:marRight w:val="0"/>
      <w:marTop w:val="0"/>
      <w:marBottom w:val="0"/>
      <w:divBdr>
        <w:top w:val="none" w:sz="0" w:space="0" w:color="auto"/>
        <w:left w:val="none" w:sz="0" w:space="0" w:color="auto"/>
        <w:bottom w:val="none" w:sz="0" w:space="0" w:color="auto"/>
        <w:right w:val="none" w:sz="0" w:space="0" w:color="auto"/>
      </w:divBdr>
    </w:div>
    <w:div w:id="100802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edium.com/@kennethandres/the-american-war-on-iraq-the-failure-of-the-neoconservative-ideal-and-the-triumph-of-political-5c9047cf615c" TargetMode="External"/><Relationship Id="rId18" Type="http://schemas.openxmlformats.org/officeDocument/2006/relationships/hyperlink" Target="https://www.csis.org/analysis/iraqi-stability-and-its-free-falling-middle-class" TargetMode="External"/><Relationship Id="rId26" Type="http://schemas.openxmlformats.org/officeDocument/2006/relationships/hyperlink" Target="https://www.prospect.org/" TargetMode="External"/><Relationship Id="rId3" Type="http://schemas.openxmlformats.org/officeDocument/2006/relationships/styles" Target="styles.xml"/><Relationship Id="rId21" Type="http://schemas.openxmlformats.org/officeDocument/2006/relationships/hyperlink" Target="https://blogs.worldbank.org/en/arabvoices/conflict-pollution-lessons-iraq" TargetMode="External"/><Relationship Id="rId7" Type="http://schemas.openxmlformats.org/officeDocument/2006/relationships/endnotes" Target="endnotes.xml"/><Relationship Id="rId12" Type="http://schemas.openxmlformats.org/officeDocument/2006/relationships/hyperlink" Target="https://foreignpolicy.com/2024/10/08/iraq-sunni-shiite-womens-rights-religion-law/" TargetMode="External"/><Relationship Id="rId17" Type="http://schemas.openxmlformats.org/officeDocument/2006/relationships/hyperlink" Target="https://watson.brown.edu/costsofwar/costs/environmental" TargetMode="External"/><Relationship Id="rId25" Type="http://schemas.openxmlformats.org/officeDocument/2006/relationships/hyperlink" Target="https://doi.org/10.1111/1467-8675.12743" TargetMode="External"/><Relationship Id="rId2" Type="http://schemas.openxmlformats.org/officeDocument/2006/relationships/numbering" Target="numbering.xml"/><Relationship Id="rId16" Type="http://schemas.openxmlformats.org/officeDocument/2006/relationships/hyperlink" Target="https://watson.brown.edu/costsofwar/files/cow/imce/papers/2013/Democracy%20in%20PostInvasion%20Iraq.pdf" TargetMode="External"/><Relationship Id="rId20" Type="http://schemas.openxmlformats.org/officeDocument/2006/relationships/hyperlink" Target="https://www.nytimes.com/2025/03/05/opinion/trump-musk-ukraine-iraq.html?smid=wa-shar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alternateroutes.ca/index.php/ar/article/view/22515" TargetMode="External"/><Relationship Id="rId5" Type="http://schemas.openxmlformats.org/officeDocument/2006/relationships/webSettings" Target="webSettings.xml"/><Relationship Id="rId15" Type="http://schemas.openxmlformats.org/officeDocument/2006/relationships/hyperlink" Target="https://www.ned.org/remarks-by-president-george-w-bush-at-the-20th-anniversary/" TargetMode="External"/><Relationship Id="rId23" Type="http://schemas.openxmlformats.org/officeDocument/2006/relationships/hyperlink" Target="https://www.csis.org/analysis/iraq-20-years-after-invasion-humanitarian-displacement-and-climate-change-challenges"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doi.org/10.2307/j.ctt22rbjj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tni.org/en/video/remembering-the-worlds-biggest-peace-protest" TargetMode="External"/><Relationship Id="rId22" Type="http://schemas.openxmlformats.org/officeDocument/2006/relationships/hyperlink" Target="https://insideclimatenews.org/news/29122021/iraq-ecocide/" TargetMode="External"/><Relationship Id="rId27" Type="http://schemas.openxmlformats.org/officeDocument/2006/relationships/hyperlink" Target="https://doi.org/10.1017/CBO9780511628283.00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ismena.com/en/article/2003-2022-the-impossible-shiite-power-in-iraq-2022-06-01" TargetMode="External"/><Relationship Id="rId13" Type="http://schemas.openxmlformats.org/officeDocument/2006/relationships/hyperlink" Target="https://www.csis.org/analysis/iraqi-stability-and-its-free-falling-middle-class" TargetMode="External"/><Relationship Id="rId3" Type="http://schemas.openxmlformats.org/officeDocument/2006/relationships/hyperlink" Target="https://medium.com/@kennethandres/the-american-war-on-iraq-the-failure-of-the-neoconservative-ideal-and-the-triumph-of-political-5c9047cf615c" TargetMode="External"/><Relationship Id="rId7" Type="http://schemas.openxmlformats.org/officeDocument/2006/relationships/hyperlink" Target="https://www.tni.org/en/video/remembering-the-worlds-biggest-peace-protest" TargetMode="External"/><Relationship Id="rId12" Type="http://schemas.openxmlformats.org/officeDocument/2006/relationships/hyperlink" Target="https://insideclimatenews.org/news/29122021/iraq-ecocide/" TargetMode="External"/><Relationship Id="rId2" Type="http://schemas.openxmlformats.org/officeDocument/2006/relationships/hyperlink" Target="https://www.nytimes.com/2025/03/05/opinion/trump-musk-ukraine-iraq.html?smid=wa-share" TargetMode="External"/><Relationship Id="rId1" Type="http://schemas.openxmlformats.org/officeDocument/2006/relationships/hyperlink" Target="https://sasn.rutgers.edu/critical-studies-iraq" TargetMode="External"/><Relationship Id="rId6" Type="http://schemas.openxmlformats.org/officeDocument/2006/relationships/hyperlink" Target="https://editorials.voa.gov/a/a-41-a-2003-09-22-7-1-83097722/1478313.html" TargetMode="External"/><Relationship Id="rId11" Type="http://schemas.openxmlformats.org/officeDocument/2006/relationships/hyperlink" Target="https://blogs.worldbank.org/en/arabvoices/conflict-pollution-lessons-iraq" TargetMode="External"/><Relationship Id="rId5" Type="http://schemas.openxmlformats.org/officeDocument/2006/relationships/hyperlink" Target="https://www.ned.org/remarks-by-president-george-w-bush-at-the-20th-anniversary/" TargetMode="External"/><Relationship Id="rId10" Type="http://schemas.openxmlformats.org/officeDocument/2006/relationships/hyperlink" Target="https://www.csis.org/analysis/iraq-20-years-after-invasion-humanitarian-displacement-and-climate-change-challenges" TargetMode="External"/><Relationship Id="rId4" Type="http://schemas.openxmlformats.org/officeDocument/2006/relationships/hyperlink" Target="https://www.prospect.org" TargetMode="External"/><Relationship Id="rId9" Type="http://schemas.openxmlformats.org/officeDocument/2006/relationships/hyperlink" Target="https://watson.brown.edu/costsofwar/costs/environme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48C11-809F-4549-905F-DECE98ADF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14802</Words>
  <Characters>84373</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Dler Awsman</dc:creator>
  <cp:keywords/>
  <dc:description/>
  <cp:lastModifiedBy>Dler Awsman</cp:lastModifiedBy>
  <cp:revision>5</cp:revision>
  <cp:lastPrinted>2025-07-01T21:19:00Z</cp:lastPrinted>
  <dcterms:created xsi:type="dcterms:W3CDTF">2025-07-01T21:36:00Z</dcterms:created>
  <dcterms:modified xsi:type="dcterms:W3CDTF">2025-07-01T21:41:00Z</dcterms:modified>
</cp:coreProperties>
</file>