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CFD12" w14:textId="77777777" w:rsidR="00451B7F" w:rsidRPr="00F21024" w:rsidRDefault="00451B7F" w:rsidP="00531AD5">
      <w:pPr>
        <w:spacing w:line="360" w:lineRule="auto"/>
        <w:jc w:val="center"/>
        <w:rPr>
          <w:b/>
          <w:lang w:val="en-CA"/>
        </w:rPr>
      </w:pPr>
      <w:r w:rsidRPr="00F21024">
        <w:rPr>
          <w:b/>
          <w:lang w:val="en-CA"/>
        </w:rPr>
        <w:t xml:space="preserve">The Effect of Tillage Practice and Cover Cropping Systems </w:t>
      </w:r>
    </w:p>
    <w:p w14:paraId="79135F9A" w14:textId="0C3FF21D" w:rsidR="00451B7F" w:rsidRPr="00F21024" w:rsidRDefault="00451B7F" w:rsidP="00531AD5">
      <w:pPr>
        <w:spacing w:line="360" w:lineRule="auto"/>
        <w:jc w:val="center"/>
        <w:rPr>
          <w:b/>
          <w:lang w:val="en-CA"/>
        </w:rPr>
      </w:pPr>
      <w:r w:rsidRPr="00F21024">
        <w:rPr>
          <w:b/>
          <w:lang w:val="en-CA"/>
        </w:rPr>
        <w:t xml:space="preserve">on Yield, Quality, and Angular Leaf Spot </w:t>
      </w:r>
      <w:r w:rsidR="00FE5A67" w:rsidRPr="00F21024">
        <w:rPr>
          <w:b/>
          <w:lang w:val="en-CA"/>
        </w:rPr>
        <w:t>O</w:t>
      </w:r>
      <w:r w:rsidR="00FE5A67">
        <w:rPr>
          <w:b/>
          <w:lang w:val="en-CA"/>
        </w:rPr>
        <w:t>ccurrence</w:t>
      </w:r>
    </w:p>
    <w:p w14:paraId="4D258AE8" w14:textId="21955610" w:rsidR="00236E6D" w:rsidRPr="00F21024" w:rsidRDefault="00451B7F" w:rsidP="00531AD5">
      <w:pPr>
        <w:spacing w:line="360" w:lineRule="auto"/>
        <w:jc w:val="center"/>
      </w:pPr>
      <w:r w:rsidRPr="00F21024">
        <w:rPr>
          <w:b/>
          <w:lang w:val="en-CA"/>
        </w:rPr>
        <w:t>in Dark Tobacco in Tennessee</w:t>
      </w:r>
    </w:p>
    <w:p w14:paraId="344EC717" w14:textId="77777777" w:rsidR="00236E6D" w:rsidRPr="00F21024" w:rsidRDefault="00236E6D" w:rsidP="00531AD5">
      <w:pPr>
        <w:spacing w:line="360" w:lineRule="auto"/>
        <w:jc w:val="center"/>
      </w:pPr>
    </w:p>
    <w:p w14:paraId="4D388AE8" w14:textId="77777777" w:rsidR="00236E6D" w:rsidRPr="00F21024" w:rsidRDefault="00236E6D" w:rsidP="00531AD5">
      <w:pPr>
        <w:spacing w:line="360" w:lineRule="auto"/>
        <w:jc w:val="center"/>
      </w:pPr>
    </w:p>
    <w:p w14:paraId="0D35C00C" w14:textId="77777777" w:rsidR="00236E6D" w:rsidRPr="00F21024" w:rsidRDefault="00236E6D" w:rsidP="00531AD5">
      <w:pPr>
        <w:spacing w:line="360" w:lineRule="auto"/>
        <w:jc w:val="center"/>
      </w:pPr>
    </w:p>
    <w:p w14:paraId="62155710" w14:textId="77777777" w:rsidR="00236E6D" w:rsidRPr="00F21024" w:rsidRDefault="00236E6D" w:rsidP="00531AD5">
      <w:pPr>
        <w:spacing w:line="360" w:lineRule="auto"/>
        <w:jc w:val="center"/>
      </w:pPr>
    </w:p>
    <w:p w14:paraId="67B9DE52" w14:textId="77777777" w:rsidR="00236E6D" w:rsidRPr="00F21024" w:rsidRDefault="00236E6D" w:rsidP="00531AD5">
      <w:pPr>
        <w:spacing w:line="360" w:lineRule="auto"/>
        <w:jc w:val="center"/>
      </w:pPr>
    </w:p>
    <w:p w14:paraId="6092E400" w14:textId="77777777" w:rsidR="00236E6D" w:rsidRPr="00F21024" w:rsidRDefault="00236E6D" w:rsidP="00531AD5">
      <w:pPr>
        <w:spacing w:line="360" w:lineRule="auto"/>
        <w:jc w:val="center"/>
      </w:pPr>
    </w:p>
    <w:p w14:paraId="7E41C9A2" w14:textId="77777777" w:rsidR="009D2AA9" w:rsidRPr="00F21024" w:rsidRDefault="009D2AA9" w:rsidP="00531AD5">
      <w:pPr>
        <w:spacing w:line="360" w:lineRule="auto"/>
        <w:jc w:val="center"/>
      </w:pPr>
    </w:p>
    <w:p w14:paraId="1E5BA439" w14:textId="77777777" w:rsidR="00356647" w:rsidRDefault="00356647" w:rsidP="00531AD5">
      <w:pPr>
        <w:spacing w:line="360" w:lineRule="auto"/>
      </w:pPr>
    </w:p>
    <w:p w14:paraId="2A750F8B" w14:textId="4487873A" w:rsidR="00236E6D" w:rsidRPr="00F21024" w:rsidRDefault="009C755C" w:rsidP="00531AD5">
      <w:pPr>
        <w:spacing w:line="360" w:lineRule="auto"/>
        <w:jc w:val="center"/>
      </w:pPr>
      <w:r w:rsidRPr="00F21024">
        <w:t>A Thesis Presented for</w:t>
      </w:r>
      <w:r w:rsidR="008865B6" w:rsidRPr="00F21024">
        <w:t xml:space="preserve"> the</w:t>
      </w:r>
    </w:p>
    <w:p w14:paraId="5DE2BD8B" w14:textId="77777777" w:rsidR="00531AD5" w:rsidRDefault="009C755C" w:rsidP="00531AD5">
      <w:pPr>
        <w:spacing w:line="360" w:lineRule="auto"/>
        <w:jc w:val="center"/>
      </w:pPr>
      <w:r w:rsidRPr="00F21024">
        <w:t>Master of Science</w:t>
      </w:r>
      <w:r w:rsidR="00356647">
        <w:t xml:space="preserve"> </w:t>
      </w:r>
    </w:p>
    <w:p w14:paraId="649C6629" w14:textId="3AD37956" w:rsidR="009C755C" w:rsidRPr="00F21024" w:rsidRDefault="009C755C" w:rsidP="00531AD5">
      <w:pPr>
        <w:spacing w:line="360" w:lineRule="auto"/>
        <w:jc w:val="center"/>
      </w:pPr>
      <w:r w:rsidRPr="00F21024">
        <w:t>Degree</w:t>
      </w:r>
    </w:p>
    <w:p w14:paraId="5F081B91" w14:textId="77777777" w:rsidR="009C755C" w:rsidRPr="00F21024" w:rsidRDefault="009C755C" w:rsidP="00531AD5">
      <w:pPr>
        <w:spacing w:line="360" w:lineRule="auto"/>
        <w:jc w:val="center"/>
      </w:pPr>
      <w:r w:rsidRPr="00F21024">
        <w:t>The University of Tennessee, Knoxville</w:t>
      </w:r>
    </w:p>
    <w:p w14:paraId="5516805C" w14:textId="77777777" w:rsidR="00236E6D" w:rsidRPr="00F21024" w:rsidRDefault="00236E6D" w:rsidP="00531AD5">
      <w:pPr>
        <w:spacing w:line="360" w:lineRule="auto"/>
        <w:jc w:val="center"/>
      </w:pPr>
    </w:p>
    <w:p w14:paraId="5B473ED5" w14:textId="77777777" w:rsidR="00236E6D" w:rsidRPr="00F21024" w:rsidRDefault="00236E6D" w:rsidP="00531AD5">
      <w:pPr>
        <w:spacing w:line="360" w:lineRule="auto"/>
        <w:jc w:val="center"/>
      </w:pPr>
    </w:p>
    <w:p w14:paraId="5742636B" w14:textId="77777777" w:rsidR="00236E6D" w:rsidRPr="00F21024" w:rsidRDefault="00236E6D" w:rsidP="00531AD5">
      <w:pPr>
        <w:spacing w:line="360" w:lineRule="auto"/>
        <w:jc w:val="center"/>
      </w:pPr>
    </w:p>
    <w:p w14:paraId="28ECEB3F" w14:textId="77777777" w:rsidR="00236E6D" w:rsidRPr="00F21024" w:rsidRDefault="00236E6D" w:rsidP="00531AD5">
      <w:pPr>
        <w:spacing w:line="360" w:lineRule="auto"/>
        <w:jc w:val="center"/>
      </w:pPr>
    </w:p>
    <w:p w14:paraId="24098E87" w14:textId="77777777" w:rsidR="00236E6D" w:rsidRPr="00F21024" w:rsidRDefault="00236E6D" w:rsidP="00531AD5">
      <w:pPr>
        <w:spacing w:line="360" w:lineRule="auto"/>
        <w:jc w:val="center"/>
      </w:pPr>
    </w:p>
    <w:p w14:paraId="1DADA531" w14:textId="77777777" w:rsidR="00236E6D" w:rsidRPr="00F21024" w:rsidRDefault="00236E6D" w:rsidP="00531AD5">
      <w:pPr>
        <w:spacing w:line="360" w:lineRule="auto"/>
        <w:jc w:val="center"/>
      </w:pPr>
    </w:p>
    <w:p w14:paraId="29A6FB9B" w14:textId="77777777" w:rsidR="00236E6D" w:rsidRPr="00F21024" w:rsidRDefault="00236E6D" w:rsidP="00531AD5">
      <w:pPr>
        <w:spacing w:line="360" w:lineRule="auto"/>
        <w:jc w:val="center"/>
      </w:pPr>
    </w:p>
    <w:p w14:paraId="060F22A2" w14:textId="77777777" w:rsidR="00236E6D" w:rsidRPr="00F21024" w:rsidRDefault="00236E6D" w:rsidP="00531AD5">
      <w:pPr>
        <w:spacing w:line="360" w:lineRule="auto"/>
        <w:jc w:val="center"/>
      </w:pPr>
    </w:p>
    <w:p w14:paraId="0DB0529B" w14:textId="77777777" w:rsidR="00236E6D" w:rsidRPr="00F21024" w:rsidRDefault="00236E6D" w:rsidP="00531AD5">
      <w:pPr>
        <w:spacing w:line="360" w:lineRule="auto"/>
        <w:jc w:val="center"/>
      </w:pPr>
    </w:p>
    <w:p w14:paraId="405DCF2A" w14:textId="77777777" w:rsidR="009D2AA9" w:rsidRPr="00F21024" w:rsidRDefault="009D2AA9" w:rsidP="00531AD5">
      <w:pPr>
        <w:spacing w:line="360" w:lineRule="auto"/>
        <w:jc w:val="center"/>
      </w:pPr>
    </w:p>
    <w:p w14:paraId="69E14357" w14:textId="77777777" w:rsidR="009D2AA9" w:rsidRPr="00F21024" w:rsidRDefault="009D2AA9" w:rsidP="00531AD5">
      <w:pPr>
        <w:spacing w:line="360" w:lineRule="auto"/>
        <w:jc w:val="center"/>
      </w:pPr>
    </w:p>
    <w:p w14:paraId="01E14C95" w14:textId="77777777" w:rsidR="009D2AA9" w:rsidRPr="00F21024" w:rsidRDefault="009D2AA9" w:rsidP="00531AD5">
      <w:pPr>
        <w:spacing w:line="360" w:lineRule="auto"/>
        <w:jc w:val="center"/>
      </w:pPr>
    </w:p>
    <w:p w14:paraId="5A272324" w14:textId="076A890B" w:rsidR="00236E6D" w:rsidRPr="00F21024" w:rsidRDefault="005C02DC" w:rsidP="00531AD5">
      <w:pPr>
        <w:spacing w:line="360" w:lineRule="auto"/>
        <w:jc w:val="center"/>
      </w:pPr>
      <w:r w:rsidRPr="00F21024">
        <w:t>Alyssa Corinne Thelin</w:t>
      </w:r>
    </w:p>
    <w:p w14:paraId="2E62B95F" w14:textId="5E8E6D83" w:rsidR="00404C48" w:rsidRDefault="00F52FA4" w:rsidP="00531AD5">
      <w:pPr>
        <w:spacing w:line="360" w:lineRule="auto"/>
        <w:jc w:val="center"/>
      </w:pPr>
      <w:r>
        <w:t>May</w:t>
      </w:r>
      <w:r w:rsidR="00626A33" w:rsidRPr="00F21024">
        <w:t xml:space="preserve"> 2025</w:t>
      </w:r>
    </w:p>
    <w:p w14:paraId="02A60D0A" w14:textId="77777777" w:rsidR="00531AD5" w:rsidRPr="00F21024" w:rsidRDefault="00531AD5" w:rsidP="00531AD5">
      <w:pPr>
        <w:spacing w:line="360" w:lineRule="auto"/>
        <w:jc w:val="center"/>
      </w:pPr>
    </w:p>
    <w:p w14:paraId="7B5B3E5C" w14:textId="33A83FD0" w:rsidR="00CD73A9" w:rsidRPr="00531AD5" w:rsidRDefault="00CD73A9" w:rsidP="00531AD5">
      <w:pPr>
        <w:spacing w:line="360" w:lineRule="auto"/>
        <w:jc w:val="center"/>
        <w:rPr>
          <w:b/>
        </w:rPr>
      </w:pPr>
      <w:r w:rsidRPr="00F21024">
        <w:rPr>
          <w:b/>
        </w:rPr>
        <w:lastRenderedPageBreak/>
        <w:t>ACKNOWLEDGEMENTS</w:t>
      </w:r>
    </w:p>
    <w:p w14:paraId="6D4D58B0" w14:textId="58A4D36C" w:rsidR="00242A04" w:rsidRPr="00F21024" w:rsidRDefault="00FC4E1C" w:rsidP="00531AD5">
      <w:pPr>
        <w:spacing w:line="360" w:lineRule="auto"/>
      </w:pPr>
      <w:r w:rsidRPr="00F21024">
        <w:t xml:space="preserve">Thank you to Dr. Mitchell Richmond and Dr. Virginia Sykes for your fantastic advising and mentorship throughout my time in graduate school. The completion of this degree would not have been possible without the support and guidance I received from both of you. </w:t>
      </w:r>
    </w:p>
    <w:p w14:paraId="7B62463F" w14:textId="464FAD4D" w:rsidR="00242A04" w:rsidRPr="00F21024" w:rsidRDefault="00FC4E1C" w:rsidP="00531AD5">
      <w:pPr>
        <w:spacing w:line="360" w:lineRule="auto"/>
      </w:pPr>
      <w:r w:rsidRPr="00F21024">
        <w:t xml:space="preserve">Thank you to my committee members, Dr. Zachariah Hansen and Dr. Debasish Saha, for your help, support, and guidance. </w:t>
      </w:r>
    </w:p>
    <w:p w14:paraId="5081BC7F" w14:textId="79B83F5B" w:rsidR="00AE7F59" w:rsidRDefault="00FC4E1C" w:rsidP="00531AD5">
      <w:pPr>
        <w:spacing w:line="360" w:lineRule="auto"/>
      </w:pPr>
      <w:r w:rsidRPr="00F21024">
        <w:t>Thank you to the Official Variety Testing Team and the Specialty Crops Lab</w:t>
      </w:r>
      <w:r w:rsidR="00163757">
        <w:t>:</w:t>
      </w:r>
      <w:r w:rsidRPr="00F21024">
        <w:t xml:space="preserve"> Andrew Lawson, </w:t>
      </w:r>
      <w:r w:rsidR="00335309" w:rsidRPr="00F21024">
        <w:t>Fra</w:t>
      </w:r>
      <w:r w:rsidR="0022144F" w:rsidRPr="00F21024">
        <w:t xml:space="preserve">ncisco Palacios, </w:t>
      </w:r>
      <w:r w:rsidRPr="00F21024">
        <w:t>Lexie Worley, Yannick Roberts, Alyssa Counce, Sarah Grahm, Rachel Hefton, Linus Parish, Jonah Hillard, and Samuel Jones for all your help and fun memories!</w:t>
      </w:r>
    </w:p>
    <w:p w14:paraId="43E22602" w14:textId="2C6384D7" w:rsidR="003828B5" w:rsidRPr="00F21024" w:rsidRDefault="00AE7F59" w:rsidP="00531AD5">
      <w:pPr>
        <w:spacing w:line="360" w:lineRule="auto"/>
      </w:pPr>
      <w:r>
        <w:t xml:space="preserve">Thank you to the crew at Highland Rim Research and Education Center, especially Weston Bracey and Rob Ellis for </w:t>
      </w:r>
      <w:r w:rsidR="00753EE4">
        <w:t>all your hard work and encouragement!</w:t>
      </w:r>
    </w:p>
    <w:p w14:paraId="57B4F399" w14:textId="00EBEC79" w:rsidR="00FC4E1C" w:rsidRPr="00F21024" w:rsidRDefault="00FC4E1C" w:rsidP="00531AD5">
      <w:pPr>
        <w:spacing w:line="360" w:lineRule="auto"/>
      </w:pPr>
      <w:r w:rsidRPr="00F21024">
        <w:t>Thank you to all the friends I made along the way, Brooke Keadle Emery, Catie Caterham, Lexie Worley</w:t>
      </w:r>
      <w:r w:rsidR="00230065" w:rsidRPr="00F21024">
        <w:t>, Sarah Grahm</w:t>
      </w:r>
      <w:r w:rsidR="006267A8">
        <w:t>, Rachel Hefton, and Bailey Burns</w:t>
      </w:r>
      <w:r w:rsidRPr="00F21024">
        <w:t xml:space="preserve">. You guys made my time in Tennessee an unforgettable memory. </w:t>
      </w:r>
    </w:p>
    <w:p w14:paraId="02CD55A0" w14:textId="7A941C9B" w:rsidR="006717FC" w:rsidRPr="00F21024" w:rsidRDefault="00FC4E1C" w:rsidP="00531AD5">
      <w:pPr>
        <w:spacing w:line="360" w:lineRule="auto"/>
      </w:pPr>
      <w:r w:rsidRPr="00F21024">
        <w:t xml:space="preserve">And finally, thank you to all my friends and family from Oklahoma. Braden Coats and Mykah Snyder Stone, your support meant the world to me and helped me through all the ups and downs of obtaining a master’s degree. Thank you to Ayson Thelin, the best youngest brother, for sending me funnies </w:t>
      </w:r>
      <w:r w:rsidR="001C7C11" w:rsidRPr="00F21024">
        <w:t>every day</w:t>
      </w:r>
      <w:r w:rsidRPr="00F21024">
        <w:t xml:space="preserve"> that brought a smile to my face and warmth to my heart. Thank you to my mom and dad for supporting my decision to move out-of-state and so far away from home. </w:t>
      </w:r>
    </w:p>
    <w:p w14:paraId="1DD00AA0" w14:textId="77777777" w:rsidR="006717FC" w:rsidRPr="00F21024" w:rsidRDefault="006717FC" w:rsidP="006717FC"/>
    <w:p w14:paraId="5F267562" w14:textId="77777777" w:rsidR="006717FC" w:rsidRPr="00F21024" w:rsidRDefault="006717FC" w:rsidP="006717FC"/>
    <w:p w14:paraId="70C4EEAD" w14:textId="77777777" w:rsidR="006717FC" w:rsidRPr="00F21024" w:rsidRDefault="006717FC" w:rsidP="006717FC"/>
    <w:p w14:paraId="3BE7473D" w14:textId="77777777" w:rsidR="006717FC" w:rsidRPr="00F21024" w:rsidRDefault="006717FC" w:rsidP="006717FC"/>
    <w:p w14:paraId="73531E1D" w14:textId="77777777" w:rsidR="006717FC" w:rsidRPr="00F21024" w:rsidRDefault="006717FC" w:rsidP="006717FC"/>
    <w:p w14:paraId="4D819AC2" w14:textId="77777777" w:rsidR="006717FC" w:rsidRPr="00F21024" w:rsidRDefault="006717FC" w:rsidP="006717FC"/>
    <w:p w14:paraId="1FB0538B" w14:textId="77777777" w:rsidR="006717FC" w:rsidRPr="00F21024" w:rsidRDefault="006717FC" w:rsidP="006717FC"/>
    <w:p w14:paraId="6DCEB33E" w14:textId="77777777" w:rsidR="006717FC" w:rsidRPr="00F21024" w:rsidRDefault="006717FC" w:rsidP="006717FC"/>
    <w:p w14:paraId="1EDD47D6" w14:textId="77777777" w:rsidR="006717FC" w:rsidRPr="00F21024" w:rsidRDefault="006717FC" w:rsidP="006717FC"/>
    <w:p w14:paraId="32DB1937" w14:textId="77777777" w:rsidR="006717FC" w:rsidRPr="00F21024" w:rsidRDefault="006717FC" w:rsidP="006717FC"/>
    <w:p w14:paraId="7E289EC8" w14:textId="77777777" w:rsidR="006717FC" w:rsidRPr="00F21024" w:rsidRDefault="006717FC" w:rsidP="006717FC"/>
    <w:p w14:paraId="0A10F72B" w14:textId="4AEF8578" w:rsidR="00236E6D" w:rsidRPr="00F21024" w:rsidRDefault="00236E6D" w:rsidP="00531AD5">
      <w:pPr>
        <w:spacing w:line="360" w:lineRule="auto"/>
        <w:jc w:val="center"/>
      </w:pPr>
      <w:r w:rsidRPr="00F21024">
        <w:rPr>
          <w:b/>
          <w:bCs/>
        </w:rPr>
        <w:lastRenderedPageBreak/>
        <w:t>ABSTRACT</w:t>
      </w:r>
    </w:p>
    <w:p w14:paraId="79BDCF8A" w14:textId="52E07C60" w:rsidR="00194297" w:rsidRPr="006608F7" w:rsidRDefault="00194297" w:rsidP="00531AD5">
      <w:pPr>
        <w:spacing w:line="360" w:lineRule="auto"/>
        <w:ind w:firstLine="720"/>
      </w:pPr>
      <w:r w:rsidRPr="006608F7">
        <w:t xml:space="preserve">Angular Leaf Spot (ALS) </w:t>
      </w:r>
      <w:r w:rsidRPr="006608F7">
        <w:rPr>
          <w:i/>
          <w:iCs/>
        </w:rPr>
        <w:t>(</w:t>
      </w:r>
      <w:proofErr w:type="spellStart"/>
      <w:r w:rsidRPr="006608F7">
        <w:rPr>
          <w:i/>
          <w:iCs/>
        </w:rPr>
        <w:t>Psuedomonas</w:t>
      </w:r>
      <w:proofErr w:type="spellEnd"/>
      <w:r w:rsidRPr="006608F7">
        <w:rPr>
          <w:i/>
          <w:iCs/>
        </w:rPr>
        <w:t xml:space="preserve"> </w:t>
      </w:r>
      <w:proofErr w:type="spellStart"/>
      <w:r w:rsidRPr="006608F7">
        <w:rPr>
          <w:i/>
          <w:iCs/>
        </w:rPr>
        <w:t>syringae</w:t>
      </w:r>
      <w:proofErr w:type="spellEnd"/>
      <w:r w:rsidRPr="006608F7">
        <w:rPr>
          <w:i/>
          <w:iCs/>
        </w:rPr>
        <w:t xml:space="preserve"> </w:t>
      </w:r>
      <w:proofErr w:type="spellStart"/>
      <w:r w:rsidRPr="0019669C">
        <w:t>pv</w:t>
      </w:r>
      <w:proofErr w:type="spellEnd"/>
      <w:r w:rsidRPr="0019669C">
        <w:t>.</w:t>
      </w:r>
      <w:r w:rsidRPr="006608F7">
        <w:rPr>
          <w:i/>
          <w:iCs/>
        </w:rPr>
        <w:t xml:space="preserve"> </w:t>
      </w:r>
      <w:proofErr w:type="spellStart"/>
      <w:r w:rsidRPr="006608F7">
        <w:rPr>
          <w:i/>
          <w:iCs/>
        </w:rPr>
        <w:t>tabaci</w:t>
      </w:r>
      <w:proofErr w:type="spellEnd"/>
      <w:r w:rsidRPr="006608F7">
        <w:rPr>
          <w:i/>
          <w:iCs/>
        </w:rPr>
        <w:t>)</w:t>
      </w:r>
      <w:r w:rsidRPr="006608F7">
        <w:t xml:space="preserve"> has become an increasingly important </w:t>
      </w:r>
      <w:r>
        <w:t>disease in</w:t>
      </w:r>
      <w:r w:rsidRPr="006608F7">
        <w:t xml:space="preserve"> Mid-South </w:t>
      </w:r>
      <w:r>
        <w:t>US dark</w:t>
      </w:r>
      <w:r w:rsidRPr="006608F7">
        <w:t xml:space="preserve"> </w:t>
      </w:r>
      <w:r>
        <w:t>tobacco production</w:t>
      </w:r>
      <w:r w:rsidRPr="006608F7">
        <w:t xml:space="preserve"> since 2015. Current recommendations for control of ALS </w:t>
      </w:r>
      <w:r w:rsidR="008D581D">
        <w:t xml:space="preserve">have limited efficacy and include </w:t>
      </w:r>
      <w:r w:rsidRPr="006608F7">
        <w:t xml:space="preserve">selection of </w:t>
      </w:r>
      <w:r>
        <w:t>dark</w:t>
      </w:r>
      <w:r w:rsidRPr="006608F7">
        <w:t xml:space="preserve"> tobacco varieties with low susceptibility and the use of</w:t>
      </w:r>
      <w:r>
        <w:t xml:space="preserve"> crop protection agents</w:t>
      </w:r>
      <w:r w:rsidRPr="006608F7">
        <w:t>, such as agricultural streptomycin.</w:t>
      </w:r>
      <w:r>
        <w:t xml:space="preserve"> Tobacco producers have limited options in weed management and rely heavily on tillage and </w:t>
      </w:r>
      <w:r w:rsidR="00FB29A0">
        <w:t xml:space="preserve">a </w:t>
      </w:r>
      <w:r>
        <w:t>few pre-emergent herbicides.</w:t>
      </w:r>
      <w:r w:rsidRPr="006608F7">
        <w:t xml:space="preserve"> Cover crops </w:t>
      </w:r>
      <w:r w:rsidR="008D581D">
        <w:t>are</w:t>
      </w:r>
      <w:r w:rsidRPr="006608F7">
        <w:t xml:space="preserve"> beneficial at decreasing weed biomass, improving soil health, and reducing soil borne pathogens in many crops. </w:t>
      </w:r>
      <w:r>
        <w:t xml:space="preserve">With the limited options for managing ALS, alternative control approaches that integrate tillage methods and cover crop selection </w:t>
      </w:r>
      <w:r w:rsidR="008D1823">
        <w:t xml:space="preserve">are </w:t>
      </w:r>
      <w:r>
        <w:t>of interest.</w:t>
      </w:r>
      <w:r w:rsidRPr="006608F7">
        <w:t xml:space="preserve"> The objectives of this project </w:t>
      </w:r>
      <w:r>
        <w:t>were</w:t>
      </w:r>
      <w:r w:rsidRPr="006608F7">
        <w:t xml:space="preserve"> to evaluate the impact of cover crops and tillage in tobacco production systems on ALS occurrence, tobacco yield, and leaf quality. Field plots were arranged in a split</w:t>
      </w:r>
      <w:r w:rsidR="00F21BFC">
        <w:t>-</w:t>
      </w:r>
      <w:r w:rsidRPr="006608F7">
        <w:t>block design with four replications. Tillage type (conventional and no</w:t>
      </w:r>
      <w:r>
        <w:t>-</w:t>
      </w:r>
      <w:r w:rsidRPr="006608F7">
        <w:t>tillage) was applied to the main plot and cover crop treatment (cereal rye, crimson clover, hairy vetch, and fallow) to the sub-plot. Field inoculations of ALS were applied to</w:t>
      </w:r>
      <w:r>
        <w:t xml:space="preserve"> dark </w:t>
      </w:r>
      <w:r w:rsidRPr="006608F7">
        <w:t xml:space="preserve">tobacco </w:t>
      </w:r>
      <w:r>
        <w:t xml:space="preserve">Phase 1 of </w:t>
      </w:r>
      <w:r w:rsidRPr="006608F7">
        <w:t xml:space="preserve">2022 and 2023. Inoculated tobacco was </w:t>
      </w:r>
      <w:r>
        <w:t>terminated</w:t>
      </w:r>
      <w:r w:rsidRPr="006608F7">
        <w:t xml:space="preserve"> and left in the experimental area to serve as ALS inoculum for the </w:t>
      </w:r>
      <w:r>
        <w:t>subsequent Phase 2</w:t>
      </w:r>
      <w:r w:rsidRPr="006608F7">
        <w:t xml:space="preserve"> tobacco crop. </w:t>
      </w:r>
      <w:r>
        <w:t xml:space="preserve">Tobacco yield was reduced with no-tillage production </w:t>
      </w:r>
      <w:r w:rsidR="008D581D">
        <w:t xml:space="preserve">but </w:t>
      </w:r>
      <w:proofErr w:type="gramStart"/>
      <w:r w:rsidR="008D581D">
        <w:t>not</w:t>
      </w:r>
      <w:proofErr w:type="gramEnd"/>
      <w:r w:rsidR="008D581D">
        <w:t xml:space="preserve"> cover crop selection </w:t>
      </w:r>
      <w:r>
        <w:t xml:space="preserve">in both years of the study. Disease </w:t>
      </w:r>
      <w:r w:rsidRPr="006608F7">
        <w:t xml:space="preserve">progression was not statistically </w:t>
      </w:r>
      <w:r w:rsidR="008D581D">
        <w:t>different</w:t>
      </w:r>
      <w:r w:rsidR="008D581D" w:rsidRPr="006608F7">
        <w:t xml:space="preserve"> </w:t>
      </w:r>
      <w:r w:rsidRPr="006608F7">
        <w:t>by cover crops or tillage type during the first year of this study. During</w:t>
      </w:r>
      <w:r>
        <w:t xml:space="preserve"> 2024</w:t>
      </w:r>
      <w:r w:rsidRPr="006608F7">
        <w:t xml:space="preserve">, </w:t>
      </w:r>
      <w:r>
        <w:t xml:space="preserve">conventional </w:t>
      </w:r>
      <w:r w:rsidRPr="006608F7">
        <w:t xml:space="preserve">tillage </w:t>
      </w:r>
      <w:r>
        <w:t>had reduced</w:t>
      </w:r>
      <w:r w:rsidRPr="006608F7">
        <w:t xml:space="preserve"> disease progression </w:t>
      </w:r>
      <w:r>
        <w:t xml:space="preserve">compared to </w:t>
      </w:r>
      <w:r w:rsidRPr="006608F7">
        <w:t>no-tillage.</w:t>
      </w:r>
      <w:r>
        <w:t xml:space="preserve"> Cover crop selection did not influence disease progression in either year of this study.</w:t>
      </w:r>
      <w:r w:rsidRPr="006608F7">
        <w:t xml:space="preserve"> Additional research studying the impacts of other methods, such as cultural </w:t>
      </w:r>
      <w:r w:rsidR="008D581D">
        <w:t>controls</w:t>
      </w:r>
      <w:r w:rsidRPr="006608F7">
        <w:t>, should be conducted.</w:t>
      </w:r>
    </w:p>
    <w:p w14:paraId="4094D7F6" w14:textId="77777777" w:rsidR="003F7FED" w:rsidRPr="00F21024" w:rsidRDefault="009C755C" w:rsidP="007F7A99">
      <w:r w:rsidRPr="00F21024">
        <w:br w:type="page"/>
      </w:r>
    </w:p>
    <w:sdt>
      <w:sdtPr>
        <w:rPr>
          <w:b w:val="0"/>
          <w:caps w:val="0"/>
        </w:rPr>
        <w:id w:val="-1322584030"/>
        <w:docPartObj>
          <w:docPartGallery w:val="Table of Contents"/>
          <w:docPartUnique/>
        </w:docPartObj>
      </w:sdtPr>
      <w:sdtEndPr>
        <w:rPr>
          <w:bCs/>
          <w:noProof/>
        </w:rPr>
      </w:sdtEndPr>
      <w:sdtContent>
        <w:sdt>
          <w:sdtPr>
            <w:rPr>
              <w:b w:val="0"/>
              <w:caps w:val="0"/>
            </w:rPr>
            <w:id w:val="-1486466040"/>
            <w:docPartObj>
              <w:docPartGallery w:val="Table of Contents"/>
              <w:docPartUnique/>
            </w:docPartObj>
          </w:sdtPr>
          <w:sdtEndPr>
            <w:rPr>
              <w:b/>
              <w:bCs/>
              <w:caps/>
              <w:noProof/>
            </w:rPr>
          </w:sdtEndPr>
          <w:sdtContent>
            <w:p w14:paraId="00F93EA6" w14:textId="61E03B09" w:rsidR="00EE7D03" w:rsidRPr="008F24B6" w:rsidRDefault="00F52FA4" w:rsidP="008F24B6">
              <w:pPr>
                <w:pStyle w:val="TOCHeading"/>
                <w:spacing w:before="0" w:after="0" w:line="360" w:lineRule="auto"/>
              </w:pPr>
              <w:r w:rsidRPr="008F24B6">
                <w:rPr>
                  <w:bCs/>
                  <w:caps w:val="0"/>
                </w:rPr>
                <w:t xml:space="preserve">TABLE OF </w:t>
              </w:r>
              <w:r w:rsidR="00EE7D03" w:rsidRPr="008F24B6">
                <w:t>Contents</w:t>
              </w:r>
            </w:p>
          </w:sdtContent>
        </w:sdt>
        <w:p w14:paraId="1F7FEA2D" w14:textId="0A57DEA5" w:rsidR="008F24B6" w:rsidRPr="008F24B6" w:rsidRDefault="00EE7D03" w:rsidP="008F24B6">
          <w:pPr>
            <w:pStyle w:val="TOC1"/>
            <w:tabs>
              <w:tab w:val="right" w:leader="dot" w:pos="8630"/>
            </w:tabs>
            <w:spacing w:line="360" w:lineRule="auto"/>
            <w:rPr>
              <w:rFonts w:eastAsiaTheme="minorEastAsia"/>
              <w:noProof/>
              <w:kern w:val="2"/>
              <w14:ligatures w14:val="standardContextual"/>
            </w:rPr>
          </w:pPr>
          <w:r w:rsidRPr="008F24B6">
            <w:fldChar w:fldCharType="begin"/>
          </w:r>
          <w:r w:rsidRPr="008F24B6">
            <w:instrText xml:space="preserve"> TOC \o "1-3" \h \z \u </w:instrText>
          </w:r>
          <w:r w:rsidRPr="008F24B6">
            <w:fldChar w:fldCharType="separate"/>
          </w:r>
          <w:hyperlink w:anchor="_Toc196291982" w:history="1">
            <w:r w:rsidR="008F24B6" w:rsidRPr="008F24B6">
              <w:rPr>
                <w:rStyle w:val="Hyperlink"/>
                <w:rFonts w:ascii="Times New Roman" w:hAnsi="Times New Roman"/>
                <w:noProof/>
              </w:rPr>
              <w:t>LIST OF TABLES</w:t>
            </w:r>
            <w:r w:rsidR="008F24B6" w:rsidRPr="008F24B6">
              <w:rPr>
                <w:noProof/>
                <w:webHidden/>
              </w:rPr>
              <w:tab/>
            </w:r>
            <w:r w:rsidR="008F24B6" w:rsidRPr="008F24B6">
              <w:rPr>
                <w:noProof/>
                <w:webHidden/>
              </w:rPr>
              <w:fldChar w:fldCharType="begin"/>
            </w:r>
            <w:r w:rsidR="008F24B6" w:rsidRPr="008F24B6">
              <w:rPr>
                <w:noProof/>
                <w:webHidden/>
              </w:rPr>
              <w:instrText xml:space="preserve"> PAGEREF _Toc196291982 \h </w:instrText>
            </w:r>
            <w:r w:rsidR="008F24B6" w:rsidRPr="008F24B6">
              <w:rPr>
                <w:noProof/>
                <w:webHidden/>
              </w:rPr>
            </w:r>
            <w:r w:rsidR="008F24B6" w:rsidRPr="008F24B6">
              <w:rPr>
                <w:noProof/>
                <w:webHidden/>
              </w:rPr>
              <w:fldChar w:fldCharType="separate"/>
            </w:r>
            <w:r w:rsidR="008F24B6" w:rsidRPr="008F24B6">
              <w:rPr>
                <w:noProof/>
                <w:webHidden/>
              </w:rPr>
              <w:t>v</w:t>
            </w:r>
            <w:r w:rsidR="008F24B6" w:rsidRPr="008F24B6">
              <w:rPr>
                <w:noProof/>
                <w:webHidden/>
              </w:rPr>
              <w:fldChar w:fldCharType="end"/>
            </w:r>
          </w:hyperlink>
        </w:p>
        <w:p w14:paraId="09478A9B" w14:textId="31A7BBC6"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1983" w:history="1">
            <w:r w:rsidRPr="008F24B6">
              <w:rPr>
                <w:rStyle w:val="Hyperlink"/>
                <w:rFonts w:ascii="Times New Roman" w:hAnsi="Times New Roman"/>
                <w:noProof/>
              </w:rPr>
              <w:t>LIST OF FIGURES</w:t>
            </w:r>
            <w:r w:rsidRPr="008F24B6">
              <w:rPr>
                <w:noProof/>
                <w:webHidden/>
              </w:rPr>
              <w:tab/>
            </w:r>
            <w:r w:rsidRPr="008F24B6">
              <w:rPr>
                <w:noProof/>
                <w:webHidden/>
              </w:rPr>
              <w:fldChar w:fldCharType="begin"/>
            </w:r>
            <w:r w:rsidRPr="008F24B6">
              <w:rPr>
                <w:noProof/>
                <w:webHidden/>
              </w:rPr>
              <w:instrText xml:space="preserve"> PAGEREF _Toc196291983 \h </w:instrText>
            </w:r>
            <w:r w:rsidRPr="008F24B6">
              <w:rPr>
                <w:noProof/>
                <w:webHidden/>
              </w:rPr>
            </w:r>
            <w:r w:rsidRPr="008F24B6">
              <w:rPr>
                <w:noProof/>
                <w:webHidden/>
              </w:rPr>
              <w:fldChar w:fldCharType="separate"/>
            </w:r>
            <w:r w:rsidRPr="008F24B6">
              <w:rPr>
                <w:noProof/>
                <w:webHidden/>
              </w:rPr>
              <w:t>vi</w:t>
            </w:r>
            <w:r w:rsidRPr="008F24B6">
              <w:rPr>
                <w:noProof/>
                <w:webHidden/>
              </w:rPr>
              <w:fldChar w:fldCharType="end"/>
            </w:r>
          </w:hyperlink>
        </w:p>
        <w:p w14:paraId="189D1003" w14:textId="70E10BF4"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1984" w:history="1">
            <w:r w:rsidRPr="008F24B6">
              <w:rPr>
                <w:rStyle w:val="Hyperlink"/>
                <w:rFonts w:ascii="Times New Roman" w:hAnsi="Times New Roman"/>
                <w:noProof/>
              </w:rPr>
              <w:t>CHAPTER ONE: LITERATURE REVIEW AND INTRODUCTION</w:t>
            </w:r>
            <w:r w:rsidRPr="008F24B6">
              <w:rPr>
                <w:noProof/>
                <w:webHidden/>
              </w:rPr>
              <w:tab/>
            </w:r>
            <w:r w:rsidRPr="008F24B6">
              <w:rPr>
                <w:noProof/>
                <w:webHidden/>
              </w:rPr>
              <w:fldChar w:fldCharType="begin"/>
            </w:r>
            <w:r w:rsidRPr="008F24B6">
              <w:rPr>
                <w:noProof/>
                <w:webHidden/>
              </w:rPr>
              <w:instrText xml:space="preserve"> PAGEREF _Toc196291984 \h </w:instrText>
            </w:r>
            <w:r w:rsidRPr="008F24B6">
              <w:rPr>
                <w:noProof/>
                <w:webHidden/>
              </w:rPr>
            </w:r>
            <w:r w:rsidRPr="008F24B6">
              <w:rPr>
                <w:noProof/>
                <w:webHidden/>
              </w:rPr>
              <w:fldChar w:fldCharType="separate"/>
            </w:r>
            <w:r w:rsidRPr="008F24B6">
              <w:rPr>
                <w:noProof/>
                <w:webHidden/>
              </w:rPr>
              <w:t>1</w:t>
            </w:r>
            <w:r w:rsidRPr="008F24B6">
              <w:rPr>
                <w:noProof/>
                <w:webHidden/>
              </w:rPr>
              <w:fldChar w:fldCharType="end"/>
            </w:r>
          </w:hyperlink>
        </w:p>
        <w:p w14:paraId="5C7C034D" w14:textId="57FA7532"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85" w:history="1">
            <w:r w:rsidRPr="008F24B6">
              <w:rPr>
                <w:rStyle w:val="Hyperlink"/>
                <w:rFonts w:ascii="Times New Roman" w:hAnsi="Times New Roman"/>
                <w:noProof/>
              </w:rPr>
              <w:t>1.1 Dark Tobacco Production</w:t>
            </w:r>
            <w:r w:rsidRPr="008F24B6">
              <w:rPr>
                <w:noProof/>
                <w:webHidden/>
              </w:rPr>
              <w:tab/>
            </w:r>
            <w:r w:rsidRPr="008F24B6">
              <w:rPr>
                <w:noProof/>
                <w:webHidden/>
              </w:rPr>
              <w:fldChar w:fldCharType="begin"/>
            </w:r>
            <w:r w:rsidRPr="008F24B6">
              <w:rPr>
                <w:noProof/>
                <w:webHidden/>
              </w:rPr>
              <w:instrText xml:space="preserve"> PAGEREF _Toc196291985 \h </w:instrText>
            </w:r>
            <w:r w:rsidRPr="008F24B6">
              <w:rPr>
                <w:noProof/>
                <w:webHidden/>
              </w:rPr>
            </w:r>
            <w:r w:rsidRPr="008F24B6">
              <w:rPr>
                <w:noProof/>
                <w:webHidden/>
              </w:rPr>
              <w:fldChar w:fldCharType="separate"/>
            </w:r>
            <w:r w:rsidRPr="008F24B6">
              <w:rPr>
                <w:noProof/>
                <w:webHidden/>
              </w:rPr>
              <w:t>1</w:t>
            </w:r>
            <w:r w:rsidRPr="008F24B6">
              <w:rPr>
                <w:noProof/>
                <w:webHidden/>
              </w:rPr>
              <w:fldChar w:fldCharType="end"/>
            </w:r>
          </w:hyperlink>
        </w:p>
        <w:p w14:paraId="1C97945D" w14:textId="6C91CE90"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86" w:history="1">
            <w:r w:rsidRPr="008F24B6">
              <w:rPr>
                <w:rStyle w:val="Hyperlink"/>
                <w:rFonts w:ascii="Times New Roman" w:hAnsi="Times New Roman"/>
                <w:noProof/>
              </w:rPr>
              <w:t>1.2 Cover Crops</w:t>
            </w:r>
            <w:r w:rsidRPr="008F24B6">
              <w:rPr>
                <w:noProof/>
                <w:webHidden/>
              </w:rPr>
              <w:tab/>
            </w:r>
            <w:r w:rsidRPr="008F24B6">
              <w:rPr>
                <w:noProof/>
                <w:webHidden/>
              </w:rPr>
              <w:fldChar w:fldCharType="begin"/>
            </w:r>
            <w:r w:rsidRPr="008F24B6">
              <w:rPr>
                <w:noProof/>
                <w:webHidden/>
              </w:rPr>
              <w:instrText xml:space="preserve"> PAGEREF _Toc196291986 \h </w:instrText>
            </w:r>
            <w:r w:rsidRPr="008F24B6">
              <w:rPr>
                <w:noProof/>
                <w:webHidden/>
              </w:rPr>
            </w:r>
            <w:r w:rsidRPr="008F24B6">
              <w:rPr>
                <w:noProof/>
                <w:webHidden/>
              </w:rPr>
              <w:fldChar w:fldCharType="separate"/>
            </w:r>
            <w:r w:rsidRPr="008F24B6">
              <w:rPr>
                <w:noProof/>
                <w:webHidden/>
              </w:rPr>
              <w:t>1</w:t>
            </w:r>
            <w:r w:rsidRPr="008F24B6">
              <w:rPr>
                <w:noProof/>
                <w:webHidden/>
              </w:rPr>
              <w:fldChar w:fldCharType="end"/>
            </w:r>
          </w:hyperlink>
        </w:p>
        <w:p w14:paraId="7E238321" w14:textId="2509F3BD"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87" w:history="1">
            <w:r w:rsidRPr="008F24B6">
              <w:rPr>
                <w:rStyle w:val="Hyperlink"/>
                <w:rFonts w:ascii="Times New Roman" w:hAnsi="Times New Roman"/>
                <w:noProof/>
              </w:rPr>
              <w:t>1.3 Tillage Impact</w:t>
            </w:r>
            <w:r w:rsidRPr="008F24B6">
              <w:rPr>
                <w:noProof/>
                <w:webHidden/>
              </w:rPr>
              <w:tab/>
            </w:r>
            <w:r w:rsidRPr="008F24B6">
              <w:rPr>
                <w:noProof/>
                <w:webHidden/>
              </w:rPr>
              <w:fldChar w:fldCharType="begin"/>
            </w:r>
            <w:r w:rsidRPr="008F24B6">
              <w:rPr>
                <w:noProof/>
                <w:webHidden/>
              </w:rPr>
              <w:instrText xml:space="preserve"> PAGEREF _Toc196291987 \h </w:instrText>
            </w:r>
            <w:r w:rsidRPr="008F24B6">
              <w:rPr>
                <w:noProof/>
                <w:webHidden/>
              </w:rPr>
            </w:r>
            <w:r w:rsidRPr="008F24B6">
              <w:rPr>
                <w:noProof/>
                <w:webHidden/>
              </w:rPr>
              <w:fldChar w:fldCharType="separate"/>
            </w:r>
            <w:r w:rsidRPr="008F24B6">
              <w:rPr>
                <w:noProof/>
                <w:webHidden/>
              </w:rPr>
              <w:t>4</w:t>
            </w:r>
            <w:r w:rsidRPr="008F24B6">
              <w:rPr>
                <w:noProof/>
                <w:webHidden/>
              </w:rPr>
              <w:fldChar w:fldCharType="end"/>
            </w:r>
          </w:hyperlink>
        </w:p>
        <w:p w14:paraId="336A96E7" w14:textId="4A15BEC5"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88" w:history="1">
            <w:r w:rsidRPr="008F24B6">
              <w:rPr>
                <w:rStyle w:val="Hyperlink"/>
                <w:rFonts w:ascii="Times New Roman" w:hAnsi="Times New Roman"/>
                <w:noProof/>
              </w:rPr>
              <w:t>1.4 Angular Leaf Spot</w:t>
            </w:r>
            <w:r w:rsidRPr="008F24B6">
              <w:rPr>
                <w:noProof/>
                <w:webHidden/>
              </w:rPr>
              <w:tab/>
            </w:r>
            <w:r w:rsidRPr="008F24B6">
              <w:rPr>
                <w:noProof/>
                <w:webHidden/>
              </w:rPr>
              <w:fldChar w:fldCharType="begin"/>
            </w:r>
            <w:r w:rsidRPr="008F24B6">
              <w:rPr>
                <w:noProof/>
                <w:webHidden/>
              </w:rPr>
              <w:instrText xml:space="preserve"> PAGEREF _Toc196291988 \h </w:instrText>
            </w:r>
            <w:r w:rsidRPr="008F24B6">
              <w:rPr>
                <w:noProof/>
                <w:webHidden/>
              </w:rPr>
            </w:r>
            <w:r w:rsidRPr="008F24B6">
              <w:rPr>
                <w:noProof/>
                <w:webHidden/>
              </w:rPr>
              <w:fldChar w:fldCharType="separate"/>
            </w:r>
            <w:r w:rsidRPr="008F24B6">
              <w:rPr>
                <w:noProof/>
                <w:webHidden/>
              </w:rPr>
              <w:t>5</w:t>
            </w:r>
            <w:r w:rsidRPr="008F24B6">
              <w:rPr>
                <w:noProof/>
                <w:webHidden/>
              </w:rPr>
              <w:fldChar w:fldCharType="end"/>
            </w:r>
          </w:hyperlink>
        </w:p>
        <w:p w14:paraId="1B2BF6F5" w14:textId="51843A83"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1989" w:history="1">
            <w:r w:rsidRPr="008F24B6">
              <w:rPr>
                <w:rStyle w:val="Hyperlink"/>
                <w:rFonts w:ascii="Times New Roman" w:hAnsi="Times New Roman"/>
                <w:noProof/>
              </w:rPr>
              <w:t>CHAPTER TWO: IMPACT OF TILLAGE AND COVER CROP TYPE ON DARK TOBACCO YIELD, LEAF QUALITY, AND ANGULAR LEAF SPOT OCCURENCE IN TENNESSEE</w:t>
            </w:r>
            <w:r w:rsidRPr="008F24B6">
              <w:rPr>
                <w:noProof/>
                <w:webHidden/>
              </w:rPr>
              <w:tab/>
            </w:r>
            <w:r w:rsidRPr="008F24B6">
              <w:rPr>
                <w:noProof/>
                <w:webHidden/>
              </w:rPr>
              <w:fldChar w:fldCharType="begin"/>
            </w:r>
            <w:r w:rsidRPr="008F24B6">
              <w:rPr>
                <w:noProof/>
                <w:webHidden/>
              </w:rPr>
              <w:instrText xml:space="preserve"> PAGEREF _Toc196291989 \h </w:instrText>
            </w:r>
            <w:r w:rsidRPr="008F24B6">
              <w:rPr>
                <w:noProof/>
                <w:webHidden/>
              </w:rPr>
            </w:r>
            <w:r w:rsidRPr="008F24B6">
              <w:rPr>
                <w:noProof/>
                <w:webHidden/>
              </w:rPr>
              <w:fldChar w:fldCharType="separate"/>
            </w:r>
            <w:r w:rsidRPr="008F24B6">
              <w:rPr>
                <w:noProof/>
                <w:webHidden/>
              </w:rPr>
              <w:t>7</w:t>
            </w:r>
            <w:r w:rsidRPr="008F24B6">
              <w:rPr>
                <w:noProof/>
                <w:webHidden/>
              </w:rPr>
              <w:fldChar w:fldCharType="end"/>
            </w:r>
          </w:hyperlink>
        </w:p>
        <w:p w14:paraId="00ADE315" w14:textId="733DDC20"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90" w:history="1">
            <w:r w:rsidRPr="008F24B6">
              <w:rPr>
                <w:rStyle w:val="Hyperlink"/>
                <w:rFonts w:ascii="Times New Roman" w:hAnsi="Times New Roman"/>
                <w:noProof/>
              </w:rPr>
              <w:t>2.1 Introduction</w:t>
            </w:r>
            <w:r w:rsidRPr="008F24B6">
              <w:rPr>
                <w:noProof/>
                <w:webHidden/>
              </w:rPr>
              <w:tab/>
            </w:r>
            <w:r w:rsidRPr="008F24B6">
              <w:rPr>
                <w:noProof/>
                <w:webHidden/>
              </w:rPr>
              <w:fldChar w:fldCharType="begin"/>
            </w:r>
            <w:r w:rsidRPr="008F24B6">
              <w:rPr>
                <w:noProof/>
                <w:webHidden/>
              </w:rPr>
              <w:instrText xml:space="preserve"> PAGEREF _Toc196291990 \h </w:instrText>
            </w:r>
            <w:r w:rsidRPr="008F24B6">
              <w:rPr>
                <w:noProof/>
                <w:webHidden/>
              </w:rPr>
            </w:r>
            <w:r w:rsidRPr="008F24B6">
              <w:rPr>
                <w:noProof/>
                <w:webHidden/>
              </w:rPr>
              <w:fldChar w:fldCharType="separate"/>
            </w:r>
            <w:r w:rsidRPr="008F24B6">
              <w:rPr>
                <w:noProof/>
                <w:webHidden/>
              </w:rPr>
              <w:t>7</w:t>
            </w:r>
            <w:r w:rsidRPr="008F24B6">
              <w:rPr>
                <w:noProof/>
                <w:webHidden/>
              </w:rPr>
              <w:fldChar w:fldCharType="end"/>
            </w:r>
          </w:hyperlink>
        </w:p>
        <w:p w14:paraId="29ED5A72" w14:textId="6B8236A6"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91" w:history="1">
            <w:r w:rsidRPr="008F24B6">
              <w:rPr>
                <w:rStyle w:val="Hyperlink"/>
                <w:rFonts w:ascii="Times New Roman" w:hAnsi="Times New Roman"/>
                <w:noProof/>
              </w:rPr>
              <w:t>2.2 Materials and Methods</w:t>
            </w:r>
            <w:r w:rsidRPr="008F24B6">
              <w:rPr>
                <w:noProof/>
                <w:webHidden/>
              </w:rPr>
              <w:tab/>
            </w:r>
            <w:r w:rsidRPr="008F24B6">
              <w:rPr>
                <w:noProof/>
                <w:webHidden/>
              </w:rPr>
              <w:fldChar w:fldCharType="begin"/>
            </w:r>
            <w:r w:rsidRPr="008F24B6">
              <w:rPr>
                <w:noProof/>
                <w:webHidden/>
              </w:rPr>
              <w:instrText xml:space="preserve"> PAGEREF _Toc196291991 \h </w:instrText>
            </w:r>
            <w:r w:rsidRPr="008F24B6">
              <w:rPr>
                <w:noProof/>
                <w:webHidden/>
              </w:rPr>
            </w:r>
            <w:r w:rsidRPr="008F24B6">
              <w:rPr>
                <w:noProof/>
                <w:webHidden/>
              </w:rPr>
              <w:fldChar w:fldCharType="separate"/>
            </w:r>
            <w:r w:rsidRPr="008F24B6">
              <w:rPr>
                <w:noProof/>
                <w:webHidden/>
              </w:rPr>
              <w:t>8</w:t>
            </w:r>
            <w:r w:rsidRPr="008F24B6">
              <w:rPr>
                <w:noProof/>
                <w:webHidden/>
              </w:rPr>
              <w:fldChar w:fldCharType="end"/>
            </w:r>
          </w:hyperlink>
        </w:p>
        <w:p w14:paraId="11B39BA3" w14:textId="20167779"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2" w:history="1">
            <w:r w:rsidRPr="008F24B6">
              <w:rPr>
                <w:rStyle w:val="Hyperlink"/>
                <w:rFonts w:ascii="Times New Roman" w:hAnsi="Times New Roman"/>
                <w:noProof/>
              </w:rPr>
              <w:t>2.2.1 Site description and field management</w:t>
            </w:r>
            <w:r w:rsidRPr="008F24B6">
              <w:rPr>
                <w:noProof/>
                <w:webHidden/>
              </w:rPr>
              <w:tab/>
            </w:r>
            <w:r w:rsidRPr="008F24B6">
              <w:rPr>
                <w:noProof/>
                <w:webHidden/>
              </w:rPr>
              <w:fldChar w:fldCharType="begin"/>
            </w:r>
            <w:r w:rsidRPr="008F24B6">
              <w:rPr>
                <w:noProof/>
                <w:webHidden/>
              </w:rPr>
              <w:instrText xml:space="preserve"> PAGEREF _Toc196291992 \h </w:instrText>
            </w:r>
            <w:r w:rsidRPr="008F24B6">
              <w:rPr>
                <w:noProof/>
                <w:webHidden/>
              </w:rPr>
            </w:r>
            <w:r w:rsidRPr="008F24B6">
              <w:rPr>
                <w:noProof/>
                <w:webHidden/>
              </w:rPr>
              <w:fldChar w:fldCharType="separate"/>
            </w:r>
            <w:r w:rsidRPr="008F24B6">
              <w:rPr>
                <w:noProof/>
                <w:webHidden/>
              </w:rPr>
              <w:t>8</w:t>
            </w:r>
            <w:r w:rsidRPr="008F24B6">
              <w:rPr>
                <w:noProof/>
                <w:webHidden/>
              </w:rPr>
              <w:fldChar w:fldCharType="end"/>
            </w:r>
          </w:hyperlink>
        </w:p>
        <w:p w14:paraId="3266817D" w14:textId="0722D0D0"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3" w:history="1">
            <w:r w:rsidRPr="008F24B6">
              <w:rPr>
                <w:rStyle w:val="Hyperlink"/>
                <w:rFonts w:ascii="Times New Roman" w:hAnsi="Times New Roman"/>
                <w:noProof/>
              </w:rPr>
              <w:t>2.2.2 Tobacco cultivar and establishment</w:t>
            </w:r>
            <w:r w:rsidRPr="008F24B6">
              <w:rPr>
                <w:noProof/>
                <w:webHidden/>
              </w:rPr>
              <w:tab/>
            </w:r>
            <w:r w:rsidRPr="008F24B6">
              <w:rPr>
                <w:noProof/>
                <w:webHidden/>
              </w:rPr>
              <w:fldChar w:fldCharType="begin"/>
            </w:r>
            <w:r w:rsidRPr="008F24B6">
              <w:rPr>
                <w:noProof/>
                <w:webHidden/>
              </w:rPr>
              <w:instrText xml:space="preserve"> PAGEREF _Toc196291993 \h </w:instrText>
            </w:r>
            <w:r w:rsidRPr="008F24B6">
              <w:rPr>
                <w:noProof/>
                <w:webHidden/>
              </w:rPr>
            </w:r>
            <w:r w:rsidRPr="008F24B6">
              <w:rPr>
                <w:noProof/>
                <w:webHidden/>
              </w:rPr>
              <w:fldChar w:fldCharType="separate"/>
            </w:r>
            <w:r w:rsidRPr="008F24B6">
              <w:rPr>
                <w:noProof/>
                <w:webHidden/>
              </w:rPr>
              <w:t>9</w:t>
            </w:r>
            <w:r w:rsidRPr="008F24B6">
              <w:rPr>
                <w:noProof/>
                <w:webHidden/>
              </w:rPr>
              <w:fldChar w:fldCharType="end"/>
            </w:r>
          </w:hyperlink>
        </w:p>
        <w:p w14:paraId="21825C43" w14:textId="4C21F182"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4" w:history="1">
            <w:r w:rsidRPr="008F24B6">
              <w:rPr>
                <w:rStyle w:val="Hyperlink"/>
                <w:rFonts w:ascii="Times New Roman" w:hAnsi="Times New Roman"/>
                <w:noProof/>
              </w:rPr>
              <w:t>2.2.3 Inoculation procedures and preparation</w:t>
            </w:r>
            <w:r w:rsidRPr="008F24B6">
              <w:rPr>
                <w:noProof/>
                <w:webHidden/>
              </w:rPr>
              <w:tab/>
            </w:r>
            <w:r w:rsidRPr="008F24B6">
              <w:rPr>
                <w:noProof/>
                <w:webHidden/>
              </w:rPr>
              <w:fldChar w:fldCharType="begin"/>
            </w:r>
            <w:r w:rsidRPr="008F24B6">
              <w:rPr>
                <w:noProof/>
                <w:webHidden/>
              </w:rPr>
              <w:instrText xml:space="preserve"> PAGEREF _Toc196291994 \h </w:instrText>
            </w:r>
            <w:r w:rsidRPr="008F24B6">
              <w:rPr>
                <w:noProof/>
                <w:webHidden/>
              </w:rPr>
            </w:r>
            <w:r w:rsidRPr="008F24B6">
              <w:rPr>
                <w:noProof/>
                <w:webHidden/>
              </w:rPr>
              <w:fldChar w:fldCharType="separate"/>
            </w:r>
            <w:r w:rsidRPr="008F24B6">
              <w:rPr>
                <w:noProof/>
                <w:webHidden/>
              </w:rPr>
              <w:t>10</w:t>
            </w:r>
            <w:r w:rsidRPr="008F24B6">
              <w:rPr>
                <w:noProof/>
                <w:webHidden/>
              </w:rPr>
              <w:fldChar w:fldCharType="end"/>
            </w:r>
          </w:hyperlink>
        </w:p>
        <w:p w14:paraId="211A28E2" w14:textId="6A0A08F7"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5" w:history="1">
            <w:r w:rsidRPr="008F24B6">
              <w:rPr>
                <w:rStyle w:val="Hyperlink"/>
                <w:rFonts w:ascii="Times New Roman" w:hAnsi="Times New Roman"/>
                <w:noProof/>
              </w:rPr>
              <w:t>2.2.4 Serial dilution procedures</w:t>
            </w:r>
            <w:r w:rsidRPr="008F24B6">
              <w:rPr>
                <w:noProof/>
                <w:webHidden/>
              </w:rPr>
              <w:tab/>
            </w:r>
            <w:r w:rsidRPr="008F24B6">
              <w:rPr>
                <w:noProof/>
                <w:webHidden/>
              </w:rPr>
              <w:fldChar w:fldCharType="begin"/>
            </w:r>
            <w:r w:rsidRPr="008F24B6">
              <w:rPr>
                <w:noProof/>
                <w:webHidden/>
              </w:rPr>
              <w:instrText xml:space="preserve"> PAGEREF _Toc196291995 \h </w:instrText>
            </w:r>
            <w:r w:rsidRPr="008F24B6">
              <w:rPr>
                <w:noProof/>
                <w:webHidden/>
              </w:rPr>
            </w:r>
            <w:r w:rsidRPr="008F24B6">
              <w:rPr>
                <w:noProof/>
                <w:webHidden/>
              </w:rPr>
              <w:fldChar w:fldCharType="separate"/>
            </w:r>
            <w:r w:rsidRPr="008F24B6">
              <w:rPr>
                <w:noProof/>
                <w:webHidden/>
              </w:rPr>
              <w:t>10</w:t>
            </w:r>
            <w:r w:rsidRPr="008F24B6">
              <w:rPr>
                <w:noProof/>
                <w:webHidden/>
              </w:rPr>
              <w:fldChar w:fldCharType="end"/>
            </w:r>
          </w:hyperlink>
        </w:p>
        <w:p w14:paraId="039F1A38" w14:textId="59EC1837"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6" w:history="1">
            <w:r w:rsidRPr="008F24B6">
              <w:rPr>
                <w:rStyle w:val="Hyperlink"/>
                <w:rFonts w:ascii="Times New Roman" w:hAnsi="Times New Roman"/>
                <w:noProof/>
              </w:rPr>
              <w:t>2.2.5 Disease ratings</w:t>
            </w:r>
            <w:r w:rsidRPr="008F24B6">
              <w:rPr>
                <w:noProof/>
                <w:webHidden/>
              </w:rPr>
              <w:tab/>
            </w:r>
            <w:r w:rsidRPr="008F24B6">
              <w:rPr>
                <w:noProof/>
                <w:webHidden/>
              </w:rPr>
              <w:fldChar w:fldCharType="begin"/>
            </w:r>
            <w:r w:rsidRPr="008F24B6">
              <w:rPr>
                <w:noProof/>
                <w:webHidden/>
              </w:rPr>
              <w:instrText xml:space="preserve"> PAGEREF _Toc196291996 \h </w:instrText>
            </w:r>
            <w:r w:rsidRPr="008F24B6">
              <w:rPr>
                <w:noProof/>
                <w:webHidden/>
              </w:rPr>
            </w:r>
            <w:r w:rsidRPr="008F24B6">
              <w:rPr>
                <w:noProof/>
                <w:webHidden/>
              </w:rPr>
              <w:fldChar w:fldCharType="separate"/>
            </w:r>
            <w:r w:rsidRPr="008F24B6">
              <w:rPr>
                <w:noProof/>
                <w:webHidden/>
              </w:rPr>
              <w:t>11</w:t>
            </w:r>
            <w:r w:rsidRPr="008F24B6">
              <w:rPr>
                <w:noProof/>
                <w:webHidden/>
              </w:rPr>
              <w:fldChar w:fldCharType="end"/>
            </w:r>
          </w:hyperlink>
        </w:p>
        <w:p w14:paraId="09BD8358" w14:textId="2179063B"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7" w:history="1">
            <w:r w:rsidRPr="008F24B6">
              <w:rPr>
                <w:rStyle w:val="Hyperlink"/>
                <w:rFonts w:ascii="Times New Roman" w:hAnsi="Times New Roman"/>
                <w:noProof/>
              </w:rPr>
              <w:t>2.2.6 Cover crop and tillage treatments</w:t>
            </w:r>
            <w:r w:rsidRPr="008F24B6">
              <w:rPr>
                <w:noProof/>
                <w:webHidden/>
              </w:rPr>
              <w:tab/>
            </w:r>
            <w:r w:rsidRPr="008F24B6">
              <w:rPr>
                <w:noProof/>
                <w:webHidden/>
              </w:rPr>
              <w:fldChar w:fldCharType="begin"/>
            </w:r>
            <w:r w:rsidRPr="008F24B6">
              <w:rPr>
                <w:noProof/>
                <w:webHidden/>
              </w:rPr>
              <w:instrText xml:space="preserve"> PAGEREF _Toc196291997 \h </w:instrText>
            </w:r>
            <w:r w:rsidRPr="008F24B6">
              <w:rPr>
                <w:noProof/>
                <w:webHidden/>
              </w:rPr>
            </w:r>
            <w:r w:rsidRPr="008F24B6">
              <w:rPr>
                <w:noProof/>
                <w:webHidden/>
              </w:rPr>
              <w:fldChar w:fldCharType="separate"/>
            </w:r>
            <w:r w:rsidRPr="008F24B6">
              <w:rPr>
                <w:noProof/>
                <w:webHidden/>
              </w:rPr>
              <w:t>11</w:t>
            </w:r>
            <w:r w:rsidRPr="008F24B6">
              <w:rPr>
                <w:noProof/>
                <w:webHidden/>
              </w:rPr>
              <w:fldChar w:fldCharType="end"/>
            </w:r>
          </w:hyperlink>
        </w:p>
        <w:p w14:paraId="46646A26" w14:textId="12D3F520" w:rsidR="008F24B6" w:rsidRPr="008F24B6" w:rsidRDefault="008F24B6" w:rsidP="008F24B6">
          <w:pPr>
            <w:pStyle w:val="TOC3"/>
            <w:tabs>
              <w:tab w:val="right" w:leader="dot" w:pos="8630"/>
            </w:tabs>
            <w:spacing w:line="360" w:lineRule="auto"/>
            <w:rPr>
              <w:rFonts w:eastAsiaTheme="minorEastAsia"/>
              <w:noProof/>
              <w:kern w:val="2"/>
              <w14:ligatures w14:val="standardContextual"/>
            </w:rPr>
          </w:pPr>
          <w:hyperlink w:anchor="_Toc196291998" w:history="1">
            <w:r w:rsidRPr="008F24B6">
              <w:rPr>
                <w:rStyle w:val="Hyperlink"/>
                <w:rFonts w:ascii="Times New Roman" w:hAnsi="Times New Roman"/>
                <w:noProof/>
              </w:rPr>
              <w:t>2.2.7 Statistical analysis</w:t>
            </w:r>
            <w:r w:rsidRPr="008F24B6">
              <w:rPr>
                <w:noProof/>
                <w:webHidden/>
              </w:rPr>
              <w:tab/>
            </w:r>
            <w:r w:rsidRPr="008F24B6">
              <w:rPr>
                <w:noProof/>
                <w:webHidden/>
              </w:rPr>
              <w:fldChar w:fldCharType="begin"/>
            </w:r>
            <w:r w:rsidRPr="008F24B6">
              <w:rPr>
                <w:noProof/>
                <w:webHidden/>
              </w:rPr>
              <w:instrText xml:space="preserve"> PAGEREF _Toc196291998 \h </w:instrText>
            </w:r>
            <w:r w:rsidRPr="008F24B6">
              <w:rPr>
                <w:noProof/>
                <w:webHidden/>
              </w:rPr>
            </w:r>
            <w:r w:rsidRPr="008F24B6">
              <w:rPr>
                <w:noProof/>
                <w:webHidden/>
              </w:rPr>
              <w:fldChar w:fldCharType="separate"/>
            </w:r>
            <w:r w:rsidRPr="008F24B6">
              <w:rPr>
                <w:noProof/>
                <w:webHidden/>
              </w:rPr>
              <w:t>13</w:t>
            </w:r>
            <w:r w:rsidRPr="008F24B6">
              <w:rPr>
                <w:noProof/>
                <w:webHidden/>
              </w:rPr>
              <w:fldChar w:fldCharType="end"/>
            </w:r>
          </w:hyperlink>
        </w:p>
        <w:p w14:paraId="15490538" w14:textId="033FABBB" w:rsidR="008F24B6" w:rsidRPr="008F24B6" w:rsidRDefault="008F24B6" w:rsidP="008F24B6">
          <w:pPr>
            <w:pStyle w:val="TOC2"/>
            <w:tabs>
              <w:tab w:val="right" w:leader="dot" w:pos="8630"/>
            </w:tabs>
            <w:spacing w:line="360" w:lineRule="auto"/>
            <w:rPr>
              <w:rFonts w:eastAsiaTheme="minorEastAsia"/>
              <w:noProof/>
              <w:kern w:val="2"/>
              <w14:ligatures w14:val="standardContextual"/>
            </w:rPr>
          </w:pPr>
          <w:hyperlink w:anchor="_Toc196291999" w:history="1">
            <w:r w:rsidRPr="008F24B6">
              <w:rPr>
                <w:rStyle w:val="Hyperlink"/>
                <w:rFonts w:ascii="Times New Roman" w:eastAsia="Aptos" w:hAnsi="Times New Roman"/>
                <w:noProof/>
              </w:rPr>
              <w:t>2.3 Results and Discussion</w:t>
            </w:r>
            <w:r w:rsidRPr="008F24B6">
              <w:rPr>
                <w:noProof/>
                <w:webHidden/>
              </w:rPr>
              <w:tab/>
            </w:r>
            <w:r w:rsidRPr="008F24B6">
              <w:rPr>
                <w:noProof/>
                <w:webHidden/>
              </w:rPr>
              <w:fldChar w:fldCharType="begin"/>
            </w:r>
            <w:r w:rsidRPr="008F24B6">
              <w:rPr>
                <w:noProof/>
                <w:webHidden/>
              </w:rPr>
              <w:instrText xml:space="preserve"> PAGEREF _Toc196291999 \h </w:instrText>
            </w:r>
            <w:r w:rsidRPr="008F24B6">
              <w:rPr>
                <w:noProof/>
                <w:webHidden/>
              </w:rPr>
            </w:r>
            <w:r w:rsidRPr="008F24B6">
              <w:rPr>
                <w:noProof/>
                <w:webHidden/>
              </w:rPr>
              <w:fldChar w:fldCharType="separate"/>
            </w:r>
            <w:r w:rsidRPr="008F24B6">
              <w:rPr>
                <w:noProof/>
                <w:webHidden/>
              </w:rPr>
              <w:t>14</w:t>
            </w:r>
            <w:r w:rsidRPr="008F24B6">
              <w:rPr>
                <w:noProof/>
                <w:webHidden/>
              </w:rPr>
              <w:fldChar w:fldCharType="end"/>
            </w:r>
          </w:hyperlink>
        </w:p>
        <w:p w14:paraId="2D59E334" w14:textId="78BBB073"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2000" w:history="1">
            <w:r w:rsidRPr="008F24B6">
              <w:rPr>
                <w:rStyle w:val="Hyperlink"/>
                <w:rFonts w:ascii="Times New Roman" w:hAnsi="Times New Roman"/>
                <w:noProof/>
              </w:rPr>
              <w:t>CHAPTER THREE: CONCLUSIONS</w:t>
            </w:r>
            <w:r w:rsidRPr="008F24B6">
              <w:rPr>
                <w:noProof/>
                <w:webHidden/>
              </w:rPr>
              <w:tab/>
            </w:r>
            <w:r w:rsidRPr="008F24B6">
              <w:rPr>
                <w:noProof/>
                <w:webHidden/>
              </w:rPr>
              <w:fldChar w:fldCharType="begin"/>
            </w:r>
            <w:r w:rsidRPr="008F24B6">
              <w:rPr>
                <w:noProof/>
                <w:webHidden/>
              </w:rPr>
              <w:instrText xml:space="preserve"> PAGEREF _Toc196292000 \h </w:instrText>
            </w:r>
            <w:r w:rsidRPr="008F24B6">
              <w:rPr>
                <w:noProof/>
                <w:webHidden/>
              </w:rPr>
            </w:r>
            <w:r w:rsidRPr="008F24B6">
              <w:rPr>
                <w:noProof/>
                <w:webHidden/>
              </w:rPr>
              <w:fldChar w:fldCharType="separate"/>
            </w:r>
            <w:r w:rsidRPr="008F24B6">
              <w:rPr>
                <w:noProof/>
                <w:webHidden/>
              </w:rPr>
              <w:t>19</w:t>
            </w:r>
            <w:r w:rsidRPr="008F24B6">
              <w:rPr>
                <w:noProof/>
                <w:webHidden/>
              </w:rPr>
              <w:fldChar w:fldCharType="end"/>
            </w:r>
          </w:hyperlink>
        </w:p>
        <w:p w14:paraId="6C6DFBA8" w14:textId="725ADBD5"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2001" w:history="1">
            <w:r w:rsidRPr="008F24B6">
              <w:rPr>
                <w:rStyle w:val="Hyperlink"/>
                <w:rFonts w:ascii="Times New Roman" w:hAnsi="Times New Roman"/>
                <w:noProof/>
              </w:rPr>
              <w:t>List of References</w:t>
            </w:r>
            <w:r w:rsidRPr="008F24B6">
              <w:rPr>
                <w:noProof/>
                <w:webHidden/>
              </w:rPr>
              <w:tab/>
            </w:r>
            <w:r w:rsidRPr="008F24B6">
              <w:rPr>
                <w:noProof/>
                <w:webHidden/>
              </w:rPr>
              <w:fldChar w:fldCharType="begin"/>
            </w:r>
            <w:r w:rsidRPr="008F24B6">
              <w:rPr>
                <w:noProof/>
                <w:webHidden/>
              </w:rPr>
              <w:instrText xml:space="preserve"> PAGEREF _Toc196292001 \h </w:instrText>
            </w:r>
            <w:r w:rsidRPr="008F24B6">
              <w:rPr>
                <w:noProof/>
                <w:webHidden/>
              </w:rPr>
            </w:r>
            <w:r w:rsidRPr="008F24B6">
              <w:rPr>
                <w:noProof/>
                <w:webHidden/>
              </w:rPr>
              <w:fldChar w:fldCharType="separate"/>
            </w:r>
            <w:r w:rsidRPr="008F24B6">
              <w:rPr>
                <w:noProof/>
                <w:webHidden/>
              </w:rPr>
              <w:t>20</w:t>
            </w:r>
            <w:r w:rsidRPr="008F24B6">
              <w:rPr>
                <w:noProof/>
                <w:webHidden/>
              </w:rPr>
              <w:fldChar w:fldCharType="end"/>
            </w:r>
          </w:hyperlink>
        </w:p>
        <w:p w14:paraId="525C5DF5" w14:textId="7A9BAF20"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2002" w:history="1">
            <w:r w:rsidRPr="008F24B6">
              <w:rPr>
                <w:rStyle w:val="Hyperlink"/>
                <w:rFonts w:ascii="Times New Roman" w:hAnsi="Times New Roman"/>
                <w:noProof/>
              </w:rPr>
              <w:t>Appendix</w:t>
            </w:r>
            <w:r w:rsidRPr="008F24B6">
              <w:rPr>
                <w:noProof/>
                <w:webHidden/>
              </w:rPr>
              <w:tab/>
            </w:r>
            <w:r w:rsidRPr="008F24B6">
              <w:rPr>
                <w:noProof/>
                <w:webHidden/>
              </w:rPr>
              <w:fldChar w:fldCharType="begin"/>
            </w:r>
            <w:r w:rsidRPr="008F24B6">
              <w:rPr>
                <w:noProof/>
                <w:webHidden/>
              </w:rPr>
              <w:instrText xml:space="preserve"> PAGEREF _Toc196292002 \h </w:instrText>
            </w:r>
            <w:r w:rsidRPr="008F24B6">
              <w:rPr>
                <w:noProof/>
                <w:webHidden/>
              </w:rPr>
            </w:r>
            <w:r w:rsidRPr="008F24B6">
              <w:rPr>
                <w:noProof/>
                <w:webHidden/>
              </w:rPr>
              <w:fldChar w:fldCharType="separate"/>
            </w:r>
            <w:r w:rsidRPr="008F24B6">
              <w:rPr>
                <w:noProof/>
                <w:webHidden/>
              </w:rPr>
              <w:t>25</w:t>
            </w:r>
            <w:r w:rsidRPr="008F24B6">
              <w:rPr>
                <w:noProof/>
                <w:webHidden/>
              </w:rPr>
              <w:fldChar w:fldCharType="end"/>
            </w:r>
          </w:hyperlink>
        </w:p>
        <w:p w14:paraId="3C8D58A5" w14:textId="229FEC33" w:rsidR="008F24B6" w:rsidRPr="008F24B6" w:rsidRDefault="008F24B6" w:rsidP="008F24B6">
          <w:pPr>
            <w:pStyle w:val="TOC1"/>
            <w:tabs>
              <w:tab w:val="right" w:leader="dot" w:pos="8630"/>
            </w:tabs>
            <w:spacing w:line="360" w:lineRule="auto"/>
            <w:rPr>
              <w:rFonts w:eastAsiaTheme="minorEastAsia"/>
              <w:noProof/>
              <w:kern w:val="2"/>
              <w14:ligatures w14:val="standardContextual"/>
            </w:rPr>
          </w:pPr>
          <w:hyperlink w:anchor="_Toc196292003" w:history="1">
            <w:r w:rsidRPr="008F24B6">
              <w:rPr>
                <w:rStyle w:val="Hyperlink"/>
                <w:rFonts w:ascii="Times New Roman" w:hAnsi="Times New Roman"/>
                <w:noProof/>
              </w:rPr>
              <w:t>Vita</w:t>
            </w:r>
            <w:r w:rsidRPr="008F24B6">
              <w:rPr>
                <w:noProof/>
                <w:webHidden/>
              </w:rPr>
              <w:tab/>
            </w:r>
            <w:r w:rsidRPr="008F24B6">
              <w:rPr>
                <w:noProof/>
                <w:webHidden/>
              </w:rPr>
              <w:fldChar w:fldCharType="begin"/>
            </w:r>
            <w:r w:rsidRPr="008F24B6">
              <w:rPr>
                <w:noProof/>
                <w:webHidden/>
              </w:rPr>
              <w:instrText xml:space="preserve"> PAGEREF _Toc196292003 \h </w:instrText>
            </w:r>
            <w:r w:rsidRPr="008F24B6">
              <w:rPr>
                <w:noProof/>
                <w:webHidden/>
              </w:rPr>
            </w:r>
            <w:r w:rsidRPr="008F24B6">
              <w:rPr>
                <w:noProof/>
                <w:webHidden/>
              </w:rPr>
              <w:fldChar w:fldCharType="separate"/>
            </w:r>
            <w:r w:rsidRPr="008F24B6">
              <w:rPr>
                <w:noProof/>
                <w:webHidden/>
              </w:rPr>
              <w:t>40</w:t>
            </w:r>
            <w:r w:rsidRPr="008F24B6">
              <w:rPr>
                <w:noProof/>
                <w:webHidden/>
              </w:rPr>
              <w:fldChar w:fldCharType="end"/>
            </w:r>
          </w:hyperlink>
        </w:p>
        <w:p w14:paraId="53396BA5" w14:textId="158E8736" w:rsidR="00EE7D03" w:rsidRPr="008345B0" w:rsidRDefault="00EE7D03" w:rsidP="008F24B6">
          <w:pPr>
            <w:spacing w:line="360" w:lineRule="auto"/>
          </w:pPr>
          <w:r w:rsidRPr="008F24B6">
            <w:rPr>
              <w:b/>
              <w:bCs/>
              <w:noProof/>
            </w:rPr>
            <w:fldChar w:fldCharType="end"/>
          </w:r>
        </w:p>
      </w:sdtContent>
    </w:sdt>
    <w:p w14:paraId="7C9A18B4" w14:textId="77777777" w:rsidR="003F7FED" w:rsidRPr="00F21024" w:rsidRDefault="003F7FED"/>
    <w:p w14:paraId="7FC74B2E" w14:textId="1B87B171" w:rsidR="00E37570" w:rsidRPr="00F21024" w:rsidRDefault="00E37570" w:rsidP="00E37570">
      <w:pPr>
        <w:tabs>
          <w:tab w:val="left" w:pos="5916"/>
        </w:tabs>
        <w:rPr>
          <w:b/>
          <w:bCs/>
        </w:rPr>
      </w:pPr>
      <w:r w:rsidRPr="00F21024">
        <w:rPr>
          <w:b/>
          <w:bCs/>
        </w:rPr>
        <w:tab/>
      </w:r>
    </w:p>
    <w:p w14:paraId="12EC20B1" w14:textId="532318DC" w:rsidR="00236E6D" w:rsidRPr="00F21024" w:rsidRDefault="003F7FED" w:rsidP="00FC0490">
      <w:pPr>
        <w:pStyle w:val="Heading1"/>
        <w:spacing w:before="0" w:after="0"/>
      </w:pPr>
      <w:r w:rsidRPr="00F21024">
        <w:br w:type="page"/>
      </w:r>
      <w:bookmarkStart w:id="0" w:name="_Toc195023462"/>
      <w:bookmarkStart w:id="1" w:name="_Toc196291982"/>
      <w:r w:rsidR="00236E6D" w:rsidRPr="00F21024">
        <w:t>LIST OF TABLES</w:t>
      </w:r>
      <w:bookmarkEnd w:id="0"/>
      <w:bookmarkEnd w:id="1"/>
    </w:p>
    <w:p w14:paraId="07AEDBE1" w14:textId="533AB456" w:rsidR="003E2944" w:rsidRPr="00F21024" w:rsidRDefault="00665C7E" w:rsidP="00FC0490">
      <w:pPr>
        <w:pStyle w:val="TableofFigures"/>
        <w:tabs>
          <w:tab w:val="right" w:leader="dot" w:pos="8630"/>
        </w:tabs>
        <w:spacing w:line="360" w:lineRule="auto"/>
        <w:rPr>
          <w:rFonts w:eastAsiaTheme="minorEastAsia"/>
          <w:noProof/>
        </w:rPr>
      </w:pPr>
      <w:r w:rsidRPr="00F21024">
        <w:fldChar w:fldCharType="begin"/>
      </w:r>
      <w:r w:rsidR="00236E6D" w:rsidRPr="00F21024">
        <w:instrText xml:space="preserve"> TOC \h \z \c "Table" </w:instrText>
      </w:r>
      <w:r w:rsidRPr="00F21024">
        <w:fldChar w:fldCharType="separate"/>
      </w:r>
      <w:hyperlink w:anchor="_Toc428278253" w:history="1">
        <w:r w:rsidR="004868FF" w:rsidRPr="00F21024">
          <w:rPr>
            <w:rStyle w:val="Hyperlink"/>
            <w:rFonts w:ascii="Times New Roman" w:hAnsi="Times New Roman"/>
            <w:noProof/>
          </w:rPr>
          <w:t xml:space="preserve">Table 1. </w:t>
        </w:r>
        <w:r w:rsidR="004868FF">
          <w:rPr>
            <w:noProof/>
            <w:szCs w:val="28"/>
            <w14:ligatures w14:val="standardContextual"/>
          </w:rPr>
          <w:t>Biomass, nitrogen percent, 8-week cumulative and total nitrogen release by cover crop species separated by year.</w:t>
        </w:r>
        <w:r w:rsidR="004868FF" w:rsidRPr="00F21024">
          <w:rPr>
            <w:rStyle w:val="Hyperlink"/>
            <w:rFonts w:ascii="Times New Roman" w:hAnsi="Times New Roman"/>
            <w:noProof/>
          </w:rPr>
          <w:t>.</w:t>
        </w:r>
        <w:r w:rsidR="004868FF" w:rsidRPr="00F21024">
          <w:rPr>
            <w:noProof/>
            <w:webHidden/>
          </w:rPr>
          <w:tab/>
        </w:r>
        <w:r w:rsidR="004868FF">
          <w:rPr>
            <w:noProof/>
            <w:webHidden/>
          </w:rPr>
          <w:t>3</w:t>
        </w:r>
        <w:r w:rsidR="00CB5578">
          <w:rPr>
            <w:noProof/>
            <w:webHidden/>
          </w:rPr>
          <w:t>5</w:t>
        </w:r>
      </w:hyperlink>
    </w:p>
    <w:p w14:paraId="28001AA2" w14:textId="0DB1D8AE" w:rsidR="00DA62CA" w:rsidRDefault="00665C7E" w:rsidP="00FC0490">
      <w:pPr>
        <w:pStyle w:val="TableofFigures"/>
        <w:tabs>
          <w:tab w:val="right" w:leader="dot" w:pos="8630"/>
        </w:tabs>
        <w:spacing w:line="360" w:lineRule="auto"/>
      </w:pPr>
      <w:r w:rsidRPr="00F21024">
        <w:fldChar w:fldCharType="end"/>
      </w:r>
      <w:hyperlink w:anchor="_Toc428278253" w:history="1">
        <w:r w:rsidR="00DA62CA" w:rsidRPr="00F21024">
          <w:rPr>
            <w:rStyle w:val="Hyperlink"/>
            <w:rFonts w:ascii="Times New Roman" w:hAnsi="Times New Roman"/>
            <w:noProof/>
          </w:rPr>
          <w:t xml:space="preserve">Table </w:t>
        </w:r>
        <w:r w:rsidR="00040F4E">
          <w:rPr>
            <w:rStyle w:val="Hyperlink"/>
            <w:rFonts w:ascii="Times New Roman" w:hAnsi="Times New Roman"/>
            <w:noProof/>
          </w:rPr>
          <w:t>2</w:t>
        </w:r>
        <w:r w:rsidR="00DA62CA" w:rsidRPr="00F21024">
          <w:rPr>
            <w:rStyle w:val="Hyperlink"/>
            <w:rFonts w:ascii="Times New Roman" w:hAnsi="Times New Roman"/>
            <w:noProof/>
          </w:rPr>
          <w:t xml:space="preserve">. </w:t>
        </w:r>
        <w:r w:rsidR="005F3BFE">
          <w:rPr>
            <w:rStyle w:val="Hyperlink"/>
            <w:rFonts w:ascii="Times New Roman" w:hAnsi="Times New Roman"/>
            <w:noProof/>
          </w:rPr>
          <w:t>Average total yield and yield of each stalk position and grade i</w:t>
        </w:r>
        <w:r w:rsidR="008D581D">
          <w:rPr>
            <w:rStyle w:val="Hyperlink"/>
            <w:rFonts w:ascii="Times New Roman" w:hAnsi="Times New Roman"/>
            <w:noProof/>
          </w:rPr>
          <w:t>n</w:t>
        </w:r>
        <w:r w:rsidR="005F3BFE">
          <w:rPr>
            <w:rStyle w:val="Hyperlink"/>
            <w:rFonts w:ascii="Times New Roman" w:hAnsi="Times New Roman"/>
            <w:noProof/>
          </w:rPr>
          <w:t>dex of dark fire cured tobacco by year and tillage type</w:t>
        </w:r>
        <w:r w:rsidR="00DA62CA" w:rsidRPr="00F21024">
          <w:rPr>
            <w:rStyle w:val="Hyperlink"/>
            <w:rFonts w:ascii="Times New Roman" w:hAnsi="Times New Roman"/>
            <w:noProof/>
          </w:rPr>
          <w:t>.</w:t>
        </w:r>
        <w:r w:rsidR="00DA62CA" w:rsidRPr="00F21024">
          <w:rPr>
            <w:noProof/>
            <w:webHidden/>
          </w:rPr>
          <w:tab/>
        </w:r>
        <w:r w:rsidR="00B2322F">
          <w:rPr>
            <w:noProof/>
            <w:webHidden/>
          </w:rPr>
          <w:t>3</w:t>
        </w:r>
        <w:r w:rsidR="00CB5578">
          <w:rPr>
            <w:noProof/>
            <w:webHidden/>
          </w:rPr>
          <w:t>6</w:t>
        </w:r>
      </w:hyperlink>
    </w:p>
    <w:p w14:paraId="68FA4F60" w14:textId="2B5E7CEC" w:rsidR="00706DC3" w:rsidRPr="00F21024" w:rsidRDefault="00706DC3" w:rsidP="00FC0490">
      <w:pPr>
        <w:pStyle w:val="TableofFigures"/>
        <w:tabs>
          <w:tab w:val="right" w:leader="dot" w:pos="8630"/>
        </w:tabs>
        <w:spacing w:line="360" w:lineRule="auto"/>
        <w:rPr>
          <w:rFonts w:eastAsiaTheme="minorEastAsia"/>
          <w:noProof/>
        </w:rPr>
      </w:pPr>
      <w:r w:rsidRPr="00F21024">
        <w:fldChar w:fldCharType="begin"/>
      </w:r>
      <w:r w:rsidRPr="00F21024">
        <w:instrText xml:space="preserve"> TOC \h \z \c "Table" </w:instrText>
      </w:r>
      <w:r w:rsidRPr="00F21024">
        <w:fldChar w:fldCharType="separate"/>
      </w:r>
      <w:hyperlink w:anchor="_Toc428278253" w:history="1">
        <w:r w:rsidRPr="00F21024">
          <w:rPr>
            <w:rStyle w:val="Hyperlink"/>
            <w:rFonts w:ascii="Times New Roman" w:hAnsi="Times New Roman"/>
            <w:noProof/>
          </w:rPr>
          <w:t xml:space="preserve">Table </w:t>
        </w:r>
        <w:r>
          <w:rPr>
            <w:rStyle w:val="Hyperlink"/>
            <w:rFonts w:ascii="Times New Roman" w:hAnsi="Times New Roman"/>
            <w:noProof/>
          </w:rPr>
          <w:t>3</w:t>
        </w:r>
        <w:r w:rsidRPr="00F21024">
          <w:rPr>
            <w:rStyle w:val="Hyperlink"/>
            <w:rFonts w:ascii="Times New Roman" w:hAnsi="Times New Roman"/>
            <w:noProof/>
          </w:rPr>
          <w:t xml:space="preserve">. </w:t>
        </w:r>
        <w:r>
          <w:rPr>
            <w:noProof/>
            <w:szCs w:val="28"/>
            <w14:ligatures w14:val="standardContextual"/>
          </w:rPr>
          <w:t>Biomass, nitrogen percent, 8-week cumulative and total nitrogen release by cover crop species separated by year.</w:t>
        </w:r>
        <w:r w:rsidRPr="00F21024">
          <w:rPr>
            <w:rStyle w:val="Hyperlink"/>
            <w:rFonts w:ascii="Times New Roman" w:hAnsi="Times New Roman"/>
            <w:noProof/>
          </w:rPr>
          <w:t>.</w:t>
        </w:r>
        <w:r w:rsidRPr="00F21024">
          <w:rPr>
            <w:noProof/>
            <w:webHidden/>
          </w:rPr>
          <w:tab/>
        </w:r>
        <w:r w:rsidR="00B2322F">
          <w:rPr>
            <w:noProof/>
            <w:webHidden/>
          </w:rPr>
          <w:t>3</w:t>
        </w:r>
        <w:r w:rsidR="00CB5578">
          <w:rPr>
            <w:noProof/>
            <w:webHidden/>
          </w:rPr>
          <w:t>7</w:t>
        </w:r>
      </w:hyperlink>
    </w:p>
    <w:p w14:paraId="65C3F5B5" w14:textId="7AD2468D" w:rsidR="00706DC3" w:rsidRPr="00F21024" w:rsidRDefault="00706DC3" w:rsidP="00FC0490">
      <w:pPr>
        <w:pStyle w:val="TableofFigures"/>
        <w:tabs>
          <w:tab w:val="right" w:leader="dot" w:pos="8630"/>
        </w:tabs>
        <w:spacing w:line="360" w:lineRule="auto"/>
        <w:rPr>
          <w:rFonts w:eastAsiaTheme="minorEastAsia"/>
          <w:noProof/>
        </w:rPr>
      </w:pPr>
      <w:r w:rsidRPr="00F21024">
        <w:fldChar w:fldCharType="end"/>
      </w:r>
      <w:hyperlink w:anchor="_Toc428278253" w:history="1">
        <w:r w:rsidRPr="00F21024">
          <w:rPr>
            <w:rStyle w:val="Hyperlink"/>
            <w:rFonts w:ascii="Times New Roman" w:hAnsi="Times New Roman"/>
            <w:noProof/>
          </w:rPr>
          <w:t xml:space="preserve">Table </w:t>
        </w:r>
        <w:r>
          <w:rPr>
            <w:rStyle w:val="Hyperlink"/>
            <w:rFonts w:ascii="Times New Roman" w:hAnsi="Times New Roman"/>
            <w:noProof/>
          </w:rPr>
          <w:t>4</w:t>
        </w:r>
        <w:r w:rsidRPr="00F21024">
          <w:rPr>
            <w:rStyle w:val="Hyperlink"/>
            <w:rFonts w:ascii="Times New Roman" w:hAnsi="Times New Roman"/>
            <w:noProof/>
          </w:rPr>
          <w:t xml:space="preserve">. </w:t>
        </w:r>
        <w:r>
          <w:rPr>
            <w:rStyle w:val="Hyperlink"/>
            <w:rFonts w:ascii="Times New Roman" w:hAnsi="Times New Roman"/>
            <w:noProof/>
          </w:rPr>
          <w:t>Average total yield and yield of each stalk position and grade i</w:t>
        </w:r>
        <w:r w:rsidR="008D581D">
          <w:rPr>
            <w:rStyle w:val="Hyperlink"/>
            <w:rFonts w:ascii="Times New Roman" w:hAnsi="Times New Roman"/>
            <w:noProof/>
          </w:rPr>
          <w:t>n</w:t>
        </w:r>
        <w:r>
          <w:rPr>
            <w:rStyle w:val="Hyperlink"/>
            <w:rFonts w:ascii="Times New Roman" w:hAnsi="Times New Roman"/>
            <w:noProof/>
          </w:rPr>
          <w:t>dex of dark fire cured tobacco by year and tillage type</w:t>
        </w:r>
        <w:r w:rsidRPr="00F21024">
          <w:rPr>
            <w:rStyle w:val="Hyperlink"/>
            <w:rFonts w:ascii="Times New Roman" w:hAnsi="Times New Roman"/>
            <w:noProof/>
          </w:rPr>
          <w:t>.</w:t>
        </w:r>
        <w:r w:rsidRPr="00F21024">
          <w:rPr>
            <w:noProof/>
            <w:webHidden/>
          </w:rPr>
          <w:tab/>
        </w:r>
        <w:r w:rsidR="00B2322F">
          <w:rPr>
            <w:noProof/>
            <w:webHidden/>
          </w:rPr>
          <w:t>3</w:t>
        </w:r>
        <w:r w:rsidR="00CB5578">
          <w:rPr>
            <w:noProof/>
            <w:webHidden/>
          </w:rPr>
          <w:t>8</w:t>
        </w:r>
      </w:hyperlink>
    </w:p>
    <w:p w14:paraId="0755DBB8" w14:textId="6F5E4B84" w:rsidR="00706DC3" w:rsidRPr="00F21024" w:rsidRDefault="00706DC3" w:rsidP="00FC0490">
      <w:pPr>
        <w:pStyle w:val="TableofFigures"/>
        <w:tabs>
          <w:tab w:val="right" w:leader="dot" w:pos="8630"/>
        </w:tabs>
        <w:spacing w:line="360" w:lineRule="auto"/>
        <w:rPr>
          <w:rFonts w:eastAsiaTheme="minorEastAsia"/>
          <w:noProof/>
        </w:rPr>
      </w:pPr>
      <w:r w:rsidRPr="00F21024">
        <w:fldChar w:fldCharType="begin"/>
      </w:r>
      <w:r w:rsidRPr="00F21024">
        <w:instrText xml:space="preserve"> TOC \h \z \c "Table" </w:instrText>
      </w:r>
      <w:r w:rsidRPr="00F21024">
        <w:fldChar w:fldCharType="separate"/>
      </w:r>
      <w:hyperlink w:anchor="_Toc428278253" w:history="1">
        <w:r w:rsidRPr="00F21024">
          <w:rPr>
            <w:rStyle w:val="Hyperlink"/>
            <w:rFonts w:ascii="Times New Roman" w:hAnsi="Times New Roman"/>
            <w:noProof/>
          </w:rPr>
          <w:t xml:space="preserve">Table </w:t>
        </w:r>
        <w:r>
          <w:rPr>
            <w:rStyle w:val="Hyperlink"/>
            <w:rFonts w:ascii="Times New Roman" w:hAnsi="Times New Roman"/>
            <w:noProof/>
          </w:rPr>
          <w:t>5</w:t>
        </w:r>
        <w:r w:rsidRPr="00F21024">
          <w:rPr>
            <w:rStyle w:val="Hyperlink"/>
            <w:rFonts w:ascii="Times New Roman" w:hAnsi="Times New Roman"/>
            <w:noProof/>
          </w:rPr>
          <w:t xml:space="preserve">. </w:t>
        </w:r>
        <w:r>
          <w:rPr>
            <w:noProof/>
            <w:szCs w:val="28"/>
            <w14:ligatures w14:val="standardContextual"/>
          </w:rPr>
          <w:t>Biomass, nitrogen percent, 8-week cumulative and total nitrogen release by cover crop species separated by year.</w:t>
        </w:r>
        <w:r w:rsidRPr="00F21024">
          <w:rPr>
            <w:rStyle w:val="Hyperlink"/>
            <w:rFonts w:ascii="Times New Roman" w:hAnsi="Times New Roman"/>
            <w:noProof/>
          </w:rPr>
          <w:t>.</w:t>
        </w:r>
        <w:r w:rsidRPr="00F21024">
          <w:rPr>
            <w:noProof/>
            <w:webHidden/>
          </w:rPr>
          <w:tab/>
        </w:r>
        <w:r w:rsidR="00B2322F">
          <w:rPr>
            <w:noProof/>
            <w:webHidden/>
          </w:rPr>
          <w:t>3</w:t>
        </w:r>
        <w:r w:rsidR="00CB5578">
          <w:rPr>
            <w:noProof/>
            <w:webHidden/>
          </w:rPr>
          <w:t>9</w:t>
        </w:r>
      </w:hyperlink>
    </w:p>
    <w:p w14:paraId="03DACEE1" w14:textId="13CCD8ED" w:rsidR="00706DC3" w:rsidRPr="00F21024" w:rsidRDefault="00706DC3" w:rsidP="00FC0490">
      <w:pPr>
        <w:pStyle w:val="TableofFigures"/>
        <w:tabs>
          <w:tab w:val="right" w:leader="dot" w:pos="8630"/>
        </w:tabs>
        <w:spacing w:line="360" w:lineRule="auto"/>
        <w:rPr>
          <w:rFonts w:eastAsiaTheme="minorEastAsia"/>
          <w:noProof/>
        </w:rPr>
      </w:pPr>
      <w:r w:rsidRPr="00F21024">
        <w:fldChar w:fldCharType="end"/>
      </w:r>
      <w:r w:rsidRPr="00F21024">
        <w:rPr>
          <w:rFonts w:eastAsiaTheme="minorEastAsia"/>
          <w:noProof/>
        </w:rPr>
        <w:t xml:space="preserve"> </w:t>
      </w:r>
    </w:p>
    <w:p w14:paraId="1E814591" w14:textId="77777777" w:rsidR="00706DC3" w:rsidRPr="000D4C2B" w:rsidRDefault="00706DC3" w:rsidP="000D4C2B">
      <w:pPr>
        <w:rPr>
          <w:rFonts w:eastAsiaTheme="minorEastAsia"/>
        </w:rPr>
      </w:pPr>
    </w:p>
    <w:p w14:paraId="70C8636E" w14:textId="0366E33E" w:rsidR="00D2193A" w:rsidRPr="00F21024" w:rsidRDefault="00D2193A" w:rsidP="005F3BFE">
      <w:pPr>
        <w:pStyle w:val="TableofFigures"/>
        <w:tabs>
          <w:tab w:val="right" w:leader="dot" w:pos="8630"/>
        </w:tabs>
        <w:ind w:left="0" w:firstLine="0"/>
        <w:rPr>
          <w:rFonts w:eastAsiaTheme="minorEastAsia"/>
          <w:noProof/>
        </w:rPr>
      </w:pPr>
    </w:p>
    <w:p w14:paraId="4618BA2A" w14:textId="77777777" w:rsidR="00236E6D" w:rsidRPr="00F21024" w:rsidRDefault="00236E6D">
      <w:pPr>
        <w:spacing w:line="2" w:lineRule="exact"/>
      </w:pPr>
    </w:p>
    <w:p w14:paraId="3DAAB97F" w14:textId="77777777" w:rsidR="00236E6D" w:rsidRPr="00F21024" w:rsidRDefault="00236E6D">
      <w:pPr>
        <w:spacing w:line="2" w:lineRule="exact"/>
      </w:pPr>
    </w:p>
    <w:p w14:paraId="599B079D" w14:textId="77777777" w:rsidR="00236E6D" w:rsidRPr="00F21024" w:rsidRDefault="00236E6D">
      <w:pPr>
        <w:pStyle w:val="Level1"/>
        <w:tabs>
          <w:tab w:val="right" w:leader="dot" w:pos="8228"/>
        </w:tabs>
        <w:ind w:left="0"/>
        <w:rPr>
          <w:b/>
          <w:bCs/>
        </w:rPr>
      </w:pPr>
    </w:p>
    <w:p w14:paraId="16C3159B" w14:textId="77777777" w:rsidR="00AF16E6" w:rsidRDefault="00AF16E6" w:rsidP="00AF16E6"/>
    <w:p w14:paraId="69D32A4F" w14:textId="77777777" w:rsidR="009C7CC4" w:rsidRDefault="009C7CC4" w:rsidP="00F30F7D">
      <w:pPr>
        <w:jc w:val="center"/>
      </w:pPr>
    </w:p>
    <w:p w14:paraId="73B63F62" w14:textId="77777777" w:rsidR="009C7CC4" w:rsidRPr="009C7CC4" w:rsidRDefault="009C7CC4" w:rsidP="009C7CC4"/>
    <w:p w14:paraId="76648AE0" w14:textId="77777777" w:rsidR="009C7CC4" w:rsidRDefault="009C7CC4" w:rsidP="00F30F7D">
      <w:pPr>
        <w:jc w:val="center"/>
      </w:pPr>
    </w:p>
    <w:p w14:paraId="07B3F9F8" w14:textId="1E895A97" w:rsidR="009C7CC4" w:rsidRDefault="009C7CC4" w:rsidP="009C7CC4">
      <w:pPr>
        <w:tabs>
          <w:tab w:val="left" w:pos="7284"/>
        </w:tabs>
      </w:pPr>
      <w:r>
        <w:tab/>
      </w:r>
    </w:p>
    <w:p w14:paraId="5B958E76" w14:textId="1840662A" w:rsidR="00F30F7D" w:rsidRPr="00FC0490" w:rsidRDefault="00236E6D" w:rsidP="00FC0490">
      <w:pPr>
        <w:pStyle w:val="Heading1"/>
        <w:spacing w:before="0" w:after="0"/>
      </w:pPr>
      <w:r w:rsidRPr="009C7CC4">
        <w:br w:type="page"/>
      </w:r>
      <w:bookmarkStart w:id="2" w:name="_Toc195023463"/>
      <w:bookmarkStart w:id="3" w:name="_Toc196291983"/>
      <w:r w:rsidRPr="00F21024">
        <w:t>LIST OF FIGURES</w:t>
      </w:r>
      <w:bookmarkEnd w:id="2"/>
      <w:bookmarkEnd w:id="3"/>
    </w:p>
    <w:p w14:paraId="73C6839C" w14:textId="47D7C1BA" w:rsidR="00A675DC" w:rsidRPr="00F21024" w:rsidRDefault="004868FF" w:rsidP="00FC0490">
      <w:pPr>
        <w:pStyle w:val="TableofFigures"/>
        <w:tabs>
          <w:tab w:val="right" w:leader="dot" w:pos="8630"/>
        </w:tabs>
        <w:spacing w:line="360" w:lineRule="auto"/>
        <w:rPr>
          <w:rFonts w:eastAsiaTheme="minorEastAsia"/>
          <w:noProof/>
        </w:rPr>
      </w:pPr>
      <w:hyperlink w:anchor="_Toc428278253" w:history="1">
        <w:r>
          <w:rPr>
            <w:rStyle w:val="Hyperlink"/>
            <w:rFonts w:ascii="Times New Roman" w:hAnsi="Times New Roman"/>
            <w:noProof/>
          </w:rPr>
          <w:t>Figure 1.</w:t>
        </w:r>
        <w:r w:rsidRPr="00F21024">
          <w:rPr>
            <w:rStyle w:val="Hyperlink"/>
            <w:rFonts w:ascii="Times New Roman" w:hAnsi="Times New Roman"/>
            <w:noProof/>
          </w:rPr>
          <w:t xml:space="preserve"> </w:t>
        </w:r>
        <w:r>
          <w:rPr>
            <w:rStyle w:val="Hyperlink"/>
            <w:rFonts w:ascii="Times New Roman" w:hAnsi="Times New Roman"/>
            <w:noProof/>
          </w:rPr>
          <w:t>Research timeline</w:t>
        </w:r>
        <w:r w:rsidRPr="00F21024">
          <w:rPr>
            <w:rStyle w:val="Hyperlink"/>
            <w:rFonts w:ascii="Times New Roman" w:hAnsi="Times New Roman"/>
            <w:noProof/>
          </w:rPr>
          <w:t>.</w:t>
        </w:r>
        <w:r w:rsidRPr="00F21024">
          <w:rPr>
            <w:noProof/>
            <w:webHidden/>
          </w:rPr>
          <w:tab/>
        </w:r>
        <w:r>
          <w:rPr>
            <w:noProof/>
            <w:webHidden/>
          </w:rPr>
          <w:t>25</w:t>
        </w:r>
      </w:hyperlink>
    </w:p>
    <w:p w14:paraId="0C60D5D3" w14:textId="6FE98A07" w:rsidR="00EF0AFC" w:rsidRPr="00F21024" w:rsidRDefault="004868FF" w:rsidP="00FC0490">
      <w:pPr>
        <w:pStyle w:val="TableofFigures"/>
        <w:tabs>
          <w:tab w:val="right" w:leader="dot" w:pos="8630"/>
        </w:tabs>
        <w:spacing w:line="360" w:lineRule="auto"/>
        <w:rPr>
          <w:rFonts w:eastAsiaTheme="minorEastAsia"/>
          <w:noProof/>
        </w:rPr>
      </w:pPr>
      <w:hyperlink w:anchor="_Toc428278253" w:history="1">
        <w:r>
          <w:rPr>
            <w:rStyle w:val="Hyperlink"/>
            <w:rFonts w:ascii="Times New Roman" w:hAnsi="Times New Roman"/>
            <w:noProof/>
          </w:rPr>
          <w:t>Figure 2. 2023 Average Canopy Coverage by Cover Crop Type Over</w:t>
        </w:r>
        <w:r w:rsidR="008D581D">
          <w:rPr>
            <w:rStyle w:val="Hyperlink"/>
            <w:rFonts w:ascii="Times New Roman" w:hAnsi="Times New Roman"/>
            <w:noProof/>
          </w:rPr>
          <w:t xml:space="preserve"> T</w:t>
        </w:r>
        <w:r>
          <w:rPr>
            <w:rStyle w:val="Hyperlink"/>
            <w:rFonts w:ascii="Times New Roman" w:hAnsi="Times New Roman"/>
            <w:noProof/>
          </w:rPr>
          <w:t xml:space="preserve">ime </w:t>
        </w:r>
        <w:r w:rsidRPr="00F21024">
          <w:rPr>
            <w:rStyle w:val="Hyperlink"/>
            <w:rFonts w:ascii="Times New Roman" w:hAnsi="Times New Roman"/>
            <w:noProof/>
          </w:rPr>
          <w:t>.</w:t>
        </w:r>
        <w:r w:rsidRPr="00F21024">
          <w:rPr>
            <w:noProof/>
            <w:webHidden/>
          </w:rPr>
          <w:tab/>
        </w:r>
        <w:r>
          <w:rPr>
            <w:noProof/>
            <w:webHidden/>
          </w:rPr>
          <w:t>26</w:t>
        </w:r>
      </w:hyperlink>
    </w:p>
    <w:p w14:paraId="2D805798" w14:textId="6D6123A7" w:rsidR="00EF0AFC" w:rsidRDefault="004868FF" w:rsidP="00FC0490">
      <w:pPr>
        <w:pStyle w:val="TableofFigures"/>
        <w:tabs>
          <w:tab w:val="right" w:leader="dot" w:pos="8630"/>
        </w:tabs>
        <w:spacing w:line="360" w:lineRule="auto"/>
      </w:pPr>
      <w:hyperlink w:anchor="_Toc428278253" w:history="1">
        <w:r>
          <w:rPr>
            <w:rStyle w:val="Hyperlink"/>
            <w:rFonts w:ascii="Times New Roman" w:hAnsi="Times New Roman"/>
            <w:noProof/>
          </w:rPr>
          <w:t>Figure 3. 2024 Average Canopy Coverage by Cover Crop Type Over</w:t>
        </w:r>
        <w:r w:rsidR="008D581D">
          <w:rPr>
            <w:rStyle w:val="Hyperlink"/>
            <w:rFonts w:ascii="Times New Roman" w:hAnsi="Times New Roman"/>
            <w:noProof/>
          </w:rPr>
          <w:t xml:space="preserve"> T</w:t>
        </w:r>
        <w:r>
          <w:rPr>
            <w:rStyle w:val="Hyperlink"/>
            <w:rFonts w:ascii="Times New Roman" w:hAnsi="Times New Roman"/>
            <w:noProof/>
          </w:rPr>
          <w:t>ime</w:t>
        </w:r>
        <w:r w:rsidRPr="00F21024">
          <w:rPr>
            <w:noProof/>
            <w:webHidden/>
          </w:rPr>
          <w:tab/>
        </w:r>
        <w:r>
          <w:rPr>
            <w:noProof/>
            <w:webHidden/>
          </w:rPr>
          <w:t>27</w:t>
        </w:r>
      </w:hyperlink>
    </w:p>
    <w:p w14:paraId="33240CD4" w14:textId="71465BA9" w:rsidR="004868FF" w:rsidRPr="004868FF" w:rsidRDefault="004868FF" w:rsidP="00FC0490">
      <w:pPr>
        <w:pStyle w:val="TableofFigures"/>
        <w:tabs>
          <w:tab w:val="right" w:leader="dot" w:pos="8630"/>
        </w:tabs>
        <w:spacing w:line="360" w:lineRule="auto"/>
        <w:rPr>
          <w:rFonts w:eastAsiaTheme="minorEastAsia"/>
          <w:noProof/>
        </w:rPr>
      </w:pPr>
      <w:hyperlink w:anchor="_Toc428278253" w:history="1">
        <w:r>
          <w:rPr>
            <w:rStyle w:val="Hyperlink"/>
            <w:rFonts w:ascii="Times New Roman" w:hAnsi="Times New Roman"/>
            <w:noProof/>
          </w:rPr>
          <w:t>Figure 4. Interaction Effect of Year by Tillage Type on AUDPS</w:t>
        </w:r>
        <w:r w:rsidRPr="00F21024">
          <w:rPr>
            <w:noProof/>
            <w:webHidden/>
          </w:rPr>
          <w:tab/>
        </w:r>
        <w:r>
          <w:rPr>
            <w:noProof/>
            <w:webHidden/>
          </w:rPr>
          <w:t>28</w:t>
        </w:r>
      </w:hyperlink>
    </w:p>
    <w:p w14:paraId="285F979C" w14:textId="42A1BA46" w:rsidR="000C2975" w:rsidRDefault="000C2975" w:rsidP="00FC0490">
      <w:pPr>
        <w:pStyle w:val="TableofFigures"/>
        <w:tabs>
          <w:tab w:val="right" w:leader="dot" w:pos="8630"/>
        </w:tabs>
        <w:spacing w:line="360" w:lineRule="auto"/>
      </w:pPr>
      <w:hyperlink w:anchor="_Toc428278253" w:history="1">
        <w:r>
          <w:rPr>
            <w:rStyle w:val="Hyperlink"/>
            <w:rFonts w:ascii="Times New Roman" w:hAnsi="Times New Roman"/>
            <w:noProof/>
          </w:rPr>
          <w:t xml:space="preserve">Figure </w:t>
        </w:r>
        <w:r w:rsidR="004868FF">
          <w:rPr>
            <w:rStyle w:val="Hyperlink"/>
            <w:rFonts w:ascii="Times New Roman" w:hAnsi="Times New Roman"/>
            <w:noProof/>
          </w:rPr>
          <w:t>5</w:t>
        </w:r>
        <w:r>
          <w:rPr>
            <w:rStyle w:val="Hyperlink"/>
            <w:rFonts w:ascii="Times New Roman" w:hAnsi="Times New Roman"/>
            <w:noProof/>
          </w:rPr>
          <w:t>. C</w:t>
        </w:r>
        <w:r w:rsidR="00D1059D">
          <w:rPr>
            <w:rStyle w:val="Hyperlink"/>
            <w:rFonts w:ascii="Times New Roman" w:hAnsi="Times New Roman"/>
            <w:noProof/>
          </w:rPr>
          <w:t xml:space="preserve">over Crop Type did not </w:t>
        </w:r>
        <w:r w:rsidR="008D581D">
          <w:rPr>
            <w:rStyle w:val="Hyperlink"/>
            <w:rFonts w:ascii="Times New Roman" w:hAnsi="Times New Roman"/>
            <w:noProof/>
          </w:rPr>
          <w:t xml:space="preserve">Affect </w:t>
        </w:r>
        <w:r w:rsidR="004868FF">
          <w:rPr>
            <w:rStyle w:val="Hyperlink"/>
            <w:rFonts w:ascii="Times New Roman" w:hAnsi="Times New Roman"/>
            <w:noProof/>
          </w:rPr>
          <w:t>Final Diseae</w:t>
        </w:r>
        <w:r w:rsidR="00D1059D">
          <w:rPr>
            <w:rStyle w:val="Hyperlink"/>
            <w:rFonts w:ascii="Times New Roman" w:hAnsi="Times New Roman"/>
            <w:noProof/>
          </w:rPr>
          <w:t xml:space="preserve"> </w:t>
        </w:r>
        <w:r w:rsidRPr="00F21024">
          <w:rPr>
            <w:noProof/>
            <w:webHidden/>
          </w:rPr>
          <w:tab/>
        </w:r>
        <w:r>
          <w:rPr>
            <w:noProof/>
            <w:webHidden/>
          </w:rPr>
          <w:t>2</w:t>
        </w:r>
        <w:r w:rsidR="004868FF">
          <w:rPr>
            <w:noProof/>
            <w:webHidden/>
          </w:rPr>
          <w:t>9</w:t>
        </w:r>
      </w:hyperlink>
    </w:p>
    <w:p w14:paraId="0791B6DD" w14:textId="5173EBF7" w:rsidR="000C2975" w:rsidRPr="00F21024" w:rsidRDefault="000C2975" w:rsidP="00FC0490">
      <w:pPr>
        <w:pStyle w:val="TableofFigures"/>
        <w:tabs>
          <w:tab w:val="right" w:leader="dot" w:pos="8630"/>
        </w:tabs>
        <w:spacing w:line="360" w:lineRule="auto"/>
        <w:rPr>
          <w:rFonts w:eastAsiaTheme="minorEastAsia"/>
          <w:noProof/>
        </w:rPr>
      </w:pPr>
      <w:hyperlink w:anchor="_Toc428278253" w:history="1">
        <w:r>
          <w:rPr>
            <w:rStyle w:val="Hyperlink"/>
            <w:rFonts w:ascii="Times New Roman" w:hAnsi="Times New Roman"/>
            <w:noProof/>
          </w:rPr>
          <w:t xml:space="preserve">Figure </w:t>
        </w:r>
        <w:r w:rsidR="004868FF">
          <w:rPr>
            <w:rStyle w:val="Hyperlink"/>
            <w:rFonts w:ascii="Times New Roman" w:hAnsi="Times New Roman"/>
            <w:noProof/>
          </w:rPr>
          <w:t>6</w:t>
        </w:r>
        <w:r>
          <w:rPr>
            <w:rStyle w:val="Hyperlink"/>
            <w:rFonts w:ascii="Times New Roman" w:hAnsi="Times New Roman"/>
            <w:noProof/>
          </w:rPr>
          <w:t>. Combined Disease Incidence and Index Over</w:t>
        </w:r>
        <w:r w:rsidR="008D581D">
          <w:rPr>
            <w:rStyle w:val="Hyperlink"/>
            <w:rFonts w:ascii="Times New Roman" w:hAnsi="Times New Roman"/>
            <w:noProof/>
          </w:rPr>
          <w:t xml:space="preserve"> T</w:t>
        </w:r>
        <w:r>
          <w:rPr>
            <w:rStyle w:val="Hyperlink"/>
            <w:rFonts w:ascii="Times New Roman" w:hAnsi="Times New Roman"/>
            <w:noProof/>
          </w:rPr>
          <w:t>ime in 2024</w:t>
        </w:r>
        <w:r w:rsidRPr="00F21024">
          <w:rPr>
            <w:noProof/>
            <w:webHidden/>
          </w:rPr>
          <w:tab/>
        </w:r>
        <w:r w:rsidR="004868FF">
          <w:rPr>
            <w:noProof/>
            <w:webHidden/>
          </w:rPr>
          <w:t>30</w:t>
        </w:r>
      </w:hyperlink>
    </w:p>
    <w:p w14:paraId="63B6079D" w14:textId="724216EB" w:rsidR="00EF0AFC" w:rsidRPr="00F21024" w:rsidRDefault="00EF0AFC" w:rsidP="00FC0490">
      <w:pPr>
        <w:pStyle w:val="TableofFigures"/>
        <w:tabs>
          <w:tab w:val="right" w:leader="dot" w:pos="8630"/>
        </w:tabs>
        <w:spacing w:line="360" w:lineRule="auto"/>
        <w:rPr>
          <w:rFonts w:eastAsiaTheme="minorEastAsia"/>
          <w:noProof/>
        </w:rPr>
      </w:pPr>
      <w:hyperlink w:anchor="_Toc428278253" w:history="1">
        <w:r>
          <w:rPr>
            <w:rStyle w:val="Hyperlink"/>
            <w:rFonts w:ascii="Times New Roman" w:hAnsi="Times New Roman"/>
            <w:noProof/>
          </w:rPr>
          <w:t xml:space="preserve">Figure </w:t>
        </w:r>
        <w:r w:rsidR="00D1059D">
          <w:rPr>
            <w:rStyle w:val="Hyperlink"/>
            <w:rFonts w:ascii="Times New Roman" w:hAnsi="Times New Roman"/>
            <w:noProof/>
          </w:rPr>
          <w:t>7</w:t>
        </w:r>
        <w:r w:rsidR="00580572">
          <w:rPr>
            <w:rStyle w:val="Hyperlink"/>
            <w:rFonts w:ascii="Times New Roman" w:hAnsi="Times New Roman"/>
            <w:noProof/>
          </w:rPr>
          <w:t>. Sum of Monthly Precipitation of 2023, 2024, and 30-Year Average in Springfield, TN</w:t>
        </w:r>
        <w:r w:rsidRPr="00F21024">
          <w:rPr>
            <w:noProof/>
            <w:webHidden/>
          </w:rPr>
          <w:tab/>
        </w:r>
        <w:r w:rsidR="004868FF">
          <w:rPr>
            <w:noProof/>
            <w:webHidden/>
          </w:rPr>
          <w:t>31</w:t>
        </w:r>
      </w:hyperlink>
    </w:p>
    <w:p w14:paraId="46DADE18" w14:textId="67304915" w:rsidR="00EF0AFC" w:rsidRDefault="00EF0AFC" w:rsidP="00FC0490">
      <w:pPr>
        <w:pStyle w:val="TableofFigures"/>
        <w:tabs>
          <w:tab w:val="right" w:leader="dot" w:pos="8630"/>
        </w:tabs>
        <w:spacing w:line="360" w:lineRule="auto"/>
      </w:pPr>
      <w:hyperlink w:anchor="_Toc428278253" w:history="1">
        <w:r>
          <w:rPr>
            <w:rStyle w:val="Hyperlink"/>
            <w:rFonts w:ascii="Times New Roman" w:hAnsi="Times New Roman"/>
            <w:noProof/>
          </w:rPr>
          <w:t xml:space="preserve">Figure </w:t>
        </w:r>
        <w:r w:rsidR="00D1059D">
          <w:rPr>
            <w:rStyle w:val="Hyperlink"/>
            <w:rFonts w:ascii="Times New Roman" w:hAnsi="Times New Roman"/>
            <w:noProof/>
          </w:rPr>
          <w:t>8</w:t>
        </w:r>
        <w:r w:rsidR="00A23F03">
          <w:rPr>
            <w:rStyle w:val="Hyperlink"/>
            <w:rFonts w:ascii="Times New Roman" w:hAnsi="Times New Roman"/>
            <w:noProof/>
          </w:rPr>
          <w:t xml:space="preserve">. Cover Crop Species did not </w:t>
        </w:r>
        <w:r w:rsidR="008D581D">
          <w:rPr>
            <w:rStyle w:val="Hyperlink"/>
            <w:rFonts w:ascii="Times New Roman" w:hAnsi="Times New Roman"/>
            <w:noProof/>
          </w:rPr>
          <w:t>A</w:t>
        </w:r>
        <w:r w:rsidR="00A23F03">
          <w:rPr>
            <w:rStyle w:val="Hyperlink"/>
            <w:rFonts w:ascii="Times New Roman" w:hAnsi="Times New Roman"/>
            <w:noProof/>
          </w:rPr>
          <w:t>ffect Dark Tobacco Yield</w:t>
        </w:r>
        <w:r w:rsidRPr="00F21024">
          <w:rPr>
            <w:noProof/>
            <w:webHidden/>
          </w:rPr>
          <w:tab/>
        </w:r>
        <w:r w:rsidR="004868FF">
          <w:rPr>
            <w:noProof/>
            <w:webHidden/>
          </w:rPr>
          <w:t>32</w:t>
        </w:r>
      </w:hyperlink>
    </w:p>
    <w:p w14:paraId="4FFBC191" w14:textId="232D86AD" w:rsidR="00222BB3" w:rsidRDefault="00222BB3" w:rsidP="00222BB3">
      <w:pPr>
        <w:pStyle w:val="TableofFigures"/>
        <w:tabs>
          <w:tab w:val="right" w:leader="dot" w:pos="8630"/>
        </w:tabs>
        <w:spacing w:line="360" w:lineRule="auto"/>
      </w:pPr>
      <w:r w:rsidRPr="00ED03DD">
        <w:rPr>
          <w:noProof/>
        </w:rPr>
        <w:t xml:space="preserve">Figure 9. Images of </w:t>
      </w:r>
      <w:r w:rsidR="00ED03DD">
        <w:rPr>
          <w:noProof/>
        </w:rPr>
        <w:t>C</w:t>
      </w:r>
      <w:r w:rsidRPr="00ED03DD">
        <w:rPr>
          <w:noProof/>
        </w:rPr>
        <w:t xml:space="preserve">anopy </w:t>
      </w:r>
      <w:r w:rsidR="00ED03DD">
        <w:rPr>
          <w:noProof/>
        </w:rPr>
        <w:t>C</w:t>
      </w:r>
      <w:r w:rsidRPr="00ED03DD">
        <w:rPr>
          <w:noProof/>
        </w:rPr>
        <w:t xml:space="preserve">overage of </w:t>
      </w:r>
      <w:r w:rsidR="00DA1282" w:rsidRPr="00ED03DD">
        <w:rPr>
          <w:noProof/>
        </w:rPr>
        <w:t xml:space="preserve">the 2022 – 2023 </w:t>
      </w:r>
      <w:r w:rsidR="00ED03DD">
        <w:rPr>
          <w:noProof/>
        </w:rPr>
        <w:t>C</w:t>
      </w:r>
      <w:r w:rsidR="00DA1282" w:rsidRPr="00ED03DD">
        <w:rPr>
          <w:noProof/>
        </w:rPr>
        <w:t xml:space="preserve">over </w:t>
      </w:r>
      <w:r w:rsidR="00ED03DD">
        <w:rPr>
          <w:noProof/>
        </w:rPr>
        <w:t>C</w:t>
      </w:r>
      <w:r w:rsidR="00DA1282" w:rsidRPr="00ED03DD">
        <w:rPr>
          <w:noProof/>
        </w:rPr>
        <w:t xml:space="preserve">rop </w:t>
      </w:r>
      <w:r w:rsidR="00ED03DD">
        <w:rPr>
          <w:noProof/>
        </w:rPr>
        <w:t>S</w:t>
      </w:r>
      <w:r w:rsidR="00DA1282" w:rsidRPr="00ED03DD">
        <w:rPr>
          <w:noProof/>
        </w:rPr>
        <w:t>eason</w:t>
      </w:r>
      <w:r w:rsidRPr="00F21024">
        <w:rPr>
          <w:noProof/>
          <w:webHidden/>
        </w:rPr>
        <w:tab/>
      </w:r>
      <w:r>
        <w:rPr>
          <w:noProof/>
          <w:webHidden/>
        </w:rPr>
        <w:t>3</w:t>
      </w:r>
      <w:r w:rsidR="00DA1282">
        <w:rPr>
          <w:noProof/>
          <w:webHidden/>
        </w:rPr>
        <w:t>3</w:t>
      </w:r>
    </w:p>
    <w:p w14:paraId="1B5122D5" w14:textId="3622ABB0" w:rsidR="00DA1282" w:rsidRDefault="00DA1282" w:rsidP="00DA1282">
      <w:pPr>
        <w:pStyle w:val="TableofFigures"/>
        <w:tabs>
          <w:tab w:val="right" w:leader="dot" w:pos="8630"/>
        </w:tabs>
        <w:spacing w:line="360" w:lineRule="auto"/>
      </w:pPr>
      <w:hyperlink w:anchor="_Toc428278253" w:history="1">
        <w:r>
          <w:rPr>
            <w:rStyle w:val="Hyperlink"/>
            <w:rFonts w:ascii="Times New Roman" w:hAnsi="Times New Roman"/>
            <w:noProof/>
          </w:rPr>
          <w:t xml:space="preserve">Figure 10. </w:t>
        </w:r>
        <w:r w:rsidR="00ED03DD">
          <w:rPr>
            <w:rStyle w:val="Hyperlink"/>
            <w:rFonts w:ascii="Times New Roman" w:hAnsi="Times New Roman"/>
            <w:noProof/>
          </w:rPr>
          <w:t>Images of Canopy Coverage of the 2023 – 2024 Cover Crop Season</w:t>
        </w:r>
        <w:r w:rsidRPr="00F21024">
          <w:rPr>
            <w:noProof/>
            <w:webHidden/>
          </w:rPr>
          <w:tab/>
        </w:r>
        <w:r>
          <w:rPr>
            <w:noProof/>
            <w:webHidden/>
          </w:rPr>
          <w:t>34</w:t>
        </w:r>
      </w:hyperlink>
    </w:p>
    <w:p w14:paraId="61DF8A41" w14:textId="77777777" w:rsidR="000C2975" w:rsidRPr="000D4C2B" w:rsidRDefault="000C2975" w:rsidP="00FC0490">
      <w:pPr>
        <w:spacing w:line="360" w:lineRule="auto"/>
        <w:rPr>
          <w:rFonts w:eastAsiaTheme="minorEastAsia"/>
        </w:rPr>
      </w:pPr>
    </w:p>
    <w:p w14:paraId="79940D56" w14:textId="77777777" w:rsidR="001A495E" w:rsidRDefault="001A495E" w:rsidP="00FC30F6">
      <w:pPr>
        <w:rPr>
          <w:b/>
        </w:rPr>
      </w:pPr>
    </w:p>
    <w:p w14:paraId="608D5FDD" w14:textId="77777777" w:rsidR="00D91A9B" w:rsidRDefault="00D91A9B" w:rsidP="00FC30F6"/>
    <w:p w14:paraId="2BFCEA74" w14:textId="5AE6793A" w:rsidR="00FC30F6" w:rsidRPr="00FC30F6" w:rsidRDefault="00FC30F6" w:rsidP="00FC30F6">
      <w:pPr>
        <w:tabs>
          <w:tab w:val="left" w:pos="2064"/>
        </w:tabs>
        <w:sectPr w:rsidR="00FC30F6" w:rsidRPr="00FC30F6" w:rsidSect="00551104">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docGrid w:linePitch="326"/>
        </w:sectPr>
      </w:pPr>
      <w:r>
        <w:tab/>
      </w:r>
    </w:p>
    <w:p w14:paraId="45D90ACF" w14:textId="4CACBBFD" w:rsidR="004F08CE" w:rsidRPr="00F21024" w:rsidRDefault="00A83041" w:rsidP="00FC0490">
      <w:pPr>
        <w:pStyle w:val="Heading1"/>
        <w:spacing w:before="0" w:after="0"/>
      </w:pPr>
      <w:bookmarkStart w:id="4" w:name="_Toc420995890"/>
      <w:bookmarkStart w:id="5" w:name="_Toc422997477"/>
      <w:bookmarkStart w:id="6" w:name="_Toc196291984"/>
      <w:r>
        <w:rPr>
          <w:caps w:val="0"/>
        </w:rPr>
        <w:t>CHAPTER ONE</w:t>
      </w:r>
      <w:bookmarkEnd w:id="4"/>
      <w:bookmarkEnd w:id="5"/>
      <w:r w:rsidR="00036ECF">
        <w:rPr>
          <w:caps w:val="0"/>
        </w:rPr>
        <w:t>:</w:t>
      </w:r>
      <w:r w:rsidR="000D4C2B">
        <w:rPr>
          <w:caps w:val="0"/>
        </w:rPr>
        <w:t xml:space="preserve"> </w:t>
      </w:r>
      <w:r w:rsidRPr="00F21024">
        <w:rPr>
          <w:caps w:val="0"/>
        </w:rPr>
        <w:t>LITERATURE REVIEW AND INTRODUCTION</w:t>
      </w:r>
      <w:bookmarkEnd w:id="6"/>
    </w:p>
    <w:p w14:paraId="08FB4BF7" w14:textId="69635CB5" w:rsidR="00AE5690" w:rsidRPr="00F21024" w:rsidRDefault="00342F03" w:rsidP="00FC0490">
      <w:pPr>
        <w:pStyle w:val="Heading2"/>
        <w:spacing w:before="0" w:after="0" w:line="360" w:lineRule="auto"/>
      </w:pPr>
      <w:bookmarkStart w:id="7" w:name="_Toc196291985"/>
      <w:r>
        <w:t xml:space="preserve">1.1 </w:t>
      </w:r>
      <w:r w:rsidR="00AE5690" w:rsidRPr="00F21024">
        <w:t>Dark Tobacco Production</w:t>
      </w:r>
      <w:bookmarkEnd w:id="7"/>
    </w:p>
    <w:p w14:paraId="2B9DF3F6" w14:textId="2D0B548A" w:rsidR="00AE5690" w:rsidRPr="00F21024" w:rsidRDefault="00AE5690" w:rsidP="00FC0490">
      <w:pPr>
        <w:spacing w:line="360" w:lineRule="auto"/>
      </w:pPr>
      <w:r w:rsidRPr="00F21024">
        <w:tab/>
      </w:r>
      <w:r w:rsidR="005460F7" w:rsidRPr="00522342">
        <w:rPr>
          <w:rFonts w:eastAsia="Aptos"/>
        </w:rPr>
        <w:t>Tennessee’s average dark tobacco production from 2022 to 2024 was 20.4 million k</w:t>
      </w:r>
      <w:r w:rsidR="005460F7">
        <w:rPr>
          <w:rFonts w:eastAsia="Aptos"/>
        </w:rPr>
        <w:t>gs</w:t>
      </w:r>
      <w:r w:rsidR="005460F7" w:rsidRPr="00522342">
        <w:rPr>
          <w:rFonts w:eastAsia="Aptos"/>
        </w:rPr>
        <w:t>, making up nearly 80% of the total tobacco acreage in the state (</w:t>
      </w:r>
      <w:r w:rsidR="006632F5">
        <w:rPr>
          <w:rFonts w:eastAsia="Aptos"/>
        </w:rPr>
        <w:t>United States Department of Agriculture – National Agriculture Statistics Survey [USDA – NASS]</w:t>
      </w:r>
      <w:r w:rsidR="005460F7" w:rsidRPr="00522342">
        <w:rPr>
          <w:rFonts w:eastAsia="Aptos"/>
        </w:rPr>
        <w:t xml:space="preserve">, 2025). </w:t>
      </w:r>
      <w:r w:rsidRPr="00F21024">
        <w:t xml:space="preserve">Dark tobacco </w:t>
      </w:r>
      <w:r w:rsidRPr="00F21024">
        <w:rPr>
          <w:i/>
          <w:iCs/>
        </w:rPr>
        <w:t xml:space="preserve">(Nicotiana tabacum </w:t>
      </w:r>
      <w:r w:rsidRPr="00F21024">
        <w:t>L.</w:t>
      </w:r>
      <w:r w:rsidRPr="00F21024">
        <w:rPr>
          <w:i/>
          <w:iCs/>
        </w:rPr>
        <w:t xml:space="preserve">) </w:t>
      </w:r>
      <w:r w:rsidRPr="00F21024">
        <w:t>is native to tropical regions making it a suitable crop for production in the humid climate of Tennessee (Collins &amp; Hawks, 2013). Tennessee’s humid climate creates the optimum climate for proliferation of diseases impacting all stages of tobacco production</w:t>
      </w:r>
      <w:r w:rsidR="00B02E5E">
        <w:t>,</w:t>
      </w:r>
      <w:r w:rsidRPr="00F21024">
        <w:t xml:space="preserve"> which can lead to a loss of revenue due to decreased yield and leaf quality (Bailey</w:t>
      </w:r>
      <w:r w:rsidR="0019669C">
        <w:t xml:space="preserve"> et al.</w:t>
      </w:r>
      <w:r w:rsidRPr="00F21024">
        <w:t xml:space="preserve"> 202</w:t>
      </w:r>
      <w:r w:rsidR="006632F5">
        <w:t>5a</w:t>
      </w:r>
      <w:r w:rsidRPr="00F21024">
        <w:t>). Dark tobacco production in the eastern US follows standard practices in preventing disease and disease spread, such as equipment sanitation and utilization of varieties with low susceptibility for certain diseases</w:t>
      </w:r>
      <w:r w:rsidR="00B02E5E">
        <w:t xml:space="preserve">. </w:t>
      </w:r>
      <w:r w:rsidRPr="00F21024">
        <w:t>These prevention methods are used frequently as a high-quality tobacco crop is imperative for producers (Bailey</w:t>
      </w:r>
      <w:r w:rsidR="0019669C">
        <w:t xml:space="preserve"> et al.</w:t>
      </w:r>
      <w:r w:rsidRPr="00F21024">
        <w:t xml:space="preserve"> 202</w:t>
      </w:r>
      <w:r w:rsidR="006632F5">
        <w:t>5e</w:t>
      </w:r>
      <w:r w:rsidRPr="00F21024">
        <w:t>). Some dark tobacco markets have a low tolerance for poor leaf quality, which often results from leaf spots or disease damage, making the utilization of prevention measures necessary (Bailey</w:t>
      </w:r>
      <w:r w:rsidR="0019669C">
        <w:t xml:space="preserve"> et al.</w:t>
      </w:r>
      <w:r w:rsidRPr="00F21024">
        <w:t xml:space="preserve"> 202</w:t>
      </w:r>
      <w:r w:rsidR="006632F5">
        <w:t>5e</w:t>
      </w:r>
      <w:r w:rsidRPr="00F21024">
        <w:t>). Other measures to reduce the likelihood of disease occurrence include but are not limited to crop rotation and proper site selection and preparation (Bailey</w:t>
      </w:r>
      <w:r w:rsidR="0019669C">
        <w:t xml:space="preserve"> et al.</w:t>
      </w:r>
      <w:r w:rsidRPr="00F21024">
        <w:t xml:space="preserve"> 202</w:t>
      </w:r>
      <w:r w:rsidR="006632F5">
        <w:t>5b</w:t>
      </w:r>
      <w:r w:rsidRPr="00F21024">
        <w:t xml:space="preserve">). With </w:t>
      </w:r>
      <w:r w:rsidR="00157886">
        <w:t>current and future incentivized programs</w:t>
      </w:r>
      <w:r w:rsidR="00945004">
        <w:t>, such as Environmental Quality Incentives Program (EQIP) and Conservation Stewardship Program (CSP),</w:t>
      </w:r>
      <w:r w:rsidRPr="00F21024">
        <w:t xml:space="preserve"> </w:t>
      </w:r>
      <w:r w:rsidR="00564D60">
        <w:t xml:space="preserve">growers may have options available </w:t>
      </w:r>
      <w:r w:rsidR="009E2D76">
        <w:t>f</w:t>
      </w:r>
      <w:r w:rsidR="00E17CCD">
        <w:t xml:space="preserve">or adopting cultural methods </w:t>
      </w:r>
      <w:r w:rsidRPr="00F21024">
        <w:t xml:space="preserve">to </w:t>
      </w:r>
      <w:r w:rsidR="00E17CCD">
        <w:t xml:space="preserve">aid in </w:t>
      </w:r>
      <w:r w:rsidRPr="00F21024">
        <w:t>control</w:t>
      </w:r>
      <w:r w:rsidR="00E17CCD">
        <w:t>ling</w:t>
      </w:r>
      <w:r w:rsidRPr="00F21024">
        <w:t>, reduc</w:t>
      </w:r>
      <w:r w:rsidR="00E17CCD">
        <w:t>ing</w:t>
      </w:r>
      <w:r w:rsidRPr="00F21024">
        <w:t>, or prevent</w:t>
      </w:r>
      <w:r w:rsidR="00E17CCD">
        <w:t>ing</w:t>
      </w:r>
      <w:r w:rsidRPr="00F21024">
        <w:t xml:space="preserve"> diseases in their cropping systems. </w:t>
      </w:r>
    </w:p>
    <w:p w14:paraId="65A4E4CE" w14:textId="6C630573" w:rsidR="00AE5690" w:rsidRPr="00F21024" w:rsidRDefault="00342F03" w:rsidP="00FC0490">
      <w:pPr>
        <w:pStyle w:val="Heading2"/>
        <w:spacing w:before="0" w:after="0" w:line="360" w:lineRule="auto"/>
      </w:pPr>
      <w:bookmarkStart w:id="8" w:name="_Toc196291986"/>
      <w:r>
        <w:t xml:space="preserve">1.2 </w:t>
      </w:r>
      <w:r w:rsidR="00AE5690" w:rsidRPr="00F21024">
        <w:t>Cover Crops</w:t>
      </w:r>
      <w:bookmarkEnd w:id="8"/>
    </w:p>
    <w:p w14:paraId="01EA94C5" w14:textId="26B70395" w:rsidR="00AE5690" w:rsidRPr="00F21024" w:rsidRDefault="00AE5690" w:rsidP="00FC0490">
      <w:pPr>
        <w:spacing w:line="360" w:lineRule="auto"/>
      </w:pPr>
      <w:r w:rsidRPr="00F21024">
        <w:tab/>
        <w:t xml:space="preserve">The use of cover crops has increased in recent years due to the increasing evidence of ecological and </w:t>
      </w:r>
      <w:r w:rsidR="00FE5A67" w:rsidRPr="00F21024">
        <w:t>economic</w:t>
      </w:r>
      <w:r w:rsidRPr="00F21024">
        <w:t xml:space="preserve"> advantages attached to cover crop incorporation in production systems. </w:t>
      </w:r>
      <w:r w:rsidR="00295013">
        <w:t xml:space="preserve">As of 2022, the USDA </w:t>
      </w:r>
      <w:r w:rsidR="001E7937">
        <w:t xml:space="preserve">Conservation Practice Adoption Motivations survey </w:t>
      </w:r>
      <w:r w:rsidR="00984448">
        <w:t xml:space="preserve">reported 61% of farmers and ranchers utilize </w:t>
      </w:r>
      <w:r w:rsidR="005413EE">
        <w:t>cover cropping in their production systems (USDA, 2022).</w:t>
      </w:r>
      <w:r w:rsidR="00984448">
        <w:t xml:space="preserve"> </w:t>
      </w:r>
      <w:r w:rsidRPr="00F21024">
        <w:t>Cover crops can reduce the need for chemical herbicides by inhibiting the growth of weeds when grown as a winter cover for warm season crops (Werle &amp; Blanco-Canqui, 2017; Ellis</w:t>
      </w:r>
      <w:r w:rsidR="0019669C">
        <w:t xml:space="preserve"> et al.</w:t>
      </w:r>
      <w:r w:rsidRPr="00F21024">
        <w:t xml:space="preserve"> 2000). Cover crop utilization aids in increasing soil quality by protecting aggregates from raindrop impact</w:t>
      </w:r>
      <w:r w:rsidR="00D77F9F">
        <w:t>,</w:t>
      </w:r>
      <w:r w:rsidRPr="00F21024">
        <w:t xml:space="preserve"> thereby decreasing soil detachment and erosion (Dabney et. al. 2001; Clark</w:t>
      </w:r>
      <w:r w:rsidR="006632F5">
        <w:t>,</w:t>
      </w:r>
      <w:r w:rsidRPr="00F21024">
        <w:t xml:space="preserve"> 2012). Other soil quality impacts include the enhancement of water infiltration and reduction of soil compaction in the presence of cover crops (Blanco-Canqui</w:t>
      </w:r>
      <w:r w:rsidR="0019669C">
        <w:t xml:space="preserve"> et al.</w:t>
      </w:r>
      <w:r w:rsidRPr="00F21024">
        <w:t xml:space="preserve"> 2015; Dabney</w:t>
      </w:r>
      <w:r w:rsidR="0019669C">
        <w:t xml:space="preserve"> et al.</w:t>
      </w:r>
      <w:r w:rsidRPr="00F21024">
        <w:t xml:space="preserve"> 2001). Reduction or alleviation of soil compaction is achieved through belowground biomass and increase in the critical water content at which compaction occurs. This means soils with cover crops can withstand higher traffic at higher water contents compared to soils without cover crops (Blanco-Canqui</w:t>
      </w:r>
      <w:r w:rsidR="0019669C">
        <w:t xml:space="preserve"> et al</w:t>
      </w:r>
      <w:r w:rsidR="00B02E5E">
        <w:t xml:space="preserve">. . </w:t>
      </w:r>
      <w:r w:rsidRPr="00F21024">
        <w:t xml:space="preserve">2015). Cover crop use has branched to include pest and pathogen management in the last few decades in addition to their known soil quality </w:t>
      </w:r>
      <w:r w:rsidR="00BD3983">
        <w:t>benefits</w:t>
      </w:r>
      <w:r w:rsidRPr="00F21024">
        <w:t>. Implementing cover crops can negatively impact pests and pathogens by altering soil environmental properties, encouraging populations of pest predators, and even creat</w:t>
      </w:r>
      <w:r w:rsidR="00D77F9F">
        <w:t>ing</w:t>
      </w:r>
      <w:r w:rsidRPr="00F21024">
        <w:t xml:space="preserve"> barriers to pest/pathogen movement (</w:t>
      </w:r>
      <w:proofErr w:type="spellStart"/>
      <w:r w:rsidRPr="00F21024">
        <w:t>Sarrantonio</w:t>
      </w:r>
      <w:proofErr w:type="spellEnd"/>
      <w:r w:rsidRPr="00F21024">
        <w:t xml:space="preserve"> &amp; </w:t>
      </w:r>
      <w:proofErr w:type="spellStart"/>
      <w:r w:rsidRPr="00F21024">
        <w:t>Gallandt</w:t>
      </w:r>
      <w:proofErr w:type="spellEnd"/>
      <w:r w:rsidRPr="00F21024">
        <w:t>, 2003). Leaving plant litter at the soil surface after cover cropping allows for stimulation of diverse microbial communities and may reduce soil-borne pathogens either through increased competition or by increasing the abundance of beneficial, pathogen antagonizing microbes (</w:t>
      </w:r>
      <w:proofErr w:type="spellStart"/>
      <w:r w:rsidRPr="00F21024">
        <w:t>Vukicevich</w:t>
      </w:r>
      <w:proofErr w:type="spellEnd"/>
      <w:r w:rsidR="0019669C">
        <w:t xml:space="preserve"> et al.</w:t>
      </w:r>
      <w:r w:rsidRPr="00F21024">
        <w:t xml:space="preserve"> 2016). Another way </w:t>
      </w:r>
      <w:proofErr w:type="gramStart"/>
      <w:r w:rsidRPr="00F21024">
        <w:t>cover</w:t>
      </w:r>
      <w:proofErr w:type="gramEnd"/>
      <w:r w:rsidRPr="00F21024">
        <w:t xml:space="preserve"> crops accomplish alterations to soil environments is moderation in soil temperature. They provide interception of solar radiation thus reducing daily maximums and increasing daily minimums of soil temperatures. This regulation of extreme soil temperatures can favor soil processes such as increasing microbial biomass and diversity (Blanco-Canqui</w:t>
      </w:r>
      <w:r w:rsidR="0019669C">
        <w:t xml:space="preserve"> et al.</w:t>
      </w:r>
      <w:r w:rsidRPr="00F21024">
        <w:t xml:space="preserve"> 2015). The effects of soil properties and characteristics under cover crops </w:t>
      </w:r>
      <w:r w:rsidR="00BD3983" w:rsidRPr="00F21024">
        <w:t>have</w:t>
      </w:r>
      <w:r w:rsidRPr="00F21024">
        <w:t xml:space="preserve"> a compounding influence on soil processes, such as </w:t>
      </w:r>
      <w:r w:rsidR="00792989">
        <w:t xml:space="preserve">increasing </w:t>
      </w:r>
      <w:r w:rsidRPr="00F21024">
        <w:t>aggregate stabilit</w:t>
      </w:r>
      <w:r w:rsidR="006650B1">
        <w:t>y.</w:t>
      </w:r>
      <w:r w:rsidR="00F64382">
        <w:t xml:space="preserve"> </w:t>
      </w:r>
      <w:r w:rsidR="00B4054C">
        <w:t>Ignoring the negative</w:t>
      </w:r>
      <w:r w:rsidR="00792989">
        <w:t xml:space="preserve"> effects of </w:t>
      </w:r>
      <w:r w:rsidR="00990BC9">
        <w:t xml:space="preserve">agriculture production on soil health </w:t>
      </w:r>
      <w:r w:rsidR="00F658FC">
        <w:t>and</w:t>
      </w:r>
      <w:r w:rsidR="00990BC9">
        <w:t xml:space="preserve"> characteristics </w:t>
      </w:r>
      <w:r w:rsidRPr="00F21024">
        <w:t>could lead to bigger environmental issues (soil erosion, eutrophication, etc.).</w:t>
      </w:r>
      <w:r w:rsidR="00A17254">
        <w:t xml:space="preserve"> </w:t>
      </w:r>
    </w:p>
    <w:p w14:paraId="1F5A0C8E" w14:textId="2F5BC041" w:rsidR="00AE5690" w:rsidRPr="00F21024" w:rsidRDefault="00AE5690" w:rsidP="00AE5690">
      <w:pPr>
        <w:spacing w:line="360" w:lineRule="auto"/>
      </w:pPr>
      <w:r w:rsidRPr="00F21024">
        <w:tab/>
        <w:t xml:space="preserve">Three commonly used cover crops in the southern United States are cereal rye, crimson clover, and hairy vetch. Cereal rye </w:t>
      </w:r>
      <w:r w:rsidRPr="00F21024">
        <w:rPr>
          <w:i/>
          <w:iCs/>
        </w:rPr>
        <w:t xml:space="preserve">(Secale cereale </w:t>
      </w:r>
      <w:r w:rsidRPr="00F21024">
        <w:t>L.</w:t>
      </w:r>
      <w:r w:rsidRPr="00F21024">
        <w:rPr>
          <w:i/>
          <w:iCs/>
        </w:rPr>
        <w:t xml:space="preserve">) </w:t>
      </w:r>
      <w:r w:rsidRPr="00F21024">
        <w:t>is suitable for many crop rotations including soybean, corn, and vegetables (Clark, 2012).</w:t>
      </w:r>
      <w:r w:rsidRPr="00F21024">
        <w:rPr>
          <w:i/>
          <w:iCs/>
        </w:rPr>
        <w:t xml:space="preserve"> </w:t>
      </w:r>
      <w:r w:rsidRPr="00F21024">
        <w:t>In regions where water supply is not limited, cereal rye has the capability of producing high amounts of biomass and canopy cover which can provide a physical suppression of weeds (Davis, 2010; Ryan et al. 2011). These characteristics make cereal rye a favorable choice of cover crop for producers, especially in Tennessee. Cereal rye plant matter decomposition releases phytotoxic chemicals which have an allelopathic effect on some weed species</w:t>
      </w:r>
      <w:r w:rsidR="00D77F9F">
        <w:t>,</w:t>
      </w:r>
      <w:r w:rsidRPr="00F21024">
        <w:t xml:space="preserve"> aiding in the reduction of herbicide-resistant weeds (Barnes and Putnam, 1986; Clark, 2012). The use of cereal rye as a cover crop </w:t>
      </w:r>
      <w:r w:rsidR="00F64382">
        <w:t xml:space="preserve">can </w:t>
      </w:r>
      <w:r w:rsidRPr="00F21024">
        <w:t xml:space="preserve">also </w:t>
      </w:r>
      <w:r w:rsidR="00BD3983">
        <w:t>reduce</w:t>
      </w:r>
      <w:r w:rsidRPr="00F21024">
        <w:t xml:space="preserve"> excess nitrogen in the soil by absorbing and storing it in plant tissue during winter and early spring growth</w:t>
      </w:r>
      <w:r w:rsidR="00BD3983">
        <w:t>,</w:t>
      </w:r>
      <w:r w:rsidRPr="00F21024">
        <w:t xml:space="preserve"> reducing the likelihood of </w:t>
      </w:r>
      <w:r w:rsidR="00BD3983">
        <w:t xml:space="preserve">nitrate </w:t>
      </w:r>
      <w:r w:rsidRPr="00F21024">
        <w:t xml:space="preserve">leaching (Weiner et al. 2002). </w:t>
      </w:r>
    </w:p>
    <w:p w14:paraId="5CA065E6" w14:textId="6DEB4671" w:rsidR="00AE5690" w:rsidRPr="00F21024" w:rsidRDefault="00AE5690" w:rsidP="00FC0490">
      <w:pPr>
        <w:spacing w:line="360" w:lineRule="auto"/>
        <w:ind w:firstLine="720"/>
      </w:pPr>
      <w:r w:rsidRPr="00F21024">
        <w:t>Crimson clover contributes high nitrogen concentrations to the soil and reduces soil erosion when planted as a cover crop and left as a residue after termination. This cover crop grows well in the winter making it suitable for early</w:t>
      </w:r>
      <w:r w:rsidR="00D77F9F">
        <w:t>-</w:t>
      </w:r>
      <w:r w:rsidRPr="00F21024">
        <w:t>fall harvested or late</w:t>
      </w:r>
      <w:r w:rsidR="00D77F9F">
        <w:t>-</w:t>
      </w:r>
      <w:r w:rsidRPr="00F21024">
        <w:t>spring planted crops (Clark</w:t>
      </w:r>
      <w:r w:rsidR="006632F5">
        <w:t>,</w:t>
      </w:r>
      <w:r w:rsidRPr="00F21024">
        <w:t xml:space="preserve"> 2012). The incorporation of crimson clover can improve microbial biomass and soil enzyme activities as was observed by Kirchner et al. (1993) in a conventional tillage, continuous corn system. </w:t>
      </w:r>
    </w:p>
    <w:p w14:paraId="10720FE2" w14:textId="75FA4C2B" w:rsidR="00AE5690" w:rsidRPr="00F21024" w:rsidRDefault="00AE5690" w:rsidP="00FC0490">
      <w:pPr>
        <w:spacing w:line="360" w:lineRule="auto"/>
        <w:ind w:firstLine="720"/>
      </w:pPr>
      <w:proofErr w:type="gramStart"/>
      <w:r w:rsidRPr="00F21024">
        <w:t>Similar to</w:t>
      </w:r>
      <w:proofErr w:type="gramEnd"/>
      <w:r w:rsidRPr="00F21024">
        <w:t xml:space="preserve"> crimson clover, hairy vetch can be used as a nitrogen source and weed suppressor when planted as a cover crop. It acts as a weed suppressor mainly by </w:t>
      </w:r>
      <w:r w:rsidR="00BD3983">
        <w:t>out</w:t>
      </w:r>
      <w:r w:rsidRPr="00F21024">
        <w:t>competing weeds and shading the soil to prevent germination of weed seeds. Hairy vetch helps to improve water retention in the root zone by reducing surface runoff and increasing infiltration by creating macropores in the soil (Clark, 2012).</w:t>
      </w:r>
    </w:p>
    <w:p w14:paraId="02D81717" w14:textId="76551B65" w:rsidR="00AE5690" w:rsidRPr="00F21024" w:rsidRDefault="00AE5690" w:rsidP="00FC0490">
      <w:pPr>
        <w:spacing w:line="360" w:lineRule="auto"/>
      </w:pPr>
      <w:r w:rsidRPr="00F21024">
        <w:tab/>
        <w:t xml:space="preserve">Excluding cover crops from the production system can negatively impact </w:t>
      </w:r>
      <w:r w:rsidR="00041EBD" w:rsidRPr="00F21024">
        <w:t>the height</w:t>
      </w:r>
      <w:r w:rsidRPr="00F21024">
        <w:t xml:space="preserve"> of tobacco plants by increasing competition and overgrowth of weeds (Ellis</w:t>
      </w:r>
      <w:r w:rsidR="0019669C">
        <w:t xml:space="preserve"> et al.</w:t>
      </w:r>
      <w:r w:rsidRPr="00F21024">
        <w:t xml:space="preserve"> 2000). A study in burley tobacco revealed establishment of cover crops (wheat plus crimson clover and cereal rye plus crimson clover) was not negatively impacted following herbicide treatment (pre-</w:t>
      </w:r>
      <w:proofErr w:type="spellStart"/>
      <w:r w:rsidRPr="00F21024">
        <w:t>sulfetrazone</w:t>
      </w:r>
      <w:proofErr w:type="spellEnd"/>
      <w:r w:rsidRPr="00F21024">
        <w:t xml:space="preserve">, </w:t>
      </w:r>
      <w:proofErr w:type="spellStart"/>
      <w:r w:rsidRPr="00F21024">
        <w:t>carfentrazone</w:t>
      </w:r>
      <w:proofErr w:type="spellEnd"/>
      <w:r w:rsidRPr="00F21024">
        <w:t>, post-clomazone, and pre-</w:t>
      </w:r>
      <w:proofErr w:type="spellStart"/>
      <w:r w:rsidRPr="00F21024">
        <w:t>pendemethalin</w:t>
      </w:r>
      <w:proofErr w:type="spellEnd"/>
      <w:r w:rsidRPr="00F21024">
        <w:t>) of tobacco fields. However, in this study early termination of cover crops decreased weed suppression capabilities (Haramoto</w:t>
      </w:r>
      <w:r w:rsidR="0019669C">
        <w:t xml:space="preserve"> et al.</w:t>
      </w:r>
      <w:r w:rsidRPr="00F21024">
        <w:t xml:space="preserve"> 2020). </w:t>
      </w:r>
      <w:r w:rsidRPr="000D4C2B">
        <w:t>Tobacco yield was not impacted when a mixture of legume and rye cover crops were compared to legume only cover crops</w:t>
      </w:r>
      <w:r w:rsidRPr="00F21024">
        <w:t>. However, a study in no-till, flue-cured tobacco increased yields following a legume cover crop</w:t>
      </w:r>
      <w:r w:rsidR="009B1236">
        <w:t>,</w:t>
      </w:r>
      <w:r w:rsidRPr="00F21024">
        <w:t xml:space="preserve"> likely due to nitrogen carryover (</w:t>
      </w:r>
      <w:proofErr w:type="spellStart"/>
      <w:r w:rsidRPr="00F21024">
        <w:t>Wiepke</w:t>
      </w:r>
      <w:proofErr w:type="spellEnd"/>
      <w:r w:rsidR="0019669C">
        <w:t xml:space="preserve"> et al.</w:t>
      </w:r>
      <w:r w:rsidRPr="00F21024">
        <w:t xml:space="preserve"> 1988). </w:t>
      </w:r>
      <w:r w:rsidR="00392B2C">
        <w:t>N</w:t>
      </w:r>
      <w:r w:rsidR="003506CC">
        <w:t>itrogen</w:t>
      </w:r>
      <w:r w:rsidR="00392B2C">
        <w:t xml:space="preserve"> </w:t>
      </w:r>
      <w:r w:rsidR="00D7674B">
        <w:t>recommendations</w:t>
      </w:r>
      <w:r w:rsidR="00392B2C">
        <w:t xml:space="preserve"> are currently based on previous crop and soil drainage class and ranges</w:t>
      </w:r>
      <w:r w:rsidR="00A413C0">
        <w:t xml:space="preserve"> </w:t>
      </w:r>
      <w:r w:rsidR="009B1236">
        <w:t>by state</w:t>
      </w:r>
      <w:r w:rsidR="00392B2C">
        <w:t xml:space="preserve"> from</w:t>
      </w:r>
      <w:r w:rsidR="0014721A">
        <w:t xml:space="preserve"> </w:t>
      </w:r>
      <w:r w:rsidR="00503753">
        <w:t>199</w:t>
      </w:r>
      <w:r w:rsidR="009223E4">
        <w:t xml:space="preserve"> to 309 kg</w:t>
      </w:r>
      <w:r w:rsidR="00A413C0">
        <w:t xml:space="preserve"> ha</w:t>
      </w:r>
      <w:r w:rsidR="00A413C0">
        <w:rPr>
          <w:vertAlign w:val="superscript"/>
        </w:rPr>
        <w:t>-1</w:t>
      </w:r>
      <w:r w:rsidR="003506CC">
        <w:t xml:space="preserve"> (Bailey et al. </w:t>
      </w:r>
      <w:r w:rsidR="006267D9">
        <w:t>2025</w:t>
      </w:r>
      <w:r w:rsidR="003F28EE">
        <w:t>d).</w:t>
      </w:r>
      <w:r w:rsidR="00002ADD">
        <w:t xml:space="preserve"> </w:t>
      </w:r>
      <w:r w:rsidR="00474E40">
        <w:t xml:space="preserve">Nitrogen is the most important </w:t>
      </w:r>
      <w:r w:rsidR="008473D0">
        <w:t>nutrient for the growth, development, and quality of tobacco</w:t>
      </w:r>
      <w:r w:rsidR="008C4D91">
        <w:t xml:space="preserve"> (Tso 1972)</w:t>
      </w:r>
      <w:r w:rsidR="00002ADD">
        <w:t xml:space="preserve">. </w:t>
      </w:r>
      <w:r w:rsidR="00AD7410">
        <w:t>O</w:t>
      </w:r>
      <w:r w:rsidR="002A4701">
        <w:t xml:space="preserve">ver fertilization </w:t>
      </w:r>
      <w:r w:rsidR="00A84ED0">
        <w:t>results in</w:t>
      </w:r>
      <w:r w:rsidR="00AD7410">
        <w:t xml:space="preserve"> lowered </w:t>
      </w:r>
      <w:r w:rsidR="00CD06FB">
        <w:t xml:space="preserve">quality due to green </w:t>
      </w:r>
      <w:r w:rsidR="0011248A">
        <w:t>grades in cured leaves and increase</w:t>
      </w:r>
      <w:r w:rsidR="00A84ED0">
        <w:t xml:space="preserve">d </w:t>
      </w:r>
      <w:r w:rsidR="0011248A">
        <w:t>amount</w:t>
      </w:r>
      <w:r w:rsidR="00A84ED0">
        <w:t>s</w:t>
      </w:r>
      <w:r w:rsidR="0011248A">
        <w:t xml:space="preserve"> of tobacco specific</w:t>
      </w:r>
      <w:r w:rsidR="0071274D">
        <w:t xml:space="preserve"> nitrosamines</w:t>
      </w:r>
      <w:r w:rsidR="00CB1799">
        <w:t xml:space="preserve"> (TSNA)</w:t>
      </w:r>
      <w:r w:rsidR="0071274D">
        <w:t xml:space="preserve"> produced by the tobacco plants. Increases in </w:t>
      </w:r>
      <w:r w:rsidR="00CB1799">
        <w:t>TSNA production leads to</w:t>
      </w:r>
      <w:r w:rsidR="002A4701">
        <w:t xml:space="preserve"> increased carcinogen load</w:t>
      </w:r>
      <w:r w:rsidR="008C0F7C">
        <w:t xml:space="preserve"> </w:t>
      </w:r>
      <w:r w:rsidR="00351A25">
        <w:t>in the cured leaves</w:t>
      </w:r>
      <w:r w:rsidR="008C0F7C">
        <w:t xml:space="preserve">. </w:t>
      </w:r>
      <w:r w:rsidR="000F5DD6">
        <w:t>Incorporation of</w:t>
      </w:r>
      <w:r w:rsidR="00AE11F6">
        <w:t xml:space="preserve"> cover crops </w:t>
      </w:r>
      <w:r w:rsidR="000F5DD6">
        <w:t xml:space="preserve">can benefit </w:t>
      </w:r>
      <w:r w:rsidR="00AE11F6">
        <w:t>production</w:t>
      </w:r>
      <w:r w:rsidR="000F5DD6">
        <w:t xml:space="preserve"> system</w:t>
      </w:r>
      <w:r w:rsidR="00AE11F6">
        <w:t>s</w:t>
      </w:r>
      <w:r w:rsidR="000F5DD6">
        <w:t xml:space="preserve"> by reducing fert</w:t>
      </w:r>
      <w:r w:rsidR="00AE11F6">
        <w:t>ilizer</w:t>
      </w:r>
      <w:r w:rsidR="000F5DD6">
        <w:t xml:space="preserve"> app</w:t>
      </w:r>
      <w:r w:rsidR="00AE11F6">
        <w:t xml:space="preserve">lications, </w:t>
      </w:r>
      <w:r w:rsidR="00C52CC6">
        <w:t>improv</w:t>
      </w:r>
      <w:r w:rsidR="00AC7929">
        <w:t>ing</w:t>
      </w:r>
      <w:r w:rsidR="00C52CC6">
        <w:t xml:space="preserve"> soil health, </w:t>
      </w:r>
      <w:r w:rsidR="007E1188">
        <w:t xml:space="preserve">and </w:t>
      </w:r>
      <w:r w:rsidR="00AC7929">
        <w:t xml:space="preserve">eligibility for producers to participate in </w:t>
      </w:r>
      <w:r w:rsidR="004279C0">
        <w:t>conservation programs.</w:t>
      </w:r>
    </w:p>
    <w:p w14:paraId="36FA737F" w14:textId="4540FE0E" w:rsidR="00AE5690" w:rsidRPr="00F21024" w:rsidRDefault="00342F03" w:rsidP="00FC0490">
      <w:pPr>
        <w:pStyle w:val="Heading2"/>
        <w:spacing w:before="0" w:after="0" w:line="360" w:lineRule="auto"/>
      </w:pPr>
      <w:bookmarkStart w:id="9" w:name="_Toc196291987"/>
      <w:r>
        <w:t xml:space="preserve">1.3 </w:t>
      </w:r>
      <w:r w:rsidR="00AE5690" w:rsidRPr="00F21024">
        <w:t>Tillage Impact</w:t>
      </w:r>
      <w:bookmarkEnd w:id="9"/>
    </w:p>
    <w:p w14:paraId="412D9413" w14:textId="77777777" w:rsidR="00AE5690" w:rsidRPr="00F21024" w:rsidRDefault="00AE5690" w:rsidP="00FC0490">
      <w:pPr>
        <w:spacing w:line="360" w:lineRule="auto"/>
        <w:ind w:firstLine="720"/>
      </w:pPr>
      <w:r w:rsidRPr="00F21024">
        <w:t xml:space="preserve">Tillage and no tillage systems have been thoroughly researched for decades for their advantages and disadvantages to agriculture production and environmental quality. The decision to implement tillage or opt for no-till requires knowledge of the end goal for the system. No-till tobacco systems rely predominantly on herbicide chemistry for weed control. With only five available herbicides and no roundup-ready cultivars, a combination of tillage and herbicides are the top choices among tobacco producers for weed control. </w:t>
      </w:r>
    </w:p>
    <w:p w14:paraId="0C966B95" w14:textId="1E48F5D9" w:rsidR="00AE5690" w:rsidRPr="00F21024" w:rsidRDefault="00AE5690" w:rsidP="00FC0490">
      <w:pPr>
        <w:spacing w:line="360" w:lineRule="auto"/>
        <w:ind w:firstLine="720"/>
      </w:pPr>
      <w:r w:rsidRPr="00F21024">
        <w:t>Tillage can decrease the amount of organic matter in the surface layers of the soil (Hussain</w:t>
      </w:r>
      <w:r w:rsidR="0019669C">
        <w:t xml:space="preserve"> et al.</w:t>
      </w:r>
      <w:r w:rsidRPr="00F21024">
        <w:t xml:space="preserve"> 1996). Conventionally till</w:t>
      </w:r>
      <w:r w:rsidR="004336A8">
        <w:t xml:space="preserve">ed </w:t>
      </w:r>
      <w:r w:rsidRPr="00F21024">
        <w:t>areas often decrease some soil physical properties such as aggregate stability and structure</w:t>
      </w:r>
      <w:r w:rsidR="008F02AF">
        <w:t xml:space="preserve">. </w:t>
      </w:r>
      <w:r w:rsidRPr="00F21024">
        <w:t xml:space="preserve">Aggregate stability is important for water infiltration and percolation throughout the soil profile. As aggregate stability decreases, surface water </w:t>
      </w:r>
      <w:proofErr w:type="gramStart"/>
      <w:r w:rsidRPr="00F21024">
        <w:t>run</w:t>
      </w:r>
      <w:r w:rsidR="006817FB">
        <w:t>-</w:t>
      </w:r>
      <w:r w:rsidRPr="00F21024">
        <w:t>off</w:t>
      </w:r>
      <w:proofErr w:type="gramEnd"/>
      <w:r w:rsidRPr="00F21024">
        <w:t xml:space="preserve"> and soil erosion tend to increase</w:t>
      </w:r>
      <w:r w:rsidR="008F02AF" w:rsidRPr="008F02AF">
        <w:t xml:space="preserve"> </w:t>
      </w:r>
      <w:r w:rsidR="008F02AF" w:rsidRPr="00F21024">
        <w:t>(Hussain</w:t>
      </w:r>
      <w:r w:rsidR="008F02AF">
        <w:t xml:space="preserve"> et al.</w:t>
      </w:r>
      <w:r w:rsidR="008F02AF" w:rsidRPr="00F21024">
        <w:t xml:space="preserve"> 1996).</w:t>
      </w:r>
      <w:r w:rsidRPr="00F21024">
        <w:t xml:space="preserve"> Aggregate stability is influenced by the amount and species of microbes found in the soil. Frequent tillage can disrupt the communities of soil fungi and bacteria shifting the populations of each and changing the functions and benefits provided by the diverse communities. These disturbances can </w:t>
      </w:r>
      <w:r w:rsidR="005978D7">
        <w:t>promote</w:t>
      </w:r>
      <w:r w:rsidRPr="00F21024">
        <w:t xml:space="preserve"> microbial populations that provide fewer resources and benefits back into the soil environment (</w:t>
      </w:r>
      <w:proofErr w:type="spellStart"/>
      <w:r w:rsidRPr="00F21024">
        <w:t>Vukicevich</w:t>
      </w:r>
      <w:proofErr w:type="spellEnd"/>
      <w:r w:rsidR="0019669C">
        <w:t xml:space="preserve"> et al.</w:t>
      </w:r>
      <w:r w:rsidRPr="00F21024">
        <w:t xml:space="preserve"> 2016). Most tobacco systems are </w:t>
      </w:r>
      <w:proofErr w:type="gramStart"/>
      <w:r w:rsidRPr="00F21024">
        <w:t>tilled</w:t>
      </w:r>
      <w:proofErr w:type="gramEnd"/>
      <w:r w:rsidRPr="00F21024">
        <w:t xml:space="preserve"> to prepare the soil for transplanting of young tobacco plants (Bailey</w:t>
      </w:r>
      <w:r w:rsidR="0019669C">
        <w:t xml:space="preserve"> et al.</w:t>
      </w:r>
      <w:r w:rsidRPr="00F21024">
        <w:t xml:space="preserve"> 202</w:t>
      </w:r>
      <w:r w:rsidR="00501F50">
        <w:t>5b</w:t>
      </w:r>
      <w:r w:rsidRPr="00F21024">
        <w:t xml:space="preserve">). In a study conducted in Brazil, long-term tilled tobacco systems were assessed for healthy soil quality parameters (Thomas &amp; </w:t>
      </w:r>
      <w:proofErr w:type="spellStart"/>
      <w:r w:rsidRPr="00F21024">
        <w:t>Antoneli</w:t>
      </w:r>
      <w:proofErr w:type="spellEnd"/>
      <w:r w:rsidRPr="00F21024">
        <w:t xml:space="preserve">, 2022). Long-term, conventionally tilled soils had a decrease of up to 57% soil organic matter and a reorganization of soil particles which led to an increase in soil erodibility (Thomas &amp; </w:t>
      </w:r>
      <w:proofErr w:type="spellStart"/>
      <w:r w:rsidRPr="00F21024">
        <w:t>Antoneli</w:t>
      </w:r>
      <w:proofErr w:type="spellEnd"/>
      <w:r w:rsidRPr="00F21024">
        <w:t>, 2022). Subsoiling, a non-inversion form of tillage below a 14-inch depth, is a typical practice in most tobacco systems (SARE, 2023). According to a study in Kentucky, subsoiling did not significantly impact yield compared to surface tillage (Ritchey</w:t>
      </w:r>
      <w:r w:rsidR="0019669C">
        <w:t xml:space="preserve"> et al.</w:t>
      </w:r>
      <w:r w:rsidRPr="00F21024">
        <w:t xml:space="preserve"> 2012). The results of the surface tillage were variable.</w:t>
      </w:r>
      <w:r w:rsidR="00493618">
        <w:t xml:space="preserve"> </w:t>
      </w:r>
      <w:r w:rsidR="007A0168">
        <w:t xml:space="preserve">Transplant success was higher in </w:t>
      </w:r>
      <w:r w:rsidR="004336A8">
        <w:t>areas</w:t>
      </w:r>
      <w:r w:rsidR="00493618">
        <w:t xml:space="preserve"> that had been </w:t>
      </w:r>
      <w:proofErr w:type="gramStart"/>
      <w:r w:rsidR="00493618">
        <w:t>tilled</w:t>
      </w:r>
      <w:proofErr w:type="gramEnd"/>
      <w:r w:rsidR="00493618">
        <w:t xml:space="preserve">, but areas under no-tillage had better soil physical properties </w:t>
      </w:r>
      <w:r w:rsidRPr="00F21024">
        <w:t>(Ritchey</w:t>
      </w:r>
      <w:r w:rsidR="0019669C">
        <w:t xml:space="preserve"> et al.</w:t>
      </w:r>
      <w:r w:rsidRPr="00F21024">
        <w:t xml:space="preserve"> 2012). The presence of subsurface compaction can have negative effects on tobacco systems as presented in Murdock et. al. 1986. Compacted soils treated with subsoiling in the row resulted in increased tobacco yields when compared to tobacco plots not subsoiled or conventionally tilled prior to transplanting (Murdock</w:t>
      </w:r>
      <w:r w:rsidR="0019669C">
        <w:t xml:space="preserve"> et al.</w:t>
      </w:r>
      <w:r w:rsidRPr="00F21024">
        <w:t xml:space="preserve"> 1986). The subsoiled plots reduced compaction allowing tobacco plants to have better root growth and development. </w:t>
      </w:r>
    </w:p>
    <w:p w14:paraId="01A9DBF8" w14:textId="464698F6" w:rsidR="00AE5690" w:rsidRPr="00F21024" w:rsidRDefault="00342F03" w:rsidP="00FC0490">
      <w:pPr>
        <w:pStyle w:val="Heading2"/>
        <w:spacing w:before="0" w:after="0" w:line="360" w:lineRule="auto"/>
      </w:pPr>
      <w:bookmarkStart w:id="10" w:name="_Toc196291988"/>
      <w:r>
        <w:t xml:space="preserve">1.4 </w:t>
      </w:r>
      <w:r w:rsidR="00AE5690" w:rsidRPr="00F21024">
        <w:t>Angular Leaf Spot</w:t>
      </w:r>
      <w:bookmarkEnd w:id="10"/>
    </w:p>
    <w:p w14:paraId="6C686C58" w14:textId="6D694058" w:rsidR="00AE5690" w:rsidRPr="00F21024" w:rsidRDefault="00AE5690" w:rsidP="00FC0490">
      <w:pPr>
        <w:spacing w:line="360" w:lineRule="auto"/>
      </w:pPr>
      <w:r w:rsidRPr="00F21024">
        <w:tab/>
        <w:t>Reporting of angular leaf spot (ALS) by tobacco producers over the last decade has increased showing need for research of th</w:t>
      </w:r>
      <w:r w:rsidR="00EE47B6">
        <w:t>is</w:t>
      </w:r>
      <w:r w:rsidRPr="00F21024">
        <w:t xml:space="preserve"> plant disease. Angular leaf spot is caused by the bacteria </w:t>
      </w:r>
      <w:r w:rsidRPr="00F21024">
        <w:rPr>
          <w:i/>
          <w:iCs/>
        </w:rPr>
        <w:t xml:space="preserve">Pseudomonas </w:t>
      </w:r>
      <w:proofErr w:type="spellStart"/>
      <w:r w:rsidRPr="00F21024">
        <w:rPr>
          <w:i/>
          <w:iCs/>
        </w:rPr>
        <w:t>syringae</w:t>
      </w:r>
      <w:proofErr w:type="spellEnd"/>
      <w:r w:rsidRPr="00F21024">
        <w:t xml:space="preserve"> </w:t>
      </w:r>
      <w:proofErr w:type="spellStart"/>
      <w:r w:rsidRPr="00F21024">
        <w:t>pv</w:t>
      </w:r>
      <w:proofErr w:type="spellEnd"/>
      <w:r w:rsidRPr="00F21024">
        <w:t xml:space="preserve">. </w:t>
      </w:r>
      <w:proofErr w:type="spellStart"/>
      <w:r w:rsidRPr="00F21024">
        <w:rPr>
          <w:i/>
          <w:iCs/>
        </w:rPr>
        <w:t>tabaci</w:t>
      </w:r>
      <w:proofErr w:type="spellEnd"/>
      <w:r w:rsidRPr="00F21024">
        <w:rPr>
          <w:i/>
          <w:iCs/>
        </w:rPr>
        <w:t xml:space="preserve"> (</w:t>
      </w:r>
      <w:proofErr w:type="spellStart"/>
      <w:r w:rsidRPr="00F21024">
        <w:rPr>
          <w:i/>
          <w:iCs/>
        </w:rPr>
        <w:t>Pst</w:t>
      </w:r>
      <w:proofErr w:type="spellEnd"/>
      <w:r w:rsidRPr="00F21024">
        <w:rPr>
          <w:i/>
          <w:iCs/>
        </w:rPr>
        <w:t>).</w:t>
      </w:r>
      <w:r w:rsidRPr="00F21024">
        <w:t xml:space="preserve"> This pathovar is a member of the widely studied bacterial species </w:t>
      </w:r>
      <w:r w:rsidR="00C35269">
        <w:rPr>
          <w:i/>
          <w:iCs/>
        </w:rPr>
        <w:t>P</w:t>
      </w:r>
      <w:r w:rsidRPr="00F21024">
        <w:rPr>
          <w:i/>
          <w:iCs/>
        </w:rPr>
        <w:t xml:space="preserve">. </w:t>
      </w:r>
      <w:proofErr w:type="spellStart"/>
      <w:r w:rsidRPr="00F21024">
        <w:rPr>
          <w:i/>
          <w:iCs/>
        </w:rPr>
        <w:t>syringae</w:t>
      </w:r>
      <w:proofErr w:type="spellEnd"/>
      <w:r w:rsidRPr="00F21024">
        <w:rPr>
          <w:i/>
          <w:iCs/>
        </w:rPr>
        <w:t xml:space="preserve">. </w:t>
      </w:r>
      <w:r w:rsidRPr="00F21024">
        <w:t xml:space="preserve">As defined by the American </w:t>
      </w:r>
      <w:proofErr w:type="spellStart"/>
      <w:r w:rsidRPr="00F21024">
        <w:t>Phytopathological</w:t>
      </w:r>
      <w:proofErr w:type="spellEnd"/>
      <w:r w:rsidRPr="00F21024">
        <w:t xml:space="preserve"> Society, a pathovar is a subdivision of a plant-pathogenic bacterial species defined by host range (APS, 2023). This bacterium has more than 60 identified pathovars associated with the species (Xin</w:t>
      </w:r>
      <w:r w:rsidR="0019669C">
        <w:t xml:space="preserve"> et al.</w:t>
      </w:r>
      <w:r w:rsidRPr="00F21024">
        <w:t xml:space="preserve"> 2018). Each of the identified pathovars infects a characteristically unique set of host </w:t>
      </w:r>
      <w:r w:rsidR="00041EBD" w:rsidRPr="00F21024">
        <w:t>plants</w:t>
      </w:r>
      <w:r w:rsidRPr="00F21024">
        <w:t xml:space="preserve"> such as oats, soybeans, tomatoes, and tobacco (Xin</w:t>
      </w:r>
      <w:r w:rsidR="0019669C">
        <w:t xml:space="preserve"> et al.</w:t>
      </w:r>
      <w:r w:rsidRPr="00F21024">
        <w:t xml:space="preserve"> 2018; Lyndon &amp; Patterson, 2001). </w:t>
      </w:r>
      <w:r w:rsidRPr="00F21024">
        <w:rPr>
          <w:i/>
          <w:iCs/>
        </w:rPr>
        <w:t xml:space="preserve">Pseudomonas </w:t>
      </w:r>
      <w:proofErr w:type="spellStart"/>
      <w:r w:rsidRPr="00F21024">
        <w:rPr>
          <w:i/>
          <w:iCs/>
        </w:rPr>
        <w:t>syringae</w:t>
      </w:r>
      <w:proofErr w:type="spellEnd"/>
      <w:r w:rsidRPr="00F21024">
        <w:rPr>
          <w:i/>
          <w:iCs/>
        </w:rPr>
        <w:t xml:space="preserve"> </w:t>
      </w:r>
      <w:r w:rsidRPr="00F21024">
        <w:t xml:space="preserve">infects nearly all economically valuable crops, making it one of the most common pathogens. The growth of </w:t>
      </w:r>
      <w:r w:rsidRPr="00F21024">
        <w:rPr>
          <w:i/>
          <w:iCs/>
        </w:rPr>
        <w:t>P</w:t>
      </w:r>
      <w:r w:rsidRPr="00F21024">
        <w:t>.</w:t>
      </w:r>
      <w:r w:rsidRPr="00F21024">
        <w:rPr>
          <w:i/>
          <w:iCs/>
        </w:rPr>
        <w:t xml:space="preserve"> </w:t>
      </w:r>
      <w:proofErr w:type="spellStart"/>
      <w:r w:rsidRPr="00F21024">
        <w:rPr>
          <w:i/>
          <w:iCs/>
        </w:rPr>
        <w:t>syringae</w:t>
      </w:r>
      <w:proofErr w:type="spellEnd"/>
      <w:r w:rsidRPr="00F21024">
        <w:rPr>
          <w:i/>
          <w:iCs/>
        </w:rPr>
        <w:t xml:space="preserve"> </w:t>
      </w:r>
      <w:r w:rsidRPr="00F21024">
        <w:t xml:space="preserve">occurs in two phases: epiphytic and endophytic. The epiphytic stage occurs as the bacteria live on the above ground portions of the plants (stems, leaves, flowers, and fruits). The endophytic stage begins when the bacteria enter the host plant tissue and start colonizing within the apoplast. Entry into the plant is achieved by passing through stomatal openings and/or tissue wounds on the plant. To aid in the entry of </w:t>
      </w:r>
      <w:r w:rsidRPr="00F21024">
        <w:rPr>
          <w:i/>
          <w:iCs/>
        </w:rPr>
        <w:t xml:space="preserve">P. </w:t>
      </w:r>
      <w:proofErr w:type="spellStart"/>
      <w:r w:rsidRPr="00F21024">
        <w:rPr>
          <w:i/>
          <w:iCs/>
        </w:rPr>
        <w:t>syringae</w:t>
      </w:r>
      <w:proofErr w:type="spellEnd"/>
      <w:r w:rsidRPr="00F21024">
        <w:rPr>
          <w:i/>
          <w:iCs/>
        </w:rPr>
        <w:t xml:space="preserve">, </w:t>
      </w:r>
      <w:r w:rsidRPr="00F21024">
        <w:t xml:space="preserve">the bacteria produce compounds that strongly counteract the plant’s defense mechanisms against pathogen invasion. For example, one specific compound produced is called coronatine. It can inhibit stomatal closure and re-open stomata by interacting with </w:t>
      </w:r>
      <w:proofErr w:type="spellStart"/>
      <w:r w:rsidRPr="00F21024">
        <w:t>jasmonate</w:t>
      </w:r>
      <w:proofErr w:type="spellEnd"/>
      <w:r w:rsidRPr="00F21024">
        <w:t xml:space="preserve"> signaling receptors (Xin</w:t>
      </w:r>
      <w:r w:rsidR="0019669C">
        <w:t xml:space="preserve"> et al.</w:t>
      </w:r>
      <w:r w:rsidRPr="00F21024">
        <w:t xml:space="preserve"> 2018). </w:t>
      </w:r>
    </w:p>
    <w:p w14:paraId="7D114F19" w14:textId="700C52C8" w:rsidR="00AE5690" w:rsidRPr="00F21024" w:rsidRDefault="00AE5690" w:rsidP="00FC0490">
      <w:pPr>
        <w:spacing w:line="360" w:lineRule="auto"/>
      </w:pPr>
      <w:r w:rsidRPr="00F21024">
        <w:rPr>
          <w:i/>
          <w:iCs/>
        </w:rPr>
        <w:tab/>
        <w:t xml:space="preserve">Pseudomonas </w:t>
      </w:r>
      <w:proofErr w:type="spellStart"/>
      <w:r w:rsidRPr="00F21024">
        <w:rPr>
          <w:i/>
          <w:iCs/>
        </w:rPr>
        <w:t>syringae</w:t>
      </w:r>
      <w:proofErr w:type="spellEnd"/>
      <w:r w:rsidRPr="00F21024">
        <w:rPr>
          <w:i/>
          <w:iCs/>
        </w:rPr>
        <w:t xml:space="preserve"> </w:t>
      </w:r>
      <w:proofErr w:type="spellStart"/>
      <w:r w:rsidRPr="00F21024">
        <w:t>pv</w:t>
      </w:r>
      <w:proofErr w:type="spellEnd"/>
      <w:r w:rsidRPr="00F21024">
        <w:t xml:space="preserve">. </w:t>
      </w:r>
      <w:proofErr w:type="spellStart"/>
      <w:r w:rsidRPr="00F21024">
        <w:rPr>
          <w:i/>
          <w:iCs/>
        </w:rPr>
        <w:t>tabici</w:t>
      </w:r>
      <w:proofErr w:type="spellEnd"/>
      <w:r w:rsidRPr="00F21024">
        <w:rPr>
          <w:i/>
          <w:iCs/>
        </w:rPr>
        <w:t xml:space="preserve"> </w:t>
      </w:r>
      <w:r w:rsidRPr="00F21024">
        <w:t>causes two foliar plant diseases in tobacco: wildfire and ALS (Collins &amp; Hawks, 2013; Daub</w:t>
      </w:r>
      <w:r w:rsidR="0019669C">
        <w:t xml:space="preserve"> et al.</w:t>
      </w:r>
      <w:r w:rsidRPr="00F21024">
        <w:t xml:space="preserve"> 1991; Davis &amp; Nielsen</w:t>
      </w:r>
      <w:r w:rsidR="006632F5">
        <w:t>,</w:t>
      </w:r>
      <w:r w:rsidRPr="00F21024">
        <w:t xml:space="preserve"> 1999; Young</w:t>
      </w:r>
      <w:r w:rsidR="0019669C">
        <w:t xml:space="preserve"> et al.</w:t>
      </w:r>
      <w:r w:rsidRPr="00F21024">
        <w:t xml:space="preserve"> 1978). Wildfire bacteria produce a compound called tabtoxin, which serves as a chemically distinguishing feature from ALS bacteria (Lyndon &amp; Patterson, 2001). Visual differences between wildfire and ALS are observed through differences in the size of lesions. Wildfire lesions range in size from </w:t>
      </w:r>
      <w:r w:rsidR="00E8657A">
        <w:t xml:space="preserve">one to two </w:t>
      </w:r>
      <w:r w:rsidR="00EE47B6">
        <w:t>cm</w:t>
      </w:r>
      <w:r w:rsidR="00EE47B6" w:rsidRPr="00F21024">
        <w:t xml:space="preserve"> </w:t>
      </w:r>
      <w:r w:rsidRPr="00F21024">
        <w:t>in diameter while ALS lesions are much smaller ranging in size from</w:t>
      </w:r>
      <w:r w:rsidR="00F97D58">
        <w:t xml:space="preserve"> approximately 12 to 76 </w:t>
      </w:r>
      <w:r w:rsidR="00EE47B6">
        <w:t>mm</w:t>
      </w:r>
      <w:r w:rsidR="00EE47B6" w:rsidRPr="00F21024">
        <w:t xml:space="preserve"> </w:t>
      </w:r>
      <w:r w:rsidRPr="00F21024">
        <w:t>in diameter. Additionally, in severe cases, the centers of ALS lesions can fall out. Angular leaf spot lesions are bound by leaf veins and can cause leaves to become puckered and torn (Collin &amp; Hawks</w:t>
      </w:r>
      <w:r w:rsidR="0019669C">
        <w:t xml:space="preserve"> et al.</w:t>
      </w:r>
      <w:r w:rsidRPr="00F21024">
        <w:t xml:space="preserve"> 2013; Davis &amp; Neilsen, 1999). </w:t>
      </w:r>
    </w:p>
    <w:p w14:paraId="5E225830" w14:textId="183281E1" w:rsidR="00236E6D" w:rsidRPr="008746CD" w:rsidRDefault="00AE5690" w:rsidP="00FC0490">
      <w:pPr>
        <w:spacing w:line="360" w:lineRule="auto"/>
      </w:pPr>
      <w:r w:rsidRPr="00F21024">
        <w:tab/>
        <w:t>The recent increase in widespread occurrence of ALS in US tobacco production has sparked research to expand knowledge of the disease. The spread of ALS occurs through water, either precipitation or irrigation, splashing contaminated soil from plant-to-plant or leaf-to-leaf (Daub</w:t>
      </w:r>
      <w:r w:rsidR="0019669C">
        <w:t xml:space="preserve"> et al.</w:t>
      </w:r>
      <w:r w:rsidRPr="00F21024">
        <w:t xml:space="preserve"> 1991). Additionally, ALS can be spread through pulling/handling of wet plants when necrotic lesions are oozing bacteria. Sources of initial ALS inoculum include infected plant residue, infected seed, or naturally infected weeds such as smartweed, shepherd’s purse, or dandelions. Basic management practices used to reduce disease </w:t>
      </w:r>
      <w:proofErr w:type="gramStart"/>
      <w:r w:rsidRPr="00F21024">
        <w:t>spread</w:t>
      </w:r>
      <w:proofErr w:type="gramEnd"/>
      <w:r w:rsidRPr="00F21024">
        <w:t xml:space="preserve"> include sanitary practices, low susceptibility varieties,</w:t>
      </w:r>
      <w:r w:rsidR="00053720">
        <w:t xml:space="preserve"> and</w:t>
      </w:r>
      <w:r w:rsidRPr="00F21024">
        <w:t xml:space="preserve"> chemical protection. Preventative treatments of </w:t>
      </w:r>
      <w:r w:rsidR="004E60E1">
        <w:t xml:space="preserve">agriculture </w:t>
      </w:r>
      <w:r w:rsidRPr="00F21024">
        <w:t xml:space="preserve"> streptomycin </w:t>
      </w:r>
      <w:r w:rsidR="004E05BC">
        <w:t>are</w:t>
      </w:r>
      <w:r w:rsidR="00135CDD">
        <w:t xml:space="preserve"> an</w:t>
      </w:r>
      <w:r w:rsidRPr="00F21024">
        <w:t xml:space="preserve"> effective control</w:t>
      </w:r>
      <w:r w:rsidR="00135CDD">
        <w:t xml:space="preserve">  </w:t>
      </w:r>
      <w:r w:rsidRPr="00F21024">
        <w:t>(Bailey</w:t>
      </w:r>
      <w:r w:rsidR="0019669C">
        <w:t xml:space="preserve"> </w:t>
      </w:r>
      <w:r w:rsidR="00F51FEF">
        <w:t>et al.</w:t>
      </w:r>
      <w:r w:rsidRPr="00F21024">
        <w:t xml:space="preserve"> 202</w:t>
      </w:r>
      <w:r w:rsidR="00501F50">
        <w:t>5e</w:t>
      </w:r>
      <w:r w:rsidRPr="00F21024">
        <w:t>; Daub</w:t>
      </w:r>
      <w:r w:rsidR="0019669C">
        <w:t xml:space="preserve"> </w:t>
      </w:r>
      <w:r w:rsidR="00F51FEF">
        <w:t>et al.</w:t>
      </w:r>
      <w:r w:rsidRPr="00F21024">
        <w:t xml:space="preserve"> 1991; Davis &amp; Neilsen, 1999). Additionally, recent research has </w:t>
      </w:r>
      <w:r w:rsidR="006632F5">
        <w:t>evaluated</w:t>
      </w:r>
      <w:r w:rsidRPr="00F21024">
        <w:t xml:space="preserve"> the susceptibility of dark tobacco cultivars to ALS and </w:t>
      </w:r>
      <w:r w:rsidR="006632F5">
        <w:t xml:space="preserve">has discovered </w:t>
      </w:r>
      <w:r w:rsidRPr="00F21024">
        <w:t xml:space="preserve">streptomycin resistant strains of </w:t>
      </w:r>
      <w:proofErr w:type="spellStart"/>
      <w:r w:rsidRPr="00F21024">
        <w:rPr>
          <w:i/>
          <w:iCs/>
        </w:rPr>
        <w:t>Pst</w:t>
      </w:r>
      <w:proofErr w:type="spellEnd"/>
      <w:r w:rsidRPr="00F21024">
        <w:rPr>
          <w:i/>
          <w:iCs/>
        </w:rPr>
        <w:t xml:space="preserve"> </w:t>
      </w:r>
      <w:r w:rsidRPr="00F21024">
        <w:t>(Keeney</w:t>
      </w:r>
      <w:r w:rsidR="0019669C">
        <w:t xml:space="preserve"> et al.</w:t>
      </w:r>
      <w:r w:rsidR="00F51FEF">
        <w:t xml:space="preserve"> et al.</w:t>
      </w:r>
      <w:r w:rsidRPr="00F21024">
        <w:t xml:space="preserve"> 2021; Keeney-Webb</w:t>
      </w:r>
      <w:r w:rsidR="0019669C">
        <w:t xml:space="preserve"> et al.</w:t>
      </w:r>
      <w:r w:rsidR="00F51FEF">
        <w:t xml:space="preserve"> et al.</w:t>
      </w:r>
      <w:r w:rsidRPr="00F21024">
        <w:t xml:space="preserve"> 2022). A study looking into the susceptibility of dark tobacco varieties to ALS resulted in categorizing varieties ranging from less susceptible to highly susceptible to ALS. However, this study stated it is more important to select variety susceptibility to black shank over ALS (Hansen</w:t>
      </w:r>
      <w:r w:rsidR="0019669C">
        <w:t xml:space="preserve"> </w:t>
      </w:r>
      <w:r w:rsidR="00F51FEF">
        <w:t>et al.</w:t>
      </w:r>
      <w:r w:rsidRPr="00F21024">
        <w:t xml:space="preserve"> 2022).</w:t>
      </w:r>
      <w:r w:rsidR="00B02E5E">
        <w:t xml:space="preserve"> </w:t>
      </w:r>
      <w:r w:rsidR="005F2B0B" w:rsidRPr="00F21024">
        <w:br w:type="page"/>
      </w:r>
    </w:p>
    <w:p w14:paraId="6A32D352" w14:textId="4C383BD2" w:rsidR="008746CD" w:rsidRDefault="00A83041" w:rsidP="00FC0490">
      <w:pPr>
        <w:pStyle w:val="Heading1"/>
        <w:spacing w:before="0" w:after="0"/>
      </w:pPr>
      <w:bookmarkStart w:id="11" w:name="_Toc196291989"/>
      <w:r>
        <w:rPr>
          <w:caps w:val="0"/>
        </w:rPr>
        <w:t>CHAPTER TWO</w:t>
      </w:r>
      <w:r w:rsidR="005978D7">
        <w:rPr>
          <w:caps w:val="0"/>
        </w:rPr>
        <w:t>:</w:t>
      </w:r>
      <w:r>
        <w:rPr>
          <w:caps w:val="0"/>
        </w:rPr>
        <w:t xml:space="preserve"> </w:t>
      </w:r>
      <w:r w:rsidR="00526B27">
        <w:rPr>
          <w:caps w:val="0"/>
        </w:rPr>
        <w:t xml:space="preserve">IMPACT OF TILLAGE AND COVER CROP TYPE </w:t>
      </w:r>
      <w:r w:rsidR="00A62BCE">
        <w:rPr>
          <w:caps w:val="0"/>
        </w:rPr>
        <w:t>ON DARK TOBACCO YIELD, LEAF QUALITY, AND ANGULAR LEAF SPOT O</w:t>
      </w:r>
      <w:r w:rsidR="008C0A55">
        <w:rPr>
          <w:caps w:val="0"/>
        </w:rPr>
        <w:t>CCURENCE</w:t>
      </w:r>
      <w:r w:rsidR="00A62BCE">
        <w:rPr>
          <w:caps w:val="0"/>
        </w:rPr>
        <w:t xml:space="preserve"> IN TENNESSEE</w:t>
      </w:r>
      <w:bookmarkEnd w:id="11"/>
    </w:p>
    <w:p w14:paraId="22AFFBF4" w14:textId="14C5136D" w:rsidR="00EF5AF9" w:rsidRDefault="00EF5AF9" w:rsidP="00FC0490">
      <w:pPr>
        <w:pStyle w:val="Heading2"/>
        <w:spacing w:before="0" w:after="0" w:line="360" w:lineRule="auto"/>
      </w:pPr>
      <w:bookmarkStart w:id="12" w:name="_Toc196291990"/>
      <w:r>
        <w:t xml:space="preserve">2.1 </w:t>
      </w:r>
      <w:r w:rsidR="00D3114E">
        <w:t>Introduction</w:t>
      </w:r>
      <w:bookmarkEnd w:id="12"/>
    </w:p>
    <w:p w14:paraId="1EFDEB85" w14:textId="05A491FE" w:rsidR="00522342" w:rsidRPr="00522342" w:rsidRDefault="00522342" w:rsidP="00FC0490">
      <w:pPr>
        <w:spacing w:line="360" w:lineRule="auto"/>
        <w:ind w:firstLine="720"/>
        <w:rPr>
          <w:rFonts w:eastAsia="Aptos"/>
        </w:rPr>
      </w:pPr>
      <w:r w:rsidRPr="00522342">
        <w:rPr>
          <w:rFonts w:eastAsia="Aptos"/>
        </w:rPr>
        <w:t>Tennessee’s average dark tobacco production from 2022 to 2024 was 20.4 million k</w:t>
      </w:r>
      <w:r w:rsidR="00A86293">
        <w:rPr>
          <w:rFonts w:eastAsia="Aptos"/>
        </w:rPr>
        <w:t>g</w:t>
      </w:r>
      <w:r w:rsidRPr="00522342">
        <w:rPr>
          <w:rFonts w:eastAsia="Aptos"/>
        </w:rPr>
        <w:t>, making up nearly 80% of the total tobacco acreage in the state (USDA – NASS, 2025). The humid climate of Tennessee makes dark tobacco (</w:t>
      </w:r>
      <w:r w:rsidRPr="00522342">
        <w:rPr>
          <w:rFonts w:eastAsia="Aptos"/>
          <w:i/>
          <w:iCs/>
        </w:rPr>
        <w:t>Nicotiana tabacum</w:t>
      </w:r>
      <w:r w:rsidRPr="00522342">
        <w:rPr>
          <w:rFonts w:eastAsia="Aptos"/>
        </w:rPr>
        <w:t xml:space="preserve"> L.), a native to tropical regions, a suitable crop for the state (Collins &amp; Hawks, 2013). Tennessee’s climate creates an optimal environment for the proliferation of impactful tobacco diseases (Bailey</w:t>
      </w:r>
      <w:r w:rsidR="0019669C">
        <w:rPr>
          <w:rFonts w:eastAsia="Aptos"/>
        </w:rPr>
        <w:t xml:space="preserve"> et al.</w:t>
      </w:r>
      <w:r w:rsidR="00F51FEF">
        <w:rPr>
          <w:rFonts w:eastAsia="Aptos"/>
        </w:rPr>
        <w:t xml:space="preserve"> et al.</w:t>
      </w:r>
      <w:r w:rsidRPr="00522342">
        <w:rPr>
          <w:rFonts w:eastAsia="Aptos"/>
        </w:rPr>
        <w:t xml:space="preserve"> 202</w:t>
      </w:r>
      <w:r w:rsidR="00FB5688">
        <w:rPr>
          <w:rFonts w:eastAsia="Aptos"/>
        </w:rPr>
        <w:t>5a</w:t>
      </w:r>
      <w:r w:rsidRPr="00522342">
        <w:rPr>
          <w:rFonts w:eastAsia="Aptos"/>
        </w:rPr>
        <w:t>). Standard practices of disease prevention are followed by US dark tobacco production systems. These practices include but are not limited to equipment sanitation, utilization of low susceptibility/resistant tobacco cultivars, and crop rotation (Bailey</w:t>
      </w:r>
      <w:r w:rsidR="0019669C">
        <w:rPr>
          <w:rFonts w:eastAsia="Aptos"/>
        </w:rPr>
        <w:t xml:space="preserve"> </w:t>
      </w:r>
      <w:r w:rsidR="00F51FEF">
        <w:rPr>
          <w:rFonts w:eastAsia="Aptos"/>
        </w:rPr>
        <w:t>et al.</w:t>
      </w:r>
      <w:r w:rsidRPr="00522342">
        <w:rPr>
          <w:rFonts w:eastAsia="Aptos"/>
        </w:rPr>
        <w:t xml:space="preserve"> 202</w:t>
      </w:r>
      <w:r w:rsidR="005B6160">
        <w:rPr>
          <w:rFonts w:eastAsia="Aptos"/>
        </w:rPr>
        <w:t>5</w:t>
      </w:r>
      <w:r w:rsidR="00AD2EDB">
        <w:rPr>
          <w:rFonts w:eastAsia="Aptos"/>
        </w:rPr>
        <w:t>e</w:t>
      </w:r>
      <w:r w:rsidRPr="00522342">
        <w:rPr>
          <w:rFonts w:eastAsia="Aptos"/>
        </w:rPr>
        <w:t xml:space="preserve">). It is imperative for tobacco producers to understand the options available when making decisions related to their production systems and disease management. </w:t>
      </w:r>
    </w:p>
    <w:p w14:paraId="0E41030B" w14:textId="22DA9B66" w:rsidR="00522342" w:rsidRPr="00522342" w:rsidRDefault="00522342" w:rsidP="00FC0490">
      <w:pPr>
        <w:spacing w:line="360" w:lineRule="auto"/>
        <w:ind w:firstLine="720"/>
        <w:rPr>
          <w:rFonts w:eastAsia="Aptos"/>
        </w:rPr>
      </w:pPr>
      <w:r w:rsidRPr="00522342">
        <w:rPr>
          <w:rFonts w:eastAsia="Aptos"/>
        </w:rPr>
        <w:t xml:space="preserve">Cover crop usage has increased in recent years due to their widely studied ecological and </w:t>
      </w:r>
      <w:r w:rsidR="00070A00" w:rsidRPr="00522342">
        <w:rPr>
          <w:rFonts w:eastAsia="Aptos"/>
        </w:rPr>
        <w:t>economic</w:t>
      </w:r>
      <w:r w:rsidRPr="00522342">
        <w:rPr>
          <w:rFonts w:eastAsia="Aptos"/>
        </w:rPr>
        <w:t xml:space="preserve"> benefits provided to agriculture systems. Examples of ecological benefits include improving soil quality, enhancing water infiltration, and reducing soil compaction (Blanco-Canqui</w:t>
      </w:r>
      <w:r w:rsidR="0019669C">
        <w:rPr>
          <w:rFonts w:eastAsia="Aptos"/>
        </w:rPr>
        <w:t>.</w:t>
      </w:r>
      <w:r w:rsidR="00F51FEF">
        <w:rPr>
          <w:rFonts w:eastAsia="Aptos"/>
        </w:rPr>
        <w:t xml:space="preserve"> et al.</w:t>
      </w:r>
      <w:r w:rsidRPr="00522342">
        <w:rPr>
          <w:rFonts w:eastAsia="Aptos"/>
        </w:rPr>
        <w:t xml:space="preserve"> 2015; Dabney</w:t>
      </w:r>
      <w:r w:rsidR="0019669C">
        <w:rPr>
          <w:rFonts w:eastAsia="Aptos"/>
        </w:rPr>
        <w:t xml:space="preserve"> </w:t>
      </w:r>
      <w:r w:rsidR="00F51FEF">
        <w:rPr>
          <w:rFonts w:eastAsia="Aptos"/>
        </w:rPr>
        <w:t>et al.</w:t>
      </w:r>
      <w:r w:rsidRPr="00522342">
        <w:rPr>
          <w:rFonts w:eastAsia="Aptos"/>
        </w:rPr>
        <w:t xml:space="preserve"> 2001). With only five chemical herbicides available and no roundup ready tobacco cultivars, tobacco producers have limited options </w:t>
      </w:r>
      <w:r w:rsidR="009C3A9F">
        <w:rPr>
          <w:rFonts w:eastAsia="Aptos"/>
        </w:rPr>
        <w:t>for</w:t>
      </w:r>
      <w:r w:rsidRPr="00522342">
        <w:rPr>
          <w:rFonts w:eastAsia="Aptos"/>
        </w:rPr>
        <w:t xml:space="preserve"> weed management. Tobacco producers could benefit economically by utilizing a cover crop’s ability to inhibit the growth of weeds as a weed management supplement </w:t>
      </w:r>
      <w:r w:rsidR="009C3A9F">
        <w:rPr>
          <w:rFonts w:eastAsia="Aptos"/>
        </w:rPr>
        <w:t>thus</w:t>
      </w:r>
      <w:r w:rsidR="009C3A9F" w:rsidRPr="00522342">
        <w:rPr>
          <w:rFonts w:eastAsia="Aptos"/>
        </w:rPr>
        <w:t xml:space="preserve"> </w:t>
      </w:r>
      <w:r w:rsidRPr="00522342">
        <w:rPr>
          <w:rFonts w:eastAsia="Aptos"/>
        </w:rPr>
        <w:t>reducing their need for chemical herbicides (Werle &amp; Blanco-Canqui, 2017; Ellis</w:t>
      </w:r>
      <w:r w:rsidR="0019669C">
        <w:rPr>
          <w:rFonts w:eastAsia="Aptos"/>
        </w:rPr>
        <w:t xml:space="preserve"> </w:t>
      </w:r>
      <w:r w:rsidR="00F51FEF">
        <w:rPr>
          <w:rFonts w:eastAsia="Aptos"/>
        </w:rPr>
        <w:t>et al.</w:t>
      </w:r>
      <w:r w:rsidRPr="00522342">
        <w:rPr>
          <w:rFonts w:eastAsia="Aptos"/>
        </w:rPr>
        <w:t xml:space="preserve"> 2000).</w:t>
      </w:r>
    </w:p>
    <w:p w14:paraId="6F1E7989" w14:textId="1DA518E4" w:rsidR="00522342" w:rsidRPr="00522342" w:rsidRDefault="00522342" w:rsidP="00FC0490">
      <w:pPr>
        <w:spacing w:line="360" w:lineRule="auto"/>
        <w:ind w:firstLine="720"/>
        <w:rPr>
          <w:rFonts w:eastAsia="Aptos"/>
        </w:rPr>
      </w:pPr>
      <w:r w:rsidRPr="00522342">
        <w:rPr>
          <w:rFonts w:eastAsia="Aptos"/>
        </w:rPr>
        <w:t xml:space="preserve">Due to a lack of </w:t>
      </w:r>
      <w:r w:rsidR="00D84F71">
        <w:rPr>
          <w:rFonts w:eastAsia="Aptos"/>
        </w:rPr>
        <w:t xml:space="preserve">registered </w:t>
      </w:r>
      <w:r w:rsidRPr="00522342">
        <w:rPr>
          <w:rFonts w:eastAsia="Aptos"/>
        </w:rPr>
        <w:t>post-emergent herbicides, tobacco producers often rely on a combination of tillage, pre-emergent herbicides, and cover crops to manage weed populations (Bailey</w:t>
      </w:r>
      <w:r w:rsidR="0019669C">
        <w:rPr>
          <w:rFonts w:eastAsia="Aptos"/>
        </w:rPr>
        <w:t>.</w:t>
      </w:r>
      <w:r w:rsidR="00F51FEF">
        <w:rPr>
          <w:rFonts w:eastAsia="Aptos"/>
        </w:rPr>
        <w:t xml:space="preserve"> et al.</w:t>
      </w:r>
      <w:r w:rsidRPr="00522342">
        <w:rPr>
          <w:rFonts w:eastAsia="Aptos"/>
        </w:rPr>
        <w:t xml:space="preserve"> 2025</w:t>
      </w:r>
      <w:r w:rsidR="00542ECE">
        <w:rPr>
          <w:rFonts w:eastAsia="Aptos"/>
        </w:rPr>
        <w:t>c</w:t>
      </w:r>
      <w:r w:rsidRPr="00522342">
        <w:rPr>
          <w:rFonts w:eastAsia="Aptos"/>
        </w:rPr>
        <w:t>). The implementation of tillage has been researched thoroughly for decades (Hussain</w:t>
      </w:r>
      <w:r w:rsidR="0019669C">
        <w:rPr>
          <w:rFonts w:eastAsia="Aptos"/>
        </w:rPr>
        <w:t xml:space="preserve"> </w:t>
      </w:r>
      <w:r w:rsidR="00F51FEF">
        <w:rPr>
          <w:rFonts w:eastAsia="Aptos"/>
        </w:rPr>
        <w:t>et al.</w:t>
      </w:r>
      <w:r w:rsidRPr="00522342">
        <w:rPr>
          <w:rFonts w:eastAsia="Aptos"/>
        </w:rPr>
        <w:t xml:space="preserve"> 1999; </w:t>
      </w:r>
      <w:proofErr w:type="spellStart"/>
      <w:r w:rsidRPr="00522342">
        <w:rPr>
          <w:rFonts w:eastAsia="Aptos"/>
        </w:rPr>
        <w:t>Vukicevich</w:t>
      </w:r>
      <w:proofErr w:type="spellEnd"/>
      <w:r w:rsidR="0019669C">
        <w:rPr>
          <w:rFonts w:eastAsia="Aptos"/>
        </w:rPr>
        <w:t xml:space="preserve"> </w:t>
      </w:r>
      <w:r w:rsidR="00F51FEF">
        <w:rPr>
          <w:rFonts w:eastAsia="Aptos"/>
        </w:rPr>
        <w:t>et al.</w:t>
      </w:r>
      <w:r w:rsidRPr="00522342">
        <w:rPr>
          <w:rFonts w:eastAsia="Aptos"/>
        </w:rPr>
        <w:t xml:space="preserve"> 2016) and making the decision to incorporate tillage or no-tillage into the production system depends on the goals, benefits, and challenges of the production system. Conventionally tilled areas can experience a decrease in soil organic matter and soil aggregate stability which could lead to an increase in surface runoff and a decrease in beneficial microbial populations (Hussain</w:t>
      </w:r>
      <w:r w:rsidR="0019669C">
        <w:rPr>
          <w:rFonts w:eastAsia="Aptos"/>
        </w:rPr>
        <w:t xml:space="preserve"> </w:t>
      </w:r>
      <w:r w:rsidR="00F51FEF">
        <w:rPr>
          <w:rFonts w:eastAsia="Aptos"/>
        </w:rPr>
        <w:t>et al.</w:t>
      </w:r>
      <w:r w:rsidRPr="00522342">
        <w:rPr>
          <w:rFonts w:eastAsia="Aptos"/>
        </w:rPr>
        <w:t xml:space="preserve"> 1999; </w:t>
      </w:r>
      <w:proofErr w:type="spellStart"/>
      <w:r w:rsidRPr="00522342">
        <w:rPr>
          <w:rFonts w:eastAsia="Aptos"/>
        </w:rPr>
        <w:t>Vukicevich</w:t>
      </w:r>
      <w:proofErr w:type="spellEnd"/>
      <w:r w:rsidR="0019669C">
        <w:rPr>
          <w:rFonts w:eastAsia="Aptos"/>
        </w:rPr>
        <w:t xml:space="preserve"> </w:t>
      </w:r>
      <w:r w:rsidR="00F51FEF">
        <w:rPr>
          <w:rFonts w:eastAsia="Aptos"/>
        </w:rPr>
        <w:t>et al.</w:t>
      </w:r>
      <w:r w:rsidRPr="00522342">
        <w:rPr>
          <w:rFonts w:eastAsia="Aptos"/>
        </w:rPr>
        <w:t xml:space="preserve"> 2016).</w:t>
      </w:r>
    </w:p>
    <w:p w14:paraId="3D95FB54" w14:textId="3B5CF05D" w:rsidR="00044270" w:rsidRPr="00F20D5D" w:rsidRDefault="00044270" w:rsidP="00FC0490">
      <w:pPr>
        <w:spacing w:line="360" w:lineRule="auto"/>
        <w:ind w:firstLine="720"/>
      </w:pPr>
      <w:r>
        <w:t>R</w:t>
      </w:r>
      <w:r w:rsidRPr="00B925F4">
        <w:t xml:space="preserve">eports of angular leaf spot (ALS) </w:t>
      </w:r>
      <w:r>
        <w:t>from dark tobacco producers in the Mid-South US</w:t>
      </w:r>
      <w:r w:rsidRPr="00B925F4">
        <w:t xml:space="preserve"> </w:t>
      </w:r>
      <w:r>
        <w:t xml:space="preserve">since 2015 </w:t>
      </w:r>
      <w:r w:rsidRPr="00B925F4">
        <w:t>increased drastically</w:t>
      </w:r>
      <w:r>
        <w:t xml:space="preserve"> </w:t>
      </w:r>
      <w:r w:rsidR="00FB04D3">
        <w:t>driving</w:t>
      </w:r>
      <w:r w:rsidR="00E24257">
        <w:t xml:space="preserve"> </w:t>
      </w:r>
      <w:r>
        <w:t xml:space="preserve">the need </w:t>
      </w:r>
      <w:r w:rsidR="0086016C">
        <w:t>for</w:t>
      </w:r>
      <w:r w:rsidR="0086016C" w:rsidRPr="00B925F4">
        <w:t xml:space="preserve"> </w:t>
      </w:r>
      <w:r>
        <w:t>solutions for</w:t>
      </w:r>
      <w:r w:rsidRPr="00B925F4">
        <w:t xml:space="preserve"> control and prevention of </w:t>
      </w:r>
      <w:r>
        <w:t>th</w:t>
      </w:r>
      <w:r w:rsidR="009C3A9F">
        <w:t>is</w:t>
      </w:r>
      <w:r>
        <w:t xml:space="preserve"> foliar disease</w:t>
      </w:r>
      <w:r w:rsidRPr="00B925F4">
        <w:t xml:space="preserve">. Angular leaf spot is caused by the bacteria </w:t>
      </w:r>
      <w:r w:rsidRPr="00CF474D">
        <w:rPr>
          <w:i/>
          <w:iCs/>
        </w:rPr>
        <w:t xml:space="preserve">Pseudomonas </w:t>
      </w:r>
      <w:proofErr w:type="spellStart"/>
      <w:r w:rsidRPr="00CF474D">
        <w:rPr>
          <w:i/>
          <w:iCs/>
        </w:rPr>
        <w:t>syringae</w:t>
      </w:r>
      <w:proofErr w:type="spellEnd"/>
      <w:r w:rsidRPr="00CF474D">
        <w:rPr>
          <w:i/>
          <w:iCs/>
        </w:rPr>
        <w:t xml:space="preserve"> </w:t>
      </w:r>
      <w:proofErr w:type="spellStart"/>
      <w:r w:rsidRPr="00F36120">
        <w:t>pv</w:t>
      </w:r>
      <w:proofErr w:type="spellEnd"/>
      <w:r w:rsidRPr="00CF474D">
        <w:rPr>
          <w:i/>
          <w:iCs/>
        </w:rPr>
        <w:t xml:space="preserve">. </w:t>
      </w:r>
      <w:proofErr w:type="spellStart"/>
      <w:r w:rsidRPr="00CF474D">
        <w:rPr>
          <w:i/>
          <w:iCs/>
        </w:rPr>
        <w:t>tabaci</w:t>
      </w:r>
      <w:proofErr w:type="spellEnd"/>
      <w:r>
        <w:t xml:space="preserve"> (</w:t>
      </w:r>
      <w:proofErr w:type="spellStart"/>
      <w:r w:rsidRPr="00CF474D">
        <w:rPr>
          <w:i/>
          <w:iCs/>
        </w:rPr>
        <w:t>pst</w:t>
      </w:r>
      <w:proofErr w:type="spellEnd"/>
      <w:r>
        <w:t>)</w:t>
      </w:r>
      <w:r w:rsidRPr="00B925F4">
        <w:t xml:space="preserve">. This bacterium also causes the tobacco disease wildfire, but there are chemical and visual differences between the two </w:t>
      </w:r>
      <w:r>
        <w:t>foliar</w:t>
      </w:r>
      <w:r w:rsidRPr="00B925F4">
        <w:t xml:space="preserve"> diseases. Wildfire causing bacteria secretes a compound </w:t>
      </w:r>
      <w:r>
        <w:t>(</w:t>
      </w:r>
      <w:r w:rsidRPr="00B925F4">
        <w:t>tabtoxin</w:t>
      </w:r>
      <w:r>
        <w:t>)</w:t>
      </w:r>
      <w:r w:rsidRPr="00B925F4">
        <w:t xml:space="preserve"> and lesions are between one and two centimeters in diameter (Lyndon &amp; Patterson, 2001). Lesions caused b</w:t>
      </w:r>
      <w:r>
        <w:t xml:space="preserve">y </w:t>
      </w:r>
      <w:proofErr w:type="spellStart"/>
      <w:r>
        <w:rPr>
          <w:i/>
          <w:iCs/>
        </w:rPr>
        <w:t>pst</w:t>
      </w:r>
      <w:proofErr w:type="spellEnd"/>
      <w:r w:rsidRPr="00B925F4">
        <w:t xml:space="preserve"> are less than one centimeter in diameter (Collin &amp; Hawks</w:t>
      </w:r>
      <w:r w:rsidR="0019669C">
        <w:t xml:space="preserve"> </w:t>
      </w:r>
      <w:r w:rsidR="00F51FEF">
        <w:t>et al.</w:t>
      </w:r>
      <w:r w:rsidRPr="00B925F4">
        <w:t xml:space="preserve"> 2013; Davis &amp; Neilsen, 1999). Recent research has studied the susceptibility of dark tobacco cultivars to ALS and categorized the cultivars from high to low susceptibility. This study emphasized the importance of </w:t>
      </w:r>
      <w:r>
        <w:t>considering a cultivar’s resistance to black shank prior to ALS susceptibility</w:t>
      </w:r>
      <w:r w:rsidRPr="00B925F4">
        <w:t xml:space="preserve"> </w:t>
      </w:r>
      <w:r w:rsidRPr="00CC0C05">
        <w:t>(Hanse</w:t>
      </w:r>
      <w:r w:rsidR="00E7535F" w:rsidRPr="00CC0C05">
        <w:t>n</w:t>
      </w:r>
      <w:r w:rsidR="00F51FEF" w:rsidRPr="00CC0C05">
        <w:t xml:space="preserve"> et al.</w:t>
      </w:r>
      <w:r w:rsidRPr="00CC0C05">
        <w:t xml:space="preserve"> 2022).</w:t>
      </w:r>
      <w:r w:rsidRPr="00B925F4">
        <w:t xml:space="preserve"> </w:t>
      </w:r>
      <w:r w:rsidRPr="00551536">
        <w:t xml:space="preserve">Research </w:t>
      </w:r>
      <w:r w:rsidR="00F126D0">
        <w:t>screen</w:t>
      </w:r>
      <w:r w:rsidR="00FB04D3">
        <w:t>ing</w:t>
      </w:r>
      <w:r w:rsidR="00A46220">
        <w:t xml:space="preserve"> </w:t>
      </w:r>
      <w:r w:rsidRPr="00551536">
        <w:t xml:space="preserve">active ingredients for control and prevention of ALS </w:t>
      </w:r>
      <w:r w:rsidR="00F126D0">
        <w:t xml:space="preserve">has yielded </w:t>
      </w:r>
      <w:r w:rsidRPr="00551536">
        <w:t>limited success</w:t>
      </w:r>
      <w:r>
        <w:t xml:space="preserve">. These recent studies have observed cuprous oxide and copper sulfate to be effective at providing control of ALS to the same degree as streptomycin sulfate, the grower standard for ALS control </w:t>
      </w:r>
      <w:r w:rsidRPr="00B925F4">
        <w:t>(Keeney-Webb</w:t>
      </w:r>
      <w:r w:rsidR="0019669C">
        <w:t xml:space="preserve"> </w:t>
      </w:r>
      <w:r w:rsidR="00F51FEF">
        <w:t>et al.</w:t>
      </w:r>
      <w:r w:rsidRPr="00B925F4">
        <w:t xml:space="preserve"> 2022</w:t>
      </w:r>
      <w:r>
        <w:t>; Webb &amp; Bailey, 2024; Webb &amp; Bailey, 2025</w:t>
      </w:r>
      <w:r w:rsidRPr="00B925F4">
        <w:t>)</w:t>
      </w:r>
      <w:r>
        <w:t xml:space="preserve">. </w:t>
      </w:r>
      <w:r w:rsidRPr="00CC0C05">
        <w:t>In the presence of</w:t>
      </w:r>
      <w:r>
        <w:t xml:space="preserve"> streptomycin</w:t>
      </w:r>
      <w:r w:rsidR="009F5166">
        <w:t>-</w:t>
      </w:r>
      <w:r>
        <w:t xml:space="preserve">resistant bacteria, cuprous oxide and copper sulfate can be used as alternative disease management options. Although some chemicals can provide some control, there is not a chemical that can eliminate ALS (Webb &amp; Bailey, 2025). </w:t>
      </w:r>
      <w:r w:rsidR="00262FCB">
        <w:t>It is important to note that copper resistance has been reported in</w:t>
      </w:r>
      <w:r w:rsidR="00F20D5D">
        <w:t xml:space="preserve"> </w:t>
      </w:r>
      <w:r w:rsidR="00F20D5D">
        <w:rPr>
          <w:i/>
          <w:iCs/>
        </w:rPr>
        <w:t xml:space="preserve">pseudomonas </w:t>
      </w:r>
      <w:r w:rsidR="00F20D5D">
        <w:t xml:space="preserve">species and research evaluating the </w:t>
      </w:r>
      <w:r w:rsidR="005B505C">
        <w:t>resistance to common copper products used against ALS bacteria in tobacco production systems is needed (</w:t>
      </w:r>
      <w:r w:rsidR="00BB095E">
        <w:t xml:space="preserve">Cooksey </w:t>
      </w:r>
      <w:r w:rsidR="00821C30">
        <w:t>&amp; Azad, 1992).</w:t>
      </w:r>
    </w:p>
    <w:p w14:paraId="44754D48" w14:textId="15036067" w:rsidR="00044270" w:rsidRPr="00B925F4" w:rsidRDefault="00044270" w:rsidP="00FC0490">
      <w:pPr>
        <w:spacing w:line="360" w:lineRule="auto"/>
      </w:pPr>
      <w:r w:rsidRPr="00B925F4">
        <w:t>The objective</w:t>
      </w:r>
      <w:r>
        <w:t>s</w:t>
      </w:r>
      <w:r w:rsidRPr="00B925F4">
        <w:t xml:space="preserve"> of </w:t>
      </w:r>
      <w:r w:rsidRPr="00CC0C05">
        <w:t>this study</w:t>
      </w:r>
      <w:r w:rsidRPr="00B925F4">
        <w:t xml:space="preserve"> </w:t>
      </w:r>
      <w:r>
        <w:t>were</w:t>
      </w:r>
      <w:r w:rsidRPr="00B925F4">
        <w:t xml:space="preserve"> to determine the effect of tillage and cover crop type on tobacco yield</w:t>
      </w:r>
      <w:r>
        <w:t xml:space="preserve">, cured leaf </w:t>
      </w:r>
      <w:r w:rsidRPr="00B925F4">
        <w:t>quality</w:t>
      </w:r>
      <w:r>
        <w:t>,</w:t>
      </w:r>
      <w:r w:rsidRPr="00B925F4">
        <w:t xml:space="preserve"> and ALS </w:t>
      </w:r>
      <w:r>
        <w:t>disease progression.</w:t>
      </w:r>
    </w:p>
    <w:p w14:paraId="0D0ACCC6" w14:textId="77777777" w:rsidR="00EF5AF9" w:rsidRPr="00EF5AF9" w:rsidRDefault="00EF5AF9" w:rsidP="00FC0490">
      <w:pPr>
        <w:spacing w:line="360" w:lineRule="auto"/>
      </w:pPr>
    </w:p>
    <w:p w14:paraId="12EF7F05" w14:textId="3FCFB86A" w:rsidR="00DE5D45" w:rsidRPr="00DE5D45" w:rsidRDefault="00085E63" w:rsidP="00FC0490">
      <w:pPr>
        <w:pStyle w:val="Heading2"/>
        <w:spacing w:before="0" w:after="0" w:line="360" w:lineRule="auto"/>
      </w:pPr>
      <w:bookmarkStart w:id="13" w:name="_Toc196291991"/>
      <w:r>
        <w:t>2.</w:t>
      </w:r>
      <w:r w:rsidR="00DC46A1">
        <w:t>2</w:t>
      </w:r>
      <w:r>
        <w:t xml:space="preserve"> </w:t>
      </w:r>
      <w:r w:rsidR="00EF5AF9">
        <w:t>M</w:t>
      </w:r>
      <w:r w:rsidR="00EF5AF9" w:rsidRPr="00870869">
        <w:t xml:space="preserve">aterials and </w:t>
      </w:r>
      <w:r w:rsidR="00EF5AF9">
        <w:t>M</w:t>
      </w:r>
      <w:r w:rsidR="00EF5AF9" w:rsidRPr="00870869">
        <w:t>ethods</w:t>
      </w:r>
      <w:bookmarkEnd w:id="13"/>
    </w:p>
    <w:p w14:paraId="57E8DD00" w14:textId="0A9A3754" w:rsidR="004B2F06" w:rsidRPr="004B2F06" w:rsidRDefault="004B2F06" w:rsidP="00FC0490">
      <w:pPr>
        <w:keepNext/>
        <w:keepLines/>
        <w:spacing w:line="360" w:lineRule="auto"/>
        <w:outlineLvl w:val="2"/>
        <w:rPr>
          <w:kern w:val="2"/>
          <w14:ligatures w14:val="standardContextual"/>
        </w:rPr>
      </w:pPr>
      <w:bookmarkStart w:id="14" w:name="_Toc196291992"/>
      <w:bookmarkStart w:id="15" w:name="_Toc420995900"/>
      <w:bookmarkStart w:id="16" w:name="_Toc422997487"/>
      <w:r w:rsidRPr="004B2F06">
        <w:rPr>
          <w:kern w:val="2"/>
          <w14:ligatures w14:val="standardContextual"/>
        </w:rPr>
        <w:t>2.</w:t>
      </w:r>
      <w:r w:rsidR="001A0457">
        <w:rPr>
          <w:kern w:val="2"/>
          <w14:ligatures w14:val="standardContextual"/>
        </w:rPr>
        <w:t>2.</w:t>
      </w:r>
      <w:r w:rsidRPr="004B2F06">
        <w:rPr>
          <w:kern w:val="2"/>
          <w14:ligatures w14:val="standardContextual"/>
        </w:rPr>
        <w:t>1 Site description and field management</w:t>
      </w:r>
      <w:bookmarkEnd w:id="14"/>
    </w:p>
    <w:p w14:paraId="6470DEE1" w14:textId="77777777" w:rsidR="00FD13BA" w:rsidRPr="00FD13BA" w:rsidRDefault="00FD13BA" w:rsidP="00FC0490">
      <w:pPr>
        <w:spacing w:line="360" w:lineRule="auto"/>
        <w:ind w:firstLine="720"/>
        <w:rPr>
          <w:rFonts w:eastAsia="Aptos"/>
          <w:kern w:val="2"/>
          <w14:ligatures w14:val="standardContextual"/>
        </w:rPr>
      </w:pPr>
      <w:r w:rsidRPr="00FD13BA">
        <w:rPr>
          <w:rFonts w:eastAsia="Aptos"/>
          <w:kern w:val="2"/>
          <w14:ligatures w14:val="standardContextual"/>
        </w:rPr>
        <w:t xml:space="preserve">Field plots were established in 2022, 2023, and 2024 at the University of Tennessee Highland Rim </w:t>
      </w:r>
      <w:proofErr w:type="spellStart"/>
      <w:r w:rsidRPr="00FD13BA">
        <w:rPr>
          <w:rFonts w:eastAsia="Aptos"/>
          <w:kern w:val="2"/>
          <w14:ligatures w14:val="standardContextual"/>
        </w:rPr>
        <w:t>AgResearch</w:t>
      </w:r>
      <w:proofErr w:type="spellEnd"/>
      <w:r w:rsidRPr="00FD13BA">
        <w:rPr>
          <w:rFonts w:eastAsia="Aptos"/>
          <w:kern w:val="2"/>
          <w14:ligatures w14:val="standardContextual"/>
        </w:rPr>
        <w:t xml:space="preserve"> and Education Center located near Springfield, Tennessee (36.482425, -86.837935). The </w:t>
      </w:r>
      <w:proofErr w:type="gramStart"/>
      <w:r w:rsidRPr="00FD13BA">
        <w:rPr>
          <w:rFonts w:eastAsia="Aptos"/>
          <w:kern w:val="2"/>
          <w14:ligatures w14:val="standardContextual"/>
        </w:rPr>
        <w:t>soil type</w:t>
      </w:r>
      <w:proofErr w:type="gramEnd"/>
      <w:r w:rsidRPr="00FD13BA">
        <w:rPr>
          <w:rFonts w:eastAsia="Aptos"/>
          <w:kern w:val="2"/>
          <w14:ligatures w14:val="standardContextual"/>
        </w:rPr>
        <w:t xml:space="preserve"> at the field site was a moderately well drained Sango Silt loam (coarse-silty, siliceous, semiactive, thermic </w:t>
      </w:r>
      <w:proofErr w:type="spellStart"/>
      <w:r w:rsidRPr="00FD13BA">
        <w:rPr>
          <w:rFonts w:eastAsia="Aptos"/>
          <w:kern w:val="2"/>
          <w14:ligatures w14:val="standardContextual"/>
        </w:rPr>
        <w:t>Glossic</w:t>
      </w:r>
      <w:proofErr w:type="spellEnd"/>
      <w:r w:rsidRPr="00FD13BA">
        <w:rPr>
          <w:rFonts w:eastAsia="Aptos"/>
          <w:kern w:val="2"/>
          <w14:ligatures w14:val="standardContextual"/>
        </w:rPr>
        <w:t xml:space="preserve"> </w:t>
      </w:r>
      <w:proofErr w:type="spellStart"/>
      <w:r w:rsidRPr="00FD13BA">
        <w:rPr>
          <w:rFonts w:eastAsia="Aptos"/>
          <w:kern w:val="2"/>
          <w14:ligatures w14:val="standardContextual"/>
        </w:rPr>
        <w:t>Fragiudult</w:t>
      </w:r>
      <w:proofErr w:type="spellEnd"/>
      <w:r w:rsidRPr="00FD13BA">
        <w:rPr>
          <w:rFonts w:eastAsia="Aptos"/>
          <w:kern w:val="2"/>
          <w14:ligatures w14:val="standardContextual"/>
        </w:rPr>
        <w:t xml:space="preserve">) with soil pH of 6.4, 5.39, and 5.82 in 2022, 2023, and 2024, respectively. Applications of lime, potassium and phosphorus were based on soil testing and recommendations </w:t>
      </w:r>
      <w:proofErr w:type="gramStart"/>
      <w:r w:rsidRPr="00FD13BA">
        <w:rPr>
          <w:rFonts w:eastAsia="Aptos"/>
          <w:kern w:val="2"/>
          <w14:ligatures w14:val="standardContextual"/>
        </w:rPr>
        <w:t>for the production of</w:t>
      </w:r>
      <w:proofErr w:type="gramEnd"/>
      <w:r w:rsidRPr="00FD13BA">
        <w:rPr>
          <w:rFonts w:eastAsia="Aptos"/>
          <w:kern w:val="2"/>
          <w14:ligatures w14:val="standardContextual"/>
        </w:rPr>
        <w:t xml:space="preserve"> dark tobacco. Nitrogen was applied broadcast, preplant at a rate of 247.5 kg N ha</w:t>
      </w:r>
      <w:r w:rsidRPr="00FD13BA">
        <w:rPr>
          <w:rFonts w:eastAsia="Aptos"/>
          <w:kern w:val="2"/>
          <w:vertAlign w:val="superscript"/>
          <w14:ligatures w14:val="standardContextual"/>
        </w:rPr>
        <w:t>-1</w:t>
      </w:r>
      <w:r w:rsidRPr="00FD13BA">
        <w:rPr>
          <w:rFonts w:eastAsia="Aptos"/>
          <w:kern w:val="2"/>
          <w14:ligatures w14:val="standardContextual"/>
        </w:rPr>
        <w:t xml:space="preserve"> using coated urea. </w:t>
      </w:r>
    </w:p>
    <w:p w14:paraId="59235758" w14:textId="2CE1D8F7" w:rsidR="00FD13BA" w:rsidRPr="00FD13BA" w:rsidRDefault="00FD13BA" w:rsidP="00FC0490">
      <w:pPr>
        <w:spacing w:line="360" w:lineRule="auto"/>
        <w:ind w:firstLine="720"/>
        <w:rPr>
          <w:rFonts w:eastAsia="Aptos"/>
          <w:kern w:val="2"/>
          <w14:ligatures w14:val="standardContextual"/>
        </w:rPr>
      </w:pPr>
      <w:r w:rsidRPr="00FD13BA">
        <w:rPr>
          <w:rFonts w:eastAsia="Aptos"/>
          <w:kern w:val="2"/>
          <w14:ligatures w14:val="standardContextual"/>
        </w:rPr>
        <w:t xml:space="preserve">A randomized split-block design was utilized with four replications. Tillage type was the main plot, with </w:t>
      </w:r>
      <w:r w:rsidRPr="00CC0C05">
        <w:rPr>
          <w:rFonts w:eastAsia="Aptos"/>
          <w:kern w:val="2"/>
          <w14:ligatures w14:val="standardContextual"/>
        </w:rPr>
        <w:t>conventional tillage</w:t>
      </w:r>
      <w:r w:rsidRPr="00FD13BA">
        <w:rPr>
          <w:rFonts w:eastAsia="Aptos"/>
          <w:kern w:val="2"/>
          <w14:ligatures w14:val="standardContextual"/>
        </w:rPr>
        <w:t xml:space="preserve"> (chisel plow and rotary tiller) and no-tillage.</w:t>
      </w:r>
      <w:r w:rsidR="00CE4DE4">
        <w:rPr>
          <w:rFonts w:eastAsia="Aptos"/>
          <w:kern w:val="2"/>
          <w14:ligatures w14:val="standardContextual"/>
        </w:rPr>
        <w:t xml:space="preserve"> </w:t>
      </w:r>
      <w:r w:rsidR="00303B0C">
        <w:rPr>
          <w:rFonts w:eastAsia="Aptos"/>
          <w:kern w:val="2"/>
          <w14:ligatures w14:val="standardContextual"/>
        </w:rPr>
        <w:t xml:space="preserve">The field </w:t>
      </w:r>
      <w:r w:rsidR="00FB04D3">
        <w:rPr>
          <w:rFonts w:eastAsia="Aptos"/>
          <w:kern w:val="2"/>
          <w14:ligatures w14:val="standardContextual"/>
        </w:rPr>
        <w:t>s</w:t>
      </w:r>
      <w:r w:rsidR="00303B0C">
        <w:rPr>
          <w:rFonts w:eastAsia="Aptos"/>
          <w:kern w:val="2"/>
          <w14:ligatures w14:val="standardContextual"/>
        </w:rPr>
        <w:t xml:space="preserve">ite selected was </w:t>
      </w:r>
      <w:r w:rsidR="00115C19">
        <w:rPr>
          <w:rFonts w:eastAsia="Aptos"/>
          <w:kern w:val="2"/>
          <w14:ligatures w14:val="standardContextual"/>
        </w:rPr>
        <w:t>no-tillage crab grass pasture from 2017 – 2020. In 202</w:t>
      </w:r>
      <w:r w:rsidR="008F4461">
        <w:rPr>
          <w:rFonts w:eastAsia="Aptos"/>
          <w:kern w:val="2"/>
          <w14:ligatures w14:val="standardContextual"/>
        </w:rPr>
        <w:t>1</w:t>
      </w:r>
      <w:proofErr w:type="gramStart"/>
      <w:r w:rsidR="00115C19">
        <w:rPr>
          <w:rFonts w:eastAsia="Aptos"/>
          <w:kern w:val="2"/>
          <w14:ligatures w14:val="standardContextual"/>
        </w:rPr>
        <w:t>, the field was</w:t>
      </w:r>
      <w:proofErr w:type="gramEnd"/>
      <w:r w:rsidR="00115C19">
        <w:rPr>
          <w:rFonts w:eastAsia="Aptos"/>
          <w:kern w:val="2"/>
          <w14:ligatures w14:val="standardContextual"/>
        </w:rPr>
        <w:t xml:space="preserve"> </w:t>
      </w:r>
      <w:r w:rsidR="00E1475A">
        <w:rPr>
          <w:rFonts w:eastAsia="Aptos"/>
          <w:kern w:val="2"/>
          <w14:ligatures w14:val="standardContextual"/>
        </w:rPr>
        <w:t xml:space="preserve">chisel plowed and disced to prepare the soil for </w:t>
      </w:r>
      <w:r w:rsidR="008F4461">
        <w:rPr>
          <w:rFonts w:eastAsia="Aptos"/>
          <w:kern w:val="2"/>
          <w14:ligatures w14:val="standardContextual"/>
        </w:rPr>
        <w:t>corn and was cover</w:t>
      </w:r>
      <w:r w:rsidR="00FB04D3">
        <w:rPr>
          <w:rFonts w:eastAsia="Aptos"/>
          <w:kern w:val="2"/>
          <w14:ligatures w14:val="standardContextual"/>
        </w:rPr>
        <w:t>-</w:t>
      </w:r>
      <w:r w:rsidR="008F4461">
        <w:rPr>
          <w:rFonts w:eastAsia="Aptos"/>
          <w:kern w:val="2"/>
          <w14:ligatures w14:val="standardContextual"/>
        </w:rPr>
        <w:t xml:space="preserve">cropped with a no-tillage cereal rye crop in the winter. </w:t>
      </w:r>
      <w:r w:rsidR="001B62C5">
        <w:rPr>
          <w:rFonts w:eastAsia="Aptos"/>
          <w:kern w:val="2"/>
          <w14:ligatures w14:val="standardContextual"/>
        </w:rPr>
        <w:t xml:space="preserve">After harvesting </w:t>
      </w:r>
      <w:r w:rsidR="008A3B11">
        <w:rPr>
          <w:rFonts w:eastAsia="Aptos"/>
          <w:kern w:val="2"/>
          <w14:ligatures w14:val="standardContextual"/>
        </w:rPr>
        <w:t>cereal</w:t>
      </w:r>
      <w:r w:rsidR="00B87DB3">
        <w:rPr>
          <w:rFonts w:eastAsia="Aptos"/>
          <w:kern w:val="2"/>
          <w14:ligatures w14:val="standardContextual"/>
        </w:rPr>
        <w:t xml:space="preserve"> ry</w:t>
      </w:r>
      <w:r w:rsidR="001B62C5">
        <w:rPr>
          <w:rFonts w:eastAsia="Aptos"/>
          <w:kern w:val="2"/>
          <w14:ligatures w14:val="standardContextual"/>
        </w:rPr>
        <w:t>e</w:t>
      </w:r>
      <w:r w:rsidR="00B87DB3">
        <w:rPr>
          <w:rFonts w:eastAsia="Aptos"/>
          <w:kern w:val="2"/>
          <w14:ligatures w14:val="standardContextual"/>
        </w:rPr>
        <w:t xml:space="preserve"> in </w:t>
      </w:r>
      <w:r w:rsidR="001B62C5">
        <w:rPr>
          <w:rFonts w:eastAsia="Aptos"/>
          <w:kern w:val="2"/>
          <w14:ligatures w14:val="standardContextual"/>
        </w:rPr>
        <w:t>2022,</w:t>
      </w:r>
      <w:r w:rsidR="00B87DB3">
        <w:rPr>
          <w:rFonts w:eastAsia="Aptos"/>
          <w:kern w:val="2"/>
          <w14:ligatures w14:val="standardContextual"/>
        </w:rPr>
        <w:t xml:space="preserve"> the field received a </w:t>
      </w:r>
      <w:r w:rsidR="001B62C5">
        <w:rPr>
          <w:rFonts w:eastAsia="Aptos"/>
          <w:kern w:val="2"/>
          <w14:ligatures w14:val="standardContextual"/>
        </w:rPr>
        <w:t xml:space="preserve">chisel plow and disc tillage to prepare the soil for the first transplanting of tobacco. </w:t>
      </w:r>
      <w:r w:rsidRPr="00FD13BA">
        <w:rPr>
          <w:rFonts w:eastAsia="Aptos"/>
          <w:kern w:val="2"/>
          <w14:ligatures w14:val="standardContextual"/>
        </w:rPr>
        <w:t>Each tillage treatment plot was divided into four sub-plots for application of cover crop treatment. Three cover crops were chosen for this study along with a fallow treatment as a control. Elbon cereal rye (</w:t>
      </w:r>
      <w:r w:rsidRPr="00FD13BA">
        <w:rPr>
          <w:rFonts w:eastAsia="Aptos"/>
          <w:i/>
          <w:iCs/>
          <w:kern w:val="2"/>
          <w14:ligatures w14:val="standardContextual"/>
        </w:rPr>
        <w:t>Secale</w:t>
      </w:r>
      <w:r w:rsidRPr="00FD13BA">
        <w:rPr>
          <w:rFonts w:eastAsia="Aptos"/>
          <w:kern w:val="2"/>
          <w14:ligatures w14:val="standardContextual"/>
        </w:rPr>
        <w:t xml:space="preserve"> </w:t>
      </w:r>
      <w:r w:rsidRPr="00FD13BA">
        <w:rPr>
          <w:rFonts w:eastAsia="Aptos"/>
          <w:i/>
          <w:iCs/>
          <w:kern w:val="2"/>
          <w14:ligatures w14:val="standardContextual"/>
        </w:rPr>
        <w:t>cereale</w:t>
      </w:r>
      <w:r w:rsidRPr="00FD13BA">
        <w:rPr>
          <w:rFonts w:eastAsia="Aptos"/>
          <w:kern w:val="2"/>
          <w14:ligatures w14:val="standardContextual"/>
        </w:rPr>
        <w:t>), Dixie Reseeding crimson clover (</w:t>
      </w:r>
      <w:r w:rsidRPr="00FD13BA">
        <w:rPr>
          <w:rFonts w:eastAsia="Aptos"/>
          <w:i/>
          <w:iCs/>
          <w:kern w:val="2"/>
          <w14:ligatures w14:val="standardContextual"/>
        </w:rPr>
        <w:t xml:space="preserve">Trifolium </w:t>
      </w:r>
      <w:proofErr w:type="spellStart"/>
      <w:r w:rsidRPr="00FD13BA">
        <w:rPr>
          <w:rFonts w:eastAsia="Aptos"/>
          <w:i/>
          <w:iCs/>
          <w:kern w:val="2"/>
          <w14:ligatures w14:val="standardContextual"/>
        </w:rPr>
        <w:t>incarnatum</w:t>
      </w:r>
      <w:proofErr w:type="spellEnd"/>
      <w:r w:rsidRPr="00FD13BA">
        <w:rPr>
          <w:rFonts w:eastAsia="Aptos"/>
          <w:kern w:val="2"/>
          <w14:ligatures w14:val="standardContextual"/>
        </w:rPr>
        <w:t>), and Purple Bounty hairy vetch (</w:t>
      </w:r>
      <w:proofErr w:type="spellStart"/>
      <w:r w:rsidRPr="00FD13BA">
        <w:rPr>
          <w:rFonts w:eastAsia="Aptos"/>
          <w:i/>
          <w:iCs/>
          <w:kern w:val="2"/>
          <w14:ligatures w14:val="standardContextual"/>
        </w:rPr>
        <w:t>Vica</w:t>
      </w:r>
      <w:proofErr w:type="spellEnd"/>
      <w:r w:rsidRPr="00FD13BA">
        <w:rPr>
          <w:rFonts w:eastAsia="Aptos"/>
          <w:i/>
          <w:iCs/>
          <w:kern w:val="2"/>
          <w14:ligatures w14:val="standardContextual"/>
        </w:rPr>
        <w:t xml:space="preserve"> </w:t>
      </w:r>
      <w:proofErr w:type="spellStart"/>
      <w:r w:rsidRPr="00FD13BA">
        <w:rPr>
          <w:rFonts w:eastAsia="Aptos"/>
          <w:i/>
          <w:iCs/>
          <w:kern w:val="2"/>
          <w14:ligatures w14:val="standardContextual"/>
        </w:rPr>
        <w:t>villosa</w:t>
      </w:r>
      <w:proofErr w:type="spellEnd"/>
      <w:r w:rsidRPr="00FD13BA">
        <w:rPr>
          <w:rFonts w:eastAsia="Aptos"/>
          <w:kern w:val="2"/>
          <w14:ligatures w14:val="standardContextual"/>
        </w:rPr>
        <w:t xml:space="preserve">) were seeded at a rate of </w:t>
      </w:r>
      <w:r w:rsidRPr="000D4C2B">
        <w:rPr>
          <w:rFonts w:eastAsia="Aptos"/>
          <w:kern w:val="2"/>
          <w14:ligatures w14:val="standardContextual"/>
        </w:rPr>
        <w:t>168, 28, and 33 kg ha</w:t>
      </w:r>
      <w:r w:rsidRPr="000D4C2B">
        <w:rPr>
          <w:rFonts w:eastAsia="Aptos"/>
          <w:kern w:val="2"/>
          <w:vertAlign w:val="superscript"/>
          <w14:ligatures w14:val="standardContextual"/>
        </w:rPr>
        <w:t>-1</w:t>
      </w:r>
      <w:r w:rsidRPr="00FD13BA">
        <w:rPr>
          <w:rFonts w:eastAsia="Aptos"/>
          <w:kern w:val="2"/>
          <w14:ligatures w14:val="standardContextual"/>
        </w:rPr>
        <w:t>, respectively</w:t>
      </w:r>
      <w:r w:rsidR="00C0530A">
        <w:rPr>
          <w:rFonts w:eastAsia="Aptos"/>
          <w:kern w:val="2"/>
          <w14:ligatures w14:val="standardContextual"/>
        </w:rPr>
        <w:t xml:space="preserve"> (Pedreira et al</w:t>
      </w:r>
      <w:r w:rsidR="002C0C6C">
        <w:rPr>
          <w:rFonts w:eastAsia="Aptos"/>
          <w:kern w:val="2"/>
          <w14:ligatures w14:val="standardContextual"/>
        </w:rPr>
        <w:t>, 2024)</w:t>
      </w:r>
      <w:r w:rsidRPr="00FD13BA">
        <w:rPr>
          <w:rFonts w:eastAsia="Aptos"/>
          <w:kern w:val="2"/>
          <w14:ligatures w14:val="standardContextual"/>
        </w:rPr>
        <w:t>. Fallow plots were not maintained weed free during the cover crop season. However, a post emergent herbicide (Gramoxone) was sprayed to burn down reemerging cover crops in the NT plots in 2023 at a rate of 2.96 L ha</w:t>
      </w:r>
      <w:r w:rsidRPr="00FD13BA">
        <w:rPr>
          <w:rFonts w:eastAsia="Aptos"/>
          <w:kern w:val="2"/>
          <w:vertAlign w:val="superscript"/>
          <w14:ligatures w14:val="standardContextual"/>
        </w:rPr>
        <w:t>-1</w:t>
      </w:r>
      <w:r w:rsidRPr="00FD13BA">
        <w:rPr>
          <w:rFonts w:eastAsia="Aptos"/>
          <w:kern w:val="2"/>
          <w14:ligatures w14:val="standardContextual"/>
        </w:rPr>
        <w:t xml:space="preserve"> and a rate of 2.22 L ha</w:t>
      </w:r>
      <w:r w:rsidRPr="00FD13BA">
        <w:rPr>
          <w:rFonts w:eastAsia="Aptos"/>
          <w:kern w:val="2"/>
          <w:vertAlign w:val="superscript"/>
          <w14:ligatures w14:val="standardContextual"/>
        </w:rPr>
        <w:t>-1</w:t>
      </w:r>
      <w:r w:rsidRPr="00FD13BA">
        <w:rPr>
          <w:rFonts w:eastAsia="Aptos"/>
          <w:kern w:val="2"/>
          <w14:ligatures w14:val="standardContextual"/>
        </w:rPr>
        <w:t xml:space="preserve"> in 2024</w:t>
      </w:r>
      <w:r w:rsidR="00FB04D3">
        <w:rPr>
          <w:rFonts w:eastAsia="Aptos"/>
          <w:kern w:val="2"/>
          <w14:ligatures w14:val="standardContextual"/>
        </w:rPr>
        <w:t xml:space="preserve">. </w:t>
      </w:r>
      <w:r w:rsidRPr="00FD13BA">
        <w:rPr>
          <w:rFonts w:eastAsia="Aptos"/>
          <w:kern w:val="2"/>
          <w14:ligatures w14:val="standardContextual"/>
        </w:rPr>
        <w:t>Pre-emergent herbicides (</w:t>
      </w:r>
      <w:proofErr w:type="spellStart"/>
      <w:r w:rsidRPr="00FD13BA">
        <w:rPr>
          <w:rFonts w:eastAsia="Aptos"/>
          <w:kern w:val="2"/>
          <w14:ligatures w14:val="standardContextual"/>
        </w:rPr>
        <w:t>carfentrazone</w:t>
      </w:r>
      <w:proofErr w:type="spellEnd"/>
      <w:r w:rsidRPr="00FD13BA">
        <w:rPr>
          <w:rFonts w:eastAsia="Aptos"/>
          <w:kern w:val="2"/>
          <w14:ligatures w14:val="standardContextual"/>
        </w:rPr>
        <w:t xml:space="preserve">-ethyl and </w:t>
      </w:r>
      <w:proofErr w:type="spellStart"/>
      <w:r w:rsidRPr="00FD13BA">
        <w:rPr>
          <w:rFonts w:eastAsia="Aptos"/>
          <w:kern w:val="2"/>
          <w14:ligatures w14:val="standardContextual"/>
        </w:rPr>
        <w:t>sulfentrazone</w:t>
      </w:r>
      <w:proofErr w:type="spellEnd"/>
      <w:r w:rsidRPr="00FD13BA">
        <w:rPr>
          <w:rFonts w:eastAsia="Aptos"/>
          <w:kern w:val="2"/>
          <w14:ligatures w14:val="standardContextual"/>
        </w:rPr>
        <w:t>) were sprayed before tobacco was transplanted at a rate of 0.74 L ha</w:t>
      </w:r>
      <w:r w:rsidRPr="00FD13BA">
        <w:rPr>
          <w:rFonts w:eastAsia="Aptos"/>
          <w:kern w:val="2"/>
          <w:vertAlign w:val="superscript"/>
          <w14:ligatures w14:val="standardContextual"/>
        </w:rPr>
        <w:t>-1</w:t>
      </w:r>
      <w:r w:rsidRPr="00FD13BA">
        <w:rPr>
          <w:rFonts w:eastAsia="Aptos"/>
          <w:kern w:val="2"/>
          <w14:ligatures w14:val="standardContextual"/>
        </w:rPr>
        <w:t xml:space="preserve"> on 8 June 2023 and 31 May 2024. Tobacco was transplanted at a row spacing of 107 cm and plant spacing of 81 cm, achieving a plant population of 11,500 plants ha</w:t>
      </w:r>
      <w:r w:rsidRPr="00FD13BA">
        <w:rPr>
          <w:rFonts w:eastAsia="Aptos"/>
          <w:kern w:val="2"/>
          <w:vertAlign w:val="superscript"/>
          <w14:ligatures w14:val="standardContextual"/>
        </w:rPr>
        <w:t>-1</w:t>
      </w:r>
      <w:r w:rsidRPr="00FD13BA">
        <w:rPr>
          <w:rFonts w:eastAsia="Aptos"/>
          <w:kern w:val="2"/>
          <w14:ligatures w14:val="standardContextual"/>
        </w:rPr>
        <w:t xml:space="preserve">. Plots were </w:t>
      </w:r>
      <w:r w:rsidR="007250E8" w:rsidRPr="00FD13BA">
        <w:rPr>
          <w:rFonts w:eastAsia="Aptos"/>
          <w:kern w:val="2"/>
          <w14:ligatures w14:val="standardContextual"/>
        </w:rPr>
        <w:t>four rows</w:t>
      </w:r>
      <w:r w:rsidRPr="00FD13BA">
        <w:rPr>
          <w:rFonts w:eastAsia="Aptos"/>
          <w:kern w:val="2"/>
          <w14:ligatures w14:val="standardContextual"/>
        </w:rPr>
        <w:t xml:space="preserve"> </w:t>
      </w:r>
      <w:r w:rsidR="00C85D02" w:rsidRPr="00FD13BA">
        <w:rPr>
          <w:rFonts w:eastAsia="Aptos"/>
          <w:kern w:val="2"/>
          <w14:ligatures w14:val="standardContextual"/>
        </w:rPr>
        <w:t>wide,</w:t>
      </w:r>
      <w:r w:rsidRPr="00FD13BA">
        <w:rPr>
          <w:rFonts w:eastAsia="Aptos"/>
          <w:kern w:val="2"/>
          <w14:ligatures w14:val="standardContextual"/>
        </w:rPr>
        <w:t xml:space="preserve"> but data were only collected from the </w:t>
      </w:r>
      <w:proofErr w:type="gramStart"/>
      <w:r w:rsidRPr="00FD13BA">
        <w:rPr>
          <w:rFonts w:eastAsia="Aptos"/>
          <w:kern w:val="2"/>
          <w14:ligatures w14:val="standardContextual"/>
        </w:rPr>
        <w:t>center two</w:t>
      </w:r>
      <w:proofErr w:type="gramEnd"/>
      <w:r w:rsidRPr="00FD13BA">
        <w:rPr>
          <w:rFonts w:eastAsia="Aptos"/>
          <w:kern w:val="2"/>
          <w14:ligatures w14:val="standardContextual"/>
        </w:rPr>
        <w:t xml:space="preserve"> rows. </w:t>
      </w:r>
    </w:p>
    <w:p w14:paraId="5BA76995" w14:textId="6E0D71BB" w:rsidR="004B2F06" w:rsidRPr="004B2F06" w:rsidRDefault="004B2F06" w:rsidP="00FC0490">
      <w:pPr>
        <w:pStyle w:val="Heading3"/>
        <w:spacing w:before="0" w:after="0"/>
        <w:rPr>
          <w:color w:val="0F4761"/>
          <w:sz w:val="32"/>
          <w:szCs w:val="32"/>
        </w:rPr>
      </w:pPr>
      <w:bookmarkStart w:id="17" w:name="_Toc196291993"/>
      <w:r w:rsidRPr="004B2F06">
        <w:t>2.2</w:t>
      </w:r>
      <w:r w:rsidR="001A0457">
        <w:t>.2</w:t>
      </w:r>
      <w:r w:rsidRPr="004B2F06">
        <w:t xml:space="preserve"> Tobacco cultivar and establishment</w:t>
      </w:r>
      <w:bookmarkEnd w:id="17"/>
      <w:r w:rsidRPr="004B2F06">
        <w:rPr>
          <w:color w:val="0F4761"/>
          <w:sz w:val="32"/>
          <w:szCs w:val="32"/>
        </w:rPr>
        <w:tab/>
      </w:r>
    </w:p>
    <w:p w14:paraId="19320C2B" w14:textId="1317C4B1" w:rsidR="000B2105" w:rsidRDefault="000B2105" w:rsidP="00FC0490">
      <w:pPr>
        <w:spacing w:line="360" w:lineRule="auto"/>
        <w:ind w:firstLine="720"/>
        <w:rPr>
          <w:rFonts w:eastAsia="Aptos"/>
        </w:rPr>
      </w:pPr>
      <w:r>
        <w:rPr>
          <w:rFonts w:eastAsia="Aptos"/>
        </w:rPr>
        <w:t>Dark t</w:t>
      </w:r>
      <w:r w:rsidRPr="00F76821">
        <w:rPr>
          <w:rFonts w:eastAsia="Aptos"/>
        </w:rPr>
        <w:t xml:space="preserve">obacco variety KTD17LC was </w:t>
      </w:r>
      <w:r>
        <w:rPr>
          <w:rFonts w:eastAsia="Aptos"/>
        </w:rPr>
        <w:t>selected for these trials due to its higher susceptibility to ALS</w:t>
      </w:r>
      <w:r w:rsidR="00E05713">
        <w:rPr>
          <w:rFonts w:eastAsia="Aptos"/>
        </w:rPr>
        <w:t xml:space="preserve"> (Bailey</w:t>
      </w:r>
      <w:r w:rsidR="0019669C">
        <w:rPr>
          <w:rFonts w:eastAsia="Aptos"/>
        </w:rPr>
        <w:t xml:space="preserve"> et al.</w:t>
      </w:r>
      <w:r w:rsidR="00F51FEF">
        <w:rPr>
          <w:rFonts w:eastAsia="Aptos"/>
        </w:rPr>
        <w:t xml:space="preserve"> et al.</w:t>
      </w:r>
      <w:r w:rsidR="00E6301D">
        <w:rPr>
          <w:rFonts w:eastAsia="Aptos"/>
        </w:rPr>
        <w:t xml:space="preserve"> 2025a)</w:t>
      </w:r>
      <w:r>
        <w:rPr>
          <w:rFonts w:eastAsia="Aptos"/>
        </w:rPr>
        <w:t>. Tobacco was s</w:t>
      </w:r>
      <w:r w:rsidRPr="00F76821">
        <w:rPr>
          <w:rFonts w:eastAsia="Aptos"/>
        </w:rPr>
        <w:t xml:space="preserve">eeded in </w:t>
      </w:r>
      <w:r>
        <w:rPr>
          <w:rFonts w:eastAsia="Aptos"/>
        </w:rPr>
        <w:t>a float-bed</w:t>
      </w:r>
      <w:r w:rsidRPr="00F76821">
        <w:rPr>
          <w:rFonts w:eastAsia="Aptos"/>
        </w:rPr>
        <w:t xml:space="preserve"> greenhouse on 17 April 2022</w:t>
      </w:r>
      <w:r w:rsidR="009825F6">
        <w:rPr>
          <w:rFonts w:eastAsia="Aptos"/>
        </w:rPr>
        <w:t>,</w:t>
      </w:r>
      <w:r w:rsidRPr="00F76821">
        <w:rPr>
          <w:rFonts w:eastAsia="Aptos"/>
        </w:rPr>
        <w:t xml:space="preserve"> 15 March 2023</w:t>
      </w:r>
      <w:r w:rsidR="009825F6">
        <w:rPr>
          <w:rFonts w:eastAsia="Aptos"/>
        </w:rPr>
        <w:t>, and 19 March 2024</w:t>
      </w:r>
      <w:r w:rsidR="00D317EE">
        <w:rPr>
          <w:rFonts w:eastAsia="Aptos"/>
        </w:rPr>
        <w:t>.</w:t>
      </w:r>
      <w:r w:rsidRPr="00F76821">
        <w:rPr>
          <w:rFonts w:eastAsia="Aptos"/>
        </w:rPr>
        <w:t xml:space="preserve"> </w:t>
      </w:r>
      <w:r w:rsidR="00C74A44">
        <w:rPr>
          <w:rFonts w:eastAsia="Aptos"/>
        </w:rPr>
        <w:t>This research relied on two tobacco crops to collect a complete year of data</w:t>
      </w:r>
      <w:r w:rsidR="002C70CA">
        <w:rPr>
          <w:rFonts w:eastAsia="Aptos"/>
        </w:rPr>
        <w:t xml:space="preserve"> (</w:t>
      </w:r>
      <w:r w:rsidR="002C70CA">
        <w:rPr>
          <w:rFonts w:eastAsia="Aptos"/>
          <w:b/>
          <w:bCs/>
        </w:rPr>
        <w:t xml:space="preserve">Figure </w:t>
      </w:r>
      <w:r w:rsidR="002C70CA" w:rsidRPr="002C70CA">
        <w:rPr>
          <w:rFonts w:eastAsia="Aptos"/>
          <w:b/>
          <w:bCs/>
        </w:rPr>
        <w:t>1</w:t>
      </w:r>
      <w:r w:rsidR="002C70CA">
        <w:rPr>
          <w:rFonts w:eastAsia="Aptos"/>
        </w:rPr>
        <w:t xml:space="preserve">). </w:t>
      </w:r>
      <w:r w:rsidRPr="002C70CA">
        <w:rPr>
          <w:rFonts w:eastAsia="Aptos"/>
        </w:rPr>
        <w:t>Tobacco</w:t>
      </w:r>
      <w:r>
        <w:rPr>
          <w:rFonts w:eastAsia="Aptos"/>
        </w:rPr>
        <w:t xml:space="preserve"> </w:t>
      </w:r>
      <w:r w:rsidR="00DB4AC9">
        <w:rPr>
          <w:rFonts w:eastAsia="Aptos"/>
        </w:rPr>
        <w:t>transplanted</w:t>
      </w:r>
      <w:r>
        <w:rPr>
          <w:rFonts w:eastAsia="Aptos"/>
        </w:rPr>
        <w:t xml:space="preserve"> for inoculation (Phase 1, </w:t>
      </w:r>
      <w:r w:rsidRPr="0063031C">
        <w:rPr>
          <w:rFonts w:eastAsia="Aptos"/>
          <w:b/>
          <w:bCs/>
        </w:rPr>
        <w:t>Figure 1</w:t>
      </w:r>
      <w:r>
        <w:rPr>
          <w:rFonts w:eastAsia="Aptos"/>
        </w:rPr>
        <w:t>)</w:t>
      </w:r>
      <w:r w:rsidRPr="00F76821">
        <w:rPr>
          <w:rFonts w:eastAsia="Aptos"/>
        </w:rPr>
        <w:t xml:space="preserve"> </w:t>
      </w:r>
      <w:r>
        <w:rPr>
          <w:rFonts w:eastAsia="Aptos"/>
        </w:rPr>
        <w:t xml:space="preserve">was </w:t>
      </w:r>
      <w:r w:rsidRPr="00F76821">
        <w:rPr>
          <w:rFonts w:eastAsia="Aptos"/>
        </w:rPr>
        <w:t xml:space="preserve">transplanted on 14 June 2022 </w:t>
      </w:r>
      <w:r>
        <w:rPr>
          <w:rFonts w:eastAsia="Aptos"/>
        </w:rPr>
        <w:t>and 16 June 2023. The Phase 1 tobacco crop in 2022 was</w:t>
      </w:r>
      <w:r w:rsidRPr="00F76821">
        <w:rPr>
          <w:rFonts w:eastAsia="Aptos"/>
        </w:rPr>
        <w:t xml:space="preserve"> subjected to </w:t>
      </w:r>
      <w:r>
        <w:rPr>
          <w:rFonts w:eastAsia="Aptos"/>
        </w:rPr>
        <w:t>extreme</w:t>
      </w:r>
      <w:r w:rsidRPr="00F76821">
        <w:rPr>
          <w:rFonts w:eastAsia="Aptos"/>
        </w:rPr>
        <w:t xml:space="preserve"> adverse weather conditions, including excessive heat up to 37.2</w:t>
      </w:r>
      <w:r w:rsidR="00136EC2">
        <w:rPr>
          <w:rFonts w:eastAsia="Aptos"/>
        </w:rPr>
        <w:t xml:space="preserve"> </w:t>
      </w:r>
      <w:r w:rsidR="00E6301D">
        <w:rPr>
          <w:rFonts w:eastAsia="Aptos"/>
        </w:rPr>
        <w:sym w:font="Symbol" w:char="F0B0"/>
      </w:r>
      <w:r w:rsidR="00136EC2">
        <w:rPr>
          <w:rFonts w:eastAsia="Aptos"/>
        </w:rPr>
        <w:t>C</w:t>
      </w:r>
      <w:r w:rsidRPr="00F76821">
        <w:rPr>
          <w:rFonts w:eastAsia="Aptos"/>
        </w:rPr>
        <w:t xml:space="preserve"> and limited precipitation </w:t>
      </w:r>
      <w:r>
        <w:rPr>
          <w:rFonts w:eastAsia="Aptos"/>
        </w:rPr>
        <w:t>(</w:t>
      </w:r>
      <w:r w:rsidRPr="00F76821">
        <w:rPr>
          <w:rFonts w:eastAsia="Aptos"/>
        </w:rPr>
        <w:t>3.2 c</w:t>
      </w:r>
      <w:r>
        <w:rPr>
          <w:rFonts w:eastAsia="Aptos"/>
        </w:rPr>
        <w:t>m) for the following 30 days.</w:t>
      </w:r>
      <w:r w:rsidRPr="00F76821">
        <w:rPr>
          <w:rFonts w:eastAsia="Aptos"/>
        </w:rPr>
        <w:t xml:space="preserve"> </w:t>
      </w:r>
      <w:r>
        <w:rPr>
          <w:rFonts w:eastAsia="Aptos"/>
        </w:rPr>
        <w:t>This</w:t>
      </w:r>
      <w:r w:rsidRPr="00F76821">
        <w:rPr>
          <w:rFonts w:eastAsia="Aptos"/>
        </w:rPr>
        <w:t xml:space="preserve"> result</w:t>
      </w:r>
      <w:r>
        <w:rPr>
          <w:rFonts w:eastAsia="Aptos"/>
        </w:rPr>
        <w:t>ed</w:t>
      </w:r>
      <w:r w:rsidRPr="00F76821">
        <w:rPr>
          <w:rFonts w:eastAsia="Aptos"/>
        </w:rPr>
        <w:t xml:space="preserve"> in poor crop stand </w:t>
      </w:r>
      <w:r>
        <w:rPr>
          <w:rFonts w:eastAsia="Aptos"/>
        </w:rPr>
        <w:t>and re-establishment</w:t>
      </w:r>
      <w:r w:rsidRPr="00F76821">
        <w:rPr>
          <w:rFonts w:eastAsia="Aptos"/>
        </w:rPr>
        <w:t xml:space="preserve"> on 13 July 2022. </w:t>
      </w:r>
      <w:r>
        <w:rPr>
          <w:rFonts w:eastAsia="Aptos"/>
        </w:rPr>
        <w:t xml:space="preserve">Tobacco </w:t>
      </w:r>
      <w:r w:rsidR="00071F25">
        <w:rPr>
          <w:rFonts w:eastAsia="Aptos"/>
        </w:rPr>
        <w:t xml:space="preserve">for subsequent data collection </w:t>
      </w:r>
      <w:r>
        <w:rPr>
          <w:rFonts w:eastAsia="Aptos"/>
        </w:rPr>
        <w:t xml:space="preserve">was transplanted on 16 June 2023 and 31 May 2024 (Phase 2, </w:t>
      </w:r>
      <w:r w:rsidRPr="00FC0490">
        <w:rPr>
          <w:rFonts w:eastAsia="Aptos"/>
          <w:b/>
          <w:bCs/>
        </w:rPr>
        <w:t>Figure 1</w:t>
      </w:r>
      <w:r>
        <w:rPr>
          <w:rFonts w:eastAsia="Aptos"/>
        </w:rPr>
        <w:t>).</w:t>
      </w:r>
      <w:r w:rsidRPr="00F76821">
        <w:rPr>
          <w:rFonts w:eastAsia="Aptos"/>
        </w:rPr>
        <w:t xml:space="preserve"> Field management followed </w:t>
      </w:r>
      <w:r w:rsidR="00C85D02" w:rsidRPr="00F76821">
        <w:rPr>
          <w:rFonts w:eastAsia="Aptos"/>
        </w:rPr>
        <w:t>the University</w:t>
      </w:r>
      <w:r w:rsidRPr="00F76821">
        <w:rPr>
          <w:rFonts w:eastAsia="Aptos"/>
        </w:rPr>
        <w:t xml:space="preserve"> of Tennessee recommendations for dark tobacco production</w:t>
      </w:r>
      <w:r>
        <w:rPr>
          <w:rFonts w:eastAsia="Aptos"/>
        </w:rPr>
        <w:t xml:space="preserve"> (Bailey</w:t>
      </w:r>
      <w:r w:rsidR="0019669C">
        <w:rPr>
          <w:rFonts w:eastAsia="Aptos"/>
        </w:rPr>
        <w:t xml:space="preserve"> </w:t>
      </w:r>
      <w:r w:rsidR="00F51FEF">
        <w:rPr>
          <w:rFonts w:eastAsia="Aptos"/>
        </w:rPr>
        <w:t>et al.</w:t>
      </w:r>
      <w:r>
        <w:rPr>
          <w:rFonts w:eastAsia="Aptos"/>
        </w:rPr>
        <w:t xml:space="preserve"> 2025</w:t>
      </w:r>
      <w:r w:rsidR="00373FC6">
        <w:rPr>
          <w:rFonts w:eastAsia="Aptos"/>
        </w:rPr>
        <w:t>b</w:t>
      </w:r>
      <w:r>
        <w:rPr>
          <w:rFonts w:eastAsia="Aptos"/>
        </w:rPr>
        <w:t>)</w:t>
      </w:r>
      <w:r w:rsidR="00373FC6">
        <w:rPr>
          <w:rFonts w:eastAsia="Aptos"/>
        </w:rPr>
        <w:t>.</w:t>
      </w:r>
    </w:p>
    <w:p w14:paraId="1A664EAD" w14:textId="4E0E647E" w:rsidR="004B2F06" w:rsidRPr="004B2F06" w:rsidRDefault="004B2F06" w:rsidP="00FC0490">
      <w:pPr>
        <w:pStyle w:val="Heading3"/>
        <w:spacing w:before="0" w:after="0"/>
        <w:rPr>
          <w:rFonts w:ascii="Aptos Display" w:hAnsi="Aptos Display"/>
          <w:color w:val="0F4761"/>
          <w:sz w:val="32"/>
          <w:szCs w:val="32"/>
        </w:rPr>
      </w:pPr>
      <w:bookmarkStart w:id="18" w:name="_Toc196291994"/>
      <w:r w:rsidRPr="004B2F06">
        <w:t>2.</w:t>
      </w:r>
      <w:r w:rsidR="001A0457">
        <w:t>2.</w:t>
      </w:r>
      <w:r w:rsidRPr="004B2F06">
        <w:t>3 Inoculation procedures and preparation</w:t>
      </w:r>
      <w:bookmarkEnd w:id="18"/>
      <w:r w:rsidRPr="004B2F06">
        <w:rPr>
          <w:rFonts w:ascii="Aptos Display" w:hAnsi="Aptos Display"/>
          <w:color w:val="0F4761"/>
          <w:sz w:val="32"/>
          <w:szCs w:val="32"/>
        </w:rPr>
        <w:tab/>
      </w:r>
    </w:p>
    <w:p w14:paraId="43859651" w14:textId="6F4D454F" w:rsidR="00C30745" w:rsidRDefault="00C30745" w:rsidP="00FC0490">
      <w:pPr>
        <w:spacing w:line="360" w:lineRule="auto"/>
        <w:ind w:firstLine="720"/>
        <w:rPr>
          <w:rFonts w:eastAsia="Aptos"/>
        </w:rPr>
      </w:pPr>
      <w:r w:rsidRPr="00C30745">
        <w:rPr>
          <w:rFonts w:eastAsia="Aptos"/>
        </w:rPr>
        <w:t>During Phase 1 of the research (</w:t>
      </w:r>
      <w:r w:rsidRPr="004E7754">
        <w:rPr>
          <w:rFonts w:eastAsia="Aptos"/>
          <w:b/>
          <w:bCs/>
        </w:rPr>
        <w:t>Figure 1</w:t>
      </w:r>
      <w:r w:rsidRPr="00C30745">
        <w:rPr>
          <w:rFonts w:eastAsia="Aptos"/>
        </w:rPr>
        <w:t xml:space="preserve">), field plots were inoculated with </w:t>
      </w:r>
      <w:proofErr w:type="spellStart"/>
      <w:r w:rsidRPr="00CC0C05">
        <w:rPr>
          <w:rFonts w:eastAsia="Aptos"/>
          <w:i/>
          <w:iCs/>
        </w:rPr>
        <w:t>pst</w:t>
      </w:r>
      <w:proofErr w:type="spellEnd"/>
      <w:r w:rsidRPr="00C30745">
        <w:rPr>
          <w:rFonts w:eastAsia="Aptos"/>
        </w:rPr>
        <w:t xml:space="preserve"> on 24 August 2022 at approximately midday (1:30 PM CDT) and 11 July 2023 at approximately 9:00 pm (CDT). Due to high temperatures and low moisture in 2022 at the time of inoculation, disease infection was very poor resulting in extremely low disease pressure. Time of inoculation was adjusted in 2023 based on environmental conditions and the impact on inoculation success from the previous year. Inoculation protocol was </w:t>
      </w:r>
      <w:proofErr w:type="gramStart"/>
      <w:r w:rsidRPr="00C30745">
        <w:rPr>
          <w:rFonts w:eastAsia="Aptos"/>
        </w:rPr>
        <w:t>similar to</w:t>
      </w:r>
      <w:proofErr w:type="gramEnd"/>
      <w:r w:rsidRPr="00C30745">
        <w:rPr>
          <w:rFonts w:eastAsia="Aptos"/>
        </w:rPr>
        <w:t xml:space="preserve"> methods described in </w:t>
      </w:r>
      <w:proofErr w:type="spellStart"/>
      <w:r w:rsidRPr="00C30745">
        <w:rPr>
          <w:rFonts w:eastAsia="Aptos"/>
        </w:rPr>
        <w:t>Pfeufer</w:t>
      </w:r>
      <w:proofErr w:type="spellEnd"/>
      <w:r w:rsidRPr="00C30745">
        <w:rPr>
          <w:rFonts w:eastAsia="Aptos"/>
        </w:rPr>
        <w:t xml:space="preserve"> et al (2017). </w:t>
      </w:r>
      <w:r w:rsidR="00D359CC">
        <w:rPr>
          <w:rFonts w:eastAsia="Aptos"/>
        </w:rPr>
        <w:t>Bacterial isolates were collected f</w:t>
      </w:r>
      <w:r w:rsidR="008D51AE">
        <w:rPr>
          <w:rFonts w:eastAsia="Aptos"/>
        </w:rPr>
        <w:t>ro</w:t>
      </w:r>
      <w:r w:rsidR="00D359CC">
        <w:rPr>
          <w:rFonts w:eastAsia="Aptos"/>
        </w:rPr>
        <w:t>m the University of Kentucky</w:t>
      </w:r>
      <w:r w:rsidR="008D51AE">
        <w:rPr>
          <w:rFonts w:eastAsia="Aptos"/>
        </w:rPr>
        <w:t xml:space="preserve">. </w:t>
      </w:r>
      <w:r w:rsidR="005053D2">
        <w:rPr>
          <w:rFonts w:eastAsia="Aptos"/>
        </w:rPr>
        <w:t>The isolate</w:t>
      </w:r>
      <w:r w:rsidR="008D51AE">
        <w:rPr>
          <w:rFonts w:eastAsia="Aptos"/>
        </w:rPr>
        <w:t xml:space="preserve"> cultured for Phase 1 inoculation in 2022</w:t>
      </w:r>
      <w:r w:rsidR="005053D2">
        <w:rPr>
          <w:rFonts w:eastAsia="Aptos"/>
        </w:rPr>
        <w:t xml:space="preserve"> was 16P455 and in 2023 was </w:t>
      </w:r>
      <w:proofErr w:type="spellStart"/>
      <w:r w:rsidR="000F5B94">
        <w:rPr>
          <w:rFonts w:eastAsia="Aptos"/>
        </w:rPr>
        <w:t>Pst</w:t>
      </w:r>
      <w:proofErr w:type="spellEnd"/>
      <w:r w:rsidR="000F5B94">
        <w:rPr>
          <w:rFonts w:eastAsia="Aptos"/>
        </w:rPr>
        <w:t xml:space="preserve"> 1073.</w:t>
      </w:r>
      <w:r w:rsidR="008D51AE">
        <w:rPr>
          <w:rFonts w:eastAsia="Aptos"/>
        </w:rPr>
        <w:t xml:space="preserve"> </w:t>
      </w:r>
      <w:r w:rsidRPr="00C30745">
        <w:rPr>
          <w:rFonts w:eastAsia="Aptos"/>
        </w:rPr>
        <w:t xml:space="preserve">Inoculum was prepared using sterile King’s B (KB) media under a laminar flow hood. Five days before inoculation, </w:t>
      </w:r>
      <w:proofErr w:type="spellStart"/>
      <w:r w:rsidRPr="00CC0C05">
        <w:rPr>
          <w:rFonts w:eastAsia="Aptos"/>
          <w:i/>
          <w:iCs/>
        </w:rPr>
        <w:t>pst</w:t>
      </w:r>
      <w:proofErr w:type="spellEnd"/>
      <w:r w:rsidRPr="00C30745">
        <w:rPr>
          <w:rFonts w:eastAsia="Aptos"/>
        </w:rPr>
        <w:t xml:space="preserve"> was grown on Luria-Bertani (LB) agar plates. The day before inoculation isolated colonies of </w:t>
      </w:r>
      <w:proofErr w:type="spellStart"/>
      <w:r w:rsidRPr="00CC0C05">
        <w:rPr>
          <w:rFonts w:eastAsia="Aptos"/>
          <w:i/>
          <w:iCs/>
        </w:rPr>
        <w:t>pst</w:t>
      </w:r>
      <w:proofErr w:type="spellEnd"/>
      <w:r w:rsidRPr="00C30745">
        <w:rPr>
          <w:rFonts w:eastAsia="Aptos"/>
        </w:rPr>
        <w:t xml:space="preserve"> were collected from agar plates and suspended into 2 L of the KB broth in 4 L sterile glass flasks. One individual colony was added to each flask. Flasks were covered and placed on a shaker table for 20 hours at 200 rpm at room temperature. After shaking was completed, bacterial suspension was added to sterile 1 L glass bottles, capped, and placed into a cooler with ice packs to halt further growth of bacteria. At the field, 456 mL of bacterial suspension was added to a 11.4 L battery powered sprayer combined with municipal water. The sprayer was </w:t>
      </w:r>
      <w:proofErr w:type="gramStart"/>
      <w:r w:rsidRPr="00C30745">
        <w:rPr>
          <w:rFonts w:eastAsia="Aptos"/>
        </w:rPr>
        <w:t>calibrated</w:t>
      </w:r>
      <w:proofErr w:type="gramEnd"/>
      <w:r w:rsidRPr="00C30745">
        <w:rPr>
          <w:rFonts w:eastAsia="Aptos"/>
        </w:rPr>
        <w:t xml:space="preserve"> to deliver a volume of 234 L ha</w:t>
      </w:r>
      <w:r w:rsidRPr="006632F5">
        <w:rPr>
          <w:rFonts w:eastAsia="Aptos"/>
          <w:vertAlign w:val="superscript"/>
        </w:rPr>
        <w:t>-1</w:t>
      </w:r>
      <w:r w:rsidRPr="00C30745">
        <w:rPr>
          <w:rFonts w:eastAsia="Aptos"/>
        </w:rPr>
        <w:t xml:space="preserve">. The timing for inoculation application was made corresponding to tobacco growth stages 1108 to 1110 (Papenfus &amp; Billenkamp, 2019). These growth stage values correspond to the number of developed leaves, eight and ten, respectively, on the tobacco plants. The inoculum was applied to the upper 4-5 leaves on the dark tobacco plants. </w:t>
      </w:r>
    </w:p>
    <w:p w14:paraId="291810D3" w14:textId="7CEDA2A5" w:rsidR="004B2F06" w:rsidRPr="004B2F06" w:rsidRDefault="004B2F06" w:rsidP="00FC0490">
      <w:pPr>
        <w:pStyle w:val="Heading3"/>
        <w:spacing w:before="0" w:after="0"/>
        <w:rPr>
          <w:rFonts w:ascii="Aptos Display" w:hAnsi="Aptos Display"/>
          <w:color w:val="0F4761"/>
          <w:sz w:val="32"/>
          <w:szCs w:val="32"/>
        </w:rPr>
      </w:pPr>
      <w:bookmarkStart w:id="19" w:name="_Toc196291995"/>
      <w:r w:rsidRPr="004B2F06">
        <w:t>2.</w:t>
      </w:r>
      <w:r w:rsidR="001A0457">
        <w:t>2.</w:t>
      </w:r>
      <w:r w:rsidRPr="004B2F06">
        <w:t>4 Serial dilution procedures</w:t>
      </w:r>
      <w:bookmarkEnd w:id="19"/>
      <w:r w:rsidRPr="004B2F06">
        <w:rPr>
          <w:rFonts w:ascii="Aptos Display" w:hAnsi="Aptos Display"/>
          <w:color w:val="0F4761"/>
          <w:sz w:val="32"/>
          <w:szCs w:val="32"/>
        </w:rPr>
        <w:tab/>
      </w:r>
    </w:p>
    <w:p w14:paraId="1B4A365C" w14:textId="0268CFC7" w:rsidR="004B2F06" w:rsidRPr="004B2F06" w:rsidRDefault="004B2F06" w:rsidP="00FC0490">
      <w:pPr>
        <w:spacing w:line="360" w:lineRule="auto"/>
        <w:ind w:firstLine="720"/>
        <w:rPr>
          <w:rFonts w:eastAsia="Aptos"/>
          <w:kern w:val="2"/>
          <w:szCs w:val="22"/>
          <w14:ligatures w14:val="standardContextual"/>
        </w:rPr>
      </w:pPr>
      <w:r w:rsidRPr="004B2F06">
        <w:rPr>
          <w:rFonts w:eastAsia="Aptos"/>
          <w:kern w:val="2"/>
          <w:szCs w:val="22"/>
          <w14:ligatures w14:val="standardContextual"/>
        </w:rPr>
        <w:t xml:space="preserve">Serial dilution and colony counting on agar plates </w:t>
      </w:r>
      <w:r w:rsidR="00640B0D">
        <w:rPr>
          <w:rFonts w:eastAsia="Aptos"/>
          <w:kern w:val="2"/>
          <w:szCs w:val="22"/>
          <w14:ligatures w14:val="standardContextual"/>
        </w:rPr>
        <w:t>were</w:t>
      </w:r>
      <w:r w:rsidR="00640B0D" w:rsidRPr="004B2F06">
        <w:rPr>
          <w:rFonts w:eastAsia="Aptos"/>
          <w:kern w:val="2"/>
          <w:szCs w:val="22"/>
          <w14:ligatures w14:val="standardContextual"/>
        </w:rPr>
        <w:t xml:space="preserve"> </w:t>
      </w:r>
      <w:r w:rsidRPr="004B2F06">
        <w:rPr>
          <w:rFonts w:eastAsia="Aptos"/>
          <w:kern w:val="2"/>
          <w:szCs w:val="22"/>
          <w14:ligatures w14:val="standardContextual"/>
        </w:rPr>
        <w:t>conducted on the same day as field inoculation</w:t>
      </w:r>
      <w:r w:rsidR="00640B0D">
        <w:rPr>
          <w:rFonts w:eastAsia="Aptos"/>
          <w:kern w:val="2"/>
          <w:szCs w:val="22"/>
          <w14:ligatures w14:val="standardContextual"/>
        </w:rPr>
        <w:t>,</w:t>
      </w:r>
      <w:r w:rsidRPr="004B2F06">
        <w:rPr>
          <w:rFonts w:eastAsia="Aptos"/>
          <w:kern w:val="2"/>
          <w:szCs w:val="22"/>
          <w14:ligatures w14:val="standardContextual"/>
        </w:rPr>
        <w:t xml:space="preserve"> prior to transportation</w:t>
      </w:r>
      <w:r w:rsidR="00640B0D">
        <w:rPr>
          <w:rFonts w:eastAsia="Aptos"/>
          <w:kern w:val="2"/>
          <w:szCs w:val="22"/>
          <w14:ligatures w14:val="standardContextual"/>
        </w:rPr>
        <w:t>,</w:t>
      </w:r>
      <w:r w:rsidRPr="004B2F06">
        <w:rPr>
          <w:rFonts w:eastAsia="Aptos"/>
          <w:kern w:val="2"/>
          <w:szCs w:val="22"/>
          <w14:ligatures w14:val="standardContextual"/>
        </w:rPr>
        <w:t xml:space="preserve"> to determine the concentration of inoculum, expressed as colony forming units (CFU) per milliliter of bacterial suspension. The method for the serial dilution conducted was based on protocols from Reynolds (2005). In 2022, nine 1 mL sterile, plastic vials were labeled one to eight for the dilutions and one labeled “S” to indicate stock bacterial solution. In 2023, 12 vials were used and labeled in the same way (one to twelve, and “S” for stock). In each of the numbered vials, 900 µL of sterile water was added. From the “S” vial, 100 µL of the stock was added to vial number one and mixed by pipette. The process </w:t>
      </w:r>
      <w:r w:rsidR="00DE5E3B">
        <w:rPr>
          <w:rFonts w:eastAsia="Aptos"/>
          <w:kern w:val="2"/>
          <w:szCs w:val="22"/>
          <w14:ligatures w14:val="standardContextual"/>
        </w:rPr>
        <w:t>was</w:t>
      </w:r>
      <w:r w:rsidR="00DE5E3B" w:rsidRPr="004B2F06">
        <w:rPr>
          <w:rFonts w:eastAsia="Aptos"/>
          <w:kern w:val="2"/>
          <w:szCs w:val="22"/>
          <w14:ligatures w14:val="standardContextual"/>
        </w:rPr>
        <w:t xml:space="preserve"> </w:t>
      </w:r>
      <w:r w:rsidRPr="004B2F06">
        <w:rPr>
          <w:rFonts w:eastAsia="Aptos"/>
          <w:kern w:val="2"/>
          <w:szCs w:val="22"/>
          <w14:ligatures w14:val="standardContextual"/>
        </w:rPr>
        <w:t xml:space="preserve">repeated by taking 100 µL of solution from the preceding vial and adding the solution to the next numbered vial. This created a 10-fold dilution starting with vial number 1 having the highest stock concentration to vial number 8 or 12 having the lowest. After creating the dilutions, 100 µL from each numbered vial were placed on an LB agar plate with three sterile metal beads, covered, and shaken repeatedly until </w:t>
      </w:r>
      <w:r w:rsidR="00640B0D">
        <w:rPr>
          <w:rFonts w:eastAsia="Aptos"/>
          <w:kern w:val="2"/>
          <w:szCs w:val="22"/>
          <w14:ligatures w14:val="standardContextual"/>
        </w:rPr>
        <w:t xml:space="preserve">the </w:t>
      </w:r>
      <w:r w:rsidRPr="004B2F06">
        <w:rPr>
          <w:rFonts w:eastAsia="Aptos"/>
          <w:kern w:val="2"/>
          <w:szCs w:val="22"/>
          <w14:ligatures w14:val="standardContextual"/>
        </w:rPr>
        <w:t xml:space="preserve">solution was evenly dispersed on </w:t>
      </w:r>
      <w:r w:rsidR="00640B0D">
        <w:rPr>
          <w:rFonts w:eastAsia="Aptos"/>
          <w:kern w:val="2"/>
          <w:szCs w:val="22"/>
          <w14:ligatures w14:val="standardContextual"/>
        </w:rPr>
        <w:t xml:space="preserve">the </w:t>
      </w:r>
      <w:r w:rsidRPr="004B2F06">
        <w:rPr>
          <w:rFonts w:eastAsia="Aptos"/>
          <w:kern w:val="2"/>
          <w:szCs w:val="22"/>
          <w14:ligatures w14:val="standardContextual"/>
        </w:rPr>
        <w:t>plates. Metal beads were removed from the agar plates before being sealed with parafilm and left at room temperature for 48 hours. After the 48 hours elapsed, colonies were counted. There were 1.3 x 10</w:t>
      </w:r>
      <w:r w:rsidRPr="0094099A">
        <w:rPr>
          <w:rFonts w:eastAsia="Aptos"/>
          <w:kern w:val="2"/>
          <w:szCs w:val="22"/>
          <w:vertAlign w:val="superscript"/>
          <w14:ligatures w14:val="standardContextual"/>
        </w:rPr>
        <w:t>10</w:t>
      </w:r>
      <w:r w:rsidRPr="004B2F06">
        <w:rPr>
          <w:rFonts w:eastAsia="Aptos"/>
          <w:kern w:val="2"/>
          <w:szCs w:val="22"/>
          <w14:ligatures w14:val="standardContextual"/>
        </w:rPr>
        <w:t xml:space="preserve"> CFU per mL sprayed in August 2022 and 2.8 x 10</w:t>
      </w:r>
      <w:r w:rsidRPr="0094099A">
        <w:rPr>
          <w:rFonts w:eastAsia="Aptos"/>
          <w:kern w:val="2"/>
          <w:szCs w:val="22"/>
          <w:vertAlign w:val="superscript"/>
          <w14:ligatures w14:val="standardContextual"/>
        </w:rPr>
        <w:t>6</w:t>
      </w:r>
      <w:r w:rsidRPr="004B2F06">
        <w:rPr>
          <w:rFonts w:eastAsia="Aptos"/>
          <w:kern w:val="2"/>
          <w:szCs w:val="22"/>
          <w14:ligatures w14:val="standardContextual"/>
        </w:rPr>
        <w:t xml:space="preserve"> CFU per mL in July 2023. All preparations for serial dilution components were made underneath a laminar flow hood. </w:t>
      </w:r>
    </w:p>
    <w:p w14:paraId="09143ABF" w14:textId="16033215" w:rsidR="004B2F06" w:rsidRPr="004B2F06" w:rsidRDefault="004B2F06" w:rsidP="00FC0490">
      <w:pPr>
        <w:pStyle w:val="Heading3"/>
        <w:spacing w:before="0" w:after="0"/>
        <w:rPr>
          <w:rFonts w:ascii="Aptos Display" w:hAnsi="Aptos Display"/>
          <w:color w:val="0F4761"/>
          <w:sz w:val="32"/>
          <w:szCs w:val="32"/>
        </w:rPr>
      </w:pPr>
      <w:bookmarkStart w:id="20" w:name="_Toc196291996"/>
      <w:r w:rsidRPr="004B2F06">
        <w:t>2.</w:t>
      </w:r>
      <w:r w:rsidR="001A0457">
        <w:t>2.</w:t>
      </w:r>
      <w:r w:rsidRPr="004B2F06">
        <w:t>5 Disease ratings</w:t>
      </w:r>
      <w:bookmarkEnd w:id="20"/>
      <w:r w:rsidRPr="004B2F06">
        <w:rPr>
          <w:rFonts w:ascii="Aptos Display" w:hAnsi="Aptos Display"/>
          <w:color w:val="0F4761"/>
          <w:sz w:val="32"/>
          <w:szCs w:val="32"/>
        </w:rPr>
        <w:tab/>
      </w:r>
    </w:p>
    <w:p w14:paraId="681E6443" w14:textId="1714DAB5" w:rsidR="004B2F06" w:rsidRPr="004B2F06" w:rsidRDefault="004B2F06" w:rsidP="00FC0490">
      <w:pPr>
        <w:spacing w:line="360" w:lineRule="auto"/>
        <w:ind w:firstLine="720"/>
        <w:rPr>
          <w:rFonts w:eastAsia="Aptos"/>
          <w:kern w:val="2"/>
          <w:szCs w:val="22"/>
          <w14:ligatures w14:val="standardContextual"/>
        </w:rPr>
      </w:pPr>
      <w:r w:rsidRPr="004B2F06">
        <w:rPr>
          <w:rFonts w:eastAsia="Aptos"/>
          <w:kern w:val="2"/>
          <w:szCs w:val="22"/>
          <w14:ligatures w14:val="standardContextual"/>
        </w:rPr>
        <w:t xml:space="preserve">Disease ratings after inoculation in </w:t>
      </w:r>
      <w:r w:rsidR="004B2875">
        <w:rPr>
          <w:rFonts w:eastAsia="Aptos"/>
          <w:kern w:val="2"/>
          <w:szCs w:val="22"/>
          <w14:ligatures w14:val="standardContextual"/>
        </w:rPr>
        <w:t>Phase 1</w:t>
      </w:r>
      <w:r w:rsidRPr="004B2F06">
        <w:rPr>
          <w:rFonts w:eastAsia="Aptos"/>
          <w:kern w:val="2"/>
          <w:szCs w:val="22"/>
          <w14:ligatures w14:val="standardContextual"/>
        </w:rPr>
        <w:t xml:space="preserve"> were made to gain a baseline of disease pressure for the future. Disease </w:t>
      </w:r>
      <w:proofErr w:type="gramStart"/>
      <w:r w:rsidRPr="004B2F06">
        <w:rPr>
          <w:rFonts w:eastAsia="Aptos"/>
          <w:kern w:val="2"/>
          <w:szCs w:val="22"/>
          <w14:ligatures w14:val="standardContextual"/>
        </w:rPr>
        <w:t>ratings</w:t>
      </w:r>
      <w:proofErr w:type="gramEnd"/>
      <w:r w:rsidRPr="004B2F06">
        <w:rPr>
          <w:rFonts w:eastAsia="Aptos"/>
          <w:kern w:val="2"/>
          <w:szCs w:val="22"/>
          <w14:ligatures w14:val="standardContextual"/>
        </w:rPr>
        <w:t xml:space="preserve"> were scheduled to begin approximately two weeks after inoculation. In 2022, only one rating was </w:t>
      </w:r>
      <w:r w:rsidR="00640B0D">
        <w:rPr>
          <w:rFonts w:eastAsia="Aptos"/>
          <w:kern w:val="2"/>
          <w:szCs w:val="22"/>
          <w14:ligatures w14:val="standardContextual"/>
        </w:rPr>
        <w:t>taken</w:t>
      </w:r>
      <w:r w:rsidR="00640B0D" w:rsidRPr="004B2F06">
        <w:rPr>
          <w:rFonts w:eastAsia="Aptos"/>
          <w:kern w:val="2"/>
          <w:szCs w:val="22"/>
          <w14:ligatures w14:val="standardContextual"/>
        </w:rPr>
        <w:t xml:space="preserve"> </w:t>
      </w:r>
      <w:r w:rsidR="00640B0D">
        <w:rPr>
          <w:rFonts w:eastAsia="Aptos"/>
          <w:kern w:val="2"/>
          <w:szCs w:val="22"/>
          <w14:ligatures w14:val="standardContextual"/>
        </w:rPr>
        <w:t>(</w:t>
      </w:r>
      <w:r w:rsidR="00640B0D" w:rsidRPr="004B2F06">
        <w:rPr>
          <w:rFonts w:eastAsia="Aptos"/>
          <w:kern w:val="2"/>
          <w:szCs w:val="22"/>
          <w14:ligatures w14:val="standardContextual"/>
        </w:rPr>
        <w:t xml:space="preserve"> </w:t>
      </w:r>
      <w:r w:rsidRPr="004B2F06">
        <w:rPr>
          <w:rFonts w:eastAsia="Aptos"/>
          <w:kern w:val="2"/>
          <w:szCs w:val="22"/>
          <w14:ligatures w14:val="standardContextual"/>
        </w:rPr>
        <w:t>5 October</w:t>
      </w:r>
      <w:r w:rsidR="00640B0D">
        <w:rPr>
          <w:rFonts w:eastAsia="Aptos"/>
          <w:kern w:val="2"/>
          <w:szCs w:val="22"/>
          <w14:ligatures w14:val="standardContextual"/>
        </w:rPr>
        <w:t>)</w:t>
      </w:r>
      <w:r w:rsidRPr="004B2F06">
        <w:rPr>
          <w:rFonts w:eastAsia="Aptos"/>
          <w:kern w:val="2"/>
          <w:szCs w:val="22"/>
          <w14:ligatures w14:val="standardContextual"/>
        </w:rPr>
        <w:t xml:space="preserve"> before tobacco was terminated</w:t>
      </w:r>
      <w:r w:rsidR="008D1916">
        <w:rPr>
          <w:rFonts w:eastAsia="Aptos"/>
          <w:kern w:val="2"/>
          <w:szCs w:val="22"/>
          <w14:ligatures w14:val="standardContextual"/>
        </w:rPr>
        <w:t xml:space="preserve"> due to low </w:t>
      </w:r>
      <w:r w:rsidR="00DE0D99">
        <w:rPr>
          <w:rFonts w:eastAsia="Aptos"/>
          <w:kern w:val="2"/>
          <w:szCs w:val="22"/>
          <w14:ligatures w14:val="standardContextual"/>
        </w:rPr>
        <w:t>levels of ALS incidence and severity</w:t>
      </w:r>
      <w:r w:rsidRPr="004B2F06">
        <w:rPr>
          <w:rFonts w:eastAsia="Aptos"/>
          <w:kern w:val="2"/>
          <w:szCs w:val="22"/>
          <w14:ligatures w14:val="standardContextual"/>
        </w:rPr>
        <w:t>. In 2023, disease ratings were taken weekly beginning 26 July and ending 19 September. Ratings were conducted visually by assessing plants in the center two rows for incidence (percent of plants showing any disease symptoms) and severity (average area of leaves covered by lesions of the infected plants, measured in percent). At the end of the tobacco growing season</w:t>
      </w:r>
      <w:r w:rsidR="0035066D">
        <w:rPr>
          <w:rFonts w:eastAsia="Aptos"/>
          <w:kern w:val="2"/>
          <w:szCs w:val="22"/>
          <w14:ligatures w14:val="standardContextual"/>
        </w:rPr>
        <w:t xml:space="preserve"> of Phase 1</w:t>
      </w:r>
      <w:r w:rsidRPr="004B2F06">
        <w:rPr>
          <w:rFonts w:eastAsia="Aptos"/>
          <w:kern w:val="2"/>
          <w:szCs w:val="22"/>
          <w14:ligatures w14:val="standardContextual"/>
        </w:rPr>
        <w:t xml:space="preserve">, the crop was terminated using a silage chopper and inoculated plant matter was spread evenly across the field to act as soil inoculum for the tobacco crop transplanted in </w:t>
      </w:r>
      <w:r w:rsidR="004A2643">
        <w:rPr>
          <w:rFonts w:eastAsia="Aptos"/>
          <w:kern w:val="2"/>
          <w:szCs w:val="22"/>
          <w14:ligatures w14:val="standardContextual"/>
        </w:rPr>
        <w:t>Phase 2</w:t>
      </w:r>
      <w:r w:rsidRPr="004B2F06">
        <w:rPr>
          <w:rFonts w:eastAsia="Aptos"/>
          <w:kern w:val="2"/>
          <w:szCs w:val="22"/>
          <w14:ligatures w14:val="standardContextual"/>
        </w:rPr>
        <w:t xml:space="preserve">. </w:t>
      </w:r>
    </w:p>
    <w:p w14:paraId="70F944FD" w14:textId="3EC239F8" w:rsidR="004B2F06" w:rsidRPr="004B2F06" w:rsidRDefault="004B2F06" w:rsidP="00FC0490">
      <w:pPr>
        <w:pStyle w:val="Heading3"/>
        <w:spacing w:before="0" w:after="0"/>
      </w:pPr>
      <w:bookmarkStart w:id="21" w:name="_Toc196291997"/>
      <w:r w:rsidRPr="004B2F06">
        <w:t>2.</w:t>
      </w:r>
      <w:r w:rsidR="001A0457">
        <w:t>2.</w:t>
      </w:r>
      <w:r w:rsidRPr="004B2F06">
        <w:t>6 Cover crop and tillage treatments</w:t>
      </w:r>
      <w:bookmarkEnd w:id="21"/>
    </w:p>
    <w:p w14:paraId="25D89845" w14:textId="0E3E958D" w:rsidR="004B2F06" w:rsidRPr="004B2F06" w:rsidRDefault="00E04A73" w:rsidP="00FC0490">
      <w:pPr>
        <w:spacing w:line="360" w:lineRule="auto"/>
        <w:ind w:firstLine="720"/>
        <w:rPr>
          <w:rFonts w:eastAsia="Aptos"/>
          <w:b/>
          <w:bCs/>
          <w:color w:val="FF0000"/>
          <w:kern w:val="2"/>
          <w:szCs w:val="22"/>
          <w14:ligatures w14:val="standardContextual"/>
        </w:rPr>
      </w:pPr>
      <w:r w:rsidRPr="00F76821">
        <w:rPr>
          <w:rFonts w:eastAsia="Aptos"/>
          <w:kern w:val="2"/>
          <w14:ligatures w14:val="standardContextual"/>
        </w:rPr>
        <w:t>Cover crop treatments were applied</w:t>
      </w:r>
      <w:r>
        <w:rPr>
          <w:rFonts w:eastAsia="Aptos"/>
          <w:kern w:val="2"/>
          <w14:ligatures w14:val="standardContextual"/>
        </w:rPr>
        <w:t xml:space="preserve"> in </w:t>
      </w:r>
      <w:r w:rsidR="00640B0D">
        <w:rPr>
          <w:rFonts w:eastAsia="Aptos"/>
          <w:kern w:val="2"/>
          <w14:ligatures w14:val="standardContextual"/>
        </w:rPr>
        <w:t>P</w:t>
      </w:r>
      <w:r>
        <w:rPr>
          <w:rFonts w:eastAsia="Aptos"/>
          <w:kern w:val="2"/>
          <w14:ligatures w14:val="standardContextual"/>
        </w:rPr>
        <w:t xml:space="preserve">hase </w:t>
      </w:r>
      <w:r w:rsidR="00640B0D">
        <w:rPr>
          <w:rFonts w:eastAsia="Aptos"/>
          <w:kern w:val="2"/>
          <w14:ligatures w14:val="standardContextual"/>
        </w:rPr>
        <w:t>1</w:t>
      </w:r>
      <w:r w:rsidRPr="00F76821">
        <w:rPr>
          <w:rFonts w:eastAsia="Aptos"/>
          <w:kern w:val="2"/>
          <w14:ligatures w14:val="standardContextual"/>
        </w:rPr>
        <w:t xml:space="preserve"> to plots after the termination of the first transplanting of each tobacco field</w:t>
      </w:r>
      <w:r>
        <w:rPr>
          <w:rFonts w:eastAsia="Aptos"/>
          <w:kern w:val="2"/>
          <w14:ligatures w14:val="standardContextual"/>
        </w:rPr>
        <w:t xml:space="preserve"> (Figure 1)</w:t>
      </w:r>
      <w:r w:rsidRPr="00F76821">
        <w:rPr>
          <w:rFonts w:eastAsia="Aptos"/>
          <w:kern w:val="2"/>
          <w14:ligatures w14:val="standardContextual"/>
        </w:rPr>
        <w:t xml:space="preserve">. Light tillage was used to prepare the seed bed for cover crop planting. Cover crops were planted on 11 October 2022 and 10 October 2023. </w:t>
      </w:r>
      <w:r>
        <w:rPr>
          <w:rFonts w:eastAsia="Aptos"/>
          <w:kern w:val="2"/>
          <w14:ligatures w14:val="standardContextual"/>
        </w:rPr>
        <w:t>Due to low establishment of crimson clover and hairy vetch in 2023, a second seeding occurred on 10 November. One month after planting, m</w:t>
      </w:r>
      <w:r w:rsidRPr="00F76821">
        <w:rPr>
          <w:rFonts w:eastAsia="Aptos"/>
          <w:kern w:val="2"/>
          <w14:ligatures w14:val="standardContextual"/>
        </w:rPr>
        <w:t xml:space="preserve">onthly data collection </w:t>
      </w:r>
      <w:r>
        <w:rPr>
          <w:rFonts w:eastAsia="Aptos"/>
          <w:kern w:val="2"/>
          <w14:ligatures w14:val="standardContextual"/>
        </w:rPr>
        <w:t xml:space="preserve">began and </w:t>
      </w:r>
      <w:r w:rsidRPr="00F76821">
        <w:rPr>
          <w:rFonts w:eastAsia="Aptos"/>
          <w:kern w:val="2"/>
          <w14:ligatures w14:val="standardContextual"/>
        </w:rPr>
        <w:t xml:space="preserve">included canopy coverage, soil moisture, and soil temperature of each plot. </w:t>
      </w:r>
      <w:r>
        <w:rPr>
          <w:rFonts w:eastAsia="Aptos"/>
          <w:kern w:val="2"/>
          <w14:ligatures w14:val="standardContextual"/>
        </w:rPr>
        <w:t xml:space="preserve">One cover crop establishment </w:t>
      </w:r>
      <w:r w:rsidR="00CE1946">
        <w:rPr>
          <w:rFonts w:eastAsia="Aptos"/>
          <w:kern w:val="2"/>
          <w14:ligatures w14:val="standardContextual"/>
        </w:rPr>
        <w:t>rating</w:t>
      </w:r>
      <w:r>
        <w:rPr>
          <w:rFonts w:eastAsia="Aptos"/>
          <w:kern w:val="2"/>
          <w14:ligatures w14:val="standardContextual"/>
        </w:rPr>
        <w:t xml:space="preserve"> was made during the first monthly data collection </w:t>
      </w:r>
      <w:r w:rsidR="0067039E">
        <w:rPr>
          <w:rFonts w:eastAsia="Aptos"/>
          <w:kern w:val="2"/>
          <w14:ligatures w14:val="standardContextual"/>
        </w:rPr>
        <w:t xml:space="preserve">to </w:t>
      </w:r>
      <w:r w:rsidR="00CE1946">
        <w:rPr>
          <w:rFonts w:eastAsia="Aptos"/>
          <w:kern w:val="2"/>
          <w14:ligatures w14:val="standardContextual"/>
        </w:rPr>
        <w:t>estimate</w:t>
      </w:r>
      <w:r w:rsidR="007D4352">
        <w:rPr>
          <w:rFonts w:eastAsia="Aptos"/>
          <w:kern w:val="2"/>
          <w14:ligatures w14:val="standardContextual"/>
        </w:rPr>
        <w:t xml:space="preserve"> the </w:t>
      </w:r>
      <w:r w:rsidR="00C85D02">
        <w:rPr>
          <w:rFonts w:eastAsia="Aptos"/>
          <w:kern w:val="2"/>
          <w14:ligatures w14:val="standardContextual"/>
        </w:rPr>
        <w:t>percentage</w:t>
      </w:r>
      <w:r w:rsidR="007D4352">
        <w:rPr>
          <w:rFonts w:eastAsia="Aptos"/>
          <w:kern w:val="2"/>
          <w14:ligatures w14:val="standardContextual"/>
        </w:rPr>
        <w:t xml:space="preserve"> of plants that germinated in each plot</w:t>
      </w:r>
      <w:r>
        <w:rPr>
          <w:rFonts w:eastAsia="Aptos"/>
          <w:kern w:val="2"/>
          <w14:ligatures w14:val="standardContextual"/>
        </w:rPr>
        <w:t xml:space="preserve">. </w:t>
      </w:r>
      <w:r w:rsidRPr="00F76821">
        <w:rPr>
          <w:rFonts w:eastAsia="Aptos"/>
          <w:kern w:val="2"/>
          <w14:ligatures w14:val="standardContextual"/>
        </w:rPr>
        <w:t xml:space="preserve">Canopy coverage was obtained both visually and </w:t>
      </w:r>
      <w:r>
        <w:rPr>
          <w:rFonts w:eastAsia="Aptos"/>
          <w:kern w:val="2"/>
          <w14:ligatures w14:val="standardContextual"/>
        </w:rPr>
        <w:t>using digital image analysis. P</w:t>
      </w:r>
      <w:r w:rsidRPr="00F76821">
        <w:rPr>
          <w:rFonts w:eastAsia="Aptos"/>
          <w:kern w:val="2"/>
          <w14:ligatures w14:val="standardContextual"/>
        </w:rPr>
        <w:t>ercent</w:t>
      </w:r>
      <w:r w:rsidR="00DF7D46">
        <w:rPr>
          <w:rFonts w:eastAsia="Aptos"/>
          <w:kern w:val="2"/>
          <w14:ligatures w14:val="standardContextual"/>
        </w:rPr>
        <w:t>age</w:t>
      </w:r>
      <w:r w:rsidRPr="00F76821">
        <w:rPr>
          <w:rFonts w:eastAsia="Aptos"/>
          <w:kern w:val="2"/>
          <w14:ligatures w14:val="standardContextual"/>
        </w:rPr>
        <w:t xml:space="preserve"> of cover crop</w:t>
      </w:r>
      <w:r w:rsidR="00F660E0">
        <w:rPr>
          <w:rFonts w:eastAsia="Aptos"/>
          <w:kern w:val="2"/>
          <w14:ligatures w14:val="standardContextual"/>
        </w:rPr>
        <w:t>s</w:t>
      </w:r>
      <w:r w:rsidRPr="00F76821">
        <w:rPr>
          <w:rFonts w:eastAsia="Aptos"/>
          <w:kern w:val="2"/>
          <w14:ligatures w14:val="standardContextual"/>
        </w:rPr>
        <w:t xml:space="preserve"> and of weeds present </w:t>
      </w:r>
      <w:r w:rsidR="00DF7D46">
        <w:rPr>
          <w:rFonts w:eastAsia="Aptos"/>
          <w:kern w:val="2"/>
          <w14:ligatures w14:val="standardContextual"/>
        </w:rPr>
        <w:t>were</w:t>
      </w:r>
      <w:r>
        <w:rPr>
          <w:rFonts w:eastAsia="Aptos"/>
          <w:kern w:val="2"/>
          <w14:ligatures w14:val="standardContextual"/>
        </w:rPr>
        <w:t xml:space="preserve"> evaluated visually and then p</w:t>
      </w:r>
      <w:r w:rsidRPr="00F76821">
        <w:rPr>
          <w:rFonts w:eastAsia="Aptos"/>
          <w:kern w:val="2"/>
          <w14:ligatures w14:val="standardContextual"/>
        </w:rPr>
        <w:t>hotographs were taken top-down of two randomly selected 0.5 m</w:t>
      </w:r>
      <w:r w:rsidRPr="00F76821">
        <w:rPr>
          <w:rFonts w:eastAsia="Aptos"/>
          <w:kern w:val="2"/>
          <w:vertAlign w:val="superscript"/>
          <w14:ligatures w14:val="standardContextual"/>
        </w:rPr>
        <w:t>2</w:t>
      </w:r>
      <w:r w:rsidRPr="00F76821">
        <w:rPr>
          <w:rFonts w:eastAsia="Aptos"/>
          <w:kern w:val="2"/>
          <w14:ligatures w14:val="standardContextual"/>
        </w:rPr>
        <w:t xml:space="preserve"> squares from chest height. </w:t>
      </w:r>
      <w:r>
        <w:rPr>
          <w:rFonts w:eastAsia="Aptos"/>
          <w:kern w:val="2"/>
          <w14:ligatures w14:val="standardContextual"/>
        </w:rPr>
        <w:t>P</w:t>
      </w:r>
      <w:r w:rsidRPr="00F76821">
        <w:rPr>
          <w:rFonts w:eastAsia="Aptos"/>
          <w:kern w:val="2"/>
          <w14:ligatures w14:val="standardContextual"/>
        </w:rPr>
        <w:t xml:space="preserve">hotographs </w:t>
      </w:r>
      <w:r>
        <w:rPr>
          <w:rFonts w:eastAsia="Aptos"/>
          <w:kern w:val="2"/>
          <w14:ligatures w14:val="standardContextual"/>
        </w:rPr>
        <w:t xml:space="preserve">were </w:t>
      </w:r>
      <w:r w:rsidRPr="00F76821">
        <w:rPr>
          <w:rFonts w:eastAsia="Aptos"/>
          <w:kern w:val="2"/>
          <w14:ligatures w14:val="standardContextual"/>
        </w:rPr>
        <w:t xml:space="preserve">analyzed for green cover in </w:t>
      </w:r>
      <w:r>
        <w:rPr>
          <w:rFonts w:eastAsia="Aptos"/>
          <w:kern w:val="2"/>
          <w14:ligatures w14:val="standardContextual"/>
        </w:rPr>
        <w:t>digital imaging software, APS Assess</w:t>
      </w:r>
      <w:r w:rsidRPr="00F76821">
        <w:rPr>
          <w:rFonts w:eastAsia="Aptos"/>
          <w:kern w:val="2"/>
          <w14:ligatures w14:val="standardContextual"/>
        </w:rPr>
        <w:t xml:space="preserve">. Soil moisture was collected using a Campbell Scientific </w:t>
      </w:r>
      <w:proofErr w:type="spellStart"/>
      <w:r w:rsidRPr="00F76821">
        <w:rPr>
          <w:rFonts w:eastAsia="Aptos"/>
          <w:kern w:val="2"/>
          <w14:ligatures w14:val="standardContextual"/>
        </w:rPr>
        <w:t>Hydrosense</w:t>
      </w:r>
      <w:proofErr w:type="spellEnd"/>
      <w:r w:rsidRPr="00F76821">
        <w:rPr>
          <w:rFonts w:eastAsia="Aptos"/>
          <w:kern w:val="2"/>
          <w14:ligatures w14:val="standardContextual"/>
        </w:rPr>
        <w:t xml:space="preserve"> II by measuring the volumetric water content at a depth of </w:t>
      </w:r>
      <w:r>
        <w:rPr>
          <w:rFonts w:eastAsia="Aptos"/>
          <w:kern w:val="2"/>
          <w14:ligatures w14:val="standardContextual"/>
        </w:rPr>
        <w:t>15</w:t>
      </w:r>
      <w:r w:rsidR="00640B0D">
        <w:rPr>
          <w:rFonts w:eastAsia="Aptos"/>
          <w:kern w:val="2"/>
          <w14:ligatures w14:val="standardContextual"/>
        </w:rPr>
        <w:t xml:space="preserve"> cm.</w:t>
      </w:r>
      <w:r w:rsidRPr="00F76821">
        <w:rPr>
          <w:rFonts w:eastAsia="Aptos"/>
          <w:kern w:val="2"/>
          <w14:ligatures w14:val="standardContextual"/>
        </w:rPr>
        <w:t xml:space="preserve"> Soil temperature was measured using a soil thermometer inserted 1</w:t>
      </w:r>
      <w:r>
        <w:rPr>
          <w:rFonts w:eastAsia="Aptos"/>
          <w:kern w:val="2"/>
          <w14:ligatures w14:val="standardContextual"/>
        </w:rPr>
        <w:t>5</w:t>
      </w:r>
      <w:r w:rsidRPr="00F76821">
        <w:rPr>
          <w:rFonts w:eastAsia="Aptos"/>
          <w:kern w:val="2"/>
          <w14:ligatures w14:val="standardContextual"/>
        </w:rPr>
        <w:t xml:space="preserve"> c</w:t>
      </w:r>
      <w:r>
        <w:rPr>
          <w:rFonts w:eastAsia="Aptos"/>
          <w:kern w:val="2"/>
          <w14:ligatures w14:val="standardContextual"/>
        </w:rPr>
        <w:t>m</w:t>
      </w:r>
      <w:r w:rsidRPr="00F76821">
        <w:rPr>
          <w:rFonts w:eastAsia="Aptos"/>
          <w:kern w:val="2"/>
          <w14:ligatures w14:val="standardContextual"/>
        </w:rPr>
        <w:t xml:space="preserve"> into the soil. Cover crop biomass harvest occurred on 14 April 2023 and 12 April 2024. Cover crop biomass samples were harvested using a 0.5 m</w:t>
      </w:r>
      <w:r w:rsidRPr="00F76821">
        <w:rPr>
          <w:rFonts w:eastAsia="Aptos"/>
          <w:kern w:val="2"/>
          <w:vertAlign w:val="superscript"/>
          <w14:ligatures w14:val="standardContextual"/>
        </w:rPr>
        <w:t>2</w:t>
      </w:r>
      <w:r w:rsidRPr="00F76821">
        <w:rPr>
          <w:rFonts w:eastAsia="Aptos"/>
          <w:kern w:val="2"/>
          <w14:ligatures w14:val="standardContextual"/>
        </w:rPr>
        <w:t xml:space="preserve"> square and clipped to about </w:t>
      </w:r>
      <w:r>
        <w:rPr>
          <w:rFonts w:eastAsia="Aptos"/>
          <w:kern w:val="2"/>
          <w14:ligatures w14:val="standardContextual"/>
        </w:rPr>
        <w:t>five cm</w:t>
      </w:r>
      <w:r w:rsidRPr="00F76821">
        <w:rPr>
          <w:rFonts w:eastAsia="Aptos"/>
          <w:kern w:val="2"/>
          <w14:ligatures w14:val="standardContextual"/>
        </w:rPr>
        <w:t xml:space="preserve"> above the soil surface. Weeds were hand separated from each harvest sample. Dry weight was collected for cover crop and weed samples after drying for 48 </w:t>
      </w:r>
      <w:r>
        <w:rPr>
          <w:rFonts w:eastAsia="Aptos"/>
          <w:kern w:val="2"/>
          <w14:ligatures w14:val="standardContextual"/>
        </w:rPr>
        <w:t>h</w:t>
      </w:r>
      <w:r w:rsidR="00F660E0">
        <w:rPr>
          <w:rFonts w:eastAsia="Aptos"/>
          <w:kern w:val="2"/>
          <w14:ligatures w14:val="standardContextual"/>
        </w:rPr>
        <w:t>ours</w:t>
      </w:r>
      <w:r w:rsidRPr="00F76821">
        <w:rPr>
          <w:rFonts w:eastAsia="Aptos"/>
          <w:kern w:val="2"/>
          <w14:ligatures w14:val="standardContextual"/>
        </w:rPr>
        <w:t xml:space="preserve"> at a consistent temperature. </w:t>
      </w:r>
      <w:r w:rsidR="003D0B15" w:rsidRPr="003D0B15">
        <w:rPr>
          <w:rFonts w:eastAsia="Aptos"/>
          <w:kern w:val="2"/>
          <w14:ligatures w14:val="standardContextual"/>
        </w:rPr>
        <w:t>All samples were analyzed at The University of Tennessee Beef &amp; Forage Center’s NIRS Forage and Feed Nutritional Analysis Laboratory in Knoxville, TN, USA. This lab was certified by the National Forage Testing Association for all years of this project. Forage samples were dried in a 55</w:t>
      </w:r>
      <w:r w:rsidR="00640B0D">
        <w:rPr>
          <w:rFonts w:eastAsia="Aptos"/>
          <w:kern w:val="2"/>
          <w14:ligatures w14:val="standardContextual"/>
        </w:rPr>
        <w:t xml:space="preserve"> ⁰</w:t>
      </w:r>
      <w:r w:rsidR="003D0B15" w:rsidRPr="003D0B15">
        <w:rPr>
          <w:rFonts w:eastAsia="Aptos"/>
          <w:kern w:val="2"/>
          <w14:ligatures w14:val="standardContextual"/>
        </w:rPr>
        <w:t xml:space="preserve">C forced air oven for at least 72 hours, or until weights did not change, then ground using a Wiley Mill (Thomas-Wiley Laboratory Mill Model 4, Arthur H. Thomas Co., Philadelphia, PA) passing through a 2-mm screen; followed by a cyclone sample mill (Foss </w:t>
      </w:r>
      <w:proofErr w:type="spellStart"/>
      <w:r w:rsidR="003D0B15" w:rsidRPr="003D0B15">
        <w:rPr>
          <w:rFonts w:eastAsia="Aptos"/>
          <w:kern w:val="2"/>
          <w14:ligatures w14:val="standardContextual"/>
        </w:rPr>
        <w:t>Cyclotec</w:t>
      </w:r>
      <w:proofErr w:type="spellEnd"/>
      <w:r w:rsidR="003D0B15" w:rsidRPr="003D0B15">
        <w:rPr>
          <w:rFonts w:eastAsia="Aptos"/>
          <w:kern w:val="2"/>
          <w14:ligatures w14:val="standardContextual"/>
        </w:rPr>
        <w:t>, Foss North America, Eden Prairie, MN) grind to pass through a 1-mm screen (McIntosh et al., 2022). Additional drying of the prepared sample in a forced air oven at 55</w:t>
      </w:r>
      <w:r w:rsidR="00640B0D">
        <w:rPr>
          <w:rFonts w:eastAsia="Aptos"/>
          <w:kern w:val="2"/>
          <w14:ligatures w14:val="standardContextual"/>
        </w:rPr>
        <w:t xml:space="preserve"> ⁰</w:t>
      </w:r>
      <w:r w:rsidR="003D0B15" w:rsidRPr="003D0B15">
        <w:rPr>
          <w:rFonts w:eastAsia="Aptos"/>
          <w:kern w:val="2"/>
          <w14:ligatures w14:val="standardContextual"/>
        </w:rPr>
        <w:t xml:space="preserve">C was completed before scanning to ensure consistent moisture levels across </w:t>
      </w:r>
      <w:r w:rsidR="00640B0D">
        <w:rPr>
          <w:rFonts w:eastAsia="Aptos"/>
          <w:kern w:val="2"/>
          <w14:ligatures w14:val="standardContextual"/>
        </w:rPr>
        <w:t xml:space="preserve">the </w:t>
      </w:r>
      <w:r w:rsidR="003D0B15" w:rsidRPr="003D0B15">
        <w:rPr>
          <w:rFonts w:eastAsia="Aptos"/>
          <w:kern w:val="2"/>
          <w14:ligatures w14:val="standardContextual"/>
        </w:rPr>
        <w:t xml:space="preserve">entire project (McIntosh et al., 2022). The samples were scanned on a FOSS DS2500 near infrared spectrometer (NIRS)  using </w:t>
      </w:r>
      <w:proofErr w:type="spellStart"/>
      <w:r w:rsidR="003D0B15" w:rsidRPr="003D0B15">
        <w:rPr>
          <w:rFonts w:eastAsia="Aptos"/>
          <w:kern w:val="2"/>
          <w14:ligatures w14:val="standardContextual"/>
        </w:rPr>
        <w:t>ISIScan</w:t>
      </w:r>
      <w:proofErr w:type="spellEnd"/>
      <w:r w:rsidR="003D0B15" w:rsidRPr="003D0B15">
        <w:rPr>
          <w:rFonts w:eastAsia="Aptos"/>
          <w:kern w:val="2"/>
          <w14:ligatures w14:val="standardContextual"/>
        </w:rPr>
        <w:t xml:space="preserve"> Nova v. 8.0.6.2 (Foss North America, Eden Prairie, MN). Spectra were then applied by species to the Grass Hay (GH), Mixed Hay (MH), and Legume Hay (LH) prediction calibrations (2023 &amp; 2024) provided and licensed by the NIRS Forage and Feed Consortium (NIRSC, Berea, KY). The global and neighborhood statistical tests </w:t>
      </w:r>
      <w:r w:rsidR="00640B0D">
        <w:rPr>
          <w:rFonts w:eastAsia="Aptos"/>
          <w:kern w:val="2"/>
          <w14:ligatures w14:val="standardContextual"/>
        </w:rPr>
        <w:t>were</w:t>
      </w:r>
      <w:r w:rsidR="00640B0D" w:rsidRPr="003D0B15">
        <w:rPr>
          <w:rFonts w:eastAsia="Aptos"/>
          <w:kern w:val="2"/>
          <w14:ligatures w14:val="standardContextual"/>
        </w:rPr>
        <w:t xml:space="preserve"> </w:t>
      </w:r>
      <w:r w:rsidR="003D0B15" w:rsidRPr="003D0B15">
        <w:rPr>
          <w:rFonts w:eastAsia="Aptos"/>
          <w:kern w:val="2"/>
          <w14:ligatures w14:val="standardContextual"/>
        </w:rPr>
        <w:t xml:space="preserve">monitored and analyzed for accuracy across all predictions with </w:t>
      </w:r>
      <w:r w:rsidR="00640B0D">
        <w:rPr>
          <w:rFonts w:eastAsia="Aptos"/>
          <w:kern w:val="2"/>
          <w14:ligatures w14:val="standardContextual"/>
        </w:rPr>
        <w:t xml:space="preserve">the </w:t>
      </w:r>
      <w:r w:rsidR="003D0B15" w:rsidRPr="003D0B15">
        <w:rPr>
          <w:rFonts w:eastAsia="Aptos"/>
          <w:kern w:val="2"/>
          <w14:ligatures w14:val="standardContextual"/>
        </w:rPr>
        <w:t xml:space="preserve">entire data set fitting the calibrations within the (H &lt;3.0) limit of </w:t>
      </w:r>
      <w:proofErr w:type="gramStart"/>
      <w:r w:rsidR="003D0B15" w:rsidRPr="003D0B15">
        <w:rPr>
          <w:rFonts w:eastAsia="Aptos"/>
          <w:kern w:val="2"/>
          <w14:ligatures w14:val="standardContextual"/>
        </w:rPr>
        <w:t>fit</w:t>
      </w:r>
      <w:proofErr w:type="gramEnd"/>
      <w:r w:rsidR="003D0B15" w:rsidRPr="003D0B15">
        <w:rPr>
          <w:rFonts w:eastAsia="Aptos"/>
          <w:kern w:val="2"/>
          <w14:ligatures w14:val="standardContextual"/>
        </w:rPr>
        <w:t xml:space="preserve"> and reported accordingly (Murray and Cowe, 2004). Units of measurement for nutritive analyses are presented at 100% dry matter (DM) across </w:t>
      </w:r>
      <w:r w:rsidR="00640B0D">
        <w:rPr>
          <w:rFonts w:eastAsia="Aptos"/>
          <w:kern w:val="2"/>
          <w14:ligatures w14:val="standardContextual"/>
        </w:rPr>
        <w:t xml:space="preserve">the </w:t>
      </w:r>
      <w:r w:rsidR="003D0B15" w:rsidRPr="003D0B15">
        <w:rPr>
          <w:rFonts w:eastAsia="Aptos"/>
          <w:kern w:val="2"/>
          <w14:ligatures w14:val="standardContextual"/>
        </w:rPr>
        <w:t>entire data set. Validation statistics and</w:t>
      </w:r>
      <w:r w:rsidR="00640B0D">
        <w:rPr>
          <w:rFonts w:eastAsia="Aptos"/>
          <w:kern w:val="2"/>
          <w14:ligatures w14:val="standardContextual"/>
        </w:rPr>
        <w:t xml:space="preserve"> an</w:t>
      </w:r>
      <w:r w:rsidR="003D0B15" w:rsidRPr="003D0B15">
        <w:rPr>
          <w:rFonts w:eastAsia="Aptos"/>
          <w:kern w:val="2"/>
          <w14:ligatures w14:val="standardContextual"/>
        </w:rPr>
        <w:t xml:space="preserve"> external sub-set of wet chemistry validation will be completed for publication purposes to compare NIRS predictions to the primary methods used to create NIRSC calibrations (McIntosh et al. 2022). For further </w:t>
      </w:r>
      <w:r w:rsidR="00F660E0" w:rsidRPr="003D0B15">
        <w:rPr>
          <w:rFonts w:eastAsia="Aptos"/>
          <w:kern w:val="2"/>
          <w14:ligatures w14:val="standardContextual"/>
        </w:rPr>
        <w:t>analysis</w:t>
      </w:r>
      <w:r w:rsidR="003D0B15" w:rsidRPr="003D0B15">
        <w:rPr>
          <w:rFonts w:eastAsia="Aptos"/>
          <w:kern w:val="2"/>
          <w14:ligatures w14:val="standardContextual"/>
        </w:rPr>
        <w:t xml:space="preserve">, to assess the nitrogen percent and nitrogen input back into the system of each of the cover crop species and fallow treatments, the </w:t>
      </w:r>
      <w:r w:rsidR="006D64A7">
        <w:rPr>
          <w:rFonts w:eastAsia="Aptos"/>
          <w:kern w:val="2"/>
          <w14:ligatures w14:val="standardContextual"/>
        </w:rPr>
        <w:t>crude protein</w:t>
      </w:r>
      <w:r w:rsidR="003D0B15" w:rsidRPr="003D0B15">
        <w:rPr>
          <w:rFonts w:eastAsia="Aptos"/>
          <w:kern w:val="2"/>
          <w14:ligatures w14:val="standardContextual"/>
        </w:rPr>
        <w:t xml:space="preserve"> values were converted to </w:t>
      </w:r>
      <w:r w:rsidR="006D64A7">
        <w:rPr>
          <w:rFonts w:eastAsia="Aptos"/>
          <w:kern w:val="2"/>
          <w14:ligatures w14:val="standardContextual"/>
        </w:rPr>
        <w:t>nitrogen</w:t>
      </w:r>
      <w:r w:rsidR="003D0B15" w:rsidRPr="003D0B15">
        <w:rPr>
          <w:rFonts w:eastAsia="Aptos"/>
          <w:kern w:val="2"/>
          <w14:ligatures w14:val="standardContextual"/>
        </w:rPr>
        <w:t xml:space="preserve"> by using [N=CP*6.25]. </w:t>
      </w:r>
      <w:r w:rsidR="004B2F06" w:rsidRPr="004B2F06">
        <w:rPr>
          <w:rFonts w:eastAsia="Aptos"/>
          <w:kern w:val="2"/>
          <w:szCs w:val="22"/>
          <w14:ligatures w14:val="standardContextual"/>
        </w:rPr>
        <w:t xml:space="preserve">The remaining cover crops in the field were terminated prior to tillage treatment application. </w:t>
      </w:r>
      <w:r w:rsidR="00A574E6">
        <w:rPr>
          <w:rFonts w:eastAsia="Aptos"/>
          <w:kern w:val="2"/>
          <w:szCs w:val="22"/>
          <w14:ligatures w14:val="standardContextual"/>
        </w:rPr>
        <w:t>G</w:t>
      </w:r>
      <w:r w:rsidR="004B2F06" w:rsidRPr="004B2F06">
        <w:rPr>
          <w:rFonts w:eastAsia="Aptos"/>
          <w:kern w:val="2"/>
          <w:szCs w:val="22"/>
          <w14:ligatures w14:val="standardContextual"/>
        </w:rPr>
        <w:t>lyphosate</w:t>
      </w:r>
      <w:r w:rsidR="00024BB2">
        <w:rPr>
          <w:rFonts w:eastAsia="Aptos"/>
          <w:kern w:val="2"/>
          <w:szCs w:val="22"/>
          <w14:ligatures w14:val="standardContextual"/>
        </w:rPr>
        <w:t xml:space="preserve"> </w:t>
      </w:r>
      <w:r w:rsidR="00A574E6">
        <w:rPr>
          <w:rFonts w:eastAsia="Aptos"/>
          <w:kern w:val="2"/>
          <w:szCs w:val="22"/>
          <w14:ligatures w14:val="standardContextual"/>
        </w:rPr>
        <w:t>(</w:t>
      </w:r>
      <w:r w:rsidR="00024BB2">
        <w:rPr>
          <w:rFonts w:eastAsia="Aptos"/>
          <w:kern w:val="2"/>
          <w:szCs w:val="22"/>
          <w14:ligatures w14:val="standardContextual"/>
        </w:rPr>
        <w:t xml:space="preserve">Bayer </w:t>
      </w:r>
      <w:r w:rsidR="00554135">
        <w:rPr>
          <w:rFonts w:eastAsia="Aptos"/>
          <w:kern w:val="2"/>
          <w:szCs w:val="22"/>
          <w14:ligatures w14:val="standardContextual"/>
        </w:rPr>
        <w:t>AG, St. Louis, Missouri</w:t>
      </w:r>
      <w:r w:rsidR="004B2F06" w:rsidRPr="004B2F06">
        <w:rPr>
          <w:rFonts w:eastAsia="Aptos"/>
          <w:kern w:val="2"/>
          <w:szCs w:val="22"/>
          <w14:ligatures w14:val="standardContextual"/>
        </w:rPr>
        <w:t>) was used at a rate of 2.37 L ha</w:t>
      </w:r>
      <w:r w:rsidR="004B2F06" w:rsidRPr="004B2F06">
        <w:rPr>
          <w:rFonts w:eastAsia="Aptos"/>
          <w:kern w:val="2"/>
          <w:szCs w:val="22"/>
          <w:vertAlign w:val="superscript"/>
          <w14:ligatures w14:val="standardContextual"/>
        </w:rPr>
        <w:t>-1</w:t>
      </w:r>
      <w:r w:rsidR="004B2F06" w:rsidRPr="004B2F06">
        <w:rPr>
          <w:rFonts w:eastAsia="Aptos"/>
          <w:kern w:val="2"/>
          <w:szCs w:val="22"/>
          <w14:ligatures w14:val="standardContextual"/>
        </w:rPr>
        <w:t xml:space="preserve"> to burn down the cover crops on 20 April 2023 and 25 April 2024. Tillage treatments were applied about four weeks before tobacco was transplanted in </w:t>
      </w:r>
      <w:r w:rsidR="00640B0D">
        <w:rPr>
          <w:rFonts w:eastAsia="Aptos"/>
          <w:kern w:val="2"/>
          <w:szCs w:val="22"/>
          <w14:ligatures w14:val="standardContextual"/>
        </w:rPr>
        <w:t>P</w:t>
      </w:r>
      <w:r w:rsidR="004B2F06" w:rsidRPr="004B2F06">
        <w:rPr>
          <w:rFonts w:eastAsia="Aptos"/>
          <w:kern w:val="2"/>
          <w:szCs w:val="22"/>
          <w14:ligatures w14:val="standardContextual"/>
        </w:rPr>
        <w:t xml:space="preserve">hase </w:t>
      </w:r>
      <w:r w:rsidR="00640B0D">
        <w:rPr>
          <w:rFonts w:eastAsia="Aptos"/>
          <w:kern w:val="2"/>
          <w:szCs w:val="22"/>
          <w14:ligatures w14:val="standardContextual"/>
        </w:rPr>
        <w:t xml:space="preserve">2 </w:t>
      </w:r>
      <w:r w:rsidR="004B2F06" w:rsidRPr="004B2F06">
        <w:rPr>
          <w:rFonts w:eastAsia="Aptos"/>
          <w:kern w:val="2"/>
          <w:szCs w:val="22"/>
          <w14:ligatures w14:val="standardContextual"/>
        </w:rPr>
        <w:t>into each research field.</w:t>
      </w:r>
    </w:p>
    <w:p w14:paraId="6F3623AC" w14:textId="11FBF793" w:rsidR="0062218B" w:rsidRPr="0062218B" w:rsidRDefault="004B2F06" w:rsidP="00FC0490">
      <w:pPr>
        <w:spacing w:line="360" w:lineRule="auto"/>
        <w:rPr>
          <w:rFonts w:eastAsia="Aptos"/>
        </w:rPr>
      </w:pPr>
      <w:r w:rsidRPr="004B2F06">
        <w:rPr>
          <w:rFonts w:eastAsia="Aptos"/>
          <w:kern w:val="2"/>
          <w:szCs w:val="22"/>
          <w14:ligatures w14:val="standardContextual"/>
        </w:rPr>
        <w:tab/>
      </w:r>
      <w:r w:rsidRPr="0062218B">
        <w:rPr>
          <w:rFonts w:eastAsia="Aptos"/>
        </w:rPr>
        <w:t xml:space="preserve">The </w:t>
      </w:r>
      <w:r w:rsidR="00132276" w:rsidRPr="0062218B">
        <w:rPr>
          <w:rFonts w:eastAsia="Aptos"/>
        </w:rPr>
        <w:t>Phase 2</w:t>
      </w:r>
      <w:r w:rsidRPr="0062218B">
        <w:rPr>
          <w:rFonts w:eastAsia="Aptos"/>
        </w:rPr>
        <w:t xml:space="preserve"> tobacco transplant for evaluation of overwintering capabilities of </w:t>
      </w:r>
      <w:proofErr w:type="spellStart"/>
      <w:r w:rsidRPr="00EE7F46">
        <w:rPr>
          <w:rFonts w:eastAsia="Aptos"/>
          <w:i/>
          <w:iCs/>
        </w:rPr>
        <w:t>pst</w:t>
      </w:r>
      <w:proofErr w:type="spellEnd"/>
      <w:r w:rsidRPr="0062218B">
        <w:rPr>
          <w:rFonts w:eastAsia="Aptos"/>
        </w:rPr>
        <w:t xml:space="preserve"> </w:t>
      </w:r>
      <w:r w:rsidR="001D102D">
        <w:rPr>
          <w:rFonts w:eastAsia="Aptos"/>
        </w:rPr>
        <w:t xml:space="preserve">and tillage </w:t>
      </w:r>
      <w:r w:rsidRPr="0062218B">
        <w:rPr>
          <w:rFonts w:eastAsia="Aptos"/>
        </w:rPr>
        <w:t xml:space="preserve">occurred on 13 June 2023 and 31 May 2024. Tobacco transplanted at this time was not inoculated but assessed for disease </w:t>
      </w:r>
      <w:r w:rsidR="00D82404">
        <w:rPr>
          <w:rFonts w:eastAsia="Aptos"/>
        </w:rPr>
        <w:t>incidence and severity</w:t>
      </w:r>
      <w:r w:rsidR="00D82404" w:rsidRPr="0062218B">
        <w:rPr>
          <w:rFonts w:eastAsia="Aptos"/>
        </w:rPr>
        <w:t xml:space="preserve"> </w:t>
      </w:r>
      <w:r w:rsidRPr="0062218B">
        <w:rPr>
          <w:rFonts w:eastAsia="Aptos"/>
        </w:rPr>
        <w:t>after cover crop and tillage implementation. Conventionally tilled plots were transplanted with a carrousel type transplanter</w:t>
      </w:r>
      <w:r w:rsidR="00A608A6" w:rsidRPr="0062218B">
        <w:rPr>
          <w:rFonts w:eastAsia="Aptos"/>
        </w:rPr>
        <w:t xml:space="preserve"> (RJ Equipment, Blenheim, ON, CA</w:t>
      </w:r>
      <w:r w:rsidR="0027333F" w:rsidRPr="0062218B">
        <w:rPr>
          <w:rFonts w:eastAsia="Aptos"/>
        </w:rPr>
        <w:t>N</w:t>
      </w:r>
      <w:r w:rsidR="00EE5D7B" w:rsidRPr="0062218B">
        <w:rPr>
          <w:rFonts w:eastAsia="Aptos"/>
        </w:rPr>
        <w:t>)</w:t>
      </w:r>
      <w:r w:rsidRPr="0062218B">
        <w:rPr>
          <w:rFonts w:eastAsia="Aptos"/>
        </w:rPr>
        <w:t xml:space="preserve">. </w:t>
      </w:r>
      <w:r w:rsidR="00132276" w:rsidRPr="0062218B">
        <w:rPr>
          <w:rFonts w:eastAsia="Aptos"/>
        </w:rPr>
        <w:t xml:space="preserve">No-tillage plots were transplanted with the same transplanter </w:t>
      </w:r>
      <w:r w:rsidR="00E56AEB" w:rsidRPr="0062218B">
        <w:rPr>
          <w:rFonts w:eastAsia="Aptos"/>
        </w:rPr>
        <w:t xml:space="preserve">with </w:t>
      </w:r>
      <w:r w:rsidR="00325F48" w:rsidRPr="0062218B">
        <w:rPr>
          <w:rFonts w:eastAsia="Aptos"/>
        </w:rPr>
        <w:t xml:space="preserve">the tillage blade removed. </w:t>
      </w:r>
      <w:r w:rsidRPr="0062218B">
        <w:rPr>
          <w:rFonts w:eastAsia="Aptos"/>
        </w:rPr>
        <w:t xml:space="preserve">Disease ratings were taken weekly from 26 July to 19 September in 2023 and 30 July to 11 September in 2024. </w:t>
      </w:r>
      <w:r w:rsidR="0062218B" w:rsidRPr="0062218B">
        <w:rPr>
          <w:rFonts w:eastAsia="Aptos"/>
        </w:rPr>
        <w:t xml:space="preserve">Disease rating followed the same protocol as disease ratings after inoculation. </w:t>
      </w:r>
      <w:r w:rsidR="009315DF">
        <w:rPr>
          <w:rFonts w:eastAsia="Aptos"/>
        </w:rPr>
        <w:t xml:space="preserve">A calculation for </w:t>
      </w:r>
      <w:r w:rsidR="00D97F87">
        <w:rPr>
          <w:rFonts w:eastAsia="Aptos"/>
        </w:rPr>
        <w:t xml:space="preserve">final disease index was made by multiplying incidence and severity and dividing the product by 100. </w:t>
      </w:r>
      <w:r w:rsidR="0062218B" w:rsidRPr="0062218B">
        <w:rPr>
          <w:rFonts w:eastAsia="Aptos"/>
        </w:rPr>
        <w:t xml:space="preserve">Although plots were assessed for disease symptoms, disease pressure in 2023 was very low and symptoms were not seen until 13 September. The phase two tobacco crops were harvested on 22 September 2023 and 11 September 2024 and fire-cured following recommended practices to obtain appropriate leaf characteristics for market. After curing, the tobacco leaves were removed from </w:t>
      </w:r>
      <w:r w:rsidR="000F27D4">
        <w:rPr>
          <w:rFonts w:eastAsia="Aptos"/>
        </w:rPr>
        <w:t xml:space="preserve">the </w:t>
      </w:r>
      <w:r w:rsidR="0062218B" w:rsidRPr="0062218B">
        <w:rPr>
          <w:rFonts w:eastAsia="Aptos"/>
        </w:rPr>
        <w:t>stalk and separated into three stalk positions consisting of lug (lower stalk), second (mid</w:t>
      </w:r>
      <w:r w:rsidR="00EE7F46">
        <w:rPr>
          <w:rFonts w:eastAsia="Aptos"/>
        </w:rPr>
        <w:t>-</w:t>
      </w:r>
      <w:r w:rsidR="0062218B" w:rsidRPr="0062218B">
        <w:rPr>
          <w:rFonts w:eastAsia="Aptos"/>
        </w:rPr>
        <w:t xml:space="preserve">stalk), and leaf (upper stalk) and weighed to calculate yield per hectare. Cured dark tobacco was graded according to the official USDA dark fire cured tobacco standards and grades were </w:t>
      </w:r>
      <w:r w:rsidR="0032774F" w:rsidRPr="0062218B">
        <w:rPr>
          <w:rFonts w:eastAsia="Aptos"/>
        </w:rPr>
        <w:t>assigned to</w:t>
      </w:r>
      <w:r w:rsidR="0062218B" w:rsidRPr="0062218B">
        <w:rPr>
          <w:rFonts w:eastAsia="Aptos"/>
        </w:rPr>
        <w:t xml:space="preserve"> an index value between 0 and 100. Federal leaf quality grade index data are a weighted average of grade across stalk positions based on the grade received for each stalk position and the yield proportion of each stalk position contributing to total yield.</w:t>
      </w:r>
      <w:r w:rsidR="0062218B">
        <w:rPr>
          <w:rFonts w:eastAsia="Aptos"/>
          <w:kern w:val="2"/>
          <w14:ligatures w14:val="standardContextual"/>
        </w:rPr>
        <w:t xml:space="preserve"> </w:t>
      </w:r>
    </w:p>
    <w:p w14:paraId="06D9B27D" w14:textId="77777777" w:rsidR="008E1016" w:rsidRDefault="004B2F06" w:rsidP="00FC0490">
      <w:pPr>
        <w:pStyle w:val="Heading3"/>
        <w:spacing w:before="0" w:after="0"/>
      </w:pPr>
      <w:bookmarkStart w:id="22" w:name="_Toc196291998"/>
      <w:r w:rsidRPr="000B5945">
        <w:t>2.</w:t>
      </w:r>
      <w:r w:rsidR="001A0457" w:rsidRPr="000B5945">
        <w:t>2.</w:t>
      </w:r>
      <w:r w:rsidRPr="000B5945">
        <w:t>7 Statistical analysis</w:t>
      </w:r>
      <w:bookmarkEnd w:id="22"/>
    </w:p>
    <w:p w14:paraId="27ABBAD0" w14:textId="0A558278" w:rsidR="00B904A6" w:rsidRPr="000B5945" w:rsidRDefault="004B2F06" w:rsidP="00FC0490">
      <w:pPr>
        <w:spacing w:line="360" w:lineRule="auto"/>
        <w:ind w:firstLine="720"/>
        <w:rPr>
          <w:rFonts w:eastAsia="Aptos"/>
        </w:rPr>
      </w:pPr>
      <w:r w:rsidRPr="000B5945">
        <w:rPr>
          <w:rFonts w:eastAsia="Aptos"/>
        </w:rPr>
        <w:t>Statistical analysis was completed with SAS 9.4 (</w:t>
      </w:r>
      <w:r w:rsidR="003B33B8" w:rsidRPr="000B5945">
        <w:rPr>
          <w:rFonts w:eastAsia="Aptos"/>
        </w:rPr>
        <w:t xml:space="preserve">SAS Institute Inc., </w:t>
      </w:r>
      <w:r w:rsidRPr="000B5945">
        <w:rPr>
          <w:rFonts w:eastAsia="Aptos"/>
        </w:rPr>
        <w:t>Cary, NC). Tobacco yield and quality, area under the disease progress steps (AUDPS)</w:t>
      </w:r>
      <w:r w:rsidR="00233176">
        <w:rPr>
          <w:rFonts w:eastAsia="Aptos"/>
        </w:rPr>
        <w:t xml:space="preserve"> (Simko</w:t>
      </w:r>
      <w:r w:rsidR="00186E11">
        <w:rPr>
          <w:rFonts w:eastAsia="Aptos"/>
        </w:rPr>
        <w:t>, 2024)</w:t>
      </w:r>
      <w:r w:rsidRPr="000B5945">
        <w:rPr>
          <w:rFonts w:eastAsia="Aptos"/>
        </w:rPr>
        <w:t xml:space="preserve">, cover crop NIRS, and cover crop canopy coverage were analyzed using PROC GLIMMIX at an alpha of 0.05. </w:t>
      </w:r>
      <w:r w:rsidR="00180798" w:rsidRPr="000B5945">
        <w:rPr>
          <w:rFonts w:eastAsia="Aptos"/>
        </w:rPr>
        <w:t xml:space="preserve">Analysis of </w:t>
      </w:r>
      <w:r w:rsidR="00B9446A" w:rsidRPr="000B5945">
        <w:rPr>
          <w:rFonts w:eastAsia="Aptos"/>
        </w:rPr>
        <w:t xml:space="preserve">cover crop </w:t>
      </w:r>
      <w:r w:rsidR="00180798" w:rsidRPr="000B5945">
        <w:rPr>
          <w:rFonts w:eastAsia="Aptos"/>
        </w:rPr>
        <w:t xml:space="preserve">canopy coverage used </w:t>
      </w:r>
      <w:r w:rsidR="00B9446A" w:rsidRPr="000B5945">
        <w:rPr>
          <w:rFonts w:eastAsia="Aptos"/>
        </w:rPr>
        <w:t>cover crop type (CCT),</w:t>
      </w:r>
      <w:r w:rsidR="00044EFF">
        <w:rPr>
          <w:rFonts w:eastAsia="Aptos"/>
        </w:rPr>
        <w:t xml:space="preserve"> co</w:t>
      </w:r>
      <w:r w:rsidR="00B9446A" w:rsidRPr="000B5945">
        <w:rPr>
          <w:rFonts w:eastAsia="Aptos"/>
        </w:rPr>
        <w:t xml:space="preserve">llection time, and year as fixed effects and </w:t>
      </w:r>
      <w:r w:rsidR="00523873" w:rsidRPr="000B5945">
        <w:rPr>
          <w:rFonts w:eastAsia="Aptos"/>
        </w:rPr>
        <w:t xml:space="preserve">replication and replication by CCT as random effects. </w:t>
      </w:r>
      <w:r w:rsidR="000E1E9C" w:rsidRPr="000B5945">
        <w:rPr>
          <w:rFonts w:eastAsia="Aptos"/>
        </w:rPr>
        <w:t xml:space="preserve">Cover crop NIRS statistical analysis </w:t>
      </w:r>
      <w:r w:rsidR="00CB2A92" w:rsidRPr="000B5945">
        <w:rPr>
          <w:rFonts w:eastAsia="Aptos"/>
        </w:rPr>
        <w:t xml:space="preserve">used CCT and year as </w:t>
      </w:r>
      <w:r w:rsidR="00233F70" w:rsidRPr="000B5945">
        <w:rPr>
          <w:rFonts w:eastAsia="Aptos"/>
        </w:rPr>
        <w:t xml:space="preserve">fixed effects and replication and replication by CCT as random effects. Tobacco yield, leaf quality, </w:t>
      </w:r>
      <w:r w:rsidR="00BE69C3" w:rsidRPr="000B5945">
        <w:rPr>
          <w:rFonts w:eastAsia="Aptos"/>
        </w:rPr>
        <w:t xml:space="preserve">and AUDPS statistical analysis used CCT, TT, and year as fixed </w:t>
      </w:r>
      <w:proofErr w:type="gramStart"/>
      <w:r w:rsidR="00BE69C3" w:rsidRPr="000B5945">
        <w:rPr>
          <w:rFonts w:eastAsia="Aptos"/>
        </w:rPr>
        <w:t>effects and replication</w:t>
      </w:r>
      <w:proofErr w:type="gramEnd"/>
      <w:r w:rsidR="00BE69C3" w:rsidRPr="000B5945">
        <w:rPr>
          <w:rFonts w:eastAsia="Aptos"/>
        </w:rPr>
        <w:t xml:space="preserve"> and replication by TT as random effects. </w:t>
      </w:r>
      <w:r w:rsidRPr="000B5945">
        <w:rPr>
          <w:rFonts w:eastAsia="Aptos"/>
        </w:rPr>
        <w:t xml:space="preserve">Soil moisture and temperature were analyzed using PROC ANOVA at an alpha of 0.05 using year and CCT as fixed </w:t>
      </w:r>
      <w:proofErr w:type="gramStart"/>
      <w:r w:rsidRPr="000B5945">
        <w:rPr>
          <w:rFonts w:eastAsia="Aptos"/>
        </w:rPr>
        <w:t>effects and replication</w:t>
      </w:r>
      <w:proofErr w:type="gramEnd"/>
      <w:r w:rsidRPr="000B5945">
        <w:rPr>
          <w:rFonts w:eastAsia="Aptos"/>
        </w:rPr>
        <w:t xml:space="preserve"> and replication by CCT as the random effects.</w:t>
      </w:r>
      <w:r w:rsidR="002200A5">
        <w:rPr>
          <w:rFonts w:eastAsia="Aptos"/>
        </w:rPr>
        <w:t xml:space="preserve"> </w:t>
      </w:r>
      <w:r w:rsidR="00BA4AD3" w:rsidRPr="000B5945">
        <w:rPr>
          <w:rFonts w:eastAsia="Aptos"/>
        </w:rPr>
        <w:t xml:space="preserve">PROC ANOVA was chosen to compare </w:t>
      </w:r>
      <w:r w:rsidR="009B6789" w:rsidRPr="000B5945">
        <w:rPr>
          <w:rFonts w:eastAsia="Aptos"/>
        </w:rPr>
        <w:t xml:space="preserve">data </w:t>
      </w:r>
      <w:r w:rsidR="00311DCA" w:rsidRPr="000B5945">
        <w:rPr>
          <w:rFonts w:eastAsia="Aptos"/>
        </w:rPr>
        <w:t>within the same collection date</w:t>
      </w:r>
      <w:r w:rsidR="002200A5">
        <w:rPr>
          <w:rFonts w:eastAsia="Aptos"/>
        </w:rPr>
        <w:t xml:space="preserve"> for soil moisture and tem</w:t>
      </w:r>
      <w:r w:rsidR="00C85D02">
        <w:rPr>
          <w:rFonts w:eastAsia="Aptos"/>
        </w:rPr>
        <w:t>p</w:t>
      </w:r>
      <w:r w:rsidR="002200A5">
        <w:rPr>
          <w:rFonts w:eastAsia="Aptos"/>
        </w:rPr>
        <w:t>erature</w:t>
      </w:r>
      <w:r w:rsidR="00311DCA" w:rsidRPr="000B5945">
        <w:rPr>
          <w:rFonts w:eastAsia="Aptos"/>
        </w:rPr>
        <w:t xml:space="preserve">. </w:t>
      </w:r>
      <w:r w:rsidR="001875A8" w:rsidRPr="000B5945">
        <w:rPr>
          <w:rFonts w:eastAsia="Aptos"/>
        </w:rPr>
        <w:t xml:space="preserve">Where appropriate, </w:t>
      </w:r>
      <w:r w:rsidR="0020728D" w:rsidRPr="000B5945">
        <w:rPr>
          <w:rFonts w:eastAsia="Aptos"/>
        </w:rPr>
        <w:t>m</w:t>
      </w:r>
      <w:r w:rsidRPr="000B5945">
        <w:rPr>
          <w:rFonts w:eastAsia="Aptos"/>
        </w:rPr>
        <w:t>ean</w:t>
      </w:r>
      <w:r w:rsidR="0020728D" w:rsidRPr="000B5945">
        <w:rPr>
          <w:rFonts w:eastAsia="Aptos"/>
        </w:rPr>
        <w:t>s</w:t>
      </w:r>
      <w:r w:rsidRPr="000B5945">
        <w:rPr>
          <w:rFonts w:eastAsia="Aptos"/>
        </w:rPr>
        <w:t xml:space="preserve"> </w:t>
      </w:r>
      <w:r w:rsidR="0020728D" w:rsidRPr="000B5945">
        <w:rPr>
          <w:rFonts w:eastAsia="Aptos"/>
        </w:rPr>
        <w:t>were separated with the use of</w:t>
      </w:r>
      <w:r w:rsidR="00252ACF" w:rsidRPr="000B5945">
        <w:rPr>
          <w:rFonts w:eastAsia="Aptos"/>
        </w:rPr>
        <w:t xml:space="preserve"> </w:t>
      </w:r>
      <w:r w:rsidRPr="000B5945">
        <w:rPr>
          <w:rFonts w:eastAsia="Aptos"/>
        </w:rPr>
        <w:t>Tukey HSD</w:t>
      </w:r>
      <w:r w:rsidR="0020728D" w:rsidRPr="000B5945">
        <w:rPr>
          <w:rFonts w:eastAsia="Aptos"/>
        </w:rPr>
        <w:t xml:space="preserve"> multiple comparison procedure</w:t>
      </w:r>
      <w:r w:rsidRPr="000B5945">
        <w:rPr>
          <w:rFonts w:eastAsia="Aptos"/>
        </w:rPr>
        <w:t>.</w:t>
      </w:r>
      <w:bookmarkEnd w:id="15"/>
      <w:bookmarkEnd w:id="16"/>
    </w:p>
    <w:p w14:paraId="0E33B233" w14:textId="0C25F81A" w:rsidR="006F256B" w:rsidRPr="001A0457" w:rsidRDefault="006F256B" w:rsidP="00FC0490">
      <w:pPr>
        <w:pStyle w:val="Heading2"/>
        <w:spacing w:before="0" w:after="0" w:line="360" w:lineRule="auto"/>
        <w:rPr>
          <w:rFonts w:eastAsia="Aptos"/>
          <w:kern w:val="2"/>
          <w:szCs w:val="22"/>
          <w14:ligatures w14:val="standardContextual"/>
        </w:rPr>
      </w:pPr>
      <w:bookmarkStart w:id="23" w:name="_Toc196291999"/>
      <w:r>
        <w:rPr>
          <w:rFonts w:eastAsia="Aptos"/>
        </w:rPr>
        <w:t>2.3 Results and Discussion</w:t>
      </w:r>
      <w:bookmarkEnd w:id="23"/>
    </w:p>
    <w:p w14:paraId="568F2631" w14:textId="74153A96" w:rsidR="00712403" w:rsidRPr="00712403" w:rsidRDefault="0045688B" w:rsidP="00FC0490">
      <w:pPr>
        <w:spacing w:line="360" w:lineRule="auto"/>
        <w:ind w:firstLine="720"/>
        <w:rPr>
          <w:rFonts w:eastAsia="Aptos"/>
          <w:kern w:val="2"/>
          <w:szCs w:val="22"/>
          <w14:ligatures w14:val="standardContextual"/>
        </w:rPr>
      </w:pPr>
      <w:r>
        <w:rPr>
          <w:rFonts w:eastAsia="Aptos"/>
          <w:kern w:val="2"/>
          <w:szCs w:val="22"/>
          <w14:ligatures w14:val="standardContextual"/>
        </w:rPr>
        <w:t xml:space="preserve">Significant differences between treatments </w:t>
      </w:r>
      <w:r w:rsidR="00BA0086">
        <w:rPr>
          <w:rFonts w:eastAsia="Aptos"/>
          <w:kern w:val="2"/>
          <w:szCs w:val="22"/>
          <w14:ligatures w14:val="standardContextual"/>
        </w:rPr>
        <w:t xml:space="preserve">were determined by </w:t>
      </w:r>
      <w:r w:rsidR="000F27D4">
        <w:rPr>
          <w:rFonts w:eastAsia="Aptos"/>
          <w:kern w:val="2"/>
          <w:szCs w:val="22"/>
          <w14:ligatures w14:val="standardContextual"/>
        </w:rPr>
        <w:t>P</w:t>
      </w:r>
      <w:r w:rsidR="00BA0086">
        <w:rPr>
          <w:rFonts w:eastAsia="Aptos"/>
          <w:kern w:val="2"/>
          <w:szCs w:val="22"/>
          <w14:ligatures w14:val="standardContextual"/>
        </w:rPr>
        <w:t xml:space="preserve"> &lt; 0.05. </w:t>
      </w:r>
      <w:r w:rsidR="00712403" w:rsidRPr="00712403">
        <w:rPr>
          <w:rFonts w:eastAsia="Aptos"/>
          <w:kern w:val="2"/>
          <w:szCs w:val="22"/>
          <w14:ligatures w14:val="standardContextual"/>
        </w:rPr>
        <w:t>Data for cover crop canopy coverage are shown by year as there was a significant interaction of year by collection time by CCT. In 2023, cereal rye had significantly higher canopy cover for one, two, and four months after planting compared to crimson clover, hairy vetch, and fallow (</w:t>
      </w:r>
      <w:r w:rsidR="00712403" w:rsidRPr="00712403">
        <w:rPr>
          <w:rFonts w:eastAsia="Aptos"/>
          <w:b/>
          <w:bCs/>
          <w:kern w:val="2"/>
          <w:szCs w:val="22"/>
          <w14:ligatures w14:val="standardContextual"/>
        </w:rPr>
        <w:t>Figure 2</w:t>
      </w:r>
      <w:r w:rsidR="00712403" w:rsidRPr="00712403">
        <w:rPr>
          <w:rFonts w:eastAsia="Aptos"/>
          <w:kern w:val="2"/>
          <w:szCs w:val="22"/>
          <w14:ligatures w14:val="standardContextual"/>
        </w:rPr>
        <w:t>). Crimson clover and hairy vetch in 2023 had poor establishment during the early cover crop growing season and did not have significantly higher canopy cover compared to fallow until harvest time (</w:t>
      </w:r>
      <w:r w:rsidR="00712403" w:rsidRPr="00712403">
        <w:rPr>
          <w:rFonts w:eastAsia="Aptos"/>
          <w:b/>
          <w:bCs/>
          <w:kern w:val="2"/>
          <w:szCs w:val="22"/>
          <w14:ligatures w14:val="standardContextual"/>
        </w:rPr>
        <w:t>Figure 2</w:t>
      </w:r>
      <w:r w:rsidR="00712403" w:rsidRPr="00712403">
        <w:rPr>
          <w:rFonts w:eastAsia="Aptos"/>
          <w:kern w:val="2"/>
          <w:szCs w:val="22"/>
          <w14:ligatures w14:val="standardContextual"/>
        </w:rPr>
        <w:t xml:space="preserve">). In 2024, cereal rye </w:t>
      </w:r>
      <w:r w:rsidR="00EE2AA6">
        <w:rPr>
          <w:rFonts w:eastAsia="Aptos"/>
          <w:kern w:val="2"/>
          <w:szCs w:val="22"/>
          <w14:ligatures w14:val="standardContextual"/>
        </w:rPr>
        <w:t xml:space="preserve">canopy cover </w:t>
      </w:r>
      <w:r w:rsidR="00712403" w:rsidRPr="00712403">
        <w:rPr>
          <w:rFonts w:eastAsia="Aptos"/>
          <w:kern w:val="2"/>
          <w:szCs w:val="22"/>
          <w14:ligatures w14:val="standardContextual"/>
        </w:rPr>
        <w:t>was significantly higher than crimson clover, hairy vetch, and fallow in canopy cover for one, two, and four months after planting (</w:t>
      </w:r>
      <w:r w:rsidR="00712403" w:rsidRPr="00712403">
        <w:rPr>
          <w:rFonts w:eastAsia="Aptos"/>
          <w:b/>
          <w:bCs/>
          <w:kern w:val="2"/>
          <w:szCs w:val="22"/>
          <w14:ligatures w14:val="standardContextual"/>
        </w:rPr>
        <w:t>Figure 3</w:t>
      </w:r>
      <w:r w:rsidR="00712403" w:rsidRPr="00712403">
        <w:rPr>
          <w:rFonts w:eastAsia="Aptos"/>
          <w:kern w:val="2"/>
          <w:szCs w:val="22"/>
          <w14:ligatures w14:val="standardContextual"/>
        </w:rPr>
        <w:t xml:space="preserve">). </w:t>
      </w:r>
      <w:r w:rsidR="00A2564F">
        <w:rPr>
          <w:rFonts w:eastAsia="Aptos"/>
          <w:kern w:val="2"/>
          <w:szCs w:val="22"/>
          <w14:ligatures w14:val="standardContextual"/>
        </w:rPr>
        <w:t>Unlike</w:t>
      </w:r>
      <w:r w:rsidR="00712403" w:rsidRPr="00712403">
        <w:rPr>
          <w:rFonts w:eastAsia="Aptos"/>
          <w:kern w:val="2"/>
          <w:szCs w:val="22"/>
          <w14:ligatures w14:val="standardContextual"/>
        </w:rPr>
        <w:t xml:space="preserve"> 2023, crimson clover and hairy vetch in 2024 had significantly higher canopy cover than the fallow plots for two and four months after planting but were still significantly lower than cereal rye until harvest time (</w:t>
      </w:r>
      <w:r w:rsidR="00712403" w:rsidRPr="00712403">
        <w:rPr>
          <w:rFonts w:eastAsia="Aptos"/>
          <w:b/>
          <w:bCs/>
          <w:kern w:val="2"/>
          <w:szCs w:val="22"/>
          <w14:ligatures w14:val="standardContextual"/>
        </w:rPr>
        <w:t>Figure 3</w:t>
      </w:r>
      <w:r w:rsidR="00712403" w:rsidRPr="00712403">
        <w:rPr>
          <w:rFonts w:eastAsia="Aptos"/>
          <w:kern w:val="2"/>
          <w:szCs w:val="22"/>
          <w14:ligatures w14:val="standardContextual"/>
        </w:rPr>
        <w:t xml:space="preserve">). </w:t>
      </w:r>
    </w:p>
    <w:p w14:paraId="4CB91020" w14:textId="4FA82CCF" w:rsidR="00712403" w:rsidRPr="00712403"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 xml:space="preserve">In 2023, biomass data was collected for cereal rye, crimson clover, and hairy vetch. </w:t>
      </w:r>
      <w:r w:rsidR="005468DC">
        <w:rPr>
          <w:rFonts w:eastAsia="Aptos"/>
          <w:kern w:val="2"/>
          <w:szCs w:val="22"/>
          <w14:ligatures w14:val="standardContextual"/>
        </w:rPr>
        <w:t>P</w:t>
      </w:r>
      <w:r w:rsidRPr="00712403">
        <w:rPr>
          <w:rFonts w:eastAsia="Aptos"/>
          <w:kern w:val="2"/>
          <w:szCs w:val="22"/>
          <w14:ligatures w14:val="standardContextual"/>
        </w:rPr>
        <w:t xml:space="preserve">rior to grinding for NIRS, </w:t>
      </w:r>
      <w:r w:rsidR="00A14308">
        <w:rPr>
          <w:rFonts w:eastAsia="Aptos"/>
          <w:kern w:val="2"/>
          <w:szCs w:val="22"/>
          <w14:ligatures w14:val="standardContextual"/>
        </w:rPr>
        <w:t>crimson clover samples were mistakenly</w:t>
      </w:r>
      <w:r w:rsidRPr="00712403">
        <w:rPr>
          <w:rFonts w:eastAsia="Aptos"/>
          <w:kern w:val="2"/>
          <w:szCs w:val="22"/>
          <w14:ligatures w14:val="standardContextual"/>
        </w:rPr>
        <w:t xml:space="preserve"> recombined with the weed biomass from each plot making the samples no longer representative of crimson clover and unusable for statistical analysis. In 2023, hairy </w:t>
      </w:r>
      <w:proofErr w:type="gramStart"/>
      <w:r w:rsidRPr="00712403">
        <w:rPr>
          <w:rFonts w:eastAsia="Aptos"/>
          <w:kern w:val="2"/>
          <w:szCs w:val="22"/>
          <w14:ligatures w14:val="standardContextual"/>
        </w:rPr>
        <w:t>vetch</w:t>
      </w:r>
      <w:proofErr w:type="gramEnd"/>
      <w:r w:rsidRPr="00712403">
        <w:rPr>
          <w:rFonts w:eastAsia="Aptos"/>
          <w:kern w:val="2"/>
          <w:szCs w:val="22"/>
          <w14:ligatures w14:val="standardContextual"/>
        </w:rPr>
        <w:t xml:space="preserve"> had a significantly higher nitrogen percent at 4.3% compared to cereal rye at 2.0% (</w:t>
      </w:r>
      <w:r w:rsidRPr="00712403">
        <w:rPr>
          <w:rFonts w:eastAsia="Aptos"/>
          <w:b/>
          <w:bCs/>
          <w:kern w:val="2"/>
          <w:szCs w:val="22"/>
          <w14:ligatures w14:val="standardContextual"/>
        </w:rPr>
        <w:t>Table 1</w:t>
      </w:r>
      <w:r w:rsidRPr="00712403">
        <w:rPr>
          <w:rFonts w:eastAsia="Aptos"/>
          <w:kern w:val="2"/>
          <w:szCs w:val="22"/>
          <w14:ligatures w14:val="standardContextual"/>
        </w:rPr>
        <w:t>)</w:t>
      </w:r>
      <w:r w:rsidR="00B02E5E">
        <w:rPr>
          <w:rFonts w:eastAsia="Aptos"/>
          <w:kern w:val="2"/>
          <w:szCs w:val="22"/>
          <w14:ligatures w14:val="standardContextual"/>
        </w:rPr>
        <w:t xml:space="preserve">. </w:t>
      </w:r>
      <w:r w:rsidR="00B5474B">
        <w:rPr>
          <w:rFonts w:eastAsia="Aptos"/>
          <w:kern w:val="2"/>
          <w14:ligatures w14:val="standardContextual"/>
        </w:rPr>
        <w:t xml:space="preserve">The </w:t>
      </w:r>
      <w:r w:rsidR="002203DB">
        <w:rPr>
          <w:rFonts w:eastAsia="Aptos"/>
          <w:kern w:val="2"/>
          <w14:ligatures w14:val="standardContextual"/>
        </w:rPr>
        <w:t>significant</w:t>
      </w:r>
      <w:r w:rsidR="00B5474B">
        <w:rPr>
          <w:rFonts w:eastAsia="Aptos"/>
          <w:kern w:val="2"/>
          <w14:ligatures w14:val="standardContextual"/>
        </w:rPr>
        <w:t xml:space="preserve"> </w:t>
      </w:r>
      <w:r w:rsidR="002203DB">
        <w:rPr>
          <w:rFonts w:eastAsia="Aptos"/>
          <w:kern w:val="2"/>
          <w14:ligatures w14:val="standardContextual"/>
        </w:rPr>
        <w:t>difference</w:t>
      </w:r>
      <w:r w:rsidR="00B5474B">
        <w:rPr>
          <w:rFonts w:eastAsia="Aptos"/>
          <w:kern w:val="2"/>
          <w14:ligatures w14:val="standardContextual"/>
        </w:rPr>
        <w:t xml:space="preserve"> between 2023 hairy vetch and cereal rye </w:t>
      </w:r>
      <w:r w:rsidR="009B2F7A">
        <w:rPr>
          <w:rFonts w:eastAsia="Aptos"/>
          <w:kern w:val="2"/>
          <w14:ligatures w14:val="standardContextual"/>
        </w:rPr>
        <w:t xml:space="preserve">total nitrogen </w:t>
      </w:r>
      <w:r w:rsidR="002203DB">
        <w:rPr>
          <w:rFonts w:eastAsia="Aptos"/>
          <w:kern w:val="2"/>
          <w14:ligatures w14:val="standardContextual"/>
        </w:rPr>
        <w:t>release</w:t>
      </w:r>
      <w:r w:rsidR="009B2F7A">
        <w:rPr>
          <w:rFonts w:eastAsia="Aptos"/>
          <w:kern w:val="2"/>
          <w14:ligatures w14:val="standardContextual"/>
        </w:rPr>
        <w:t xml:space="preserve"> is likely due to higher biomass production in cereal rye. </w:t>
      </w:r>
      <w:r w:rsidR="00DC7C64">
        <w:rPr>
          <w:rFonts w:eastAsia="Aptos"/>
          <w:kern w:val="2"/>
          <w14:ligatures w14:val="standardContextual"/>
        </w:rPr>
        <w:t>In 2024,</w:t>
      </w:r>
      <w:r w:rsidR="00DC7C64" w:rsidRPr="00473A0C">
        <w:rPr>
          <w:rFonts w:eastAsia="Aptos"/>
          <w:kern w:val="2"/>
          <w14:ligatures w14:val="standardContextual"/>
        </w:rPr>
        <w:t xml:space="preserve"> </w:t>
      </w:r>
      <w:r w:rsidR="00DC7C64">
        <w:rPr>
          <w:rFonts w:eastAsia="Aptos"/>
          <w:kern w:val="2"/>
          <w14:ligatures w14:val="standardContextual"/>
        </w:rPr>
        <w:t xml:space="preserve">biomass data was collected for all cover </w:t>
      </w:r>
      <w:r w:rsidR="00BA3DDA">
        <w:rPr>
          <w:rFonts w:eastAsia="Aptos"/>
          <w:kern w:val="2"/>
          <w14:ligatures w14:val="standardContextual"/>
        </w:rPr>
        <w:t>crop</w:t>
      </w:r>
      <w:r w:rsidR="00DC7C64">
        <w:rPr>
          <w:rFonts w:eastAsia="Aptos"/>
          <w:kern w:val="2"/>
          <w14:ligatures w14:val="standardContextual"/>
        </w:rPr>
        <w:t xml:space="preserve"> and fallow treatments. </w:t>
      </w:r>
      <w:r w:rsidR="00DC7C64" w:rsidRPr="00473A0C">
        <w:rPr>
          <w:rFonts w:eastAsia="Aptos"/>
          <w:kern w:val="2"/>
          <w14:ligatures w14:val="standardContextual"/>
        </w:rPr>
        <w:t xml:space="preserve">Fallow plots during </w:t>
      </w:r>
      <w:r w:rsidR="00DC7C64">
        <w:rPr>
          <w:rFonts w:eastAsia="Aptos"/>
          <w:kern w:val="2"/>
          <w14:ligatures w14:val="standardContextual"/>
        </w:rPr>
        <w:t>2024</w:t>
      </w:r>
      <w:r w:rsidR="00DC7C64" w:rsidRPr="00473A0C">
        <w:rPr>
          <w:rFonts w:eastAsia="Aptos"/>
          <w:kern w:val="2"/>
          <w14:ligatures w14:val="standardContextual"/>
        </w:rPr>
        <w:t xml:space="preserve"> had high weed populations which likely contributed to the  higher </w:t>
      </w:r>
      <w:proofErr w:type="gramStart"/>
      <w:r w:rsidR="00DC7C64" w:rsidRPr="00473A0C">
        <w:rPr>
          <w:rFonts w:eastAsia="Aptos"/>
          <w:kern w:val="2"/>
          <w14:ligatures w14:val="standardContextual"/>
        </w:rPr>
        <w:t>nitrogen percentage</w:t>
      </w:r>
      <w:proofErr w:type="gramEnd"/>
      <w:r w:rsidR="00DC7C64" w:rsidRPr="00473A0C">
        <w:rPr>
          <w:rFonts w:eastAsia="Aptos"/>
          <w:kern w:val="2"/>
          <w14:ligatures w14:val="standardContextual"/>
        </w:rPr>
        <w:t xml:space="preserve"> than cereal rye</w:t>
      </w:r>
      <w:r w:rsidR="00DC7C64">
        <w:rPr>
          <w:rFonts w:eastAsia="Aptos"/>
          <w:kern w:val="2"/>
          <w14:ligatures w14:val="standardContextual"/>
        </w:rPr>
        <w:t>.</w:t>
      </w:r>
      <w:r w:rsidR="00DC7C64" w:rsidRPr="00473A0C">
        <w:rPr>
          <w:rFonts w:eastAsia="Aptos"/>
          <w:kern w:val="2"/>
          <w14:ligatures w14:val="standardContextual"/>
        </w:rPr>
        <w:t xml:space="preserve"> Hairy </w:t>
      </w:r>
      <w:proofErr w:type="gramStart"/>
      <w:r w:rsidR="00DC7C64" w:rsidRPr="00473A0C">
        <w:rPr>
          <w:rFonts w:eastAsia="Aptos"/>
          <w:kern w:val="2"/>
          <w14:ligatures w14:val="standardContextual"/>
        </w:rPr>
        <w:t>vetch</w:t>
      </w:r>
      <w:proofErr w:type="gramEnd"/>
      <w:r w:rsidR="00DC7C64" w:rsidRPr="00473A0C">
        <w:rPr>
          <w:rFonts w:eastAsia="Aptos"/>
          <w:kern w:val="2"/>
          <w14:ligatures w14:val="standardContextual"/>
        </w:rPr>
        <w:t xml:space="preserve"> had the highest nitrogen </w:t>
      </w:r>
      <w:r w:rsidR="000F27D4">
        <w:rPr>
          <w:rFonts w:eastAsia="Aptos"/>
          <w:kern w:val="2"/>
          <w14:ligatures w14:val="standardContextual"/>
        </w:rPr>
        <w:t>content</w:t>
      </w:r>
      <w:r w:rsidR="000F27D4" w:rsidRPr="00473A0C">
        <w:rPr>
          <w:rFonts w:eastAsia="Aptos"/>
          <w:kern w:val="2"/>
          <w14:ligatures w14:val="standardContextual"/>
        </w:rPr>
        <w:t xml:space="preserve"> </w:t>
      </w:r>
      <w:r w:rsidR="00DC7C64" w:rsidRPr="00473A0C">
        <w:rPr>
          <w:rFonts w:eastAsia="Aptos"/>
          <w:kern w:val="2"/>
          <w14:ligatures w14:val="standardContextual"/>
        </w:rPr>
        <w:t xml:space="preserve">at 5.1% followed by crimson clover at 3.3%. Fallow and cereal rye had the lowest nitrogen </w:t>
      </w:r>
      <w:proofErr w:type="spellStart"/>
      <w:proofErr w:type="gramStart"/>
      <w:r w:rsidR="000F27D4">
        <w:rPr>
          <w:rFonts w:eastAsia="Aptos"/>
          <w:kern w:val="2"/>
          <w14:ligatures w14:val="standardContextual"/>
        </w:rPr>
        <w:t>content</w:t>
      </w:r>
      <w:r w:rsidR="00DC7C64" w:rsidRPr="00473A0C">
        <w:rPr>
          <w:rFonts w:eastAsia="Aptos"/>
          <w:kern w:val="2"/>
          <w14:ligatures w14:val="standardContextual"/>
        </w:rPr>
        <w:t>at</w:t>
      </w:r>
      <w:proofErr w:type="spellEnd"/>
      <w:proofErr w:type="gramEnd"/>
      <w:r w:rsidR="00DC7C64" w:rsidRPr="00473A0C">
        <w:rPr>
          <w:rFonts w:eastAsia="Aptos"/>
          <w:kern w:val="2"/>
          <w14:ligatures w14:val="standardContextual"/>
        </w:rPr>
        <w:t xml:space="preserve"> 2.7% and 1.7%, respectively</w:t>
      </w:r>
      <w:r w:rsidR="00DC7C64">
        <w:rPr>
          <w:rFonts w:eastAsia="Aptos"/>
          <w:kern w:val="2"/>
          <w14:ligatures w14:val="standardContextual"/>
        </w:rPr>
        <w:t xml:space="preserve"> (</w:t>
      </w:r>
      <w:r w:rsidR="00DC7C64" w:rsidRPr="00041557">
        <w:rPr>
          <w:rFonts w:eastAsia="Aptos"/>
          <w:b/>
          <w:bCs/>
          <w:kern w:val="2"/>
          <w14:ligatures w14:val="standardContextual"/>
        </w:rPr>
        <w:t>Table 1</w:t>
      </w:r>
      <w:r w:rsidR="00DC7C64">
        <w:rPr>
          <w:rFonts w:eastAsia="Aptos"/>
          <w:kern w:val="2"/>
          <w14:ligatures w14:val="standardContextual"/>
        </w:rPr>
        <w:t>)</w:t>
      </w:r>
      <w:r w:rsidR="00DC7C64" w:rsidRPr="00473A0C">
        <w:rPr>
          <w:rFonts w:eastAsia="Aptos"/>
          <w:kern w:val="2"/>
          <w14:ligatures w14:val="standardContextual"/>
        </w:rPr>
        <w:t xml:space="preserve">. </w:t>
      </w:r>
      <w:r w:rsidRPr="00712403">
        <w:rPr>
          <w:rFonts w:eastAsia="Aptos"/>
          <w:kern w:val="2"/>
          <w:szCs w:val="22"/>
          <w14:ligatures w14:val="standardContextual"/>
        </w:rPr>
        <w:t xml:space="preserve">Total cover crop nitrogen and eight-week cumulative release values after termination for each cover crop treatment in both years can be found in </w:t>
      </w:r>
      <w:r w:rsidRPr="00712403">
        <w:rPr>
          <w:rFonts w:eastAsia="Aptos"/>
          <w:b/>
          <w:bCs/>
          <w:kern w:val="2"/>
          <w:szCs w:val="22"/>
          <w14:ligatures w14:val="standardContextual"/>
        </w:rPr>
        <w:t xml:space="preserve">Table </w:t>
      </w:r>
      <w:r w:rsidR="0051559D">
        <w:rPr>
          <w:rFonts w:eastAsia="Aptos"/>
          <w:b/>
          <w:bCs/>
          <w:kern w:val="2"/>
          <w:szCs w:val="22"/>
          <w14:ligatures w14:val="standardContextual"/>
        </w:rPr>
        <w:t>1</w:t>
      </w:r>
      <w:r w:rsidRPr="00712403">
        <w:rPr>
          <w:rFonts w:eastAsia="Aptos"/>
          <w:kern w:val="2"/>
          <w:szCs w:val="22"/>
          <w14:ligatures w14:val="standardContextual"/>
        </w:rPr>
        <w:t xml:space="preserve">. Higher nitrogen </w:t>
      </w:r>
      <w:r w:rsidR="000F27D4">
        <w:rPr>
          <w:rFonts w:eastAsia="Aptos"/>
          <w:kern w:val="2"/>
          <w:szCs w:val="22"/>
          <w14:ligatures w14:val="standardContextual"/>
        </w:rPr>
        <w:t>content</w:t>
      </w:r>
      <w:r w:rsidR="000F27D4" w:rsidRPr="00712403">
        <w:rPr>
          <w:rFonts w:eastAsia="Aptos"/>
          <w:kern w:val="2"/>
          <w:szCs w:val="22"/>
          <w14:ligatures w14:val="standardContextual"/>
        </w:rPr>
        <w:t xml:space="preserve"> </w:t>
      </w:r>
      <w:r w:rsidRPr="00712403">
        <w:rPr>
          <w:rFonts w:eastAsia="Aptos"/>
          <w:kern w:val="2"/>
          <w:szCs w:val="22"/>
          <w14:ligatures w14:val="standardContextual"/>
        </w:rPr>
        <w:t xml:space="preserve">and canopy coverage in 2024 legumes could be attributed to better stand establishment in the early season compared to 2023. </w:t>
      </w:r>
      <w:r w:rsidR="008306C8">
        <w:rPr>
          <w:rFonts w:eastAsia="Aptos"/>
          <w:kern w:val="2"/>
          <w:szCs w:val="22"/>
          <w14:ligatures w14:val="standardContextual"/>
        </w:rPr>
        <w:t xml:space="preserve">Although not the highest </w:t>
      </w:r>
      <w:r w:rsidR="000F27D4">
        <w:rPr>
          <w:rFonts w:eastAsia="Aptos"/>
          <w:kern w:val="2"/>
          <w:szCs w:val="22"/>
          <w14:ligatures w14:val="standardContextual"/>
        </w:rPr>
        <w:t xml:space="preserve">biomass </w:t>
      </w:r>
      <w:r w:rsidR="008306C8">
        <w:rPr>
          <w:rFonts w:eastAsia="Aptos"/>
          <w:kern w:val="2"/>
          <w:szCs w:val="22"/>
          <w14:ligatures w14:val="standardContextual"/>
        </w:rPr>
        <w:t xml:space="preserve">producing </w:t>
      </w:r>
      <w:r w:rsidR="00EA6459">
        <w:rPr>
          <w:rFonts w:eastAsia="Aptos"/>
          <w:kern w:val="2"/>
          <w:szCs w:val="22"/>
          <w14:ligatures w14:val="standardContextual"/>
        </w:rPr>
        <w:t xml:space="preserve">cover crop treatment </w:t>
      </w:r>
      <w:r w:rsidR="008306C8">
        <w:rPr>
          <w:rFonts w:eastAsia="Aptos"/>
          <w:kern w:val="2"/>
          <w:szCs w:val="22"/>
          <w14:ligatures w14:val="standardContextual"/>
        </w:rPr>
        <w:t xml:space="preserve">, hairy vetch produced sufficient biomass </w:t>
      </w:r>
      <w:r w:rsidR="00EA6459">
        <w:rPr>
          <w:rFonts w:eastAsia="Aptos"/>
          <w:kern w:val="2"/>
          <w:szCs w:val="22"/>
          <w14:ligatures w14:val="standardContextual"/>
        </w:rPr>
        <w:t xml:space="preserve">in 2024 </w:t>
      </w:r>
      <w:r w:rsidR="008306C8">
        <w:rPr>
          <w:rFonts w:eastAsia="Aptos"/>
          <w:kern w:val="2"/>
          <w:szCs w:val="22"/>
          <w14:ligatures w14:val="standardContextual"/>
        </w:rPr>
        <w:t xml:space="preserve">to release </w:t>
      </w:r>
      <w:r w:rsidR="00BB428F">
        <w:rPr>
          <w:rFonts w:eastAsia="Aptos"/>
          <w:kern w:val="2"/>
          <w:szCs w:val="22"/>
          <w14:ligatures w14:val="standardContextual"/>
        </w:rPr>
        <w:t>the highest amount of total nitrogen back into the soil (</w:t>
      </w:r>
      <w:r w:rsidR="00BB428F">
        <w:rPr>
          <w:rFonts w:eastAsia="Aptos"/>
          <w:b/>
          <w:bCs/>
          <w:kern w:val="2"/>
          <w:szCs w:val="22"/>
          <w14:ligatures w14:val="standardContextual"/>
        </w:rPr>
        <w:t xml:space="preserve">Table </w:t>
      </w:r>
      <w:r w:rsidR="00BB428F" w:rsidRPr="00BB428F">
        <w:rPr>
          <w:rFonts w:eastAsia="Aptos"/>
          <w:b/>
          <w:bCs/>
          <w:kern w:val="2"/>
          <w:szCs w:val="22"/>
          <w14:ligatures w14:val="standardContextual"/>
        </w:rPr>
        <w:t>1</w:t>
      </w:r>
      <w:r w:rsidR="00BB428F">
        <w:rPr>
          <w:rFonts w:eastAsia="Aptos"/>
          <w:kern w:val="2"/>
          <w:szCs w:val="22"/>
          <w14:ligatures w14:val="standardContextual"/>
        </w:rPr>
        <w:t>).</w:t>
      </w:r>
      <w:r w:rsidR="000F27D4">
        <w:rPr>
          <w:rFonts w:eastAsia="Aptos"/>
          <w:kern w:val="2"/>
          <w:szCs w:val="22"/>
          <w14:ligatures w14:val="standardContextual"/>
        </w:rPr>
        <w:t xml:space="preserve"> </w:t>
      </w:r>
      <w:r w:rsidR="002252EE" w:rsidRPr="00BB428F">
        <w:rPr>
          <w:rFonts w:eastAsia="Aptos"/>
          <w:kern w:val="2"/>
          <w:szCs w:val="22"/>
          <w14:ligatures w14:val="standardContextual"/>
        </w:rPr>
        <w:t>C</w:t>
      </w:r>
      <w:r w:rsidRPr="00BB428F">
        <w:rPr>
          <w:rFonts w:eastAsia="Aptos"/>
          <w:kern w:val="2"/>
          <w:szCs w:val="22"/>
          <w14:ligatures w14:val="standardContextual"/>
        </w:rPr>
        <w:t>rude</w:t>
      </w:r>
      <w:r w:rsidRPr="00712403">
        <w:rPr>
          <w:rFonts w:eastAsia="Aptos"/>
          <w:kern w:val="2"/>
          <w:szCs w:val="22"/>
          <w14:ligatures w14:val="standardContextual"/>
        </w:rPr>
        <w:t xml:space="preserve"> protein and nitrogen </w:t>
      </w:r>
      <w:r w:rsidR="000F27D4">
        <w:rPr>
          <w:rFonts w:eastAsia="Aptos"/>
          <w:kern w:val="2"/>
          <w:szCs w:val="22"/>
          <w14:ligatures w14:val="standardContextual"/>
        </w:rPr>
        <w:t>content</w:t>
      </w:r>
      <w:r w:rsidR="000F27D4" w:rsidRPr="00712403">
        <w:rPr>
          <w:rFonts w:eastAsia="Aptos"/>
          <w:kern w:val="2"/>
          <w:szCs w:val="22"/>
          <w14:ligatures w14:val="standardContextual"/>
        </w:rPr>
        <w:t xml:space="preserve"> </w:t>
      </w:r>
      <w:r w:rsidRPr="00712403">
        <w:rPr>
          <w:rFonts w:eastAsia="Aptos"/>
          <w:kern w:val="2"/>
          <w:szCs w:val="22"/>
          <w14:ligatures w14:val="standardContextual"/>
        </w:rPr>
        <w:t>in cereal rye crops were exceptionally high during the trials</w:t>
      </w:r>
      <w:r w:rsidR="00A2564F">
        <w:rPr>
          <w:rFonts w:eastAsia="Aptos"/>
          <w:kern w:val="2"/>
          <w:szCs w:val="22"/>
          <w14:ligatures w14:val="standardContextual"/>
        </w:rPr>
        <w:t>;</w:t>
      </w:r>
      <w:r w:rsidR="00A2564F" w:rsidRPr="00712403">
        <w:rPr>
          <w:rFonts w:eastAsia="Aptos"/>
          <w:kern w:val="2"/>
          <w:szCs w:val="22"/>
          <w14:ligatures w14:val="standardContextual"/>
        </w:rPr>
        <w:t xml:space="preserve"> </w:t>
      </w:r>
      <w:r w:rsidR="00A2564F">
        <w:rPr>
          <w:rFonts w:eastAsia="Aptos"/>
          <w:kern w:val="2"/>
          <w:szCs w:val="22"/>
          <w14:ligatures w14:val="standardContextual"/>
        </w:rPr>
        <w:t xml:space="preserve">however, </w:t>
      </w:r>
      <w:r w:rsidR="00B5474B">
        <w:rPr>
          <w:rFonts w:eastAsia="Aptos"/>
          <w:kern w:val="2"/>
          <w:szCs w:val="22"/>
          <w14:ligatures w14:val="standardContextual"/>
        </w:rPr>
        <w:t xml:space="preserve">these values are </w:t>
      </w:r>
      <w:r w:rsidR="00A2564F">
        <w:rPr>
          <w:rFonts w:eastAsia="Aptos"/>
          <w:kern w:val="2"/>
          <w:szCs w:val="22"/>
          <w14:ligatures w14:val="standardContextual"/>
        </w:rPr>
        <w:t xml:space="preserve">in accordance with previous studies reporting biomass quality of </w:t>
      </w:r>
      <w:r w:rsidRPr="00712403">
        <w:rPr>
          <w:rFonts w:eastAsia="Aptos"/>
          <w:kern w:val="2"/>
          <w:szCs w:val="22"/>
          <w14:ligatures w14:val="standardContextual"/>
        </w:rPr>
        <w:t xml:space="preserve"> cereal rye crops harvested early in maturity (Kantar</w:t>
      </w:r>
      <w:r w:rsidR="0019669C">
        <w:rPr>
          <w:rFonts w:eastAsia="Aptos"/>
          <w:kern w:val="2"/>
          <w:szCs w:val="22"/>
          <w14:ligatures w14:val="standardContextual"/>
        </w:rPr>
        <w:t xml:space="preserve"> </w:t>
      </w:r>
      <w:r w:rsidR="00F51FEF">
        <w:rPr>
          <w:rFonts w:eastAsia="Aptos"/>
          <w:kern w:val="2"/>
          <w:szCs w:val="22"/>
          <w14:ligatures w14:val="standardContextual"/>
        </w:rPr>
        <w:t>et al.</w:t>
      </w:r>
      <w:r w:rsidRPr="00712403">
        <w:rPr>
          <w:rFonts w:eastAsia="Aptos"/>
          <w:kern w:val="2"/>
          <w:szCs w:val="22"/>
          <w14:ligatures w14:val="standardContextual"/>
        </w:rPr>
        <w:t xml:space="preserve"> 2011; McCormick</w:t>
      </w:r>
      <w:r w:rsidR="0019669C">
        <w:rPr>
          <w:rFonts w:eastAsia="Aptos"/>
          <w:kern w:val="2"/>
          <w:szCs w:val="22"/>
          <w14:ligatures w14:val="standardContextual"/>
        </w:rPr>
        <w:t xml:space="preserve"> </w:t>
      </w:r>
      <w:r w:rsidR="00F51FEF">
        <w:rPr>
          <w:rFonts w:eastAsia="Aptos"/>
          <w:kern w:val="2"/>
          <w:szCs w:val="22"/>
          <w14:ligatures w14:val="standardContextual"/>
        </w:rPr>
        <w:t>et al.</w:t>
      </w:r>
      <w:r w:rsidRPr="00712403">
        <w:rPr>
          <w:rFonts w:eastAsia="Aptos"/>
          <w:kern w:val="2"/>
          <w:szCs w:val="22"/>
          <w14:ligatures w14:val="standardContextual"/>
        </w:rPr>
        <w:t xml:space="preserve"> 2006). Standard values for cereal rye nitrogen </w:t>
      </w:r>
      <w:r w:rsidR="000F27D4">
        <w:rPr>
          <w:rFonts w:eastAsia="Aptos"/>
          <w:kern w:val="2"/>
          <w:szCs w:val="22"/>
          <w14:ligatures w14:val="standardContextual"/>
        </w:rPr>
        <w:t>content</w:t>
      </w:r>
      <w:r w:rsidR="000F27D4" w:rsidRPr="00712403">
        <w:rPr>
          <w:rFonts w:eastAsia="Aptos"/>
          <w:kern w:val="2"/>
          <w:szCs w:val="22"/>
          <w14:ligatures w14:val="standardContextual"/>
        </w:rPr>
        <w:t xml:space="preserve"> </w:t>
      </w:r>
      <w:r w:rsidRPr="00712403">
        <w:rPr>
          <w:rFonts w:eastAsia="Aptos"/>
          <w:kern w:val="2"/>
          <w:szCs w:val="22"/>
          <w14:ligatures w14:val="standardContextual"/>
        </w:rPr>
        <w:t xml:space="preserve">for an early April biomass harvest in Tennessee </w:t>
      </w:r>
      <w:r w:rsidR="00BB428F">
        <w:rPr>
          <w:rFonts w:eastAsia="Aptos"/>
          <w:kern w:val="2"/>
          <w:szCs w:val="22"/>
          <w14:ligatures w14:val="standardContextual"/>
        </w:rPr>
        <w:t xml:space="preserve">is about </w:t>
      </w:r>
      <w:r w:rsidRPr="00712403">
        <w:rPr>
          <w:rFonts w:eastAsia="Aptos"/>
          <w:kern w:val="2"/>
          <w:szCs w:val="22"/>
          <w14:ligatures w14:val="standardContextual"/>
        </w:rPr>
        <w:t>1.75% (Southern CCVT, 2024).</w:t>
      </w:r>
    </w:p>
    <w:p w14:paraId="37AB4BD8" w14:textId="41FF5499" w:rsidR="00FA3A78"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Angular leaf spot occurrence had a significant interaction of year</w:t>
      </w:r>
      <w:r w:rsidR="00252ACF">
        <w:rPr>
          <w:rFonts w:eastAsia="Aptos"/>
          <w:kern w:val="2"/>
          <w:szCs w:val="22"/>
          <w14:ligatures w14:val="standardContextual"/>
        </w:rPr>
        <w:t xml:space="preserve"> by </w:t>
      </w:r>
      <w:r w:rsidR="00720F24">
        <w:rPr>
          <w:rFonts w:eastAsia="Aptos"/>
          <w:kern w:val="2"/>
          <w:szCs w:val="22"/>
          <w14:ligatures w14:val="standardContextual"/>
        </w:rPr>
        <w:t>tillage type</w:t>
      </w:r>
      <w:r w:rsidRPr="00712403">
        <w:rPr>
          <w:rFonts w:eastAsia="Aptos"/>
          <w:kern w:val="2"/>
          <w:szCs w:val="22"/>
          <w14:ligatures w14:val="standardContextual"/>
        </w:rPr>
        <w:t xml:space="preserve">. </w:t>
      </w:r>
      <w:r w:rsidR="00CB3F3B">
        <w:rPr>
          <w:rFonts w:eastAsia="Aptos"/>
          <w:kern w:val="2"/>
          <w:szCs w:val="22"/>
          <w14:ligatures w14:val="standardContextual"/>
        </w:rPr>
        <w:t xml:space="preserve">The </w:t>
      </w:r>
      <w:r w:rsidRPr="00712403">
        <w:rPr>
          <w:rFonts w:eastAsia="Aptos"/>
          <w:kern w:val="2"/>
          <w:szCs w:val="22"/>
          <w14:ligatures w14:val="standardContextual"/>
        </w:rPr>
        <w:t xml:space="preserve">2023 </w:t>
      </w:r>
      <w:r w:rsidR="00FC5CC5">
        <w:rPr>
          <w:rFonts w:eastAsia="Aptos"/>
          <w:kern w:val="2"/>
          <w:szCs w:val="22"/>
          <w14:ligatures w14:val="standardContextual"/>
        </w:rPr>
        <w:t xml:space="preserve">season </w:t>
      </w:r>
      <w:r w:rsidRPr="00712403">
        <w:rPr>
          <w:rFonts w:eastAsia="Aptos"/>
          <w:kern w:val="2"/>
          <w:szCs w:val="22"/>
          <w14:ligatures w14:val="standardContextual"/>
        </w:rPr>
        <w:t>had significantly lower disease pressure overall compared to 2024 (</w:t>
      </w:r>
      <w:r w:rsidRPr="00712403">
        <w:rPr>
          <w:rFonts w:eastAsia="Aptos"/>
          <w:b/>
          <w:bCs/>
          <w:kern w:val="2"/>
          <w:szCs w:val="22"/>
          <w14:ligatures w14:val="standardContextual"/>
        </w:rPr>
        <w:t xml:space="preserve">Figure </w:t>
      </w:r>
      <w:r w:rsidR="0051559D">
        <w:rPr>
          <w:rFonts w:eastAsia="Aptos"/>
          <w:b/>
          <w:bCs/>
          <w:kern w:val="2"/>
          <w:szCs w:val="22"/>
          <w14:ligatures w14:val="standardContextual"/>
        </w:rPr>
        <w:t>4</w:t>
      </w:r>
      <w:r w:rsidRPr="00712403">
        <w:rPr>
          <w:rFonts w:eastAsia="Aptos"/>
          <w:kern w:val="2"/>
          <w:szCs w:val="22"/>
          <w14:ligatures w14:val="standardContextual"/>
        </w:rPr>
        <w:t xml:space="preserve">). For both years, </w:t>
      </w:r>
      <w:r w:rsidR="00720F24">
        <w:rPr>
          <w:rFonts w:eastAsia="Aptos"/>
          <w:kern w:val="2"/>
          <w:szCs w:val="22"/>
          <w14:ligatures w14:val="standardContextual"/>
        </w:rPr>
        <w:t>cover crop type</w:t>
      </w:r>
      <w:r w:rsidRPr="00712403">
        <w:rPr>
          <w:rFonts w:eastAsia="Aptos"/>
          <w:kern w:val="2"/>
          <w:szCs w:val="22"/>
          <w14:ligatures w14:val="standardContextual"/>
        </w:rPr>
        <w:t xml:space="preserve"> did not have a significant effect on disease pressure (</w:t>
      </w:r>
      <w:r w:rsidR="004E0050">
        <w:rPr>
          <w:rFonts w:eastAsia="Aptos"/>
          <w:b/>
          <w:bCs/>
          <w:kern w:val="2"/>
          <w:szCs w:val="22"/>
          <w14:ligatures w14:val="standardContextual"/>
        </w:rPr>
        <w:t>Figure</w:t>
      </w:r>
      <w:r w:rsidR="0051559D">
        <w:rPr>
          <w:rFonts w:eastAsia="Aptos"/>
          <w:b/>
          <w:bCs/>
          <w:kern w:val="2"/>
          <w:szCs w:val="22"/>
          <w14:ligatures w14:val="standardContextual"/>
        </w:rPr>
        <w:t xml:space="preserve"> 5</w:t>
      </w:r>
      <w:r w:rsidR="004E0050">
        <w:rPr>
          <w:rFonts w:eastAsia="Aptos"/>
          <w:b/>
          <w:bCs/>
          <w:kern w:val="2"/>
          <w:szCs w:val="22"/>
          <w14:ligatures w14:val="standardContextual"/>
        </w:rPr>
        <w:t>)</w:t>
      </w:r>
      <w:r w:rsidR="00B02E5E">
        <w:rPr>
          <w:rFonts w:eastAsia="Aptos"/>
          <w:kern w:val="2"/>
          <w:szCs w:val="22"/>
          <w14:ligatures w14:val="standardContextual"/>
        </w:rPr>
        <w:t xml:space="preserve">. </w:t>
      </w:r>
      <w:r w:rsidR="00A05D87" w:rsidRPr="00712403">
        <w:rPr>
          <w:rFonts w:eastAsia="Aptos"/>
          <w:kern w:val="2"/>
          <w:szCs w:val="22"/>
          <w14:ligatures w14:val="standardContextual"/>
        </w:rPr>
        <w:t>There were no significant differences between tillage type</w:t>
      </w:r>
      <w:r w:rsidR="00F64C33">
        <w:rPr>
          <w:rFonts w:eastAsia="Aptos"/>
          <w:kern w:val="2"/>
          <w:szCs w:val="22"/>
          <w14:ligatures w14:val="standardContextual"/>
        </w:rPr>
        <w:t>s</w:t>
      </w:r>
      <w:r w:rsidR="00A05D87" w:rsidRPr="00712403">
        <w:rPr>
          <w:rFonts w:eastAsia="Aptos"/>
          <w:kern w:val="2"/>
          <w:szCs w:val="22"/>
          <w14:ligatures w14:val="standardContextual"/>
        </w:rPr>
        <w:t xml:space="preserve"> in 2023 suggesting that low disease </w:t>
      </w:r>
      <w:r w:rsidR="00DA6415">
        <w:rPr>
          <w:rFonts w:eastAsia="Aptos"/>
          <w:kern w:val="2"/>
          <w:szCs w:val="22"/>
          <w14:ligatures w14:val="standardContextual"/>
        </w:rPr>
        <w:t>pressure</w:t>
      </w:r>
      <w:r w:rsidR="00A05D87" w:rsidRPr="00712403">
        <w:rPr>
          <w:rFonts w:eastAsia="Aptos"/>
          <w:kern w:val="2"/>
          <w:szCs w:val="22"/>
          <w14:ligatures w14:val="standardContextual"/>
        </w:rPr>
        <w:t xml:space="preserve"> resulted in similar disease occurrence in the following crop</w:t>
      </w:r>
      <w:r w:rsidR="00631B41">
        <w:rPr>
          <w:rFonts w:eastAsia="Aptos"/>
          <w:kern w:val="2"/>
          <w:szCs w:val="22"/>
          <w14:ligatures w14:val="standardContextual"/>
        </w:rPr>
        <w:t xml:space="preserve">. </w:t>
      </w:r>
      <w:r w:rsidR="00767F9D">
        <w:rPr>
          <w:rFonts w:eastAsia="Aptos"/>
          <w:kern w:val="2"/>
          <w:szCs w:val="22"/>
          <w14:ligatures w14:val="standardContextual"/>
        </w:rPr>
        <w:t xml:space="preserve">Different isolates of </w:t>
      </w:r>
      <w:proofErr w:type="spellStart"/>
      <w:r w:rsidR="00767F9D">
        <w:rPr>
          <w:rFonts w:eastAsia="Aptos"/>
          <w:i/>
          <w:iCs/>
          <w:kern w:val="2"/>
          <w:szCs w:val="22"/>
          <w14:ligatures w14:val="standardContextual"/>
        </w:rPr>
        <w:t>pst</w:t>
      </w:r>
      <w:proofErr w:type="spellEnd"/>
      <w:r w:rsidR="00767F9D">
        <w:rPr>
          <w:rFonts w:eastAsia="Aptos"/>
          <w:i/>
          <w:iCs/>
          <w:kern w:val="2"/>
          <w:szCs w:val="22"/>
          <w14:ligatures w14:val="standardContextual"/>
        </w:rPr>
        <w:t xml:space="preserve"> </w:t>
      </w:r>
      <w:r w:rsidR="007A66BD">
        <w:rPr>
          <w:rFonts w:eastAsia="Aptos"/>
          <w:kern w:val="2"/>
          <w:szCs w:val="22"/>
          <w14:ligatures w14:val="standardContextual"/>
        </w:rPr>
        <w:t xml:space="preserve">were used for each inoculation. This could have </w:t>
      </w:r>
      <w:proofErr w:type="gramStart"/>
      <w:r w:rsidR="007A66BD">
        <w:rPr>
          <w:rFonts w:eastAsia="Aptos"/>
          <w:kern w:val="2"/>
          <w:szCs w:val="22"/>
          <w14:ligatures w14:val="standardContextual"/>
        </w:rPr>
        <w:t>impacted</w:t>
      </w:r>
      <w:proofErr w:type="gramEnd"/>
      <w:r w:rsidR="00B10F7F">
        <w:rPr>
          <w:rFonts w:eastAsia="Aptos"/>
          <w:kern w:val="2"/>
          <w:szCs w:val="22"/>
          <w14:ligatures w14:val="standardContextual"/>
        </w:rPr>
        <w:t xml:space="preserve"> survival and infection between </w:t>
      </w:r>
      <w:r w:rsidR="00442B43">
        <w:rPr>
          <w:rFonts w:eastAsia="Aptos"/>
          <w:kern w:val="2"/>
          <w:szCs w:val="22"/>
          <w14:ligatures w14:val="standardContextual"/>
        </w:rPr>
        <w:t xml:space="preserve">each year. </w:t>
      </w:r>
      <w:r w:rsidR="00F806C1">
        <w:rPr>
          <w:rFonts w:eastAsia="Aptos"/>
          <w:kern w:val="2"/>
          <w:szCs w:val="22"/>
          <w14:ligatures w14:val="standardContextual"/>
        </w:rPr>
        <w:t xml:space="preserve">However, </w:t>
      </w:r>
      <w:r w:rsidR="00F64C33">
        <w:rPr>
          <w:rFonts w:eastAsia="Aptos"/>
          <w:kern w:val="2"/>
          <w:szCs w:val="22"/>
          <w14:ligatures w14:val="standardContextual"/>
        </w:rPr>
        <w:t>the inoculum</w:t>
      </w:r>
      <w:r w:rsidR="00F806C1">
        <w:rPr>
          <w:rFonts w:eastAsia="Aptos"/>
          <w:kern w:val="2"/>
          <w:szCs w:val="22"/>
          <w14:ligatures w14:val="standardContextual"/>
        </w:rPr>
        <w:t xml:space="preserve"> load was higher in Phase 1 of 2022</w:t>
      </w:r>
      <w:r w:rsidR="00DA66BF">
        <w:rPr>
          <w:rFonts w:eastAsia="Aptos"/>
          <w:kern w:val="2"/>
          <w:szCs w:val="22"/>
          <w14:ligatures w14:val="standardContextual"/>
        </w:rPr>
        <w:t xml:space="preserve"> (1.</w:t>
      </w:r>
      <w:r w:rsidR="00171D59">
        <w:rPr>
          <w:rFonts w:eastAsia="Aptos"/>
          <w:kern w:val="2"/>
          <w:szCs w:val="22"/>
          <w14:ligatures w14:val="standardContextual"/>
        </w:rPr>
        <w:t>3</w:t>
      </w:r>
      <w:r w:rsidR="00DA66BF">
        <w:rPr>
          <w:rFonts w:eastAsia="Aptos"/>
          <w:kern w:val="2"/>
          <w:szCs w:val="22"/>
          <w14:ligatures w14:val="standardContextual"/>
        </w:rPr>
        <w:t>x10</w:t>
      </w:r>
      <w:r w:rsidR="00177D9D">
        <w:rPr>
          <w:rFonts w:eastAsia="Aptos"/>
          <w:kern w:val="2"/>
          <w:szCs w:val="22"/>
          <w:vertAlign w:val="superscript"/>
          <w14:ligatures w14:val="standardContextual"/>
        </w:rPr>
        <w:t>8</w:t>
      </w:r>
      <w:r w:rsidR="00177D9D">
        <w:rPr>
          <w:rFonts w:eastAsia="Aptos"/>
          <w:kern w:val="2"/>
          <w:szCs w:val="22"/>
          <w14:ligatures w14:val="standardContextual"/>
        </w:rPr>
        <w:t>)</w:t>
      </w:r>
      <w:r w:rsidR="00F806C1">
        <w:rPr>
          <w:rFonts w:eastAsia="Aptos"/>
          <w:kern w:val="2"/>
          <w:szCs w:val="22"/>
          <w14:ligatures w14:val="standardContextual"/>
        </w:rPr>
        <w:t xml:space="preserve"> than in Phase 1 of 2023</w:t>
      </w:r>
      <w:r w:rsidR="00177D9D">
        <w:rPr>
          <w:rFonts w:eastAsia="Aptos"/>
          <w:kern w:val="2"/>
          <w:szCs w:val="22"/>
          <w14:ligatures w14:val="standardContextual"/>
        </w:rPr>
        <w:t xml:space="preserve"> (2.</w:t>
      </w:r>
      <w:r w:rsidR="00171D59">
        <w:rPr>
          <w:rFonts w:eastAsia="Aptos"/>
          <w:kern w:val="2"/>
          <w:szCs w:val="22"/>
          <w14:ligatures w14:val="standardContextual"/>
        </w:rPr>
        <w:t>8x10</w:t>
      </w:r>
      <w:r w:rsidR="0047172C">
        <w:rPr>
          <w:rFonts w:eastAsia="Aptos"/>
          <w:kern w:val="2"/>
          <w:szCs w:val="22"/>
          <w:vertAlign w:val="superscript"/>
          <w14:ligatures w14:val="standardContextual"/>
        </w:rPr>
        <w:t>6</w:t>
      </w:r>
      <w:r w:rsidR="0047172C">
        <w:rPr>
          <w:rFonts w:eastAsia="Aptos"/>
          <w:kern w:val="2"/>
          <w:szCs w:val="22"/>
          <w14:ligatures w14:val="standardContextual"/>
        </w:rPr>
        <w:t>)</w:t>
      </w:r>
      <w:r w:rsidR="00B02E5E">
        <w:rPr>
          <w:rFonts w:eastAsia="Aptos"/>
          <w:kern w:val="2"/>
          <w:szCs w:val="22"/>
          <w14:ligatures w14:val="standardContextual"/>
        </w:rPr>
        <w:t xml:space="preserve">. </w:t>
      </w:r>
    </w:p>
    <w:p w14:paraId="7D23A0D2" w14:textId="51228ED1" w:rsidR="000F27D4"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Differences in inoculation timing could have impacted the success of infection from year to year. In 2022, field inoculation was performed midday and inoculum was subjected to direct sunlight and higher air temperature. In 2023, a different approach was taken where inoculum was applied at dusk with cooler temperatures and no direct sunlight.</w:t>
      </w:r>
      <w:r w:rsidRPr="00712403">
        <w:rPr>
          <w:rFonts w:eastAsia="Aptos"/>
          <w:color w:val="4C94D8"/>
          <w:kern w:val="2"/>
          <w:szCs w:val="22"/>
          <w14:ligatures w14:val="standardContextual"/>
        </w:rPr>
        <w:t xml:space="preserve"> </w:t>
      </w:r>
      <w:r w:rsidRPr="00712403">
        <w:rPr>
          <w:rFonts w:eastAsia="Aptos"/>
          <w:kern w:val="2"/>
          <w:szCs w:val="22"/>
          <w14:ligatures w14:val="standardContextual"/>
        </w:rPr>
        <w:t xml:space="preserve">Additionally, precipitation within seven days after inoculation was 44 and 1.5 mm in 2022 and 2023, respectively. High humidity and warm temperatures </w:t>
      </w:r>
      <w:r w:rsidR="007E15AD">
        <w:rPr>
          <w:rFonts w:eastAsia="Aptos"/>
          <w:kern w:val="2"/>
          <w:szCs w:val="22"/>
          <w14:ligatures w14:val="standardContextual"/>
        </w:rPr>
        <w:t xml:space="preserve">can </w:t>
      </w:r>
      <w:r w:rsidR="00D97F87">
        <w:rPr>
          <w:rFonts w:eastAsia="Aptos"/>
          <w:kern w:val="2"/>
          <w:szCs w:val="22"/>
          <w14:ligatures w14:val="standardContextual"/>
        </w:rPr>
        <w:t xml:space="preserve">negatively </w:t>
      </w:r>
      <w:r w:rsidR="007E15AD">
        <w:rPr>
          <w:rFonts w:eastAsia="Aptos"/>
          <w:kern w:val="2"/>
          <w:szCs w:val="22"/>
          <w14:ligatures w14:val="standardContextual"/>
        </w:rPr>
        <w:t>affect</w:t>
      </w:r>
      <w:r w:rsidRPr="00712403">
        <w:rPr>
          <w:rFonts w:eastAsia="Aptos"/>
          <w:kern w:val="2"/>
          <w:szCs w:val="22"/>
          <w14:ligatures w14:val="standardContextual"/>
        </w:rPr>
        <w:t xml:space="preserve"> the epiphytic populations of </w:t>
      </w:r>
      <w:r w:rsidR="004C1BA1">
        <w:rPr>
          <w:rFonts w:eastAsia="Aptos"/>
          <w:i/>
          <w:iCs/>
          <w:kern w:val="2"/>
          <w:szCs w:val="22"/>
          <w14:ligatures w14:val="standardContextual"/>
        </w:rPr>
        <w:t>P</w:t>
      </w:r>
      <w:r w:rsidRPr="00712403">
        <w:rPr>
          <w:rFonts w:eastAsia="Aptos"/>
          <w:i/>
          <w:iCs/>
          <w:kern w:val="2"/>
          <w:szCs w:val="22"/>
          <w14:ligatures w14:val="standardContextual"/>
        </w:rPr>
        <w:t xml:space="preserve">. </w:t>
      </w:r>
      <w:proofErr w:type="spellStart"/>
      <w:r w:rsidRPr="00712403">
        <w:rPr>
          <w:rFonts w:eastAsia="Aptos"/>
          <w:i/>
          <w:iCs/>
          <w:kern w:val="2"/>
          <w:szCs w:val="22"/>
          <w14:ligatures w14:val="standardContextual"/>
        </w:rPr>
        <w:t>syringae</w:t>
      </w:r>
      <w:proofErr w:type="spellEnd"/>
      <w:r w:rsidRPr="00712403">
        <w:rPr>
          <w:rFonts w:eastAsia="Aptos"/>
          <w:kern w:val="2"/>
          <w:szCs w:val="22"/>
          <w14:ligatures w14:val="standardContextual"/>
        </w:rPr>
        <w:t xml:space="preserve"> species (Xin</w:t>
      </w:r>
      <w:r w:rsidR="0019669C">
        <w:rPr>
          <w:rFonts w:eastAsia="Aptos"/>
          <w:kern w:val="2"/>
          <w:szCs w:val="22"/>
          <w14:ligatures w14:val="standardContextual"/>
        </w:rPr>
        <w:t xml:space="preserve"> et al.</w:t>
      </w:r>
      <w:r w:rsidR="00F51FEF">
        <w:rPr>
          <w:rFonts w:eastAsia="Aptos"/>
          <w:kern w:val="2"/>
          <w:szCs w:val="22"/>
          <w14:ligatures w14:val="standardContextual"/>
        </w:rPr>
        <w:t xml:space="preserve"> et al.</w:t>
      </w:r>
      <w:r w:rsidRPr="00712403">
        <w:rPr>
          <w:rFonts w:eastAsia="Aptos"/>
          <w:kern w:val="2"/>
          <w:szCs w:val="22"/>
          <w14:ligatures w14:val="standardContextual"/>
        </w:rPr>
        <w:t xml:space="preserve"> 2018). Warm temperatures above 28 </w:t>
      </w:r>
      <w:r w:rsidRPr="00712403">
        <w:rPr>
          <w:rFonts w:eastAsia="Aptos"/>
          <w:kern w:val="2"/>
          <w:szCs w:val="22"/>
          <w14:ligatures w14:val="standardContextual"/>
        </w:rPr>
        <w:sym w:font="Symbol" w:char="F0B0"/>
      </w:r>
      <w:r w:rsidRPr="00712403">
        <w:rPr>
          <w:rFonts w:eastAsia="Aptos"/>
          <w:kern w:val="2"/>
          <w:szCs w:val="22"/>
          <w14:ligatures w14:val="standardContextual"/>
        </w:rPr>
        <w:t xml:space="preserve">C slow motility and production of phytotoxins, both of which are crucial for plant infection by </w:t>
      </w:r>
      <w:r w:rsidR="00C82301">
        <w:rPr>
          <w:rFonts w:eastAsia="Aptos"/>
          <w:i/>
          <w:iCs/>
          <w:kern w:val="2"/>
          <w:szCs w:val="22"/>
          <w14:ligatures w14:val="standardContextual"/>
        </w:rPr>
        <w:t>P</w:t>
      </w:r>
      <w:r w:rsidRPr="00712403">
        <w:rPr>
          <w:rFonts w:eastAsia="Aptos"/>
          <w:i/>
          <w:iCs/>
          <w:kern w:val="2"/>
          <w:szCs w:val="22"/>
          <w14:ligatures w14:val="standardContextual"/>
        </w:rPr>
        <w:t xml:space="preserve">. </w:t>
      </w:r>
      <w:proofErr w:type="spellStart"/>
      <w:r w:rsidRPr="00712403">
        <w:rPr>
          <w:rFonts w:eastAsia="Aptos"/>
          <w:i/>
          <w:iCs/>
          <w:kern w:val="2"/>
          <w:szCs w:val="22"/>
          <w14:ligatures w14:val="standardContextual"/>
        </w:rPr>
        <w:t>syringae</w:t>
      </w:r>
      <w:proofErr w:type="spellEnd"/>
      <w:r w:rsidRPr="00712403">
        <w:rPr>
          <w:rFonts w:eastAsia="Aptos"/>
          <w:kern w:val="2"/>
          <w:szCs w:val="22"/>
          <w14:ligatures w14:val="standardContextual"/>
        </w:rPr>
        <w:t xml:space="preserve"> species (Xin, et al. 2018). The higher temperatures and lower moisture experienced during 2022 inoculation (Phase 1) could explain some of the lack of success in disease prevalence </w:t>
      </w:r>
      <w:r w:rsidR="000F27D4">
        <w:rPr>
          <w:rFonts w:eastAsia="Aptos"/>
          <w:kern w:val="2"/>
          <w:szCs w:val="22"/>
          <w14:ligatures w14:val="standardContextual"/>
        </w:rPr>
        <w:t xml:space="preserve">in 2023 </w:t>
      </w:r>
      <w:r w:rsidRPr="00712403">
        <w:rPr>
          <w:rFonts w:eastAsia="Aptos"/>
          <w:kern w:val="2"/>
          <w:szCs w:val="22"/>
          <w14:ligatures w14:val="standardContextual"/>
        </w:rPr>
        <w:t>(Phase 2) (</w:t>
      </w:r>
      <w:r w:rsidRPr="00712403">
        <w:rPr>
          <w:rFonts w:eastAsia="Aptos"/>
          <w:b/>
          <w:bCs/>
          <w:kern w:val="2"/>
          <w:szCs w:val="22"/>
          <w14:ligatures w14:val="standardContextual"/>
        </w:rPr>
        <w:t>Figure 1</w:t>
      </w:r>
      <w:r w:rsidRPr="00712403">
        <w:rPr>
          <w:rFonts w:eastAsia="Aptos"/>
          <w:kern w:val="2"/>
          <w:szCs w:val="22"/>
          <w14:ligatures w14:val="standardContextual"/>
        </w:rPr>
        <w:t xml:space="preserve">). High temperatures can influence plant immune responses, making plants more susceptible to disease infection at higher temperatures. However, tobacco plant growth occurs more rapidly under warm temperatures with an optimal temperature of 27 </w:t>
      </w:r>
      <w:r w:rsidRPr="00712403">
        <w:rPr>
          <w:rFonts w:eastAsia="Aptos"/>
          <w:kern w:val="2"/>
          <w:szCs w:val="22"/>
          <w14:ligatures w14:val="standardContextual"/>
        </w:rPr>
        <w:sym w:font="Symbol" w:char="F0B0"/>
      </w:r>
      <w:r w:rsidRPr="00712403">
        <w:rPr>
          <w:rFonts w:eastAsia="Aptos"/>
          <w:kern w:val="2"/>
          <w:szCs w:val="22"/>
          <w14:ligatures w14:val="standardContextual"/>
        </w:rPr>
        <w:t>C (Xin</w:t>
      </w:r>
      <w:r w:rsidR="0019669C">
        <w:rPr>
          <w:rFonts w:eastAsia="Aptos"/>
          <w:kern w:val="2"/>
          <w:szCs w:val="22"/>
          <w14:ligatures w14:val="standardContextual"/>
        </w:rPr>
        <w:t xml:space="preserve"> et al.</w:t>
      </w:r>
      <w:r w:rsidR="00F51FEF">
        <w:rPr>
          <w:rFonts w:eastAsia="Aptos"/>
          <w:kern w:val="2"/>
          <w:szCs w:val="22"/>
          <w14:ligatures w14:val="standardContextual"/>
        </w:rPr>
        <w:t xml:space="preserve"> et al.</w:t>
      </w:r>
      <w:r w:rsidRPr="00712403">
        <w:rPr>
          <w:rFonts w:eastAsia="Aptos"/>
          <w:kern w:val="2"/>
          <w:szCs w:val="22"/>
          <w14:ligatures w14:val="standardContextual"/>
        </w:rPr>
        <w:t xml:space="preserve"> 2018; Tso, 1972). </w:t>
      </w:r>
      <w:r w:rsidR="0043650C" w:rsidRPr="00712403">
        <w:rPr>
          <w:rFonts w:eastAsia="Aptos"/>
          <w:kern w:val="2"/>
          <w:szCs w:val="22"/>
          <w14:ligatures w14:val="standardContextual"/>
        </w:rPr>
        <w:t>The final</w:t>
      </w:r>
      <w:r w:rsidRPr="00712403">
        <w:rPr>
          <w:rFonts w:eastAsia="Aptos"/>
          <w:kern w:val="2"/>
          <w:szCs w:val="22"/>
          <w14:ligatures w14:val="standardContextual"/>
        </w:rPr>
        <w:t xml:space="preserve"> disease index during </w:t>
      </w:r>
      <w:proofErr w:type="gramStart"/>
      <w:r w:rsidRPr="00712403">
        <w:rPr>
          <w:rFonts w:eastAsia="Aptos"/>
          <w:kern w:val="2"/>
          <w:szCs w:val="22"/>
          <w14:ligatures w14:val="standardContextual"/>
        </w:rPr>
        <w:t>the Phase</w:t>
      </w:r>
      <w:proofErr w:type="gramEnd"/>
      <w:r w:rsidRPr="00712403">
        <w:rPr>
          <w:rFonts w:eastAsia="Aptos"/>
          <w:kern w:val="2"/>
          <w:szCs w:val="22"/>
          <w14:ligatures w14:val="standardContextual"/>
        </w:rPr>
        <w:t xml:space="preserve"> 1 tobacco crop (</w:t>
      </w:r>
      <w:r w:rsidRPr="00712403">
        <w:rPr>
          <w:rFonts w:eastAsia="Aptos"/>
          <w:b/>
          <w:bCs/>
          <w:kern w:val="2"/>
          <w:szCs w:val="22"/>
          <w14:ligatures w14:val="standardContextual"/>
        </w:rPr>
        <w:t>Figure 1</w:t>
      </w:r>
      <w:r w:rsidRPr="00712403">
        <w:rPr>
          <w:rFonts w:eastAsia="Aptos"/>
          <w:kern w:val="2"/>
          <w:szCs w:val="22"/>
          <w14:ligatures w14:val="standardContextual"/>
        </w:rPr>
        <w:t>) was 0.02 in 2022 and 62 in 2023</w:t>
      </w:r>
      <w:r w:rsidR="00B02E5E">
        <w:rPr>
          <w:rFonts w:eastAsia="Aptos"/>
          <w:kern w:val="2"/>
          <w:szCs w:val="22"/>
          <w14:ligatures w14:val="standardContextual"/>
        </w:rPr>
        <w:t xml:space="preserve">. </w:t>
      </w:r>
      <w:r w:rsidRPr="00712403">
        <w:rPr>
          <w:rFonts w:eastAsia="Aptos"/>
          <w:kern w:val="2"/>
          <w:szCs w:val="22"/>
          <w14:ligatures w14:val="standardContextual"/>
        </w:rPr>
        <w:t xml:space="preserve">Due to extremely low disease pressure, 2023 disease data were excluded from further analysis. </w:t>
      </w:r>
    </w:p>
    <w:p w14:paraId="65343FA7" w14:textId="35CDBA7F" w:rsidR="00FA3A78" w:rsidRDefault="00712403" w:rsidP="00FC0490">
      <w:pPr>
        <w:spacing w:line="360" w:lineRule="auto"/>
        <w:ind w:firstLine="720"/>
        <w:rPr>
          <w:rFonts w:eastAsia="Aptos"/>
          <w:kern w:val="2"/>
          <w:szCs w:val="22"/>
          <w14:ligatures w14:val="standardContextual"/>
        </w:rPr>
      </w:pPr>
      <w:r w:rsidRPr="00EA6459">
        <w:rPr>
          <w:rFonts w:eastAsia="Aptos"/>
          <w:kern w:val="2"/>
          <w:szCs w:val="22"/>
          <w14:ligatures w14:val="standardContextual"/>
        </w:rPr>
        <w:t xml:space="preserve">During 2024, significant differences between tillage types were observed where no-tillage had significantly higher AUDPS compared to </w:t>
      </w:r>
      <w:r w:rsidRPr="00CC0C05">
        <w:rPr>
          <w:rFonts w:eastAsia="Aptos"/>
          <w:kern w:val="2"/>
          <w:szCs w:val="22"/>
          <w14:ligatures w14:val="standardContextual"/>
        </w:rPr>
        <w:t>conventional tillage</w:t>
      </w:r>
      <w:r w:rsidRPr="00EA6459">
        <w:rPr>
          <w:rFonts w:eastAsia="Aptos"/>
          <w:kern w:val="2"/>
          <w:szCs w:val="22"/>
          <w14:ligatures w14:val="standardContextual"/>
        </w:rPr>
        <w:t xml:space="preserve"> (</w:t>
      </w:r>
      <w:r w:rsidRPr="00EA6459">
        <w:rPr>
          <w:rFonts w:eastAsia="Aptos"/>
          <w:b/>
          <w:bCs/>
          <w:kern w:val="2"/>
          <w:szCs w:val="22"/>
          <w14:ligatures w14:val="standardContextual"/>
        </w:rPr>
        <w:t xml:space="preserve">Figure </w:t>
      </w:r>
      <w:r w:rsidR="009E666A">
        <w:rPr>
          <w:rFonts w:eastAsia="Aptos"/>
          <w:b/>
          <w:bCs/>
          <w:kern w:val="2"/>
          <w:szCs w:val="22"/>
          <w14:ligatures w14:val="standardContextual"/>
        </w:rPr>
        <w:t>4</w:t>
      </w:r>
      <w:r w:rsidRPr="00EA6459">
        <w:rPr>
          <w:rFonts w:eastAsia="Aptos"/>
          <w:kern w:val="2"/>
          <w:szCs w:val="22"/>
          <w14:ligatures w14:val="standardContextual"/>
        </w:rPr>
        <w:t>). Under high</w:t>
      </w:r>
      <w:r w:rsidR="00F2535E" w:rsidRPr="00EA6459">
        <w:rPr>
          <w:rFonts w:eastAsia="Aptos"/>
          <w:kern w:val="2"/>
          <w:szCs w:val="22"/>
          <w14:ligatures w14:val="standardContextual"/>
        </w:rPr>
        <w:t>er</w:t>
      </w:r>
      <w:r w:rsidRPr="00EA6459">
        <w:rPr>
          <w:rFonts w:eastAsia="Aptos"/>
          <w:kern w:val="2"/>
          <w:szCs w:val="22"/>
          <w14:ligatures w14:val="standardContextual"/>
        </w:rPr>
        <w:t xml:space="preserve"> disease pressure</w:t>
      </w:r>
      <w:r w:rsidR="00F2535E" w:rsidRPr="00EA6459">
        <w:rPr>
          <w:rFonts w:eastAsia="Aptos"/>
          <w:kern w:val="2"/>
          <w:szCs w:val="22"/>
          <w14:ligatures w14:val="standardContextual"/>
        </w:rPr>
        <w:t xml:space="preserve"> observed in </w:t>
      </w:r>
      <w:r w:rsidR="000F27D4">
        <w:rPr>
          <w:rFonts w:eastAsia="Aptos"/>
          <w:kern w:val="2"/>
          <w:szCs w:val="22"/>
          <w14:ligatures w14:val="standardContextual"/>
        </w:rPr>
        <w:t>P</w:t>
      </w:r>
      <w:r w:rsidR="00F2535E" w:rsidRPr="00EA6459">
        <w:rPr>
          <w:rFonts w:eastAsia="Aptos"/>
          <w:kern w:val="2"/>
          <w:szCs w:val="22"/>
          <w14:ligatures w14:val="standardContextual"/>
        </w:rPr>
        <w:t xml:space="preserve">hase 1 of </w:t>
      </w:r>
      <w:r w:rsidR="003028D1" w:rsidRPr="00CC0C05">
        <w:rPr>
          <w:rFonts w:eastAsia="Aptos"/>
          <w:kern w:val="2"/>
          <w:szCs w:val="22"/>
          <w14:ligatures w14:val="standardContextual"/>
        </w:rPr>
        <w:t>the 2023</w:t>
      </w:r>
      <w:r w:rsidR="00EA6459">
        <w:rPr>
          <w:rFonts w:eastAsia="Aptos"/>
          <w:kern w:val="2"/>
          <w:szCs w:val="22"/>
          <w14:ligatures w14:val="standardContextual"/>
        </w:rPr>
        <w:t>-</w:t>
      </w:r>
      <w:r w:rsidR="003028D1" w:rsidRPr="00CC0C05">
        <w:rPr>
          <w:rFonts w:eastAsia="Aptos"/>
          <w:kern w:val="2"/>
          <w:szCs w:val="22"/>
          <w14:ligatures w14:val="standardContextual"/>
        </w:rPr>
        <w:t xml:space="preserve">2024 research </w:t>
      </w:r>
      <w:r w:rsidR="00525397" w:rsidRPr="00CC0C05">
        <w:rPr>
          <w:rFonts w:eastAsia="Aptos"/>
          <w:kern w:val="2"/>
          <w:szCs w:val="22"/>
          <w14:ligatures w14:val="standardContextual"/>
        </w:rPr>
        <w:t>season</w:t>
      </w:r>
      <w:r w:rsidRPr="00EA6459">
        <w:rPr>
          <w:rFonts w:eastAsia="Aptos"/>
          <w:kern w:val="2"/>
          <w:szCs w:val="22"/>
          <w14:ligatures w14:val="standardContextual"/>
        </w:rPr>
        <w:t xml:space="preserve">, conventional tillage appeared to </w:t>
      </w:r>
      <w:r w:rsidR="00897102" w:rsidRPr="00EA6459">
        <w:rPr>
          <w:rFonts w:eastAsia="Aptos"/>
          <w:kern w:val="2"/>
          <w:szCs w:val="22"/>
          <w14:ligatures w14:val="standardContextual"/>
        </w:rPr>
        <w:t>result in less disease compared to no-till</w:t>
      </w:r>
      <w:r w:rsidRPr="00EA6459">
        <w:rPr>
          <w:rFonts w:eastAsia="Aptos"/>
          <w:kern w:val="2"/>
          <w:szCs w:val="22"/>
          <w14:ligatures w14:val="standardContextual"/>
        </w:rPr>
        <w:t>.</w:t>
      </w:r>
      <w:r w:rsidRPr="00712403">
        <w:rPr>
          <w:rFonts w:eastAsia="Aptos"/>
          <w:kern w:val="2"/>
          <w:szCs w:val="22"/>
          <w14:ligatures w14:val="standardContextual"/>
        </w:rPr>
        <w:t xml:space="preserve"> However, this result is based on one year of field experimentation due to the lack of sufficient inoculum in the first year of this study</w:t>
      </w:r>
      <w:r w:rsidR="0030577F">
        <w:rPr>
          <w:rFonts w:eastAsia="Aptos"/>
          <w:kern w:val="2"/>
          <w:szCs w:val="22"/>
          <w14:ligatures w14:val="standardContextual"/>
        </w:rPr>
        <w:t>.</w:t>
      </w:r>
      <w:r w:rsidRPr="00712403">
        <w:rPr>
          <w:rFonts w:eastAsia="Aptos"/>
          <w:kern w:val="2"/>
          <w:szCs w:val="22"/>
          <w14:ligatures w14:val="standardContextual"/>
        </w:rPr>
        <w:t xml:space="preserve"> </w:t>
      </w:r>
    </w:p>
    <w:p w14:paraId="4A035E49" w14:textId="77777777" w:rsidR="00FA3A78" w:rsidRDefault="00C90F06" w:rsidP="00FC0490">
      <w:pPr>
        <w:spacing w:line="360" w:lineRule="auto"/>
        <w:ind w:firstLine="720"/>
        <w:rPr>
          <w:rFonts w:eastAsia="Aptos"/>
          <w:kern w:val="2"/>
          <w:szCs w:val="22"/>
          <w14:ligatures w14:val="standardContextual"/>
        </w:rPr>
      </w:pPr>
      <w:r w:rsidRPr="00D676C9">
        <w:rPr>
          <w:rFonts w:eastAsia="Aptos"/>
          <w:kern w:val="2"/>
          <w:szCs w:val="22"/>
          <w14:ligatures w14:val="standardContextual"/>
        </w:rPr>
        <w:t>Although pre-emergent herbicide was sprayed on the plots before tobacco transplanting, weeds were still present in and around the tobacco plots. Additionally, fallow plots during the cover crop seasons were not maintained weed free and had various winter weeds present.</w:t>
      </w:r>
      <w:r w:rsidR="0030577F" w:rsidRPr="00712403">
        <w:rPr>
          <w:rFonts w:eastAsia="Aptos"/>
          <w:kern w:val="2"/>
          <w:szCs w:val="22"/>
          <w14:ligatures w14:val="standardContextual"/>
        </w:rPr>
        <w:t xml:space="preserve"> It is possible that weeds and crop residues </w:t>
      </w:r>
      <w:r w:rsidR="00B24BDB" w:rsidRPr="00712403">
        <w:rPr>
          <w:rFonts w:eastAsia="Aptos"/>
          <w:kern w:val="2"/>
          <w:szCs w:val="22"/>
          <w14:ligatures w14:val="standardContextual"/>
        </w:rPr>
        <w:t>can</w:t>
      </w:r>
      <w:r w:rsidR="0030577F" w:rsidRPr="00712403">
        <w:rPr>
          <w:rFonts w:eastAsia="Aptos"/>
          <w:kern w:val="2"/>
          <w:szCs w:val="22"/>
          <w14:ligatures w14:val="standardContextual"/>
        </w:rPr>
        <w:t xml:space="preserve"> harbor </w:t>
      </w:r>
      <w:proofErr w:type="spellStart"/>
      <w:r w:rsidR="0030577F" w:rsidRPr="00712403">
        <w:rPr>
          <w:rFonts w:eastAsia="Aptos"/>
          <w:i/>
          <w:iCs/>
          <w:kern w:val="2"/>
          <w:szCs w:val="22"/>
          <w14:ligatures w14:val="standardContextual"/>
        </w:rPr>
        <w:t>pst</w:t>
      </w:r>
      <w:proofErr w:type="spellEnd"/>
      <w:r w:rsidR="0030577F" w:rsidRPr="00712403">
        <w:rPr>
          <w:rFonts w:eastAsia="Aptos"/>
          <w:i/>
          <w:iCs/>
          <w:kern w:val="2"/>
          <w:szCs w:val="22"/>
          <w14:ligatures w14:val="standardContextual"/>
        </w:rPr>
        <w:t xml:space="preserve">, </w:t>
      </w:r>
      <w:r w:rsidR="0030577F" w:rsidRPr="00712403">
        <w:rPr>
          <w:rFonts w:eastAsia="Aptos"/>
          <w:kern w:val="2"/>
          <w:szCs w:val="22"/>
          <w14:ligatures w14:val="standardContextual"/>
        </w:rPr>
        <w:t xml:space="preserve">therefore, it could be </w:t>
      </w:r>
      <w:r w:rsidR="0030577F">
        <w:rPr>
          <w:rFonts w:eastAsia="Aptos"/>
          <w:kern w:val="2"/>
          <w:szCs w:val="22"/>
          <w14:ligatures w14:val="standardContextual"/>
        </w:rPr>
        <w:t>possible</w:t>
      </w:r>
      <w:r w:rsidR="0030577F" w:rsidRPr="00712403">
        <w:rPr>
          <w:rFonts w:eastAsia="Aptos"/>
          <w:kern w:val="2"/>
          <w:szCs w:val="22"/>
          <w14:ligatures w14:val="standardContextual"/>
        </w:rPr>
        <w:t xml:space="preserve"> that conventional tillage had less residue for the </w:t>
      </w:r>
      <w:proofErr w:type="spellStart"/>
      <w:r w:rsidR="0030577F" w:rsidRPr="00712403">
        <w:rPr>
          <w:rFonts w:eastAsia="Aptos"/>
          <w:i/>
          <w:iCs/>
          <w:kern w:val="2"/>
          <w:szCs w:val="22"/>
          <w14:ligatures w14:val="standardContextual"/>
        </w:rPr>
        <w:t>pst</w:t>
      </w:r>
      <w:proofErr w:type="spellEnd"/>
      <w:r w:rsidR="0030577F" w:rsidRPr="00712403">
        <w:rPr>
          <w:rFonts w:eastAsia="Aptos"/>
          <w:kern w:val="2"/>
          <w:szCs w:val="22"/>
          <w14:ligatures w14:val="standardContextual"/>
        </w:rPr>
        <w:t xml:space="preserve"> to survive and reinfect the tobacco crop in 2024 (Wisler &amp; Norris, 2005; </w:t>
      </w:r>
      <w:proofErr w:type="spellStart"/>
      <w:r w:rsidR="0030577F" w:rsidRPr="00712403">
        <w:t>Mougou</w:t>
      </w:r>
      <w:proofErr w:type="spellEnd"/>
      <w:r w:rsidR="0030577F" w:rsidRPr="00712403">
        <w:t xml:space="preserve"> &amp; </w:t>
      </w:r>
      <w:proofErr w:type="spellStart"/>
      <w:r w:rsidR="0030577F" w:rsidRPr="00712403">
        <w:t>Boughalleb-M’Hamdi</w:t>
      </w:r>
      <w:proofErr w:type="spellEnd"/>
      <w:r w:rsidR="0030577F" w:rsidRPr="00712403">
        <w:t>, 2016</w:t>
      </w:r>
      <w:r w:rsidR="0030577F" w:rsidRPr="00712403">
        <w:rPr>
          <w:rFonts w:eastAsia="Aptos"/>
          <w:kern w:val="2"/>
          <w:szCs w:val="22"/>
          <w14:ligatures w14:val="standardContextual"/>
        </w:rPr>
        <w:t>).</w:t>
      </w:r>
      <w:r w:rsidRPr="00D676C9">
        <w:rPr>
          <w:rFonts w:eastAsia="Aptos"/>
          <w:kern w:val="2"/>
          <w:szCs w:val="22"/>
          <w14:ligatures w14:val="standardContextual"/>
        </w:rPr>
        <w:t xml:space="preserve"> Other studies have observed various </w:t>
      </w:r>
      <w:r>
        <w:rPr>
          <w:rFonts w:eastAsia="Aptos"/>
          <w:i/>
          <w:iCs/>
          <w:kern w:val="2"/>
          <w:szCs w:val="22"/>
          <w14:ligatures w14:val="standardContextual"/>
        </w:rPr>
        <w:t>P</w:t>
      </w:r>
      <w:r w:rsidRPr="00BA56C7">
        <w:rPr>
          <w:rFonts w:eastAsia="Aptos"/>
          <w:i/>
          <w:iCs/>
          <w:kern w:val="2"/>
          <w:szCs w:val="22"/>
          <w14:ligatures w14:val="standardContextual"/>
        </w:rPr>
        <w:t>seudomonas</w:t>
      </w:r>
      <w:r w:rsidRPr="00D676C9">
        <w:rPr>
          <w:rFonts w:eastAsia="Aptos"/>
          <w:kern w:val="2"/>
          <w:szCs w:val="22"/>
          <w14:ligatures w14:val="standardContextual"/>
        </w:rPr>
        <w:t xml:space="preserve"> species being effectively harbored in common weed species found in the Mid-South region of the US (Dutta</w:t>
      </w:r>
      <w:r w:rsidR="0019669C">
        <w:rPr>
          <w:rFonts w:eastAsia="Aptos"/>
          <w:kern w:val="2"/>
          <w:szCs w:val="22"/>
          <w14:ligatures w14:val="standardContextual"/>
        </w:rPr>
        <w:t xml:space="preserve"> </w:t>
      </w:r>
      <w:r w:rsidR="00F51FEF">
        <w:rPr>
          <w:rFonts w:eastAsia="Aptos"/>
          <w:kern w:val="2"/>
          <w:szCs w:val="22"/>
          <w14:ligatures w14:val="standardContextual"/>
        </w:rPr>
        <w:t>et al.</w:t>
      </w:r>
      <w:r w:rsidRPr="00D676C9">
        <w:rPr>
          <w:rFonts w:eastAsia="Aptos"/>
          <w:kern w:val="2"/>
          <w:szCs w:val="22"/>
          <w14:ligatures w14:val="standardContextual"/>
        </w:rPr>
        <w:t xml:space="preserve"> 2014; McCarter et al. 1983).</w:t>
      </w:r>
      <w:r w:rsidR="0030577F">
        <w:rPr>
          <w:rFonts w:eastAsia="Aptos"/>
          <w:kern w:val="2"/>
          <w:szCs w:val="22"/>
          <w14:ligatures w14:val="standardContextual"/>
        </w:rPr>
        <w:t xml:space="preserve"> </w:t>
      </w:r>
    </w:p>
    <w:p w14:paraId="72AC6BCC" w14:textId="18FD445F" w:rsidR="00712403" w:rsidRPr="00712403"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 xml:space="preserve">Disease </w:t>
      </w:r>
      <w:r w:rsidR="007949D4">
        <w:rPr>
          <w:rFonts w:eastAsia="Aptos"/>
          <w:kern w:val="2"/>
          <w:szCs w:val="22"/>
          <w14:ligatures w14:val="standardContextual"/>
        </w:rPr>
        <w:t>spread</w:t>
      </w:r>
      <w:r w:rsidR="007949D4" w:rsidRPr="00712403">
        <w:rPr>
          <w:rFonts w:eastAsia="Aptos"/>
          <w:kern w:val="2"/>
          <w:szCs w:val="22"/>
          <w14:ligatures w14:val="standardContextual"/>
        </w:rPr>
        <w:t xml:space="preserve"> </w:t>
      </w:r>
      <w:r w:rsidRPr="00712403">
        <w:rPr>
          <w:rFonts w:eastAsia="Aptos"/>
          <w:kern w:val="2"/>
          <w:szCs w:val="22"/>
          <w14:ligatures w14:val="standardContextual"/>
        </w:rPr>
        <w:t xml:space="preserve">in 2024 was significantly slower under conventional tillage </w:t>
      </w:r>
      <w:r w:rsidR="00EE72D9">
        <w:rPr>
          <w:rFonts w:eastAsia="Aptos"/>
          <w:kern w:val="2"/>
          <w:szCs w:val="22"/>
          <w14:ligatures w14:val="standardContextual"/>
        </w:rPr>
        <w:t>by</w:t>
      </w:r>
      <w:r w:rsidRPr="00712403">
        <w:rPr>
          <w:rFonts w:eastAsia="Aptos"/>
          <w:kern w:val="2"/>
          <w:szCs w:val="22"/>
          <w14:ligatures w14:val="standardContextual"/>
        </w:rPr>
        <w:t xml:space="preserve"> approximately two weeks compared to no-tillage during the same time (</w:t>
      </w:r>
      <w:r w:rsidRPr="00712403">
        <w:rPr>
          <w:rFonts w:eastAsia="Aptos"/>
          <w:b/>
          <w:bCs/>
          <w:kern w:val="2"/>
          <w:szCs w:val="22"/>
          <w14:ligatures w14:val="standardContextual"/>
        </w:rPr>
        <w:t xml:space="preserve">Figure </w:t>
      </w:r>
      <w:r w:rsidR="00AB3C3D">
        <w:rPr>
          <w:rFonts w:eastAsia="Aptos"/>
          <w:b/>
          <w:bCs/>
          <w:kern w:val="2"/>
          <w:szCs w:val="22"/>
          <w14:ligatures w14:val="standardContextual"/>
        </w:rPr>
        <w:t>6</w:t>
      </w:r>
      <w:r w:rsidRPr="00712403">
        <w:rPr>
          <w:rFonts w:eastAsia="Aptos"/>
          <w:b/>
          <w:bCs/>
          <w:kern w:val="2"/>
          <w:szCs w:val="22"/>
          <w14:ligatures w14:val="standardContextual"/>
        </w:rPr>
        <w:t>A</w:t>
      </w:r>
      <w:r w:rsidRPr="00712403">
        <w:rPr>
          <w:rFonts w:eastAsia="Aptos"/>
          <w:kern w:val="2"/>
          <w:szCs w:val="22"/>
          <w14:ligatures w14:val="standardContextual"/>
        </w:rPr>
        <w:t xml:space="preserve">). Analyzing disease incidence lends </w:t>
      </w:r>
      <w:r w:rsidR="00F4249E">
        <w:rPr>
          <w:rFonts w:eastAsia="Aptos"/>
          <w:kern w:val="2"/>
          <w:szCs w:val="22"/>
          <w14:ligatures w14:val="standardContextual"/>
        </w:rPr>
        <w:t>better</w:t>
      </w:r>
      <w:r w:rsidR="00F4249E" w:rsidRPr="00712403">
        <w:rPr>
          <w:rFonts w:eastAsia="Aptos"/>
          <w:kern w:val="2"/>
          <w:szCs w:val="22"/>
          <w14:ligatures w14:val="standardContextual"/>
        </w:rPr>
        <w:t xml:space="preserve"> </w:t>
      </w:r>
      <w:r w:rsidRPr="00712403">
        <w:rPr>
          <w:rFonts w:eastAsia="Aptos"/>
          <w:kern w:val="2"/>
          <w:szCs w:val="22"/>
          <w14:ligatures w14:val="standardContextual"/>
        </w:rPr>
        <w:t xml:space="preserve">understanding </w:t>
      </w:r>
      <w:r w:rsidR="00F4249E">
        <w:rPr>
          <w:rFonts w:eastAsia="Aptos"/>
          <w:kern w:val="2"/>
          <w:szCs w:val="22"/>
          <w14:ligatures w14:val="standardContextual"/>
        </w:rPr>
        <w:t>of</w:t>
      </w:r>
      <w:r w:rsidR="00F4249E" w:rsidRPr="00712403">
        <w:rPr>
          <w:rFonts w:eastAsia="Aptos"/>
          <w:kern w:val="2"/>
          <w:szCs w:val="22"/>
          <w14:ligatures w14:val="standardContextual"/>
        </w:rPr>
        <w:t xml:space="preserve"> </w:t>
      </w:r>
      <w:r w:rsidRPr="00712403">
        <w:rPr>
          <w:rFonts w:eastAsia="Aptos"/>
          <w:kern w:val="2"/>
          <w:szCs w:val="22"/>
          <w14:ligatures w14:val="standardContextual"/>
        </w:rPr>
        <w:t xml:space="preserve">the rate of spread of ALS. No-tillage plots experienced slightly earlier onset and quicker spread of disease symptoms compared to conventional tillage. While there was a difference in the rate of spread, both tillage </w:t>
      </w:r>
      <w:r w:rsidR="00701663" w:rsidRPr="00712403">
        <w:rPr>
          <w:rFonts w:eastAsia="Aptos"/>
          <w:kern w:val="2"/>
          <w:szCs w:val="22"/>
          <w14:ligatures w14:val="standardContextual"/>
        </w:rPr>
        <w:t>systems</w:t>
      </w:r>
      <w:r w:rsidRPr="00712403">
        <w:rPr>
          <w:rFonts w:eastAsia="Aptos"/>
          <w:kern w:val="2"/>
          <w:szCs w:val="22"/>
          <w14:ligatures w14:val="standardContextual"/>
        </w:rPr>
        <w:t xml:space="preserve"> ended the season with 100% disease incidence (</w:t>
      </w:r>
      <w:r w:rsidRPr="00712403">
        <w:rPr>
          <w:rFonts w:eastAsia="Aptos"/>
          <w:b/>
          <w:bCs/>
          <w:kern w:val="2"/>
          <w:szCs w:val="22"/>
          <w14:ligatures w14:val="standardContextual"/>
        </w:rPr>
        <w:t xml:space="preserve">Figure </w:t>
      </w:r>
      <w:r w:rsidR="00AB3C3D">
        <w:rPr>
          <w:rFonts w:eastAsia="Aptos"/>
          <w:b/>
          <w:bCs/>
          <w:kern w:val="2"/>
          <w:szCs w:val="22"/>
          <w14:ligatures w14:val="standardContextual"/>
        </w:rPr>
        <w:t>6</w:t>
      </w:r>
      <w:r w:rsidRPr="00712403">
        <w:rPr>
          <w:rFonts w:eastAsia="Aptos"/>
          <w:b/>
          <w:bCs/>
          <w:kern w:val="2"/>
          <w:szCs w:val="22"/>
          <w14:ligatures w14:val="standardContextual"/>
        </w:rPr>
        <w:t>A</w:t>
      </w:r>
      <w:r w:rsidRPr="00712403">
        <w:rPr>
          <w:rFonts w:eastAsia="Aptos"/>
          <w:kern w:val="2"/>
          <w:szCs w:val="22"/>
          <w14:ligatures w14:val="standardContextual"/>
        </w:rPr>
        <w:t xml:space="preserve">). However, the severity of the disease at the end of the season </w:t>
      </w:r>
      <w:r w:rsidR="00FA3A78">
        <w:rPr>
          <w:rFonts w:eastAsia="Aptos"/>
          <w:kern w:val="2"/>
          <w:szCs w:val="22"/>
          <w14:ligatures w14:val="standardContextual"/>
        </w:rPr>
        <w:t>was significantly</w:t>
      </w:r>
      <w:r w:rsidRPr="00712403">
        <w:rPr>
          <w:rFonts w:eastAsia="Aptos"/>
          <w:kern w:val="2"/>
          <w:szCs w:val="22"/>
          <w14:ligatures w14:val="standardContextual"/>
        </w:rPr>
        <w:t xml:space="preserve"> differen</w:t>
      </w:r>
      <w:r w:rsidR="00FA3A78">
        <w:rPr>
          <w:rFonts w:eastAsia="Aptos"/>
          <w:kern w:val="2"/>
          <w:szCs w:val="22"/>
          <w14:ligatures w14:val="standardContextual"/>
        </w:rPr>
        <w:t>t</w:t>
      </w:r>
      <w:r w:rsidRPr="00712403">
        <w:rPr>
          <w:rFonts w:eastAsia="Aptos"/>
          <w:kern w:val="2"/>
          <w:szCs w:val="22"/>
          <w14:ligatures w14:val="standardContextual"/>
        </w:rPr>
        <w:t xml:space="preserve"> between tillage types</w:t>
      </w:r>
      <w:r w:rsidR="00FA3A78">
        <w:rPr>
          <w:rFonts w:eastAsia="Aptos"/>
          <w:kern w:val="2"/>
          <w:szCs w:val="22"/>
          <w14:ligatures w14:val="standardContextual"/>
        </w:rPr>
        <w:t>,</w:t>
      </w:r>
      <w:r w:rsidRPr="00712403">
        <w:rPr>
          <w:rFonts w:eastAsia="Aptos"/>
          <w:kern w:val="2"/>
          <w:szCs w:val="22"/>
          <w14:ligatures w14:val="standardContextual"/>
        </w:rPr>
        <w:t xml:space="preserve"> with no-tillage being more severe than conventional (</w:t>
      </w:r>
      <w:r w:rsidRPr="00712403">
        <w:rPr>
          <w:rFonts w:eastAsia="Aptos"/>
          <w:b/>
          <w:bCs/>
          <w:kern w:val="2"/>
          <w:szCs w:val="22"/>
          <w14:ligatures w14:val="standardContextual"/>
        </w:rPr>
        <w:t xml:space="preserve">Figure </w:t>
      </w:r>
      <w:r w:rsidR="00AB3C3D">
        <w:rPr>
          <w:rFonts w:eastAsia="Aptos"/>
          <w:b/>
          <w:bCs/>
          <w:kern w:val="2"/>
          <w:szCs w:val="22"/>
          <w14:ligatures w14:val="standardContextual"/>
        </w:rPr>
        <w:t>6</w:t>
      </w:r>
      <w:r w:rsidRPr="00712403">
        <w:rPr>
          <w:rFonts w:eastAsia="Aptos"/>
          <w:b/>
          <w:bCs/>
          <w:kern w:val="2"/>
          <w:szCs w:val="22"/>
          <w14:ligatures w14:val="standardContextual"/>
        </w:rPr>
        <w:t>B</w:t>
      </w:r>
      <w:r w:rsidRPr="00712403">
        <w:rPr>
          <w:rFonts w:eastAsia="Aptos"/>
          <w:kern w:val="2"/>
          <w:szCs w:val="22"/>
          <w14:ligatures w14:val="standardContextual"/>
        </w:rPr>
        <w:t xml:space="preserve">). </w:t>
      </w:r>
      <w:r w:rsidR="008447B2" w:rsidRPr="00D676C9">
        <w:rPr>
          <w:rFonts w:eastAsia="Aptos"/>
          <w:kern w:val="2"/>
          <w:szCs w:val="22"/>
          <w14:ligatures w14:val="standardContextual"/>
        </w:rPr>
        <w:t>Tillage type and</w:t>
      </w:r>
      <w:r w:rsidR="008447B2">
        <w:rPr>
          <w:rFonts w:eastAsia="Aptos"/>
          <w:kern w:val="2"/>
          <w:szCs w:val="22"/>
          <w14:ligatures w14:val="standardContextual"/>
        </w:rPr>
        <w:t xml:space="preserve"> cover crop type</w:t>
      </w:r>
      <w:r w:rsidR="008447B2" w:rsidRPr="00D676C9">
        <w:rPr>
          <w:rFonts w:eastAsia="Aptos"/>
          <w:kern w:val="2"/>
          <w:szCs w:val="22"/>
          <w14:ligatures w14:val="standardContextual"/>
        </w:rPr>
        <w:t xml:space="preserve"> had a minimal impact on soil </w:t>
      </w:r>
      <w:r w:rsidR="00AB2F47">
        <w:rPr>
          <w:rFonts w:eastAsia="Aptos"/>
          <w:kern w:val="2"/>
          <w:szCs w:val="22"/>
          <w14:ligatures w14:val="standardContextual"/>
        </w:rPr>
        <w:t>moisture and temperature</w:t>
      </w:r>
      <w:r w:rsidR="00AB2F47" w:rsidRPr="00D676C9">
        <w:rPr>
          <w:rFonts w:eastAsia="Aptos"/>
          <w:kern w:val="2"/>
          <w:szCs w:val="22"/>
          <w14:ligatures w14:val="standardContextual"/>
        </w:rPr>
        <w:t xml:space="preserve"> </w:t>
      </w:r>
      <w:proofErr w:type="gramStart"/>
      <w:r w:rsidR="008447B2" w:rsidRPr="00D676C9">
        <w:rPr>
          <w:rFonts w:eastAsia="Aptos"/>
          <w:kern w:val="2"/>
          <w:szCs w:val="22"/>
          <w14:ligatures w14:val="standardContextual"/>
        </w:rPr>
        <w:t>dynamics</w:t>
      </w:r>
      <w:proofErr w:type="gramEnd"/>
      <w:r w:rsidR="008447B2" w:rsidRPr="00D676C9">
        <w:rPr>
          <w:rFonts w:eastAsia="Aptos"/>
          <w:kern w:val="2"/>
          <w:szCs w:val="22"/>
          <w14:ligatures w14:val="standardContextual"/>
        </w:rPr>
        <w:t xml:space="preserve"> and </w:t>
      </w:r>
      <w:r w:rsidR="00FA3A78">
        <w:rPr>
          <w:rFonts w:eastAsia="Aptos"/>
          <w:kern w:val="2"/>
          <w:szCs w:val="22"/>
          <w14:ligatures w14:val="standardContextual"/>
        </w:rPr>
        <w:t xml:space="preserve">it is </w:t>
      </w:r>
      <w:r w:rsidR="008447B2" w:rsidRPr="00D676C9">
        <w:rPr>
          <w:rFonts w:eastAsia="Aptos"/>
          <w:kern w:val="2"/>
          <w:szCs w:val="22"/>
          <w14:ligatures w14:val="standardContextual"/>
        </w:rPr>
        <w:t>unlikely</w:t>
      </w:r>
      <w:r w:rsidR="00FA3A78">
        <w:rPr>
          <w:rFonts w:eastAsia="Aptos"/>
          <w:kern w:val="2"/>
          <w:szCs w:val="22"/>
          <w14:ligatures w14:val="standardContextual"/>
        </w:rPr>
        <w:t xml:space="preserve"> that it</w:t>
      </w:r>
      <w:r w:rsidR="008447B2" w:rsidRPr="00D676C9">
        <w:rPr>
          <w:rFonts w:eastAsia="Aptos"/>
          <w:kern w:val="2"/>
          <w:szCs w:val="22"/>
          <w14:ligatures w14:val="standardContextual"/>
        </w:rPr>
        <w:t xml:space="preserve"> contributed to disease proliferation</w:t>
      </w:r>
      <w:r w:rsidR="000D7B5E">
        <w:rPr>
          <w:rFonts w:eastAsia="Aptos"/>
          <w:kern w:val="2"/>
          <w:szCs w:val="22"/>
          <w14:ligatures w14:val="standardContextual"/>
        </w:rPr>
        <w:t xml:space="preserve"> (</w:t>
      </w:r>
      <w:r w:rsidR="000D7B5E">
        <w:rPr>
          <w:rFonts w:eastAsia="Aptos"/>
          <w:b/>
          <w:bCs/>
          <w:kern w:val="2"/>
          <w:szCs w:val="22"/>
          <w14:ligatures w14:val="standardContextual"/>
        </w:rPr>
        <w:t>Tables 3, 4, and 5</w:t>
      </w:r>
      <w:r w:rsidR="000D7B5E">
        <w:rPr>
          <w:rFonts w:eastAsia="Aptos"/>
          <w:kern w:val="2"/>
          <w:szCs w:val="22"/>
          <w14:ligatures w14:val="standardContextual"/>
        </w:rPr>
        <w:t>)</w:t>
      </w:r>
      <w:r w:rsidR="008447B2" w:rsidRPr="00D676C9">
        <w:rPr>
          <w:rFonts w:eastAsia="Aptos"/>
          <w:kern w:val="2"/>
          <w:szCs w:val="22"/>
          <w14:ligatures w14:val="standardContextual"/>
        </w:rPr>
        <w:t>. The research site experienced low moisture and high temperatures during the tobacco growing seasons</w:t>
      </w:r>
      <w:r w:rsidR="00FA3A78">
        <w:rPr>
          <w:rFonts w:eastAsia="Aptos"/>
          <w:kern w:val="2"/>
          <w:szCs w:val="22"/>
          <w14:ligatures w14:val="standardContextual"/>
        </w:rPr>
        <w:t>,</w:t>
      </w:r>
      <w:r w:rsidR="008447B2" w:rsidRPr="00D676C9">
        <w:rPr>
          <w:rFonts w:eastAsia="Aptos"/>
          <w:kern w:val="2"/>
          <w:szCs w:val="22"/>
          <w14:ligatures w14:val="standardContextual"/>
        </w:rPr>
        <w:t xml:space="preserve"> making consistent monitoring of soil moisture and temperature difficult. However, according to Xin et al</w:t>
      </w:r>
      <w:r w:rsidR="00B97547">
        <w:rPr>
          <w:rFonts w:eastAsia="Aptos"/>
          <w:kern w:val="2"/>
          <w:szCs w:val="22"/>
          <w14:ligatures w14:val="standardContextual"/>
        </w:rPr>
        <w:t>.</w:t>
      </w:r>
      <w:r w:rsidR="008447B2" w:rsidRPr="00D676C9">
        <w:rPr>
          <w:rFonts w:eastAsia="Aptos"/>
          <w:kern w:val="2"/>
          <w:szCs w:val="22"/>
          <w14:ligatures w14:val="standardContextual"/>
        </w:rPr>
        <w:t xml:space="preserve"> (2018), </w:t>
      </w:r>
      <w:r w:rsidR="00C75963">
        <w:rPr>
          <w:rFonts w:eastAsia="Aptos"/>
          <w:i/>
          <w:iCs/>
          <w:kern w:val="2"/>
          <w:szCs w:val="22"/>
          <w14:ligatures w14:val="standardContextual"/>
        </w:rPr>
        <w:t>P.</w:t>
      </w:r>
      <w:r w:rsidR="00F71ABE" w:rsidRPr="00D676C9">
        <w:rPr>
          <w:rFonts w:eastAsia="Aptos"/>
          <w:i/>
          <w:iCs/>
          <w:kern w:val="2"/>
          <w:szCs w:val="22"/>
          <w14:ligatures w14:val="standardContextual"/>
        </w:rPr>
        <w:t xml:space="preserve"> </w:t>
      </w:r>
      <w:proofErr w:type="spellStart"/>
      <w:r w:rsidR="008447B2" w:rsidRPr="00D676C9">
        <w:rPr>
          <w:rFonts w:eastAsia="Aptos"/>
          <w:i/>
          <w:iCs/>
          <w:kern w:val="2"/>
          <w:szCs w:val="22"/>
          <w14:ligatures w14:val="standardContextual"/>
        </w:rPr>
        <w:t>syringae</w:t>
      </w:r>
      <w:proofErr w:type="spellEnd"/>
      <w:r w:rsidR="008447B2" w:rsidRPr="00D676C9">
        <w:rPr>
          <w:rFonts w:eastAsia="Aptos"/>
          <w:i/>
          <w:iCs/>
          <w:kern w:val="2"/>
          <w:szCs w:val="22"/>
          <w14:ligatures w14:val="standardContextual"/>
        </w:rPr>
        <w:t xml:space="preserve"> </w:t>
      </w:r>
      <w:r w:rsidR="008447B2" w:rsidRPr="00D676C9">
        <w:rPr>
          <w:rFonts w:eastAsia="Aptos"/>
          <w:kern w:val="2"/>
          <w:szCs w:val="22"/>
          <w14:ligatures w14:val="standardContextual"/>
        </w:rPr>
        <w:t>bacteria are positively influenced in pathogenicity during times of high humidity and moisture.</w:t>
      </w:r>
    </w:p>
    <w:p w14:paraId="7EAAE3DC" w14:textId="4DD3C0EC" w:rsidR="00934EEE" w:rsidRDefault="00AA4F16" w:rsidP="00FC0490">
      <w:pPr>
        <w:spacing w:line="360" w:lineRule="auto"/>
        <w:ind w:firstLine="720"/>
        <w:rPr>
          <w:rFonts w:eastAsia="Aptos"/>
          <w:kern w:val="2"/>
          <w:szCs w:val="22"/>
          <w14:ligatures w14:val="standardContextual"/>
        </w:rPr>
      </w:pPr>
      <w:r>
        <w:rPr>
          <w:rFonts w:eastAsia="Aptos"/>
          <w:kern w:val="2"/>
          <w:szCs w:val="22"/>
          <w14:ligatures w14:val="standardContextual"/>
        </w:rPr>
        <w:t>Under the conditions of this study, t</w:t>
      </w:r>
      <w:r w:rsidR="00712403" w:rsidRPr="00712403">
        <w:rPr>
          <w:rFonts w:eastAsia="Aptos"/>
          <w:kern w:val="2"/>
          <w:szCs w:val="22"/>
          <w14:ligatures w14:val="standardContextual"/>
        </w:rPr>
        <w:t>obacco yield components were significantly impacted by tillage type. No-tillage resulted in significantly lower yields for all stalk positions except lug (</w:t>
      </w:r>
      <w:r w:rsidR="00712403" w:rsidRPr="00712403">
        <w:rPr>
          <w:rFonts w:eastAsia="Aptos"/>
          <w:b/>
          <w:bCs/>
          <w:kern w:val="2"/>
          <w:szCs w:val="22"/>
          <w14:ligatures w14:val="standardContextual"/>
        </w:rPr>
        <w:t>Table 3</w:t>
      </w:r>
      <w:r w:rsidR="00712403" w:rsidRPr="00712403">
        <w:rPr>
          <w:rFonts w:eastAsia="Aptos"/>
          <w:kern w:val="2"/>
          <w:szCs w:val="22"/>
          <w14:ligatures w14:val="standardContextual"/>
        </w:rPr>
        <w:t>). However, second and leaf stalk positions account for about 90% of the total yield in these trials (</w:t>
      </w:r>
      <w:r w:rsidR="00712403" w:rsidRPr="00712403">
        <w:rPr>
          <w:rFonts w:eastAsia="Aptos"/>
          <w:b/>
          <w:bCs/>
          <w:kern w:val="2"/>
          <w:szCs w:val="22"/>
          <w14:ligatures w14:val="standardContextual"/>
        </w:rPr>
        <w:t>Table 3</w:t>
      </w:r>
      <w:r w:rsidR="00712403" w:rsidRPr="00712403">
        <w:rPr>
          <w:rFonts w:eastAsia="Aptos"/>
          <w:kern w:val="2"/>
          <w:szCs w:val="22"/>
          <w14:ligatures w14:val="standardContextual"/>
        </w:rPr>
        <w:t>). The yield difference associated with tillage type has been previously recorded at this experimental site (Bailey</w:t>
      </w:r>
      <w:r w:rsidR="0019669C">
        <w:rPr>
          <w:rFonts w:eastAsia="Aptos"/>
          <w:kern w:val="2"/>
          <w:szCs w:val="22"/>
          <w14:ligatures w14:val="standardContextual"/>
        </w:rPr>
        <w:t xml:space="preserve"> </w:t>
      </w:r>
      <w:r w:rsidR="00F51FEF">
        <w:rPr>
          <w:rFonts w:eastAsia="Aptos"/>
          <w:kern w:val="2"/>
          <w:szCs w:val="22"/>
          <w14:ligatures w14:val="standardContextual"/>
        </w:rPr>
        <w:t>et al.</w:t>
      </w:r>
      <w:r w:rsidR="00712403" w:rsidRPr="00712403">
        <w:rPr>
          <w:rFonts w:eastAsia="Aptos"/>
          <w:kern w:val="2"/>
          <w:szCs w:val="22"/>
          <w14:ligatures w14:val="standardContextual"/>
        </w:rPr>
        <w:t xml:space="preserve"> 2025</w:t>
      </w:r>
      <w:r w:rsidR="008F4D12">
        <w:rPr>
          <w:rFonts w:eastAsia="Aptos"/>
          <w:kern w:val="2"/>
          <w:szCs w:val="22"/>
          <w14:ligatures w14:val="standardContextual"/>
        </w:rPr>
        <w:t>b</w:t>
      </w:r>
      <w:r w:rsidR="00712403" w:rsidRPr="00712403">
        <w:rPr>
          <w:rFonts w:eastAsia="Aptos"/>
          <w:kern w:val="2"/>
          <w:szCs w:val="22"/>
          <w14:ligatures w14:val="standardContextual"/>
        </w:rPr>
        <w:t xml:space="preserve">). </w:t>
      </w:r>
      <w:r w:rsidR="00CF188A">
        <w:rPr>
          <w:rFonts w:eastAsia="Aptos"/>
          <w:kern w:val="2"/>
          <w:szCs w:val="22"/>
          <w14:ligatures w14:val="standardContextual"/>
        </w:rPr>
        <w:t xml:space="preserve">The field </w:t>
      </w:r>
      <w:r w:rsidR="00FA3A78">
        <w:rPr>
          <w:rFonts w:eastAsia="Aptos"/>
          <w:kern w:val="2"/>
          <w:szCs w:val="22"/>
          <w14:ligatures w14:val="standardContextual"/>
        </w:rPr>
        <w:t>s</w:t>
      </w:r>
      <w:r w:rsidR="00CF188A">
        <w:rPr>
          <w:rFonts w:eastAsia="Aptos"/>
          <w:kern w:val="2"/>
          <w:szCs w:val="22"/>
          <w14:ligatures w14:val="standardContextual"/>
        </w:rPr>
        <w:t xml:space="preserve">ite had </w:t>
      </w:r>
      <w:r w:rsidR="00BA437E">
        <w:rPr>
          <w:rFonts w:eastAsia="Aptos"/>
          <w:kern w:val="2"/>
          <w:szCs w:val="22"/>
          <w14:ligatures w14:val="standardContextual"/>
        </w:rPr>
        <w:t xml:space="preserve">been under no-tillage for </w:t>
      </w:r>
      <w:r w:rsidR="005D09F1">
        <w:rPr>
          <w:rFonts w:eastAsia="Aptos"/>
          <w:kern w:val="2"/>
          <w:szCs w:val="22"/>
          <w14:ligatures w14:val="standardContextual"/>
        </w:rPr>
        <w:t>three years</w:t>
      </w:r>
      <w:r w:rsidR="00BA437E">
        <w:rPr>
          <w:rFonts w:eastAsia="Aptos"/>
          <w:kern w:val="2"/>
          <w:szCs w:val="22"/>
          <w14:ligatures w14:val="standardContextual"/>
        </w:rPr>
        <w:t xml:space="preserve"> before being transitioned </w:t>
      </w:r>
      <w:r w:rsidR="005D09F1">
        <w:rPr>
          <w:rFonts w:eastAsia="Aptos"/>
          <w:kern w:val="2"/>
          <w:szCs w:val="22"/>
          <w14:ligatures w14:val="standardContextual"/>
        </w:rPr>
        <w:t>to corn production</w:t>
      </w:r>
      <w:r w:rsidR="00721C30">
        <w:rPr>
          <w:rFonts w:eastAsia="Aptos"/>
          <w:kern w:val="2"/>
          <w:szCs w:val="22"/>
          <w14:ligatures w14:val="standardContextual"/>
        </w:rPr>
        <w:t xml:space="preserve"> then to the research field </w:t>
      </w:r>
      <w:r w:rsidR="00FA3A78">
        <w:rPr>
          <w:rFonts w:eastAsia="Aptos"/>
          <w:kern w:val="2"/>
          <w:szCs w:val="22"/>
          <w14:ligatures w14:val="standardContextual"/>
        </w:rPr>
        <w:t>s</w:t>
      </w:r>
      <w:r w:rsidR="00721C30">
        <w:rPr>
          <w:rFonts w:eastAsia="Aptos"/>
          <w:kern w:val="2"/>
          <w:szCs w:val="22"/>
          <w14:ligatures w14:val="standardContextual"/>
        </w:rPr>
        <w:t>ite</w:t>
      </w:r>
      <w:r w:rsidR="00C620DB">
        <w:rPr>
          <w:rFonts w:eastAsia="Aptos"/>
          <w:kern w:val="2"/>
          <w:szCs w:val="22"/>
          <w14:ligatures w14:val="standardContextual"/>
        </w:rPr>
        <w:t xml:space="preserve">. </w:t>
      </w:r>
      <w:r w:rsidR="00721C30">
        <w:rPr>
          <w:rFonts w:eastAsia="Aptos"/>
          <w:kern w:val="2"/>
          <w:szCs w:val="22"/>
          <w14:ligatures w14:val="standardContextual"/>
        </w:rPr>
        <w:t xml:space="preserve">Early-stage </w:t>
      </w:r>
      <w:r w:rsidR="00C620DB">
        <w:rPr>
          <w:rFonts w:eastAsia="Aptos"/>
          <w:kern w:val="2"/>
          <w:szCs w:val="22"/>
          <w14:ligatures w14:val="standardContextual"/>
        </w:rPr>
        <w:t>no-tillage</w:t>
      </w:r>
      <w:r w:rsidR="00721C30">
        <w:rPr>
          <w:rFonts w:eastAsia="Aptos"/>
          <w:kern w:val="2"/>
          <w:szCs w:val="22"/>
          <w14:ligatures w14:val="standardContextual"/>
        </w:rPr>
        <w:t xml:space="preserve"> systems</w:t>
      </w:r>
      <w:r w:rsidR="00C620DB">
        <w:rPr>
          <w:rFonts w:eastAsia="Aptos"/>
          <w:kern w:val="2"/>
          <w:szCs w:val="22"/>
          <w14:ligatures w14:val="standardContextual"/>
        </w:rPr>
        <w:t xml:space="preserve"> often</w:t>
      </w:r>
      <w:r w:rsidR="00721C30">
        <w:rPr>
          <w:rFonts w:eastAsia="Aptos"/>
          <w:kern w:val="2"/>
          <w:szCs w:val="22"/>
          <w14:ligatures w14:val="standardContextual"/>
        </w:rPr>
        <w:t xml:space="preserve"> experience lowered yields</w:t>
      </w:r>
      <w:r w:rsidR="00FA3A78">
        <w:rPr>
          <w:rFonts w:eastAsia="Aptos"/>
          <w:kern w:val="2"/>
          <w:szCs w:val="22"/>
          <w14:ligatures w14:val="standardContextual"/>
        </w:rPr>
        <w:t>,</w:t>
      </w:r>
      <w:r w:rsidR="00721C30">
        <w:rPr>
          <w:rFonts w:eastAsia="Aptos"/>
          <w:kern w:val="2"/>
          <w:szCs w:val="22"/>
          <w14:ligatures w14:val="standardContextual"/>
        </w:rPr>
        <w:t xml:space="preserve"> </w:t>
      </w:r>
      <w:r w:rsidR="009B7F5A">
        <w:rPr>
          <w:rFonts w:eastAsia="Aptos"/>
          <w:kern w:val="2"/>
          <w:szCs w:val="22"/>
          <w14:ligatures w14:val="standardContextual"/>
        </w:rPr>
        <w:t>likely due to weed competition. As the soil builds resilience under</w:t>
      </w:r>
      <w:r w:rsidR="001C2567">
        <w:rPr>
          <w:rFonts w:eastAsia="Aptos"/>
          <w:kern w:val="2"/>
          <w:szCs w:val="22"/>
          <w14:ligatures w14:val="standardContextual"/>
        </w:rPr>
        <w:t xml:space="preserve"> more long-term</w:t>
      </w:r>
      <w:r w:rsidR="009B7F5A">
        <w:rPr>
          <w:rFonts w:eastAsia="Aptos"/>
          <w:kern w:val="2"/>
          <w:szCs w:val="22"/>
          <w14:ligatures w14:val="standardContextual"/>
        </w:rPr>
        <w:t xml:space="preserve"> no-tillage, soil health can improve and the no-tillage system will be able to </w:t>
      </w:r>
      <w:r w:rsidR="00D1633E">
        <w:rPr>
          <w:rFonts w:eastAsia="Aptos"/>
          <w:kern w:val="2"/>
          <w:szCs w:val="22"/>
          <w14:ligatures w14:val="standardContextual"/>
        </w:rPr>
        <w:t>overcome limitations</w:t>
      </w:r>
      <w:r w:rsidR="001C2567">
        <w:rPr>
          <w:rFonts w:eastAsia="Aptos"/>
          <w:kern w:val="2"/>
          <w:szCs w:val="22"/>
          <w14:ligatures w14:val="standardContextual"/>
        </w:rPr>
        <w:t>,</w:t>
      </w:r>
      <w:r w:rsidR="00D1633E">
        <w:rPr>
          <w:rFonts w:eastAsia="Aptos"/>
          <w:kern w:val="2"/>
          <w:szCs w:val="22"/>
          <w14:ligatures w14:val="standardContextual"/>
        </w:rPr>
        <w:t xml:space="preserve"> </w:t>
      </w:r>
      <w:r w:rsidR="001C2567">
        <w:rPr>
          <w:rFonts w:eastAsia="Aptos"/>
          <w:kern w:val="2"/>
          <w:szCs w:val="22"/>
          <w14:ligatures w14:val="standardContextual"/>
        </w:rPr>
        <w:t xml:space="preserve">such as weed problems. </w:t>
      </w:r>
      <w:r w:rsidR="00712403" w:rsidRPr="00712403">
        <w:rPr>
          <w:rFonts w:eastAsia="Aptos"/>
          <w:kern w:val="2"/>
          <w:szCs w:val="22"/>
          <w14:ligatures w14:val="standardContextual"/>
        </w:rPr>
        <w:t xml:space="preserve">It is likely that better root to soil contact </w:t>
      </w:r>
      <w:proofErr w:type="gramStart"/>
      <w:r w:rsidR="00712403" w:rsidRPr="00712403">
        <w:rPr>
          <w:rFonts w:eastAsia="Aptos"/>
          <w:kern w:val="2"/>
          <w:szCs w:val="22"/>
          <w14:ligatures w14:val="standardContextual"/>
        </w:rPr>
        <w:t>was</w:t>
      </w:r>
      <w:proofErr w:type="gramEnd"/>
      <w:r w:rsidR="00712403" w:rsidRPr="00712403">
        <w:rPr>
          <w:rFonts w:eastAsia="Aptos"/>
          <w:kern w:val="2"/>
          <w:szCs w:val="22"/>
          <w14:ligatures w14:val="standardContextual"/>
        </w:rPr>
        <w:t xml:space="preserve"> achieved in conventional tillage treatments whereas no-tillage transplanting may have been limited with the no-tillage transplanter used in this experiment. Furthermore, the soil type at this location may be less than ideal for no-tillage tobacco production as other research has shown no yield penalty associated with no-tillage (Bailey</w:t>
      </w:r>
      <w:r w:rsidR="0019669C">
        <w:rPr>
          <w:rFonts w:eastAsia="Aptos"/>
          <w:kern w:val="2"/>
          <w:szCs w:val="22"/>
          <w14:ligatures w14:val="standardContextual"/>
        </w:rPr>
        <w:t xml:space="preserve"> </w:t>
      </w:r>
      <w:r w:rsidR="00F51FEF">
        <w:rPr>
          <w:rFonts w:eastAsia="Aptos"/>
          <w:kern w:val="2"/>
          <w:szCs w:val="22"/>
          <w14:ligatures w14:val="standardContextual"/>
        </w:rPr>
        <w:t>et al.</w:t>
      </w:r>
      <w:r w:rsidR="00712403" w:rsidRPr="00712403">
        <w:rPr>
          <w:rFonts w:eastAsia="Aptos"/>
          <w:kern w:val="2"/>
          <w:szCs w:val="22"/>
          <w14:ligatures w14:val="standardContextual"/>
        </w:rPr>
        <w:t xml:space="preserve"> 2025</w:t>
      </w:r>
      <w:r w:rsidR="008F4D12">
        <w:rPr>
          <w:rFonts w:eastAsia="Aptos"/>
          <w:kern w:val="2"/>
          <w:szCs w:val="22"/>
          <w14:ligatures w14:val="standardContextual"/>
        </w:rPr>
        <w:t>b</w:t>
      </w:r>
      <w:r w:rsidR="00712403" w:rsidRPr="00712403">
        <w:rPr>
          <w:rFonts w:eastAsia="Aptos"/>
          <w:kern w:val="2"/>
          <w:szCs w:val="22"/>
          <w14:ligatures w14:val="standardContextual"/>
        </w:rPr>
        <w:t xml:space="preserve">). </w:t>
      </w:r>
    </w:p>
    <w:p w14:paraId="1D5D9A58" w14:textId="52516567" w:rsidR="00934EEE"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 xml:space="preserve">Disease ratings in 2024 showed higher pressure in no-tillage treatments than conventional tillage. </w:t>
      </w:r>
      <w:r w:rsidR="00FA3A78">
        <w:rPr>
          <w:rFonts w:eastAsia="Aptos"/>
          <w:kern w:val="2"/>
          <w:szCs w:val="22"/>
          <w14:ligatures w14:val="standardContextual"/>
        </w:rPr>
        <w:t xml:space="preserve">The </w:t>
      </w:r>
      <w:r w:rsidRPr="00712403">
        <w:rPr>
          <w:rFonts w:eastAsia="Aptos"/>
          <w:kern w:val="2"/>
          <w:szCs w:val="22"/>
          <w14:ligatures w14:val="standardContextual"/>
        </w:rPr>
        <w:t>AUDPS was not significantly impacted by tillage in 2023 (</w:t>
      </w:r>
      <w:r w:rsidRPr="00712403">
        <w:rPr>
          <w:rFonts w:eastAsia="Aptos"/>
          <w:b/>
          <w:bCs/>
          <w:kern w:val="2"/>
          <w:szCs w:val="22"/>
          <w14:ligatures w14:val="standardContextual"/>
        </w:rPr>
        <w:t xml:space="preserve">Figure </w:t>
      </w:r>
      <w:r w:rsidR="00727AF6">
        <w:rPr>
          <w:rFonts w:eastAsia="Aptos"/>
          <w:b/>
          <w:bCs/>
          <w:kern w:val="2"/>
          <w:szCs w:val="22"/>
          <w14:ligatures w14:val="standardContextual"/>
        </w:rPr>
        <w:t>5</w:t>
      </w:r>
      <w:r w:rsidRPr="00712403">
        <w:rPr>
          <w:rFonts w:eastAsia="Aptos"/>
          <w:kern w:val="2"/>
          <w:szCs w:val="22"/>
          <w14:ligatures w14:val="standardContextual"/>
        </w:rPr>
        <w:t>), however, yield was still reduced with no-tillage tobacco production. Therefore, the significant difference of AUDPS in 2024 likely isn’t as much of a significant factor in yield as tillage. Overall, individual stalk positions and total yield were higher in 2024 than 2023 (</w:t>
      </w:r>
      <w:r w:rsidRPr="00712403">
        <w:rPr>
          <w:rFonts w:eastAsia="Aptos"/>
          <w:b/>
          <w:bCs/>
          <w:kern w:val="2"/>
          <w:szCs w:val="22"/>
          <w14:ligatures w14:val="standardContextual"/>
        </w:rPr>
        <w:t>Table 3</w:t>
      </w:r>
      <w:r w:rsidRPr="00712403">
        <w:rPr>
          <w:rFonts w:eastAsia="Aptos"/>
          <w:kern w:val="2"/>
          <w:szCs w:val="22"/>
          <w14:ligatures w14:val="standardContextual"/>
        </w:rPr>
        <w:t xml:space="preserve">). </w:t>
      </w:r>
    </w:p>
    <w:p w14:paraId="199C0834" w14:textId="17AC08F2" w:rsidR="00934EEE"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This research site was not irrigated in either year of the study</w:t>
      </w:r>
      <w:r w:rsidRPr="00712403">
        <w:rPr>
          <w:rFonts w:eastAsia="Aptos"/>
          <w:color w:val="FF0000"/>
          <w:kern w:val="2"/>
          <w:szCs w:val="22"/>
          <w14:ligatures w14:val="standardContextual"/>
        </w:rPr>
        <w:t>.</w:t>
      </w:r>
      <w:r w:rsidRPr="00712403">
        <w:rPr>
          <w:rFonts w:eastAsia="Aptos"/>
          <w:i/>
          <w:iCs/>
          <w:color w:val="FF0000"/>
          <w:kern w:val="2"/>
          <w:szCs w:val="22"/>
          <w14:ligatures w14:val="standardContextual"/>
        </w:rPr>
        <w:t xml:space="preserve"> </w:t>
      </w:r>
      <w:r w:rsidRPr="00712403">
        <w:rPr>
          <w:rFonts w:eastAsia="Aptos"/>
          <w:kern w:val="2"/>
          <w:szCs w:val="22"/>
          <w14:ligatures w14:val="standardContextual"/>
        </w:rPr>
        <w:t xml:space="preserve">In the two weeks around transplanting in 2023, </w:t>
      </w:r>
      <w:r w:rsidR="00436256">
        <w:rPr>
          <w:rFonts w:eastAsia="Aptos"/>
          <w:kern w:val="2"/>
          <w:szCs w:val="22"/>
          <w14:ligatures w14:val="standardContextual"/>
        </w:rPr>
        <w:t xml:space="preserve">the research site </w:t>
      </w:r>
      <w:r w:rsidRPr="00712403">
        <w:rPr>
          <w:rFonts w:eastAsia="Aptos"/>
          <w:kern w:val="2"/>
          <w:szCs w:val="22"/>
          <w14:ligatures w14:val="standardContextual"/>
        </w:rPr>
        <w:t>received 18.5 mm in the week before and 31.75 mm in the week after</w:t>
      </w:r>
      <w:r w:rsidR="00FA3A78">
        <w:rPr>
          <w:rFonts w:eastAsia="Aptos"/>
          <w:kern w:val="2"/>
          <w:szCs w:val="22"/>
          <w14:ligatures w14:val="standardContextual"/>
        </w:rPr>
        <w:t xml:space="preserve"> transplanting</w:t>
      </w:r>
      <w:r w:rsidRPr="00712403">
        <w:rPr>
          <w:rFonts w:eastAsia="Aptos"/>
          <w:kern w:val="2"/>
          <w:szCs w:val="22"/>
          <w14:ligatures w14:val="standardContextual"/>
        </w:rPr>
        <w:t>. For the two weeks surrounding 2024 transplanting, the research site received 136 mm in the week before and 48.5 mm in the week after</w:t>
      </w:r>
      <w:r w:rsidR="00FA3A78">
        <w:rPr>
          <w:rFonts w:eastAsia="Aptos"/>
          <w:kern w:val="2"/>
          <w:szCs w:val="22"/>
          <w14:ligatures w14:val="standardContextual"/>
        </w:rPr>
        <w:t xml:space="preserve"> transplanting</w:t>
      </w:r>
      <w:r w:rsidRPr="00712403">
        <w:rPr>
          <w:rFonts w:eastAsia="Aptos"/>
          <w:kern w:val="2"/>
          <w:szCs w:val="22"/>
          <w14:ligatures w14:val="standardContextual"/>
        </w:rPr>
        <w:t xml:space="preserve">. </w:t>
      </w:r>
      <w:r w:rsidR="00F32442">
        <w:rPr>
          <w:rFonts w:eastAsia="Aptos"/>
          <w:kern w:val="2"/>
          <w:szCs w:val="22"/>
          <w14:ligatures w14:val="standardContextual"/>
        </w:rPr>
        <w:t xml:space="preserve">The experimental site </w:t>
      </w:r>
      <w:r w:rsidR="00481567">
        <w:rPr>
          <w:rFonts w:eastAsia="Aptos"/>
          <w:kern w:val="2"/>
          <w:szCs w:val="22"/>
          <w14:ligatures w14:val="standardContextual"/>
        </w:rPr>
        <w:t>for</w:t>
      </w:r>
      <w:r w:rsidRPr="00712403">
        <w:rPr>
          <w:rFonts w:eastAsia="Aptos"/>
          <w:kern w:val="2"/>
          <w:szCs w:val="22"/>
          <w14:ligatures w14:val="standardContextual"/>
        </w:rPr>
        <w:t xml:space="preserve"> 2023 was below and 2024 was above the </w:t>
      </w:r>
      <w:r w:rsidR="001A0457" w:rsidRPr="00712403">
        <w:rPr>
          <w:rFonts w:eastAsia="Aptos"/>
          <w:kern w:val="2"/>
          <w:szCs w:val="22"/>
          <w14:ligatures w14:val="standardContextual"/>
        </w:rPr>
        <w:t>30-year</w:t>
      </w:r>
      <w:r w:rsidRPr="00712403">
        <w:rPr>
          <w:rFonts w:eastAsia="Aptos"/>
          <w:kern w:val="2"/>
          <w:szCs w:val="22"/>
          <w14:ligatures w14:val="standardContextual"/>
        </w:rPr>
        <w:t xml:space="preserve"> average for precipitation around transplanting.</w:t>
      </w:r>
      <w:r w:rsidRPr="00712403">
        <w:rPr>
          <w:rFonts w:eastAsia="Aptos"/>
          <w:i/>
          <w:iCs/>
          <w:kern w:val="2"/>
          <w:szCs w:val="22"/>
          <w14:ligatures w14:val="standardContextual"/>
        </w:rPr>
        <w:t xml:space="preserve"> </w:t>
      </w:r>
      <w:r w:rsidRPr="00712403">
        <w:rPr>
          <w:rFonts w:eastAsia="Aptos"/>
          <w:kern w:val="2"/>
          <w:szCs w:val="22"/>
          <w14:ligatures w14:val="standardContextual"/>
        </w:rPr>
        <w:t xml:space="preserve">Ideal tobacco transplanting conditions include soil that is near field water capacity </w:t>
      </w:r>
      <w:r w:rsidR="009349D4">
        <w:rPr>
          <w:rFonts w:eastAsia="Aptos"/>
          <w:kern w:val="2"/>
          <w:szCs w:val="22"/>
          <w14:ligatures w14:val="standardContextual"/>
        </w:rPr>
        <w:t>to</w:t>
      </w:r>
      <w:r w:rsidRPr="00712403">
        <w:rPr>
          <w:rFonts w:eastAsia="Aptos"/>
          <w:kern w:val="2"/>
          <w:szCs w:val="22"/>
          <w14:ligatures w14:val="standardContextual"/>
        </w:rPr>
        <w:t xml:space="preserve"> reduce transplant shock</w:t>
      </w:r>
      <w:r w:rsidR="00FA3A78">
        <w:rPr>
          <w:rFonts w:eastAsia="Aptos"/>
          <w:kern w:val="2"/>
          <w:szCs w:val="22"/>
          <w14:ligatures w14:val="standardContextual"/>
        </w:rPr>
        <w:t xml:space="preserve"> </w:t>
      </w:r>
      <w:r w:rsidR="00FA3A78" w:rsidRPr="00712403">
        <w:rPr>
          <w:rFonts w:eastAsia="Aptos"/>
          <w:kern w:val="2"/>
          <w:szCs w:val="22"/>
          <w14:ligatures w14:val="standardContextual"/>
        </w:rPr>
        <w:t>(Davis &amp; Nielson, 1999)</w:t>
      </w:r>
      <w:r w:rsidRPr="00712403">
        <w:rPr>
          <w:rFonts w:eastAsia="Aptos"/>
          <w:kern w:val="2"/>
          <w:szCs w:val="22"/>
          <w14:ligatures w14:val="standardContextual"/>
        </w:rPr>
        <w:t>. About three to five weeks after transplanting, tobacco plants are more sensitive to overwatering and benefit from slight water stress to encourage deeper root growth (Davis &amp; Nielson, 1999).</w:t>
      </w:r>
      <w:r w:rsidRPr="00712403">
        <w:rPr>
          <w:rFonts w:eastAsia="Aptos"/>
          <w:i/>
          <w:iCs/>
          <w:kern w:val="2"/>
          <w:szCs w:val="22"/>
          <w14:ligatures w14:val="standardContextual"/>
        </w:rPr>
        <w:t xml:space="preserve"> </w:t>
      </w:r>
      <w:r w:rsidRPr="00712403">
        <w:rPr>
          <w:rFonts w:eastAsia="Aptos"/>
          <w:kern w:val="2"/>
          <w:szCs w:val="22"/>
          <w14:ligatures w14:val="standardContextual"/>
        </w:rPr>
        <w:t>Differences between years are likely caused by differences in water availability at critical growing times during the season. Although 2024 had lower precipitation from June to August compared to 2023, having more ideal conditions at the beginning of the season likely resulted in better plant growth and preparation for later dry season conditions (</w:t>
      </w:r>
      <w:r w:rsidRPr="00712403">
        <w:rPr>
          <w:rFonts w:eastAsia="Aptos"/>
          <w:b/>
          <w:bCs/>
          <w:kern w:val="2"/>
          <w:szCs w:val="22"/>
          <w14:ligatures w14:val="standardContextual"/>
        </w:rPr>
        <w:t xml:space="preserve">Figure </w:t>
      </w:r>
      <w:r w:rsidR="00727AF6">
        <w:rPr>
          <w:rFonts w:eastAsia="Aptos"/>
          <w:b/>
          <w:bCs/>
          <w:kern w:val="2"/>
          <w:szCs w:val="22"/>
          <w14:ligatures w14:val="standardContextual"/>
        </w:rPr>
        <w:t>6</w:t>
      </w:r>
      <w:r w:rsidRPr="00712403">
        <w:rPr>
          <w:rFonts w:eastAsia="Aptos"/>
          <w:kern w:val="2"/>
          <w:szCs w:val="22"/>
          <w14:ligatures w14:val="standardContextual"/>
        </w:rPr>
        <w:t xml:space="preserve">). Yield differences between years were </w:t>
      </w:r>
      <w:r w:rsidR="00DE4B5B">
        <w:rPr>
          <w:rFonts w:eastAsia="Aptos"/>
          <w:kern w:val="2"/>
          <w:szCs w:val="22"/>
          <w14:ligatures w14:val="standardContextual"/>
        </w:rPr>
        <w:t>likely not</w:t>
      </w:r>
      <w:r w:rsidRPr="00712403">
        <w:rPr>
          <w:rFonts w:eastAsia="Aptos"/>
          <w:kern w:val="2"/>
          <w:szCs w:val="22"/>
          <w14:ligatures w14:val="standardContextual"/>
        </w:rPr>
        <w:t xml:space="preserve"> caused by the length of the growing season as season length was 101 days in 2023 and 103 days in 2024. </w:t>
      </w:r>
    </w:p>
    <w:p w14:paraId="6A14B830" w14:textId="77777777" w:rsidR="00934EEE" w:rsidRDefault="00712403" w:rsidP="00FC0490">
      <w:pPr>
        <w:spacing w:line="360" w:lineRule="auto"/>
        <w:ind w:firstLine="720"/>
        <w:rPr>
          <w:rFonts w:eastAsia="Aptos"/>
          <w:i/>
          <w:iCs/>
          <w:kern w:val="2"/>
          <w:szCs w:val="22"/>
          <w14:ligatures w14:val="standardContextual"/>
        </w:rPr>
      </w:pPr>
      <w:r w:rsidRPr="00712403">
        <w:rPr>
          <w:rFonts w:eastAsia="Aptos"/>
          <w:kern w:val="2"/>
          <w:szCs w:val="22"/>
          <w14:ligatures w14:val="standardContextual"/>
        </w:rPr>
        <w:t xml:space="preserve">Dark tobacco </w:t>
      </w:r>
      <w:r w:rsidR="00D1171E">
        <w:rPr>
          <w:rFonts w:eastAsia="Aptos"/>
          <w:kern w:val="2"/>
          <w:szCs w:val="22"/>
          <w14:ligatures w14:val="standardContextual"/>
        </w:rPr>
        <w:t xml:space="preserve">federal leaf quality </w:t>
      </w:r>
      <w:r w:rsidRPr="00712403">
        <w:rPr>
          <w:rFonts w:eastAsia="Aptos"/>
          <w:kern w:val="2"/>
          <w:szCs w:val="22"/>
          <w14:ligatures w14:val="standardContextual"/>
        </w:rPr>
        <w:t>grade index had a significant effect between years but not between tillage types (</w:t>
      </w:r>
      <w:r w:rsidRPr="00712403">
        <w:rPr>
          <w:rFonts w:eastAsia="Aptos"/>
          <w:b/>
          <w:bCs/>
          <w:kern w:val="2"/>
          <w:szCs w:val="22"/>
          <w14:ligatures w14:val="standardContextual"/>
        </w:rPr>
        <w:t>Table 3</w:t>
      </w:r>
      <w:r w:rsidRPr="00712403">
        <w:rPr>
          <w:rFonts w:eastAsia="Aptos"/>
          <w:kern w:val="2"/>
          <w:szCs w:val="22"/>
          <w14:ligatures w14:val="standardContextual"/>
        </w:rPr>
        <w:t xml:space="preserve">). </w:t>
      </w:r>
      <w:r w:rsidR="00D1171E">
        <w:rPr>
          <w:rFonts w:eastAsia="Aptos"/>
          <w:kern w:val="2"/>
          <w:szCs w:val="22"/>
          <w14:ligatures w14:val="standardContextual"/>
        </w:rPr>
        <w:t>Federal g</w:t>
      </w:r>
      <w:r w:rsidRPr="00712403">
        <w:rPr>
          <w:rFonts w:eastAsia="Aptos"/>
          <w:kern w:val="2"/>
          <w:szCs w:val="22"/>
          <w14:ligatures w14:val="standardContextual"/>
        </w:rPr>
        <w:t>rade indices averaged 38 for conventional tillage and 36 for no-tillage, while 2023 grade index averaged 16 and 2024 averaged 58 (</w:t>
      </w:r>
      <w:r w:rsidRPr="00712403">
        <w:rPr>
          <w:rFonts w:eastAsia="Aptos"/>
          <w:b/>
          <w:bCs/>
          <w:kern w:val="2"/>
          <w:szCs w:val="22"/>
          <w14:ligatures w14:val="standardContextual"/>
        </w:rPr>
        <w:t xml:space="preserve">Table </w:t>
      </w:r>
      <w:r w:rsidR="002031F5">
        <w:rPr>
          <w:rFonts w:eastAsia="Aptos"/>
          <w:b/>
          <w:bCs/>
          <w:kern w:val="2"/>
          <w:szCs w:val="22"/>
          <w14:ligatures w14:val="standardContextual"/>
        </w:rPr>
        <w:t>2</w:t>
      </w:r>
      <w:r w:rsidRPr="00712403">
        <w:rPr>
          <w:rFonts w:eastAsia="Aptos"/>
          <w:kern w:val="2"/>
          <w:szCs w:val="22"/>
          <w14:ligatures w14:val="standardContextual"/>
        </w:rPr>
        <w:t>).</w:t>
      </w:r>
      <w:r w:rsidRPr="00712403">
        <w:rPr>
          <w:rFonts w:eastAsia="Aptos"/>
          <w:i/>
          <w:iCs/>
          <w:kern w:val="2"/>
          <w:szCs w:val="22"/>
          <w14:ligatures w14:val="standardContextual"/>
        </w:rPr>
        <w:t xml:space="preserve"> </w:t>
      </w:r>
    </w:p>
    <w:p w14:paraId="5BB05896" w14:textId="1AEF5175" w:rsidR="00712403" w:rsidRPr="00712403" w:rsidRDefault="00712403" w:rsidP="00FC0490">
      <w:pPr>
        <w:spacing w:line="360" w:lineRule="auto"/>
        <w:ind w:firstLine="720"/>
        <w:rPr>
          <w:rFonts w:eastAsia="Aptos"/>
          <w:kern w:val="2"/>
          <w:szCs w:val="22"/>
          <w14:ligatures w14:val="standardContextual"/>
        </w:rPr>
      </w:pPr>
      <w:r w:rsidRPr="00712403">
        <w:rPr>
          <w:rFonts w:eastAsia="Aptos"/>
          <w:kern w:val="2"/>
          <w:szCs w:val="22"/>
          <w14:ligatures w14:val="standardContextual"/>
        </w:rPr>
        <w:t>There was no effect of cover crop type on dark fire-cured tobacco total yield (</w:t>
      </w:r>
      <w:r w:rsidRPr="00712403">
        <w:rPr>
          <w:rFonts w:eastAsia="Aptos"/>
          <w:b/>
          <w:bCs/>
          <w:kern w:val="2"/>
          <w:szCs w:val="22"/>
          <w14:ligatures w14:val="standardContextual"/>
        </w:rPr>
        <w:t xml:space="preserve">Figure </w:t>
      </w:r>
      <w:r w:rsidR="00727AF6">
        <w:rPr>
          <w:rFonts w:eastAsia="Aptos"/>
          <w:b/>
          <w:bCs/>
          <w:kern w:val="2"/>
          <w:szCs w:val="22"/>
          <w14:ligatures w14:val="standardContextual"/>
        </w:rPr>
        <w:t>7</w:t>
      </w:r>
      <w:r w:rsidRPr="00712403">
        <w:rPr>
          <w:rFonts w:eastAsia="Aptos"/>
          <w:kern w:val="2"/>
          <w:szCs w:val="22"/>
          <w14:ligatures w14:val="standardContextual"/>
        </w:rPr>
        <w:t>) or individual stalk positions (</w:t>
      </w:r>
      <w:r w:rsidR="002031F5">
        <w:rPr>
          <w:rFonts w:eastAsia="Aptos"/>
          <w:b/>
          <w:bCs/>
          <w:kern w:val="2"/>
          <w:szCs w:val="22"/>
          <w14:ligatures w14:val="standardContextual"/>
        </w:rPr>
        <w:t>Table</w:t>
      </w:r>
      <w:r w:rsidR="003E01A7">
        <w:rPr>
          <w:rFonts w:eastAsia="Aptos"/>
          <w:b/>
          <w:bCs/>
          <w:kern w:val="2"/>
          <w:szCs w:val="22"/>
          <w14:ligatures w14:val="standardContextual"/>
        </w:rPr>
        <w:t xml:space="preserve"> 2</w:t>
      </w:r>
      <w:r w:rsidRPr="00712403">
        <w:rPr>
          <w:rFonts w:eastAsia="Aptos"/>
          <w:kern w:val="2"/>
          <w:szCs w:val="22"/>
          <w14:ligatures w14:val="standardContextual"/>
        </w:rPr>
        <w:t>). Total yield ranged from 2</w:t>
      </w:r>
      <w:r w:rsidR="00934EEE">
        <w:rPr>
          <w:rFonts w:eastAsia="Aptos"/>
          <w:kern w:val="2"/>
          <w:szCs w:val="22"/>
          <w14:ligatures w14:val="standardContextual"/>
        </w:rPr>
        <w:t>,</w:t>
      </w:r>
      <w:r w:rsidRPr="00712403">
        <w:rPr>
          <w:rFonts w:eastAsia="Aptos"/>
          <w:kern w:val="2"/>
          <w:szCs w:val="22"/>
          <w14:ligatures w14:val="standardContextual"/>
        </w:rPr>
        <w:t>680 to 2</w:t>
      </w:r>
      <w:r w:rsidR="00934EEE">
        <w:rPr>
          <w:rFonts w:eastAsia="Aptos"/>
          <w:kern w:val="2"/>
          <w:szCs w:val="22"/>
          <w14:ligatures w14:val="standardContextual"/>
        </w:rPr>
        <w:t>,</w:t>
      </w:r>
      <w:r w:rsidRPr="00712403">
        <w:rPr>
          <w:rFonts w:eastAsia="Aptos"/>
          <w:kern w:val="2"/>
          <w:szCs w:val="22"/>
          <w14:ligatures w14:val="standardContextual"/>
        </w:rPr>
        <w:t>855 kg ha</w:t>
      </w:r>
      <w:r w:rsidRPr="00712403">
        <w:rPr>
          <w:rFonts w:eastAsia="Aptos"/>
          <w:kern w:val="2"/>
          <w:szCs w:val="22"/>
          <w:vertAlign w:val="superscript"/>
          <w14:ligatures w14:val="standardContextual"/>
        </w:rPr>
        <w:t>-1</w:t>
      </w:r>
      <w:r w:rsidRPr="00712403">
        <w:rPr>
          <w:rFonts w:eastAsia="Aptos"/>
          <w:kern w:val="2"/>
          <w:szCs w:val="22"/>
          <w14:ligatures w14:val="standardContextual"/>
        </w:rPr>
        <w:t xml:space="preserve"> across all cover crop treatments averaged over year</w:t>
      </w:r>
      <w:r w:rsidR="00727AF6">
        <w:rPr>
          <w:rFonts w:eastAsia="Aptos"/>
          <w:kern w:val="2"/>
          <w:szCs w:val="22"/>
          <w14:ligatures w14:val="standardContextual"/>
        </w:rPr>
        <w:t xml:space="preserve">. </w:t>
      </w:r>
      <w:r w:rsidRPr="00712403">
        <w:rPr>
          <w:rFonts w:eastAsia="Aptos"/>
          <w:kern w:val="2"/>
          <w:szCs w:val="22"/>
          <w14:ligatures w14:val="standardContextual"/>
        </w:rPr>
        <w:t>The lack of yield response to cover crop type was not unexpected due to sufficient levels of nitrogen applied prior to transplanting</w:t>
      </w:r>
      <w:r w:rsidR="00934EEE">
        <w:rPr>
          <w:rFonts w:eastAsia="Aptos"/>
          <w:kern w:val="2"/>
          <w:szCs w:val="22"/>
          <w14:ligatures w14:val="standardContextual"/>
        </w:rPr>
        <w:t>,</w:t>
      </w:r>
      <w:r w:rsidR="00D1171E">
        <w:rPr>
          <w:rFonts w:eastAsia="Aptos"/>
          <w:kern w:val="2"/>
          <w:szCs w:val="22"/>
          <w14:ligatures w14:val="standardContextual"/>
        </w:rPr>
        <w:t xml:space="preserve"> negating</w:t>
      </w:r>
      <w:r w:rsidRPr="00712403">
        <w:rPr>
          <w:rFonts w:eastAsia="Aptos"/>
          <w:kern w:val="2"/>
          <w:szCs w:val="22"/>
          <w14:ligatures w14:val="standardContextual"/>
        </w:rPr>
        <w:t xml:space="preserve"> nitrogen credits associated with legume type cover crops (</w:t>
      </w:r>
      <w:r w:rsidRPr="00712403">
        <w:rPr>
          <w:rFonts w:eastAsia="Aptos"/>
          <w:b/>
          <w:bCs/>
          <w:kern w:val="2"/>
          <w:szCs w:val="22"/>
          <w14:ligatures w14:val="standardContextual"/>
        </w:rPr>
        <w:t xml:space="preserve">Table </w:t>
      </w:r>
      <w:r w:rsidR="002031F5">
        <w:rPr>
          <w:rFonts w:eastAsia="Aptos"/>
          <w:b/>
          <w:bCs/>
          <w:kern w:val="2"/>
          <w:szCs w:val="22"/>
          <w14:ligatures w14:val="standardContextual"/>
        </w:rPr>
        <w:t>1</w:t>
      </w:r>
      <w:r w:rsidRPr="00712403">
        <w:rPr>
          <w:rFonts w:eastAsia="Aptos"/>
          <w:kern w:val="2"/>
          <w:szCs w:val="22"/>
          <w14:ligatures w14:val="standardContextual"/>
        </w:rPr>
        <w:t>).</w:t>
      </w:r>
      <w:r w:rsidR="001D10A3">
        <w:rPr>
          <w:rFonts w:eastAsia="Aptos"/>
          <w:kern w:val="2"/>
          <w:szCs w:val="22"/>
          <w14:ligatures w14:val="standardContextual"/>
        </w:rPr>
        <w:t xml:space="preserve"> Additionally, legume cover crops release</w:t>
      </w:r>
      <w:r w:rsidR="009261DF">
        <w:rPr>
          <w:rFonts w:eastAsia="Aptos"/>
          <w:kern w:val="2"/>
          <w:szCs w:val="22"/>
          <w14:ligatures w14:val="standardContextual"/>
        </w:rPr>
        <w:t xml:space="preserve"> </w:t>
      </w:r>
      <w:r w:rsidR="00C86D1F">
        <w:rPr>
          <w:rFonts w:eastAsia="Aptos"/>
          <w:kern w:val="2"/>
          <w:szCs w:val="22"/>
          <w14:ligatures w14:val="standardContextual"/>
        </w:rPr>
        <w:t xml:space="preserve">the most nitrogen within two weeks after termination. Tobacco </w:t>
      </w:r>
      <w:r w:rsidR="00CD16FF">
        <w:rPr>
          <w:rFonts w:eastAsia="Aptos"/>
          <w:kern w:val="2"/>
          <w:szCs w:val="22"/>
          <w14:ligatures w14:val="standardContextual"/>
        </w:rPr>
        <w:t xml:space="preserve">is transplanted approximately </w:t>
      </w:r>
      <w:r w:rsidR="00BB51D3">
        <w:rPr>
          <w:rFonts w:eastAsia="Aptos"/>
          <w:kern w:val="2"/>
          <w:szCs w:val="22"/>
          <w14:ligatures w14:val="standardContextual"/>
        </w:rPr>
        <w:t>eight weeks</w:t>
      </w:r>
      <w:r w:rsidR="00CD16FF">
        <w:rPr>
          <w:rFonts w:eastAsia="Aptos"/>
          <w:kern w:val="2"/>
          <w:szCs w:val="22"/>
          <w14:ligatures w14:val="standardContextual"/>
        </w:rPr>
        <w:t xml:space="preserve"> after </w:t>
      </w:r>
      <w:proofErr w:type="gramStart"/>
      <w:r w:rsidR="003D511D">
        <w:rPr>
          <w:rFonts w:eastAsia="Aptos"/>
          <w:kern w:val="2"/>
          <w:szCs w:val="22"/>
          <w14:ligatures w14:val="standardContextual"/>
        </w:rPr>
        <w:t xml:space="preserve">an </w:t>
      </w:r>
      <w:r w:rsidR="00F64F1E">
        <w:rPr>
          <w:rFonts w:eastAsia="Aptos"/>
          <w:kern w:val="2"/>
          <w:szCs w:val="22"/>
          <w14:ligatures w14:val="standardContextual"/>
        </w:rPr>
        <w:t>April</w:t>
      </w:r>
      <w:proofErr w:type="gramEnd"/>
      <w:r w:rsidR="00F64F1E">
        <w:rPr>
          <w:rFonts w:eastAsia="Aptos"/>
          <w:kern w:val="2"/>
          <w:szCs w:val="22"/>
          <w14:ligatures w14:val="standardContextual"/>
        </w:rPr>
        <w:t xml:space="preserve"> cover crop termination. It is likely most of the legume nitrogen </w:t>
      </w:r>
      <w:r w:rsidR="003D511D">
        <w:rPr>
          <w:rFonts w:eastAsia="Aptos"/>
          <w:kern w:val="2"/>
          <w:szCs w:val="22"/>
          <w14:ligatures w14:val="standardContextual"/>
        </w:rPr>
        <w:t>had</w:t>
      </w:r>
      <w:r w:rsidR="00D454D1">
        <w:rPr>
          <w:rFonts w:eastAsia="Aptos"/>
          <w:kern w:val="2"/>
          <w:szCs w:val="22"/>
          <w14:ligatures w14:val="standardContextual"/>
        </w:rPr>
        <w:t xml:space="preserve"> already </w:t>
      </w:r>
      <w:r w:rsidR="005A1D62">
        <w:rPr>
          <w:rFonts w:eastAsia="Aptos"/>
          <w:kern w:val="2"/>
          <w:szCs w:val="22"/>
          <w14:ligatures w14:val="standardContextual"/>
        </w:rPr>
        <w:t xml:space="preserve">been </w:t>
      </w:r>
      <w:r w:rsidR="00D454D1">
        <w:rPr>
          <w:rFonts w:eastAsia="Aptos"/>
          <w:kern w:val="2"/>
          <w:szCs w:val="22"/>
          <w14:ligatures w14:val="standardContextual"/>
        </w:rPr>
        <w:t xml:space="preserve">released </w:t>
      </w:r>
      <w:r w:rsidR="00975744">
        <w:rPr>
          <w:rFonts w:eastAsia="Aptos"/>
          <w:kern w:val="2"/>
          <w:szCs w:val="22"/>
          <w14:ligatures w14:val="standardContextual"/>
        </w:rPr>
        <w:t xml:space="preserve">and </w:t>
      </w:r>
      <w:r w:rsidR="005A1D62">
        <w:rPr>
          <w:rFonts w:eastAsia="Aptos"/>
          <w:kern w:val="2"/>
          <w:szCs w:val="22"/>
          <w14:ligatures w14:val="standardContextual"/>
        </w:rPr>
        <w:t xml:space="preserve">was </w:t>
      </w:r>
      <w:r w:rsidR="00975744">
        <w:rPr>
          <w:rFonts w:eastAsia="Aptos"/>
          <w:kern w:val="2"/>
          <w:szCs w:val="22"/>
          <w14:ligatures w14:val="standardContextual"/>
        </w:rPr>
        <w:t>no longer available to the tobacco crop</w:t>
      </w:r>
      <w:r w:rsidR="005A1D62">
        <w:rPr>
          <w:rFonts w:eastAsia="Aptos"/>
          <w:kern w:val="2"/>
          <w:szCs w:val="22"/>
          <w14:ligatures w14:val="standardContextual"/>
        </w:rPr>
        <w:t xml:space="preserve"> at the time of transplanting</w:t>
      </w:r>
      <w:r w:rsidR="00975744">
        <w:rPr>
          <w:rFonts w:eastAsia="Aptos"/>
          <w:kern w:val="2"/>
          <w:szCs w:val="22"/>
          <w14:ligatures w14:val="standardContextual"/>
        </w:rPr>
        <w:t>.</w:t>
      </w:r>
      <w:r w:rsidRPr="00712403">
        <w:rPr>
          <w:rFonts w:eastAsia="Aptos"/>
          <w:kern w:val="2"/>
          <w:szCs w:val="22"/>
          <w14:ligatures w14:val="standardContextual"/>
        </w:rPr>
        <w:t xml:space="preserve"> Leaf quality grade index for dark tobacco was not significantly influenced by cover crop type. Across cover crop types, </w:t>
      </w:r>
      <w:r w:rsidR="001913F6">
        <w:rPr>
          <w:rFonts w:eastAsia="Aptos"/>
          <w:kern w:val="2"/>
          <w:szCs w:val="22"/>
          <w14:ligatures w14:val="standardContextual"/>
        </w:rPr>
        <w:t xml:space="preserve">leaf quality </w:t>
      </w:r>
      <w:r w:rsidRPr="00712403">
        <w:rPr>
          <w:rFonts w:eastAsia="Aptos"/>
          <w:kern w:val="2"/>
          <w:szCs w:val="22"/>
          <w14:ligatures w14:val="standardContextual"/>
        </w:rPr>
        <w:t>grade index ranged from 34 to 39 (</w:t>
      </w:r>
      <w:r w:rsidR="001415FE">
        <w:rPr>
          <w:rFonts w:eastAsia="Aptos"/>
          <w:b/>
          <w:bCs/>
          <w:kern w:val="2"/>
          <w:szCs w:val="22"/>
          <w14:ligatures w14:val="standardContextual"/>
        </w:rPr>
        <w:t xml:space="preserve">Table </w:t>
      </w:r>
      <w:r w:rsidR="001533D5">
        <w:rPr>
          <w:rFonts w:eastAsia="Aptos"/>
          <w:b/>
          <w:bCs/>
          <w:kern w:val="2"/>
          <w:szCs w:val="22"/>
          <w14:ligatures w14:val="standardContextual"/>
        </w:rPr>
        <w:t>2</w:t>
      </w:r>
      <w:r w:rsidRPr="00712403">
        <w:rPr>
          <w:rFonts w:eastAsia="Aptos"/>
          <w:kern w:val="2"/>
          <w:szCs w:val="22"/>
          <w14:ligatures w14:val="standardContextual"/>
        </w:rPr>
        <w:t>).</w:t>
      </w:r>
    </w:p>
    <w:p w14:paraId="790EB6C2" w14:textId="1C83DF8D" w:rsidR="00311F1A" w:rsidRPr="007F4B2D" w:rsidRDefault="00BE73AB" w:rsidP="00FC0490">
      <w:pPr>
        <w:spacing w:line="360" w:lineRule="auto"/>
      </w:pPr>
      <w:r w:rsidRPr="005311F9">
        <w:rPr>
          <w:b/>
          <w:bCs/>
          <w:noProof/>
        </w:rPr>
        <mc:AlternateContent>
          <mc:Choice Requires="wps">
            <w:drawing>
              <wp:anchor distT="0" distB="0" distL="114300" distR="114300" simplePos="0" relativeHeight="251630080" behindDoc="0" locked="0" layoutInCell="1" allowOverlap="1" wp14:anchorId="1E0EE57A" wp14:editId="3C86369D">
                <wp:simplePos x="0" y="0"/>
                <wp:positionH relativeFrom="column">
                  <wp:posOffset>4029075</wp:posOffset>
                </wp:positionH>
                <wp:positionV relativeFrom="paragraph">
                  <wp:posOffset>914400</wp:posOffset>
                </wp:positionV>
                <wp:extent cx="304800" cy="352425"/>
                <wp:effectExtent l="0" t="0" r="0" b="0"/>
                <wp:wrapNone/>
                <wp:docPr id="877991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52425"/>
                        </a:xfrm>
                        <a:prstGeom prst="rect">
                          <a:avLst/>
                        </a:prstGeom>
                        <a:noFill/>
                        <a:ln w="9525">
                          <a:noFill/>
                          <a:miter lim="800000"/>
                          <a:headEnd/>
                          <a:tailEnd/>
                        </a:ln>
                      </wps:spPr>
                      <wps:txbx>
                        <w:txbxContent>
                          <w:p w14:paraId="7C12EA3B" w14:textId="2332A668" w:rsidR="00BE73AB" w:rsidRPr="00967E9D" w:rsidRDefault="00BE73AB" w:rsidP="00BE73AB">
                            <w:pPr>
                              <w:rPr>
                                <w:color w:val="404040" w:themeColor="text1" w:themeTint="BF"/>
                                <w:sz w:val="28"/>
                                <w:szCs w:val="28"/>
                              </w:rPr>
                            </w:pPr>
                          </w:p>
                        </w:txbxContent>
                      </wps:txbx>
                      <wps:bodyPr rot="0" vert="horz" wrap="square" lIns="91440" tIns="45720" rIns="91440" bIns="45720" anchor="t" anchorCtr="0">
                        <a:noAutofit/>
                      </wps:bodyPr>
                    </wps:wsp>
                  </a:graphicData>
                </a:graphic>
              </wp:anchor>
            </w:drawing>
          </mc:Choice>
          <mc:Fallback>
            <w:pict>
              <v:shapetype w14:anchorId="1E0EE57A" id="_x0000_t202" coordsize="21600,21600" o:spt="202" path="m,l,21600r21600,l21600,xe">
                <v:stroke joinstyle="miter"/>
                <v:path gradientshapeok="t" o:connecttype="rect"/>
              </v:shapetype>
              <v:shape id="Text Box 2" o:spid="_x0000_s1026" type="#_x0000_t202" style="position:absolute;margin-left:317.25pt;margin-top:1in;width:24pt;height:27.7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" filled="f" stroked="f">
                <v:textbox>
                  <w:txbxContent>
                    <w:p w14:paraId="7C12EA3B" w14:textId="2332A668" w:rsidR="00BE73AB" w:rsidRPr="00967E9D" w:rsidRDefault="00BE73AB" w:rsidP="00BE73AB">
                      <w:pPr>
                        <w:rPr>
                          <w:color w:val="404040" w:themeColor="text1" w:themeTint="BF"/>
                          <w:sz w:val="28"/>
                          <w:szCs w:val="28"/>
                        </w:rPr>
                      </w:pPr>
                    </w:p>
                  </w:txbxContent>
                </v:textbox>
              </v:shape>
            </w:pict>
          </mc:Fallback>
        </mc:AlternateContent>
      </w:r>
      <w:r w:rsidR="00EC32FF" w:rsidRPr="00F21024">
        <w:t xml:space="preserve"> </w:t>
      </w:r>
      <w:r w:rsidR="00236E6D" w:rsidRPr="00F21024">
        <w:br w:type="page"/>
      </w:r>
      <w:bookmarkStart w:id="24" w:name="_Toc420995910"/>
      <w:bookmarkStart w:id="25" w:name="_Toc422997497"/>
    </w:p>
    <w:p w14:paraId="44862F8E" w14:textId="3C2C0874" w:rsidR="00236E6D" w:rsidRPr="00C46465" w:rsidRDefault="00A83041" w:rsidP="00522342">
      <w:pPr>
        <w:pStyle w:val="Heading1"/>
        <w:spacing w:before="0" w:after="0"/>
      </w:pPr>
      <w:bookmarkStart w:id="26" w:name="_Toc196292000"/>
      <w:r w:rsidRPr="00C46465">
        <w:rPr>
          <w:caps w:val="0"/>
        </w:rPr>
        <w:t xml:space="preserve">CHAPTER </w:t>
      </w:r>
      <w:r>
        <w:rPr>
          <w:caps w:val="0"/>
        </w:rPr>
        <w:t>THREE</w:t>
      </w:r>
      <w:bookmarkStart w:id="27" w:name="_Toc427156482"/>
      <w:r w:rsidR="000D4C2B">
        <w:rPr>
          <w:caps w:val="0"/>
        </w:rPr>
        <w:t xml:space="preserve">: </w:t>
      </w:r>
      <w:r w:rsidRPr="00C46465">
        <w:rPr>
          <w:caps w:val="0"/>
        </w:rPr>
        <w:t>CONCLUSIONS</w:t>
      </w:r>
      <w:bookmarkEnd w:id="24"/>
      <w:bookmarkEnd w:id="25"/>
      <w:bookmarkEnd w:id="26"/>
      <w:bookmarkEnd w:id="27"/>
    </w:p>
    <w:p w14:paraId="667586E6" w14:textId="0AE016A3" w:rsidR="00D676C9" w:rsidRPr="00D676C9" w:rsidRDefault="00A908CB" w:rsidP="00522342">
      <w:pPr>
        <w:spacing w:line="360" w:lineRule="auto"/>
        <w:ind w:firstLine="360"/>
        <w:rPr>
          <w:rFonts w:eastAsia="Aptos"/>
          <w:kern w:val="2"/>
          <w:szCs w:val="22"/>
          <w14:ligatures w14:val="standardContextual"/>
        </w:rPr>
      </w:pPr>
      <w:r>
        <w:rPr>
          <w:b/>
          <w:bCs/>
        </w:rPr>
        <w:tab/>
      </w:r>
      <w:r w:rsidR="00D676C9" w:rsidRPr="00D676C9">
        <w:rPr>
          <w:rFonts w:eastAsia="Aptos"/>
          <w:kern w:val="2"/>
          <w:szCs w:val="22"/>
          <w14:ligatures w14:val="standardContextual"/>
        </w:rPr>
        <w:t>Under the conditions of this study, no-tillage plots experienced lower yields</w:t>
      </w:r>
      <w:r w:rsidR="008143C7">
        <w:rPr>
          <w:rFonts w:eastAsia="Aptos"/>
          <w:kern w:val="2"/>
          <w:szCs w:val="22"/>
          <w14:ligatures w14:val="standardContextual"/>
        </w:rPr>
        <w:t xml:space="preserve"> </w:t>
      </w:r>
      <w:r w:rsidR="00D458B3">
        <w:rPr>
          <w:rFonts w:eastAsia="Aptos"/>
          <w:kern w:val="2"/>
          <w:szCs w:val="22"/>
          <w14:ligatures w14:val="standardContextual"/>
        </w:rPr>
        <w:t xml:space="preserve">and </w:t>
      </w:r>
      <w:r w:rsidR="008143C7">
        <w:rPr>
          <w:rFonts w:eastAsia="Aptos"/>
          <w:kern w:val="2"/>
          <w:szCs w:val="22"/>
          <w14:ligatures w14:val="standardContextual"/>
        </w:rPr>
        <w:t>cover crops did not influence tobacco yield, leaf quality, or disease occurrence</w:t>
      </w:r>
      <w:r w:rsidR="00D676C9" w:rsidRPr="00D676C9">
        <w:rPr>
          <w:rFonts w:eastAsia="Aptos"/>
          <w:kern w:val="2"/>
          <w:szCs w:val="22"/>
          <w14:ligatures w14:val="standardContextual"/>
        </w:rPr>
        <w:t xml:space="preserve">. </w:t>
      </w:r>
      <w:r w:rsidR="000F3AF0">
        <w:rPr>
          <w:rFonts w:eastAsia="Aptos"/>
          <w:kern w:val="2"/>
          <w:szCs w:val="22"/>
          <w14:ligatures w14:val="standardContextual"/>
        </w:rPr>
        <w:t>Although cover crops did not increase</w:t>
      </w:r>
      <w:r w:rsidR="00D74B90">
        <w:rPr>
          <w:rFonts w:eastAsia="Aptos"/>
          <w:kern w:val="2"/>
          <w:szCs w:val="22"/>
          <w14:ligatures w14:val="standardContextual"/>
        </w:rPr>
        <w:t xml:space="preserve"> tobacco yield</w:t>
      </w:r>
      <w:r w:rsidR="00703F4E">
        <w:rPr>
          <w:rFonts w:eastAsia="Aptos"/>
          <w:kern w:val="2"/>
          <w:szCs w:val="22"/>
          <w14:ligatures w14:val="standardContextual"/>
        </w:rPr>
        <w:t xml:space="preserve"> or decrease disease occurrence</w:t>
      </w:r>
      <w:r w:rsidR="00D74B90">
        <w:rPr>
          <w:rFonts w:eastAsia="Aptos"/>
          <w:kern w:val="2"/>
          <w:szCs w:val="22"/>
          <w14:ligatures w14:val="standardContextual"/>
        </w:rPr>
        <w:t xml:space="preserve">, </w:t>
      </w:r>
      <w:r w:rsidR="00477BC3">
        <w:rPr>
          <w:rFonts w:eastAsia="Aptos"/>
          <w:kern w:val="2"/>
          <w:szCs w:val="22"/>
          <w14:ligatures w14:val="standardContextual"/>
        </w:rPr>
        <w:t xml:space="preserve">cover crops could still be implemented for </w:t>
      </w:r>
      <w:r w:rsidR="00D74B90">
        <w:rPr>
          <w:rFonts w:eastAsia="Aptos"/>
          <w:kern w:val="2"/>
          <w:szCs w:val="22"/>
          <w14:ligatures w14:val="standardContextual"/>
        </w:rPr>
        <w:t xml:space="preserve">other benefits, such as lower soil erosion and increased water infiltration, </w:t>
      </w:r>
      <w:r w:rsidR="0054278C">
        <w:rPr>
          <w:rFonts w:eastAsia="Aptos"/>
          <w:kern w:val="2"/>
          <w:szCs w:val="22"/>
          <w14:ligatures w14:val="standardContextual"/>
        </w:rPr>
        <w:t>without risking negative impact on the dark tobacco crop</w:t>
      </w:r>
      <w:r w:rsidR="00B93431">
        <w:rPr>
          <w:rFonts w:eastAsia="Aptos"/>
          <w:kern w:val="2"/>
          <w:szCs w:val="22"/>
          <w14:ligatures w14:val="standardContextual"/>
        </w:rPr>
        <w:t xml:space="preserve">s. </w:t>
      </w:r>
      <w:r w:rsidR="008F25FF">
        <w:rPr>
          <w:rFonts w:eastAsia="Aptos"/>
          <w:kern w:val="2"/>
          <w:szCs w:val="22"/>
          <w14:ligatures w14:val="standardContextual"/>
        </w:rPr>
        <w:t xml:space="preserve">Common cover crops used in tobacco production systems are cereal rye and winter wheat. </w:t>
      </w:r>
      <w:r w:rsidR="002A4EC3">
        <w:rPr>
          <w:rFonts w:eastAsia="Aptos"/>
          <w:kern w:val="2"/>
          <w:szCs w:val="22"/>
          <w14:ligatures w14:val="standardContextual"/>
        </w:rPr>
        <w:t>Long-term research</w:t>
      </w:r>
      <w:r w:rsidR="00CD438C">
        <w:rPr>
          <w:rFonts w:eastAsia="Aptos"/>
          <w:kern w:val="2"/>
          <w:szCs w:val="22"/>
          <w14:ligatures w14:val="standardContextual"/>
        </w:rPr>
        <w:t xml:space="preserve"> utilizing </w:t>
      </w:r>
      <w:r w:rsidR="002A4EC3">
        <w:rPr>
          <w:rFonts w:eastAsia="Aptos"/>
          <w:kern w:val="2"/>
          <w:szCs w:val="22"/>
          <w14:ligatures w14:val="standardContextual"/>
        </w:rPr>
        <w:t>common cover crops</w:t>
      </w:r>
      <w:r w:rsidR="0025170A">
        <w:rPr>
          <w:rFonts w:eastAsia="Aptos"/>
          <w:kern w:val="2"/>
          <w:szCs w:val="22"/>
          <w14:ligatures w14:val="standardContextual"/>
        </w:rPr>
        <w:t xml:space="preserve"> </w:t>
      </w:r>
      <w:r w:rsidR="00251A43">
        <w:rPr>
          <w:rFonts w:eastAsia="Aptos"/>
          <w:kern w:val="2"/>
          <w:szCs w:val="22"/>
          <w14:ligatures w14:val="standardContextual"/>
        </w:rPr>
        <w:t xml:space="preserve">would be beneficial to evaluate the impact </w:t>
      </w:r>
      <w:r w:rsidR="0025170A">
        <w:rPr>
          <w:rFonts w:eastAsia="Aptos"/>
          <w:kern w:val="2"/>
          <w:szCs w:val="22"/>
          <w14:ligatures w14:val="standardContextual"/>
        </w:rPr>
        <w:t>on tobacco yield and production sys</w:t>
      </w:r>
      <w:r w:rsidR="00251A43">
        <w:rPr>
          <w:rFonts w:eastAsia="Aptos"/>
          <w:kern w:val="2"/>
          <w:szCs w:val="22"/>
          <w14:ligatures w14:val="standardContextual"/>
        </w:rPr>
        <w:t>tems.</w:t>
      </w:r>
      <w:r w:rsidR="002A4EC3">
        <w:rPr>
          <w:rFonts w:eastAsia="Aptos"/>
          <w:kern w:val="2"/>
          <w:szCs w:val="22"/>
          <w14:ligatures w14:val="standardContextual"/>
        </w:rPr>
        <w:t xml:space="preserve"> </w:t>
      </w:r>
      <w:r w:rsidR="00D676C9" w:rsidRPr="00D676C9">
        <w:rPr>
          <w:rFonts w:eastAsia="Aptos"/>
          <w:kern w:val="2"/>
          <w:szCs w:val="22"/>
          <w14:ligatures w14:val="standardContextual"/>
        </w:rPr>
        <w:t xml:space="preserve">With the limited disease data, this study suggests there may be differences in soil preparation methods associated with tillage and no-tillage on disease progression and </w:t>
      </w:r>
      <w:proofErr w:type="spellStart"/>
      <w:r w:rsidR="00D676C9" w:rsidRPr="00D676C9">
        <w:rPr>
          <w:rFonts w:eastAsia="Aptos"/>
          <w:i/>
          <w:iCs/>
          <w:kern w:val="2"/>
          <w:szCs w:val="22"/>
          <w14:ligatures w14:val="standardContextual"/>
        </w:rPr>
        <w:t>pst</w:t>
      </w:r>
      <w:proofErr w:type="spellEnd"/>
      <w:r w:rsidR="00D676C9" w:rsidRPr="00D676C9">
        <w:rPr>
          <w:rFonts w:eastAsia="Aptos"/>
          <w:i/>
          <w:iCs/>
          <w:kern w:val="2"/>
          <w:szCs w:val="22"/>
          <w14:ligatures w14:val="standardContextual"/>
        </w:rPr>
        <w:t xml:space="preserve"> </w:t>
      </w:r>
      <w:r w:rsidR="00D676C9" w:rsidRPr="00D676C9">
        <w:rPr>
          <w:rFonts w:eastAsia="Aptos"/>
          <w:kern w:val="2"/>
          <w:szCs w:val="22"/>
          <w14:ligatures w14:val="standardContextual"/>
        </w:rPr>
        <w:t>recovery. If disease pressure is high one year, it could be expected that conventional tillage application could lower disease incidence as observed in one year of this trial. Typically, tobacco crops are harvested and removed from the field but in cases of severe disease, the crop can be considered not harvestable resulting in crop destruction in the field.</w:t>
      </w:r>
      <w:r w:rsidR="001B62E2">
        <w:rPr>
          <w:rFonts w:eastAsia="Aptos"/>
          <w:kern w:val="2"/>
          <w:szCs w:val="22"/>
          <w14:ligatures w14:val="standardContextual"/>
        </w:rPr>
        <w:t xml:space="preserve"> Furthermore, KTD17LC is a highly susceptible </w:t>
      </w:r>
      <w:r w:rsidR="00A33C70">
        <w:rPr>
          <w:rFonts w:eastAsia="Aptos"/>
          <w:kern w:val="2"/>
          <w:szCs w:val="22"/>
          <w14:ligatures w14:val="standardContextual"/>
        </w:rPr>
        <w:t>variety to ALS and other varieties with less susceptibility may have shown less disease.</w:t>
      </w:r>
      <w:r w:rsidR="00D676C9" w:rsidRPr="00D676C9">
        <w:rPr>
          <w:rFonts w:eastAsia="Aptos"/>
          <w:kern w:val="2"/>
          <w:szCs w:val="22"/>
          <w14:ligatures w14:val="standardContextual"/>
        </w:rPr>
        <w:t xml:space="preserve"> More research should be conducted on additional cultural methods of control and prevention of ALS</w:t>
      </w:r>
      <w:r w:rsidR="00142D24">
        <w:rPr>
          <w:rFonts w:eastAsia="Aptos"/>
          <w:kern w:val="2"/>
          <w:szCs w:val="22"/>
          <w14:ligatures w14:val="standardContextual"/>
        </w:rPr>
        <w:t>.</w:t>
      </w:r>
      <w:r w:rsidR="00D676C9" w:rsidRPr="00D676C9">
        <w:rPr>
          <w:rFonts w:eastAsia="Aptos"/>
          <w:kern w:val="2"/>
          <w:szCs w:val="22"/>
          <w14:ligatures w14:val="standardContextual"/>
        </w:rPr>
        <w:t xml:space="preserve"> </w:t>
      </w:r>
      <w:r w:rsidR="00055EAE">
        <w:rPr>
          <w:rFonts w:eastAsia="Aptos"/>
          <w:kern w:val="2"/>
          <w:szCs w:val="22"/>
          <w14:ligatures w14:val="standardContextual"/>
        </w:rPr>
        <w:t>Current tobacco production systems under true no-tillage are less than 5%</w:t>
      </w:r>
      <w:r w:rsidR="00EA6CCA">
        <w:rPr>
          <w:rFonts w:eastAsia="Aptos"/>
          <w:kern w:val="2"/>
          <w:szCs w:val="22"/>
          <w14:ligatures w14:val="standardContextual"/>
        </w:rPr>
        <w:t xml:space="preserve">. </w:t>
      </w:r>
      <w:r w:rsidR="00C0149B">
        <w:rPr>
          <w:rFonts w:eastAsia="Aptos"/>
          <w:kern w:val="2"/>
          <w:szCs w:val="22"/>
          <w14:ligatures w14:val="standardContextual"/>
        </w:rPr>
        <w:t>Research incorporating</w:t>
      </w:r>
      <w:r w:rsidR="00EA6CCA">
        <w:rPr>
          <w:rFonts w:eastAsia="Aptos"/>
          <w:kern w:val="2"/>
          <w:szCs w:val="22"/>
          <w14:ligatures w14:val="standardContextual"/>
        </w:rPr>
        <w:t xml:space="preserve"> conservation tillage implements, such as strip tillage, and the impact on ALS occurrence </w:t>
      </w:r>
      <w:r w:rsidR="00E812EC">
        <w:rPr>
          <w:rFonts w:eastAsia="Aptos"/>
          <w:kern w:val="2"/>
          <w:szCs w:val="22"/>
          <w14:ligatures w14:val="standardContextual"/>
        </w:rPr>
        <w:t xml:space="preserve">would be beneficial to </w:t>
      </w:r>
      <w:r w:rsidR="000704D0">
        <w:rPr>
          <w:rFonts w:eastAsia="Aptos"/>
          <w:kern w:val="2"/>
          <w:szCs w:val="22"/>
          <w14:ligatures w14:val="standardContextual"/>
        </w:rPr>
        <w:t xml:space="preserve">better represent how tobacco producers are managing their production systems. </w:t>
      </w:r>
      <w:r w:rsidR="00C90F06" w:rsidRPr="00D676C9">
        <w:rPr>
          <w:rFonts w:eastAsia="Aptos"/>
          <w:kern w:val="2"/>
          <w:szCs w:val="22"/>
          <w14:ligatures w14:val="standardContextual"/>
        </w:rPr>
        <w:t xml:space="preserve">Research should be conducted on weed species populations to identify more clearly the role weeds may play in the spread and inoculation of tobacco crops with </w:t>
      </w:r>
      <w:proofErr w:type="spellStart"/>
      <w:r w:rsidR="00C90F06" w:rsidRPr="00D676C9">
        <w:rPr>
          <w:rFonts w:eastAsia="Aptos"/>
          <w:i/>
          <w:iCs/>
          <w:kern w:val="2"/>
          <w:szCs w:val="22"/>
          <w14:ligatures w14:val="standardContextual"/>
        </w:rPr>
        <w:t>pst</w:t>
      </w:r>
      <w:proofErr w:type="spellEnd"/>
      <w:r w:rsidR="00C90F06" w:rsidRPr="00D676C9">
        <w:rPr>
          <w:rFonts w:eastAsia="Aptos"/>
          <w:kern w:val="2"/>
          <w:szCs w:val="22"/>
          <w14:ligatures w14:val="standardContextual"/>
        </w:rPr>
        <w:t xml:space="preserve">. </w:t>
      </w:r>
      <w:r w:rsidR="00D676C9" w:rsidRPr="00D676C9">
        <w:rPr>
          <w:rFonts w:eastAsia="Aptos"/>
          <w:kern w:val="2"/>
          <w:szCs w:val="22"/>
          <w14:ligatures w14:val="standardContextual"/>
        </w:rPr>
        <w:t xml:space="preserve">Knowledge about what weed species may be host plants for </w:t>
      </w:r>
      <w:proofErr w:type="spellStart"/>
      <w:r w:rsidR="00D676C9" w:rsidRPr="00D676C9">
        <w:rPr>
          <w:rFonts w:eastAsia="Aptos"/>
          <w:i/>
          <w:iCs/>
          <w:kern w:val="2"/>
          <w:szCs w:val="22"/>
          <w14:ligatures w14:val="standardContextual"/>
        </w:rPr>
        <w:t>pst</w:t>
      </w:r>
      <w:proofErr w:type="spellEnd"/>
      <w:r w:rsidR="00D676C9" w:rsidRPr="00D676C9">
        <w:rPr>
          <w:rFonts w:eastAsia="Aptos"/>
          <w:kern w:val="2"/>
          <w:szCs w:val="22"/>
          <w14:ligatures w14:val="standardContextual"/>
        </w:rPr>
        <w:t xml:space="preserve"> </w:t>
      </w:r>
      <w:r w:rsidR="00AB4157">
        <w:rPr>
          <w:rFonts w:eastAsia="Aptos"/>
          <w:kern w:val="2"/>
          <w:szCs w:val="22"/>
          <w14:ligatures w14:val="standardContextual"/>
        </w:rPr>
        <w:t xml:space="preserve">may </w:t>
      </w:r>
      <w:r w:rsidR="00475921">
        <w:rPr>
          <w:rFonts w:eastAsia="Aptos"/>
          <w:kern w:val="2"/>
          <w:szCs w:val="22"/>
          <w14:ligatures w14:val="standardContextual"/>
        </w:rPr>
        <w:t xml:space="preserve">provide </w:t>
      </w:r>
      <w:r w:rsidR="00D676C9" w:rsidRPr="00D676C9">
        <w:rPr>
          <w:rFonts w:eastAsia="Aptos"/>
          <w:kern w:val="2"/>
          <w:szCs w:val="22"/>
          <w14:ligatures w14:val="standardContextual"/>
        </w:rPr>
        <w:t xml:space="preserve">critical information for tobacco producers to potentially reduce a direct path of infection to their tobacco crops. Further research should also be conducted on whether </w:t>
      </w:r>
      <w:proofErr w:type="spellStart"/>
      <w:r w:rsidR="00D676C9" w:rsidRPr="00D676C9">
        <w:rPr>
          <w:rFonts w:eastAsia="Aptos"/>
          <w:i/>
          <w:iCs/>
          <w:kern w:val="2"/>
          <w:szCs w:val="22"/>
          <w14:ligatures w14:val="standardContextual"/>
        </w:rPr>
        <w:t>pst</w:t>
      </w:r>
      <w:proofErr w:type="spellEnd"/>
      <w:r w:rsidR="00D676C9" w:rsidRPr="00D676C9">
        <w:rPr>
          <w:rFonts w:eastAsia="Aptos"/>
          <w:kern w:val="2"/>
          <w:szCs w:val="22"/>
          <w14:ligatures w14:val="standardContextual"/>
        </w:rPr>
        <w:t xml:space="preserve"> can be recovered and isolated from the soil and </w:t>
      </w:r>
      <w:r w:rsidR="00E8378F">
        <w:rPr>
          <w:rFonts w:eastAsia="Aptos"/>
          <w:kern w:val="2"/>
          <w:szCs w:val="22"/>
          <w14:ligatures w14:val="standardContextual"/>
        </w:rPr>
        <w:t xml:space="preserve">potentially explore </w:t>
      </w:r>
      <w:r w:rsidR="00D676C9" w:rsidRPr="00D676C9">
        <w:rPr>
          <w:rFonts w:eastAsia="Aptos"/>
          <w:kern w:val="2"/>
          <w:szCs w:val="22"/>
          <w14:ligatures w14:val="standardContextual"/>
        </w:rPr>
        <w:t>additional methods of soil treatment if</w:t>
      </w:r>
      <w:r w:rsidR="0065190D">
        <w:rPr>
          <w:rFonts w:eastAsia="Aptos"/>
          <w:kern w:val="2"/>
          <w:szCs w:val="22"/>
          <w14:ligatures w14:val="standardContextual"/>
        </w:rPr>
        <w:t xml:space="preserve"> </w:t>
      </w:r>
      <w:proofErr w:type="spellStart"/>
      <w:r w:rsidR="0065190D">
        <w:rPr>
          <w:rFonts w:eastAsia="Aptos"/>
          <w:i/>
          <w:iCs/>
          <w:kern w:val="2"/>
          <w:szCs w:val="22"/>
          <w14:ligatures w14:val="standardContextual"/>
        </w:rPr>
        <w:t>pst</w:t>
      </w:r>
      <w:proofErr w:type="spellEnd"/>
      <w:r w:rsidR="00BF4346">
        <w:rPr>
          <w:rFonts w:eastAsia="Aptos"/>
          <w:i/>
          <w:iCs/>
          <w:kern w:val="2"/>
          <w:szCs w:val="22"/>
          <w14:ligatures w14:val="standardContextual"/>
        </w:rPr>
        <w:t xml:space="preserve"> </w:t>
      </w:r>
      <w:r w:rsidR="00BF4346">
        <w:rPr>
          <w:rFonts w:eastAsia="Aptos"/>
          <w:kern w:val="2"/>
          <w:szCs w:val="22"/>
          <w14:ligatures w14:val="standardContextual"/>
        </w:rPr>
        <w:t>is</w:t>
      </w:r>
      <w:r w:rsidR="00D676C9" w:rsidRPr="00D676C9">
        <w:rPr>
          <w:rFonts w:eastAsia="Aptos"/>
          <w:kern w:val="2"/>
          <w:szCs w:val="22"/>
          <w14:ligatures w14:val="standardContextual"/>
        </w:rPr>
        <w:t xml:space="preserve"> found. With limited evidence on the impact of soil abiotic factors and prevalence of </w:t>
      </w:r>
      <w:proofErr w:type="spellStart"/>
      <w:r w:rsidR="00D676C9" w:rsidRPr="00D676C9">
        <w:rPr>
          <w:rFonts w:eastAsia="Aptos"/>
          <w:i/>
          <w:iCs/>
          <w:kern w:val="2"/>
          <w:szCs w:val="22"/>
          <w14:ligatures w14:val="standardContextual"/>
        </w:rPr>
        <w:t>pst</w:t>
      </w:r>
      <w:proofErr w:type="spellEnd"/>
      <w:r w:rsidR="00D676C9" w:rsidRPr="00D676C9">
        <w:rPr>
          <w:rFonts w:eastAsia="Aptos"/>
          <w:i/>
          <w:iCs/>
          <w:kern w:val="2"/>
          <w:szCs w:val="22"/>
          <w14:ligatures w14:val="standardContextual"/>
        </w:rPr>
        <w:t xml:space="preserve">, </w:t>
      </w:r>
      <w:r w:rsidR="00D676C9" w:rsidRPr="00D676C9">
        <w:rPr>
          <w:rFonts w:eastAsia="Aptos"/>
          <w:kern w:val="2"/>
          <w:szCs w:val="22"/>
          <w14:ligatures w14:val="standardContextual"/>
        </w:rPr>
        <w:t xml:space="preserve">monitoring soil moisture and temperature more consistently could be beneficial. This information could be key to reducing ALS in tobacco fields and helping producers protect </w:t>
      </w:r>
      <w:r w:rsidR="00E8378F">
        <w:rPr>
          <w:rFonts w:eastAsia="Aptos"/>
          <w:kern w:val="2"/>
          <w:szCs w:val="22"/>
          <w14:ligatures w14:val="standardContextual"/>
        </w:rPr>
        <w:t>dark tobacco</w:t>
      </w:r>
      <w:r w:rsidR="00D676C9" w:rsidRPr="00D676C9">
        <w:rPr>
          <w:rFonts w:eastAsia="Aptos"/>
          <w:kern w:val="2"/>
          <w:szCs w:val="22"/>
          <w14:ligatures w14:val="standardContextual"/>
        </w:rPr>
        <w:t xml:space="preserve"> crops.</w:t>
      </w:r>
      <w:r w:rsidR="00D676C9" w:rsidRPr="00D676C9">
        <w:rPr>
          <w:rFonts w:eastAsia="Aptos"/>
          <w:i/>
          <w:iCs/>
          <w:kern w:val="2"/>
          <w:szCs w:val="22"/>
          <w14:ligatures w14:val="standardContextual"/>
        </w:rPr>
        <w:t xml:space="preserve"> </w:t>
      </w:r>
      <w:r w:rsidR="00D676C9" w:rsidRPr="00D676C9">
        <w:rPr>
          <w:rFonts w:eastAsia="Aptos"/>
          <w:kern w:val="2"/>
          <w:szCs w:val="22"/>
          <w14:ligatures w14:val="standardContextual"/>
        </w:rPr>
        <w:t>Although the results of this study did not observe benefits of cover cropping or no-tillage on yield, quality, or disease control, long-term benefits of cover crops and no-tillage are still well documented</w:t>
      </w:r>
      <w:r w:rsidR="00B93431">
        <w:rPr>
          <w:rFonts w:eastAsia="Aptos"/>
          <w:kern w:val="2"/>
          <w:szCs w:val="22"/>
          <w14:ligatures w14:val="standardContextual"/>
        </w:rPr>
        <w:t xml:space="preserve"> </w:t>
      </w:r>
      <w:r w:rsidR="00FE087A">
        <w:rPr>
          <w:rFonts w:eastAsia="Aptos"/>
          <w:kern w:val="2"/>
          <w:szCs w:val="22"/>
          <w14:ligatures w14:val="standardContextual"/>
        </w:rPr>
        <w:t xml:space="preserve">in </w:t>
      </w:r>
      <w:r w:rsidR="003D74F3">
        <w:rPr>
          <w:rFonts w:eastAsia="Aptos"/>
          <w:kern w:val="2"/>
          <w:szCs w:val="22"/>
          <w14:ligatures w14:val="standardContextual"/>
        </w:rPr>
        <w:t>tobacco and other crops</w:t>
      </w:r>
      <w:r w:rsidR="00D676C9" w:rsidRPr="00D676C9">
        <w:rPr>
          <w:rFonts w:eastAsia="Aptos"/>
          <w:kern w:val="2"/>
          <w:szCs w:val="22"/>
          <w14:ligatures w14:val="standardContextual"/>
        </w:rPr>
        <w:t xml:space="preserve"> </w:t>
      </w:r>
      <w:r w:rsidR="00B93431">
        <w:rPr>
          <w:rFonts w:eastAsia="Aptos"/>
          <w:kern w:val="2"/>
          <w:szCs w:val="22"/>
          <w14:ligatures w14:val="standardContextual"/>
        </w:rPr>
        <w:t>(</w:t>
      </w:r>
      <w:r w:rsidR="00D676C9" w:rsidRPr="00D676C9">
        <w:rPr>
          <w:rFonts w:eastAsia="Aptos"/>
        </w:rPr>
        <w:t>Hussain</w:t>
      </w:r>
      <w:r w:rsidR="0019669C">
        <w:rPr>
          <w:rFonts w:eastAsia="Aptos"/>
        </w:rPr>
        <w:t xml:space="preserve"> et al.</w:t>
      </w:r>
      <w:r w:rsidR="00F51FEF">
        <w:rPr>
          <w:rFonts w:eastAsia="Aptos"/>
        </w:rPr>
        <w:t xml:space="preserve"> et al.</w:t>
      </w:r>
      <w:r w:rsidR="00D676C9" w:rsidRPr="00D676C9">
        <w:rPr>
          <w:rFonts w:eastAsia="Aptos"/>
        </w:rPr>
        <w:t xml:space="preserve"> 1999; Ellis</w:t>
      </w:r>
      <w:r w:rsidR="0019669C">
        <w:rPr>
          <w:rFonts w:eastAsia="Aptos"/>
        </w:rPr>
        <w:t xml:space="preserve"> et al.</w:t>
      </w:r>
      <w:r w:rsidR="00F51FEF">
        <w:rPr>
          <w:rFonts w:eastAsia="Aptos"/>
        </w:rPr>
        <w:t xml:space="preserve"> et al.</w:t>
      </w:r>
      <w:r w:rsidR="00D676C9" w:rsidRPr="00D676C9">
        <w:rPr>
          <w:rFonts w:eastAsia="Aptos"/>
        </w:rPr>
        <w:t xml:space="preserve"> 2000; Dabney</w:t>
      </w:r>
      <w:r w:rsidR="0019669C">
        <w:rPr>
          <w:rFonts w:eastAsia="Aptos"/>
        </w:rPr>
        <w:t xml:space="preserve"> et al.</w:t>
      </w:r>
      <w:r w:rsidR="00F51FEF">
        <w:rPr>
          <w:rFonts w:eastAsia="Aptos"/>
        </w:rPr>
        <w:t xml:space="preserve"> et al.</w:t>
      </w:r>
      <w:r w:rsidR="00D676C9" w:rsidRPr="00D676C9">
        <w:rPr>
          <w:rFonts w:eastAsia="Aptos"/>
        </w:rPr>
        <w:t xml:space="preserve"> 2001; Blanco-Canqui</w:t>
      </w:r>
      <w:r w:rsidR="0019669C">
        <w:rPr>
          <w:rFonts w:eastAsia="Aptos"/>
        </w:rPr>
        <w:t xml:space="preserve"> et al.</w:t>
      </w:r>
      <w:r w:rsidR="00F51FEF">
        <w:rPr>
          <w:rFonts w:eastAsia="Aptos"/>
        </w:rPr>
        <w:t xml:space="preserve"> et al.</w:t>
      </w:r>
      <w:r w:rsidR="00D676C9" w:rsidRPr="00D676C9">
        <w:rPr>
          <w:rFonts w:eastAsia="Aptos"/>
        </w:rPr>
        <w:t xml:space="preserve"> 2015; </w:t>
      </w:r>
      <w:proofErr w:type="spellStart"/>
      <w:r w:rsidR="00D676C9" w:rsidRPr="00D676C9">
        <w:rPr>
          <w:rFonts w:eastAsia="Aptos"/>
        </w:rPr>
        <w:t>Vukicevich</w:t>
      </w:r>
      <w:proofErr w:type="spellEnd"/>
      <w:r w:rsidR="0019669C">
        <w:rPr>
          <w:rFonts w:eastAsia="Aptos"/>
        </w:rPr>
        <w:t xml:space="preserve"> et al.</w:t>
      </w:r>
      <w:r w:rsidR="00F51FEF">
        <w:rPr>
          <w:rFonts w:eastAsia="Aptos"/>
        </w:rPr>
        <w:t xml:space="preserve"> et al.</w:t>
      </w:r>
      <w:r w:rsidR="00D676C9" w:rsidRPr="00D676C9">
        <w:rPr>
          <w:rFonts w:eastAsia="Aptos"/>
        </w:rPr>
        <w:t xml:space="preserve"> 2016;</w:t>
      </w:r>
      <w:r w:rsidR="00D676C9" w:rsidRPr="00D676C9">
        <w:rPr>
          <w:rFonts w:eastAsia="Aptos"/>
          <w:i/>
          <w:iCs/>
          <w:kern w:val="2"/>
          <w:szCs w:val="22"/>
          <w14:ligatures w14:val="standardContextual"/>
        </w:rPr>
        <w:t xml:space="preserve"> </w:t>
      </w:r>
      <w:r w:rsidR="00D676C9" w:rsidRPr="00D676C9">
        <w:rPr>
          <w:rFonts w:eastAsia="Aptos"/>
        </w:rPr>
        <w:t>Werle &amp; Blanco-Canqui, 2017).</w:t>
      </w:r>
    </w:p>
    <w:p w14:paraId="686D6B19" w14:textId="74B52822" w:rsidR="008F2A6C" w:rsidRDefault="008F2A6C" w:rsidP="00206090">
      <w:pPr>
        <w:numPr>
          <w:ilvl w:val="12"/>
          <w:numId w:val="0"/>
        </w:numPr>
        <w:rPr>
          <w:b/>
          <w:bCs/>
        </w:rPr>
      </w:pPr>
      <w:bookmarkStart w:id="28" w:name="_Toc420995911"/>
      <w:bookmarkStart w:id="29" w:name="_Toc422997498"/>
    </w:p>
    <w:p w14:paraId="6B298625" w14:textId="77777777" w:rsidR="00FC0490" w:rsidRPr="00F21024" w:rsidRDefault="00FC0490" w:rsidP="00206090">
      <w:pPr>
        <w:numPr>
          <w:ilvl w:val="12"/>
          <w:numId w:val="0"/>
        </w:numPr>
      </w:pPr>
    </w:p>
    <w:p w14:paraId="48B29F42" w14:textId="77777777" w:rsidR="00236E6D" w:rsidRPr="00F21024" w:rsidRDefault="00236E6D" w:rsidP="00FC0490">
      <w:pPr>
        <w:pStyle w:val="AltHeading1"/>
        <w:spacing w:before="0" w:after="0"/>
      </w:pPr>
      <w:bookmarkStart w:id="30" w:name="_Toc427156483"/>
      <w:bookmarkStart w:id="31" w:name="_Toc196292001"/>
      <w:r w:rsidRPr="00F21024">
        <w:t>L</w:t>
      </w:r>
      <w:r w:rsidR="00E91931" w:rsidRPr="00F21024">
        <w:t>ist of References</w:t>
      </w:r>
      <w:bookmarkEnd w:id="28"/>
      <w:bookmarkEnd w:id="29"/>
      <w:bookmarkEnd w:id="30"/>
      <w:bookmarkEnd w:id="31"/>
    </w:p>
    <w:p w14:paraId="7689D95B"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American </w:t>
      </w:r>
      <w:proofErr w:type="spellStart"/>
      <w:r w:rsidRPr="00F21024">
        <w:rPr>
          <w:kern w:val="2"/>
          <w14:ligatures w14:val="standardContextual"/>
        </w:rPr>
        <w:t>Phytopathological</w:t>
      </w:r>
      <w:proofErr w:type="spellEnd"/>
      <w:r w:rsidRPr="00F21024">
        <w:rPr>
          <w:kern w:val="2"/>
          <w14:ligatures w14:val="standardContextual"/>
        </w:rPr>
        <w:t xml:space="preserve"> Society (APS). (2023, March 02). Illustrated Glossary of </w:t>
      </w:r>
    </w:p>
    <w:p w14:paraId="551AC95A" w14:textId="440A1DCB" w:rsidR="007F4B2D" w:rsidRPr="007E0448" w:rsidRDefault="007F4B2D" w:rsidP="00FC0490">
      <w:pPr>
        <w:spacing w:line="360" w:lineRule="auto"/>
        <w:ind w:firstLine="720"/>
        <w:rPr>
          <w:kern w:val="2"/>
          <w14:ligatures w14:val="standardContextual"/>
        </w:rPr>
      </w:pPr>
      <w:r w:rsidRPr="00F21024">
        <w:rPr>
          <w:kern w:val="2"/>
          <w14:ligatures w14:val="standardContextual"/>
        </w:rPr>
        <w:t>Pathology. APS.</w:t>
      </w:r>
    </w:p>
    <w:p w14:paraId="53F77275" w14:textId="14C2C136" w:rsidR="00B76EFD" w:rsidRPr="00BC534B" w:rsidRDefault="00F435B6" w:rsidP="00FC0490">
      <w:pPr>
        <w:spacing w:line="360" w:lineRule="auto"/>
        <w:ind w:left="720" w:hanging="720"/>
      </w:pPr>
      <w:r w:rsidRPr="009C25EC">
        <w:t xml:space="preserve">Bailey, A., Pearce, B., </w:t>
      </w:r>
      <w:r>
        <w:t>Legleiter, T., Ritchey</w:t>
      </w:r>
      <w:r w:rsidRPr="009C25EC">
        <w:t xml:space="preserve">, E., Snell, W., </w:t>
      </w:r>
      <w:proofErr w:type="spellStart"/>
      <w:r w:rsidRPr="009C25EC">
        <w:t>Bessin</w:t>
      </w:r>
      <w:proofErr w:type="spellEnd"/>
      <w:r w:rsidRPr="009C25EC">
        <w:t xml:space="preserve">, R., Fisher, A., </w:t>
      </w:r>
      <w:r>
        <w:t xml:space="preserve">Richmond, M., </w:t>
      </w:r>
      <w:r w:rsidRPr="009C25EC">
        <w:t>Reed, D.,</w:t>
      </w:r>
      <w:r>
        <w:t xml:space="preserve"> Zeng, Y.,</w:t>
      </w:r>
      <w:r w:rsidRPr="009C25EC">
        <w:t xml:space="preserve"> Vann, M.,</w:t>
      </w:r>
      <w:r>
        <w:t xml:space="preserve"> James, M., Ahumada, D., Lopez, L.</w:t>
      </w:r>
      <w:r w:rsidRPr="009C25EC">
        <w:t xml:space="preserve"> </w:t>
      </w:r>
      <w:r w:rsidR="00B76EFD" w:rsidRPr="009C25EC">
        <w:t>(</w:t>
      </w:r>
      <w:r w:rsidR="00B76EFD">
        <w:t>202</w:t>
      </w:r>
      <w:r w:rsidR="00D90BA3">
        <w:t>5</w:t>
      </w:r>
      <w:r w:rsidR="00B76EFD">
        <w:t>a</w:t>
      </w:r>
      <w:r w:rsidR="00B76EFD" w:rsidRPr="009C25EC">
        <w:t>)</w:t>
      </w:r>
      <w:r w:rsidR="00B76EFD">
        <w:t>. Selecting dark tobacco varieties</w:t>
      </w:r>
      <w:r w:rsidR="00B76EFD" w:rsidRPr="009C25EC">
        <w:t xml:space="preserve">. </w:t>
      </w:r>
      <w:r w:rsidR="00B76EFD" w:rsidRPr="005D7B60">
        <w:rPr>
          <w:i/>
          <w:iCs/>
        </w:rPr>
        <w:t>Burley and dark tobacco production guide</w:t>
      </w:r>
      <w:r w:rsidR="00B76EFD">
        <w:rPr>
          <w:i/>
          <w:iCs/>
        </w:rPr>
        <w:t xml:space="preserve"> </w:t>
      </w:r>
      <w:r w:rsidR="00B76EFD">
        <w:t>(pp. 7-11).</w:t>
      </w:r>
    </w:p>
    <w:p w14:paraId="25E23273" w14:textId="3A04EA09" w:rsidR="00B76EFD" w:rsidRDefault="00B76EFD" w:rsidP="00FC0490">
      <w:pPr>
        <w:spacing w:line="360" w:lineRule="auto"/>
        <w:ind w:left="720" w:hanging="720"/>
      </w:pPr>
      <w:bookmarkStart w:id="32" w:name="_Hlk192590894"/>
      <w:r w:rsidRPr="009C25EC">
        <w:t xml:space="preserve">Bailey, A., Pearce, B., </w:t>
      </w:r>
      <w:r w:rsidR="00D149B6">
        <w:t xml:space="preserve">Legleiter, T., </w:t>
      </w:r>
      <w:r>
        <w:t>Ritchey</w:t>
      </w:r>
      <w:r w:rsidRPr="009C25EC">
        <w:t xml:space="preserve">, E., Snell, W., </w:t>
      </w:r>
      <w:proofErr w:type="spellStart"/>
      <w:r w:rsidRPr="009C25EC">
        <w:t>Bessin</w:t>
      </w:r>
      <w:proofErr w:type="spellEnd"/>
      <w:r w:rsidRPr="009C25EC">
        <w:t xml:space="preserve">, R., Fisher, A., </w:t>
      </w:r>
      <w:r w:rsidR="00E7288F">
        <w:t xml:space="preserve">Richmond, M., </w:t>
      </w:r>
      <w:r w:rsidRPr="009C25EC">
        <w:t>Reed, D.,</w:t>
      </w:r>
      <w:r w:rsidR="00E7288F">
        <w:t xml:space="preserve"> Zeng, Y.,</w:t>
      </w:r>
      <w:r w:rsidRPr="009C25EC">
        <w:t xml:space="preserve"> Vann, M.,</w:t>
      </w:r>
      <w:r w:rsidR="003D7CA3">
        <w:t xml:space="preserve"> James, M., Ahumada, D., Lopez, L.</w:t>
      </w:r>
      <w:r w:rsidRPr="009C25EC">
        <w:t xml:space="preserve"> </w:t>
      </w:r>
      <w:bookmarkEnd w:id="32"/>
      <w:r w:rsidRPr="009C25EC">
        <w:t>(</w:t>
      </w:r>
      <w:r>
        <w:t>202</w:t>
      </w:r>
      <w:r w:rsidR="00C27458">
        <w:t>5</w:t>
      </w:r>
      <w:r>
        <w:t>b</w:t>
      </w:r>
      <w:r w:rsidRPr="009C25EC">
        <w:t>)</w:t>
      </w:r>
      <w:r>
        <w:t>. Field selection and soil preparation</w:t>
      </w:r>
      <w:r w:rsidRPr="009C25EC">
        <w:t xml:space="preserve">. </w:t>
      </w:r>
      <w:r w:rsidRPr="005D7B60">
        <w:rPr>
          <w:i/>
          <w:iCs/>
        </w:rPr>
        <w:t xml:space="preserve">Burley and </w:t>
      </w:r>
      <w:r>
        <w:rPr>
          <w:i/>
          <w:iCs/>
        </w:rPr>
        <w:t>d</w:t>
      </w:r>
      <w:r w:rsidRPr="005D7B60">
        <w:rPr>
          <w:i/>
          <w:iCs/>
        </w:rPr>
        <w:t xml:space="preserve">ark </w:t>
      </w:r>
      <w:r>
        <w:rPr>
          <w:i/>
          <w:iCs/>
        </w:rPr>
        <w:t>t</w:t>
      </w:r>
      <w:r w:rsidRPr="005D7B60">
        <w:rPr>
          <w:i/>
          <w:iCs/>
        </w:rPr>
        <w:t xml:space="preserve">obacco </w:t>
      </w:r>
      <w:r>
        <w:rPr>
          <w:i/>
          <w:iCs/>
        </w:rPr>
        <w:t>p</w:t>
      </w:r>
      <w:r w:rsidRPr="005D7B60">
        <w:rPr>
          <w:i/>
          <w:iCs/>
        </w:rPr>
        <w:t xml:space="preserve">roduction </w:t>
      </w:r>
      <w:r>
        <w:rPr>
          <w:i/>
          <w:iCs/>
        </w:rPr>
        <w:t>g</w:t>
      </w:r>
      <w:r w:rsidRPr="005D7B60">
        <w:rPr>
          <w:i/>
          <w:iCs/>
        </w:rPr>
        <w:t>uide</w:t>
      </w:r>
      <w:r>
        <w:rPr>
          <w:i/>
          <w:iCs/>
        </w:rPr>
        <w:t xml:space="preserve"> </w:t>
      </w:r>
      <w:r>
        <w:t>(pp. 22-2</w:t>
      </w:r>
      <w:r w:rsidR="00C07A34">
        <w:t>8</w:t>
      </w:r>
      <w:r>
        <w:t>).</w:t>
      </w:r>
    </w:p>
    <w:p w14:paraId="1ABAB038" w14:textId="36B31269" w:rsidR="003B4683" w:rsidRPr="00BC534B" w:rsidRDefault="00F435B6" w:rsidP="00FC0490">
      <w:pPr>
        <w:spacing w:line="360" w:lineRule="auto"/>
        <w:ind w:left="720" w:hanging="720"/>
      </w:pPr>
      <w:r w:rsidRPr="009C25EC">
        <w:t xml:space="preserve">Bailey, A., Pearce, B., </w:t>
      </w:r>
      <w:r>
        <w:t>Legleiter, T., Ritchey</w:t>
      </w:r>
      <w:r w:rsidRPr="009C25EC">
        <w:t xml:space="preserve">, E., Snell, W., </w:t>
      </w:r>
      <w:proofErr w:type="spellStart"/>
      <w:r w:rsidRPr="009C25EC">
        <w:t>Bessin</w:t>
      </w:r>
      <w:proofErr w:type="spellEnd"/>
      <w:r w:rsidRPr="009C25EC">
        <w:t xml:space="preserve">, R., Fisher, A., </w:t>
      </w:r>
      <w:r>
        <w:t xml:space="preserve">Richmond, M., </w:t>
      </w:r>
      <w:r w:rsidRPr="009C25EC">
        <w:t>Reed, D.,</w:t>
      </w:r>
      <w:r>
        <w:t xml:space="preserve"> Zeng, Y.,</w:t>
      </w:r>
      <w:r w:rsidRPr="009C25EC">
        <w:t xml:space="preserve"> Vann, M.,</w:t>
      </w:r>
      <w:r>
        <w:t xml:space="preserve"> James, M., Ahumada, D., Lopez, L.</w:t>
      </w:r>
      <w:r w:rsidRPr="009C25EC">
        <w:t xml:space="preserve"> </w:t>
      </w:r>
      <w:r w:rsidR="003B4683" w:rsidRPr="009C25EC">
        <w:t>(</w:t>
      </w:r>
      <w:r w:rsidR="003B4683">
        <w:t>2025c</w:t>
      </w:r>
      <w:r w:rsidR="003B4683" w:rsidRPr="009C25EC">
        <w:t>)</w:t>
      </w:r>
      <w:r w:rsidR="003B4683">
        <w:t>. Weed management</w:t>
      </w:r>
      <w:r w:rsidR="003B4683" w:rsidRPr="009C25EC">
        <w:t xml:space="preserve">. </w:t>
      </w:r>
      <w:r w:rsidR="003B4683" w:rsidRPr="005D7B60">
        <w:rPr>
          <w:i/>
          <w:iCs/>
        </w:rPr>
        <w:t xml:space="preserve">Burley and </w:t>
      </w:r>
      <w:r w:rsidR="003B4683">
        <w:rPr>
          <w:i/>
          <w:iCs/>
        </w:rPr>
        <w:t>d</w:t>
      </w:r>
      <w:r w:rsidR="003B4683" w:rsidRPr="005D7B60">
        <w:rPr>
          <w:i/>
          <w:iCs/>
        </w:rPr>
        <w:t xml:space="preserve">ark </w:t>
      </w:r>
      <w:r w:rsidR="003B4683">
        <w:rPr>
          <w:i/>
          <w:iCs/>
        </w:rPr>
        <w:t>t</w:t>
      </w:r>
      <w:r w:rsidR="003B4683" w:rsidRPr="005D7B60">
        <w:rPr>
          <w:i/>
          <w:iCs/>
        </w:rPr>
        <w:t xml:space="preserve">obacco </w:t>
      </w:r>
      <w:r w:rsidR="003B4683">
        <w:rPr>
          <w:i/>
          <w:iCs/>
        </w:rPr>
        <w:t>p</w:t>
      </w:r>
      <w:r w:rsidR="003B4683" w:rsidRPr="005D7B60">
        <w:rPr>
          <w:i/>
          <w:iCs/>
        </w:rPr>
        <w:t xml:space="preserve">roduction </w:t>
      </w:r>
      <w:r w:rsidR="003B4683">
        <w:rPr>
          <w:i/>
          <w:iCs/>
        </w:rPr>
        <w:t>g</w:t>
      </w:r>
      <w:r w:rsidR="003B4683" w:rsidRPr="005D7B60">
        <w:rPr>
          <w:i/>
          <w:iCs/>
        </w:rPr>
        <w:t>uide</w:t>
      </w:r>
      <w:r w:rsidR="003B4683">
        <w:rPr>
          <w:i/>
          <w:iCs/>
        </w:rPr>
        <w:t xml:space="preserve"> </w:t>
      </w:r>
      <w:r w:rsidR="003B4683">
        <w:t>(</w:t>
      </w:r>
      <w:proofErr w:type="gramStart"/>
      <w:r w:rsidR="003B4683">
        <w:t>pp</w:t>
      </w:r>
      <w:proofErr w:type="gramEnd"/>
      <w:r w:rsidR="003B4683">
        <w:t xml:space="preserve">. </w:t>
      </w:r>
      <w:r w:rsidR="00C91AD2">
        <w:t>28-32</w:t>
      </w:r>
      <w:r w:rsidR="003B4683">
        <w:t>).</w:t>
      </w:r>
    </w:p>
    <w:p w14:paraId="59AD326B" w14:textId="41CCC0AF" w:rsidR="00005C6C" w:rsidRPr="00BC534B" w:rsidRDefault="00005C6C" w:rsidP="00FC0490">
      <w:pPr>
        <w:spacing w:line="360" w:lineRule="auto"/>
        <w:ind w:left="720" w:hanging="720"/>
      </w:pPr>
      <w:r w:rsidRPr="009C25EC">
        <w:t xml:space="preserve">Bailey, A., Pearce, B., </w:t>
      </w:r>
      <w:r>
        <w:t>Legleiter, T., Ritchey</w:t>
      </w:r>
      <w:r w:rsidRPr="009C25EC">
        <w:t xml:space="preserve">, E., Snell, W., </w:t>
      </w:r>
      <w:proofErr w:type="spellStart"/>
      <w:r w:rsidRPr="009C25EC">
        <w:t>Bessin</w:t>
      </w:r>
      <w:proofErr w:type="spellEnd"/>
      <w:r w:rsidRPr="009C25EC">
        <w:t xml:space="preserve">, R., Fisher, A., </w:t>
      </w:r>
      <w:r>
        <w:t xml:space="preserve">Richmond, M., </w:t>
      </w:r>
      <w:r w:rsidRPr="009C25EC">
        <w:t>Reed, D.,</w:t>
      </w:r>
      <w:r>
        <w:t xml:space="preserve"> Zeng, Y.,</w:t>
      </w:r>
      <w:r w:rsidRPr="009C25EC">
        <w:t xml:space="preserve"> Vann, M.,</w:t>
      </w:r>
      <w:r>
        <w:t xml:space="preserve"> James, M., Ahumada, D., Lopez, L.</w:t>
      </w:r>
      <w:r w:rsidRPr="009C25EC">
        <w:t xml:space="preserve"> (</w:t>
      </w:r>
      <w:r>
        <w:t>2025d</w:t>
      </w:r>
      <w:r w:rsidRPr="009C25EC">
        <w:t>)</w:t>
      </w:r>
      <w:r>
        <w:t xml:space="preserve">. </w:t>
      </w:r>
      <w:r w:rsidR="00B466C8">
        <w:t>Fertilization</w:t>
      </w:r>
      <w:r w:rsidRPr="009C25EC">
        <w:t xml:space="preserve">. </w:t>
      </w:r>
      <w:r w:rsidRPr="005D7B60">
        <w:rPr>
          <w:i/>
          <w:iCs/>
        </w:rPr>
        <w:t xml:space="preserve">Burley and </w:t>
      </w:r>
      <w:r>
        <w:rPr>
          <w:i/>
          <w:iCs/>
        </w:rPr>
        <w:t>d</w:t>
      </w:r>
      <w:r w:rsidRPr="005D7B60">
        <w:rPr>
          <w:i/>
          <w:iCs/>
        </w:rPr>
        <w:t xml:space="preserve">ark </w:t>
      </w:r>
      <w:r>
        <w:rPr>
          <w:i/>
          <w:iCs/>
        </w:rPr>
        <w:t>t</w:t>
      </w:r>
      <w:r w:rsidRPr="005D7B60">
        <w:rPr>
          <w:i/>
          <w:iCs/>
        </w:rPr>
        <w:t xml:space="preserve">obacco </w:t>
      </w:r>
      <w:r>
        <w:rPr>
          <w:i/>
          <w:iCs/>
        </w:rPr>
        <w:t>p</w:t>
      </w:r>
      <w:r w:rsidRPr="005D7B60">
        <w:rPr>
          <w:i/>
          <w:iCs/>
        </w:rPr>
        <w:t xml:space="preserve">roduction </w:t>
      </w:r>
      <w:r>
        <w:rPr>
          <w:i/>
          <w:iCs/>
        </w:rPr>
        <w:t>g</w:t>
      </w:r>
      <w:r w:rsidRPr="005D7B60">
        <w:rPr>
          <w:i/>
          <w:iCs/>
        </w:rPr>
        <w:t>uide</w:t>
      </w:r>
      <w:r>
        <w:rPr>
          <w:i/>
          <w:iCs/>
        </w:rPr>
        <w:t xml:space="preserve"> </w:t>
      </w:r>
      <w:r>
        <w:t xml:space="preserve">(pp. </w:t>
      </w:r>
      <w:r w:rsidR="00B466C8">
        <w:t>32-35</w:t>
      </w:r>
      <w:r>
        <w:t>).</w:t>
      </w:r>
    </w:p>
    <w:p w14:paraId="1911B885" w14:textId="56786A6D" w:rsidR="00005C6C" w:rsidRPr="00BC534B" w:rsidRDefault="00005C6C" w:rsidP="00FC0490">
      <w:pPr>
        <w:spacing w:line="360" w:lineRule="auto"/>
        <w:ind w:left="720" w:hanging="720"/>
      </w:pPr>
      <w:r w:rsidRPr="009C25EC">
        <w:t xml:space="preserve">Bailey, A., Pearce, B., </w:t>
      </w:r>
      <w:r>
        <w:t>Legleiter, T., Ritchey</w:t>
      </w:r>
      <w:r w:rsidRPr="009C25EC">
        <w:t xml:space="preserve">, E., Snell, W., </w:t>
      </w:r>
      <w:proofErr w:type="spellStart"/>
      <w:r w:rsidRPr="009C25EC">
        <w:t>Bessin</w:t>
      </w:r>
      <w:proofErr w:type="spellEnd"/>
      <w:r w:rsidRPr="009C25EC">
        <w:t xml:space="preserve">, R., Fisher, A., </w:t>
      </w:r>
      <w:r>
        <w:t xml:space="preserve">Richmond, M., </w:t>
      </w:r>
      <w:r w:rsidRPr="009C25EC">
        <w:t>Reed, D.,</w:t>
      </w:r>
      <w:r>
        <w:t xml:space="preserve"> Zeng, Y.,</w:t>
      </w:r>
      <w:r w:rsidRPr="009C25EC">
        <w:t xml:space="preserve"> Vann, M.,</w:t>
      </w:r>
      <w:r>
        <w:t xml:space="preserve"> James, M., Ahumada, D., Lopez, L.</w:t>
      </w:r>
      <w:r w:rsidRPr="009C25EC">
        <w:t xml:space="preserve"> (</w:t>
      </w:r>
      <w:r>
        <w:t>2025e</w:t>
      </w:r>
      <w:r w:rsidRPr="009C25EC">
        <w:t>)</w:t>
      </w:r>
      <w:r>
        <w:t>. Disease management</w:t>
      </w:r>
      <w:r w:rsidRPr="009C25EC">
        <w:t xml:space="preserve">. </w:t>
      </w:r>
      <w:r w:rsidRPr="005D7B60">
        <w:rPr>
          <w:i/>
          <w:iCs/>
        </w:rPr>
        <w:t xml:space="preserve">Burley and </w:t>
      </w:r>
      <w:r>
        <w:rPr>
          <w:i/>
          <w:iCs/>
        </w:rPr>
        <w:t>d</w:t>
      </w:r>
      <w:r w:rsidRPr="005D7B60">
        <w:rPr>
          <w:i/>
          <w:iCs/>
        </w:rPr>
        <w:t xml:space="preserve">ark </w:t>
      </w:r>
      <w:r>
        <w:rPr>
          <w:i/>
          <w:iCs/>
        </w:rPr>
        <w:t>t</w:t>
      </w:r>
      <w:r w:rsidRPr="005D7B60">
        <w:rPr>
          <w:i/>
          <w:iCs/>
        </w:rPr>
        <w:t xml:space="preserve">obacco </w:t>
      </w:r>
      <w:r>
        <w:rPr>
          <w:i/>
          <w:iCs/>
        </w:rPr>
        <w:t>p</w:t>
      </w:r>
      <w:r w:rsidRPr="005D7B60">
        <w:rPr>
          <w:i/>
          <w:iCs/>
        </w:rPr>
        <w:t xml:space="preserve">roduction </w:t>
      </w:r>
      <w:r>
        <w:rPr>
          <w:i/>
          <w:iCs/>
        </w:rPr>
        <w:t>g</w:t>
      </w:r>
      <w:r w:rsidRPr="005D7B60">
        <w:rPr>
          <w:i/>
          <w:iCs/>
        </w:rPr>
        <w:t>uide</w:t>
      </w:r>
      <w:r>
        <w:rPr>
          <w:i/>
          <w:iCs/>
        </w:rPr>
        <w:t xml:space="preserve"> </w:t>
      </w:r>
      <w:r>
        <w:t>(pp. 35-43).</w:t>
      </w:r>
    </w:p>
    <w:p w14:paraId="7CBE83A7" w14:textId="77777777" w:rsidR="007F4B2D" w:rsidRPr="00F21024" w:rsidRDefault="007F4B2D" w:rsidP="00FC0490">
      <w:pPr>
        <w:spacing w:line="360" w:lineRule="auto"/>
      </w:pPr>
      <w:r w:rsidRPr="00F21024">
        <w:t xml:space="preserve">Barnes, J. P., &amp; Putnam, A. R. (1987). Role of </w:t>
      </w:r>
      <w:proofErr w:type="spellStart"/>
      <w:r w:rsidRPr="00F21024">
        <w:t>benzoxazinones</w:t>
      </w:r>
      <w:proofErr w:type="spellEnd"/>
      <w:r w:rsidRPr="00F21024">
        <w:t xml:space="preserve"> in </w:t>
      </w:r>
      <w:proofErr w:type="gramStart"/>
      <w:r w:rsidRPr="00F21024">
        <w:t>allelopathy</w:t>
      </w:r>
      <w:proofErr w:type="gramEnd"/>
      <w:r w:rsidRPr="00F21024">
        <w:t xml:space="preserve"> by rye </w:t>
      </w:r>
    </w:p>
    <w:p w14:paraId="2E8D444B" w14:textId="4F0AB626" w:rsidR="00897353" w:rsidRPr="00F21024" w:rsidRDefault="007F4B2D" w:rsidP="00FC0490">
      <w:pPr>
        <w:spacing w:line="360" w:lineRule="auto"/>
        <w:ind w:firstLine="720"/>
      </w:pPr>
      <w:r w:rsidRPr="00F21024">
        <w:t xml:space="preserve">(Secale cereale L.). </w:t>
      </w:r>
      <w:r w:rsidRPr="00F21024">
        <w:rPr>
          <w:i/>
          <w:iCs/>
        </w:rPr>
        <w:t>Journal of Chemical Ecology</w:t>
      </w:r>
      <w:r w:rsidRPr="00F21024">
        <w:t xml:space="preserve">, </w:t>
      </w:r>
      <w:r w:rsidRPr="00F21024">
        <w:rPr>
          <w:i/>
          <w:iCs/>
        </w:rPr>
        <w:t>13</w:t>
      </w:r>
      <w:r w:rsidRPr="00F21024">
        <w:t xml:space="preserve">(4). </w:t>
      </w:r>
    </w:p>
    <w:p w14:paraId="70905861" w14:textId="77777777" w:rsidR="007F4B2D" w:rsidRPr="007A4DEF" w:rsidRDefault="007F4B2D" w:rsidP="00FC0490">
      <w:pPr>
        <w:spacing w:line="360" w:lineRule="auto"/>
        <w:rPr>
          <w:kern w:val="2"/>
          <w:lang w:val="it-IT"/>
          <w14:ligatures w14:val="standardContextual"/>
        </w:rPr>
      </w:pPr>
      <w:r w:rsidRPr="007A4DEF">
        <w:rPr>
          <w:kern w:val="2"/>
          <w:lang w:val="it-IT"/>
          <w14:ligatures w14:val="standardContextual"/>
        </w:rPr>
        <w:t xml:space="preserve">Blanco‐Canqui, H., Shaver, T. M., Lindquist, J. L., Shapiro, C. A., Elmore, R. W., </w:t>
      </w:r>
    </w:p>
    <w:p w14:paraId="22ADD5CD" w14:textId="2984A2D5"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Francis, C. A., &amp; Hergert, G. W. (2015). Cover crops and ecosystem services: Insights from studies in temperate soils. </w:t>
      </w:r>
      <w:r w:rsidRPr="00F21024">
        <w:rPr>
          <w:i/>
          <w:iCs/>
          <w:kern w:val="2"/>
          <w14:ligatures w14:val="standardContextual"/>
        </w:rPr>
        <w:t>Agronomy journal</w:t>
      </w:r>
      <w:r w:rsidRPr="00F21024">
        <w:rPr>
          <w:kern w:val="2"/>
          <w14:ligatures w14:val="standardContextual"/>
        </w:rPr>
        <w:t>, 107(6), 2449-2474.</w:t>
      </w:r>
    </w:p>
    <w:p w14:paraId="01EFD5A5" w14:textId="77777777" w:rsidR="007F4B2D" w:rsidRPr="00F21024" w:rsidRDefault="007F4B2D" w:rsidP="00FC0490">
      <w:pPr>
        <w:spacing w:line="360" w:lineRule="auto"/>
        <w:rPr>
          <w:i/>
          <w:iCs/>
          <w:kern w:val="2"/>
          <w14:ligatures w14:val="standardContextual"/>
        </w:rPr>
      </w:pPr>
      <w:r w:rsidRPr="00F21024">
        <w:rPr>
          <w:kern w:val="2"/>
          <w14:ligatures w14:val="standardContextual"/>
        </w:rPr>
        <w:t xml:space="preserve">Clark, A. (Ed.). (2012). Managing cover crop profitability. </w:t>
      </w:r>
      <w:r w:rsidRPr="00F21024">
        <w:rPr>
          <w:i/>
          <w:iCs/>
          <w:kern w:val="2"/>
          <w14:ligatures w14:val="standardContextual"/>
        </w:rPr>
        <w:t xml:space="preserve">Sustainable Agriculture </w:t>
      </w:r>
    </w:p>
    <w:p w14:paraId="05A0D9FD" w14:textId="2A2D0759" w:rsidR="007F4B2D" w:rsidRPr="007E0448" w:rsidRDefault="007F4B2D" w:rsidP="00FC0490">
      <w:pPr>
        <w:spacing w:line="360" w:lineRule="auto"/>
        <w:ind w:firstLine="720"/>
        <w:rPr>
          <w:i/>
          <w:iCs/>
          <w:kern w:val="2"/>
          <w14:ligatures w14:val="standardContextual"/>
        </w:rPr>
      </w:pPr>
      <w:r w:rsidRPr="00F21024">
        <w:rPr>
          <w:i/>
          <w:iCs/>
          <w:kern w:val="2"/>
          <w14:ligatures w14:val="standardContextual"/>
        </w:rPr>
        <w:t>Research and Education.</w:t>
      </w:r>
    </w:p>
    <w:p w14:paraId="14C47530" w14:textId="01D0AABA" w:rsidR="007F4B2D" w:rsidRDefault="007F4B2D" w:rsidP="00FC0490">
      <w:pPr>
        <w:spacing w:line="360" w:lineRule="auto"/>
        <w:rPr>
          <w:kern w:val="2"/>
          <w14:ligatures w14:val="standardContextual"/>
        </w:rPr>
      </w:pPr>
      <w:r w:rsidRPr="00F21024">
        <w:rPr>
          <w:kern w:val="2"/>
          <w14:ligatures w14:val="standardContextual"/>
        </w:rPr>
        <w:t xml:space="preserve">Collins, W. K., &amp; Hawks, S. N. (2013). </w:t>
      </w:r>
      <w:r w:rsidRPr="00F21024">
        <w:rPr>
          <w:i/>
          <w:iCs/>
          <w:kern w:val="2"/>
          <w14:ligatures w14:val="standardContextual"/>
        </w:rPr>
        <w:t>Principles of Flue-Cured Tobacco Production</w:t>
      </w:r>
      <w:r w:rsidRPr="00F21024">
        <w:rPr>
          <w:kern w:val="2"/>
          <w14:ligatures w14:val="standardContextual"/>
        </w:rPr>
        <w:t>.</w:t>
      </w:r>
    </w:p>
    <w:p w14:paraId="56DF5BE5" w14:textId="2B1C6FD4" w:rsidR="002C2A9F" w:rsidRPr="00CC0C05" w:rsidRDefault="002C2A9F" w:rsidP="00FC0490">
      <w:pPr>
        <w:spacing w:line="360" w:lineRule="auto"/>
        <w:ind w:left="720" w:hanging="720"/>
        <w:rPr>
          <w:kern w:val="2"/>
          <w14:ligatures w14:val="standardContextual"/>
        </w:rPr>
      </w:pPr>
      <w:r w:rsidRPr="00CC0C05">
        <w:rPr>
          <w:kern w:val="2"/>
          <w14:ligatures w14:val="standardContextual"/>
        </w:rPr>
        <w:t>Cooksey, D. A., &amp; Azad, H. R. (1992). Accumulation of Copper and Other Metals by Copper-Resistant Plant-Pathogenic and Saprophytic Pseudomonads.</w:t>
      </w:r>
      <w:r w:rsidR="006B190E">
        <w:rPr>
          <w:kern w:val="2"/>
          <w14:ligatures w14:val="standardContextual"/>
        </w:rPr>
        <w:t xml:space="preserve"> </w:t>
      </w:r>
      <w:r w:rsidR="006B190E" w:rsidRPr="00CC0C05">
        <w:rPr>
          <w:i/>
          <w:iCs/>
          <w:kern w:val="2"/>
          <w14:ligatures w14:val="standardContextual"/>
        </w:rPr>
        <w:t>A</w:t>
      </w:r>
      <w:r w:rsidRPr="00CC0C05">
        <w:rPr>
          <w:i/>
          <w:iCs/>
          <w:kern w:val="2"/>
          <w14:ligatures w14:val="standardContextual"/>
        </w:rPr>
        <w:t xml:space="preserve">pplied and </w:t>
      </w:r>
      <w:r w:rsidR="006B190E" w:rsidRPr="00CC0C05">
        <w:rPr>
          <w:i/>
          <w:iCs/>
          <w:kern w:val="2"/>
          <w14:ligatures w14:val="standardContextual"/>
        </w:rPr>
        <w:t>E</w:t>
      </w:r>
      <w:r w:rsidRPr="00CC0C05">
        <w:rPr>
          <w:i/>
          <w:iCs/>
          <w:kern w:val="2"/>
          <w14:ligatures w14:val="standardContextual"/>
        </w:rPr>
        <w:t xml:space="preserve">nvironmental </w:t>
      </w:r>
      <w:r w:rsidR="006B190E" w:rsidRPr="00CC0C05">
        <w:rPr>
          <w:i/>
          <w:iCs/>
          <w:kern w:val="2"/>
          <w14:ligatures w14:val="standardContextual"/>
        </w:rPr>
        <w:t>M</w:t>
      </w:r>
      <w:r w:rsidRPr="00CC0C05">
        <w:rPr>
          <w:i/>
          <w:iCs/>
          <w:kern w:val="2"/>
          <w14:ligatures w14:val="standardContextual"/>
        </w:rPr>
        <w:t>icrobiolog</w:t>
      </w:r>
      <w:r w:rsidR="00CB4991">
        <w:rPr>
          <w:i/>
          <w:iCs/>
          <w:kern w:val="2"/>
          <w14:ligatures w14:val="standardContextual"/>
        </w:rPr>
        <w:t>y</w:t>
      </w:r>
      <w:r w:rsidR="00C2321F">
        <w:rPr>
          <w:i/>
          <w:iCs/>
          <w:kern w:val="2"/>
          <w14:ligatures w14:val="standardContextual"/>
        </w:rPr>
        <w:t>,</w:t>
      </w:r>
      <w:r w:rsidR="00CB4991">
        <w:rPr>
          <w:i/>
          <w:iCs/>
          <w:kern w:val="2"/>
          <w14:ligatures w14:val="standardContextual"/>
        </w:rPr>
        <w:t xml:space="preserve"> </w:t>
      </w:r>
      <w:r w:rsidR="00CB4991">
        <w:rPr>
          <w:kern w:val="2"/>
          <w14:ligatures w14:val="standardContextual"/>
        </w:rPr>
        <w:t>58</w:t>
      </w:r>
      <w:r w:rsidR="00C2321F">
        <w:rPr>
          <w:kern w:val="2"/>
          <w14:ligatures w14:val="standardContextual"/>
        </w:rPr>
        <w:t>(</w:t>
      </w:r>
      <w:r w:rsidRPr="00CC0C05">
        <w:rPr>
          <w:kern w:val="2"/>
          <w14:ligatures w14:val="standardContextual"/>
        </w:rPr>
        <w:t>1)</w:t>
      </w:r>
      <w:r w:rsidR="00C2321F">
        <w:rPr>
          <w:kern w:val="2"/>
          <w14:ligatures w14:val="standardContextual"/>
        </w:rPr>
        <w:t>, 274-278.</w:t>
      </w:r>
    </w:p>
    <w:p w14:paraId="4FD0738D"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Dabney, S. M., Delgado, J. A., &amp; Reeves, D. W. (2001). Using winter cover crops to </w:t>
      </w:r>
    </w:p>
    <w:p w14:paraId="1B197400" w14:textId="460C8B5E" w:rsidR="00897353" w:rsidRPr="00F21024" w:rsidRDefault="007F4B2D" w:rsidP="00FC0490">
      <w:pPr>
        <w:spacing w:line="360" w:lineRule="auto"/>
        <w:ind w:left="720"/>
        <w:rPr>
          <w:kern w:val="2"/>
          <w14:ligatures w14:val="standardContextual"/>
        </w:rPr>
      </w:pPr>
      <w:r w:rsidRPr="00F21024">
        <w:rPr>
          <w:kern w:val="2"/>
          <w14:ligatures w14:val="standardContextual"/>
        </w:rPr>
        <w:t xml:space="preserve">improve soil and water quality. </w:t>
      </w:r>
      <w:r w:rsidRPr="00F21024">
        <w:rPr>
          <w:i/>
          <w:iCs/>
          <w:kern w:val="2"/>
          <w14:ligatures w14:val="standardContextual"/>
        </w:rPr>
        <w:t>Communications in Soil Science and Plant Analysis</w:t>
      </w:r>
      <w:r w:rsidRPr="00F21024">
        <w:rPr>
          <w:kern w:val="2"/>
          <w14:ligatures w14:val="standardContextual"/>
        </w:rPr>
        <w:t>. 32.</w:t>
      </w:r>
    </w:p>
    <w:p w14:paraId="5D579BB3"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Daub, M. E., Echandi, E., Gooding, Jr., G. v., Jones, K. J., Lucas, G. B., Main, C. E., </w:t>
      </w:r>
    </w:p>
    <w:p w14:paraId="7B11C5E4" w14:textId="78A9EA35"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Powell, N. T., Schneider, S. M., Shew, H. D., Shoemaker, P. B., &amp; Spurr, Jr., H. W. (1991). Infectious diseases. </w:t>
      </w:r>
      <w:r w:rsidRPr="00F21024">
        <w:rPr>
          <w:i/>
          <w:iCs/>
          <w:kern w:val="2"/>
          <w14:ligatures w14:val="standardContextual"/>
        </w:rPr>
        <w:t xml:space="preserve">Compendium of Tobacco Diseases. </w:t>
      </w:r>
      <w:r w:rsidRPr="00F21024">
        <w:rPr>
          <w:kern w:val="2"/>
          <w14:ligatures w14:val="standardContextual"/>
        </w:rPr>
        <w:t>(pp. 30-32).</w:t>
      </w:r>
    </w:p>
    <w:p w14:paraId="73E1B79B"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Davis, A. S. (2010). Cover-crop roller–crimper contributes to weed management in no-till </w:t>
      </w:r>
    </w:p>
    <w:p w14:paraId="01A0AFAF" w14:textId="444EA7E1" w:rsidR="007F4B2D" w:rsidRPr="00F21024" w:rsidRDefault="007F4B2D" w:rsidP="00FC0490">
      <w:pPr>
        <w:spacing w:line="360" w:lineRule="auto"/>
        <w:rPr>
          <w:kern w:val="2"/>
          <w14:ligatures w14:val="standardContextual"/>
        </w:rPr>
      </w:pPr>
      <w:r w:rsidRPr="00F21024">
        <w:rPr>
          <w:kern w:val="2"/>
          <w14:ligatures w14:val="standardContextual"/>
        </w:rPr>
        <w:tab/>
        <w:t xml:space="preserve">soybean. </w:t>
      </w:r>
      <w:r w:rsidRPr="00F21024">
        <w:rPr>
          <w:i/>
          <w:iCs/>
          <w:kern w:val="2"/>
          <w14:ligatures w14:val="standardContextual"/>
        </w:rPr>
        <w:t>Weed Science, 58</w:t>
      </w:r>
      <w:r w:rsidRPr="00F21024">
        <w:rPr>
          <w:kern w:val="2"/>
          <w14:ligatures w14:val="standardContextual"/>
        </w:rPr>
        <w:t>(3), (pp. 300-309).</w:t>
      </w:r>
    </w:p>
    <w:p w14:paraId="23715DFF" w14:textId="77777777" w:rsidR="00062DC6" w:rsidRDefault="007F4B2D" w:rsidP="00FC0490">
      <w:pPr>
        <w:spacing w:line="360" w:lineRule="auto"/>
        <w:rPr>
          <w:i/>
          <w:iCs/>
          <w:kern w:val="2"/>
          <w14:ligatures w14:val="standardContextual"/>
        </w:rPr>
      </w:pPr>
      <w:r w:rsidRPr="00F21024">
        <w:rPr>
          <w:kern w:val="2"/>
          <w14:ligatures w14:val="standardContextual"/>
        </w:rPr>
        <w:t xml:space="preserve">Davis, D. L., &amp; Nielsen, M. T. (Eds.). (1999). </w:t>
      </w:r>
      <w:r w:rsidRPr="00F21024">
        <w:rPr>
          <w:i/>
          <w:iCs/>
          <w:kern w:val="2"/>
          <w14:ligatures w14:val="standardContextual"/>
        </w:rPr>
        <w:t xml:space="preserve">Tobacco Production, Chemistry, and </w:t>
      </w:r>
    </w:p>
    <w:p w14:paraId="3A7AD05A" w14:textId="30B15C73" w:rsidR="007F4B2D" w:rsidRPr="007E0448" w:rsidRDefault="007F4B2D" w:rsidP="00FC0490">
      <w:pPr>
        <w:spacing w:line="360" w:lineRule="auto"/>
        <w:ind w:firstLine="720"/>
        <w:rPr>
          <w:i/>
          <w:iCs/>
          <w:kern w:val="2"/>
          <w14:ligatures w14:val="standardContextual"/>
        </w:rPr>
      </w:pPr>
      <w:r w:rsidRPr="00F21024">
        <w:rPr>
          <w:i/>
          <w:iCs/>
          <w:kern w:val="2"/>
          <w14:ligatures w14:val="standardContextual"/>
        </w:rPr>
        <w:t>Technology.</w:t>
      </w:r>
    </w:p>
    <w:p w14:paraId="5421AFEA" w14:textId="77777777" w:rsidR="00D160F1" w:rsidRDefault="00D160F1" w:rsidP="00FC0490">
      <w:pPr>
        <w:spacing w:line="360" w:lineRule="auto"/>
      </w:pPr>
      <w:r w:rsidRPr="00441824">
        <w:t xml:space="preserve">Dutta, B., </w:t>
      </w:r>
      <w:proofErr w:type="spellStart"/>
      <w:r w:rsidRPr="00441824">
        <w:t>Gitaitis</w:t>
      </w:r>
      <w:proofErr w:type="spellEnd"/>
      <w:r w:rsidRPr="00441824">
        <w:t xml:space="preserve">, R. D., Webster, T. M., Sanders, H., Smith, S., &amp; Langston, D. B. </w:t>
      </w:r>
    </w:p>
    <w:p w14:paraId="3F6CFDD4" w14:textId="2DCC8BC0" w:rsidR="00D160F1" w:rsidRPr="007E0448" w:rsidRDefault="00D160F1" w:rsidP="00FC0490">
      <w:pPr>
        <w:spacing w:line="360" w:lineRule="auto"/>
        <w:ind w:left="720"/>
      </w:pPr>
      <w:r w:rsidRPr="00441824">
        <w:t xml:space="preserve">(2014). Distribution and survival of Pseudomonas sp. on Italian ryegrass and curly dock in Georgia. </w:t>
      </w:r>
      <w:r w:rsidRPr="00441824">
        <w:rPr>
          <w:i/>
          <w:iCs/>
        </w:rPr>
        <w:t>Plant Disease</w:t>
      </w:r>
      <w:r w:rsidRPr="00441824">
        <w:t xml:space="preserve">, </w:t>
      </w:r>
      <w:r w:rsidRPr="00441824">
        <w:rPr>
          <w:i/>
          <w:iCs/>
        </w:rPr>
        <w:t>98</w:t>
      </w:r>
      <w:r w:rsidRPr="00441824">
        <w:t>(5), 660–666.</w:t>
      </w:r>
    </w:p>
    <w:p w14:paraId="1497D8A3" w14:textId="2E20E7E5" w:rsidR="007F4B2D" w:rsidRPr="00F21024" w:rsidRDefault="007F4B2D" w:rsidP="00FC0490">
      <w:pPr>
        <w:spacing w:line="360" w:lineRule="auto"/>
        <w:rPr>
          <w:kern w:val="2"/>
          <w14:ligatures w14:val="standardContextual"/>
        </w:rPr>
      </w:pPr>
      <w:r w:rsidRPr="00F21024">
        <w:rPr>
          <w:kern w:val="2"/>
          <w14:ligatures w14:val="standardContextual"/>
        </w:rPr>
        <w:t xml:space="preserve">Ellis, R. L., Morgan, G. D., Rhodes, G. N., &amp; Mueller, T. C. (2000). Cover crop </w:t>
      </w:r>
    </w:p>
    <w:p w14:paraId="6B7B88C9" w14:textId="6E6F6287" w:rsidR="007F4B2D" w:rsidRPr="007E0448" w:rsidRDefault="007F4B2D" w:rsidP="00FC0490">
      <w:pPr>
        <w:spacing w:line="360" w:lineRule="auto"/>
        <w:ind w:left="720"/>
        <w:rPr>
          <w:kern w:val="2"/>
          <w:lang w:val="fr-FR"/>
          <w14:ligatures w14:val="standardContextual"/>
        </w:rPr>
      </w:pPr>
      <w:r w:rsidRPr="00F21024">
        <w:rPr>
          <w:kern w:val="2"/>
          <w14:ligatures w14:val="standardContextual"/>
        </w:rPr>
        <w:t>Management in no-till tobacco</w:t>
      </w:r>
      <w:r w:rsidRPr="00F21024">
        <w:rPr>
          <w:i/>
          <w:iCs/>
          <w:kern w:val="2"/>
          <w14:ligatures w14:val="standardContextual"/>
        </w:rPr>
        <w:t xml:space="preserve">. </w:t>
      </w:r>
      <w:r w:rsidRPr="00F21024">
        <w:rPr>
          <w:i/>
          <w:iCs/>
          <w:kern w:val="2"/>
          <w:lang w:val="fr-FR"/>
          <w14:ligatures w14:val="standardContextual"/>
        </w:rPr>
        <w:t xml:space="preserve">Tobacco Science. 44, </w:t>
      </w:r>
      <w:r w:rsidRPr="00F21024">
        <w:rPr>
          <w:kern w:val="2"/>
          <w:lang w:val="fr-FR"/>
          <w14:ligatures w14:val="standardContextual"/>
        </w:rPr>
        <w:t>(pp</w:t>
      </w:r>
      <w:r w:rsidRPr="00F21024">
        <w:rPr>
          <w:i/>
          <w:iCs/>
          <w:kern w:val="2"/>
          <w:lang w:val="fr-FR"/>
          <w14:ligatures w14:val="standardContextual"/>
        </w:rPr>
        <w:t xml:space="preserve">. </w:t>
      </w:r>
      <w:r w:rsidRPr="00F21024">
        <w:rPr>
          <w:kern w:val="2"/>
          <w:lang w:val="fr-FR"/>
          <w14:ligatures w14:val="standardContextual"/>
        </w:rPr>
        <w:t>44-48).</w:t>
      </w:r>
    </w:p>
    <w:p w14:paraId="376B5D77" w14:textId="0A3B077E" w:rsidR="007F4B2D" w:rsidRPr="00F21024" w:rsidRDefault="007F4B2D" w:rsidP="00FC0490">
      <w:pPr>
        <w:spacing w:line="360" w:lineRule="auto"/>
        <w:ind w:left="720" w:hanging="720"/>
        <w:rPr>
          <w:kern w:val="2"/>
          <w14:ligatures w14:val="standardContextual"/>
        </w:rPr>
      </w:pPr>
      <w:r w:rsidRPr="00F21024">
        <w:rPr>
          <w:kern w:val="2"/>
          <w14:ligatures w14:val="standardContextual"/>
        </w:rPr>
        <w:t>Hansen, Z., Keeney, A., &amp; Bailey, A. (2022). Dark tobacco variety evaluations for susceptibility to angular leaf spot</w:t>
      </w:r>
      <w:r w:rsidRPr="00F21024">
        <w:rPr>
          <w:i/>
          <w:iCs/>
          <w:kern w:val="2"/>
          <w14:ligatures w14:val="standardContextual"/>
        </w:rPr>
        <w:t>. Proceedings of the Tobacco Workers’ Conference, Richmond, VA</w:t>
      </w:r>
      <w:r w:rsidRPr="00F21024">
        <w:rPr>
          <w:kern w:val="2"/>
          <w14:ligatures w14:val="standardContextual"/>
        </w:rPr>
        <w:t xml:space="preserve">. </w:t>
      </w:r>
    </w:p>
    <w:p w14:paraId="2CED7A2B"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Haramoto, E. R., &amp; Pearce, R. (2019). Cover crop termination treatment impacts weed </w:t>
      </w:r>
    </w:p>
    <w:p w14:paraId="6D0EB1F1" w14:textId="7C2D64FD"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suppression potential. </w:t>
      </w:r>
      <w:r w:rsidRPr="00F21024">
        <w:rPr>
          <w:i/>
          <w:iCs/>
          <w:kern w:val="2"/>
          <w14:ligatures w14:val="standardContextual"/>
        </w:rPr>
        <w:t>Weed Science</w:t>
      </w:r>
      <w:r w:rsidRPr="00F21024">
        <w:rPr>
          <w:kern w:val="2"/>
          <w14:ligatures w14:val="standardContextual"/>
        </w:rPr>
        <w:t xml:space="preserve">, </w:t>
      </w:r>
      <w:r w:rsidRPr="00F21024">
        <w:rPr>
          <w:i/>
          <w:iCs/>
          <w:kern w:val="2"/>
          <w14:ligatures w14:val="standardContextual"/>
        </w:rPr>
        <w:t>67</w:t>
      </w:r>
      <w:r w:rsidRPr="00F21024">
        <w:rPr>
          <w:kern w:val="2"/>
          <w14:ligatures w14:val="standardContextual"/>
        </w:rPr>
        <w:t xml:space="preserve">(1), 91–102. </w:t>
      </w:r>
    </w:p>
    <w:p w14:paraId="67CD69A1"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Haramoto, E. R., Lowry, C. J., &amp; Pearce, R. (2020). Cover crops are not affected by </w:t>
      </w:r>
    </w:p>
    <w:p w14:paraId="72CCA70C" w14:textId="538CD4CD" w:rsidR="007F4B2D" w:rsidRPr="00F21024" w:rsidRDefault="007F4B2D" w:rsidP="00FC0490">
      <w:pPr>
        <w:spacing w:line="360" w:lineRule="auto"/>
        <w:ind w:left="720"/>
        <w:rPr>
          <w:kern w:val="2"/>
          <w14:ligatures w14:val="standardContextual"/>
        </w:rPr>
      </w:pPr>
      <w:proofErr w:type="gramStart"/>
      <w:r w:rsidRPr="00F21024">
        <w:rPr>
          <w:kern w:val="2"/>
          <w14:ligatures w14:val="standardContextual"/>
        </w:rPr>
        <w:t>tobacco</w:t>
      </w:r>
      <w:proofErr w:type="gramEnd"/>
      <w:r w:rsidRPr="00F21024">
        <w:rPr>
          <w:kern w:val="2"/>
          <w14:ligatures w14:val="standardContextual"/>
        </w:rPr>
        <w:t xml:space="preserve"> soil residual herbicides but also do not provide consistent weed management benefits. </w:t>
      </w:r>
      <w:r w:rsidRPr="00F21024">
        <w:rPr>
          <w:i/>
          <w:iCs/>
          <w:kern w:val="2"/>
          <w14:ligatures w14:val="standardContextual"/>
        </w:rPr>
        <w:t>Weed Technology</w:t>
      </w:r>
      <w:r w:rsidRPr="00F21024">
        <w:rPr>
          <w:kern w:val="2"/>
          <w14:ligatures w14:val="standardContextual"/>
        </w:rPr>
        <w:t xml:space="preserve">, </w:t>
      </w:r>
      <w:r w:rsidRPr="00F21024">
        <w:rPr>
          <w:i/>
          <w:iCs/>
          <w:kern w:val="2"/>
          <w14:ligatures w14:val="standardContextual"/>
        </w:rPr>
        <w:t>34</w:t>
      </w:r>
      <w:r w:rsidRPr="00F21024">
        <w:rPr>
          <w:kern w:val="2"/>
          <w14:ligatures w14:val="standardContextual"/>
        </w:rPr>
        <w:t xml:space="preserve">, 383–393. </w:t>
      </w:r>
    </w:p>
    <w:p w14:paraId="30316654"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Hussain, I., Olson, K. R., &amp; Ebelhar, S. A. (1996). Long-term tillage effects on </w:t>
      </w:r>
    </w:p>
    <w:p w14:paraId="232079F5" w14:textId="27CFEF97"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soil chemical properties and organic matter fractions. </w:t>
      </w:r>
      <w:r w:rsidRPr="00F21024">
        <w:rPr>
          <w:i/>
          <w:iCs/>
          <w:kern w:val="2"/>
          <w14:ligatures w14:val="standardContextual"/>
        </w:rPr>
        <w:t>Soil Science Society of America Journal. 63.</w:t>
      </w:r>
      <w:r w:rsidRPr="00F21024">
        <w:rPr>
          <w:kern w:val="2"/>
          <w14:ligatures w14:val="standardContextual"/>
        </w:rPr>
        <w:t xml:space="preserve"> </w:t>
      </w:r>
    </w:p>
    <w:p w14:paraId="3EB1B47B" w14:textId="72413221" w:rsidR="002874F3" w:rsidRDefault="002874F3" w:rsidP="00FC0490">
      <w:pPr>
        <w:spacing w:line="360" w:lineRule="auto"/>
        <w:ind w:left="720" w:hanging="720"/>
        <w:rPr>
          <w:kern w:val="2"/>
          <w14:ligatures w14:val="standardContextual"/>
        </w:rPr>
      </w:pPr>
      <w:r w:rsidRPr="002874F3">
        <w:rPr>
          <w:kern w:val="2"/>
          <w14:ligatures w14:val="standardContextual"/>
        </w:rPr>
        <w:t xml:space="preserve">Kantar, M., Sheaffer, C., Porter, P., Krueger, E., &amp; Ochsner, T. E. (2011). Growth Stage Influences Forage Yield and Quality of Winter Rye. </w:t>
      </w:r>
      <w:r w:rsidRPr="002874F3">
        <w:rPr>
          <w:i/>
          <w:iCs/>
          <w:kern w:val="2"/>
          <w14:ligatures w14:val="standardContextual"/>
        </w:rPr>
        <w:t xml:space="preserve">Forage &amp; </w:t>
      </w:r>
      <w:proofErr w:type="spellStart"/>
      <w:r w:rsidRPr="002874F3">
        <w:rPr>
          <w:i/>
          <w:iCs/>
          <w:kern w:val="2"/>
          <w14:ligatures w14:val="standardContextual"/>
        </w:rPr>
        <w:t>Grazinglands</w:t>
      </w:r>
      <w:proofErr w:type="spellEnd"/>
      <w:r w:rsidRPr="002874F3">
        <w:rPr>
          <w:kern w:val="2"/>
          <w14:ligatures w14:val="standardContextual"/>
        </w:rPr>
        <w:t xml:space="preserve">, </w:t>
      </w:r>
      <w:r w:rsidRPr="002874F3">
        <w:rPr>
          <w:i/>
          <w:iCs/>
          <w:kern w:val="2"/>
          <w14:ligatures w14:val="standardContextual"/>
        </w:rPr>
        <w:t>9</w:t>
      </w:r>
      <w:r w:rsidRPr="002874F3">
        <w:rPr>
          <w:kern w:val="2"/>
          <w14:ligatures w14:val="standardContextual"/>
        </w:rPr>
        <w:t xml:space="preserve">(1), 1–7. </w:t>
      </w:r>
    </w:p>
    <w:p w14:paraId="2FF36CAB" w14:textId="53354C01" w:rsidR="007F4B2D" w:rsidRPr="00F21024" w:rsidRDefault="007F4B2D" w:rsidP="00FC0490">
      <w:pPr>
        <w:spacing w:line="360" w:lineRule="auto"/>
        <w:rPr>
          <w:kern w:val="2"/>
          <w14:ligatures w14:val="standardContextual"/>
        </w:rPr>
      </w:pPr>
      <w:r w:rsidRPr="00F21024">
        <w:rPr>
          <w:kern w:val="2"/>
          <w14:ligatures w14:val="standardContextual"/>
        </w:rPr>
        <w:t xml:space="preserve">Keeney, A. B., Bailey, W. A., &amp; Hansen, Z. R. (2021). Differential susceptibility to </w:t>
      </w:r>
    </w:p>
    <w:p w14:paraId="1D962035" w14:textId="2E2F0806"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angular leaf spot (Pseudomonas </w:t>
      </w:r>
      <w:proofErr w:type="spellStart"/>
      <w:r w:rsidRPr="00F21024">
        <w:rPr>
          <w:kern w:val="2"/>
          <w14:ligatures w14:val="standardContextual"/>
        </w:rPr>
        <w:t>syringae</w:t>
      </w:r>
      <w:proofErr w:type="spellEnd"/>
      <w:r w:rsidRPr="00F21024">
        <w:rPr>
          <w:kern w:val="2"/>
          <w14:ligatures w14:val="standardContextual"/>
        </w:rPr>
        <w:t xml:space="preserve"> </w:t>
      </w:r>
      <w:proofErr w:type="spellStart"/>
      <w:r w:rsidRPr="00F21024">
        <w:rPr>
          <w:kern w:val="2"/>
          <w14:ligatures w14:val="standardContextual"/>
        </w:rPr>
        <w:t>pv</w:t>
      </w:r>
      <w:proofErr w:type="spellEnd"/>
      <w:r w:rsidRPr="00F21024">
        <w:rPr>
          <w:kern w:val="2"/>
          <w14:ligatures w14:val="standardContextual"/>
        </w:rPr>
        <w:t xml:space="preserve">. </w:t>
      </w:r>
      <w:proofErr w:type="spellStart"/>
      <w:r w:rsidRPr="00F21024">
        <w:rPr>
          <w:kern w:val="2"/>
          <w14:ligatures w14:val="standardContextual"/>
        </w:rPr>
        <w:t>tabaci</w:t>
      </w:r>
      <w:proofErr w:type="spellEnd"/>
      <w:r w:rsidRPr="00F21024">
        <w:rPr>
          <w:kern w:val="2"/>
          <w14:ligatures w14:val="standardContextual"/>
        </w:rPr>
        <w:t xml:space="preserve">) in dark tobacco varieties. </w:t>
      </w:r>
      <w:r w:rsidRPr="00F21024">
        <w:rPr>
          <w:i/>
          <w:iCs/>
          <w:kern w:val="2"/>
          <w14:ligatures w14:val="standardContextual"/>
        </w:rPr>
        <w:t>Proceeding of the Cooperation Center for Scientific Research Relative to Tobacco (CORESTA) Meeting, USA.</w:t>
      </w:r>
    </w:p>
    <w:p w14:paraId="235E54B1"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Keeney-Webb, A., Bailey, A., &amp; Rodgers, C. (2022). Field monitoring and management </w:t>
      </w:r>
    </w:p>
    <w:p w14:paraId="62B1AD68" w14:textId="509B7EC7"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practices associated with angular leaf spot of dark tobacco. </w:t>
      </w:r>
      <w:r w:rsidRPr="00F21024">
        <w:rPr>
          <w:i/>
          <w:iCs/>
          <w:kern w:val="2"/>
          <w14:ligatures w14:val="standardContextual"/>
        </w:rPr>
        <w:t>Proceedings of the Tobacco Workers’ Conference, Richmond, VA.</w:t>
      </w:r>
      <w:r w:rsidRPr="00F21024">
        <w:rPr>
          <w:kern w:val="2"/>
          <w14:ligatures w14:val="standardContextual"/>
        </w:rPr>
        <w:t xml:space="preserve"> </w:t>
      </w:r>
    </w:p>
    <w:p w14:paraId="55566697"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Lydon, J., &amp; Patterson, C. D. (2001). Detection of tabtoxin-producing strains of </w:t>
      </w:r>
    </w:p>
    <w:p w14:paraId="21D768FB" w14:textId="6CDE5F99" w:rsidR="007F4B2D" w:rsidRPr="00F21024" w:rsidRDefault="007F4B2D" w:rsidP="00FC0490">
      <w:pPr>
        <w:spacing w:line="360" w:lineRule="auto"/>
        <w:ind w:firstLine="720"/>
        <w:rPr>
          <w:kern w:val="2"/>
          <w14:ligatures w14:val="standardContextual"/>
        </w:rPr>
      </w:pPr>
      <w:r w:rsidRPr="00F21024">
        <w:rPr>
          <w:kern w:val="2"/>
          <w14:ligatures w14:val="standardContextual"/>
        </w:rPr>
        <w:t xml:space="preserve">Pseudomonas </w:t>
      </w:r>
      <w:proofErr w:type="spellStart"/>
      <w:r w:rsidRPr="00F21024">
        <w:rPr>
          <w:kern w:val="2"/>
          <w14:ligatures w14:val="standardContextual"/>
        </w:rPr>
        <w:t>syringae</w:t>
      </w:r>
      <w:proofErr w:type="spellEnd"/>
      <w:r w:rsidRPr="00F21024">
        <w:rPr>
          <w:kern w:val="2"/>
          <w14:ligatures w14:val="standardContextual"/>
        </w:rPr>
        <w:t xml:space="preserve"> by PCR. </w:t>
      </w:r>
      <w:r w:rsidRPr="00F21024">
        <w:rPr>
          <w:i/>
          <w:iCs/>
          <w:kern w:val="2"/>
          <w14:ligatures w14:val="standardContextual"/>
        </w:rPr>
        <w:t>Letters in Applied Microbiology</w:t>
      </w:r>
      <w:r w:rsidRPr="00F21024">
        <w:rPr>
          <w:kern w:val="2"/>
          <w14:ligatures w14:val="standardContextual"/>
        </w:rPr>
        <w:t>, 32, 166–170.</w:t>
      </w:r>
    </w:p>
    <w:p w14:paraId="3918E57C" w14:textId="77777777" w:rsidR="004312A4" w:rsidRDefault="004312A4" w:rsidP="00FC0490">
      <w:pPr>
        <w:spacing w:line="360" w:lineRule="auto"/>
      </w:pPr>
      <w:r w:rsidRPr="00441824">
        <w:t xml:space="preserve">McCarter, S.M., J.B. Jones, R.D. </w:t>
      </w:r>
      <w:proofErr w:type="spellStart"/>
      <w:r w:rsidRPr="00441824">
        <w:t>Gitaitis</w:t>
      </w:r>
      <w:proofErr w:type="spellEnd"/>
      <w:r w:rsidRPr="00441824">
        <w:t xml:space="preserve">, &amp; D.R. Smitley. (1983). Survival of </w:t>
      </w:r>
    </w:p>
    <w:p w14:paraId="2B6870A2" w14:textId="37100D6A" w:rsidR="004312A4" w:rsidRPr="007E0448" w:rsidRDefault="004312A4" w:rsidP="00FC0490">
      <w:pPr>
        <w:spacing w:line="360" w:lineRule="auto"/>
        <w:ind w:left="720"/>
        <w:rPr>
          <w:i/>
          <w:iCs/>
        </w:rPr>
      </w:pPr>
      <w:r w:rsidRPr="00441824">
        <w:rPr>
          <w:i/>
          <w:iCs/>
        </w:rPr>
        <w:t xml:space="preserve">Pseudomonas </w:t>
      </w:r>
      <w:proofErr w:type="spellStart"/>
      <w:r w:rsidRPr="00441824">
        <w:rPr>
          <w:i/>
          <w:iCs/>
        </w:rPr>
        <w:t>syringae</w:t>
      </w:r>
      <w:proofErr w:type="spellEnd"/>
      <w:r w:rsidRPr="00441824">
        <w:rPr>
          <w:i/>
          <w:iCs/>
        </w:rPr>
        <w:t xml:space="preserve"> </w:t>
      </w:r>
      <w:proofErr w:type="spellStart"/>
      <w:r w:rsidRPr="00441824">
        <w:t>pv</w:t>
      </w:r>
      <w:proofErr w:type="spellEnd"/>
      <w:r w:rsidRPr="00441824">
        <w:t xml:space="preserve">. </w:t>
      </w:r>
      <w:r w:rsidRPr="00441824">
        <w:rPr>
          <w:i/>
          <w:iCs/>
        </w:rPr>
        <w:t xml:space="preserve">tomato </w:t>
      </w:r>
      <w:r w:rsidRPr="00441824">
        <w:t xml:space="preserve">in association with tomato seed, soil, host tissue, and epiphytic weed hosts in Georgia. </w:t>
      </w:r>
      <w:r w:rsidRPr="00441824">
        <w:rPr>
          <w:i/>
          <w:iCs/>
        </w:rPr>
        <w:t xml:space="preserve">Phytopathology 73(10), </w:t>
      </w:r>
      <w:r w:rsidRPr="00441824">
        <w:t>1393-1398</w:t>
      </w:r>
    </w:p>
    <w:p w14:paraId="6122B4B3" w14:textId="77777777" w:rsidR="00E82267" w:rsidRDefault="00E82267" w:rsidP="00FC0490">
      <w:pPr>
        <w:spacing w:line="360" w:lineRule="auto"/>
        <w:ind w:left="720" w:hanging="720"/>
      </w:pPr>
      <w:r w:rsidRPr="00623223">
        <w:t xml:space="preserve">McCormick, J. S., Sulc, R. M., Barker, D. J., &amp; Beuerlein, J. E. (2006). Yield and nutritive value of autumn-seeded winter-hardy and winter-sensitive annual forages. </w:t>
      </w:r>
      <w:r w:rsidRPr="00623223">
        <w:rPr>
          <w:i/>
          <w:iCs/>
        </w:rPr>
        <w:t>Crop Science</w:t>
      </w:r>
      <w:r w:rsidRPr="00623223">
        <w:t xml:space="preserve">, </w:t>
      </w:r>
      <w:r w:rsidRPr="00623223">
        <w:rPr>
          <w:i/>
          <w:iCs/>
        </w:rPr>
        <w:t>46</w:t>
      </w:r>
      <w:r w:rsidRPr="00623223">
        <w:t xml:space="preserve">(5), 1981–1989. </w:t>
      </w:r>
    </w:p>
    <w:p w14:paraId="6EB92EA4" w14:textId="2D9B0EE0" w:rsidR="00233FB3" w:rsidRDefault="00233FB3" w:rsidP="00FC0490">
      <w:pPr>
        <w:spacing w:line="360" w:lineRule="auto"/>
        <w:ind w:left="720" w:hanging="720"/>
      </w:pPr>
      <w:r w:rsidRPr="00233FB3">
        <w:t>McIntosh, D., B. J. Anderson-</w:t>
      </w:r>
      <w:proofErr w:type="spellStart"/>
      <w:r w:rsidRPr="00233FB3">
        <w:t>Husmoen</w:t>
      </w:r>
      <w:proofErr w:type="spellEnd"/>
      <w:r w:rsidRPr="00233FB3">
        <w:t>, R. Kern-</w:t>
      </w:r>
      <w:proofErr w:type="spellStart"/>
      <w:r w:rsidRPr="00233FB3">
        <w:t>Lunbery</w:t>
      </w:r>
      <w:proofErr w:type="spellEnd"/>
      <w:r w:rsidRPr="00233FB3">
        <w:t>, P. Goldblatt, R. Lemus, T. Griggs, L. Bauman, S. Boone, G. Shewmaker, and C. Teutsch. 2022. Guidelines for Optimal Use of NIRSC Forage and Feed Calibrations in Membership Laboratories (Second Edition). The University of Tennessee Press, Knoxville, TN.</w:t>
      </w:r>
    </w:p>
    <w:p w14:paraId="14D8F9DD" w14:textId="70B5DF0E" w:rsidR="00D811DF" w:rsidRDefault="00D811DF" w:rsidP="00FC0490">
      <w:pPr>
        <w:spacing w:line="360" w:lineRule="auto"/>
        <w:ind w:left="720" w:hanging="720"/>
      </w:pPr>
      <w:proofErr w:type="spellStart"/>
      <w:r>
        <w:t>Mougou</w:t>
      </w:r>
      <w:proofErr w:type="spellEnd"/>
      <w:r>
        <w:t xml:space="preserve">, I. &amp; </w:t>
      </w:r>
      <w:proofErr w:type="spellStart"/>
      <w:r>
        <w:t>Boughalleb-M’Hamdi</w:t>
      </w:r>
      <w:proofErr w:type="spellEnd"/>
      <w:r>
        <w:t xml:space="preserve">, N. (2016). Detection, survival, and source of inoculum of </w:t>
      </w:r>
      <w:r>
        <w:rPr>
          <w:i/>
          <w:iCs/>
        </w:rPr>
        <w:t xml:space="preserve"> Pseudomonas </w:t>
      </w:r>
      <w:proofErr w:type="spellStart"/>
      <w:r>
        <w:rPr>
          <w:i/>
          <w:iCs/>
        </w:rPr>
        <w:t>syringae</w:t>
      </w:r>
      <w:proofErr w:type="spellEnd"/>
      <w:r>
        <w:rPr>
          <w:i/>
          <w:iCs/>
        </w:rPr>
        <w:t xml:space="preserve"> </w:t>
      </w:r>
      <w:proofErr w:type="spellStart"/>
      <w:r>
        <w:t>pv</w:t>
      </w:r>
      <w:proofErr w:type="spellEnd"/>
      <w:r>
        <w:t xml:space="preserve">. </w:t>
      </w:r>
      <w:r>
        <w:rPr>
          <w:i/>
          <w:iCs/>
        </w:rPr>
        <w:t xml:space="preserve">syringe </w:t>
      </w:r>
      <w:r>
        <w:t xml:space="preserve"> from weeds and plant debris in relation to epidemiology of bacterial citrus blast and black pit in Tunisia. </w:t>
      </w:r>
      <w:r>
        <w:rPr>
          <w:i/>
          <w:iCs/>
        </w:rPr>
        <w:t xml:space="preserve">British Microbiology Research Journal, 16(5), ), </w:t>
      </w:r>
      <w:r>
        <w:t>1-10.</w:t>
      </w:r>
    </w:p>
    <w:p w14:paraId="04B2E8AD" w14:textId="3AAC4BA8" w:rsidR="007F4B2D" w:rsidRDefault="007F4B2D" w:rsidP="00FC0490">
      <w:pPr>
        <w:spacing w:line="360" w:lineRule="auto"/>
        <w:ind w:left="720" w:hanging="720"/>
        <w:rPr>
          <w:kern w:val="2"/>
          <w14:ligatures w14:val="standardContextual"/>
        </w:rPr>
      </w:pPr>
      <w:r w:rsidRPr="00F21024">
        <w:rPr>
          <w:kern w:val="2"/>
          <w14:ligatures w14:val="standardContextual"/>
        </w:rPr>
        <w:t xml:space="preserve">Murdock, L.W., Everette, G., Howard, T., Green, B., &amp; Barnhisel, R. (1986). In-the-row subsoiling of tobacco. </w:t>
      </w:r>
      <w:r w:rsidRPr="00F21024">
        <w:rPr>
          <w:i/>
          <w:iCs/>
          <w:kern w:val="2"/>
          <w14:ligatures w14:val="standardContextual"/>
        </w:rPr>
        <w:t>Agronomy Notes. 19</w:t>
      </w:r>
      <w:r w:rsidRPr="00F21024">
        <w:rPr>
          <w:kern w:val="2"/>
          <w14:ligatures w14:val="standardContextual"/>
        </w:rPr>
        <w:t>(5).</w:t>
      </w:r>
    </w:p>
    <w:p w14:paraId="7486CEBE" w14:textId="6015C502" w:rsidR="00AB5F20" w:rsidRDefault="00AB5F20" w:rsidP="00FC0490">
      <w:pPr>
        <w:spacing w:line="360" w:lineRule="auto"/>
        <w:ind w:left="720" w:hanging="720"/>
        <w:rPr>
          <w:kern w:val="2"/>
          <w14:ligatures w14:val="standardContextual"/>
        </w:rPr>
      </w:pPr>
      <w:r w:rsidRPr="00AB5F20">
        <w:rPr>
          <w:kern w:val="2"/>
          <w14:ligatures w14:val="standardContextual"/>
        </w:rPr>
        <w:t>Murray, I., and I. Cowe. 2004. Sample preparation. In: C. A. Roberts, J. J. Workman, and J. B. Reeves, editors, Near-infrared spectroscopy in agriculture. ASA, CSSA, and SSSA, Madison, WI. p. 75–112.</w:t>
      </w:r>
    </w:p>
    <w:p w14:paraId="1EC6F71A" w14:textId="7FE12B6D" w:rsidR="00CE7BA5" w:rsidRPr="006B608B" w:rsidRDefault="00CE7BA5" w:rsidP="00CE7BA5">
      <w:pPr>
        <w:spacing w:line="360" w:lineRule="auto"/>
        <w:ind w:left="720" w:hanging="720"/>
        <w:rPr>
          <w:i/>
          <w:iCs/>
          <w:kern w:val="2"/>
          <w14:ligatures w14:val="standardContextual"/>
        </w:rPr>
      </w:pPr>
      <w:r w:rsidRPr="00CE7BA5">
        <w:rPr>
          <w:kern w:val="2"/>
          <w14:ligatures w14:val="standardContextual"/>
        </w:rPr>
        <w:t xml:space="preserve">Pedreira, B., Harper, C., Raper, T., Sykes, V., &amp; </w:t>
      </w:r>
      <w:proofErr w:type="spellStart"/>
      <w:r w:rsidRPr="00CE7BA5">
        <w:rPr>
          <w:kern w:val="2"/>
          <w14:ligatures w14:val="standardContextual"/>
        </w:rPr>
        <w:t>Mcneal</w:t>
      </w:r>
      <w:proofErr w:type="spellEnd"/>
      <w:r w:rsidRPr="00CE7BA5">
        <w:rPr>
          <w:kern w:val="2"/>
          <w14:ligatures w14:val="standardContextual"/>
        </w:rPr>
        <w:t>, J. (</w:t>
      </w:r>
      <w:r w:rsidR="0014000E">
        <w:rPr>
          <w:kern w:val="2"/>
          <w14:ligatures w14:val="standardContextual"/>
        </w:rPr>
        <w:t>2024</w:t>
      </w:r>
      <w:r w:rsidRPr="00CE7BA5">
        <w:rPr>
          <w:kern w:val="2"/>
          <w14:ligatures w14:val="standardContextual"/>
        </w:rPr>
        <w:t xml:space="preserve">). </w:t>
      </w:r>
      <w:r w:rsidR="006B608B" w:rsidRPr="00CE7BA5">
        <w:rPr>
          <w:kern w:val="2"/>
          <w14:ligatures w14:val="standardContextual"/>
        </w:rPr>
        <w:t>Forage and field crop seeding guide for Tennessee</w:t>
      </w:r>
      <w:r w:rsidRPr="00CE7BA5">
        <w:rPr>
          <w:kern w:val="2"/>
          <w14:ligatures w14:val="standardContextual"/>
        </w:rPr>
        <w:t>.</w:t>
      </w:r>
      <w:r w:rsidR="006B608B">
        <w:rPr>
          <w:kern w:val="2"/>
          <w14:ligatures w14:val="standardContextual"/>
        </w:rPr>
        <w:t xml:space="preserve"> </w:t>
      </w:r>
      <w:r w:rsidR="006B608B">
        <w:rPr>
          <w:i/>
          <w:iCs/>
          <w:kern w:val="2"/>
          <w14:ligatures w14:val="standardContextual"/>
        </w:rPr>
        <w:t>University of Tennessee Institute of Agriculture. PB 378</w:t>
      </w:r>
      <w:r w:rsidR="00C0530A">
        <w:rPr>
          <w:i/>
          <w:iCs/>
          <w:kern w:val="2"/>
          <w14:ligatures w14:val="standardContextual"/>
        </w:rPr>
        <w:t xml:space="preserve"> REV.</w:t>
      </w:r>
    </w:p>
    <w:p w14:paraId="5E94DDC2"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Ryan, M. R., Curran, W. S., Grantham, A. M., Hunsberger, L. K., Mirsky, S. B., </w:t>
      </w:r>
    </w:p>
    <w:p w14:paraId="4068EA75" w14:textId="14D92EE0"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Mortensen, D. A., ... &amp; Wilson, D. O. (2011). Effects of seeding rate and poultry litter on weed </w:t>
      </w:r>
      <w:r w:rsidRPr="00F21024">
        <w:rPr>
          <w:kern w:val="2"/>
          <w14:ligatures w14:val="standardContextual"/>
        </w:rPr>
        <w:tab/>
        <w:t xml:space="preserve">suppression from a rolled cereal rye cover crop. </w:t>
      </w:r>
      <w:r w:rsidRPr="00F21024">
        <w:rPr>
          <w:i/>
          <w:iCs/>
          <w:kern w:val="2"/>
          <w14:ligatures w14:val="standardContextual"/>
        </w:rPr>
        <w:t>Weed Science, 59</w:t>
      </w:r>
      <w:r w:rsidRPr="00F21024">
        <w:rPr>
          <w:kern w:val="2"/>
          <w14:ligatures w14:val="standardContextual"/>
        </w:rPr>
        <w:t>(3), 438-444.</w:t>
      </w:r>
    </w:p>
    <w:p w14:paraId="13F770A2"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Ritchey, E. L., Pearce, R. C., &amp; Grove, J. H. (2012). Tillage and subsoiling effects </w:t>
      </w:r>
    </w:p>
    <w:p w14:paraId="62EB2409" w14:textId="39F00598" w:rsidR="007F4B2D" w:rsidRPr="007E0448" w:rsidRDefault="007F4B2D" w:rsidP="00FC0490">
      <w:pPr>
        <w:spacing w:line="360" w:lineRule="auto"/>
        <w:ind w:firstLine="720"/>
        <w:rPr>
          <w:i/>
          <w:iCs/>
          <w:kern w:val="2"/>
          <w14:ligatures w14:val="standardContextual"/>
        </w:rPr>
      </w:pPr>
      <w:r w:rsidRPr="00F21024">
        <w:rPr>
          <w:kern w:val="2"/>
          <w14:ligatures w14:val="standardContextual"/>
        </w:rPr>
        <w:t xml:space="preserve">on soil compactions and yield of burley tobacco. </w:t>
      </w:r>
      <w:proofErr w:type="spellStart"/>
      <w:r w:rsidRPr="00F21024">
        <w:rPr>
          <w:i/>
          <w:iCs/>
          <w:kern w:val="2"/>
          <w14:ligatures w14:val="standardContextual"/>
        </w:rPr>
        <w:t>UKnowledge</w:t>
      </w:r>
      <w:proofErr w:type="spellEnd"/>
      <w:r w:rsidRPr="00F21024">
        <w:rPr>
          <w:kern w:val="2"/>
          <w14:ligatures w14:val="standardContextual"/>
        </w:rPr>
        <w:t>. 1(2).</w:t>
      </w:r>
    </w:p>
    <w:p w14:paraId="71D25292" w14:textId="77777777" w:rsidR="007F4B2D" w:rsidRPr="00F21024" w:rsidRDefault="007F4B2D" w:rsidP="00FC0490">
      <w:pPr>
        <w:spacing w:line="360" w:lineRule="auto"/>
        <w:rPr>
          <w:kern w:val="2"/>
          <w14:ligatures w14:val="standardContextual"/>
        </w:rPr>
      </w:pPr>
      <w:proofErr w:type="spellStart"/>
      <w:r w:rsidRPr="00F21024">
        <w:rPr>
          <w:kern w:val="2"/>
          <w14:ligatures w14:val="standardContextual"/>
        </w:rPr>
        <w:t>Sarrantonio</w:t>
      </w:r>
      <w:proofErr w:type="spellEnd"/>
      <w:r w:rsidRPr="00F21024">
        <w:rPr>
          <w:kern w:val="2"/>
          <w14:ligatures w14:val="standardContextual"/>
        </w:rPr>
        <w:t xml:space="preserve">, M., &amp; </w:t>
      </w:r>
      <w:proofErr w:type="spellStart"/>
      <w:r w:rsidRPr="00F21024">
        <w:rPr>
          <w:kern w:val="2"/>
          <w14:ligatures w14:val="standardContextual"/>
        </w:rPr>
        <w:t>Gallandt</w:t>
      </w:r>
      <w:proofErr w:type="spellEnd"/>
      <w:r w:rsidRPr="00F21024">
        <w:rPr>
          <w:kern w:val="2"/>
          <w14:ligatures w14:val="standardContextual"/>
        </w:rPr>
        <w:t xml:space="preserve">, E. (2003). The role of cover crops in North American </w:t>
      </w:r>
    </w:p>
    <w:p w14:paraId="74675734" w14:textId="5DDE27DA"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cropping systems. </w:t>
      </w:r>
      <w:r w:rsidRPr="00F21024">
        <w:rPr>
          <w:i/>
          <w:iCs/>
          <w:kern w:val="2"/>
          <w14:ligatures w14:val="standardContextual"/>
        </w:rPr>
        <w:t>Journal of Crop Production</w:t>
      </w:r>
      <w:r w:rsidRPr="00F21024">
        <w:rPr>
          <w:kern w:val="2"/>
          <w14:ligatures w14:val="standardContextual"/>
        </w:rPr>
        <w:t xml:space="preserve">, (8)1–2, 53–74. </w:t>
      </w:r>
    </w:p>
    <w:p w14:paraId="475EE47A" w14:textId="7E5BF6E8" w:rsidR="005D0A3A" w:rsidRPr="007E0448" w:rsidRDefault="005D0A3A" w:rsidP="00FC0490">
      <w:pPr>
        <w:spacing w:line="360" w:lineRule="auto"/>
        <w:ind w:left="720" w:hanging="720"/>
      </w:pPr>
      <w:r w:rsidRPr="00441824">
        <w:t>Simko</w:t>
      </w:r>
      <w:proofErr w:type="gramStart"/>
      <w:r w:rsidRPr="00441824">
        <w:t>, I.</w:t>
      </w:r>
      <w:proofErr w:type="gramEnd"/>
      <w:r w:rsidRPr="00441824">
        <w:t xml:space="preserve"> 2024. </w:t>
      </w:r>
      <w:proofErr w:type="spellStart"/>
      <w:r w:rsidRPr="00441824">
        <w:t>IdeTo</w:t>
      </w:r>
      <w:proofErr w:type="spellEnd"/>
      <w:r w:rsidRPr="00441824">
        <w:t>: Spreadsheets for Calculation and Analysis of Area Under the Disease Progress Over Time Data.</w:t>
      </w:r>
    </w:p>
    <w:p w14:paraId="3B894E0B" w14:textId="4308E5A6" w:rsidR="007F4B2D" w:rsidRPr="00F21024" w:rsidRDefault="007F4B2D" w:rsidP="00FC0490">
      <w:pPr>
        <w:spacing w:line="360" w:lineRule="auto"/>
        <w:rPr>
          <w:kern w:val="2"/>
          <w14:ligatures w14:val="standardContextual"/>
        </w:rPr>
      </w:pPr>
      <w:r w:rsidRPr="00F21024">
        <w:rPr>
          <w:kern w:val="2"/>
          <w14:ligatures w14:val="standardContextual"/>
        </w:rPr>
        <w:t xml:space="preserve">Sustainable Agriculture Research and Education (SARE). (2023, March 02). </w:t>
      </w:r>
    </w:p>
    <w:p w14:paraId="62B8668E" w14:textId="7F8794C2" w:rsidR="007F4B2D" w:rsidRPr="007E0448" w:rsidRDefault="007F4B2D" w:rsidP="00FC0490">
      <w:pPr>
        <w:spacing w:line="360" w:lineRule="auto"/>
        <w:ind w:left="720"/>
        <w:rPr>
          <w:i/>
          <w:iCs/>
          <w:kern w:val="2"/>
          <w14:ligatures w14:val="standardContextual"/>
        </w:rPr>
      </w:pPr>
      <w:r w:rsidRPr="00F21024">
        <w:rPr>
          <w:i/>
          <w:iCs/>
          <w:kern w:val="2"/>
          <w14:ligatures w14:val="standardContextual"/>
        </w:rPr>
        <w:t>Conservation Tillage Systems in the Southeast – Subsoiling</w:t>
      </w:r>
      <w:r w:rsidRPr="00F21024">
        <w:rPr>
          <w:kern w:val="2"/>
          <w14:ligatures w14:val="standardContextual"/>
        </w:rPr>
        <w:t xml:space="preserve">. Sustainable Agriculture Research and Education. </w:t>
      </w:r>
    </w:p>
    <w:p w14:paraId="57433CC3"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Thomaz, E., &amp; </w:t>
      </w:r>
      <w:proofErr w:type="spellStart"/>
      <w:r w:rsidRPr="00F21024">
        <w:rPr>
          <w:kern w:val="2"/>
          <w14:ligatures w14:val="standardContextual"/>
        </w:rPr>
        <w:t>Antoneli</w:t>
      </w:r>
      <w:proofErr w:type="spellEnd"/>
      <w:r w:rsidRPr="00F21024">
        <w:rPr>
          <w:kern w:val="2"/>
          <w14:ligatures w14:val="standardContextual"/>
        </w:rPr>
        <w:t xml:space="preserve">, V. (2022). Long-term soil quality decline due to the </w:t>
      </w:r>
    </w:p>
    <w:p w14:paraId="23E0E2FF" w14:textId="45697855"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conventional tobacco tillage in Southern Brazil. </w:t>
      </w:r>
      <w:r w:rsidRPr="00F21024">
        <w:rPr>
          <w:i/>
          <w:iCs/>
          <w:kern w:val="2"/>
          <w14:ligatures w14:val="standardContextual"/>
        </w:rPr>
        <w:t>Archives of Agronomy and Soil Science</w:t>
      </w:r>
      <w:r w:rsidRPr="00F21024">
        <w:rPr>
          <w:kern w:val="2"/>
          <w14:ligatures w14:val="standardContextual"/>
        </w:rPr>
        <w:t xml:space="preserve">. </w:t>
      </w:r>
      <w:r w:rsidRPr="00F21024">
        <w:rPr>
          <w:i/>
          <w:iCs/>
          <w:kern w:val="2"/>
          <w14:ligatures w14:val="standardContextual"/>
        </w:rPr>
        <w:t>68</w:t>
      </w:r>
      <w:r w:rsidRPr="00F21024">
        <w:rPr>
          <w:kern w:val="2"/>
          <w14:ligatures w14:val="standardContextual"/>
        </w:rPr>
        <w:t>(6), 719–731.</w:t>
      </w:r>
    </w:p>
    <w:p w14:paraId="7FCA93D4" w14:textId="77777777" w:rsidR="00791030" w:rsidRDefault="00791030" w:rsidP="00FC0490">
      <w:pPr>
        <w:spacing w:line="360" w:lineRule="auto"/>
        <w:ind w:left="720" w:hanging="720"/>
      </w:pPr>
      <w:r>
        <w:t xml:space="preserve">Tso, T. C. (1972). Physical Environment. </w:t>
      </w:r>
      <w:r>
        <w:rPr>
          <w:i/>
          <w:iCs/>
        </w:rPr>
        <w:t xml:space="preserve">Physiology and Biochemistry of Tobacco Plants </w:t>
      </w:r>
      <w:r>
        <w:t xml:space="preserve">(pp. 19-26). Dowden, Hutchinson, &amp; Ross, Inc. </w:t>
      </w:r>
    </w:p>
    <w:p w14:paraId="594B2C2D" w14:textId="0381B05F" w:rsidR="00D86A75" w:rsidRPr="00447B90" w:rsidRDefault="00C05257" w:rsidP="00447B90">
      <w:pPr>
        <w:spacing w:line="360" w:lineRule="auto"/>
        <w:ind w:left="720" w:hanging="720"/>
        <w:rPr>
          <w:i/>
          <w:iCs/>
        </w:rPr>
      </w:pPr>
      <w:r>
        <w:t>USDA. (2022). Conservation Practice Adoption Mo</w:t>
      </w:r>
      <w:r w:rsidR="00E513E5">
        <w:t>tivations, 2021</w:t>
      </w:r>
      <w:r w:rsidR="007F2C24">
        <w:t xml:space="preserve">: Cropland and Confined Livestock Practices. </w:t>
      </w:r>
      <w:r w:rsidR="007F2C24">
        <w:rPr>
          <w:i/>
          <w:iCs/>
        </w:rPr>
        <w:t>NASS Highlights</w:t>
      </w:r>
      <w:r w:rsidR="00BC55F1">
        <w:rPr>
          <w:i/>
          <w:iCs/>
        </w:rPr>
        <w:t xml:space="preserve">. </w:t>
      </w:r>
      <w:r w:rsidR="00447B90">
        <w:rPr>
          <w:i/>
          <w:iCs/>
        </w:rPr>
        <w:t xml:space="preserve">2022-8. </w:t>
      </w:r>
    </w:p>
    <w:p w14:paraId="057114D3" w14:textId="77777777" w:rsidR="007F4B2D" w:rsidRPr="00F21024" w:rsidRDefault="007F4B2D" w:rsidP="00FC0490">
      <w:pPr>
        <w:spacing w:line="360" w:lineRule="auto"/>
        <w:rPr>
          <w:kern w:val="2"/>
          <w14:ligatures w14:val="standardContextual"/>
        </w:rPr>
      </w:pPr>
      <w:r w:rsidRPr="00F21024">
        <w:rPr>
          <w:kern w:val="2"/>
          <w14:ligatures w14:val="standardContextual"/>
        </w:rPr>
        <w:t xml:space="preserve">[USDA-NASS] United States Department of Agriculture National Agriculture Statistics </w:t>
      </w:r>
    </w:p>
    <w:p w14:paraId="3D936E43" w14:textId="52C9594E" w:rsidR="007F4B2D" w:rsidRPr="00F21024" w:rsidRDefault="007F4B2D" w:rsidP="00FC0490">
      <w:pPr>
        <w:spacing w:line="360" w:lineRule="auto"/>
        <w:ind w:firstLine="720"/>
        <w:rPr>
          <w:kern w:val="2"/>
          <w14:ligatures w14:val="standardContextual"/>
        </w:rPr>
      </w:pPr>
      <w:r w:rsidRPr="00F21024">
        <w:rPr>
          <w:kern w:val="2"/>
          <w14:ligatures w14:val="standardContextual"/>
        </w:rPr>
        <w:t>Service. (2024) Accessed May 20, 2024.</w:t>
      </w:r>
    </w:p>
    <w:p w14:paraId="5BF9D562" w14:textId="77777777" w:rsidR="007F4B2D" w:rsidRPr="00F21024" w:rsidRDefault="007F4B2D" w:rsidP="00FC0490">
      <w:pPr>
        <w:spacing w:line="360" w:lineRule="auto"/>
        <w:rPr>
          <w:kern w:val="2"/>
          <w14:ligatures w14:val="standardContextual"/>
        </w:rPr>
      </w:pPr>
      <w:proofErr w:type="spellStart"/>
      <w:r w:rsidRPr="00F21024">
        <w:rPr>
          <w:kern w:val="2"/>
          <w14:ligatures w14:val="standardContextual"/>
        </w:rPr>
        <w:t>Vukicevich</w:t>
      </w:r>
      <w:proofErr w:type="spellEnd"/>
      <w:r w:rsidRPr="00F21024">
        <w:rPr>
          <w:kern w:val="2"/>
          <w14:ligatures w14:val="standardContextual"/>
        </w:rPr>
        <w:t xml:space="preserve">, E., Lowery, T., Bowen, P., Ramon </w:t>
      </w:r>
      <w:proofErr w:type="spellStart"/>
      <w:r w:rsidRPr="00F21024">
        <w:rPr>
          <w:kern w:val="2"/>
          <w14:ligatures w14:val="standardContextual"/>
        </w:rPr>
        <w:t>Úrbez</w:t>
      </w:r>
      <w:proofErr w:type="spellEnd"/>
      <w:r w:rsidRPr="00F21024">
        <w:rPr>
          <w:kern w:val="2"/>
          <w14:ligatures w14:val="standardContextual"/>
        </w:rPr>
        <w:t xml:space="preserve">-Torres, J., &amp; Hart, M. (2016). </w:t>
      </w:r>
    </w:p>
    <w:p w14:paraId="1FCC57FE" w14:textId="672E2FE1"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Cover </w:t>
      </w:r>
      <w:proofErr w:type="gramStart"/>
      <w:r w:rsidRPr="00F21024">
        <w:rPr>
          <w:kern w:val="2"/>
          <w14:ligatures w14:val="standardContextual"/>
        </w:rPr>
        <w:t>crops to</w:t>
      </w:r>
      <w:proofErr w:type="gramEnd"/>
      <w:r w:rsidRPr="00F21024">
        <w:rPr>
          <w:kern w:val="2"/>
          <w14:ligatures w14:val="standardContextual"/>
        </w:rPr>
        <w:t xml:space="preserve"> increase soil microbial diversity and mitigate decline in perennial agriculture. A review. </w:t>
      </w:r>
      <w:r w:rsidRPr="00F21024">
        <w:rPr>
          <w:i/>
          <w:iCs/>
          <w:kern w:val="2"/>
          <w14:ligatures w14:val="standardContextual"/>
        </w:rPr>
        <w:t>Agronomy for Sustainable Development</w:t>
      </w:r>
      <w:r w:rsidRPr="00F21024">
        <w:rPr>
          <w:kern w:val="2"/>
          <w14:ligatures w14:val="standardContextual"/>
        </w:rPr>
        <w:t xml:space="preserve">. </w:t>
      </w:r>
      <w:r w:rsidRPr="00F21024">
        <w:rPr>
          <w:i/>
          <w:iCs/>
          <w:kern w:val="2"/>
          <w14:ligatures w14:val="standardContextual"/>
        </w:rPr>
        <w:t>36</w:t>
      </w:r>
      <w:r w:rsidRPr="00F21024">
        <w:rPr>
          <w:kern w:val="2"/>
          <w14:ligatures w14:val="standardContextual"/>
        </w:rPr>
        <w:t>(48).</w:t>
      </w:r>
    </w:p>
    <w:p w14:paraId="1AAF2246" w14:textId="77777777" w:rsidR="00035D02" w:rsidRDefault="00035D02" w:rsidP="00FC0490">
      <w:pPr>
        <w:spacing w:line="360" w:lineRule="auto"/>
        <w:ind w:left="720" w:hanging="720"/>
      </w:pPr>
      <w:r w:rsidRPr="00632011">
        <w:t xml:space="preserve">Webb, A. B., &amp; Bailey, W. A. (2024). Copper Efficacy Field Trials for Control of </w:t>
      </w:r>
      <w:r w:rsidRPr="00632011">
        <w:rPr>
          <w:i/>
          <w:iCs/>
        </w:rPr>
        <w:t xml:space="preserve">Pseudomonas </w:t>
      </w:r>
      <w:proofErr w:type="spellStart"/>
      <w:r w:rsidRPr="00632011">
        <w:rPr>
          <w:i/>
          <w:iCs/>
        </w:rPr>
        <w:t>syringae</w:t>
      </w:r>
      <w:proofErr w:type="spellEnd"/>
      <w:r w:rsidRPr="00632011">
        <w:t xml:space="preserve"> </w:t>
      </w:r>
      <w:proofErr w:type="spellStart"/>
      <w:r w:rsidRPr="00632011">
        <w:t>pv</w:t>
      </w:r>
      <w:proofErr w:type="spellEnd"/>
      <w:r w:rsidRPr="00632011">
        <w:t xml:space="preserve">. </w:t>
      </w:r>
      <w:proofErr w:type="spellStart"/>
      <w:r w:rsidRPr="00632011">
        <w:rPr>
          <w:i/>
          <w:iCs/>
        </w:rPr>
        <w:t>tabaci</w:t>
      </w:r>
      <w:proofErr w:type="spellEnd"/>
      <w:r w:rsidRPr="00632011">
        <w:t xml:space="preserve"> in </w:t>
      </w:r>
      <w:r w:rsidRPr="00632011">
        <w:rPr>
          <w:i/>
          <w:iCs/>
        </w:rPr>
        <w:t>Nicotiana tabacum</w:t>
      </w:r>
      <w:r w:rsidRPr="00632011">
        <w:t xml:space="preserve"> Production. </w:t>
      </w:r>
      <w:r w:rsidRPr="00632011">
        <w:rPr>
          <w:i/>
          <w:iCs/>
        </w:rPr>
        <w:t>Plant Health Progress</w:t>
      </w:r>
      <w:r w:rsidRPr="00632011">
        <w:t xml:space="preserve">, </w:t>
      </w:r>
      <w:r w:rsidRPr="00632011">
        <w:rPr>
          <w:i/>
          <w:iCs/>
        </w:rPr>
        <w:t>25</w:t>
      </w:r>
      <w:r w:rsidRPr="00632011">
        <w:t>(4), 492–497</w:t>
      </w:r>
      <w:r>
        <w:t>.</w:t>
      </w:r>
    </w:p>
    <w:p w14:paraId="4BC28F1A" w14:textId="77777777" w:rsidR="00035D02" w:rsidRPr="00632011" w:rsidRDefault="00035D02" w:rsidP="00FC0490">
      <w:pPr>
        <w:spacing w:line="360" w:lineRule="auto"/>
        <w:ind w:left="720" w:hanging="720"/>
      </w:pPr>
      <w:r w:rsidRPr="00FA059D">
        <w:t xml:space="preserve">Webb, A. B., &amp; Bailey, W. A. (2025). Chemical Efficacy Field Trials for </w:t>
      </w:r>
      <w:r w:rsidRPr="00FA059D">
        <w:rPr>
          <w:i/>
          <w:iCs/>
        </w:rPr>
        <w:t xml:space="preserve">Pseudomonas </w:t>
      </w:r>
      <w:proofErr w:type="spellStart"/>
      <w:r w:rsidRPr="00FA059D">
        <w:rPr>
          <w:i/>
          <w:iCs/>
        </w:rPr>
        <w:t>syringae</w:t>
      </w:r>
      <w:proofErr w:type="spellEnd"/>
      <w:r w:rsidRPr="00FA059D">
        <w:t xml:space="preserve"> </w:t>
      </w:r>
      <w:proofErr w:type="spellStart"/>
      <w:r w:rsidRPr="00FA059D">
        <w:t>pv</w:t>
      </w:r>
      <w:proofErr w:type="spellEnd"/>
      <w:r w:rsidRPr="00FA059D">
        <w:t xml:space="preserve">. </w:t>
      </w:r>
      <w:proofErr w:type="spellStart"/>
      <w:r w:rsidRPr="00FA059D">
        <w:rPr>
          <w:i/>
          <w:iCs/>
        </w:rPr>
        <w:t>tabaci</w:t>
      </w:r>
      <w:proofErr w:type="spellEnd"/>
      <w:r w:rsidRPr="00FA059D">
        <w:t xml:space="preserve"> (Angular Leaf Spot) in </w:t>
      </w:r>
      <w:r w:rsidRPr="00FA059D">
        <w:rPr>
          <w:i/>
          <w:iCs/>
        </w:rPr>
        <w:t>Nicotiana tabacum</w:t>
      </w:r>
      <w:r w:rsidRPr="00FA059D">
        <w:t xml:space="preserve">. </w:t>
      </w:r>
      <w:r w:rsidRPr="00FA059D">
        <w:rPr>
          <w:i/>
          <w:iCs/>
        </w:rPr>
        <w:t>Plant Health Progress</w:t>
      </w:r>
      <w:r w:rsidRPr="00FA059D">
        <w:t>.</w:t>
      </w:r>
    </w:p>
    <w:p w14:paraId="5F97FFA7" w14:textId="5624FA2C" w:rsidR="007F4B2D" w:rsidRPr="00F21024" w:rsidRDefault="007F4B2D" w:rsidP="00FC0490">
      <w:pPr>
        <w:spacing w:line="360" w:lineRule="auto"/>
        <w:ind w:left="720" w:hanging="720"/>
        <w:rPr>
          <w:kern w:val="2"/>
          <w14:ligatures w14:val="standardContextual"/>
        </w:rPr>
      </w:pPr>
      <w:r w:rsidRPr="007A4DEF">
        <w:rPr>
          <w:kern w:val="2"/>
          <w:lang w:val="it-IT"/>
          <w14:ligatures w14:val="standardContextual"/>
        </w:rPr>
        <w:t xml:space="preserve">Werle, R., Burr, C., &amp; Blanco-Canqui, H. (2017). </w:t>
      </w:r>
      <w:r w:rsidRPr="00F21024">
        <w:rPr>
          <w:kern w:val="2"/>
          <w14:ligatures w14:val="standardContextual"/>
        </w:rPr>
        <w:t xml:space="preserve">Cereal rye cover crop suppresses winter annual weeds. </w:t>
      </w:r>
      <w:r w:rsidRPr="00F21024">
        <w:rPr>
          <w:i/>
          <w:iCs/>
          <w:kern w:val="2"/>
          <w14:ligatures w14:val="standardContextual"/>
        </w:rPr>
        <w:t>Canadian Journal of Plant Science</w:t>
      </w:r>
      <w:r w:rsidRPr="00F21024">
        <w:rPr>
          <w:kern w:val="2"/>
          <w14:ligatures w14:val="standardContextual"/>
        </w:rPr>
        <w:t xml:space="preserve">, </w:t>
      </w:r>
      <w:r w:rsidRPr="00F21024">
        <w:rPr>
          <w:i/>
          <w:iCs/>
          <w:kern w:val="2"/>
          <w14:ligatures w14:val="standardContextual"/>
        </w:rPr>
        <w:t>98</w:t>
      </w:r>
      <w:r w:rsidRPr="00F21024">
        <w:rPr>
          <w:kern w:val="2"/>
          <w14:ligatures w14:val="standardContextual"/>
        </w:rPr>
        <w:t xml:space="preserve">(2), 498–500. </w:t>
      </w:r>
    </w:p>
    <w:p w14:paraId="65378CB9" w14:textId="77777777" w:rsidR="007F4B2D" w:rsidRPr="00F21024" w:rsidRDefault="007F4B2D" w:rsidP="00FC0490">
      <w:pPr>
        <w:spacing w:line="360" w:lineRule="auto"/>
        <w:rPr>
          <w:kern w:val="2"/>
          <w14:ligatures w14:val="standardContextual"/>
        </w:rPr>
      </w:pPr>
      <w:proofErr w:type="spellStart"/>
      <w:r w:rsidRPr="00F21024">
        <w:rPr>
          <w:kern w:val="2"/>
          <w14:ligatures w14:val="standardContextual"/>
        </w:rPr>
        <w:t>Wiepke</w:t>
      </w:r>
      <w:proofErr w:type="spellEnd"/>
      <w:r w:rsidRPr="00F21024">
        <w:rPr>
          <w:kern w:val="2"/>
          <w14:ligatures w14:val="standardContextual"/>
        </w:rPr>
        <w:t xml:space="preserve">, T., Worsham, A.D., &amp; Lemons, R.W. (1988). Effect of hairy vetch, crimson </w:t>
      </w:r>
    </w:p>
    <w:p w14:paraId="6E54A87E" w14:textId="51BE55B3"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clover, and rye cover crops on yield and quality of no-till flue-cured tobacco in North Carolina. </w:t>
      </w:r>
      <w:r w:rsidRPr="00F21024">
        <w:rPr>
          <w:i/>
          <w:iCs/>
          <w:kern w:val="2"/>
          <w14:ligatures w14:val="standardContextual"/>
        </w:rPr>
        <w:t>Proceeding from the Southern Conservation Tillage Conference, USA. 88</w:t>
      </w:r>
      <w:r w:rsidRPr="00F21024">
        <w:rPr>
          <w:kern w:val="2"/>
          <w14:ligatures w14:val="standardContextual"/>
        </w:rPr>
        <w:t>(1), 86-88.</w:t>
      </w:r>
    </w:p>
    <w:p w14:paraId="1FB20954" w14:textId="77777777" w:rsidR="00F165EB" w:rsidRDefault="00F165EB" w:rsidP="00FC0490">
      <w:pPr>
        <w:spacing w:line="360" w:lineRule="auto"/>
      </w:pPr>
      <w:r w:rsidRPr="00441824">
        <w:t xml:space="preserve">Wisler, G.C., and Norris, R.F. (2005) Interactions between weeds and cultivated plants as </w:t>
      </w:r>
    </w:p>
    <w:p w14:paraId="135AB2E1" w14:textId="577C7EE9" w:rsidR="00F165EB" w:rsidRPr="007E0448" w:rsidRDefault="00F165EB" w:rsidP="00FC0490">
      <w:pPr>
        <w:spacing w:line="360" w:lineRule="auto"/>
        <w:ind w:firstLine="720"/>
      </w:pPr>
      <w:r w:rsidRPr="00441824">
        <w:t xml:space="preserve">related to management of plant pathogens. </w:t>
      </w:r>
      <w:r w:rsidRPr="00441824">
        <w:rPr>
          <w:i/>
          <w:iCs/>
        </w:rPr>
        <w:t xml:space="preserve">Weed Science 53, </w:t>
      </w:r>
      <w:r w:rsidRPr="00441824">
        <w:t xml:space="preserve">914-917. </w:t>
      </w:r>
    </w:p>
    <w:p w14:paraId="40D0E614" w14:textId="0DFBE3B1" w:rsidR="007F4B2D" w:rsidRPr="00F21024" w:rsidRDefault="007F4B2D" w:rsidP="00FC0490">
      <w:pPr>
        <w:spacing w:line="360" w:lineRule="auto"/>
        <w:rPr>
          <w:kern w:val="2"/>
          <w14:ligatures w14:val="standardContextual"/>
        </w:rPr>
      </w:pPr>
      <w:r w:rsidRPr="00F21024">
        <w:rPr>
          <w:kern w:val="2"/>
          <w14:ligatures w14:val="standardContextual"/>
        </w:rPr>
        <w:t xml:space="preserve">Xin, X. F., </w:t>
      </w:r>
      <w:proofErr w:type="spellStart"/>
      <w:r w:rsidRPr="00F21024">
        <w:rPr>
          <w:kern w:val="2"/>
          <w14:ligatures w14:val="standardContextual"/>
        </w:rPr>
        <w:t>Kvitko</w:t>
      </w:r>
      <w:proofErr w:type="spellEnd"/>
      <w:r w:rsidRPr="00F21024">
        <w:rPr>
          <w:kern w:val="2"/>
          <w14:ligatures w14:val="standardContextual"/>
        </w:rPr>
        <w:t xml:space="preserve">, B., &amp; He, S. Y. (2018). Pseudomonas </w:t>
      </w:r>
      <w:proofErr w:type="spellStart"/>
      <w:r w:rsidRPr="00F21024">
        <w:rPr>
          <w:kern w:val="2"/>
          <w14:ligatures w14:val="standardContextual"/>
        </w:rPr>
        <w:t>syringae</w:t>
      </w:r>
      <w:proofErr w:type="spellEnd"/>
      <w:r w:rsidRPr="00F21024">
        <w:rPr>
          <w:kern w:val="2"/>
          <w14:ligatures w14:val="standardContextual"/>
        </w:rPr>
        <w:t xml:space="preserve">: What it takes to be a </w:t>
      </w:r>
    </w:p>
    <w:p w14:paraId="03D531B9" w14:textId="3897CADE" w:rsidR="007F4B2D" w:rsidRPr="00F21024" w:rsidRDefault="007F4B2D" w:rsidP="00FC0490">
      <w:pPr>
        <w:spacing w:line="360" w:lineRule="auto"/>
        <w:ind w:firstLine="720"/>
        <w:rPr>
          <w:kern w:val="2"/>
          <w14:ligatures w14:val="standardContextual"/>
        </w:rPr>
      </w:pPr>
      <w:r w:rsidRPr="00F21024">
        <w:rPr>
          <w:kern w:val="2"/>
          <w14:ligatures w14:val="standardContextual"/>
        </w:rPr>
        <w:t xml:space="preserve">pathogen. </w:t>
      </w:r>
      <w:r w:rsidRPr="00F21024">
        <w:rPr>
          <w:i/>
          <w:iCs/>
          <w:kern w:val="2"/>
          <w14:ligatures w14:val="standardContextual"/>
        </w:rPr>
        <w:t>Nature Reviews Microbiology</w:t>
      </w:r>
      <w:r w:rsidRPr="00F21024">
        <w:rPr>
          <w:kern w:val="2"/>
          <w14:ligatures w14:val="standardContextual"/>
        </w:rPr>
        <w:t xml:space="preserve">. </w:t>
      </w:r>
      <w:r w:rsidRPr="00F21024">
        <w:rPr>
          <w:i/>
          <w:iCs/>
          <w:kern w:val="2"/>
          <w14:ligatures w14:val="standardContextual"/>
        </w:rPr>
        <w:t>16</w:t>
      </w:r>
      <w:r w:rsidRPr="00F21024">
        <w:rPr>
          <w:kern w:val="2"/>
          <w14:ligatures w14:val="standardContextual"/>
        </w:rPr>
        <w:t xml:space="preserve">(5), 316–328. </w:t>
      </w:r>
    </w:p>
    <w:p w14:paraId="24E13CD5" w14:textId="06DAAFDA" w:rsidR="007F4B2D" w:rsidRPr="00F21024" w:rsidRDefault="007F4B2D" w:rsidP="00FC0490">
      <w:pPr>
        <w:spacing w:line="360" w:lineRule="auto"/>
        <w:rPr>
          <w:kern w:val="2"/>
          <w14:ligatures w14:val="standardContextual"/>
        </w:rPr>
      </w:pPr>
      <w:r w:rsidRPr="00F21024">
        <w:rPr>
          <w:kern w:val="2"/>
          <w14:ligatures w14:val="standardContextual"/>
        </w:rPr>
        <w:t xml:space="preserve">Young, J. M., Dye, D. W., Bradbury, J. F., Panagopoulos, &amp; C. G., Robbs, C. F. (1978) A </w:t>
      </w:r>
    </w:p>
    <w:p w14:paraId="6FE77AD0" w14:textId="77777777" w:rsidR="007F4B2D" w:rsidRPr="00F21024" w:rsidRDefault="007F4B2D" w:rsidP="00FC0490">
      <w:pPr>
        <w:spacing w:line="360" w:lineRule="auto"/>
        <w:ind w:left="720"/>
        <w:rPr>
          <w:kern w:val="2"/>
          <w14:ligatures w14:val="standardContextual"/>
        </w:rPr>
      </w:pPr>
      <w:r w:rsidRPr="00F21024">
        <w:rPr>
          <w:kern w:val="2"/>
          <w14:ligatures w14:val="standardContextual"/>
        </w:rPr>
        <w:t xml:space="preserve">proposed nomenclature and classification for plant pathogenic bacteria. </w:t>
      </w:r>
      <w:r w:rsidRPr="00F21024">
        <w:rPr>
          <w:i/>
          <w:iCs/>
          <w:kern w:val="2"/>
          <w14:ligatures w14:val="standardContextual"/>
        </w:rPr>
        <w:t>New Zealand Journal of Agricultural Research, 21</w:t>
      </w:r>
      <w:r w:rsidRPr="00F21024">
        <w:rPr>
          <w:kern w:val="2"/>
          <w14:ligatures w14:val="standardContextual"/>
        </w:rPr>
        <w:t>(1), 153-177.</w:t>
      </w:r>
    </w:p>
    <w:p w14:paraId="73A1D717" w14:textId="06F0CAD5" w:rsidR="008F2A6C" w:rsidRDefault="008F2A6C" w:rsidP="00984A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33" w:name="_Toc420995912"/>
      <w:bookmarkStart w:id="34" w:name="_Toc422997499"/>
    </w:p>
    <w:p w14:paraId="097D526C" w14:textId="77777777" w:rsidR="00984A07" w:rsidRDefault="00984A07" w:rsidP="00984A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544123C" w14:textId="77777777" w:rsidR="00984A07" w:rsidRDefault="00984A07" w:rsidP="00984A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2F5C7DF" w14:textId="77777777" w:rsidR="00984A07" w:rsidRDefault="00984A07" w:rsidP="00984A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9752DE" w14:textId="77777777" w:rsidR="00984A07" w:rsidRDefault="00984A07" w:rsidP="00984A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7C7FE1" w14:textId="0C2F4DB0" w:rsidR="00984A07" w:rsidRDefault="004868FF" w:rsidP="000D4C2B">
      <w:r>
        <w:br w:type="page"/>
      </w:r>
    </w:p>
    <w:p w14:paraId="31ECC9D0" w14:textId="01ADA7AC" w:rsidR="00AB262E" w:rsidRPr="00C82290" w:rsidRDefault="00CA543E" w:rsidP="004868FF">
      <w:pPr>
        <w:pStyle w:val="AltHeading1"/>
      </w:pPr>
      <w:bookmarkStart w:id="35" w:name="_Toc427156484"/>
      <w:bookmarkStart w:id="36" w:name="_Toc196292002"/>
      <w:r>
        <w:rPr>
          <w:noProof/>
          <w:szCs w:val="28"/>
          <w14:ligatures w14:val="standardContextual"/>
        </w:rPr>
        <w:drawing>
          <wp:anchor distT="0" distB="0" distL="114300" distR="114300" simplePos="0" relativeHeight="251637248" behindDoc="0" locked="0" layoutInCell="1" allowOverlap="1" wp14:anchorId="1D56364F" wp14:editId="7E061034">
            <wp:simplePos x="0" y="0"/>
            <wp:positionH relativeFrom="margin">
              <wp:align>right</wp:align>
            </wp:positionH>
            <wp:positionV relativeFrom="paragraph">
              <wp:posOffset>251460</wp:posOffset>
            </wp:positionV>
            <wp:extent cx="5943600" cy="3533775"/>
            <wp:effectExtent l="0" t="0" r="0" b="9525"/>
            <wp:wrapTopAndBottom/>
            <wp:docPr id="578128578" name="Picture 1" descr="A diagram of a plant life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28578" name="Picture 1" descr="A diagram of a plant life cy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3533775"/>
                    </a:xfrm>
                    <a:prstGeom prst="rect">
                      <a:avLst/>
                    </a:prstGeom>
                  </pic:spPr>
                </pic:pic>
              </a:graphicData>
            </a:graphic>
          </wp:anchor>
        </w:drawing>
      </w:r>
      <w:r w:rsidR="00236E6D" w:rsidRPr="00F21024">
        <w:t>A</w:t>
      </w:r>
      <w:r w:rsidR="00E91931" w:rsidRPr="00F21024">
        <w:t>ppendix</w:t>
      </w:r>
      <w:bookmarkStart w:id="37" w:name="_Toc420995913"/>
      <w:bookmarkStart w:id="38" w:name="_Toc422997500"/>
      <w:bookmarkStart w:id="39" w:name="_Toc427156485"/>
      <w:bookmarkEnd w:id="33"/>
      <w:bookmarkEnd w:id="34"/>
      <w:bookmarkEnd w:id="35"/>
      <w:bookmarkEnd w:id="36"/>
    </w:p>
    <w:p w14:paraId="6406F7E4" w14:textId="77777777" w:rsidR="00AB262E" w:rsidRDefault="00AB262E" w:rsidP="00AB262E">
      <w:pPr>
        <w:spacing w:line="360" w:lineRule="auto"/>
        <w:rPr>
          <w:szCs w:val="28"/>
        </w:rPr>
      </w:pPr>
      <w:r>
        <w:rPr>
          <w:szCs w:val="28"/>
        </w:rPr>
        <w:t xml:space="preserve">Figure 1. Research timeline. Repeated for the 2023-2024 research and growing seasons. </w:t>
      </w:r>
      <w:r>
        <w:rPr>
          <w:szCs w:val="28"/>
        </w:rPr>
        <w:br w:type="page"/>
      </w:r>
    </w:p>
    <w:p w14:paraId="6197B220" w14:textId="4739D7F5" w:rsidR="00AF2CD9" w:rsidRDefault="00AF2CD9" w:rsidP="00C82290">
      <w:pPr>
        <w:rPr>
          <w:noProof/>
          <w:szCs w:val="28"/>
          <w14:ligatures w14:val="standardContextual"/>
        </w:rPr>
      </w:pPr>
      <w:r>
        <w:rPr>
          <w:noProof/>
          <w:szCs w:val="28"/>
          <w14:ligatures w14:val="standardContextual"/>
        </w:rPr>
        <w:drawing>
          <wp:anchor distT="0" distB="0" distL="114300" distR="114300" simplePos="0" relativeHeight="251644416" behindDoc="0" locked="0" layoutInCell="1" allowOverlap="1" wp14:anchorId="14B1025A" wp14:editId="21E27EF0">
            <wp:simplePos x="0" y="0"/>
            <wp:positionH relativeFrom="margin">
              <wp:align>center</wp:align>
            </wp:positionH>
            <wp:positionV relativeFrom="paragraph">
              <wp:posOffset>0</wp:posOffset>
            </wp:positionV>
            <wp:extent cx="5608320" cy="4579620"/>
            <wp:effectExtent l="0" t="0" r="0" b="0"/>
            <wp:wrapTopAndBottom/>
            <wp:docPr id="1013383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83872" name="Picture 2"/>
                    <pic:cNvPicPr/>
                  </pic:nvPicPr>
                  <pic:blipFill rotWithShape="1">
                    <a:blip r:embed="rId12" cstate="print">
                      <a:extLst>
                        <a:ext uri="{28A0092B-C50C-407E-A947-70E740481C1C}">
                          <a14:useLocalDpi xmlns:a14="http://schemas.microsoft.com/office/drawing/2010/main" val="0"/>
                        </a:ext>
                      </a:extLst>
                    </a:blip>
                    <a:srcRect l="590" t="9488" r="2564"/>
                    <a:stretch/>
                  </pic:blipFill>
                  <pic:spPr bwMode="auto">
                    <a:xfrm>
                      <a:off x="0" y="0"/>
                      <a:ext cx="5608320" cy="4579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60E308" w14:textId="224BC37E" w:rsidR="00AB262E" w:rsidRDefault="00AB262E" w:rsidP="00C82290">
      <w:pPr>
        <w:rPr>
          <w:szCs w:val="28"/>
        </w:rPr>
      </w:pPr>
      <w:r>
        <w:rPr>
          <w:szCs w:val="28"/>
        </w:rPr>
        <w:t xml:space="preserve">Figure 2. </w:t>
      </w:r>
      <w:r w:rsidRPr="00F03F48">
        <w:rPr>
          <w:rFonts w:eastAsia="Aptos"/>
          <w:kern w:val="2"/>
          <w14:ligatures w14:val="standardContextual"/>
        </w:rPr>
        <w:t xml:space="preserve">The </w:t>
      </w:r>
      <w:r w:rsidR="00F07DE7" w:rsidRPr="00F03F48">
        <w:rPr>
          <w:rFonts w:eastAsia="Aptos"/>
          <w:kern w:val="2"/>
          <w14:ligatures w14:val="standardContextual"/>
        </w:rPr>
        <w:t>percentage</w:t>
      </w:r>
      <w:r w:rsidRPr="00F03F48">
        <w:rPr>
          <w:rFonts w:eastAsia="Aptos"/>
          <w:kern w:val="2"/>
          <w14:ligatures w14:val="standardContextual"/>
        </w:rPr>
        <w:t xml:space="preserve"> of </w:t>
      </w:r>
      <w:r>
        <w:rPr>
          <w:rFonts w:eastAsia="Aptos"/>
          <w:kern w:val="2"/>
          <w14:ligatures w14:val="standardContextual"/>
        </w:rPr>
        <w:t>canopy</w:t>
      </w:r>
      <w:r w:rsidRPr="00F03F48">
        <w:rPr>
          <w:rFonts w:eastAsia="Aptos"/>
          <w:kern w:val="2"/>
          <w14:ligatures w14:val="standardContextual"/>
        </w:rPr>
        <w:t xml:space="preserve"> cover present in a 0.5 m</w:t>
      </w:r>
      <w:r w:rsidRPr="00F03F48">
        <w:rPr>
          <w:rFonts w:eastAsia="Aptos"/>
          <w:kern w:val="2"/>
          <w:vertAlign w:val="superscript"/>
          <w14:ligatures w14:val="standardContextual"/>
        </w:rPr>
        <w:t>2</w:t>
      </w:r>
      <w:r w:rsidRPr="00F03F48">
        <w:rPr>
          <w:rFonts w:eastAsia="Aptos"/>
          <w:kern w:val="2"/>
          <w14:ligatures w14:val="standardContextual"/>
        </w:rPr>
        <w:t xml:space="preserve"> square (</w:t>
      </w:r>
      <w:proofErr w:type="spellStart"/>
      <w:r w:rsidRPr="00F03F48">
        <w:rPr>
          <w:rFonts w:eastAsia="Aptos"/>
          <w:kern w:val="2"/>
          <w14:ligatures w14:val="standardContextual"/>
        </w:rPr>
        <w:t>crop+weed</w:t>
      </w:r>
      <w:proofErr w:type="spellEnd"/>
      <w:r w:rsidRPr="00F03F48">
        <w:rPr>
          <w:rFonts w:eastAsia="Aptos"/>
          <w:kern w:val="2"/>
          <w14:ligatures w14:val="standardContextual"/>
        </w:rPr>
        <w:t xml:space="preserve">) in 2023 as determined by </w:t>
      </w:r>
      <w:r>
        <w:rPr>
          <w:rFonts w:eastAsia="Aptos"/>
          <w:kern w:val="2"/>
          <w14:ligatures w14:val="standardContextual"/>
        </w:rPr>
        <w:t xml:space="preserve">APS Assess </w:t>
      </w:r>
      <w:r w:rsidRPr="00F03F48">
        <w:rPr>
          <w:rFonts w:eastAsia="Aptos"/>
          <w:kern w:val="2"/>
          <w14:ligatures w14:val="standardContextual"/>
        </w:rPr>
        <w:t xml:space="preserve">digital imaging software (p&lt;0.0001). </w:t>
      </w:r>
      <w:r>
        <w:rPr>
          <w:szCs w:val="28"/>
        </w:rPr>
        <w:t>Standard error bars are based on Tukey HSD at alpha = 0.05.</w:t>
      </w:r>
      <w:r>
        <w:rPr>
          <w:szCs w:val="28"/>
        </w:rPr>
        <w:br w:type="page"/>
      </w:r>
    </w:p>
    <w:p w14:paraId="0274B2A0" w14:textId="2DA353F9" w:rsidR="00BF1EE5" w:rsidRDefault="00BF1EE5" w:rsidP="00C82290">
      <w:pPr>
        <w:rPr>
          <w:noProof/>
          <w:szCs w:val="28"/>
          <w14:ligatures w14:val="standardContextual"/>
        </w:rPr>
      </w:pPr>
      <w:r>
        <w:rPr>
          <w:noProof/>
          <w:szCs w:val="28"/>
          <w14:ligatures w14:val="standardContextual"/>
        </w:rPr>
        <w:drawing>
          <wp:anchor distT="0" distB="0" distL="114300" distR="114300" simplePos="0" relativeHeight="251651584" behindDoc="0" locked="0" layoutInCell="1" allowOverlap="1" wp14:anchorId="448430A1" wp14:editId="57C5F095">
            <wp:simplePos x="0" y="0"/>
            <wp:positionH relativeFrom="margin">
              <wp:posOffset>480060</wp:posOffset>
            </wp:positionH>
            <wp:positionV relativeFrom="paragraph">
              <wp:posOffset>0</wp:posOffset>
            </wp:positionV>
            <wp:extent cx="4975860" cy="4274820"/>
            <wp:effectExtent l="0" t="0" r="0" b="0"/>
            <wp:wrapTopAndBottom/>
            <wp:docPr id="1554388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88027" name="Picture 3"/>
                    <pic:cNvPicPr/>
                  </pic:nvPicPr>
                  <pic:blipFill rotWithShape="1">
                    <a:blip r:embed="rId13" cstate="print">
                      <a:extLst>
                        <a:ext uri="{28A0092B-C50C-407E-A947-70E740481C1C}">
                          <a14:useLocalDpi xmlns:a14="http://schemas.microsoft.com/office/drawing/2010/main" val="0"/>
                        </a:ext>
                      </a:extLst>
                    </a:blip>
                    <a:srcRect l="3451" t="10316" r="2442"/>
                    <a:stretch/>
                  </pic:blipFill>
                  <pic:spPr bwMode="auto">
                    <a:xfrm>
                      <a:off x="0" y="0"/>
                      <a:ext cx="4975860" cy="427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F297C0" w14:textId="4CF6132C" w:rsidR="00AB262E" w:rsidRDefault="00AB262E" w:rsidP="00C82290">
      <w:pPr>
        <w:rPr>
          <w:noProof/>
          <w:szCs w:val="28"/>
          <w14:ligatures w14:val="standardContextual"/>
        </w:rPr>
      </w:pPr>
      <w:r>
        <w:rPr>
          <w:szCs w:val="28"/>
        </w:rPr>
        <w:t xml:space="preserve">Figure 3. </w:t>
      </w:r>
      <w:r w:rsidRPr="00F03F48">
        <w:rPr>
          <w:rFonts w:eastAsia="Aptos"/>
          <w:kern w:val="2"/>
          <w14:ligatures w14:val="standardContextual"/>
        </w:rPr>
        <w:t xml:space="preserve">The </w:t>
      </w:r>
      <w:r w:rsidR="00F07DE7" w:rsidRPr="00F03F48">
        <w:rPr>
          <w:rFonts w:eastAsia="Aptos"/>
          <w:kern w:val="2"/>
          <w14:ligatures w14:val="standardContextual"/>
        </w:rPr>
        <w:t>percentage</w:t>
      </w:r>
      <w:r w:rsidRPr="00F03F48">
        <w:rPr>
          <w:rFonts w:eastAsia="Aptos"/>
          <w:kern w:val="2"/>
          <w14:ligatures w14:val="standardContextual"/>
        </w:rPr>
        <w:t xml:space="preserve"> of ground cover present in a 0.5 m</w:t>
      </w:r>
      <w:r w:rsidRPr="00F03F48">
        <w:rPr>
          <w:rFonts w:eastAsia="Aptos"/>
          <w:kern w:val="2"/>
          <w:vertAlign w:val="superscript"/>
          <w14:ligatures w14:val="standardContextual"/>
        </w:rPr>
        <w:t>2</w:t>
      </w:r>
      <w:r w:rsidRPr="00F03F48">
        <w:rPr>
          <w:rFonts w:eastAsia="Aptos"/>
          <w:kern w:val="2"/>
          <w14:ligatures w14:val="standardContextual"/>
        </w:rPr>
        <w:t xml:space="preserve"> square (</w:t>
      </w:r>
      <w:proofErr w:type="spellStart"/>
      <w:r w:rsidRPr="00F03F48">
        <w:rPr>
          <w:rFonts w:eastAsia="Aptos"/>
          <w:kern w:val="2"/>
          <w14:ligatures w14:val="standardContextual"/>
        </w:rPr>
        <w:t>crop+weed</w:t>
      </w:r>
      <w:proofErr w:type="spellEnd"/>
      <w:r w:rsidRPr="00F03F48">
        <w:rPr>
          <w:rFonts w:eastAsia="Aptos"/>
          <w:kern w:val="2"/>
          <w14:ligatures w14:val="standardContextual"/>
        </w:rPr>
        <w:t>) in 202</w:t>
      </w:r>
      <w:r>
        <w:rPr>
          <w:rFonts w:eastAsia="Aptos"/>
          <w:kern w:val="2"/>
          <w14:ligatures w14:val="standardContextual"/>
        </w:rPr>
        <w:t>4</w:t>
      </w:r>
      <w:r w:rsidRPr="00F03F48">
        <w:rPr>
          <w:rFonts w:eastAsia="Aptos"/>
          <w:kern w:val="2"/>
          <w14:ligatures w14:val="standardContextual"/>
        </w:rPr>
        <w:t xml:space="preserve"> as determined by </w:t>
      </w:r>
      <w:r>
        <w:rPr>
          <w:rFonts w:eastAsia="Aptos"/>
          <w:kern w:val="2"/>
          <w14:ligatures w14:val="standardContextual"/>
        </w:rPr>
        <w:t xml:space="preserve">APS Assess </w:t>
      </w:r>
      <w:r w:rsidRPr="00F03F48">
        <w:rPr>
          <w:rFonts w:eastAsia="Aptos"/>
          <w:kern w:val="2"/>
          <w14:ligatures w14:val="standardContextual"/>
        </w:rPr>
        <w:t>digital imaging software (p&lt;0.0001).</w:t>
      </w:r>
      <w:r w:rsidRPr="00524533">
        <w:rPr>
          <w:rFonts w:eastAsia="Aptos"/>
          <w:b/>
          <w:bCs/>
          <w:kern w:val="2"/>
          <w14:ligatures w14:val="standardContextual"/>
        </w:rPr>
        <w:t xml:space="preserve"> </w:t>
      </w:r>
      <w:r>
        <w:rPr>
          <w:szCs w:val="28"/>
        </w:rPr>
        <w:t>Standard error bars are determined by Tukey HSD at alpha = 0.05.</w:t>
      </w:r>
      <w:r>
        <w:rPr>
          <w:noProof/>
          <w:szCs w:val="28"/>
          <w14:ligatures w14:val="standardContextual"/>
        </w:rPr>
        <w:br w:type="page"/>
      </w:r>
    </w:p>
    <w:p w14:paraId="3773D2BA" w14:textId="74AD776D" w:rsidR="000E5BEA" w:rsidRDefault="000E5BEA" w:rsidP="00C82290">
      <w:pPr>
        <w:rPr>
          <w:noProof/>
          <w:szCs w:val="28"/>
          <w14:ligatures w14:val="standardContextual"/>
        </w:rPr>
      </w:pPr>
      <w:r>
        <w:rPr>
          <w:noProof/>
          <w:szCs w:val="28"/>
          <w14:ligatures w14:val="standardContextual"/>
        </w:rPr>
        <w:drawing>
          <wp:anchor distT="0" distB="0" distL="114300" distR="114300" simplePos="0" relativeHeight="251658752" behindDoc="0" locked="0" layoutInCell="1" allowOverlap="1" wp14:anchorId="1648AF30" wp14:editId="3DCB8915">
            <wp:simplePos x="0" y="0"/>
            <wp:positionH relativeFrom="margin">
              <wp:align>center</wp:align>
            </wp:positionH>
            <wp:positionV relativeFrom="paragraph">
              <wp:posOffset>0</wp:posOffset>
            </wp:positionV>
            <wp:extent cx="4523105" cy="3679190"/>
            <wp:effectExtent l="0" t="0" r="0" b="0"/>
            <wp:wrapTopAndBottom/>
            <wp:docPr id="374613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1355" name="Picture 8"/>
                    <pic:cNvPicPr/>
                  </pic:nvPicPr>
                  <pic:blipFill rotWithShape="1">
                    <a:blip r:embed="rId14" cstate="print">
                      <a:extLst>
                        <a:ext uri="{28A0092B-C50C-407E-A947-70E740481C1C}">
                          <a14:useLocalDpi xmlns:a14="http://schemas.microsoft.com/office/drawing/2010/main" val="0"/>
                        </a:ext>
                      </a:extLst>
                    </a:blip>
                    <a:srcRect t="9553"/>
                    <a:stretch/>
                  </pic:blipFill>
                  <pic:spPr bwMode="auto">
                    <a:xfrm>
                      <a:off x="0" y="0"/>
                      <a:ext cx="4523105" cy="3679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B485AF" w14:textId="51D110E7" w:rsidR="00674FB6" w:rsidRDefault="00AB262E" w:rsidP="00C82290">
      <w:pPr>
        <w:rPr>
          <w:noProof/>
          <w:szCs w:val="28"/>
          <w14:ligatures w14:val="standardContextual"/>
        </w:rPr>
      </w:pPr>
      <w:r>
        <w:rPr>
          <w:noProof/>
          <w:szCs w:val="28"/>
          <w14:ligatures w14:val="standardContextual"/>
        </w:rPr>
        <w:t xml:space="preserve">Figure 4. </w:t>
      </w:r>
      <w:r w:rsidR="00AB3C3D">
        <w:rPr>
          <w:noProof/>
          <w:szCs w:val="28"/>
          <w14:ligatures w14:val="standardContextual"/>
        </w:rPr>
        <w:t>Main effect of tillage type (CONV = conventional, NT = no-tillage) by year (23 = 2023, 24 = 2024) (p&lt;0.0001) on Area Under the Disease Pressure Steps (AUDPS) (Simko 2024). Values denoted with different letters indicate significance at p&lt;0.05 as determined by Tukey HSD</w:t>
      </w:r>
      <w:r w:rsidR="00B02E5E">
        <w:rPr>
          <w:noProof/>
          <w:szCs w:val="28"/>
          <w14:ligatures w14:val="standardContextual"/>
        </w:rPr>
        <w:t xml:space="preserve">. </w:t>
      </w:r>
    </w:p>
    <w:p w14:paraId="24DA4FE9" w14:textId="7935E7B0" w:rsidR="004E0050" w:rsidRDefault="004E0050">
      <w:pPr>
        <w:rPr>
          <w:noProof/>
          <w:szCs w:val="28"/>
          <w14:ligatures w14:val="standardContextual"/>
        </w:rPr>
      </w:pPr>
      <w:r>
        <w:rPr>
          <w:noProof/>
          <w:szCs w:val="28"/>
          <w14:ligatures w14:val="standardContextual"/>
        </w:rPr>
        <w:br w:type="page"/>
      </w:r>
    </w:p>
    <w:p w14:paraId="4583BE25" w14:textId="33A2F9CD" w:rsidR="000E5BEA" w:rsidRDefault="000E5BEA">
      <w:pPr>
        <w:rPr>
          <w:noProof/>
          <w:szCs w:val="28"/>
        </w:rPr>
      </w:pPr>
      <w:r>
        <w:rPr>
          <w:noProof/>
          <w:szCs w:val="28"/>
        </w:rPr>
        <w:drawing>
          <wp:anchor distT="0" distB="0" distL="114300" distR="114300" simplePos="0" relativeHeight="251687424" behindDoc="0" locked="0" layoutInCell="1" allowOverlap="1" wp14:anchorId="61EF60BC" wp14:editId="0E55F089">
            <wp:simplePos x="0" y="0"/>
            <wp:positionH relativeFrom="margin">
              <wp:align>center</wp:align>
            </wp:positionH>
            <wp:positionV relativeFrom="paragraph">
              <wp:posOffset>0</wp:posOffset>
            </wp:positionV>
            <wp:extent cx="4739005" cy="3743960"/>
            <wp:effectExtent l="0" t="0" r="4445" b="8890"/>
            <wp:wrapTopAndBottom/>
            <wp:docPr id="194457666" name="Picture 2" descr="A graph of a disease inde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7666" name="Picture 2" descr="A graph of a disease index&#10;&#10;Description automatically generated"/>
                    <pic:cNvPicPr/>
                  </pic:nvPicPr>
                  <pic:blipFill rotWithShape="1">
                    <a:blip r:embed="rId15">
                      <a:extLst>
                        <a:ext uri="{28A0092B-C50C-407E-A947-70E740481C1C}">
                          <a14:useLocalDpi xmlns:a14="http://schemas.microsoft.com/office/drawing/2010/main" val="0"/>
                        </a:ext>
                      </a:extLst>
                    </a:blip>
                    <a:srcRect l="3719" t="13688" r="7691" b="4295"/>
                    <a:stretch/>
                  </pic:blipFill>
                  <pic:spPr bwMode="auto">
                    <a:xfrm>
                      <a:off x="0" y="0"/>
                      <a:ext cx="4739005" cy="37439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3230CA8" w14:textId="31876E66" w:rsidR="004E0050" w:rsidRDefault="004E0050">
      <w:pPr>
        <w:rPr>
          <w:noProof/>
          <w:szCs w:val="28"/>
        </w:rPr>
      </w:pPr>
      <w:r>
        <w:rPr>
          <w:noProof/>
          <w:szCs w:val="28"/>
        </w:rPr>
        <w:t xml:space="preserve">Figure </w:t>
      </w:r>
      <w:r w:rsidR="00B25CC4">
        <w:rPr>
          <w:noProof/>
          <w:szCs w:val="28"/>
        </w:rPr>
        <w:t xml:space="preserve">5. Cover crop species did not have an effect on final disease index </w:t>
      </w:r>
      <w:r w:rsidR="002C646E">
        <w:rPr>
          <w:noProof/>
          <w:szCs w:val="28"/>
        </w:rPr>
        <w:t>(p=0</w:t>
      </w:r>
      <w:r w:rsidR="007E0371">
        <w:rPr>
          <w:noProof/>
          <w:szCs w:val="28"/>
        </w:rPr>
        <w:t>6</w:t>
      </w:r>
      <w:r w:rsidR="00B336A2">
        <w:rPr>
          <w:noProof/>
          <w:szCs w:val="28"/>
        </w:rPr>
        <w:t>319)</w:t>
      </w:r>
      <w:r w:rsidR="002C646E">
        <w:rPr>
          <w:noProof/>
          <w:szCs w:val="28"/>
        </w:rPr>
        <w:t>.</w:t>
      </w:r>
    </w:p>
    <w:p w14:paraId="1878CEF5" w14:textId="1C94FE67" w:rsidR="00674FB6" w:rsidRDefault="00674FB6">
      <w:pPr>
        <w:rPr>
          <w:noProof/>
          <w:szCs w:val="28"/>
          <w14:ligatures w14:val="standardContextual"/>
        </w:rPr>
      </w:pPr>
      <w:r>
        <w:rPr>
          <w:noProof/>
          <w:szCs w:val="28"/>
          <w14:ligatures w14:val="standardContextual"/>
        </w:rPr>
        <w:br w:type="page"/>
      </w:r>
    </w:p>
    <w:p w14:paraId="66BFD8A8" w14:textId="0A8DF1F8" w:rsidR="00AB262E" w:rsidRDefault="00AB3C3D" w:rsidP="00C82290">
      <w:pPr>
        <w:rPr>
          <w:noProof/>
          <w:szCs w:val="28"/>
          <w14:ligatures w14:val="standardContextual"/>
        </w:rPr>
      </w:pPr>
      <w:r>
        <w:rPr>
          <w:noProof/>
          <w:szCs w:val="28"/>
          <w14:ligatures w14:val="standardContextual"/>
        </w:rPr>
        <w:drawing>
          <wp:anchor distT="0" distB="0" distL="114300" distR="114300" simplePos="0" relativeHeight="251680256" behindDoc="0" locked="0" layoutInCell="1" allowOverlap="1" wp14:anchorId="2534A8D7" wp14:editId="591609E6">
            <wp:simplePos x="0" y="0"/>
            <wp:positionH relativeFrom="margin">
              <wp:align>center</wp:align>
            </wp:positionH>
            <wp:positionV relativeFrom="paragraph">
              <wp:posOffset>0</wp:posOffset>
            </wp:positionV>
            <wp:extent cx="6658610" cy="2731135"/>
            <wp:effectExtent l="0" t="0" r="8890" b="0"/>
            <wp:wrapTopAndBottom/>
            <wp:docPr id="154201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19656" name="Picture 1"/>
                    <pic:cNvPicPr/>
                  </pic:nvPicPr>
                  <pic:blipFill rotWithShape="1">
                    <a:blip r:embed="rId16" cstate="print">
                      <a:extLst>
                        <a:ext uri="{28A0092B-C50C-407E-A947-70E740481C1C}">
                          <a14:useLocalDpi xmlns:a14="http://schemas.microsoft.com/office/drawing/2010/main" val="0"/>
                        </a:ext>
                      </a:extLst>
                    </a:blip>
                    <a:srcRect l="-114" t="11455" r="114"/>
                    <a:stretch/>
                  </pic:blipFill>
                  <pic:spPr bwMode="auto">
                    <a:xfrm>
                      <a:off x="0" y="0"/>
                      <a:ext cx="6658610" cy="27311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2793176" w14:textId="7AE3BD8F" w:rsidR="00AB262E" w:rsidRPr="00060E37" w:rsidRDefault="00AB262E" w:rsidP="00C24296">
      <w:pPr>
        <w:rPr>
          <w:b/>
          <w:bCs/>
          <w:noProof/>
          <w:szCs w:val="28"/>
          <w14:ligatures w14:val="standardContextual"/>
        </w:rPr>
      </w:pPr>
      <w:r>
        <w:rPr>
          <w:noProof/>
          <w:szCs w:val="28"/>
          <w14:ligatures w14:val="standardContextual"/>
        </w:rPr>
        <w:t xml:space="preserve">Figure </w:t>
      </w:r>
      <w:r w:rsidR="00040F4E">
        <w:rPr>
          <w:noProof/>
          <w:szCs w:val="28"/>
          <w14:ligatures w14:val="standardContextual"/>
        </w:rPr>
        <w:t>6</w:t>
      </w:r>
      <w:r>
        <w:rPr>
          <w:noProof/>
          <w:szCs w:val="28"/>
          <w14:ligatures w14:val="standardContextual"/>
        </w:rPr>
        <w:t xml:space="preserve">. </w:t>
      </w:r>
      <w:r w:rsidR="00AB3C3D">
        <w:rPr>
          <w:noProof/>
          <w:szCs w:val="28"/>
          <w14:ligatures w14:val="standardContextual"/>
        </w:rPr>
        <w:t>2024 disease incidence (</w:t>
      </w:r>
      <w:r w:rsidR="00690C28">
        <w:rPr>
          <w:noProof/>
          <w:szCs w:val="28"/>
          <w14:ligatures w14:val="standardContextual"/>
        </w:rPr>
        <w:t xml:space="preserve">A; </w:t>
      </w:r>
      <w:r w:rsidR="00AB3C3D">
        <w:rPr>
          <w:noProof/>
          <w:szCs w:val="28"/>
          <w14:ligatures w14:val="standardContextual"/>
        </w:rPr>
        <w:t xml:space="preserve">the percent of plants in the ceter two rows showing disease symptons) </w:t>
      </w:r>
      <w:r w:rsidR="003703AA">
        <w:rPr>
          <w:noProof/>
          <w:szCs w:val="28"/>
          <w14:ligatures w14:val="standardContextual"/>
        </w:rPr>
        <w:t xml:space="preserve">and disease index (B; (incidence*severity)/100) </w:t>
      </w:r>
      <w:r w:rsidR="00AB3C3D">
        <w:rPr>
          <w:noProof/>
          <w:szCs w:val="28"/>
          <w14:ligatures w14:val="standardContextual"/>
        </w:rPr>
        <w:t>overtime for tobacco disease ratings separated by tillage type (p&lt;0.0001). Standard error bars are determined by Tukey HSD at alpha = 0.05.</w:t>
      </w:r>
    </w:p>
    <w:p w14:paraId="5E6B601F" w14:textId="77777777" w:rsidR="00AB262E" w:rsidRDefault="00AB262E" w:rsidP="00AB262E">
      <w:pPr>
        <w:spacing w:after="160" w:line="259" w:lineRule="auto"/>
        <w:rPr>
          <w:noProof/>
          <w:szCs w:val="28"/>
          <w14:ligatures w14:val="standardContextual"/>
        </w:rPr>
      </w:pPr>
      <w:r>
        <w:rPr>
          <w:noProof/>
          <w:szCs w:val="28"/>
          <w14:ligatures w14:val="standardContextual"/>
        </w:rPr>
        <w:br w:type="page"/>
      </w:r>
    </w:p>
    <w:p w14:paraId="58537774" w14:textId="4E725EBD" w:rsidR="00AB262E" w:rsidRDefault="008D7BB1" w:rsidP="00C24296">
      <w:pPr>
        <w:rPr>
          <w:noProof/>
          <w:szCs w:val="28"/>
          <w14:ligatures w14:val="standardContextual"/>
        </w:rPr>
      </w:pPr>
      <w:r>
        <w:rPr>
          <w:noProof/>
          <w:szCs w:val="28"/>
          <w14:ligatures w14:val="standardContextual"/>
        </w:rPr>
        <w:drawing>
          <wp:anchor distT="0" distB="0" distL="114300" distR="114300" simplePos="0" relativeHeight="251673088" behindDoc="0" locked="0" layoutInCell="1" allowOverlap="1" wp14:anchorId="20C503D1" wp14:editId="43A5B332">
            <wp:simplePos x="0" y="0"/>
            <wp:positionH relativeFrom="margin">
              <wp:align>center</wp:align>
            </wp:positionH>
            <wp:positionV relativeFrom="paragraph">
              <wp:posOffset>0</wp:posOffset>
            </wp:positionV>
            <wp:extent cx="4876165" cy="4371340"/>
            <wp:effectExtent l="0" t="0" r="635" b="0"/>
            <wp:wrapTopAndBottom/>
            <wp:docPr id="59579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97495" name="Picture 1"/>
                    <pic:cNvPicPr/>
                  </pic:nvPicPr>
                  <pic:blipFill rotWithShape="1">
                    <a:blip r:embed="rId17">
                      <a:extLst>
                        <a:ext uri="{28A0092B-C50C-407E-A947-70E740481C1C}">
                          <a14:useLocalDpi xmlns:a14="http://schemas.microsoft.com/office/drawing/2010/main" val="0"/>
                        </a:ext>
                      </a:extLst>
                    </a:blip>
                    <a:srcRect l="3678" t="15228" r="9357" b="4061"/>
                    <a:stretch/>
                  </pic:blipFill>
                  <pic:spPr bwMode="auto">
                    <a:xfrm>
                      <a:off x="0" y="0"/>
                      <a:ext cx="4876165" cy="4371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262E">
        <w:rPr>
          <w:noProof/>
          <w:szCs w:val="28"/>
          <w14:ligatures w14:val="standardContextual"/>
        </w:rPr>
        <w:t xml:space="preserve">Figure </w:t>
      </w:r>
      <w:r w:rsidR="00040F4E">
        <w:rPr>
          <w:noProof/>
          <w:szCs w:val="28"/>
          <w14:ligatures w14:val="standardContextual"/>
        </w:rPr>
        <w:t>7</w:t>
      </w:r>
      <w:r w:rsidR="00AB262E">
        <w:rPr>
          <w:noProof/>
          <w:szCs w:val="28"/>
          <w14:ligatures w14:val="standardContextual"/>
        </w:rPr>
        <w:t xml:space="preserve">. Monthly sum of precipitation overtime from January to October for 2023, 2024, and a 30 year average for Springfield, Tennessee. </w:t>
      </w:r>
      <w:r w:rsidR="00AB262E">
        <w:rPr>
          <w:noProof/>
          <w:szCs w:val="28"/>
          <w14:ligatures w14:val="standardContextual"/>
        </w:rPr>
        <w:br w:type="page"/>
      </w:r>
    </w:p>
    <w:p w14:paraId="151A7017" w14:textId="7BF20B5B" w:rsidR="00900EAA" w:rsidRDefault="00B57090" w:rsidP="00C24296">
      <w:pPr>
        <w:rPr>
          <w:noProof/>
          <w:szCs w:val="28"/>
          <w14:ligatures w14:val="standardContextual"/>
        </w:rPr>
      </w:pPr>
      <w:r>
        <w:rPr>
          <w:noProof/>
          <w:szCs w:val="28"/>
          <w14:ligatures w14:val="standardContextual"/>
        </w:rPr>
        <w:drawing>
          <wp:anchor distT="0" distB="0" distL="114300" distR="114300" simplePos="0" relativeHeight="251665920" behindDoc="0" locked="0" layoutInCell="1" allowOverlap="1" wp14:anchorId="70A9CB76" wp14:editId="69274D53">
            <wp:simplePos x="0" y="0"/>
            <wp:positionH relativeFrom="margin">
              <wp:align>center</wp:align>
            </wp:positionH>
            <wp:positionV relativeFrom="paragraph">
              <wp:posOffset>0</wp:posOffset>
            </wp:positionV>
            <wp:extent cx="5001260" cy="3873500"/>
            <wp:effectExtent l="0" t="0" r="8890" b="0"/>
            <wp:wrapTopAndBottom/>
            <wp:docPr id="494599973" name="Picture 9" descr="A graph of a cro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99973" name="Picture 9" descr="A graph of a crop&#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l="-23" t="12708" r="3386"/>
                    <a:stretch/>
                  </pic:blipFill>
                  <pic:spPr bwMode="auto">
                    <a:xfrm>
                      <a:off x="0" y="0"/>
                      <a:ext cx="5001260" cy="387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262E">
        <w:rPr>
          <w:noProof/>
          <w:szCs w:val="28"/>
          <w14:ligatures w14:val="standardContextual"/>
        </w:rPr>
        <w:t xml:space="preserve">Figure </w:t>
      </w:r>
      <w:r w:rsidR="00040F4E">
        <w:rPr>
          <w:noProof/>
          <w:szCs w:val="28"/>
          <w14:ligatures w14:val="standardContextual"/>
        </w:rPr>
        <w:t>8</w:t>
      </w:r>
      <w:r w:rsidR="00AB262E">
        <w:rPr>
          <w:noProof/>
          <w:szCs w:val="28"/>
          <w14:ligatures w14:val="standardContextual"/>
        </w:rPr>
        <w:t xml:space="preserve">. Yield of dark fire cured tobacco averaged over 2023 and 2024 by cover crop type. No significance was observed (p = 0.4616). </w:t>
      </w:r>
    </w:p>
    <w:p w14:paraId="0FAA9BF8" w14:textId="77777777" w:rsidR="00900EAA" w:rsidRDefault="00900EAA">
      <w:pPr>
        <w:rPr>
          <w:noProof/>
          <w:szCs w:val="28"/>
          <w14:ligatures w14:val="standardContextual"/>
        </w:rPr>
      </w:pPr>
      <w:r>
        <w:rPr>
          <w:noProof/>
          <w:szCs w:val="28"/>
          <w14:ligatures w14:val="standardContextual"/>
        </w:rPr>
        <w:br w:type="page"/>
      </w:r>
    </w:p>
    <w:p w14:paraId="744B89E7" w14:textId="77BB2FC5" w:rsidR="00FA21B2" w:rsidRDefault="00900EAA" w:rsidP="00C24296">
      <w:pPr>
        <w:rPr>
          <w:noProof/>
          <w:szCs w:val="28"/>
          <w14:ligatures w14:val="standardContextual"/>
        </w:rPr>
      </w:pPr>
      <w:r>
        <w:rPr>
          <w:noProof/>
          <w:szCs w:val="28"/>
        </w:rPr>
        <w:drawing>
          <wp:anchor distT="0" distB="0" distL="114300" distR="114300" simplePos="0" relativeHeight="251688448" behindDoc="0" locked="0" layoutInCell="1" allowOverlap="1" wp14:anchorId="6DB986B8" wp14:editId="1349946F">
            <wp:simplePos x="0" y="0"/>
            <wp:positionH relativeFrom="margin">
              <wp:posOffset>-68580</wp:posOffset>
            </wp:positionH>
            <wp:positionV relativeFrom="paragraph">
              <wp:posOffset>0</wp:posOffset>
            </wp:positionV>
            <wp:extent cx="5623560" cy="3096260"/>
            <wp:effectExtent l="0" t="0" r="0" b="8890"/>
            <wp:wrapTopAndBottom/>
            <wp:docPr id="476519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19014" name="Picture 2"/>
                    <pic:cNvPicPr/>
                  </pic:nvPicPr>
                  <pic:blipFill rotWithShape="1">
                    <a:blip r:embed="rId19" cstate="print">
                      <a:extLst>
                        <a:ext uri="{28A0092B-C50C-407E-A947-70E740481C1C}">
                          <a14:useLocalDpi xmlns:a14="http://schemas.microsoft.com/office/drawing/2010/main" val="0"/>
                        </a:ext>
                      </a:extLst>
                    </a:blip>
                    <a:srcRect t="9591" r="7643"/>
                    <a:stretch/>
                  </pic:blipFill>
                  <pic:spPr bwMode="auto">
                    <a:xfrm>
                      <a:off x="0" y="0"/>
                      <a:ext cx="5623560" cy="3096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29B6">
        <w:rPr>
          <w:noProof/>
          <w:szCs w:val="28"/>
          <w14:ligatures w14:val="standardContextual"/>
        </w:rPr>
        <w:t xml:space="preserve">Figure 9. </w:t>
      </w:r>
      <w:r w:rsidR="00567B69">
        <w:rPr>
          <w:noProof/>
          <w:szCs w:val="28"/>
          <w14:ligatures w14:val="standardContextual"/>
        </w:rPr>
        <w:t>Images of canopy coverage from the 2022 – 2023 cover crop season visual</w:t>
      </w:r>
      <w:r w:rsidR="00BA7F35">
        <w:rPr>
          <w:noProof/>
          <w:szCs w:val="28"/>
          <w14:ligatures w14:val="standardContextual"/>
        </w:rPr>
        <w:t>izing the trend of canopy coverage between cover crop treatments</w:t>
      </w:r>
      <w:r w:rsidR="00FA21B2">
        <w:rPr>
          <w:noProof/>
          <w:szCs w:val="28"/>
          <w14:ligatures w14:val="standardContextual"/>
        </w:rPr>
        <w:t xml:space="preserve"> over time.</w:t>
      </w:r>
    </w:p>
    <w:p w14:paraId="5720C010" w14:textId="753F26E0" w:rsidR="00B52CCC" w:rsidRPr="00B52CCC" w:rsidRDefault="00FA21B2" w:rsidP="00C24296">
      <w:pPr>
        <w:rPr>
          <w:noProof/>
          <w:szCs w:val="28"/>
          <w14:ligatures w14:val="standardContextual"/>
        </w:rPr>
      </w:pPr>
      <w:r>
        <w:rPr>
          <w:noProof/>
          <w:szCs w:val="28"/>
          <w14:ligatures w14:val="standardContextual"/>
        </w:rPr>
        <w:br w:type="page"/>
      </w:r>
    </w:p>
    <w:p w14:paraId="5303FEF2" w14:textId="096086D1" w:rsidR="00FC0490" w:rsidRDefault="00FA21B2" w:rsidP="00C24296">
      <w:pPr>
        <w:rPr>
          <w:noProof/>
          <w:szCs w:val="28"/>
          <w14:ligatures w14:val="standardContextual"/>
        </w:rPr>
      </w:pPr>
      <w:r>
        <w:rPr>
          <w:noProof/>
          <w:szCs w:val="28"/>
        </w:rPr>
        <w:drawing>
          <wp:anchor distT="0" distB="0" distL="114300" distR="114300" simplePos="0" relativeHeight="251689472" behindDoc="0" locked="0" layoutInCell="1" allowOverlap="1" wp14:anchorId="14758C83" wp14:editId="09D7EBF1">
            <wp:simplePos x="0" y="0"/>
            <wp:positionH relativeFrom="margin">
              <wp:align>right</wp:align>
            </wp:positionH>
            <wp:positionV relativeFrom="paragraph">
              <wp:posOffset>0</wp:posOffset>
            </wp:positionV>
            <wp:extent cx="5859780" cy="3511058"/>
            <wp:effectExtent l="0" t="0" r="7620" b="0"/>
            <wp:wrapTopAndBottom/>
            <wp:docPr id="1158770443" name="Picture 3" descr="A collage of different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70443" name="Picture 3" descr="A collage of different plants&#10;&#10;Description automatically generated"/>
                    <pic:cNvPicPr/>
                  </pic:nvPicPr>
                  <pic:blipFill rotWithShape="1">
                    <a:blip r:embed="rId20">
                      <a:extLst>
                        <a:ext uri="{28A0092B-C50C-407E-A947-70E740481C1C}">
                          <a14:useLocalDpi xmlns:a14="http://schemas.microsoft.com/office/drawing/2010/main" val="0"/>
                        </a:ext>
                      </a:extLst>
                    </a:blip>
                    <a:srcRect l="2307" r="3974"/>
                    <a:stretch/>
                  </pic:blipFill>
                  <pic:spPr bwMode="auto">
                    <a:xfrm>
                      <a:off x="0" y="0"/>
                      <a:ext cx="5859780" cy="35110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Cs w:val="28"/>
          <w14:ligatures w14:val="standardContextual"/>
        </w:rPr>
        <w:t>Figure 10. Images of canopy coverage from the 2023 – 2024 cover crop season visualizing the trend of canopy coverage between cover crop treatments over time.</w:t>
      </w:r>
    </w:p>
    <w:p w14:paraId="6CFFA65B" w14:textId="77777777" w:rsidR="00FC0490" w:rsidRDefault="00FC0490" w:rsidP="00C24296">
      <w:pPr>
        <w:rPr>
          <w:noProof/>
          <w:szCs w:val="28"/>
          <w14:ligatures w14:val="standardContextual"/>
        </w:rPr>
      </w:pPr>
    </w:p>
    <w:p w14:paraId="10ED6F2A" w14:textId="77777777" w:rsidR="00FC0490" w:rsidRDefault="00FC0490" w:rsidP="00C24296">
      <w:pPr>
        <w:rPr>
          <w:noProof/>
          <w:szCs w:val="28"/>
          <w14:ligatures w14:val="standardContextual"/>
        </w:rPr>
      </w:pPr>
    </w:p>
    <w:p w14:paraId="2D07DE18" w14:textId="77777777" w:rsidR="00FC0490" w:rsidRDefault="00FC0490" w:rsidP="00C24296">
      <w:pPr>
        <w:rPr>
          <w:noProof/>
          <w:szCs w:val="28"/>
          <w14:ligatures w14:val="standardContextual"/>
        </w:rPr>
      </w:pPr>
    </w:p>
    <w:p w14:paraId="2B774A81" w14:textId="77777777" w:rsidR="00FC0490" w:rsidRDefault="00FC0490" w:rsidP="00C24296">
      <w:pPr>
        <w:rPr>
          <w:noProof/>
          <w:szCs w:val="28"/>
          <w14:ligatures w14:val="standardContextual"/>
        </w:rPr>
      </w:pPr>
    </w:p>
    <w:p w14:paraId="2314B0CB" w14:textId="77777777" w:rsidR="00FC0490" w:rsidRDefault="00FC0490" w:rsidP="00C24296">
      <w:pPr>
        <w:rPr>
          <w:noProof/>
          <w:szCs w:val="28"/>
          <w14:ligatures w14:val="standardContextual"/>
        </w:rPr>
      </w:pPr>
    </w:p>
    <w:p w14:paraId="01BB8D0E" w14:textId="77777777" w:rsidR="00FC0490" w:rsidRDefault="00FC0490" w:rsidP="00C24296">
      <w:pPr>
        <w:rPr>
          <w:noProof/>
          <w:szCs w:val="28"/>
          <w14:ligatures w14:val="standardContextual"/>
        </w:rPr>
      </w:pPr>
    </w:p>
    <w:p w14:paraId="2875B35E" w14:textId="77777777" w:rsidR="00FC0490" w:rsidRDefault="00FC0490" w:rsidP="00C24296">
      <w:pPr>
        <w:rPr>
          <w:noProof/>
          <w:szCs w:val="28"/>
          <w14:ligatures w14:val="standardContextual"/>
        </w:rPr>
      </w:pPr>
    </w:p>
    <w:p w14:paraId="279C1564" w14:textId="77777777" w:rsidR="00FC0490" w:rsidRDefault="00FC0490" w:rsidP="00C24296">
      <w:pPr>
        <w:rPr>
          <w:noProof/>
          <w:szCs w:val="28"/>
          <w14:ligatures w14:val="standardContextual"/>
        </w:rPr>
      </w:pPr>
    </w:p>
    <w:p w14:paraId="10BD5AF3" w14:textId="77777777" w:rsidR="00FC0490" w:rsidRDefault="00FC0490" w:rsidP="00C24296">
      <w:pPr>
        <w:rPr>
          <w:noProof/>
          <w:szCs w:val="28"/>
          <w14:ligatures w14:val="standardContextual"/>
        </w:rPr>
      </w:pPr>
    </w:p>
    <w:p w14:paraId="5E8C3857" w14:textId="77777777" w:rsidR="00FC0490" w:rsidRDefault="00FC0490" w:rsidP="00C24296">
      <w:pPr>
        <w:rPr>
          <w:noProof/>
          <w:szCs w:val="28"/>
          <w14:ligatures w14:val="standardContextual"/>
        </w:rPr>
      </w:pPr>
    </w:p>
    <w:p w14:paraId="589848B1" w14:textId="77777777" w:rsidR="00FC0490" w:rsidRDefault="00FC0490" w:rsidP="00C24296">
      <w:pPr>
        <w:rPr>
          <w:noProof/>
          <w:szCs w:val="28"/>
          <w14:ligatures w14:val="standardContextual"/>
        </w:rPr>
      </w:pPr>
    </w:p>
    <w:p w14:paraId="06F96C00" w14:textId="77777777" w:rsidR="00FC0490" w:rsidRDefault="00FC0490" w:rsidP="00C24296">
      <w:pPr>
        <w:rPr>
          <w:noProof/>
          <w:szCs w:val="28"/>
          <w14:ligatures w14:val="standardContextual"/>
        </w:rPr>
      </w:pPr>
    </w:p>
    <w:p w14:paraId="063E71B5" w14:textId="77777777" w:rsidR="00FC0490" w:rsidRDefault="00FC0490" w:rsidP="00C24296">
      <w:pPr>
        <w:rPr>
          <w:noProof/>
          <w:szCs w:val="28"/>
          <w14:ligatures w14:val="standardContextual"/>
        </w:rPr>
      </w:pPr>
    </w:p>
    <w:p w14:paraId="332D53C5" w14:textId="77777777" w:rsidR="00FC0490" w:rsidRDefault="00FC0490" w:rsidP="00C24296">
      <w:pPr>
        <w:rPr>
          <w:noProof/>
          <w:szCs w:val="28"/>
          <w14:ligatures w14:val="standardContextual"/>
        </w:rPr>
      </w:pPr>
    </w:p>
    <w:p w14:paraId="3F0BCC7C" w14:textId="77777777" w:rsidR="00B57090" w:rsidRDefault="00B57090">
      <w:pPr>
        <w:rPr>
          <w:noProof/>
          <w:szCs w:val="28"/>
          <w14:ligatures w14:val="standardContextual"/>
        </w:rPr>
      </w:pPr>
      <w:r>
        <w:rPr>
          <w:noProof/>
          <w:szCs w:val="28"/>
          <w14:ligatures w14:val="standardContextual"/>
        </w:rPr>
        <w:br w:type="page"/>
      </w:r>
    </w:p>
    <w:p w14:paraId="324AD8C1" w14:textId="23CE5E7E" w:rsidR="00AB262E" w:rsidRDefault="00FC0490" w:rsidP="00AB262E">
      <w:pPr>
        <w:spacing w:line="360" w:lineRule="auto"/>
        <w:jc w:val="center"/>
        <w:rPr>
          <w:noProof/>
          <w:szCs w:val="28"/>
          <w14:ligatures w14:val="standardContextual"/>
        </w:rPr>
      </w:pPr>
      <w:r>
        <w:rPr>
          <w:noProof/>
          <w:szCs w:val="28"/>
          <w14:ligatures w14:val="standardContextual"/>
        </w:rPr>
        <w:t>Tables</w:t>
      </w:r>
    </w:p>
    <w:p w14:paraId="7C6A3901" w14:textId="601B0315" w:rsidR="00AB262E" w:rsidRDefault="00AB262E" w:rsidP="00C24296">
      <w:pPr>
        <w:rPr>
          <w:noProof/>
          <w:szCs w:val="28"/>
          <w14:ligatures w14:val="standardContextual"/>
        </w:rPr>
      </w:pPr>
      <w:r>
        <w:rPr>
          <w:noProof/>
          <w:szCs w:val="28"/>
          <w14:ligatures w14:val="standardContextual"/>
        </w:rPr>
        <w:t xml:space="preserve">Table 1. </w:t>
      </w:r>
      <w:bookmarkStart w:id="40" w:name="_Hlk195009804"/>
      <w:r w:rsidR="00777E42">
        <w:rPr>
          <w:noProof/>
          <w:szCs w:val="28"/>
          <w14:ligatures w14:val="standardContextual"/>
        </w:rPr>
        <w:t>Biomass, nitrogen percent, 8-week cumulative and total n</w:t>
      </w:r>
      <w:r>
        <w:rPr>
          <w:noProof/>
          <w:szCs w:val="28"/>
          <w14:ligatures w14:val="standardContextual"/>
        </w:rPr>
        <w:t>itrogen</w:t>
      </w:r>
      <w:r w:rsidR="00777E42">
        <w:rPr>
          <w:noProof/>
          <w:szCs w:val="28"/>
          <w14:ligatures w14:val="standardContextual"/>
        </w:rPr>
        <w:t xml:space="preserve"> release</w:t>
      </w:r>
      <w:r>
        <w:rPr>
          <w:noProof/>
          <w:szCs w:val="28"/>
          <w14:ligatures w14:val="standardContextual"/>
        </w:rPr>
        <w:t xml:space="preserve"> by cover crop species separated by year.</w:t>
      </w:r>
      <w:bookmarkEnd w:id="40"/>
    </w:p>
    <w:tbl>
      <w:tblPr>
        <w:tblW w:w="9540" w:type="dxa"/>
        <w:tblLook w:val="04A0" w:firstRow="1" w:lastRow="0" w:firstColumn="1" w:lastColumn="0" w:noHBand="0" w:noVBand="1"/>
      </w:tblPr>
      <w:tblGrid>
        <w:gridCol w:w="960"/>
        <w:gridCol w:w="2240"/>
        <w:gridCol w:w="1480"/>
        <w:gridCol w:w="1620"/>
        <w:gridCol w:w="1720"/>
        <w:gridCol w:w="1520"/>
      </w:tblGrid>
      <w:tr w:rsidR="002F13C8" w:rsidRPr="00D12DBA" w14:paraId="09D63B3B" w14:textId="77777777" w:rsidTr="002F13C8">
        <w:trPr>
          <w:trHeight w:val="864"/>
        </w:trPr>
        <w:tc>
          <w:tcPr>
            <w:tcW w:w="960" w:type="dxa"/>
            <w:vMerge w:val="restart"/>
            <w:tcBorders>
              <w:top w:val="nil"/>
              <w:left w:val="nil"/>
              <w:bottom w:val="single" w:sz="8" w:space="0" w:color="000000"/>
              <w:right w:val="single" w:sz="8" w:space="0" w:color="auto"/>
            </w:tcBorders>
            <w:shd w:val="clear" w:color="auto" w:fill="auto"/>
            <w:noWrap/>
            <w:vAlign w:val="center"/>
            <w:hideMark/>
          </w:tcPr>
          <w:p w14:paraId="7DFB5EA5" w14:textId="77777777" w:rsidR="002F13C8" w:rsidRPr="00D12DBA" w:rsidRDefault="002F13C8">
            <w:pPr>
              <w:jc w:val="center"/>
              <w:rPr>
                <w:color w:val="000000"/>
              </w:rPr>
            </w:pPr>
            <w:r w:rsidRPr="00D12DBA">
              <w:rPr>
                <w:color w:val="000000"/>
              </w:rPr>
              <w:t>Year</w:t>
            </w:r>
          </w:p>
        </w:tc>
        <w:tc>
          <w:tcPr>
            <w:tcW w:w="22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F6AC8D8" w14:textId="77777777" w:rsidR="002F13C8" w:rsidRPr="00D12DBA" w:rsidRDefault="002F13C8">
            <w:pPr>
              <w:jc w:val="center"/>
              <w:rPr>
                <w:color w:val="000000"/>
              </w:rPr>
            </w:pPr>
            <w:r w:rsidRPr="00D12DBA">
              <w:rPr>
                <w:color w:val="000000"/>
              </w:rPr>
              <w:t>Cover Crop Species</w:t>
            </w:r>
          </w:p>
        </w:tc>
        <w:tc>
          <w:tcPr>
            <w:tcW w:w="1480" w:type="dxa"/>
            <w:tcBorders>
              <w:top w:val="nil"/>
              <w:left w:val="nil"/>
              <w:bottom w:val="single" w:sz="4" w:space="0" w:color="auto"/>
              <w:right w:val="single" w:sz="8" w:space="0" w:color="auto"/>
            </w:tcBorders>
            <w:shd w:val="clear" w:color="auto" w:fill="auto"/>
            <w:noWrap/>
            <w:vAlign w:val="center"/>
            <w:hideMark/>
          </w:tcPr>
          <w:p w14:paraId="2EA7C556" w14:textId="77777777" w:rsidR="002F13C8" w:rsidRPr="00D12DBA" w:rsidRDefault="002F13C8">
            <w:pPr>
              <w:jc w:val="center"/>
              <w:rPr>
                <w:color w:val="000000"/>
              </w:rPr>
            </w:pPr>
            <w:r w:rsidRPr="00D12DBA">
              <w:rPr>
                <w:color w:val="000000"/>
              </w:rPr>
              <w:t>Biomass</w:t>
            </w:r>
          </w:p>
        </w:tc>
        <w:tc>
          <w:tcPr>
            <w:tcW w:w="1620" w:type="dxa"/>
            <w:tcBorders>
              <w:top w:val="nil"/>
              <w:left w:val="nil"/>
              <w:bottom w:val="single" w:sz="4" w:space="0" w:color="auto"/>
              <w:right w:val="nil"/>
            </w:tcBorders>
            <w:shd w:val="clear" w:color="auto" w:fill="auto"/>
            <w:noWrap/>
            <w:vAlign w:val="center"/>
            <w:hideMark/>
          </w:tcPr>
          <w:p w14:paraId="754A36ED" w14:textId="77777777" w:rsidR="002F13C8" w:rsidRPr="00D12DBA" w:rsidRDefault="002F13C8">
            <w:pPr>
              <w:jc w:val="center"/>
              <w:rPr>
                <w:color w:val="000000"/>
              </w:rPr>
            </w:pPr>
            <w:r w:rsidRPr="00D12DBA">
              <w:rPr>
                <w:color w:val="000000"/>
              </w:rPr>
              <w:t>Nitrogen</w:t>
            </w:r>
          </w:p>
        </w:tc>
        <w:tc>
          <w:tcPr>
            <w:tcW w:w="1720" w:type="dxa"/>
            <w:tcBorders>
              <w:top w:val="nil"/>
              <w:left w:val="single" w:sz="8" w:space="0" w:color="auto"/>
              <w:bottom w:val="single" w:sz="4" w:space="0" w:color="auto"/>
              <w:right w:val="nil"/>
            </w:tcBorders>
            <w:shd w:val="clear" w:color="auto" w:fill="auto"/>
            <w:vAlign w:val="center"/>
            <w:hideMark/>
          </w:tcPr>
          <w:p w14:paraId="3B2A1543" w14:textId="77777777" w:rsidR="002F13C8" w:rsidRPr="00D12DBA" w:rsidRDefault="002F13C8">
            <w:pPr>
              <w:jc w:val="center"/>
              <w:rPr>
                <w:color w:val="000000"/>
              </w:rPr>
            </w:pPr>
            <w:r w:rsidRPr="00D12DBA">
              <w:rPr>
                <w:color w:val="000000"/>
              </w:rPr>
              <w:t>8-week cumulative release</w:t>
            </w:r>
          </w:p>
        </w:tc>
        <w:tc>
          <w:tcPr>
            <w:tcW w:w="1520" w:type="dxa"/>
            <w:tcBorders>
              <w:top w:val="nil"/>
              <w:left w:val="single" w:sz="8" w:space="0" w:color="auto"/>
              <w:bottom w:val="single" w:sz="4" w:space="0" w:color="auto"/>
              <w:right w:val="nil"/>
            </w:tcBorders>
            <w:shd w:val="clear" w:color="auto" w:fill="auto"/>
            <w:noWrap/>
            <w:vAlign w:val="center"/>
            <w:hideMark/>
          </w:tcPr>
          <w:p w14:paraId="587E8C39" w14:textId="77777777" w:rsidR="002F13C8" w:rsidRPr="00D12DBA" w:rsidRDefault="002F13C8" w:rsidP="00D12DBA">
            <w:pPr>
              <w:jc w:val="center"/>
              <w:rPr>
                <w:color w:val="000000"/>
              </w:rPr>
            </w:pPr>
            <w:r w:rsidRPr="00D12DBA">
              <w:rPr>
                <w:color w:val="000000"/>
              </w:rPr>
              <w:t>Total N release</w:t>
            </w:r>
          </w:p>
        </w:tc>
      </w:tr>
      <w:tr w:rsidR="002F13C8" w:rsidRPr="00D12DBA" w14:paraId="32C46B6F" w14:textId="77777777" w:rsidTr="00E36457">
        <w:trPr>
          <w:trHeight w:val="336"/>
        </w:trPr>
        <w:tc>
          <w:tcPr>
            <w:tcW w:w="960" w:type="dxa"/>
            <w:vMerge/>
            <w:tcBorders>
              <w:top w:val="nil"/>
              <w:left w:val="nil"/>
              <w:bottom w:val="single" w:sz="8" w:space="0" w:color="000000"/>
              <w:right w:val="single" w:sz="8" w:space="0" w:color="auto"/>
            </w:tcBorders>
            <w:vAlign w:val="center"/>
            <w:hideMark/>
          </w:tcPr>
          <w:p w14:paraId="7AAAF5B6" w14:textId="77777777" w:rsidR="002F13C8" w:rsidRPr="00D12DBA" w:rsidRDefault="002F13C8">
            <w:pPr>
              <w:rPr>
                <w:color w:val="000000"/>
              </w:rPr>
            </w:pPr>
          </w:p>
        </w:tc>
        <w:tc>
          <w:tcPr>
            <w:tcW w:w="2240" w:type="dxa"/>
            <w:vMerge/>
            <w:tcBorders>
              <w:top w:val="nil"/>
              <w:left w:val="single" w:sz="8" w:space="0" w:color="auto"/>
              <w:bottom w:val="single" w:sz="8" w:space="0" w:color="000000"/>
              <w:right w:val="single" w:sz="8" w:space="0" w:color="auto"/>
            </w:tcBorders>
            <w:vAlign w:val="center"/>
            <w:hideMark/>
          </w:tcPr>
          <w:p w14:paraId="0BA13890" w14:textId="77777777" w:rsidR="002F13C8" w:rsidRPr="00D12DBA" w:rsidRDefault="002F13C8">
            <w:pPr>
              <w:rPr>
                <w:color w:val="000000"/>
              </w:rPr>
            </w:pPr>
          </w:p>
        </w:tc>
        <w:tc>
          <w:tcPr>
            <w:tcW w:w="1480" w:type="dxa"/>
            <w:tcBorders>
              <w:top w:val="nil"/>
              <w:left w:val="nil"/>
              <w:bottom w:val="single" w:sz="8" w:space="0" w:color="auto"/>
              <w:right w:val="single" w:sz="8" w:space="0" w:color="auto"/>
            </w:tcBorders>
            <w:shd w:val="clear" w:color="auto" w:fill="auto"/>
            <w:noWrap/>
            <w:vAlign w:val="center"/>
            <w:hideMark/>
          </w:tcPr>
          <w:p w14:paraId="4303A017" w14:textId="77777777" w:rsidR="002F13C8" w:rsidRPr="00D12DBA" w:rsidRDefault="002F13C8" w:rsidP="00E36457">
            <w:pPr>
              <w:jc w:val="center"/>
              <w:rPr>
                <w:color w:val="000000"/>
              </w:rPr>
            </w:pPr>
            <w:r w:rsidRPr="00D12DBA">
              <w:rPr>
                <w:color w:val="000000"/>
              </w:rPr>
              <w:t>kg ha</w:t>
            </w:r>
            <w:r w:rsidRPr="00D12DBA">
              <w:rPr>
                <w:color w:val="000000"/>
                <w:vertAlign w:val="superscript"/>
              </w:rPr>
              <w:t>-1</w:t>
            </w:r>
          </w:p>
        </w:tc>
        <w:tc>
          <w:tcPr>
            <w:tcW w:w="1620" w:type="dxa"/>
            <w:tcBorders>
              <w:top w:val="nil"/>
              <w:left w:val="nil"/>
              <w:bottom w:val="single" w:sz="8" w:space="0" w:color="auto"/>
              <w:right w:val="nil"/>
            </w:tcBorders>
            <w:shd w:val="clear" w:color="auto" w:fill="auto"/>
            <w:noWrap/>
            <w:vAlign w:val="center"/>
            <w:hideMark/>
          </w:tcPr>
          <w:p w14:paraId="7D215989" w14:textId="77777777" w:rsidR="002F13C8" w:rsidRPr="00D12DBA" w:rsidRDefault="002F13C8">
            <w:pPr>
              <w:jc w:val="center"/>
              <w:rPr>
                <w:color w:val="000000"/>
              </w:rPr>
            </w:pPr>
            <w:r w:rsidRPr="00D12DBA">
              <w:rPr>
                <w:color w:val="000000"/>
              </w:rPr>
              <w:t>% dry matter</w:t>
            </w:r>
          </w:p>
        </w:tc>
        <w:tc>
          <w:tcPr>
            <w:tcW w:w="3240" w:type="dxa"/>
            <w:gridSpan w:val="2"/>
            <w:tcBorders>
              <w:top w:val="single" w:sz="4" w:space="0" w:color="auto"/>
              <w:left w:val="single" w:sz="8" w:space="0" w:color="auto"/>
              <w:bottom w:val="single" w:sz="8" w:space="0" w:color="auto"/>
              <w:right w:val="nil"/>
            </w:tcBorders>
            <w:shd w:val="clear" w:color="auto" w:fill="auto"/>
            <w:noWrap/>
            <w:vAlign w:val="center"/>
            <w:hideMark/>
          </w:tcPr>
          <w:p w14:paraId="0374CC0B" w14:textId="77777777" w:rsidR="002F13C8" w:rsidRPr="00D12DBA" w:rsidRDefault="002F13C8">
            <w:pPr>
              <w:jc w:val="center"/>
              <w:rPr>
                <w:color w:val="000000"/>
              </w:rPr>
            </w:pPr>
            <w:r w:rsidRPr="00D12DBA">
              <w:rPr>
                <w:color w:val="000000"/>
              </w:rPr>
              <w:t>kg ha</w:t>
            </w:r>
            <w:r w:rsidRPr="00D12DBA">
              <w:rPr>
                <w:color w:val="000000"/>
                <w:vertAlign w:val="superscript"/>
              </w:rPr>
              <w:t>-1</w:t>
            </w:r>
          </w:p>
        </w:tc>
      </w:tr>
      <w:tr w:rsidR="002F13C8" w:rsidRPr="00D12DBA" w14:paraId="7799A3A2" w14:textId="77777777" w:rsidTr="002F13C8">
        <w:trPr>
          <w:trHeight w:val="288"/>
        </w:trPr>
        <w:tc>
          <w:tcPr>
            <w:tcW w:w="960" w:type="dxa"/>
            <w:vMerge w:val="restart"/>
            <w:tcBorders>
              <w:top w:val="nil"/>
              <w:left w:val="nil"/>
              <w:bottom w:val="single" w:sz="8" w:space="0" w:color="000000"/>
              <w:right w:val="single" w:sz="4" w:space="0" w:color="auto"/>
            </w:tcBorders>
            <w:shd w:val="clear" w:color="auto" w:fill="auto"/>
            <w:noWrap/>
            <w:vAlign w:val="center"/>
            <w:hideMark/>
          </w:tcPr>
          <w:p w14:paraId="345A45F6" w14:textId="77777777" w:rsidR="002F13C8" w:rsidRPr="00D12DBA" w:rsidRDefault="002F13C8">
            <w:pPr>
              <w:jc w:val="center"/>
              <w:rPr>
                <w:color w:val="000000"/>
              </w:rPr>
            </w:pPr>
            <w:r w:rsidRPr="00D12DBA">
              <w:rPr>
                <w:color w:val="000000"/>
              </w:rPr>
              <w:t>2023</w:t>
            </w:r>
          </w:p>
        </w:tc>
        <w:tc>
          <w:tcPr>
            <w:tcW w:w="2240" w:type="dxa"/>
            <w:tcBorders>
              <w:top w:val="nil"/>
              <w:left w:val="single" w:sz="4" w:space="0" w:color="auto"/>
              <w:bottom w:val="nil"/>
              <w:right w:val="single" w:sz="4" w:space="0" w:color="auto"/>
            </w:tcBorders>
            <w:shd w:val="clear" w:color="auto" w:fill="auto"/>
            <w:noWrap/>
            <w:vAlign w:val="bottom"/>
            <w:hideMark/>
          </w:tcPr>
          <w:p w14:paraId="063AB088" w14:textId="77777777" w:rsidR="002F13C8" w:rsidRPr="00D12DBA" w:rsidRDefault="002F13C8" w:rsidP="00D12DBA">
            <w:pPr>
              <w:jc w:val="center"/>
              <w:rPr>
                <w:color w:val="000000"/>
              </w:rPr>
            </w:pPr>
            <w:r w:rsidRPr="00D12DBA">
              <w:rPr>
                <w:color w:val="000000"/>
              </w:rPr>
              <w:t>Cereal Rye</w:t>
            </w:r>
          </w:p>
        </w:tc>
        <w:tc>
          <w:tcPr>
            <w:tcW w:w="1480" w:type="dxa"/>
            <w:tcBorders>
              <w:top w:val="nil"/>
              <w:left w:val="nil"/>
              <w:bottom w:val="nil"/>
              <w:right w:val="nil"/>
            </w:tcBorders>
            <w:shd w:val="clear" w:color="auto" w:fill="auto"/>
            <w:noWrap/>
            <w:vAlign w:val="bottom"/>
            <w:hideMark/>
          </w:tcPr>
          <w:p w14:paraId="149313CC" w14:textId="77777777" w:rsidR="002F13C8" w:rsidRPr="00D12DBA" w:rsidRDefault="002F13C8">
            <w:pPr>
              <w:jc w:val="center"/>
              <w:rPr>
                <w:color w:val="000000"/>
              </w:rPr>
            </w:pPr>
            <w:r w:rsidRPr="00D12DBA">
              <w:rPr>
                <w:color w:val="000000"/>
              </w:rPr>
              <w:t>6338</w:t>
            </w:r>
            <w:r w:rsidRPr="00D12DBA">
              <w:rPr>
                <w:b/>
                <w:bCs/>
                <w:color w:val="000000"/>
              </w:rPr>
              <w:t>a</w:t>
            </w:r>
          </w:p>
        </w:tc>
        <w:tc>
          <w:tcPr>
            <w:tcW w:w="1620" w:type="dxa"/>
            <w:tcBorders>
              <w:top w:val="nil"/>
              <w:left w:val="single" w:sz="4" w:space="0" w:color="auto"/>
              <w:bottom w:val="nil"/>
              <w:right w:val="nil"/>
            </w:tcBorders>
            <w:shd w:val="clear" w:color="auto" w:fill="auto"/>
            <w:noWrap/>
            <w:vAlign w:val="bottom"/>
            <w:hideMark/>
          </w:tcPr>
          <w:p w14:paraId="696B2A09" w14:textId="77777777" w:rsidR="002F13C8" w:rsidRPr="00D12DBA" w:rsidRDefault="002F13C8">
            <w:pPr>
              <w:jc w:val="center"/>
              <w:rPr>
                <w:color w:val="000000"/>
              </w:rPr>
            </w:pPr>
            <w:r w:rsidRPr="00D12DBA">
              <w:rPr>
                <w:color w:val="000000"/>
              </w:rPr>
              <w:t>2.02</w:t>
            </w:r>
            <w:r w:rsidRPr="00D12DBA">
              <w:rPr>
                <w:b/>
                <w:bCs/>
                <w:color w:val="000000"/>
              </w:rPr>
              <w:t>b</w:t>
            </w:r>
          </w:p>
        </w:tc>
        <w:tc>
          <w:tcPr>
            <w:tcW w:w="1720" w:type="dxa"/>
            <w:tcBorders>
              <w:top w:val="nil"/>
              <w:left w:val="single" w:sz="4" w:space="0" w:color="auto"/>
              <w:bottom w:val="nil"/>
              <w:right w:val="single" w:sz="4" w:space="0" w:color="auto"/>
            </w:tcBorders>
            <w:shd w:val="clear" w:color="auto" w:fill="auto"/>
            <w:noWrap/>
            <w:vAlign w:val="bottom"/>
            <w:hideMark/>
          </w:tcPr>
          <w:p w14:paraId="4F388C8F" w14:textId="77777777" w:rsidR="002F13C8" w:rsidRPr="00D12DBA" w:rsidRDefault="002F13C8">
            <w:pPr>
              <w:jc w:val="center"/>
              <w:rPr>
                <w:color w:val="000000"/>
              </w:rPr>
            </w:pPr>
            <w:r w:rsidRPr="00D12DBA">
              <w:rPr>
                <w:color w:val="000000"/>
              </w:rPr>
              <w:t>25.75</w:t>
            </w:r>
            <w:r w:rsidRPr="00D12DBA">
              <w:rPr>
                <w:b/>
                <w:bCs/>
                <w:color w:val="000000"/>
              </w:rPr>
              <w:t>a</w:t>
            </w:r>
          </w:p>
        </w:tc>
        <w:tc>
          <w:tcPr>
            <w:tcW w:w="1520" w:type="dxa"/>
            <w:tcBorders>
              <w:top w:val="nil"/>
              <w:left w:val="nil"/>
              <w:bottom w:val="nil"/>
              <w:right w:val="nil"/>
            </w:tcBorders>
            <w:shd w:val="clear" w:color="auto" w:fill="auto"/>
            <w:noWrap/>
            <w:vAlign w:val="bottom"/>
            <w:hideMark/>
          </w:tcPr>
          <w:p w14:paraId="47753C5D" w14:textId="77777777" w:rsidR="002F13C8" w:rsidRPr="00D12DBA" w:rsidRDefault="002F13C8">
            <w:pPr>
              <w:jc w:val="center"/>
              <w:rPr>
                <w:color w:val="000000"/>
              </w:rPr>
            </w:pPr>
            <w:r w:rsidRPr="00D12DBA">
              <w:rPr>
                <w:color w:val="000000"/>
              </w:rPr>
              <w:t>45.50</w:t>
            </w:r>
            <w:r w:rsidRPr="00D12DBA">
              <w:rPr>
                <w:b/>
                <w:bCs/>
                <w:color w:val="000000"/>
              </w:rPr>
              <w:t>a</w:t>
            </w:r>
          </w:p>
        </w:tc>
      </w:tr>
      <w:tr w:rsidR="002F13C8" w:rsidRPr="00D12DBA" w14:paraId="1B8F670F" w14:textId="77777777" w:rsidTr="002F13C8">
        <w:trPr>
          <w:trHeight w:val="288"/>
        </w:trPr>
        <w:tc>
          <w:tcPr>
            <w:tcW w:w="960" w:type="dxa"/>
            <w:vMerge/>
            <w:tcBorders>
              <w:top w:val="nil"/>
              <w:left w:val="nil"/>
              <w:bottom w:val="single" w:sz="8" w:space="0" w:color="000000"/>
              <w:right w:val="single" w:sz="4" w:space="0" w:color="auto"/>
            </w:tcBorders>
            <w:vAlign w:val="center"/>
            <w:hideMark/>
          </w:tcPr>
          <w:p w14:paraId="5C27749D" w14:textId="77777777" w:rsidR="002F13C8" w:rsidRPr="00D12DBA" w:rsidRDefault="002F13C8">
            <w:pPr>
              <w:rPr>
                <w:color w:val="000000"/>
              </w:rPr>
            </w:pPr>
          </w:p>
        </w:tc>
        <w:tc>
          <w:tcPr>
            <w:tcW w:w="2240" w:type="dxa"/>
            <w:tcBorders>
              <w:top w:val="nil"/>
              <w:left w:val="single" w:sz="4" w:space="0" w:color="auto"/>
              <w:bottom w:val="nil"/>
              <w:right w:val="single" w:sz="4" w:space="0" w:color="auto"/>
            </w:tcBorders>
            <w:shd w:val="clear" w:color="auto" w:fill="auto"/>
            <w:noWrap/>
            <w:vAlign w:val="bottom"/>
            <w:hideMark/>
          </w:tcPr>
          <w:p w14:paraId="70B18120" w14:textId="77777777" w:rsidR="002F13C8" w:rsidRPr="00D12DBA" w:rsidRDefault="002F13C8" w:rsidP="00D12DBA">
            <w:pPr>
              <w:jc w:val="center"/>
              <w:rPr>
                <w:color w:val="000000"/>
              </w:rPr>
            </w:pPr>
            <w:r w:rsidRPr="00D12DBA">
              <w:rPr>
                <w:color w:val="000000"/>
              </w:rPr>
              <w:t>Hairy Vetch</w:t>
            </w:r>
          </w:p>
        </w:tc>
        <w:tc>
          <w:tcPr>
            <w:tcW w:w="1480" w:type="dxa"/>
            <w:tcBorders>
              <w:top w:val="nil"/>
              <w:left w:val="nil"/>
              <w:bottom w:val="nil"/>
              <w:right w:val="single" w:sz="4" w:space="0" w:color="auto"/>
            </w:tcBorders>
            <w:shd w:val="clear" w:color="auto" w:fill="auto"/>
            <w:noWrap/>
            <w:vAlign w:val="bottom"/>
            <w:hideMark/>
          </w:tcPr>
          <w:p w14:paraId="64B39D83" w14:textId="77777777" w:rsidR="002F13C8" w:rsidRPr="00D12DBA" w:rsidRDefault="002F13C8">
            <w:pPr>
              <w:jc w:val="center"/>
              <w:rPr>
                <w:color w:val="000000"/>
              </w:rPr>
            </w:pPr>
            <w:r w:rsidRPr="00D12DBA">
              <w:rPr>
                <w:color w:val="000000"/>
              </w:rPr>
              <w:t>888</w:t>
            </w:r>
            <w:r w:rsidRPr="00D12DBA">
              <w:rPr>
                <w:b/>
                <w:bCs/>
                <w:color w:val="000000"/>
              </w:rPr>
              <w:t>b</w:t>
            </w:r>
          </w:p>
        </w:tc>
        <w:tc>
          <w:tcPr>
            <w:tcW w:w="1620" w:type="dxa"/>
            <w:tcBorders>
              <w:top w:val="nil"/>
              <w:left w:val="nil"/>
              <w:bottom w:val="nil"/>
              <w:right w:val="nil"/>
            </w:tcBorders>
            <w:shd w:val="clear" w:color="auto" w:fill="auto"/>
            <w:noWrap/>
            <w:vAlign w:val="bottom"/>
            <w:hideMark/>
          </w:tcPr>
          <w:p w14:paraId="59AE9237" w14:textId="77777777" w:rsidR="002F13C8" w:rsidRPr="00D12DBA" w:rsidRDefault="002F13C8">
            <w:pPr>
              <w:jc w:val="center"/>
              <w:rPr>
                <w:color w:val="000000"/>
              </w:rPr>
            </w:pPr>
            <w:r w:rsidRPr="00D12DBA">
              <w:rPr>
                <w:color w:val="000000"/>
              </w:rPr>
              <w:t>4.27</w:t>
            </w:r>
            <w:r w:rsidRPr="00D12DBA">
              <w:rPr>
                <w:b/>
                <w:bCs/>
                <w:color w:val="000000"/>
              </w:rPr>
              <w:t>a</w:t>
            </w:r>
          </w:p>
        </w:tc>
        <w:tc>
          <w:tcPr>
            <w:tcW w:w="1720" w:type="dxa"/>
            <w:tcBorders>
              <w:top w:val="nil"/>
              <w:left w:val="single" w:sz="4" w:space="0" w:color="auto"/>
              <w:bottom w:val="nil"/>
              <w:right w:val="single" w:sz="4" w:space="0" w:color="auto"/>
            </w:tcBorders>
            <w:shd w:val="clear" w:color="auto" w:fill="auto"/>
            <w:noWrap/>
            <w:vAlign w:val="bottom"/>
            <w:hideMark/>
          </w:tcPr>
          <w:p w14:paraId="192C29D7" w14:textId="77777777" w:rsidR="002F13C8" w:rsidRPr="00D12DBA" w:rsidRDefault="002F13C8">
            <w:pPr>
              <w:jc w:val="center"/>
              <w:rPr>
                <w:color w:val="000000"/>
              </w:rPr>
            </w:pPr>
            <w:r w:rsidRPr="00D12DBA">
              <w:rPr>
                <w:color w:val="000000"/>
              </w:rPr>
              <w:t>10.13</w:t>
            </w:r>
            <w:r w:rsidRPr="00D12DBA">
              <w:rPr>
                <w:b/>
                <w:bCs/>
                <w:color w:val="000000"/>
              </w:rPr>
              <w:t>a</w:t>
            </w:r>
          </w:p>
        </w:tc>
        <w:tc>
          <w:tcPr>
            <w:tcW w:w="1520" w:type="dxa"/>
            <w:tcBorders>
              <w:top w:val="nil"/>
              <w:left w:val="nil"/>
              <w:bottom w:val="nil"/>
              <w:right w:val="nil"/>
            </w:tcBorders>
            <w:shd w:val="clear" w:color="auto" w:fill="auto"/>
            <w:noWrap/>
            <w:vAlign w:val="bottom"/>
            <w:hideMark/>
          </w:tcPr>
          <w:p w14:paraId="4E4DD91F" w14:textId="77777777" w:rsidR="002F13C8" w:rsidRPr="00D12DBA" w:rsidRDefault="002F13C8">
            <w:pPr>
              <w:jc w:val="center"/>
              <w:rPr>
                <w:color w:val="000000"/>
              </w:rPr>
            </w:pPr>
            <w:r w:rsidRPr="00D12DBA">
              <w:rPr>
                <w:color w:val="000000"/>
              </w:rPr>
              <w:t>14.88</w:t>
            </w:r>
            <w:r w:rsidRPr="00D12DBA">
              <w:rPr>
                <w:b/>
                <w:bCs/>
                <w:color w:val="000000"/>
              </w:rPr>
              <w:t>b</w:t>
            </w:r>
          </w:p>
        </w:tc>
      </w:tr>
      <w:tr w:rsidR="002F13C8" w:rsidRPr="00D12DBA" w14:paraId="3D23FF3C" w14:textId="77777777" w:rsidTr="002F13C8">
        <w:trPr>
          <w:trHeight w:val="300"/>
        </w:trPr>
        <w:tc>
          <w:tcPr>
            <w:tcW w:w="960" w:type="dxa"/>
            <w:vMerge/>
            <w:tcBorders>
              <w:top w:val="nil"/>
              <w:left w:val="nil"/>
              <w:bottom w:val="single" w:sz="8" w:space="0" w:color="000000"/>
              <w:right w:val="single" w:sz="4" w:space="0" w:color="auto"/>
            </w:tcBorders>
            <w:vAlign w:val="center"/>
            <w:hideMark/>
          </w:tcPr>
          <w:p w14:paraId="67717A65" w14:textId="77777777" w:rsidR="002F13C8" w:rsidRPr="00D12DBA" w:rsidRDefault="002F13C8">
            <w:pPr>
              <w:rPr>
                <w:color w:val="000000"/>
              </w:rPr>
            </w:pPr>
          </w:p>
        </w:tc>
        <w:tc>
          <w:tcPr>
            <w:tcW w:w="2240" w:type="dxa"/>
            <w:tcBorders>
              <w:top w:val="nil"/>
              <w:left w:val="single" w:sz="4" w:space="0" w:color="auto"/>
              <w:bottom w:val="single" w:sz="8" w:space="0" w:color="auto"/>
              <w:right w:val="nil"/>
            </w:tcBorders>
            <w:shd w:val="clear" w:color="auto" w:fill="auto"/>
            <w:noWrap/>
            <w:vAlign w:val="bottom"/>
            <w:hideMark/>
          </w:tcPr>
          <w:p w14:paraId="07716DA1" w14:textId="77777777" w:rsidR="002F13C8" w:rsidRPr="00D12DBA" w:rsidRDefault="002F13C8" w:rsidP="00D12DBA">
            <w:pPr>
              <w:jc w:val="center"/>
              <w:rPr>
                <w:i/>
                <w:iCs/>
                <w:color w:val="000000"/>
              </w:rPr>
            </w:pPr>
            <w:r w:rsidRPr="00D12DBA">
              <w:rPr>
                <w:i/>
                <w:iCs/>
                <w:color w:val="000000"/>
              </w:rPr>
              <w:t>P-value</w:t>
            </w:r>
          </w:p>
        </w:tc>
        <w:tc>
          <w:tcPr>
            <w:tcW w:w="1480" w:type="dxa"/>
            <w:tcBorders>
              <w:top w:val="nil"/>
              <w:left w:val="single" w:sz="4" w:space="0" w:color="auto"/>
              <w:bottom w:val="single" w:sz="8" w:space="0" w:color="auto"/>
              <w:right w:val="nil"/>
            </w:tcBorders>
            <w:shd w:val="clear" w:color="auto" w:fill="auto"/>
            <w:noWrap/>
            <w:vAlign w:val="bottom"/>
            <w:hideMark/>
          </w:tcPr>
          <w:p w14:paraId="25877369" w14:textId="77777777" w:rsidR="002F13C8" w:rsidRPr="00D12DBA" w:rsidRDefault="002F13C8">
            <w:pPr>
              <w:jc w:val="center"/>
              <w:rPr>
                <w:i/>
                <w:iCs/>
                <w:color w:val="000000"/>
              </w:rPr>
            </w:pPr>
            <w:r w:rsidRPr="00D12DBA">
              <w:rPr>
                <w:i/>
                <w:iCs/>
                <w:color w:val="000000"/>
              </w:rPr>
              <w:t>0.0010</w:t>
            </w:r>
          </w:p>
        </w:tc>
        <w:tc>
          <w:tcPr>
            <w:tcW w:w="1620" w:type="dxa"/>
            <w:tcBorders>
              <w:top w:val="nil"/>
              <w:left w:val="single" w:sz="4" w:space="0" w:color="auto"/>
              <w:bottom w:val="single" w:sz="8" w:space="0" w:color="auto"/>
              <w:right w:val="nil"/>
            </w:tcBorders>
            <w:shd w:val="clear" w:color="auto" w:fill="auto"/>
            <w:noWrap/>
            <w:vAlign w:val="bottom"/>
            <w:hideMark/>
          </w:tcPr>
          <w:p w14:paraId="58634647" w14:textId="77777777" w:rsidR="002F13C8" w:rsidRPr="00D12DBA" w:rsidRDefault="002F13C8">
            <w:pPr>
              <w:jc w:val="center"/>
              <w:rPr>
                <w:i/>
                <w:iCs/>
                <w:color w:val="000000"/>
              </w:rPr>
            </w:pPr>
            <w:r w:rsidRPr="00D12DBA">
              <w:rPr>
                <w:i/>
                <w:iCs/>
                <w:color w:val="000000"/>
              </w:rPr>
              <w:t>0.0031</w:t>
            </w:r>
          </w:p>
        </w:tc>
        <w:tc>
          <w:tcPr>
            <w:tcW w:w="1720" w:type="dxa"/>
            <w:tcBorders>
              <w:top w:val="nil"/>
              <w:left w:val="single" w:sz="4" w:space="0" w:color="auto"/>
              <w:bottom w:val="single" w:sz="8" w:space="0" w:color="auto"/>
              <w:right w:val="single" w:sz="4" w:space="0" w:color="auto"/>
            </w:tcBorders>
            <w:shd w:val="clear" w:color="auto" w:fill="auto"/>
            <w:noWrap/>
            <w:vAlign w:val="bottom"/>
            <w:hideMark/>
          </w:tcPr>
          <w:p w14:paraId="738C0867" w14:textId="77777777" w:rsidR="002F13C8" w:rsidRPr="00D12DBA" w:rsidRDefault="002F13C8">
            <w:pPr>
              <w:jc w:val="center"/>
              <w:rPr>
                <w:i/>
                <w:iCs/>
                <w:color w:val="000000"/>
              </w:rPr>
            </w:pPr>
            <w:r w:rsidRPr="00D12DBA">
              <w:rPr>
                <w:i/>
                <w:iCs/>
                <w:color w:val="000000"/>
              </w:rPr>
              <w:t>0.0598</w:t>
            </w:r>
          </w:p>
        </w:tc>
        <w:tc>
          <w:tcPr>
            <w:tcW w:w="1520" w:type="dxa"/>
            <w:tcBorders>
              <w:top w:val="nil"/>
              <w:left w:val="nil"/>
              <w:bottom w:val="single" w:sz="8" w:space="0" w:color="auto"/>
              <w:right w:val="nil"/>
            </w:tcBorders>
            <w:shd w:val="clear" w:color="auto" w:fill="auto"/>
            <w:noWrap/>
            <w:vAlign w:val="bottom"/>
            <w:hideMark/>
          </w:tcPr>
          <w:p w14:paraId="5E2B45DC" w14:textId="77777777" w:rsidR="002F13C8" w:rsidRPr="00D12DBA" w:rsidRDefault="002F13C8">
            <w:pPr>
              <w:jc w:val="center"/>
              <w:rPr>
                <w:i/>
                <w:iCs/>
                <w:color w:val="000000"/>
              </w:rPr>
            </w:pPr>
            <w:r w:rsidRPr="00D12DBA">
              <w:rPr>
                <w:i/>
                <w:iCs/>
                <w:color w:val="000000"/>
              </w:rPr>
              <w:t>0.0257</w:t>
            </w:r>
          </w:p>
        </w:tc>
      </w:tr>
      <w:tr w:rsidR="002F13C8" w:rsidRPr="00D12DBA" w14:paraId="7A586F8A" w14:textId="77777777" w:rsidTr="002F13C8">
        <w:trPr>
          <w:trHeight w:val="288"/>
        </w:trPr>
        <w:tc>
          <w:tcPr>
            <w:tcW w:w="960" w:type="dxa"/>
            <w:vMerge w:val="restart"/>
            <w:tcBorders>
              <w:top w:val="nil"/>
              <w:left w:val="nil"/>
              <w:bottom w:val="nil"/>
              <w:right w:val="nil"/>
            </w:tcBorders>
            <w:shd w:val="clear" w:color="auto" w:fill="auto"/>
            <w:noWrap/>
            <w:vAlign w:val="center"/>
            <w:hideMark/>
          </w:tcPr>
          <w:p w14:paraId="2903735F" w14:textId="77777777" w:rsidR="002F13C8" w:rsidRPr="00D12DBA" w:rsidRDefault="002F13C8">
            <w:pPr>
              <w:jc w:val="center"/>
              <w:rPr>
                <w:color w:val="000000"/>
              </w:rPr>
            </w:pPr>
            <w:r w:rsidRPr="00D12DBA">
              <w:rPr>
                <w:color w:val="000000"/>
              </w:rPr>
              <w:t>2024</w:t>
            </w:r>
          </w:p>
        </w:tc>
        <w:tc>
          <w:tcPr>
            <w:tcW w:w="2240" w:type="dxa"/>
            <w:tcBorders>
              <w:top w:val="nil"/>
              <w:left w:val="single" w:sz="4" w:space="0" w:color="auto"/>
              <w:bottom w:val="nil"/>
              <w:right w:val="single" w:sz="4" w:space="0" w:color="auto"/>
            </w:tcBorders>
            <w:shd w:val="clear" w:color="auto" w:fill="auto"/>
            <w:noWrap/>
            <w:vAlign w:val="bottom"/>
            <w:hideMark/>
          </w:tcPr>
          <w:p w14:paraId="046DBD6F" w14:textId="77777777" w:rsidR="002F13C8" w:rsidRPr="00D12DBA" w:rsidRDefault="002F13C8" w:rsidP="00D12DBA">
            <w:pPr>
              <w:jc w:val="center"/>
              <w:rPr>
                <w:color w:val="000000"/>
              </w:rPr>
            </w:pPr>
            <w:r w:rsidRPr="00D12DBA">
              <w:rPr>
                <w:color w:val="000000"/>
              </w:rPr>
              <w:t>Fallow</w:t>
            </w:r>
          </w:p>
        </w:tc>
        <w:tc>
          <w:tcPr>
            <w:tcW w:w="1480" w:type="dxa"/>
            <w:tcBorders>
              <w:top w:val="nil"/>
              <w:left w:val="nil"/>
              <w:bottom w:val="nil"/>
              <w:right w:val="nil"/>
            </w:tcBorders>
            <w:shd w:val="clear" w:color="auto" w:fill="auto"/>
            <w:noWrap/>
            <w:vAlign w:val="bottom"/>
            <w:hideMark/>
          </w:tcPr>
          <w:p w14:paraId="01090E77" w14:textId="77777777" w:rsidR="002F13C8" w:rsidRPr="00D12DBA" w:rsidRDefault="002F13C8">
            <w:pPr>
              <w:jc w:val="center"/>
              <w:rPr>
                <w:color w:val="000000"/>
              </w:rPr>
            </w:pPr>
            <w:r w:rsidRPr="00D12DBA">
              <w:rPr>
                <w:color w:val="000000"/>
              </w:rPr>
              <w:t>2150</w:t>
            </w:r>
            <w:r w:rsidRPr="00D12DBA">
              <w:rPr>
                <w:b/>
                <w:bCs/>
                <w:color w:val="000000"/>
              </w:rPr>
              <w:t>C</w:t>
            </w:r>
          </w:p>
        </w:tc>
        <w:tc>
          <w:tcPr>
            <w:tcW w:w="1620" w:type="dxa"/>
            <w:tcBorders>
              <w:top w:val="nil"/>
              <w:left w:val="single" w:sz="4" w:space="0" w:color="auto"/>
              <w:bottom w:val="nil"/>
              <w:right w:val="nil"/>
            </w:tcBorders>
            <w:shd w:val="clear" w:color="auto" w:fill="auto"/>
            <w:noWrap/>
            <w:vAlign w:val="bottom"/>
            <w:hideMark/>
          </w:tcPr>
          <w:p w14:paraId="537C951D" w14:textId="77777777" w:rsidR="002F13C8" w:rsidRPr="00D12DBA" w:rsidRDefault="002F13C8">
            <w:pPr>
              <w:jc w:val="center"/>
              <w:rPr>
                <w:color w:val="000000"/>
              </w:rPr>
            </w:pPr>
            <w:r w:rsidRPr="00D12DBA">
              <w:rPr>
                <w:color w:val="000000"/>
              </w:rPr>
              <w:t>2.72</w:t>
            </w:r>
            <w:r w:rsidRPr="00D12DBA">
              <w:rPr>
                <w:b/>
                <w:bCs/>
                <w:color w:val="000000"/>
              </w:rPr>
              <w:t>C</w:t>
            </w:r>
          </w:p>
        </w:tc>
        <w:tc>
          <w:tcPr>
            <w:tcW w:w="1720" w:type="dxa"/>
            <w:tcBorders>
              <w:top w:val="nil"/>
              <w:left w:val="single" w:sz="4" w:space="0" w:color="auto"/>
              <w:bottom w:val="nil"/>
              <w:right w:val="single" w:sz="4" w:space="0" w:color="auto"/>
            </w:tcBorders>
            <w:shd w:val="clear" w:color="auto" w:fill="auto"/>
            <w:noWrap/>
            <w:vAlign w:val="bottom"/>
            <w:hideMark/>
          </w:tcPr>
          <w:p w14:paraId="6D7167FA" w14:textId="77777777" w:rsidR="002F13C8" w:rsidRPr="00D12DBA" w:rsidRDefault="002F13C8">
            <w:pPr>
              <w:jc w:val="center"/>
              <w:rPr>
                <w:color w:val="000000"/>
              </w:rPr>
            </w:pPr>
            <w:r w:rsidRPr="00D12DBA">
              <w:rPr>
                <w:color w:val="000000"/>
              </w:rPr>
              <w:t>17.75</w:t>
            </w:r>
            <w:r w:rsidRPr="00D12DBA">
              <w:rPr>
                <w:b/>
                <w:bCs/>
                <w:color w:val="000000"/>
              </w:rPr>
              <w:t>C</w:t>
            </w:r>
          </w:p>
        </w:tc>
        <w:tc>
          <w:tcPr>
            <w:tcW w:w="1520" w:type="dxa"/>
            <w:tcBorders>
              <w:top w:val="nil"/>
              <w:left w:val="nil"/>
              <w:bottom w:val="nil"/>
              <w:right w:val="nil"/>
            </w:tcBorders>
            <w:shd w:val="clear" w:color="auto" w:fill="auto"/>
            <w:noWrap/>
            <w:vAlign w:val="bottom"/>
            <w:hideMark/>
          </w:tcPr>
          <w:p w14:paraId="32AEE373" w14:textId="77777777" w:rsidR="002F13C8" w:rsidRPr="00D12DBA" w:rsidRDefault="002F13C8">
            <w:pPr>
              <w:jc w:val="center"/>
              <w:rPr>
                <w:color w:val="000000"/>
              </w:rPr>
            </w:pPr>
            <w:r w:rsidRPr="00D12DBA">
              <w:rPr>
                <w:color w:val="000000"/>
              </w:rPr>
              <w:t>21.25</w:t>
            </w:r>
            <w:r w:rsidRPr="00D12DBA">
              <w:rPr>
                <w:b/>
                <w:bCs/>
                <w:color w:val="000000"/>
              </w:rPr>
              <w:t>C</w:t>
            </w:r>
          </w:p>
        </w:tc>
      </w:tr>
      <w:tr w:rsidR="002F13C8" w:rsidRPr="00D12DBA" w14:paraId="20A2E805" w14:textId="77777777" w:rsidTr="002F13C8">
        <w:trPr>
          <w:trHeight w:val="288"/>
        </w:trPr>
        <w:tc>
          <w:tcPr>
            <w:tcW w:w="960" w:type="dxa"/>
            <w:vMerge/>
            <w:tcBorders>
              <w:top w:val="nil"/>
              <w:left w:val="nil"/>
              <w:bottom w:val="nil"/>
              <w:right w:val="nil"/>
            </w:tcBorders>
            <w:vAlign w:val="center"/>
            <w:hideMark/>
          </w:tcPr>
          <w:p w14:paraId="2DBC0D40" w14:textId="77777777" w:rsidR="002F13C8" w:rsidRPr="00D12DBA" w:rsidRDefault="002F13C8">
            <w:pPr>
              <w:rPr>
                <w:color w:val="000000"/>
              </w:rPr>
            </w:pPr>
          </w:p>
        </w:tc>
        <w:tc>
          <w:tcPr>
            <w:tcW w:w="2240" w:type="dxa"/>
            <w:tcBorders>
              <w:top w:val="nil"/>
              <w:left w:val="single" w:sz="4" w:space="0" w:color="auto"/>
              <w:bottom w:val="nil"/>
              <w:right w:val="single" w:sz="4" w:space="0" w:color="auto"/>
            </w:tcBorders>
            <w:shd w:val="clear" w:color="auto" w:fill="auto"/>
            <w:noWrap/>
            <w:vAlign w:val="bottom"/>
            <w:hideMark/>
          </w:tcPr>
          <w:p w14:paraId="22551D81" w14:textId="77777777" w:rsidR="002F13C8" w:rsidRPr="00D12DBA" w:rsidRDefault="002F13C8" w:rsidP="00D12DBA">
            <w:pPr>
              <w:jc w:val="center"/>
              <w:rPr>
                <w:color w:val="000000"/>
              </w:rPr>
            </w:pPr>
            <w:r w:rsidRPr="00D12DBA">
              <w:rPr>
                <w:color w:val="000000"/>
              </w:rPr>
              <w:t>Cereal Rye</w:t>
            </w:r>
          </w:p>
        </w:tc>
        <w:tc>
          <w:tcPr>
            <w:tcW w:w="1480" w:type="dxa"/>
            <w:tcBorders>
              <w:top w:val="nil"/>
              <w:left w:val="nil"/>
              <w:bottom w:val="nil"/>
              <w:right w:val="nil"/>
            </w:tcBorders>
            <w:shd w:val="clear" w:color="auto" w:fill="auto"/>
            <w:noWrap/>
            <w:vAlign w:val="bottom"/>
            <w:hideMark/>
          </w:tcPr>
          <w:p w14:paraId="36599BC1" w14:textId="77777777" w:rsidR="002F13C8" w:rsidRPr="00D12DBA" w:rsidRDefault="002F13C8">
            <w:pPr>
              <w:jc w:val="center"/>
              <w:rPr>
                <w:color w:val="000000"/>
              </w:rPr>
            </w:pPr>
            <w:r w:rsidRPr="00D12DBA">
              <w:rPr>
                <w:color w:val="000000"/>
              </w:rPr>
              <w:t>8450</w:t>
            </w:r>
            <w:r w:rsidRPr="00D12DBA">
              <w:rPr>
                <w:b/>
                <w:bCs/>
                <w:color w:val="000000"/>
              </w:rPr>
              <w:t>A</w:t>
            </w:r>
          </w:p>
        </w:tc>
        <w:tc>
          <w:tcPr>
            <w:tcW w:w="1620" w:type="dxa"/>
            <w:tcBorders>
              <w:top w:val="nil"/>
              <w:left w:val="single" w:sz="4" w:space="0" w:color="auto"/>
              <w:bottom w:val="nil"/>
              <w:right w:val="nil"/>
            </w:tcBorders>
            <w:shd w:val="clear" w:color="auto" w:fill="auto"/>
            <w:noWrap/>
            <w:vAlign w:val="bottom"/>
            <w:hideMark/>
          </w:tcPr>
          <w:p w14:paraId="26B9164E" w14:textId="77777777" w:rsidR="002F13C8" w:rsidRPr="00D12DBA" w:rsidRDefault="002F13C8">
            <w:pPr>
              <w:jc w:val="center"/>
              <w:rPr>
                <w:color w:val="000000"/>
              </w:rPr>
            </w:pPr>
            <w:r w:rsidRPr="00D12DBA">
              <w:rPr>
                <w:color w:val="000000"/>
              </w:rPr>
              <w:t>1.66</w:t>
            </w:r>
            <w:r w:rsidRPr="00D12DBA">
              <w:rPr>
                <w:b/>
                <w:bCs/>
                <w:color w:val="000000"/>
              </w:rPr>
              <w:t>D</w:t>
            </w:r>
          </w:p>
        </w:tc>
        <w:tc>
          <w:tcPr>
            <w:tcW w:w="1720" w:type="dxa"/>
            <w:tcBorders>
              <w:top w:val="nil"/>
              <w:left w:val="single" w:sz="4" w:space="0" w:color="auto"/>
              <w:bottom w:val="nil"/>
              <w:right w:val="single" w:sz="4" w:space="0" w:color="auto"/>
            </w:tcBorders>
            <w:shd w:val="clear" w:color="auto" w:fill="auto"/>
            <w:noWrap/>
            <w:vAlign w:val="bottom"/>
            <w:hideMark/>
          </w:tcPr>
          <w:p w14:paraId="259963FD" w14:textId="77777777" w:rsidR="002F13C8" w:rsidRPr="00D12DBA" w:rsidRDefault="002F13C8">
            <w:pPr>
              <w:jc w:val="center"/>
              <w:rPr>
                <w:color w:val="000000"/>
              </w:rPr>
            </w:pPr>
            <w:r w:rsidRPr="00D12DBA">
              <w:rPr>
                <w:color w:val="000000"/>
              </w:rPr>
              <w:t>21.50</w:t>
            </w:r>
            <w:r w:rsidRPr="00D12DBA">
              <w:rPr>
                <w:b/>
                <w:bCs/>
                <w:color w:val="000000"/>
              </w:rPr>
              <w:t>C</w:t>
            </w:r>
          </w:p>
        </w:tc>
        <w:tc>
          <w:tcPr>
            <w:tcW w:w="1520" w:type="dxa"/>
            <w:tcBorders>
              <w:top w:val="nil"/>
              <w:left w:val="nil"/>
              <w:bottom w:val="nil"/>
              <w:right w:val="nil"/>
            </w:tcBorders>
            <w:shd w:val="clear" w:color="auto" w:fill="auto"/>
            <w:noWrap/>
            <w:vAlign w:val="bottom"/>
            <w:hideMark/>
          </w:tcPr>
          <w:p w14:paraId="089D967D" w14:textId="77777777" w:rsidR="002F13C8" w:rsidRPr="00D12DBA" w:rsidRDefault="002F13C8">
            <w:pPr>
              <w:jc w:val="center"/>
              <w:rPr>
                <w:color w:val="000000"/>
              </w:rPr>
            </w:pPr>
            <w:r w:rsidRPr="00D12DBA">
              <w:rPr>
                <w:color w:val="000000"/>
              </w:rPr>
              <w:t>39.13</w:t>
            </w:r>
            <w:r w:rsidRPr="00D12DBA">
              <w:rPr>
                <w:b/>
                <w:bCs/>
                <w:color w:val="000000"/>
              </w:rPr>
              <w:t>B</w:t>
            </w:r>
          </w:p>
        </w:tc>
      </w:tr>
      <w:tr w:rsidR="002F13C8" w:rsidRPr="00D12DBA" w14:paraId="0F3ED10C" w14:textId="77777777" w:rsidTr="002F13C8">
        <w:trPr>
          <w:trHeight w:val="288"/>
        </w:trPr>
        <w:tc>
          <w:tcPr>
            <w:tcW w:w="960" w:type="dxa"/>
            <w:vMerge/>
            <w:tcBorders>
              <w:top w:val="nil"/>
              <w:left w:val="nil"/>
              <w:bottom w:val="nil"/>
              <w:right w:val="nil"/>
            </w:tcBorders>
            <w:vAlign w:val="center"/>
            <w:hideMark/>
          </w:tcPr>
          <w:p w14:paraId="24ABBA8B" w14:textId="77777777" w:rsidR="002F13C8" w:rsidRPr="00D12DBA" w:rsidRDefault="002F13C8">
            <w:pPr>
              <w:rPr>
                <w:color w:val="000000"/>
              </w:rPr>
            </w:pPr>
          </w:p>
        </w:tc>
        <w:tc>
          <w:tcPr>
            <w:tcW w:w="2240" w:type="dxa"/>
            <w:tcBorders>
              <w:top w:val="nil"/>
              <w:left w:val="single" w:sz="4" w:space="0" w:color="auto"/>
              <w:bottom w:val="nil"/>
              <w:right w:val="single" w:sz="4" w:space="0" w:color="auto"/>
            </w:tcBorders>
            <w:shd w:val="clear" w:color="auto" w:fill="auto"/>
            <w:noWrap/>
            <w:vAlign w:val="bottom"/>
            <w:hideMark/>
          </w:tcPr>
          <w:p w14:paraId="6B203F35" w14:textId="77777777" w:rsidR="002F13C8" w:rsidRPr="00D12DBA" w:rsidRDefault="002F13C8" w:rsidP="00D12DBA">
            <w:pPr>
              <w:jc w:val="center"/>
              <w:rPr>
                <w:color w:val="000000"/>
              </w:rPr>
            </w:pPr>
            <w:r w:rsidRPr="00D12DBA">
              <w:rPr>
                <w:color w:val="000000"/>
              </w:rPr>
              <w:t>Crimson Clover</w:t>
            </w:r>
          </w:p>
        </w:tc>
        <w:tc>
          <w:tcPr>
            <w:tcW w:w="1480" w:type="dxa"/>
            <w:tcBorders>
              <w:top w:val="nil"/>
              <w:left w:val="nil"/>
              <w:bottom w:val="nil"/>
              <w:right w:val="nil"/>
            </w:tcBorders>
            <w:shd w:val="clear" w:color="auto" w:fill="auto"/>
            <w:noWrap/>
            <w:vAlign w:val="bottom"/>
            <w:hideMark/>
          </w:tcPr>
          <w:p w14:paraId="4F25D6DA" w14:textId="77777777" w:rsidR="002F13C8" w:rsidRPr="00D12DBA" w:rsidRDefault="002F13C8">
            <w:pPr>
              <w:jc w:val="center"/>
              <w:rPr>
                <w:color w:val="000000"/>
              </w:rPr>
            </w:pPr>
            <w:r w:rsidRPr="00D12DBA">
              <w:rPr>
                <w:color w:val="000000"/>
              </w:rPr>
              <w:t>4100</w:t>
            </w:r>
            <w:r w:rsidRPr="00D12DBA">
              <w:rPr>
                <w:b/>
                <w:bCs/>
                <w:color w:val="000000"/>
              </w:rPr>
              <w:t>B</w:t>
            </w:r>
          </w:p>
        </w:tc>
        <w:tc>
          <w:tcPr>
            <w:tcW w:w="1620" w:type="dxa"/>
            <w:tcBorders>
              <w:top w:val="nil"/>
              <w:left w:val="single" w:sz="4" w:space="0" w:color="auto"/>
              <w:bottom w:val="nil"/>
              <w:right w:val="nil"/>
            </w:tcBorders>
            <w:shd w:val="clear" w:color="auto" w:fill="auto"/>
            <w:noWrap/>
            <w:vAlign w:val="bottom"/>
            <w:hideMark/>
          </w:tcPr>
          <w:p w14:paraId="79B05A1C" w14:textId="77777777" w:rsidR="002F13C8" w:rsidRPr="00D12DBA" w:rsidRDefault="002F13C8">
            <w:pPr>
              <w:jc w:val="center"/>
              <w:rPr>
                <w:color w:val="000000"/>
              </w:rPr>
            </w:pPr>
            <w:r w:rsidRPr="00D12DBA">
              <w:rPr>
                <w:color w:val="000000"/>
              </w:rPr>
              <w:t>3.27</w:t>
            </w:r>
            <w:r w:rsidRPr="00D12DBA">
              <w:rPr>
                <w:b/>
                <w:bCs/>
                <w:color w:val="000000"/>
              </w:rPr>
              <w:t>B</w:t>
            </w:r>
          </w:p>
        </w:tc>
        <w:tc>
          <w:tcPr>
            <w:tcW w:w="1720" w:type="dxa"/>
            <w:tcBorders>
              <w:top w:val="nil"/>
              <w:left w:val="single" w:sz="4" w:space="0" w:color="auto"/>
              <w:bottom w:val="nil"/>
              <w:right w:val="single" w:sz="4" w:space="0" w:color="auto"/>
            </w:tcBorders>
            <w:shd w:val="clear" w:color="auto" w:fill="auto"/>
            <w:noWrap/>
            <w:vAlign w:val="bottom"/>
            <w:hideMark/>
          </w:tcPr>
          <w:p w14:paraId="7D7DDA1B" w14:textId="77777777" w:rsidR="002F13C8" w:rsidRPr="00D12DBA" w:rsidRDefault="002F13C8">
            <w:pPr>
              <w:jc w:val="center"/>
              <w:rPr>
                <w:color w:val="000000"/>
              </w:rPr>
            </w:pPr>
            <w:r w:rsidRPr="00D12DBA">
              <w:rPr>
                <w:color w:val="000000"/>
              </w:rPr>
              <w:t>42.63</w:t>
            </w:r>
            <w:r w:rsidRPr="00D12DBA">
              <w:rPr>
                <w:b/>
                <w:bCs/>
                <w:color w:val="000000"/>
              </w:rPr>
              <w:t>B</w:t>
            </w:r>
          </w:p>
        </w:tc>
        <w:tc>
          <w:tcPr>
            <w:tcW w:w="1520" w:type="dxa"/>
            <w:tcBorders>
              <w:top w:val="nil"/>
              <w:left w:val="nil"/>
              <w:bottom w:val="nil"/>
              <w:right w:val="nil"/>
            </w:tcBorders>
            <w:shd w:val="clear" w:color="auto" w:fill="auto"/>
            <w:noWrap/>
            <w:vAlign w:val="bottom"/>
            <w:hideMark/>
          </w:tcPr>
          <w:p w14:paraId="60253A6A" w14:textId="77777777" w:rsidR="002F13C8" w:rsidRPr="00D12DBA" w:rsidRDefault="002F13C8">
            <w:pPr>
              <w:jc w:val="center"/>
              <w:rPr>
                <w:color w:val="000000"/>
              </w:rPr>
            </w:pPr>
            <w:r w:rsidRPr="00D12DBA">
              <w:rPr>
                <w:color w:val="000000"/>
              </w:rPr>
              <w:t>49.88</w:t>
            </w:r>
            <w:r w:rsidRPr="00D12DBA">
              <w:rPr>
                <w:b/>
                <w:bCs/>
                <w:color w:val="000000"/>
              </w:rPr>
              <w:t>B</w:t>
            </w:r>
          </w:p>
        </w:tc>
      </w:tr>
      <w:tr w:rsidR="002F13C8" w:rsidRPr="00D12DBA" w14:paraId="7E19BA4E" w14:textId="77777777" w:rsidTr="002F13C8">
        <w:trPr>
          <w:trHeight w:val="288"/>
        </w:trPr>
        <w:tc>
          <w:tcPr>
            <w:tcW w:w="960" w:type="dxa"/>
            <w:vMerge/>
            <w:tcBorders>
              <w:top w:val="nil"/>
              <w:left w:val="nil"/>
              <w:bottom w:val="nil"/>
              <w:right w:val="nil"/>
            </w:tcBorders>
            <w:vAlign w:val="center"/>
            <w:hideMark/>
          </w:tcPr>
          <w:p w14:paraId="77E67958" w14:textId="77777777" w:rsidR="002F13C8" w:rsidRPr="00D12DBA" w:rsidRDefault="002F13C8">
            <w:pPr>
              <w:rPr>
                <w:color w:val="000000"/>
              </w:rPr>
            </w:pPr>
          </w:p>
        </w:tc>
        <w:tc>
          <w:tcPr>
            <w:tcW w:w="2240" w:type="dxa"/>
            <w:tcBorders>
              <w:top w:val="nil"/>
              <w:left w:val="single" w:sz="4" w:space="0" w:color="auto"/>
              <w:bottom w:val="nil"/>
              <w:right w:val="single" w:sz="4" w:space="0" w:color="auto"/>
            </w:tcBorders>
            <w:shd w:val="clear" w:color="auto" w:fill="auto"/>
            <w:noWrap/>
            <w:vAlign w:val="bottom"/>
            <w:hideMark/>
          </w:tcPr>
          <w:p w14:paraId="5FCA29D1" w14:textId="77777777" w:rsidR="002F13C8" w:rsidRPr="00D12DBA" w:rsidRDefault="002F13C8" w:rsidP="00D12DBA">
            <w:pPr>
              <w:jc w:val="center"/>
              <w:rPr>
                <w:color w:val="000000"/>
              </w:rPr>
            </w:pPr>
            <w:r w:rsidRPr="00D12DBA">
              <w:rPr>
                <w:color w:val="000000"/>
              </w:rPr>
              <w:t>Hairy Vetch</w:t>
            </w:r>
          </w:p>
        </w:tc>
        <w:tc>
          <w:tcPr>
            <w:tcW w:w="1480" w:type="dxa"/>
            <w:tcBorders>
              <w:top w:val="nil"/>
              <w:left w:val="nil"/>
              <w:bottom w:val="nil"/>
              <w:right w:val="nil"/>
            </w:tcBorders>
            <w:shd w:val="clear" w:color="auto" w:fill="auto"/>
            <w:noWrap/>
            <w:vAlign w:val="bottom"/>
            <w:hideMark/>
          </w:tcPr>
          <w:p w14:paraId="69B312B6" w14:textId="77777777" w:rsidR="002F13C8" w:rsidRPr="00D12DBA" w:rsidRDefault="002F13C8">
            <w:pPr>
              <w:jc w:val="center"/>
              <w:rPr>
                <w:color w:val="000000"/>
              </w:rPr>
            </w:pPr>
            <w:r w:rsidRPr="00D12DBA">
              <w:rPr>
                <w:color w:val="000000"/>
              </w:rPr>
              <w:t>3950</w:t>
            </w:r>
            <w:r w:rsidRPr="00D12DBA">
              <w:rPr>
                <w:b/>
                <w:bCs/>
                <w:color w:val="000000"/>
              </w:rPr>
              <w:t>BC</w:t>
            </w:r>
          </w:p>
        </w:tc>
        <w:tc>
          <w:tcPr>
            <w:tcW w:w="1620" w:type="dxa"/>
            <w:tcBorders>
              <w:top w:val="nil"/>
              <w:left w:val="single" w:sz="4" w:space="0" w:color="auto"/>
              <w:bottom w:val="nil"/>
              <w:right w:val="nil"/>
            </w:tcBorders>
            <w:shd w:val="clear" w:color="auto" w:fill="auto"/>
            <w:noWrap/>
            <w:vAlign w:val="bottom"/>
            <w:hideMark/>
          </w:tcPr>
          <w:p w14:paraId="15E1BD84" w14:textId="77777777" w:rsidR="002F13C8" w:rsidRPr="00D12DBA" w:rsidRDefault="002F13C8">
            <w:pPr>
              <w:jc w:val="center"/>
              <w:rPr>
                <w:color w:val="000000"/>
              </w:rPr>
            </w:pPr>
            <w:r w:rsidRPr="00D12DBA">
              <w:rPr>
                <w:color w:val="000000"/>
              </w:rPr>
              <w:t>5.07</w:t>
            </w:r>
            <w:r w:rsidRPr="00D12DBA">
              <w:rPr>
                <w:b/>
                <w:bCs/>
                <w:color w:val="000000"/>
              </w:rPr>
              <w:t>A</w:t>
            </w:r>
          </w:p>
        </w:tc>
        <w:tc>
          <w:tcPr>
            <w:tcW w:w="1720" w:type="dxa"/>
            <w:tcBorders>
              <w:top w:val="nil"/>
              <w:left w:val="single" w:sz="4" w:space="0" w:color="auto"/>
              <w:bottom w:val="nil"/>
              <w:right w:val="single" w:sz="4" w:space="0" w:color="auto"/>
            </w:tcBorders>
            <w:shd w:val="clear" w:color="auto" w:fill="auto"/>
            <w:noWrap/>
            <w:vAlign w:val="bottom"/>
            <w:hideMark/>
          </w:tcPr>
          <w:p w14:paraId="10302BED" w14:textId="77777777" w:rsidR="002F13C8" w:rsidRPr="00D12DBA" w:rsidRDefault="002F13C8">
            <w:pPr>
              <w:jc w:val="center"/>
              <w:rPr>
                <w:color w:val="000000"/>
              </w:rPr>
            </w:pPr>
            <w:r w:rsidRPr="00D12DBA">
              <w:rPr>
                <w:color w:val="000000"/>
              </w:rPr>
              <w:t>62.38</w:t>
            </w:r>
            <w:r w:rsidRPr="00D12DBA">
              <w:rPr>
                <w:b/>
                <w:bCs/>
                <w:color w:val="000000"/>
              </w:rPr>
              <w:t>A</w:t>
            </w:r>
          </w:p>
        </w:tc>
        <w:tc>
          <w:tcPr>
            <w:tcW w:w="1520" w:type="dxa"/>
            <w:tcBorders>
              <w:top w:val="nil"/>
              <w:left w:val="nil"/>
              <w:bottom w:val="nil"/>
              <w:right w:val="nil"/>
            </w:tcBorders>
            <w:shd w:val="clear" w:color="auto" w:fill="auto"/>
            <w:noWrap/>
            <w:vAlign w:val="bottom"/>
            <w:hideMark/>
          </w:tcPr>
          <w:p w14:paraId="2311D4B4" w14:textId="77777777" w:rsidR="002F13C8" w:rsidRPr="00D12DBA" w:rsidRDefault="002F13C8">
            <w:pPr>
              <w:jc w:val="center"/>
              <w:rPr>
                <w:color w:val="000000"/>
              </w:rPr>
            </w:pPr>
            <w:r w:rsidRPr="00D12DBA">
              <w:rPr>
                <w:color w:val="000000"/>
              </w:rPr>
              <w:t>73.63</w:t>
            </w:r>
            <w:r w:rsidRPr="00D12DBA">
              <w:rPr>
                <w:b/>
                <w:bCs/>
                <w:color w:val="000000"/>
              </w:rPr>
              <w:t>A</w:t>
            </w:r>
          </w:p>
        </w:tc>
      </w:tr>
      <w:tr w:rsidR="002F13C8" w:rsidRPr="00D12DBA" w14:paraId="0E574DEE" w14:textId="77777777" w:rsidTr="002F13C8">
        <w:trPr>
          <w:trHeight w:val="288"/>
        </w:trPr>
        <w:tc>
          <w:tcPr>
            <w:tcW w:w="960" w:type="dxa"/>
            <w:vMerge/>
            <w:tcBorders>
              <w:top w:val="nil"/>
              <w:left w:val="nil"/>
              <w:bottom w:val="nil"/>
              <w:right w:val="nil"/>
            </w:tcBorders>
            <w:vAlign w:val="center"/>
            <w:hideMark/>
          </w:tcPr>
          <w:p w14:paraId="3C0D3607" w14:textId="77777777" w:rsidR="002F13C8" w:rsidRPr="00D12DBA" w:rsidRDefault="002F13C8">
            <w:pPr>
              <w:rPr>
                <w:color w:val="000000"/>
              </w:rPr>
            </w:pPr>
          </w:p>
        </w:tc>
        <w:tc>
          <w:tcPr>
            <w:tcW w:w="2240" w:type="dxa"/>
            <w:tcBorders>
              <w:top w:val="nil"/>
              <w:left w:val="single" w:sz="4" w:space="0" w:color="auto"/>
              <w:bottom w:val="nil"/>
              <w:right w:val="single" w:sz="4" w:space="0" w:color="auto"/>
            </w:tcBorders>
            <w:shd w:val="clear" w:color="auto" w:fill="auto"/>
            <w:noWrap/>
            <w:vAlign w:val="bottom"/>
            <w:hideMark/>
          </w:tcPr>
          <w:p w14:paraId="61DE6F66" w14:textId="77777777" w:rsidR="002F13C8" w:rsidRPr="00D12DBA" w:rsidRDefault="002F13C8" w:rsidP="00D12DBA">
            <w:pPr>
              <w:jc w:val="center"/>
              <w:rPr>
                <w:i/>
                <w:iCs/>
                <w:color w:val="000000"/>
              </w:rPr>
            </w:pPr>
            <w:r w:rsidRPr="00D12DBA">
              <w:rPr>
                <w:i/>
                <w:iCs/>
                <w:color w:val="000000"/>
              </w:rPr>
              <w:t>P-value</w:t>
            </w:r>
          </w:p>
        </w:tc>
        <w:tc>
          <w:tcPr>
            <w:tcW w:w="1480" w:type="dxa"/>
            <w:tcBorders>
              <w:top w:val="nil"/>
              <w:left w:val="nil"/>
              <w:bottom w:val="nil"/>
              <w:right w:val="single" w:sz="4" w:space="0" w:color="auto"/>
            </w:tcBorders>
            <w:shd w:val="clear" w:color="auto" w:fill="auto"/>
            <w:noWrap/>
            <w:vAlign w:val="bottom"/>
            <w:hideMark/>
          </w:tcPr>
          <w:p w14:paraId="2D64997C" w14:textId="77777777" w:rsidR="002F13C8" w:rsidRPr="00D12DBA" w:rsidRDefault="002F13C8">
            <w:pPr>
              <w:jc w:val="center"/>
              <w:rPr>
                <w:color w:val="000000"/>
              </w:rPr>
            </w:pPr>
            <w:r w:rsidRPr="00D12DBA">
              <w:rPr>
                <w:color w:val="000000"/>
              </w:rPr>
              <w:t>&lt;0.0001</w:t>
            </w:r>
          </w:p>
        </w:tc>
        <w:tc>
          <w:tcPr>
            <w:tcW w:w="1620" w:type="dxa"/>
            <w:tcBorders>
              <w:top w:val="nil"/>
              <w:left w:val="nil"/>
              <w:bottom w:val="nil"/>
              <w:right w:val="nil"/>
            </w:tcBorders>
            <w:shd w:val="clear" w:color="auto" w:fill="auto"/>
            <w:noWrap/>
            <w:vAlign w:val="bottom"/>
            <w:hideMark/>
          </w:tcPr>
          <w:p w14:paraId="07610670" w14:textId="77777777" w:rsidR="002F13C8" w:rsidRPr="00D12DBA" w:rsidRDefault="002F13C8">
            <w:pPr>
              <w:jc w:val="center"/>
              <w:rPr>
                <w:i/>
                <w:iCs/>
                <w:color w:val="000000"/>
              </w:rPr>
            </w:pPr>
            <w:r w:rsidRPr="00D12DBA">
              <w:rPr>
                <w:i/>
                <w:iCs/>
                <w:color w:val="000000"/>
              </w:rPr>
              <w:t>&lt;0.0001</w:t>
            </w:r>
          </w:p>
        </w:tc>
        <w:tc>
          <w:tcPr>
            <w:tcW w:w="1720" w:type="dxa"/>
            <w:tcBorders>
              <w:top w:val="nil"/>
              <w:left w:val="single" w:sz="4" w:space="0" w:color="auto"/>
              <w:bottom w:val="nil"/>
              <w:right w:val="nil"/>
            </w:tcBorders>
            <w:shd w:val="clear" w:color="auto" w:fill="auto"/>
            <w:noWrap/>
            <w:vAlign w:val="bottom"/>
            <w:hideMark/>
          </w:tcPr>
          <w:p w14:paraId="3040A8BE" w14:textId="77777777" w:rsidR="002F13C8" w:rsidRPr="00D12DBA" w:rsidRDefault="002F13C8">
            <w:pPr>
              <w:jc w:val="center"/>
              <w:rPr>
                <w:i/>
                <w:iCs/>
                <w:color w:val="000000"/>
              </w:rPr>
            </w:pPr>
            <w:r w:rsidRPr="00D12DBA">
              <w:rPr>
                <w:i/>
                <w:iCs/>
                <w:color w:val="000000"/>
              </w:rPr>
              <w:t>&lt;0.0001</w:t>
            </w:r>
          </w:p>
        </w:tc>
        <w:tc>
          <w:tcPr>
            <w:tcW w:w="1520" w:type="dxa"/>
            <w:tcBorders>
              <w:top w:val="nil"/>
              <w:left w:val="single" w:sz="4" w:space="0" w:color="auto"/>
              <w:bottom w:val="nil"/>
              <w:right w:val="nil"/>
            </w:tcBorders>
            <w:shd w:val="clear" w:color="auto" w:fill="auto"/>
            <w:noWrap/>
            <w:vAlign w:val="bottom"/>
            <w:hideMark/>
          </w:tcPr>
          <w:p w14:paraId="3B964163" w14:textId="77777777" w:rsidR="002F13C8" w:rsidRPr="00D12DBA" w:rsidRDefault="002F13C8">
            <w:pPr>
              <w:jc w:val="center"/>
              <w:rPr>
                <w:i/>
                <w:iCs/>
                <w:color w:val="000000"/>
              </w:rPr>
            </w:pPr>
            <w:r w:rsidRPr="00D12DBA">
              <w:rPr>
                <w:i/>
                <w:iCs/>
                <w:color w:val="000000"/>
              </w:rPr>
              <w:t>&lt;0.0001</w:t>
            </w:r>
          </w:p>
        </w:tc>
      </w:tr>
    </w:tbl>
    <w:p w14:paraId="0CD565FC" w14:textId="77777777" w:rsidR="009A6A32" w:rsidRDefault="009A6A32" w:rsidP="00C24296">
      <w:pPr>
        <w:rPr>
          <w:noProof/>
          <w:szCs w:val="28"/>
          <w14:ligatures w14:val="standardContextual"/>
        </w:rPr>
      </w:pPr>
    </w:p>
    <w:p w14:paraId="6A08EB62" w14:textId="05B3B25F" w:rsidR="00AB262E" w:rsidRPr="00F940F2" w:rsidRDefault="00AB262E" w:rsidP="00F940F2">
      <w:pPr>
        <w:rPr>
          <w:noProof/>
          <w:szCs w:val="28"/>
          <w14:ligatures w14:val="standardContextual"/>
        </w:rPr>
      </w:pPr>
      <w:r>
        <w:rPr>
          <w:noProof/>
          <w:szCs w:val="28"/>
          <w14:ligatures w14:val="standardContextual"/>
        </w:rPr>
        <w:t xml:space="preserve">Footnote: Values for </w:t>
      </w:r>
      <w:r w:rsidR="00DC69B3">
        <w:rPr>
          <w:noProof/>
          <w:szCs w:val="28"/>
          <w14:ligatures w14:val="standardContextual"/>
        </w:rPr>
        <w:t>biomass, nitrogen</w:t>
      </w:r>
      <w:r w:rsidR="005E09AA">
        <w:rPr>
          <w:noProof/>
          <w:szCs w:val="28"/>
          <w14:ligatures w14:val="standardContextual"/>
        </w:rPr>
        <w:t xml:space="preserve"> percent, 8-week cumulative and total nitrogen release</w:t>
      </w:r>
      <w:r>
        <w:rPr>
          <w:noProof/>
          <w:szCs w:val="28"/>
          <w14:ligatures w14:val="standardContextual"/>
        </w:rPr>
        <w:t xml:space="preserve"> </w:t>
      </w:r>
      <w:r w:rsidR="00F446AE">
        <w:rPr>
          <w:noProof/>
          <w:szCs w:val="28"/>
          <w14:ligatures w14:val="standardContextual"/>
        </w:rPr>
        <w:t xml:space="preserve">within </w:t>
      </w:r>
      <w:r>
        <w:rPr>
          <w:noProof/>
          <w:szCs w:val="28"/>
          <w14:ligatures w14:val="standardContextual"/>
        </w:rPr>
        <w:t>each year followed by the same letter indicate significance at p&lt;0.05 as determined by Tukey HSD.</w:t>
      </w:r>
      <w:r>
        <w:rPr>
          <w:szCs w:val="28"/>
        </w:rPr>
        <w:br w:type="page"/>
      </w:r>
    </w:p>
    <w:p w14:paraId="733AF76C" w14:textId="555067B5" w:rsidR="00AB262E" w:rsidRPr="004A663D" w:rsidRDefault="00AB262E" w:rsidP="00AB262E">
      <w:pPr>
        <w:spacing w:after="160" w:line="259" w:lineRule="auto"/>
        <w:rPr>
          <w:szCs w:val="28"/>
        </w:rPr>
      </w:pPr>
      <w:r>
        <w:rPr>
          <w:szCs w:val="28"/>
        </w:rPr>
        <w:t xml:space="preserve">Table </w:t>
      </w:r>
      <w:r w:rsidR="00040F4E">
        <w:rPr>
          <w:szCs w:val="28"/>
        </w:rPr>
        <w:t>2</w:t>
      </w:r>
      <w:r>
        <w:rPr>
          <w:szCs w:val="28"/>
        </w:rPr>
        <w:t>. Average yield of each stalk position</w:t>
      </w:r>
      <w:r w:rsidR="00EF5E8C">
        <w:rPr>
          <w:szCs w:val="28"/>
        </w:rPr>
        <w:t xml:space="preserve"> and total yield</w:t>
      </w:r>
      <w:r>
        <w:rPr>
          <w:szCs w:val="28"/>
        </w:rPr>
        <w:t xml:space="preserve"> (kg ha</w:t>
      </w:r>
      <w:r>
        <w:rPr>
          <w:szCs w:val="28"/>
          <w:vertAlign w:val="superscript"/>
        </w:rPr>
        <w:t>-1</w:t>
      </w:r>
      <w:r>
        <w:rPr>
          <w:szCs w:val="28"/>
        </w:rPr>
        <w:t xml:space="preserve">) and </w:t>
      </w:r>
      <w:r w:rsidR="00845F98">
        <w:rPr>
          <w:szCs w:val="28"/>
        </w:rPr>
        <w:t xml:space="preserve">leaf quality </w:t>
      </w:r>
      <w:r>
        <w:rPr>
          <w:szCs w:val="28"/>
        </w:rPr>
        <w:t>grade index of dark fire-cure tobacco by year</w:t>
      </w:r>
      <w:r w:rsidR="00233176">
        <w:rPr>
          <w:szCs w:val="28"/>
        </w:rPr>
        <w:t>,</w:t>
      </w:r>
      <w:r>
        <w:rPr>
          <w:szCs w:val="28"/>
        </w:rPr>
        <w:t xml:space="preserve"> tillage type</w:t>
      </w:r>
      <w:r w:rsidR="00233176">
        <w:rPr>
          <w:szCs w:val="28"/>
        </w:rPr>
        <w:t>, and cover crop type</w:t>
      </w:r>
      <w:r>
        <w:rPr>
          <w:szCs w:val="28"/>
        </w:rPr>
        <w:t xml:space="preserve">. </w:t>
      </w:r>
    </w:p>
    <w:tbl>
      <w:tblPr>
        <w:tblW w:w="7172" w:type="dxa"/>
        <w:tblLook w:val="04A0" w:firstRow="1" w:lastRow="0" w:firstColumn="1" w:lastColumn="0" w:noHBand="0" w:noVBand="1"/>
      </w:tblPr>
      <w:tblGrid>
        <w:gridCol w:w="1800"/>
        <w:gridCol w:w="1038"/>
        <w:gridCol w:w="1038"/>
        <w:gridCol w:w="1038"/>
        <w:gridCol w:w="1038"/>
        <w:gridCol w:w="1400"/>
      </w:tblGrid>
      <w:tr w:rsidR="00233176" w:rsidRPr="00233176" w14:paraId="07F25A62" w14:textId="77777777" w:rsidTr="00233176">
        <w:trPr>
          <w:trHeight w:val="288"/>
        </w:trPr>
        <w:tc>
          <w:tcPr>
            <w:tcW w:w="1800" w:type="dxa"/>
            <w:tcBorders>
              <w:top w:val="nil"/>
              <w:left w:val="nil"/>
              <w:bottom w:val="nil"/>
              <w:right w:val="nil"/>
            </w:tcBorders>
            <w:shd w:val="clear" w:color="auto" w:fill="auto"/>
            <w:noWrap/>
            <w:vAlign w:val="bottom"/>
            <w:hideMark/>
          </w:tcPr>
          <w:p w14:paraId="04461331" w14:textId="77777777" w:rsidR="00091D2C" w:rsidRPr="00233176" w:rsidRDefault="00091D2C"/>
        </w:tc>
        <w:tc>
          <w:tcPr>
            <w:tcW w:w="3972" w:type="dxa"/>
            <w:gridSpan w:val="4"/>
            <w:vMerge w:val="restart"/>
            <w:tcBorders>
              <w:top w:val="nil"/>
              <w:left w:val="nil"/>
              <w:bottom w:val="nil"/>
              <w:right w:val="nil"/>
            </w:tcBorders>
            <w:shd w:val="clear" w:color="auto" w:fill="auto"/>
            <w:noWrap/>
            <w:vAlign w:val="center"/>
            <w:hideMark/>
          </w:tcPr>
          <w:p w14:paraId="0F5AE82A" w14:textId="77777777" w:rsidR="00091D2C" w:rsidRPr="000D4C2B" w:rsidRDefault="00091D2C">
            <w:pPr>
              <w:jc w:val="center"/>
              <w:rPr>
                <w:color w:val="000000"/>
              </w:rPr>
            </w:pPr>
            <w:r w:rsidRPr="000D4C2B">
              <w:rPr>
                <w:color w:val="000000"/>
              </w:rPr>
              <w:t>Stalk Position (kg ha</w:t>
            </w:r>
            <w:r w:rsidRPr="000D4C2B">
              <w:rPr>
                <w:color w:val="000000"/>
                <w:vertAlign w:val="superscript"/>
              </w:rPr>
              <w:t>-1</w:t>
            </w:r>
            <w:r w:rsidRPr="000D4C2B">
              <w:rPr>
                <w:color w:val="000000"/>
              </w:rPr>
              <w:t>)</w:t>
            </w:r>
          </w:p>
        </w:tc>
        <w:tc>
          <w:tcPr>
            <w:tcW w:w="1400" w:type="dxa"/>
            <w:vMerge w:val="restart"/>
            <w:tcBorders>
              <w:top w:val="nil"/>
              <w:left w:val="nil"/>
              <w:bottom w:val="nil"/>
              <w:right w:val="nil"/>
            </w:tcBorders>
            <w:shd w:val="clear" w:color="auto" w:fill="auto"/>
            <w:noWrap/>
            <w:vAlign w:val="center"/>
            <w:hideMark/>
          </w:tcPr>
          <w:p w14:paraId="2D8950ED" w14:textId="77777777" w:rsidR="00091D2C" w:rsidRPr="000D4C2B" w:rsidRDefault="00091D2C">
            <w:pPr>
              <w:jc w:val="center"/>
              <w:rPr>
                <w:color w:val="000000"/>
              </w:rPr>
            </w:pPr>
            <w:r w:rsidRPr="000D4C2B">
              <w:rPr>
                <w:color w:val="000000"/>
              </w:rPr>
              <w:t>Grade Index</w:t>
            </w:r>
          </w:p>
        </w:tc>
      </w:tr>
      <w:tr w:rsidR="00233176" w:rsidRPr="00233176" w14:paraId="1B800C54" w14:textId="77777777" w:rsidTr="00233176">
        <w:trPr>
          <w:trHeight w:val="288"/>
        </w:trPr>
        <w:tc>
          <w:tcPr>
            <w:tcW w:w="1800" w:type="dxa"/>
            <w:tcBorders>
              <w:top w:val="nil"/>
              <w:left w:val="nil"/>
              <w:bottom w:val="nil"/>
              <w:right w:val="nil"/>
            </w:tcBorders>
            <w:shd w:val="clear" w:color="auto" w:fill="auto"/>
            <w:noWrap/>
            <w:vAlign w:val="bottom"/>
            <w:hideMark/>
          </w:tcPr>
          <w:p w14:paraId="7782239C" w14:textId="77777777" w:rsidR="00091D2C" w:rsidRPr="000D4C2B" w:rsidRDefault="00091D2C">
            <w:pPr>
              <w:jc w:val="center"/>
              <w:rPr>
                <w:color w:val="000000"/>
              </w:rPr>
            </w:pPr>
          </w:p>
        </w:tc>
        <w:tc>
          <w:tcPr>
            <w:tcW w:w="3972" w:type="dxa"/>
            <w:gridSpan w:val="4"/>
            <w:vMerge/>
            <w:tcBorders>
              <w:top w:val="nil"/>
              <w:left w:val="nil"/>
              <w:bottom w:val="nil"/>
              <w:right w:val="nil"/>
            </w:tcBorders>
            <w:vAlign w:val="center"/>
            <w:hideMark/>
          </w:tcPr>
          <w:p w14:paraId="569D18D9" w14:textId="77777777" w:rsidR="00091D2C" w:rsidRPr="000D4C2B" w:rsidRDefault="00091D2C">
            <w:pPr>
              <w:rPr>
                <w:color w:val="000000"/>
              </w:rPr>
            </w:pPr>
          </w:p>
        </w:tc>
        <w:tc>
          <w:tcPr>
            <w:tcW w:w="1400" w:type="dxa"/>
            <w:vMerge/>
            <w:tcBorders>
              <w:top w:val="nil"/>
              <w:left w:val="nil"/>
              <w:bottom w:val="nil"/>
              <w:right w:val="nil"/>
            </w:tcBorders>
            <w:vAlign w:val="center"/>
            <w:hideMark/>
          </w:tcPr>
          <w:p w14:paraId="63CF1C5D" w14:textId="77777777" w:rsidR="00091D2C" w:rsidRPr="000D4C2B" w:rsidRDefault="00091D2C">
            <w:pPr>
              <w:rPr>
                <w:color w:val="000000"/>
              </w:rPr>
            </w:pPr>
          </w:p>
        </w:tc>
      </w:tr>
      <w:tr w:rsidR="00233176" w:rsidRPr="00233176" w14:paraId="5FCC3F1A" w14:textId="77777777" w:rsidTr="00233176">
        <w:trPr>
          <w:trHeight w:val="300"/>
        </w:trPr>
        <w:tc>
          <w:tcPr>
            <w:tcW w:w="1800" w:type="dxa"/>
            <w:tcBorders>
              <w:top w:val="nil"/>
              <w:left w:val="nil"/>
              <w:bottom w:val="single" w:sz="8" w:space="0" w:color="auto"/>
              <w:right w:val="single" w:sz="8" w:space="0" w:color="auto"/>
            </w:tcBorders>
            <w:shd w:val="clear" w:color="auto" w:fill="auto"/>
            <w:noWrap/>
            <w:vAlign w:val="bottom"/>
            <w:hideMark/>
          </w:tcPr>
          <w:p w14:paraId="1A65C59D" w14:textId="77777777" w:rsidR="00091D2C" w:rsidRPr="000D4C2B" w:rsidRDefault="00091D2C">
            <w:pPr>
              <w:rPr>
                <w:color w:val="000000"/>
              </w:rPr>
            </w:pPr>
            <w:r w:rsidRPr="000D4C2B">
              <w:rPr>
                <w:color w:val="000000"/>
              </w:rPr>
              <w:t> </w:t>
            </w:r>
          </w:p>
        </w:tc>
        <w:tc>
          <w:tcPr>
            <w:tcW w:w="858" w:type="dxa"/>
            <w:tcBorders>
              <w:top w:val="nil"/>
              <w:left w:val="single" w:sz="8" w:space="0" w:color="auto"/>
              <w:bottom w:val="single" w:sz="4" w:space="0" w:color="auto"/>
              <w:right w:val="single" w:sz="8" w:space="0" w:color="auto"/>
            </w:tcBorders>
            <w:shd w:val="clear" w:color="auto" w:fill="auto"/>
            <w:noWrap/>
            <w:vAlign w:val="bottom"/>
            <w:hideMark/>
          </w:tcPr>
          <w:p w14:paraId="4D5ADC5F" w14:textId="77777777" w:rsidR="00091D2C" w:rsidRPr="000D4C2B" w:rsidRDefault="00091D2C">
            <w:pPr>
              <w:jc w:val="center"/>
              <w:rPr>
                <w:color w:val="000000"/>
              </w:rPr>
            </w:pPr>
            <w:r w:rsidRPr="000D4C2B">
              <w:rPr>
                <w:color w:val="000000"/>
              </w:rPr>
              <w:t>Lug</w:t>
            </w:r>
          </w:p>
        </w:tc>
        <w:tc>
          <w:tcPr>
            <w:tcW w:w="1038" w:type="dxa"/>
            <w:tcBorders>
              <w:top w:val="nil"/>
              <w:left w:val="nil"/>
              <w:bottom w:val="single" w:sz="4" w:space="0" w:color="auto"/>
              <w:right w:val="single" w:sz="8" w:space="0" w:color="auto"/>
            </w:tcBorders>
            <w:shd w:val="clear" w:color="auto" w:fill="auto"/>
            <w:noWrap/>
            <w:vAlign w:val="bottom"/>
            <w:hideMark/>
          </w:tcPr>
          <w:p w14:paraId="31C4F52A" w14:textId="77777777" w:rsidR="00091D2C" w:rsidRPr="000D4C2B" w:rsidRDefault="00091D2C">
            <w:pPr>
              <w:jc w:val="center"/>
              <w:rPr>
                <w:color w:val="000000"/>
              </w:rPr>
            </w:pPr>
            <w:r w:rsidRPr="000D4C2B">
              <w:rPr>
                <w:color w:val="000000"/>
              </w:rPr>
              <w:t>Second</w:t>
            </w:r>
          </w:p>
        </w:tc>
        <w:tc>
          <w:tcPr>
            <w:tcW w:w="1038" w:type="dxa"/>
            <w:tcBorders>
              <w:top w:val="nil"/>
              <w:left w:val="nil"/>
              <w:bottom w:val="single" w:sz="4" w:space="0" w:color="auto"/>
              <w:right w:val="single" w:sz="8" w:space="0" w:color="auto"/>
            </w:tcBorders>
            <w:shd w:val="clear" w:color="auto" w:fill="auto"/>
            <w:noWrap/>
            <w:vAlign w:val="bottom"/>
            <w:hideMark/>
          </w:tcPr>
          <w:p w14:paraId="6BFE1F20" w14:textId="77777777" w:rsidR="00091D2C" w:rsidRPr="000D4C2B" w:rsidRDefault="00091D2C">
            <w:pPr>
              <w:jc w:val="center"/>
              <w:rPr>
                <w:color w:val="000000"/>
              </w:rPr>
            </w:pPr>
            <w:r w:rsidRPr="000D4C2B">
              <w:rPr>
                <w:color w:val="000000"/>
              </w:rPr>
              <w:t>Leaf</w:t>
            </w:r>
          </w:p>
        </w:tc>
        <w:tc>
          <w:tcPr>
            <w:tcW w:w="1038" w:type="dxa"/>
            <w:tcBorders>
              <w:top w:val="nil"/>
              <w:left w:val="nil"/>
              <w:bottom w:val="single" w:sz="4" w:space="0" w:color="auto"/>
              <w:right w:val="single" w:sz="8" w:space="0" w:color="auto"/>
            </w:tcBorders>
            <w:shd w:val="clear" w:color="auto" w:fill="auto"/>
            <w:noWrap/>
            <w:vAlign w:val="bottom"/>
            <w:hideMark/>
          </w:tcPr>
          <w:p w14:paraId="0EFD0AC9" w14:textId="77777777" w:rsidR="00091D2C" w:rsidRPr="000D4C2B" w:rsidRDefault="00091D2C">
            <w:pPr>
              <w:jc w:val="center"/>
              <w:rPr>
                <w:color w:val="000000"/>
              </w:rPr>
            </w:pPr>
            <w:r w:rsidRPr="000D4C2B">
              <w:rPr>
                <w:color w:val="000000"/>
              </w:rPr>
              <w:t>Total</w:t>
            </w:r>
          </w:p>
        </w:tc>
        <w:tc>
          <w:tcPr>
            <w:tcW w:w="1400" w:type="dxa"/>
            <w:tcBorders>
              <w:top w:val="nil"/>
              <w:left w:val="single" w:sz="8" w:space="0" w:color="auto"/>
              <w:bottom w:val="single" w:sz="8" w:space="0" w:color="auto"/>
              <w:right w:val="nil"/>
            </w:tcBorders>
            <w:shd w:val="clear" w:color="auto" w:fill="auto"/>
            <w:noWrap/>
            <w:vAlign w:val="bottom"/>
            <w:hideMark/>
          </w:tcPr>
          <w:p w14:paraId="1C9373C0" w14:textId="77777777" w:rsidR="00091D2C" w:rsidRPr="000D4C2B" w:rsidRDefault="00091D2C">
            <w:pPr>
              <w:jc w:val="center"/>
              <w:rPr>
                <w:color w:val="000000"/>
              </w:rPr>
            </w:pPr>
            <w:r w:rsidRPr="000D4C2B">
              <w:rPr>
                <w:color w:val="000000"/>
              </w:rPr>
              <w:t>0-100</w:t>
            </w:r>
          </w:p>
        </w:tc>
      </w:tr>
      <w:tr w:rsidR="00233176" w:rsidRPr="00233176" w14:paraId="41E48685" w14:textId="77777777" w:rsidTr="00233176">
        <w:trPr>
          <w:trHeight w:val="288"/>
        </w:trPr>
        <w:tc>
          <w:tcPr>
            <w:tcW w:w="1800" w:type="dxa"/>
            <w:tcBorders>
              <w:top w:val="nil"/>
              <w:left w:val="nil"/>
              <w:bottom w:val="nil"/>
              <w:right w:val="nil"/>
            </w:tcBorders>
            <w:shd w:val="clear" w:color="auto" w:fill="auto"/>
            <w:noWrap/>
            <w:vAlign w:val="bottom"/>
            <w:hideMark/>
          </w:tcPr>
          <w:p w14:paraId="399DA4AF" w14:textId="77777777" w:rsidR="00091D2C" w:rsidRPr="000D4C2B" w:rsidRDefault="00091D2C">
            <w:pPr>
              <w:jc w:val="right"/>
              <w:rPr>
                <w:color w:val="000000"/>
              </w:rPr>
            </w:pPr>
            <w:r w:rsidRPr="000D4C2B">
              <w:rPr>
                <w:color w:val="000000"/>
              </w:rPr>
              <w:t>2023</w:t>
            </w:r>
          </w:p>
        </w:tc>
        <w:tc>
          <w:tcPr>
            <w:tcW w:w="858" w:type="dxa"/>
            <w:tcBorders>
              <w:top w:val="nil"/>
              <w:left w:val="single" w:sz="8" w:space="0" w:color="auto"/>
              <w:bottom w:val="nil"/>
              <w:right w:val="single" w:sz="8" w:space="0" w:color="auto"/>
            </w:tcBorders>
            <w:shd w:val="clear" w:color="auto" w:fill="auto"/>
            <w:noWrap/>
            <w:vAlign w:val="bottom"/>
            <w:hideMark/>
          </w:tcPr>
          <w:p w14:paraId="6FC3980D" w14:textId="77777777" w:rsidR="00091D2C" w:rsidRPr="000D4C2B" w:rsidRDefault="00091D2C">
            <w:pPr>
              <w:jc w:val="center"/>
              <w:rPr>
                <w:color w:val="000000"/>
              </w:rPr>
            </w:pPr>
            <w:r w:rsidRPr="000D4C2B">
              <w:rPr>
                <w:color w:val="000000"/>
              </w:rPr>
              <w:t>252</w:t>
            </w:r>
            <w:r w:rsidRPr="000D4C2B">
              <w:rPr>
                <w:b/>
                <w:bCs/>
                <w:color w:val="000000"/>
              </w:rPr>
              <w:t>b</w:t>
            </w:r>
          </w:p>
        </w:tc>
        <w:tc>
          <w:tcPr>
            <w:tcW w:w="1038" w:type="dxa"/>
            <w:tcBorders>
              <w:top w:val="nil"/>
              <w:left w:val="nil"/>
              <w:bottom w:val="nil"/>
              <w:right w:val="single" w:sz="8" w:space="0" w:color="auto"/>
            </w:tcBorders>
            <w:shd w:val="clear" w:color="auto" w:fill="auto"/>
            <w:noWrap/>
            <w:vAlign w:val="bottom"/>
            <w:hideMark/>
          </w:tcPr>
          <w:p w14:paraId="3DAD19B1" w14:textId="77777777" w:rsidR="00091D2C" w:rsidRPr="000D4C2B" w:rsidRDefault="00091D2C">
            <w:pPr>
              <w:jc w:val="center"/>
              <w:rPr>
                <w:color w:val="000000"/>
              </w:rPr>
            </w:pPr>
            <w:r w:rsidRPr="000D4C2B">
              <w:rPr>
                <w:color w:val="000000"/>
              </w:rPr>
              <w:t>527</w:t>
            </w:r>
            <w:r w:rsidRPr="000D4C2B">
              <w:rPr>
                <w:b/>
                <w:bCs/>
                <w:color w:val="000000"/>
              </w:rPr>
              <w:t>b</w:t>
            </w:r>
          </w:p>
        </w:tc>
        <w:tc>
          <w:tcPr>
            <w:tcW w:w="1038" w:type="dxa"/>
            <w:tcBorders>
              <w:top w:val="nil"/>
              <w:left w:val="nil"/>
              <w:bottom w:val="nil"/>
              <w:right w:val="single" w:sz="8" w:space="0" w:color="auto"/>
            </w:tcBorders>
            <w:shd w:val="clear" w:color="auto" w:fill="auto"/>
            <w:noWrap/>
            <w:vAlign w:val="bottom"/>
            <w:hideMark/>
          </w:tcPr>
          <w:p w14:paraId="34BF7597" w14:textId="77777777" w:rsidR="00091D2C" w:rsidRPr="000D4C2B" w:rsidRDefault="00091D2C">
            <w:pPr>
              <w:jc w:val="center"/>
              <w:rPr>
                <w:color w:val="000000"/>
              </w:rPr>
            </w:pPr>
            <w:r w:rsidRPr="000D4C2B">
              <w:rPr>
                <w:color w:val="000000"/>
              </w:rPr>
              <w:t>1536</w:t>
            </w:r>
            <w:r w:rsidRPr="000D4C2B">
              <w:rPr>
                <w:b/>
                <w:bCs/>
                <w:color w:val="000000"/>
              </w:rPr>
              <w:t>b</w:t>
            </w:r>
          </w:p>
        </w:tc>
        <w:tc>
          <w:tcPr>
            <w:tcW w:w="1038" w:type="dxa"/>
            <w:tcBorders>
              <w:top w:val="nil"/>
              <w:left w:val="nil"/>
              <w:bottom w:val="nil"/>
              <w:right w:val="single" w:sz="8" w:space="0" w:color="auto"/>
            </w:tcBorders>
            <w:shd w:val="clear" w:color="auto" w:fill="auto"/>
            <w:noWrap/>
            <w:vAlign w:val="bottom"/>
            <w:hideMark/>
          </w:tcPr>
          <w:p w14:paraId="300EF6FA" w14:textId="77777777" w:rsidR="00091D2C" w:rsidRPr="000D4C2B" w:rsidRDefault="00091D2C">
            <w:pPr>
              <w:jc w:val="center"/>
              <w:rPr>
                <w:color w:val="000000"/>
              </w:rPr>
            </w:pPr>
            <w:r w:rsidRPr="000D4C2B">
              <w:rPr>
                <w:color w:val="000000"/>
              </w:rPr>
              <w:t>2315</w:t>
            </w:r>
            <w:r w:rsidRPr="000D4C2B">
              <w:rPr>
                <w:b/>
                <w:bCs/>
                <w:color w:val="000000"/>
              </w:rPr>
              <w:t>b</w:t>
            </w:r>
          </w:p>
        </w:tc>
        <w:tc>
          <w:tcPr>
            <w:tcW w:w="1400" w:type="dxa"/>
            <w:tcBorders>
              <w:top w:val="nil"/>
              <w:left w:val="single" w:sz="8" w:space="0" w:color="auto"/>
              <w:bottom w:val="nil"/>
              <w:right w:val="nil"/>
            </w:tcBorders>
            <w:shd w:val="clear" w:color="auto" w:fill="auto"/>
            <w:noWrap/>
            <w:vAlign w:val="bottom"/>
            <w:hideMark/>
          </w:tcPr>
          <w:p w14:paraId="4925957C" w14:textId="77777777" w:rsidR="00091D2C" w:rsidRPr="000D4C2B" w:rsidRDefault="00091D2C">
            <w:pPr>
              <w:jc w:val="center"/>
              <w:rPr>
                <w:color w:val="000000"/>
              </w:rPr>
            </w:pPr>
            <w:r w:rsidRPr="000D4C2B">
              <w:rPr>
                <w:color w:val="000000"/>
              </w:rPr>
              <w:t>16</w:t>
            </w:r>
            <w:r w:rsidRPr="000D4C2B">
              <w:rPr>
                <w:b/>
                <w:bCs/>
                <w:color w:val="000000"/>
              </w:rPr>
              <w:t>b</w:t>
            </w:r>
          </w:p>
        </w:tc>
      </w:tr>
      <w:tr w:rsidR="00233176" w:rsidRPr="00233176" w14:paraId="6FEF98A3" w14:textId="77777777" w:rsidTr="00233176">
        <w:trPr>
          <w:trHeight w:val="288"/>
        </w:trPr>
        <w:tc>
          <w:tcPr>
            <w:tcW w:w="1800" w:type="dxa"/>
            <w:tcBorders>
              <w:top w:val="nil"/>
              <w:left w:val="nil"/>
              <w:bottom w:val="nil"/>
              <w:right w:val="nil"/>
            </w:tcBorders>
            <w:shd w:val="clear" w:color="auto" w:fill="auto"/>
            <w:noWrap/>
            <w:vAlign w:val="bottom"/>
            <w:hideMark/>
          </w:tcPr>
          <w:p w14:paraId="7709794D" w14:textId="77777777" w:rsidR="00091D2C" w:rsidRPr="000D4C2B" w:rsidRDefault="00091D2C">
            <w:pPr>
              <w:jc w:val="right"/>
              <w:rPr>
                <w:color w:val="000000"/>
              </w:rPr>
            </w:pPr>
            <w:r w:rsidRPr="000D4C2B">
              <w:rPr>
                <w:color w:val="000000"/>
              </w:rPr>
              <w:t>2024</w:t>
            </w:r>
          </w:p>
        </w:tc>
        <w:tc>
          <w:tcPr>
            <w:tcW w:w="858" w:type="dxa"/>
            <w:tcBorders>
              <w:top w:val="nil"/>
              <w:left w:val="single" w:sz="8" w:space="0" w:color="auto"/>
              <w:bottom w:val="nil"/>
              <w:right w:val="single" w:sz="8" w:space="0" w:color="auto"/>
            </w:tcBorders>
            <w:shd w:val="clear" w:color="auto" w:fill="auto"/>
            <w:noWrap/>
            <w:vAlign w:val="bottom"/>
            <w:hideMark/>
          </w:tcPr>
          <w:p w14:paraId="417F68C6" w14:textId="77777777" w:rsidR="00091D2C" w:rsidRPr="000D4C2B" w:rsidRDefault="00091D2C">
            <w:pPr>
              <w:jc w:val="center"/>
              <w:rPr>
                <w:color w:val="000000"/>
              </w:rPr>
            </w:pPr>
            <w:r w:rsidRPr="000D4C2B">
              <w:rPr>
                <w:color w:val="000000"/>
              </w:rPr>
              <w:t>344</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4FE339B0" w14:textId="77777777" w:rsidR="00091D2C" w:rsidRPr="000D4C2B" w:rsidRDefault="00091D2C">
            <w:pPr>
              <w:jc w:val="center"/>
              <w:rPr>
                <w:color w:val="000000"/>
              </w:rPr>
            </w:pPr>
            <w:r w:rsidRPr="000D4C2B">
              <w:rPr>
                <w:color w:val="000000"/>
              </w:rPr>
              <w:t>812</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5B28F2E5" w14:textId="77777777" w:rsidR="00091D2C" w:rsidRPr="000D4C2B" w:rsidRDefault="00091D2C">
            <w:pPr>
              <w:jc w:val="center"/>
              <w:rPr>
                <w:color w:val="000000"/>
              </w:rPr>
            </w:pPr>
            <w:r w:rsidRPr="000D4C2B">
              <w:rPr>
                <w:color w:val="000000"/>
              </w:rPr>
              <w:t>2039</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4CFB32DA" w14:textId="77777777" w:rsidR="00091D2C" w:rsidRPr="000D4C2B" w:rsidRDefault="00091D2C">
            <w:pPr>
              <w:jc w:val="center"/>
              <w:rPr>
                <w:color w:val="000000"/>
              </w:rPr>
            </w:pPr>
            <w:r w:rsidRPr="000D4C2B">
              <w:rPr>
                <w:color w:val="000000"/>
              </w:rPr>
              <w:t>3195</w:t>
            </w:r>
            <w:r w:rsidRPr="000D4C2B">
              <w:rPr>
                <w:b/>
                <w:bCs/>
                <w:color w:val="000000"/>
              </w:rPr>
              <w:t>a</w:t>
            </w:r>
          </w:p>
        </w:tc>
        <w:tc>
          <w:tcPr>
            <w:tcW w:w="1400" w:type="dxa"/>
            <w:tcBorders>
              <w:top w:val="nil"/>
              <w:left w:val="single" w:sz="8" w:space="0" w:color="auto"/>
              <w:bottom w:val="nil"/>
              <w:right w:val="nil"/>
            </w:tcBorders>
            <w:shd w:val="clear" w:color="auto" w:fill="auto"/>
            <w:noWrap/>
            <w:vAlign w:val="bottom"/>
            <w:hideMark/>
          </w:tcPr>
          <w:p w14:paraId="5BDAB21B" w14:textId="77777777" w:rsidR="00091D2C" w:rsidRPr="000D4C2B" w:rsidRDefault="00091D2C">
            <w:pPr>
              <w:jc w:val="center"/>
              <w:rPr>
                <w:color w:val="000000"/>
              </w:rPr>
            </w:pPr>
            <w:r w:rsidRPr="000D4C2B">
              <w:rPr>
                <w:color w:val="000000"/>
              </w:rPr>
              <w:t>58</w:t>
            </w:r>
            <w:r w:rsidRPr="000D4C2B">
              <w:rPr>
                <w:b/>
                <w:bCs/>
                <w:color w:val="000000"/>
              </w:rPr>
              <w:t>a</w:t>
            </w:r>
          </w:p>
        </w:tc>
      </w:tr>
      <w:tr w:rsidR="00233176" w:rsidRPr="00233176" w14:paraId="1F10C49C" w14:textId="77777777" w:rsidTr="00233176">
        <w:trPr>
          <w:trHeight w:val="288"/>
        </w:trPr>
        <w:tc>
          <w:tcPr>
            <w:tcW w:w="1800" w:type="dxa"/>
            <w:tcBorders>
              <w:top w:val="nil"/>
              <w:left w:val="nil"/>
              <w:bottom w:val="nil"/>
              <w:right w:val="nil"/>
            </w:tcBorders>
            <w:shd w:val="clear" w:color="auto" w:fill="auto"/>
            <w:noWrap/>
            <w:vAlign w:val="bottom"/>
            <w:hideMark/>
          </w:tcPr>
          <w:p w14:paraId="55BF9575" w14:textId="77777777" w:rsidR="00091D2C" w:rsidRPr="000D4C2B" w:rsidRDefault="00091D2C">
            <w:pPr>
              <w:jc w:val="right"/>
              <w:rPr>
                <w:color w:val="000000"/>
              </w:rPr>
            </w:pPr>
            <w:r w:rsidRPr="000D4C2B">
              <w:rPr>
                <w:color w:val="000000"/>
              </w:rPr>
              <w:t>SEM</w:t>
            </w:r>
          </w:p>
        </w:tc>
        <w:tc>
          <w:tcPr>
            <w:tcW w:w="858" w:type="dxa"/>
            <w:tcBorders>
              <w:top w:val="nil"/>
              <w:left w:val="single" w:sz="8" w:space="0" w:color="auto"/>
              <w:bottom w:val="nil"/>
              <w:right w:val="single" w:sz="8" w:space="0" w:color="auto"/>
            </w:tcBorders>
            <w:shd w:val="clear" w:color="auto" w:fill="auto"/>
            <w:noWrap/>
            <w:vAlign w:val="bottom"/>
            <w:hideMark/>
          </w:tcPr>
          <w:p w14:paraId="31D5873E" w14:textId="77777777" w:rsidR="00091D2C" w:rsidRPr="000D4C2B" w:rsidRDefault="00091D2C">
            <w:pPr>
              <w:jc w:val="center"/>
              <w:rPr>
                <w:color w:val="000000"/>
              </w:rPr>
            </w:pPr>
            <w:r w:rsidRPr="000D4C2B">
              <w:rPr>
                <w:color w:val="000000"/>
              </w:rPr>
              <w:t>15</w:t>
            </w:r>
          </w:p>
        </w:tc>
        <w:tc>
          <w:tcPr>
            <w:tcW w:w="1038" w:type="dxa"/>
            <w:tcBorders>
              <w:top w:val="nil"/>
              <w:left w:val="nil"/>
              <w:bottom w:val="nil"/>
              <w:right w:val="single" w:sz="8" w:space="0" w:color="auto"/>
            </w:tcBorders>
            <w:shd w:val="clear" w:color="auto" w:fill="auto"/>
            <w:noWrap/>
            <w:vAlign w:val="bottom"/>
            <w:hideMark/>
          </w:tcPr>
          <w:p w14:paraId="67B211EA" w14:textId="77777777" w:rsidR="00091D2C" w:rsidRPr="000D4C2B" w:rsidRDefault="00091D2C">
            <w:pPr>
              <w:jc w:val="center"/>
              <w:rPr>
                <w:color w:val="000000"/>
              </w:rPr>
            </w:pPr>
            <w:r w:rsidRPr="000D4C2B">
              <w:rPr>
                <w:color w:val="000000"/>
              </w:rPr>
              <w:t>21</w:t>
            </w:r>
          </w:p>
        </w:tc>
        <w:tc>
          <w:tcPr>
            <w:tcW w:w="1038" w:type="dxa"/>
            <w:tcBorders>
              <w:top w:val="nil"/>
              <w:left w:val="nil"/>
              <w:bottom w:val="nil"/>
              <w:right w:val="single" w:sz="8" w:space="0" w:color="auto"/>
            </w:tcBorders>
            <w:shd w:val="clear" w:color="auto" w:fill="auto"/>
            <w:noWrap/>
            <w:vAlign w:val="bottom"/>
            <w:hideMark/>
          </w:tcPr>
          <w:p w14:paraId="35662748" w14:textId="77777777" w:rsidR="00091D2C" w:rsidRPr="000D4C2B" w:rsidRDefault="00091D2C">
            <w:pPr>
              <w:jc w:val="center"/>
              <w:rPr>
                <w:color w:val="000000"/>
              </w:rPr>
            </w:pPr>
            <w:r w:rsidRPr="000D4C2B">
              <w:rPr>
                <w:color w:val="000000"/>
              </w:rPr>
              <w:t>52</w:t>
            </w:r>
          </w:p>
        </w:tc>
        <w:tc>
          <w:tcPr>
            <w:tcW w:w="1038" w:type="dxa"/>
            <w:tcBorders>
              <w:top w:val="nil"/>
              <w:left w:val="nil"/>
              <w:bottom w:val="nil"/>
              <w:right w:val="single" w:sz="8" w:space="0" w:color="auto"/>
            </w:tcBorders>
            <w:shd w:val="clear" w:color="auto" w:fill="auto"/>
            <w:noWrap/>
            <w:vAlign w:val="bottom"/>
            <w:hideMark/>
          </w:tcPr>
          <w:p w14:paraId="2AFDD6DD" w14:textId="77777777" w:rsidR="00091D2C" w:rsidRPr="000D4C2B" w:rsidRDefault="00091D2C">
            <w:pPr>
              <w:jc w:val="center"/>
              <w:rPr>
                <w:color w:val="000000"/>
              </w:rPr>
            </w:pPr>
            <w:r w:rsidRPr="000D4C2B">
              <w:rPr>
                <w:color w:val="000000"/>
              </w:rPr>
              <w:t>81</w:t>
            </w:r>
          </w:p>
        </w:tc>
        <w:tc>
          <w:tcPr>
            <w:tcW w:w="1400" w:type="dxa"/>
            <w:tcBorders>
              <w:top w:val="nil"/>
              <w:left w:val="single" w:sz="8" w:space="0" w:color="auto"/>
              <w:bottom w:val="nil"/>
              <w:right w:val="nil"/>
            </w:tcBorders>
            <w:shd w:val="clear" w:color="auto" w:fill="auto"/>
            <w:noWrap/>
            <w:vAlign w:val="bottom"/>
            <w:hideMark/>
          </w:tcPr>
          <w:p w14:paraId="6728B0BA" w14:textId="77777777" w:rsidR="00091D2C" w:rsidRPr="000D4C2B" w:rsidRDefault="00091D2C">
            <w:pPr>
              <w:jc w:val="center"/>
              <w:rPr>
                <w:color w:val="000000"/>
              </w:rPr>
            </w:pPr>
            <w:r w:rsidRPr="000D4C2B">
              <w:rPr>
                <w:color w:val="000000"/>
              </w:rPr>
              <w:t>2</w:t>
            </w:r>
          </w:p>
        </w:tc>
      </w:tr>
      <w:tr w:rsidR="00233176" w:rsidRPr="00233176" w14:paraId="7F4FAD1A" w14:textId="77777777" w:rsidTr="00233176">
        <w:trPr>
          <w:trHeight w:val="300"/>
        </w:trPr>
        <w:tc>
          <w:tcPr>
            <w:tcW w:w="1800" w:type="dxa"/>
            <w:tcBorders>
              <w:top w:val="nil"/>
              <w:left w:val="nil"/>
              <w:bottom w:val="single" w:sz="8" w:space="0" w:color="auto"/>
              <w:right w:val="single" w:sz="8" w:space="0" w:color="auto"/>
            </w:tcBorders>
            <w:shd w:val="clear" w:color="auto" w:fill="auto"/>
            <w:noWrap/>
            <w:vAlign w:val="bottom"/>
            <w:hideMark/>
          </w:tcPr>
          <w:p w14:paraId="615363DF" w14:textId="77777777" w:rsidR="00091D2C" w:rsidRPr="000D4C2B" w:rsidRDefault="00091D2C">
            <w:pPr>
              <w:jc w:val="right"/>
              <w:rPr>
                <w:i/>
                <w:iCs/>
                <w:color w:val="000000"/>
              </w:rPr>
            </w:pPr>
            <w:r w:rsidRPr="000D4C2B">
              <w:rPr>
                <w:i/>
                <w:iCs/>
                <w:color w:val="000000"/>
              </w:rPr>
              <w:t>P-value</w:t>
            </w:r>
          </w:p>
        </w:tc>
        <w:tc>
          <w:tcPr>
            <w:tcW w:w="858" w:type="dxa"/>
            <w:tcBorders>
              <w:top w:val="nil"/>
              <w:left w:val="single" w:sz="8" w:space="0" w:color="auto"/>
              <w:bottom w:val="single" w:sz="8" w:space="0" w:color="auto"/>
              <w:right w:val="single" w:sz="8" w:space="0" w:color="auto"/>
            </w:tcBorders>
            <w:shd w:val="clear" w:color="auto" w:fill="auto"/>
            <w:noWrap/>
            <w:vAlign w:val="bottom"/>
            <w:hideMark/>
          </w:tcPr>
          <w:p w14:paraId="572B3BA0" w14:textId="77777777" w:rsidR="00091D2C" w:rsidRPr="000D4C2B" w:rsidRDefault="00091D2C">
            <w:pPr>
              <w:jc w:val="center"/>
              <w:rPr>
                <w:i/>
                <w:iCs/>
                <w:color w:val="000000"/>
              </w:rPr>
            </w:pPr>
            <w:r w:rsidRPr="000D4C2B">
              <w:rPr>
                <w:i/>
                <w:iCs/>
                <w:color w:val="000000"/>
              </w:rPr>
              <w:t>&lt;0.0001</w:t>
            </w:r>
          </w:p>
        </w:tc>
        <w:tc>
          <w:tcPr>
            <w:tcW w:w="1038" w:type="dxa"/>
            <w:tcBorders>
              <w:top w:val="nil"/>
              <w:left w:val="nil"/>
              <w:bottom w:val="single" w:sz="8" w:space="0" w:color="auto"/>
              <w:right w:val="single" w:sz="8" w:space="0" w:color="auto"/>
            </w:tcBorders>
            <w:shd w:val="clear" w:color="auto" w:fill="auto"/>
            <w:noWrap/>
            <w:vAlign w:val="bottom"/>
            <w:hideMark/>
          </w:tcPr>
          <w:p w14:paraId="309B4C42" w14:textId="77777777" w:rsidR="00091D2C" w:rsidRPr="000D4C2B" w:rsidRDefault="00091D2C">
            <w:pPr>
              <w:jc w:val="center"/>
              <w:rPr>
                <w:i/>
                <w:iCs/>
                <w:color w:val="000000"/>
              </w:rPr>
            </w:pPr>
            <w:r w:rsidRPr="000D4C2B">
              <w:rPr>
                <w:i/>
                <w:iCs/>
                <w:color w:val="000000"/>
              </w:rPr>
              <w:t>&lt;0.0001</w:t>
            </w:r>
          </w:p>
        </w:tc>
        <w:tc>
          <w:tcPr>
            <w:tcW w:w="1038" w:type="dxa"/>
            <w:tcBorders>
              <w:top w:val="nil"/>
              <w:left w:val="nil"/>
              <w:bottom w:val="single" w:sz="8" w:space="0" w:color="auto"/>
              <w:right w:val="single" w:sz="8" w:space="0" w:color="auto"/>
            </w:tcBorders>
            <w:shd w:val="clear" w:color="auto" w:fill="auto"/>
            <w:noWrap/>
            <w:vAlign w:val="bottom"/>
            <w:hideMark/>
          </w:tcPr>
          <w:p w14:paraId="50C93F5D" w14:textId="77777777" w:rsidR="00091D2C" w:rsidRPr="000D4C2B" w:rsidRDefault="00091D2C">
            <w:pPr>
              <w:jc w:val="center"/>
              <w:rPr>
                <w:i/>
                <w:iCs/>
                <w:color w:val="000000"/>
              </w:rPr>
            </w:pPr>
            <w:r w:rsidRPr="000D4C2B">
              <w:rPr>
                <w:i/>
                <w:iCs/>
                <w:color w:val="000000"/>
              </w:rPr>
              <w:t>&lt;0.0001</w:t>
            </w:r>
          </w:p>
        </w:tc>
        <w:tc>
          <w:tcPr>
            <w:tcW w:w="1038" w:type="dxa"/>
            <w:tcBorders>
              <w:top w:val="nil"/>
              <w:left w:val="nil"/>
              <w:bottom w:val="single" w:sz="8" w:space="0" w:color="auto"/>
              <w:right w:val="single" w:sz="8" w:space="0" w:color="auto"/>
            </w:tcBorders>
            <w:shd w:val="clear" w:color="auto" w:fill="auto"/>
            <w:noWrap/>
            <w:vAlign w:val="bottom"/>
            <w:hideMark/>
          </w:tcPr>
          <w:p w14:paraId="5390C640" w14:textId="77777777" w:rsidR="00091D2C" w:rsidRPr="000D4C2B" w:rsidRDefault="00091D2C">
            <w:pPr>
              <w:jc w:val="center"/>
              <w:rPr>
                <w:i/>
                <w:iCs/>
                <w:color w:val="000000"/>
              </w:rPr>
            </w:pPr>
            <w:r w:rsidRPr="000D4C2B">
              <w:rPr>
                <w:i/>
                <w:iCs/>
                <w:color w:val="000000"/>
              </w:rPr>
              <w:t>&lt;0.0001</w:t>
            </w:r>
          </w:p>
        </w:tc>
        <w:tc>
          <w:tcPr>
            <w:tcW w:w="1400" w:type="dxa"/>
            <w:tcBorders>
              <w:top w:val="nil"/>
              <w:left w:val="single" w:sz="8" w:space="0" w:color="auto"/>
              <w:bottom w:val="single" w:sz="8" w:space="0" w:color="auto"/>
              <w:right w:val="nil"/>
            </w:tcBorders>
            <w:shd w:val="clear" w:color="auto" w:fill="auto"/>
            <w:noWrap/>
            <w:vAlign w:val="bottom"/>
            <w:hideMark/>
          </w:tcPr>
          <w:p w14:paraId="74125B91" w14:textId="77777777" w:rsidR="00091D2C" w:rsidRPr="000D4C2B" w:rsidRDefault="00091D2C">
            <w:pPr>
              <w:jc w:val="center"/>
              <w:rPr>
                <w:i/>
                <w:iCs/>
                <w:color w:val="000000"/>
              </w:rPr>
            </w:pPr>
            <w:r w:rsidRPr="000D4C2B">
              <w:rPr>
                <w:i/>
                <w:iCs/>
                <w:color w:val="000000"/>
              </w:rPr>
              <w:t>&lt;0.0001</w:t>
            </w:r>
          </w:p>
        </w:tc>
      </w:tr>
      <w:tr w:rsidR="00233176" w:rsidRPr="00233176" w14:paraId="103FCC75" w14:textId="77777777" w:rsidTr="00233176">
        <w:trPr>
          <w:trHeight w:val="288"/>
        </w:trPr>
        <w:tc>
          <w:tcPr>
            <w:tcW w:w="1800" w:type="dxa"/>
            <w:tcBorders>
              <w:top w:val="nil"/>
              <w:left w:val="nil"/>
              <w:bottom w:val="nil"/>
              <w:right w:val="nil"/>
            </w:tcBorders>
            <w:shd w:val="clear" w:color="auto" w:fill="auto"/>
            <w:noWrap/>
            <w:vAlign w:val="bottom"/>
            <w:hideMark/>
          </w:tcPr>
          <w:p w14:paraId="2EB0C026" w14:textId="77777777" w:rsidR="00091D2C" w:rsidRPr="000D4C2B" w:rsidRDefault="00091D2C">
            <w:pPr>
              <w:jc w:val="right"/>
              <w:rPr>
                <w:color w:val="000000"/>
              </w:rPr>
            </w:pPr>
            <w:r w:rsidRPr="000D4C2B">
              <w:rPr>
                <w:color w:val="000000"/>
              </w:rPr>
              <w:t>CONV</w:t>
            </w:r>
          </w:p>
        </w:tc>
        <w:tc>
          <w:tcPr>
            <w:tcW w:w="858" w:type="dxa"/>
            <w:tcBorders>
              <w:top w:val="nil"/>
              <w:left w:val="single" w:sz="8" w:space="0" w:color="auto"/>
              <w:bottom w:val="nil"/>
              <w:right w:val="single" w:sz="8" w:space="0" w:color="auto"/>
            </w:tcBorders>
            <w:shd w:val="clear" w:color="auto" w:fill="auto"/>
            <w:noWrap/>
            <w:vAlign w:val="bottom"/>
            <w:hideMark/>
          </w:tcPr>
          <w:p w14:paraId="4DC83577" w14:textId="77777777" w:rsidR="00091D2C" w:rsidRPr="000D4C2B" w:rsidRDefault="00091D2C">
            <w:pPr>
              <w:jc w:val="center"/>
              <w:rPr>
                <w:color w:val="000000"/>
              </w:rPr>
            </w:pPr>
            <w:r w:rsidRPr="000D4C2B">
              <w:rPr>
                <w:color w:val="000000"/>
              </w:rPr>
              <w:t>318</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14B7F0E6" w14:textId="77777777" w:rsidR="00091D2C" w:rsidRPr="000D4C2B" w:rsidRDefault="00091D2C">
            <w:pPr>
              <w:jc w:val="center"/>
              <w:rPr>
                <w:color w:val="000000"/>
              </w:rPr>
            </w:pPr>
            <w:r w:rsidRPr="000D4C2B">
              <w:rPr>
                <w:color w:val="000000"/>
              </w:rPr>
              <w:t>740</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6FA152C9" w14:textId="77777777" w:rsidR="00091D2C" w:rsidRPr="000D4C2B" w:rsidRDefault="00091D2C">
            <w:pPr>
              <w:jc w:val="center"/>
              <w:rPr>
                <w:color w:val="000000"/>
              </w:rPr>
            </w:pPr>
            <w:r w:rsidRPr="000D4C2B">
              <w:rPr>
                <w:color w:val="000000"/>
              </w:rPr>
              <w:t>2033</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1AF1E1CE" w14:textId="77777777" w:rsidR="00091D2C" w:rsidRPr="000D4C2B" w:rsidRDefault="00091D2C">
            <w:pPr>
              <w:jc w:val="center"/>
              <w:rPr>
                <w:color w:val="000000"/>
              </w:rPr>
            </w:pPr>
            <w:r w:rsidRPr="000D4C2B">
              <w:rPr>
                <w:color w:val="000000"/>
              </w:rPr>
              <w:t>3091</w:t>
            </w:r>
            <w:r w:rsidRPr="000D4C2B">
              <w:rPr>
                <w:b/>
                <w:bCs/>
                <w:color w:val="000000"/>
              </w:rPr>
              <w:t>A</w:t>
            </w:r>
          </w:p>
        </w:tc>
        <w:tc>
          <w:tcPr>
            <w:tcW w:w="1400" w:type="dxa"/>
            <w:tcBorders>
              <w:top w:val="nil"/>
              <w:left w:val="single" w:sz="8" w:space="0" w:color="auto"/>
              <w:bottom w:val="nil"/>
              <w:right w:val="nil"/>
            </w:tcBorders>
            <w:shd w:val="clear" w:color="auto" w:fill="auto"/>
            <w:noWrap/>
            <w:vAlign w:val="bottom"/>
            <w:hideMark/>
          </w:tcPr>
          <w:p w14:paraId="4C706E2F" w14:textId="77777777" w:rsidR="00091D2C" w:rsidRPr="000D4C2B" w:rsidRDefault="00091D2C">
            <w:pPr>
              <w:jc w:val="center"/>
              <w:rPr>
                <w:color w:val="000000"/>
              </w:rPr>
            </w:pPr>
            <w:r w:rsidRPr="000D4C2B">
              <w:rPr>
                <w:color w:val="000000"/>
              </w:rPr>
              <w:t>38</w:t>
            </w:r>
            <w:r w:rsidRPr="000D4C2B">
              <w:rPr>
                <w:b/>
                <w:bCs/>
                <w:color w:val="000000"/>
              </w:rPr>
              <w:t>A</w:t>
            </w:r>
          </w:p>
        </w:tc>
      </w:tr>
      <w:tr w:rsidR="00233176" w:rsidRPr="00233176" w14:paraId="7E861652" w14:textId="77777777" w:rsidTr="00233176">
        <w:trPr>
          <w:trHeight w:val="288"/>
        </w:trPr>
        <w:tc>
          <w:tcPr>
            <w:tcW w:w="1800" w:type="dxa"/>
            <w:tcBorders>
              <w:top w:val="nil"/>
              <w:left w:val="nil"/>
              <w:bottom w:val="nil"/>
              <w:right w:val="nil"/>
            </w:tcBorders>
            <w:shd w:val="clear" w:color="auto" w:fill="auto"/>
            <w:noWrap/>
            <w:vAlign w:val="bottom"/>
            <w:hideMark/>
          </w:tcPr>
          <w:p w14:paraId="7A934DA3" w14:textId="77777777" w:rsidR="00091D2C" w:rsidRPr="000D4C2B" w:rsidRDefault="00091D2C">
            <w:pPr>
              <w:jc w:val="right"/>
              <w:rPr>
                <w:color w:val="000000"/>
              </w:rPr>
            </w:pPr>
            <w:r w:rsidRPr="000D4C2B">
              <w:rPr>
                <w:color w:val="000000"/>
              </w:rPr>
              <w:t>NT</w:t>
            </w:r>
          </w:p>
        </w:tc>
        <w:tc>
          <w:tcPr>
            <w:tcW w:w="858" w:type="dxa"/>
            <w:tcBorders>
              <w:top w:val="nil"/>
              <w:left w:val="single" w:sz="8" w:space="0" w:color="auto"/>
              <w:bottom w:val="nil"/>
              <w:right w:val="single" w:sz="8" w:space="0" w:color="auto"/>
            </w:tcBorders>
            <w:shd w:val="clear" w:color="auto" w:fill="auto"/>
            <w:noWrap/>
            <w:vAlign w:val="bottom"/>
            <w:hideMark/>
          </w:tcPr>
          <w:p w14:paraId="00165BB5" w14:textId="77777777" w:rsidR="00091D2C" w:rsidRPr="000D4C2B" w:rsidRDefault="00091D2C">
            <w:pPr>
              <w:jc w:val="center"/>
              <w:rPr>
                <w:color w:val="000000"/>
              </w:rPr>
            </w:pPr>
            <w:r w:rsidRPr="000D4C2B">
              <w:rPr>
                <w:color w:val="000000"/>
              </w:rPr>
              <w:t>279</w:t>
            </w:r>
            <w:r w:rsidRPr="000D4C2B">
              <w:rPr>
                <w:b/>
                <w:bCs/>
                <w:color w:val="000000"/>
              </w:rPr>
              <w:t>A</w:t>
            </w:r>
          </w:p>
        </w:tc>
        <w:tc>
          <w:tcPr>
            <w:tcW w:w="1038" w:type="dxa"/>
            <w:tcBorders>
              <w:top w:val="nil"/>
              <w:left w:val="nil"/>
              <w:bottom w:val="nil"/>
              <w:right w:val="single" w:sz="8" w:space="0" w:color="auto"/>
            </w:tcBorders>
            <w:shd w:val="clear" w:color="auto" w:fill="auto"/>
            <w:noWrap/>
            <w:vAlign w:val="bottom"/>
            <w:hideMark/>
          </w:tcPr>
          <w:p w14:paraId="74C8DB09" w14:textId="77777777" w:rsidR="00091D2C" w:rsidRPr="000D4C2B" w:rsidRDefault="00091D2C">
            <w:pPr>
              <w:jc w:val="center"/>
              <w:rPr>
                <w:color w:val="000000"/>
              </w:rPr>
            </w:pPr>
            <w:r w:rsidRPr="000D4C2B">
              <w:rPr>
                <w:color w:val="000000"/>
              </w:rPr>
              <w:t>599</w:t>
            </w:r>
            <w:r w:rsidRPr="000D4C2B">
              <w:rPr>
                <w:b/>
                <w:bCs/>
                <w:color w:val="000000"/>
              </w:rPr>
              <w:t>B</w:t>
            </w:r>
          </w:p>
        </w:tc>
        <w:tc>
          <w:tcPr>
            <w:tcW w:w="1038" w:type="dxa"/>
            <w:tcBorders>
              <w:top w:val="nil"/>
              <w:left w:val="nil"/>
              <w:bottom w:val="nil"/>
              <w:right w:val="single" w:sz="8" w:space="0" w:color="auto"/>
            </w:tcBorders>
            <w:shd w:val="clear" w:color="auto" w:fill="auto"/>
            <w:noWrap/>
            <w:vAlign w:val="bottom"/>
            <w:hideMark/>
          </w:tcPr>
          <w:p w14:paraId="5887CF85" w14:textId="77777777" w:rsidR="00091D2C" w:rsidRPr="000D4C2B" w:rsidRDefault="00091D2C">
            <w:pPr>
              <w:jc w:val="center"/>
              <w:rPr>
                <w:color w:val="000000"/>
              </w:rPr>
            </w:pPr>
            <w:r w:rsidRPr="000D4C2B">
              <w:rPr>
                <w:color w:val="000000"/>
              </w:rPr>
              <w:t>1542</w:t>
            </w:r>
            <w:r w:rsidRPr="000D4C2B">
              <w:rPr>
                <w:b/>
                <w:bCs/>
                <w:color w:val="000000"/>
              </w:rPr>
              <w:t>B</w:t>
            </w:r>
          </w:p>
        </w:tc>
        <w:tc>
          <w:tcPr>
            <w:tcW w:w="1038" w:type="dxa"/>
            <w:tcBorders>
              <w:top w:val="nil"/>
              <w:left w:val="nil"/>
              <w:bottom w:val="nil"/>
              <w:right w:val="single" w:sz="8" w:space="0" w:color="auto"/>
            </w:tcBorders>
            <w:shd w:val="clear" w:color="auto" w:fill="auto"/>
            <w:noWrap/>
            <w:vAlign w:val="bottom"/>
            <w:hideMark/>
          </w:tcPr>
          <w:p w14:paraId="6D31147B" w14:textId="77777777" w:rsidR="00091D2C" w:rsidRPr="000D4C2B" w:rsidRDefault="00091D2C">
            <w:pPr>
              <w:jc w:val="center"/>
              <w:rPr>
                <w:color w:val="000000"/>
              </w:rPr>
            </w:pPr>
            <w:r w:rsidRPr="000D4C2B">
              <w:rPr>
                <w:color w:val="000000"/>
              </w:rPr>
              <w:t>2420</w:t>
            </w:r>
            <w:r w:rsidRPr="000D4C2B">
              <w:rPr>
                <w:b/>
                <w:bCs/>
                <w:color w:val="000000"/>
              </w:rPr>
              <w:t>B</w:t>
            </w:r>
          </w:p>
        </w:tc>
        <w:tc>
          <w:tcPr>
            <w:tcW w:w="1400" w:type="dxa"/>
            <w:tcBorders>
              <w:top w:val="nil"/>
              <w:left w:val="single" w:sz="8" w:space="0" w:color="auto"/>
              <w:bottom w:val="nil"/>
              <w:right w:val="nil"/>
            </w:tcBorders>
            <w:shd w:val="clear" w:color="auto" w:fill="auto"/>
            <w:noWrap/>
            <w:vAlign w:val="bottom"/>
            <w:hideMark/>
          </w:tcPr>
          <w:p w14:paraId="0EEB937F" w14:textId="77777777" w:rsidR="00091D2C" w:rsidRPr="000D4C2B" w:rsidRDefault="00091D2C">
            <w:pPr>
              <w:jc w:val="center"/>
              <w:rPr>
                <w:color w:val="000000"/>
              </w:rPr>
            </w:pPr>
            <w:r w:rsidRPr="000D4C2B">
              <w:rPr>
                <w:color w:val="000000"/>
              </w:rPr>
              <w:t>36</w:t>
            </w:r>
            <w:r w:rsidRPr="000D4C2B">
              <w:rPr>
                <w:b/>
                <w:bCs/>
                <w:color w:val="000000"/>
              </w:rPr>
              <w:t>A</w:t>
            </w:r>
          </w:p>
        </w:tc>
      </w:tr>
      <w:tr w:rsidR="00233176" w:rsidRPr="00233176" w14:paraId="17CE5D5C" w14:textId="77777777" w:rsidTr="00233176">
        <w:trPr>
          <w:trHeight w:val="288"/>
        </w:trPr>
        <w:tc>
          <w:tcPr>
            <w:tcW w:w="1800" w:type="dxa"/>
            <w:tcBorders>
              <w:top w:val="nil"/>
              <w:left w:val="nil"/>
              <w:bottom w:val="nil"/>
              <w:right w:val="nil"/>
            </w:tcBorders>
            <w:shd w:val="clear" w:color="auto" w:fill="auto"/>
            <w:noWrap/>
            <w:vAlign w:val="bottom"/>
            <w:hideMark/>
          </w:tcPr>
          <w:p w14:paraId="791347EA" w14:textId="77777777" w:rsidR="00091D2C" w:rsidRPr="000D4C2B" w:rsidRDefault="00091D2C">
            <w:pPr>
              <w:jc w:val="right"/>
              <w:rPr>
                <w:color w:val="000000"/>
              </w:rPr>
            </w:pPr>
            <w:r w:rsidRPr="000D4C2B">
              <w:rPr>
                <w:color w:val="000000"/>
              </w:rPr>
              <w:t>SEM</w:t>
            </w:r>
          </w:p>
        </w:tc>
        <w:tc>
          <w:tcPr>
            <w:tcW w:w="858" w:type="dxa"/>
            <w:tcBorders>
              <w:top w:val="nil"/>
              <w:left w:val="single" w:sz="8" w:space="0" w:color="auto"/>
              <w:bottom w:val="nil"/>
              <w:right w:val="single" w:sz="8" w:space="0" w:color="auto"/>
            </w:tcBorders>
            <w:shd w:val="clear" w:color="auto" w:fill="auto"/>
            <w:noWrap/>
            <w:vAlign w:val="bottom"/>
            <w:hideMark/>
          </w:tcPr>
          <w:p w14:paraId="73BACD39" w14:textId="77777777" w:rsidR="00091D2C" w:rsidRPr="000D4C2B" w:rsidRDefault="00091D2C">
            <w:pPr>
              <w:jc w:val="center"/>
              <w:rPr>
                <w:color w:val="000000"/>
              </w:rPr>
            </w:pPr>
            <w:r w:rsidRPr="000D4C2B">
              <w:rPr>
                <w:color w:val="000000"/>
              </w:rPr>
              <w:t>15</w:t>
            </w:r>
          </w:p>
        </w:tc>
        <w:tc>
          <w:tcPr>
            <w:tcW w:w="1038" w:type="dxa"/>
            <w:tcBorders>
              <w:top w:val="nil"/>
              <w:left w:val="nil"/>
              <w:bottom w:val="nil"/>
              <w:right w:val="single" w:sz="8" w:space="0" w:color="auto"/>
            </w:tcBorders>
            <w:shd w:val="clear" w:color="auto" w:fill="auto"/>
            <w:noWrap/>
            <w:vAlign w:val="bottom"/>
            <w:hideMark/>
          </w:tcPr>
          <w:p w14:paraId="605FEF3A" w14:textId="77777777" w:rsidR="00091D2C" w:rsidRPr="000D4C2B" w:rsidRDefault="00091D2C">
            <w:pPr>
              <w:jc w:val="center"/>
              <w:rPr>
                <w:color w:val="000000"/>
              </w:rPr>
            </w:pPr>
            <w:r w:rsidRPr="000D4C2B">
              <w:rPr>
                <w:color w:val="000000"/>
              </w:rPr>
              <w:t>21</w:t>
            </w:r>
          </w:p>
        </w:tc>
        <w:tc>
          <w:tcPr>
            <w:tcW w:w="1038" w:type="dxa"/>
            <w:tcBorders>
              <w:top w:val="nil"/>
              <w:left w:val="nil"/>
              <w:bottom w:val="nil"/>
              <w:right w:val="single" w:sz="8" w:space="0" w:color="auto"/>
            </w:tcBorders>
            <w:shd w:val="clear" w:color="auto" w:fill="auto"/>
            <w:noWrap/>
            <w:vAlign w:val="bottom"/>
            <w:hideMark/>
          </w:tcPr>
          <w:p w14:paraId="5B697715" w14:textId="77777777" w:rsidR="00091D2C" w:rsidRPr="000D4C2B" w:rsidRDefault="00091D2C">
            <w:pPr>
              <w:jc w:val="center"/>
              <w:rPr>
                <w:color w:val="000000"/>
              </w:rPr>
            </w:pPr>
            <w:r w:rsidRPr="000D4C2B">
              <w:rPr>
                <w:color w:val="000000"/>
              </w:rPr>
              <w:t>52</w:t>
            </w:r>
          </w:p>
        </w:tc>
        <w:tc>
          <w:tcPr>
            <w:tcW w:w="1038" w:type="dxa"/>
            <w:tcBorders>
              <w:top w:val="nil"/>
              <w:left w:val="nil"/>
              <w:bottom w:val="nil"/>
              <w:right w:val="single" w:sz="8" w:space="0" w:color="auto"/>
            </w:tcBorders>
            <w:shd w:val="clear" w:color="auto" w:fill="auto"/>
            <w:noWrap/>
            <w:vAlign w:val="bottom"/>
            <w:hideMark/>
          </w:tcPr>
          <w:p w14:paraId="780A59DC" w14:textId="77777777" w:rsidR="00091D2C" w:rsidRPr="000D4C2B" w:rsidRDefault="00091D2C">
            <w:pPr>
              <w:jc w:val="center"/>
              <w:rPr>
                <w:color w:val="000000"/>
              </w:rPr>
            </w:pPr>
            <w:r w:rsidRPr="000D4C2B">
              <w:rPr>
                <w:color w:val="000000"/>
              </w:rPr>
              <w:t>81</w:t>
            </w:r>
          </w:p>
        </w:tc>
        <w:tc>
          <w:tcPr>
            <w:tcW w:w="1400" w:type="dxa"/>
            <w:tcBorders>
              <w:top w:val="nil"/>
              <w:left w:val="single" w:sz="8" w:space="0" w:color="auto"/>
              <w:bottom w:val="nil"/>
              <w:right w:val="nil"/>
            </w:tcBorders>
            <w:shd w:val="clear" w:color="auto" w:fill="auto"/>
            <w:noWrap/>
            <w:vAlign w:val="bottom"/>
            <w:hideMark/>
          </w:tcPr>
          <w:p w14:paraId="40264914" w14:textId="77777777" w:rsidR="00091D2C" w:rsidRPr="000D4C2B" w:rsidRDefault="00091D2C">
            <w:pPr>
              <w:jc w:val="center"/>
              <w:rPr>
                <w:color w:val="000000"/>
              </w:rPr>
            </w:pPr>
            <w:r w:rsidRPr="000D4C2B">
              <w:rPr>
                <w:color w:val="000000"/>
              </w:rPr>
              <w:t>2</w:t>
            </w:r>
          </w:p>
        </w:tc>
      </w:tr>
      <w:tr w:rsidR="00233176" w:rsidRPr="00233176" w14:paraId="6ECB7976" w14:textId="77777777" w:rsidTr="00233176">
        <w:trPr>
          <w:trHeight w:val="300"/>
        </w:trPr>
        <w:tc>
          <w:tcPr>
            <w:tcW w:w="1800" w:type="dxa"/>
            <w:tcBorders>
              <w:top w:val="nil"/>
              <w:left w:val="nil"/>
              <w:bottom w:val="single" w:sz="8" w:space="0" w:color="auto"/>
              <w:right w:val="nil"/>
            </w:tcBorders>
            <w:shd w:val="clear" w:color="auto" w:fill="auto"/>
            <w:noWrap/>
            <w:vAlign w:val="bottom"/>
            <w:hideMark/>
          </w:tcPr>
          <w:p w14:paraId="62E044C6" w14:textId="77777777" w:rsidR="00091D2C" w:rsidRPr="000D4C2B" w:rsidRDefault="00091D2C">
            <w:pPr>
              <w:jc w:val="right"/>
              <w:rPr>
                <w:i/>
                <w:iCs/>
                <w:color w:val="000000"/>
              </w:rPr>
            </w:pPr>
            <w:r w:rsidRPr="000D4C2B">
              <w:rPr>
                <w:i/>
                <w:iCs/>
                <w:color w:val="000000"/>
              </w:rPr>
              <w:t>P-value</w:t>
            </w:r>
          </w:p>
        </w:tc>
        <w:tc>
          <w:tcPr>
            <w:tcW w:w="858" w:type="dxa"/>
            <w:tcBorders>
              <w:top w:val="nil"/>
              <w:left w:val="single" w:sz="8" w:space="0" w:color="auto"/>
              <w:bottom w:val="single" w:sz="8" w:space="0" w:color="auto"/>
              <w:right w:val="single" w:sz="8" w:space="0" w:color="auto"/>
            </w:tcBorders>
            <w:shd w:val="clear" w:color="auto" w:fill="auto"/>
            <w:noWrap/>
            <w:vAlign w:val="bottom"/>
            <w:hideMark/>
          </w:tcPr>
          <w:p w14:paraId="50BB3C2A" w14:textId="77777777" w:rsidR="00091D2C" w:rsidRPr="000D4C2B" w:rsidRDefault="00091D2C">
            <w:pPr>
              <w:jc w:val="center"/>
              <w:rPr>
                <w:i/>
                <w:iCs/>
                <w:color w:val="000000"/>
              </w:rPr>
            </w:pPr>
            <w:r w:rsidRPr="000D4C2B">
              <w:rPr>
                <w:i/>
                <w:iCs/>
                <w:color w:val="000000"/>
              </w:rPr>
              <w:t>0.1082</w:t>
            </w:r>
          </w:p>
        </w:tc>
        <w:tc>
          <w:tcPr>
            <w:tcW w:w="1038" w:type="dxa"/>
            <w:tcBorders>
              <w:top w:val="nil"/>
              <w:left w:val="nil"/>
              <w:bottom w:val="single" w:sz="8" w:space="0" w:color="auto"/>
              <w:right w:val="single" w:sz="8" w:space="0" w:color="auto"/>
            </w:tcBorders>
            <w:shd w:val="clear" w:color="auto" w:fill="auto"/>
            <w:noWrap/>
            <w:vAlign w:val="bottom"/>
            <w:hideMark/>
          </w:tcPr>
          <w:p w14:paraId="3A00081A" w14:textId="77777777" w:rsidR="00091D2C" w:rsidRPr="000D4C2B" w:rsidRDefault="00091D2C">
            <w:pPr>
              <w:jc w:val="center"/>
              <w:rPr>
                <w:i/>
                <w:iCs/>
                <w:color w:val="000000"/>
              </w:rPr>
            </w:pPr>
            <w:r w:rsidRPr="000D4C2B">
              <w:rPr>
                <w:i/>
                <w:iCs/>
                <w:color w:val="000000"/>
              </w:rPr>
              <w:t>0.0134</w:t>
            </w:r>
          </w:p>
        </w:tc>
        <w:tc>
          <w:tcPr>
            <w:tcW w:w="1038" w:type="dxa"/>
            <w:tcBorders>
              <w:top w:val="nil"/>
              <w:left w:val="nil"/>
              <w:bottom w:val="single" w:sz="8" w:space="0" w:color="auto"/>
              <w:right w:val="single" w:sz="8" w:space="0" w:color="auto"/>
            </w:tcBorders>
            <w:shd w:val="clear" w:color="auto" w:fill="auto"/>
            <w:noWrap/>
            <w:vAlign w:val="bottom"/>
            <w:hideMark/>
          </w:tcPr>
          <w:p w14:paraId="2E43960D" w14:textId="77777777" w:rsidR="00091D2C" w:rsidRPr="000D4C2B" w:rsidRDefault="00091D2C">
            <w:pPr>
              <w:jc w:val="center"/>
              <w:rPr>
                <w:i/>
                <w:iCs/>
                <w:color w:val="000000"/>
              </w:rPr>
            </w:pPr>
            <w:r w:rsidRPr="000D4C2B">
              <w:rPr>
                <w:i/>
                <w:iCs/>
                <w:color w:val="000000"/>
              </w:rPr>
              <w:t>0.0034</w:t>
            </w:r>
          </w:p>
        </w:tc>
        <w:tc>
          <w:tcPr>
            <w:tcW w:w="1038" w:type="dxa"/>
            <w:tcBorders>
              <w:top w:val="nil"/>
              <w:left w:val="nil"/>
              <w:bottom w:val="single" w:sz="8" w:space="0" w:color="auto"/>
              <w:right w:val="single" w:sz="8" w:space="0" w:color="auto"/>
            </w:tcBorders>
            <w:shd w:val="clear" w:color="auto" w:fill="auto"/>
            <w:noWrap/>
            <w:vAlign w:val="bottom"/>
            <w:hideMark/>
          </w:tcPr>
          <w:p w14:paraId="71E04AEF" w14:textId="77777777" w:rsidR="00091D2C" w:rsidRPr="000D4C2B" w:rsidRDefault="00091D2C">
            <w:pPr>
              <w:jc w:val="center"/>
              <w:rPr>
                <w:i/>
                <w:iCs/>
                <w:color w:val="000000"/>
              </w:rPr>
            </w:pPr>
            <w:r w:rsidRPr="000D4C2B">
              <w:rPr>
                <w:i/>
                <w:iCs/>
                <w:color w:val="000000"/>
              </w:rPr>
              <w:t>0.0037</w:t>
            </w:r>
          </w:p>
        </w:tc>
        <w:tc>
          <w:tcPr>
            <w:tcW w:w="1400" w:type="dxa"/>
            <w:tcBorders>
              <w:top w:val="nil"/>
              <w:left w:val="single" w:sz="8" w:space="0" w:color="auto"/>
              <w:bottom w:val="single" w:sz="8" w:space="0" w:color="auto"/>
              <w:right w:val="nil"/>
            </w:tcBorders>
            <w:shd w:val="clear" w:color="auto" w:fill="auto"/>
            <w:noWrap/>
            <w:vAlign w:val="bottom"/>
            <w:hideMark/>
          </w:tcPr>
          <w:p w14:paraId="44A7A756" w14:textId="77777777" w:rsidR="00091D2C" w:rsidRPr="000D4C2B" w:rsidRDefault="00091D2C">
            <w:pPr>
              <w:jc w:val="center"/>
              <w:rPr>
                <w:i/>
                <w:iCs/>
                <w:color w:val="000000"/>
              </w:rPr>
            </w:pPr>
            <w:r w:rsidRPr="000D4C2B">
              <w:rPr>
                <w:i/>
                <w:iCs/>
                <w:color w:val="000000"/>
              </w:rPr>
              <w:t>0.5716</w:t>
            </w:r>
          </w:p>
        </w:tc>
      </w:tr>
      <w:tr w:rsidR="00233176" w:rsidRPr="00233176" w14:paraId="3AD80E82" w14:textId="77777777" w:rsidTr="00233176">
        <w:trPr>
          <w:trHeight w:val="288"/>
        </w:trPr>
        <w:tc>
          <w:tcPr>
            <w:tcW w:w="1800" w:type="dxa"/>
            <w:tcBorders>
              <w:top w:val="nil"/>
              <w:left w:val="nil"/>
              <w:bottom w:val="nil"/>
              <w:right w:val="single" w:sz="4" w:space="0" w:color="auto"/>
            </w:tcBorders>
            <w:shd w:val="clear" w:color="auto" w:fill="auto"/>
            <w:noWrap/>
            <w:vAlign w:val="bottom"/>
            <w:hideMark/>
          </w:tcPr>
          <w:p w14:paraId="0EFFA14D" w14:textId="77777777" w:rsidR="00091D2C" w:rsidRPr="000D4C2B" w:rsidRDefault="00091D2C">
            <w:pPr>
              <w:jc w:val="right"/>
              <w:rPr>
                <w:color w:val="000000"/>
              </w:rPr>
            </w:pPr>
            <w:r w:rsidRPr="000D4C2B">
              <w:rPr>
                <w:color w:val="000000"/>
              </w:rPr>
              <w:t>Fallow</w:t>
            </w:r>
          </w:p>
        </w:tc>
        <w:tc>
          <w:tcPr>
            <w:tcW w:w="858" w:type="dxa"/>
            <w:tcBorders>
              <w:top w:val="nil"/>
              <w:left w:val="nil"/>
              <w:bottom w:val="nil"/>
              <w:right w:val="single" w:sz="4" w:space="0" w:color="auto"/>
            </w:tcBorders>
            <w:shd w:val="clear" w:color="auto" w:fill="auto"/>
            <w:noWrap/>
            <w:vAlign w:val="bottom"/>
            <w:hideMark/>
          </w:tcPr>
          <w:p w14:paraId="7FDBBD24" w14:textId="77777777" w:rsidR="00091D2C" w:rsidRPr="000D4C2B" w:rsidRDefault="00091D2C">
            <w:pPr>
              <w:jc w:val="center"/>
              <w:rPr>
                <w:color w:val="000000"/>
              </w:rPr>
            </w:pPr>
            <w:r w:rsidRPr="000D4C2B">
              <w:rPr>
                <w:color w:val="000000"/>
              </w:rPr>
              <w:t>278</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2BF41ACC" w14:textId="77777777" w:rsidR="00091D2C" w:rsidRPr="000D4C2B" w:rsidRDefault="00091D2C">
            <w:pPr>
              <w:jc w:val="center"/>
              <w:rPr>
                <w:color w:val="000000"/>
              </w:rPr>
            </w:pPr>
            <w:r w:rsidRPr="000D4C2B">
              <w:rPr>
                <w:color w:val="000000"/>
              </w:rPr>
              <w:t>675</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4EB4BC61" w14:textId="77777777" w:rsidR="00091D2C" w:rsidRPr="000D4C2B" w:rsidRDefault="00091D2C">
            <w:pPr>
              <w:jc w:val="center"/>
              <w:rPr>
                <w:color w:val="000000"/>
              </w:rPr>
            </w:pPr>
            <w:r w:rsidRPr="000D4C2B">
              <w:rPr>
                <w:color w:val="000000"/>
              </w:rPr>
              <w:t>1818</w:t>
            </w:r>
            <w:r w:rsidRPr="000D4C2B">
              <w:rPr>
                <w:b/>
                <w:bCs/>
                <w:color w:val="000000"/>
              </w:rPr>
              <w:t>a</w:t>
            </w:r>
          </w:p>
        </w:tc>
        <w:tc>
          <w:tcPr>
            <w:tcW w:w="1038" w:type="dxa"/>
            <w:tcBorders>
              <w:top w:val="nil"/>
              <w:left w:val="nil"/>
              <w:bottom w:val="nil"/>
              <w:right w:val="nil"/>
            </w:tcBorders>
            <w:shd w:val="clear" w:color="auto" w:fill="auto"/>
            <w:noWrap/>
            <w:vAlign w:val="bottom"/>
            <w:hideMark/>
          </w:tcPr>
          <w:p w14:paraId="06ABBEE4" w14:textId="77777777" w:rsidR="00091D2C" w:rsidRPr="000D4C2B" w:rsidRDefault="00091D2C">
            <w:pPr>
              <w:jc w:val="center"/>
              <w:rPr>
                <w:color w:val="000000"/>
              </w:rPr>
            </w:pPr>
            <w:r w:rsidRPr="000D4C2B">
              <w:rPr>
                <w:color w:val="000000"/>
              </w:rPr>
              <w:t>2771</w:t>
            </w:r>
            <w:r w:rsidRPr="000D4C2B">
              <w:rPr>
                <w:b/>
                <w:bCs/>
                <w:color w:val="000000"/>
              </w:rPr>
              <w:t>a</w:t>
            </w:r>
          </w:p>
        </w:tc>
        <w:tc>
          <w:tcPr>
            <w:tcW w:w="1400" w:type="dxa"/>
            <w:tcBorders>
              <w:top w:val="nil"/>
              <w:left w:val="single" w:sz="4" w:space="0" w:color="auto"/>
              <w:bottom w:val="nil"/>
              <w:right w:val="nil"/>
            </w:tcBorders>
            <w:shd w:val="clear" w:color="auto" w:fill="auto"/>
            <w:noWrap/>
            <w:vAlign w:val="bottom"/>
            <w:hideMark/>
          </w:tcPr>
          <w:p w14:paraId="05C6E8A7" w14:textId="77777777" w:rsidR="00091D2C" w:rsidRPr="000D4C2B" w:rsidRDefault="00091D2C">
            <w:pPr>
              <w:jc w:val="center"/>
              <w:rPr>
                <w:color w:val="000000"/>
              </w:rPr>
            </w:pPr>
            <w:r w:rsidRPr="000D4C2B">
              <w:rPr>
                <w:color w:val="000000"/>
              </w:rPr>
              <w:t>34</w:t>
            </w:r>
            <w:r w:rsidRPr="000D4C2B">
              <w:rPr>
                <w:b/>
                <w:bCs/>
                <w:color w:val="000000"/>
              </w:rPr>
              <w:t>a</w:t>
            </w:r>
          </w:p>
        </w:tc>
      </w:tr>
      <w:tr w:rsidR="00233176" w:rsidRPr="00233176" w14:paraId="36EC39E7" w14:textId="77777777" w:rsidTr="00233176">
        <w:trPr>
          <w:trHeight w:val="288"/>
        </w:trPr>
        <w:tc>
          <w:tcPr>
            <w:tcW w:w="1800" w:type="dxa"/>
            <w:tcBorders>
              <w:top w:val="nil"/>
              <w:left w:val="nil"/>
              <w:bottom w:val="nil"/>
              <w:right w:val="single" w:sz="4" w:space="0" w:color="auto"/>
            </w:tcBorders>
            <w:shd w:val="clear" w:color="auto" w:fill="auto"/>
            <w:noWrap/>
            <w:vAlign w:val="bottom"/>
            <w:hideMark/>
          </w:tcPr>
          <w:p w14:paraId="0DB161C7" w14:textId="77777777" w:rsidR="00091D2C" w:rsidRPr="000D4C2B" w:rsidRDefault="00091D2C">
            <w:pPr>
              <w:jc w:val="right"/>
              <w:rPr>
                <w:color w:val="000000"/>
              </w:rPr>
            </w:pPr>
            <w:r w:rsidRPr="000D4C2B">
              <w:rPr>
                <w:color w:val="000000"/>
              </w:rPr>
              <w:t>Cereal Rye</w:t>
            </w:r>
          </w:p>
        </w:tc>
        <w:tc>
          <w:tcPr>
            <w:tcW w:w="858" w:type="dxa"/>
            <w:tcBorders>
              <w:top w:val="nil"/>
              <w:left w:val="nil"/>
              <w:bottom w:val="nil"/>
              <w:right w:val="single" w:sz="4" w:space="0" w:color="auto"/>
            </w:tcBorders>
            <w:shd w:val="clear" w:color="auto" w:fill="auto"/>
            <w:noWrap/>
            <w:vAlign w:val="bottom"/>
            <w:hideMark/>
          </w:tcPr>
          <w:p w14:paraId="6900CCE2" w14:textId="77777777" w:rsidR="00091D2C" w:rsidRPr="000D4C2B" w:rsidRDefault="00091D2C">
            <w:pPr>
              <w:jc w:val="center"/>
              <w:rPr>
                <w:color w:val="000000"/>
              </w:rPr>
            </w:pPr>
            <w:r w:rsidRPr="000D4C2B">
              <w:rPr>
                <w:color w:val="000000"/>
              </w:rPr>
              <w:t>303</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5EC0DFC7" w14:textId="77777777" w:rsidR="00091D2C" w:rsidRPr="000D4C2B" w:rsidRDefault="00091D2C">
            <w:pPr>
              <w:jc w:val="center"/>
              <w:rPr>
                <w:color w:val="000000"/>
              </w:rPr>
            </w:pPr>
            <w:r w:rsidRPr="000D4C2B">
              <w:rPr>
                <w:color w:val="000000"/>
              </w:rPr>
              <w:t>658</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2855C1CA" w14:textId="77777777" w:rsidR="00091D2C" w:rsidRPr="000D4C2B" w:rsidRDefault="00091D2C">
            <w:pPr>
              <w:jc w:val="center"/>
              <w:rPr>
                <w:color w:val="000000"/>
              </w:rPr>
            </w:pPr>
            <w:r w:rsidRPr="000D4C2B">
              <w:rPr>
                <w:color w:val="000000"/>
              </w:rPr>
              <w:t>1719</w:t>
            </w:r>
            <w:r w:rsidRPr="000D4C2B">
              <w:rPr>
                <w:b/>
                <w:bCs/>
                <w:color w:val="000000"/>
              </w:rPr>
              <w:t>a</w:t>
            </w:r>
          </w:p>
        </w:tc>
        <w:tc>
          <w:tcPr>
            <w:tcW w:w="1038" w:type="dxa"/>
            <w:tcBorders>
              <w:top w:val="nil"/>
              <w:left w:val="nil"/>
              <w:bottom w:val="nil"/>
              <w:right w:val="nil"/>
            </w:tcBorders>
            <w:shd w:val="clear" w:color="auto" w:fill="auto"/>
            <w:noWrap/>
            <w:vAlign w:val="bottom"/>
            <w:hideMark/>
          </w:tcPr>
          <w:p w14:paraId="7CF83CD1" w14:textId="77777777" w:rsidR="00091D2C" w:rsidRPr="000D4C2B" w:rsidRDefault="00091D2C">
            <w:pPr>
              <w:jc w:val="center"/>
              <w:rPr>
                <w:color w:val="000000"/>
              </w:rPr>
            </w:pPr>
            <w:r w:rsidRPr="000D4C2B">
              <w:rPr>
                <w:color w:val="000000"/>
              </w:rPr>
              <w:t>2680</w:t>
            </w:r>
            <w:r w:rsidRPr="000D4C2B">
              <w:rPr>
                <w:b/>
                <w:bCs/>
                <w:color w:val="000000"/>
              </w:rPr>
              <w:t>a</w:t>
            </w:r>
          </w:p>
        </w:tc>
        <w:tc>
          <w:tcPr>
            <w:tcW w:w="1400" w:type="dxa"/>
            <w:tcBorders>
              <w:top w:val="nil"/>
              <w:left w:val="single" w:sz="4" w:space="0" w:color="auto"/>
              <w:bottom w:val="nil"/>
              <w:right w:val="nil"/>
            </w:tcBorders>
            <w:shd w:val="clear" w:color="auto" w:fill="auto"/>
            <w:noWrap/>
            <w:vAlign w:val="bottom"/>
            <w:hideMark/>
          </w:tcPr>
          <w:p w14:paraId="5A422758" w14:textId="77777777" w:rsidR="00091D2C" w:rsidRPr="000D4C2B" w:rsidRDefault="00091D2C">
            <w:pPr>
              <w:jc w:val="center"/>
              <w:rPr>
                <w:color w:val="000000"/>
              </w:rPr>
            </w:pPr>
            <w:r w:rsidRPr="000D4C2B">
              <w:rPr>
                <w:color w:val="000000"/>
              </w:rPr>
              <w:t>39</w:t>
            </w:r>
            <w:r w:rsidRPr="000D4C2B">
              <w:rPr>
                <w:b/>
                <w:bCs/>
                <w:color w:val="000000"/>
              </w:rPr>
              <w:t>a</w:t>
            </w:r>
          </w:p>
        </w:tc>
      </w:tr>
      <w:tr w:rsidR="00233176" w:rsidRPr="00233176" w14:paraId="3E465228" w14:textId="77777777" w:rsidTr="00233176">
        <w:trPr>
          <w:trHeight w:val="288"/>
        </w:trPr>
        <w:tc>
          <w:tcPr>
            <w:tcW w:w="1800" w:type="dxa"/>
            <w:tcBorders>
              <w:top w:val="nil"/>
              <w:left w:val="nil"/>
              <w:bottom w:val="nil"/>
              <w:right w:val="single" w:sz="4" w:space="0" w:color="auto"/>
            </w:tcBorders>
            <w:shd w:val="clear" w:color="auto" w:fill="auto"/>
            <w:noWrap/>
            <w:vAlign w:val="bottom"/>
            <w:hideMark/>
          </w:tcPr>
          <w:p w14:paraId="1F763214" w14:textId="77777777" w:rsidR="00091D2C" w:rsidRPr="000D4C2B" w:rsidRDefault="00091D2C">
            <w:pPr>
              <w:jc w:val="right"/>
              <w:rPr>
                <w:color w:val="000000"/>
              </w:rPr>
            </w:pPr>
            <w:r w:rsidRPr="000D4C2B">
              <w:rPr>
                <w:color w:val="000000"/>
              </w:rPr>
              <w:t>Crimson Clover</w:t>
            </w:r>
          </w:p>
        </w:tc>
        <w:tc>
          <w:tcPr>
            <w:tcW w:w="858" w:type="dxa"/>
            <w:tcBorders>
              <w:top w:val="nil"/>
              <w:left w:val="nil"/>
              <w:bottom w:val="nil"/>
              <w:right w:val="single" w:sz="4" w:space="0" w:color="auto"/>
            </w:tcBorders>
            <w:shd w:val="clear" w:color="auto" w:fill="auto"/>
            <w:noWrap/>
            <w:vAlign w:val="bottom"/>
            <w:hideMark/>
          </w:tcPr>
          <w:p w14:paraId="146BF6F8" w14:textId="77777777" w:rsidR="00091D2C" w:rsidRPr="000D4C2B" w:rsidRDefault="00091D2C">
            <w:pPr>
              <w:jc w:val="center"/>
              <w:rPr>
                <w:color w:val="000000"/>
              </w:rPr>
            </w:pPr>
            <w:r w:rsidRPr="000D4C2B">
              <w:rPr>
                <w:color w:val="000000"/>
              </w:rPr>
              <w:t>311</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0CEE496F" w14:textId="77777777" w:rsidR="00091D2C" w:rsidRPr="000D4C2B" w:rsidRDefault="00091D2C">
            <w:pPr>
              <w:jc w:val="center"/>
              <w:rPr>
                <w:color w:val="000000"/>
              </w:rPr>
            </w:pPr>
            <w:r w:rsidRPr="000D4C2B">
              <w:rPr>
                <w:color w:val="000000"/>
              </w:rPr>
              <w:t>692</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2C83E9CA" w14:textId="77777777" w:rsidR="00091D2C" w:rsidRPr="000D4C2B" w:rsidRDefault="00091D2C">
            <w:pPr>
              <w:jc w:val="center"/>
              <w:rPr>
                <w:color w:val="000000"/>
              </w:rPr>
            </w:pPr>
            <w:r w:rsidRPr="000D4C2B">
              <w:rPr>
                <w:color w:val="000000"/>
              </w:rPr>
              <w:t>1852</w:t>
            </w:r>
            <w:r w:rsidRPr="000D4C2B">
              <w:rPr>
                <w:b/>
                <w:bCs/>
                <w:color w:val="000000"/>
              </w:rPr>
              <w:t>a</w:t>
            </w:r>
          </w:p>
        </w:tc>
        <w:tc>
          <w:tcPr>
            <w:tcW w:w="1038" w:type="dxa"/>
            <w:tcBorders>
              <w:top w:val="nil"/>
              <w:left w:val="nil"/>
              <w:bottom w:val="nil"/>
              <w:right w:val="nil"/>
            </w:tcBorders>
            <w:shd w:val="clear" w:color="auto" w:fill="auto"/>
            <w:noWrap/>
            <w:vAlign w:val="bottom"/>
            <w:hideMark/>
          </w:tcPr>
          <w:p w14:paraId="5BACA247" w14:textId="77777777" w:rsidR="00091D2C" w:rsidRPr="000D4C2B" w:rsidRDefault="00091D2C">
            <w:pPr>
              <w:jc w:val="center"/>
              <w:rPr>
                <w:color w:val="000000"/>
              </w:rPr>
            </w:pPr>
            <w:r w:rsidRPr="000D4C2B">
              <w:rPr>
                <w:color w:val="000000"/>
              </w:rPr>
              <w:t>2855</w:t>
            </w:r>
            <w:r w:rsidRPr="000D4C2B">
              <w:rPr>
                <w:b/>
                <w:bCs/>
                <w:color w:val="000000"/>
              </w:rPr>
              <w:t>a</w:t>
            </w:r>
          </w:p>
        </w:tc>
        <w:tc>
          <w:tcPr>
            <w:tcW w:w="1400" w:type="dxa"/>
            <w:tcBorders>
              <w:top w:val="nil"/>
              <w:left w:val="single" w:sz="4" w:space="0" w:color="auto"/>
              <w:bottom w:val="nil"/>
              <w:right w:val="nil"/>
            </w:tcBorders>
            <w:shd w:val="clear" w:color="auto" w:fill="auto"/>
            <w:noWrap/>
            <w:vAlign w:val="bottom"/>
            <w:hideMark/>
          </w:tcPr>
          <w:p w14:paraId="08DA6AF8" w14:textId="77777777" w:rsidR="00091D2C" w:rsidRPr="000D4C2B" w:rsidRDefault="00091D2C">
            <w:pPr>
              <w:jc w:val="center"/>
              <w:rPr>
                <w:b/>
                <w:bCs/>
                <w:color w:val="000000"/>
              </w:rPr>
            </w:pPr>
            <w:r w:rsidRPr="000D4C2B">
              <w:rPr>
                <w:color w:val="000000"/>
              </w:rPr>
              <w:t>37</w:t>
            </w:r>
            <w:r w:rsidRPr="000D4C2B">
              <w:rPr>
                <w:b/>
                <w:bCs/>
                <w:color w:val="000000"/>
              </w:rPr>
              <w:t>a</w:t>
            </w:r>
          </w:p>
        </w:tc>
      </w:tr>
      <w:tr w:rsidR="00233176" w:rsidRPr="00233176" w14:paraId="5C3E2925" w14:textId="77777777" w:rsidTr="00233176">
        <w:trPr>
          <w:trHeight w:val="288"/>
        </w:trPr>
        <w:tc>
          <w:tcPr>
            <w:tcW w:w="1800" w:type="dxa"/>
            <w:tcBorders>
              <w:top w:val="nil"/>
              <w:left w:val="nil"/>
              <w:bottom w:val="nil"/>
              <w:right w:val="single" w:sz="4" w:space="0" w:color="auto"/>
            </w:tcBorders>
            <w:shd w:val="clear" w:color="auto" w:fill="auto"/>
            <w:noWrap/>
            <w:vAlign w:val="bottom"/>
            <w:hideMark/>
          </w:tcPr>
          <w:p w14:paraId="2ACAACDD" w14:textId="77777777" w:rsidR="00091D2C" w:rsidRPr="000D4C2B" w:rsidRDefault="00091D2C">
            <w:pPr>
              <w:jc w:val="right"/>
              <w:rPr>
                <w:color w:val="000000"/>
              </w:rPr>
            </w:pPr>
            <w:r w:rsidRPr="000D4C2B">
              <w:rPr>
                <w:color w:val="000000"/>
              </w:rPr>
              <w:t>Hairy Vetch</w:t>
            </w:r>
          </w:p>
        </w:tc>
        <w:tc>
          <w:tcPr>
            <w:tcW w:w="858" w:type="dxa"/>
            <w:tcBorders>
              <w:top w:val="nil"/>
              <w:left w:val="nil"/>
              <w:bottom w:val="nil"/>
              <w:right w:val="single" w:sz="4" w:space="0" w:color="auto"/>
            </w:tcBorders>
            <w:shd w:val="clear" w:color="auto" w:fill="auto"/>
            <w:noWrap/>
            <w:vAlign w:val="bottom"/>
            <w:hideMark/>
          </w:tcPr>
          <w:p w14:paraId="3C565614" w14:textId="77777777" w:rsidR="00091D2C" w:rsidRPr="000D4C2B" w:rsidRDefault="00091D2C">
            <w:pPr>
              <w:jc w:val="center"/>
              <w:rPr>
                <w:color w:val="000000"/>
              </w:rPr>
            </w:pPr>
            <w:r w:rsidRPr="000D4C2B">
              <w:rPr>
                <w:color w:val="000000"/>
              </w:rPr>
              <w:t>301</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57311528" w14:textId="77777777" w:rsidR="00091D2C" w:rsidRPr="000D4C2B" w:rsidRDefault="00091D2C">
            <w:pPr>
              <w:jc w:val="center"/>
              <w:rPr>
                <w:color w:val="000000"/>
              </w:rPr>
            </w:pPr>
            <w:r w:rsidRPr="000D4C2B">
              <w:rPr>
                <w:color w:val="000000"/>
              </w:rPr>
              <w:t>652</w:t>
            </w:r>
            <w:r w:rsidRPr="000D4C2B">
              <w:rPr>
                <w:b/>
                <w:bCs/>
                <w:color w:val="000000"/>
              </w:rPr>
              <w:t>a</w:t>
            </w:r>
          </w:p>
        </w:tc>
        <w:tc>
          <w:tcPr>
            <w:tcW w:w="1038" w:type="dxa"/>
            <w:tcBorders>
              <w:top w:val="nil"/>
              <w:left w:val="nil"/>
              <w:bottom w:val="nil"/>
              <w:right w:val="single" w:sz="4" w:space="0" w:color="auto"/>
            </w:tcBorders>
            <w:shd w:val="clear" w:color="auto" w:fill="auto"/>
            <w:noWrap/>
            <w:vAlign w:val="bottom"/>
            <w:hideMark/>
          </w:tcPr>
          <w:p w14:paraId="11057BD9" w14:textId="77777777" w:rsidR="00091D2C" w:rsidRPr="000D4C2B" w:rsidRDefault="00091D2C">
            <w:pPr>
              <w:jc w:val="center"/>
              <w:rPr>
                <w:color w:val="000000"/>
              </w:rPr>
            </w:pPr>
            <w:r w:rsidRPr="000D4C2B">
              <w:rPr>
                <w:color w:val="000000"/>
              </w:rPr>
              <w:t>1762</w:t>
            </w:r>
            <w:r w:rsidRPr="000D4C2B">
              <w:rPr>
                <w:b/>
                <w:bCs/>
                <w:color w:val="000000"/>
              </w:rPr>
              <w:t>a</w:t>
            </w:r>
          </w:p>
        </w:tc>
        <w:tc>
          <w:tcPr>
            <w:tcW w:w="1038" w:type="dxa"/>
            <w:tcBorders>
              <w:top w:val="nil"/>
              <w:left w:val="nil"/>
              <w:bottom w:val="nil"/>
              <w:right w:val="nil"/>
            </w:tcBorders>
            <w:shd w:val="clear" w:color="auto" w:fill="auto"/>
            <w:noWrap/>
            <w:vAlign w:val="bottom"/>
            <w:hideMark/>
          </w:tcPr>
          <w:p w14:paraId="1A6CDEEB" w14:textId="77777777" w:rsidR="00091D2C" w:rsidRPr="000D4C2B" w:rsidRDefault="00091D2C">
            <w:pPr>
              <w:jc w:val="center"/>
              <w:rPr>
                <w:color w:val="000000"/>
              </w:rPr>
            </w:pPr>
            <w:r w:rsidRPr="000D4C2B">
              <w:rPr>
                <w:color w:val="000000"/>
              </w:rPr>
              <w:t>2715</w:t>
            </w:r>
            <w:r w:rsidRPr="000D4C2B">
              <w:rPr>
                <w:b/>
                <w:bCs/>
                <w:color w:val="000000"/>
              </w:rPr>
              <w:t>a</w:t>
            </w:r>
          </w:p>
        </w:tc>
        <w:tc>
          <w:tcPr>
            <w:tcW w:w="1400" w:type="dxa"/>
            <w:tcBorders>
              <w:top w:val="nil"/>
              <w:left w:val="single" w:sz="4" w:space="0" w:color="auto"/>
              <w:bottom w:val="nil"/>
              <w:right w:val="nil"/>
            </w:tcBorders>
            <w:shd w:val="clear" w:color="auto" w:fill="auto"/>
            <w:noWrap/>
            <w:vAlign w:val="bottom"/>
            <w:hideMark/>
          </w:tcPr>
          <w:p w14:paraId="5DB0A1DB" w14:textId="77777777" w:rsidR="00091D2C" w:rsidRPr="000D4C2B" w:rsidRDefault="00091D2C">
            <w:pPr>
              <w:jc w:val="center"/>
              <w:rPr>
                <w:color w:val="000000"/>
              </w:rPr>
            </w:pPr>
            <w:r w:rsidRPr="000D4C2B">
              <w:rPr>
                <w:color w:val="000000"/>
              </w:rPr>
              <w:t>39</w:t>
            </w:r>
            <w:r w:rsidRPr="000D4C2B">
              <w:rPr>
                <w:b/>
                <w:bCs/>
                <w:color w:val="000000"/>
              </w:rPr>
              <w:t>a</w:t>
            </w:r>
          </w:p>
        </w:tc>
      </w:tr>
      <w:tr w:rsidR="00233176" w:rsidRPr="00233176" w14:paraId="111DB902" w14:textId="77777777" w:rsidTr="00233176">
        <w:trPr>
          <w:trHeight w:val="288"/>
        </w:trPr>
        <w:tc>
          <w:tcPr>
            <w:tcW w:w="1800" w:type="dxa"/>
            <w:tcBorders>
              <w:top w:val="nil"/>
              <w:left w:val="nil"/>
              <w:bottom w:val="nil"/>
              <w:right w:val="single" w:sz="4" w:space="0" w:color="auto"/>
            </w:tcBorders>
            <w:shd w:val="clear" w:color="auto" w:fill="auto"/>
            <w:noWrap/>
            <w:vAlign w:val="bottom"/>
            <w:hideMark/>
          </w:tcPr>
          <w:p w14:paraId="57BD616F" w14:textId="77777777" w:rsidR="00091D2C" w:rsidRPr="000D4C2B" w:rsidRDefault="00091D2C">
            <w:pPr>
              <w:jc w:val="right"/>
              <w:rPr>
                <w:color w:val="000000"/>
              </w:rPr>
            </w:pPr>
            <w:r w:rsidRPr="000D4C2B">
              <w:rPr>
                <w:color w:val="000000"/>
              </w:rPr>
              <w:t>SEM</w:t>
            </w:r>
          </w:p>
        </w:tc>
        <w:tc>
          <w:tcPr>
            <w:tcW w:w="858" w:type="dxa"/>
            <w:tcBorders>
              <w:top w:val="nil"/>
              <w:left w:val="nil"/>
              <w:bottom w:val="nil"/>
              <w:right w:val="single" w:sz="4" w:space="0" w:color="auto"/>
            </w:tcBorders>
            <w:shd w:val="clear" w:color="auto" w:fill="auto"/>
            <w:noWrap/>
            <w:vAlign w:val="bottom"/>
            <w:hideMark/>
          </w:tcPr>
          <w:p w14:paraId="174FB5DF" w14:textId="77777777" w:rsidR="00091D2C" w:rsidRPr="000D4C2B" w:rsidRDefault="00091D2C">
            <w:pPr>
              <w:jc w:val="center"/>
              <w:rPr>
                <w:color w:val="000000"/>
              </w:rPr>
            </w:pPr>
            <w:r w:rsidRPr="000D4C2B">
              <w:rPr>
                <w:color w:val="000000"/>
              </w:rPr>
              <w:t>19</w:t>
            </w:r>
          </w:p>
        </w:tc>
        <w:tc>
          <w:tcPr>
            <w:tcW w:w="1038" w:type="dxa"/>
            <w:tcBorders>
              <w:top w:val="nil"/>
              <w:left w:val="nil"/>
              <w:bottom w:val="nil"/>
              <w:right w:val="single" w:sz="4" w:space="0" w:color="auto"/>
            </w:tcBorders>
            <w:shd w:val="clear" w:color="auto" w:fill="auto"/>
            <w:noWrap/>
            <w:vAlign w:val="bottom"/>
            <w:hideMark/>
          </w:tcPr>
          <w:p w14:paraId="6800D79E" w14:textId="77777777" w:rsidR="00091D2C" w:rsidRPr="000D4C2B" w:rsidRDefault="00091D2C">
            <w:pPr>
              <w:jc w:val="center"/>
              <w:rPr>
                <w:color w:val="000000"/>
              </w:rPr>
            </w:pPr>
            <w:r w:rsidRPr="000D4C2B">
              <w:rPr>
                <w:color w:val="000000"/>
              </w:rPr>
              <w:t>28</w:t>
            </w:r>
          </w:p>
        </w:tc>
        <w:tc>
          <w:tcPr>
            <w:tcW w:w="1038" w:type="dxa"/>
            <w:tcBorders>
              <w:top w:val="nil"/>
              <w:left w:val="nil"/>
              <w:bottom w:val="nil"/>
              <w:right w:val="single" w:sz="4" w:space="0" w:color="auto"/>
            </w:tcBorders>
            <w:shd w:val="clear" w:color="auto" w:fill="auto"/>
            <w:noWrap/>
            <w:vAlign w:val="bottom"/>
            <w:hideMark/>
          </w:tcPr>
          <w:p w14:paraId="035CBDAA" w14:textId="77777777" w:rsidR="00091D2C" w:rsidRPr="000D4C2B" w:rsidRDefault="00091D2C">
            <w:pPr>
              <w:jc w:val="center"/>
              <w:rPr>
                <w:color w:val="000000"/>
              </w:rPr>
            </w:pPr>
            <w:r w:rsidRPr="000D4C2B">
              <w:rPr>
                <w:color w:val="000000"/>
              </w:rPr>
              <w:t>66</w:t>
            </w:r>
          </w:p>
        </w:tc>
        <w:tc>
          <w:tcPr>
            <w:tcW w:w="1038" w:type="dxa"/>
            <w:tcBorders>
              <w:top w:val="nil"/>
              <w:left w:val="nil"/>
              <w:bottom w:val="nil"/>
              <w:right w:val="nil"/>
            </w:tcBorders>
            <w:shd w:val="clear" w:color="auto" w:fill="auto"/>
            <w:noWrap/>
            <w:vAlign w:val="bottom"/>
            <w:hideMark/>
          </w:tcPr>
          <w:p w14:paraId="17E4E080" w14:textId="77777777" w:rsidR="00091D2C" w:rsidRPr="000D4C2B" w:rsidRDefault="00091D2C">
            <w:pPr>
              <w:jc w:val="center"/>
              <w:rPr>
                <w:color w:val="000000"/>
              </w:rPr>
            </w:pPr>
            <w:r w:rsidRPr="000D4C2B">
              <w:rPr>
                <w:color w:val="000000"/>
              </w:rPr>
              <w:t>99</w:t>
            </w:r>
          </w:p>
        </w:tc>
        <w:tc>
          <w:tcPr>
            <w:tcW w:w="1400" w:type="dxa"/>
            <w:tcBorders>
              <w:top w:val="nil"/>
              <w:left w:val="single" w:sz="4" w:space="0" w:color="auto"/>
              <w:bottom w:val="nil"/>
              <w:right w:val="nil"/>
            </w:tcBorders>
            <w:shd w:val="clear" w:color="auto" w:fill="auto"/>
            <w:noWrap/>
            <w:vAlign w:val="bottom"/>
            <w:hideMark/>
          </w:tcPr>
          <w:p w14:paraId="42855BC0" w14:textId="77777777" w:rsidR="00091D2C" w:rsidRPr="000D4C2B" w:rsidRDefault="00091D2C">
            <w:pPr>
              <w:jc w:val="center"/>
              <w:rPr>
                <w:color w:val="000000"/>
              </w:rPr>
            </w:pPr>
            <w:r w:rsidRPr="000D4C2B">
              <w:rPr>
                <w:color w:val="000000"/>
              </w:rPr>
              <w:t>3</w:t>
            </w:r>
          </w:p>
        </w:tc>
      </w:tr>
      <w:tr w:rsidR="00233176" w:rsidRPr="00233176" w14:paraId="2642FD1B" w14:textId="77777777" w:rsidTr="00233176">
        <w:trPr>
          <w:trHeight w:val="288"/>
        </w:trPr>
        <w:tc>
          <w:tcPr>
            <w:tcW w:w="1800" w:type="dxa"/>
            <w:tcBorders>
              <w:top w:val="nil"/>
              <w:left w:val="nil"/>
              <w:bottom w:val="nil"/>
              <w:right w:val="single" w:sz="4" w:space="0" w:color="auto"/>
            </w:tcBorders>
            <w:shd w:val="clear" w:color="auto" w:fill="auto"/>
            <w:noWrap/>
            <w:vAlign w:val="bottom"/>
            <w:hideMark/>
          </w:tcPr>
          <w:p w14:paraId="3C4F368D" w14:textId="77777777" w:rsidR="00091D2C" w:rsidRPr="000D4C2B" w:rsidRDefault="00091D2C">
            <w:pPr>
              <w:jc w:val="right"/>
              <w:rPr>
                <w:i/>
                <w:iCs/>
                <w:color w:val="000000"/>
              </w:rPr>
            </w:pPr>
            <w:r w:rsidRPr="000D4C2B">
              <w:rPr>
                <w:i/>
                <w:iCs/>
                <w:color w:val="000000"/>
              </w:rPr>
              <w:t>P-value</w:t>
            </w:r>
          </w:p>
        </w:tc>
        <w:tc>
          <w:tcPr>
            <w:tcW w:w="858" w:type="dxa"/>
            <w:tcBorders>
              <w:top w:val="nil"/>
              <w:left w:val="nil"/>
              <w:bottom w:val="nil"/>
              <w:right w:val="single" w:sz="4" w:space="0" w:color="auto"/>
            </w:tcBorders>
            <w:shd w:val="clear" w:color="auto" w:fill="auto"/>
            <w:noWrap/>
            <w:vAlign w:val="bottom"/>
            <w:hideMark/>
          </w:tcPr>
          <w:p w14:paraId="45EC9B3C" w14:textId="77777777" w:rsidR="00091D2C" w:rsidRPr="000D4C2B" w:rsidRDefault="00091D2C">
            <w:pPr>
              <w:jc w:val="center"/>
              <w:rPr>
                <w:i/>
                <w:iCs/>
                <w:color w:val="000000"/>
              </w:rPr>
            </w:pPr>
            <w:r w:rsidRPr="000D4C2B">
              <w:rPr>
                <w:i/>
                <w:iCs/>
                <w:color w:val="000000"/>
              </w:rPr>
              <w:t>0.5687</w:t>
            </w:r>
          </w:p>
        </w:tc>
        <w:tc>
          <w:tcPr>
            <w:tcW w:w="1038" w:type="dxa"/>
            <w:tcBorders>
              <w:top w:val="nil"/>
              <w:left w:val="nil"/>
              <w:bottom w:val="nil"/>
              <w:right w:val="single" w:sz="4" w:space="0" w:color="auto"/>
            </w:tcBorders>
            <w:shd w:val="clear" w:color="auto" w:fill="auto"/>
            <w:noWrap/>
            <w:vAlign w:val="bottom"/>
            <w:hideMark/>
          </w:tcPr>
          <w:p w14:paraId="210C28BC" w14:textId="77777777" w:rsidR="00091D2C" w:rsidRPr="000D4C2B" w:rsidRDefault="00091D2C">
            <w:pPr>
              <w:jc w:val="center"/>
              <w:rPr>
                <w:i/>
                <w:iCs/>
                <w:color w:val="000000"/>
              </w:rPr>
            </w:pPr>
            <w:r w:rsidRPr="000D4C2B">
              <w:rPr>
                <w:i/>
                <w:iCs/>
                <w:color w:val="000000"/>
              </w:rPr>
              <w:t>0.7146</w:t>
            </w:r>
          </w:p>
        </w:tc>
        <w:tc>
          <w:tcPr>
            <w:tcW w:w="1038" w:type="dxa"/>
            <w:tcBorders>
              <w:top w:val="nil"/>
              <w:left w:val="nil"/>
              <w:bottom w:val="nil"/>
              <w:right w:val="single" w:sz="4" w:space="0" w:color="auto"/>
            </w:tcBorders>
            <w:shd w:val="clear" w:color="auto" w:fill="auto"/>
            <w:noWrap/>
            <w:vAlign w:val="bottom"/>
            <w:hideMark/>
          </w:tcPr>
          <w:p w14:paraId="6A838943" w14:textId="77777777" w:rsidR="00091D2C" w:rsidRPr="000D4C2B" w:rsidRDefault="00091D2C">
            <w:pPr>
              <w:jc w:val="center"/>
              <w:rPr>
                <w:i/>
                <w:iCs/>
                <w:color w:val="000000"/>
              </w:rPr>
            </w:pPr>
            <w:r w:rsidRPr="000D4C2B">
              <w:rPr>
                <w:i/>
                <w:iCs/>
                <w:color w:val="000000"/>
              </w:rPr>
              <w:t>0.3816</w:t>
            </w:r>
          </w:p>
        </w:tc>
        <w:tc>
          <w:tcPr>
            <w:tcW w:w="1038" w:type="dxa"/>
            <w:tcBorders>
              <w:top w:val="nil"/>
              <w:left w:val="nil"/>
              <w:bottom w:val="nil"/>
              <w:right w:val="nil"/>
            </w:tcBorders>
            <w:shd w:val="clear" w:color="auto" w:fill="auto"/>
            <w:noWrap/>
            <w:vAlign w:val="bottom"/>
            <w:hideMark/>
          </w:tcPr>
          <w:p w14:paraId="5335CECB" w14:textId="77777777" w:rsidR="00091D2C" w:rsidRPr="000D4C2B" w:rsidRDefault="00091D2C">
            <w:pPr>
              <w:jc w:val="center"/>
              <w:rPr>
                <w:i/>
                <w:iCs/>
                <w:color w:val="000000"/>
              </w:rPr>
            </w:pPr>
            <w:r w:rsidRPr="000D4C2B">
              <w:rPr>
                <w:i/>
                <w:iCs/>
                <w:color w:val="000000"/>
              </w:rPr>
              <w:t>0.4617</w:t>
            </w:r>
          </w:p>
        </w:tc>
        <w:tc>
          <w:tcPr>
            <w:tcW w:w="1400" w:type="dxa"/>
            <w:tcBorders>
              <w:top w:val="nil"/>
              <w:left w:val="single" w:sz="4" w:space="0" w:color="auto"/>
              <w:bottom w:val="nil"/>
              <w:right w:val="nil"/>
            </w:tcBorders>
            <w:shd w:val="clear" w:color="auto" w:fill="auto"/>
            <w:noWrap/>
            <w:vAlign w:val="bottom"/>
            <w:hideMark/>
          </w:tcPr>
          <w:p w14:paraId="524B1A76" w14:textId="77777777" w:rsidR="00091D2C" w:rsidRPr="000D4C2B" w:rsidRDefault="00091D2C">
            <w:pPr>
              <w:jc w:val="center"/>
              <w:rPr>
                <w:i/>
                <w:iCs/>
                <w:color w:val="000000"/>
              </w:rPr>
            </w:pPr>
            <w:r w:rsidRPr="000D4C2B">
              <w:rPr>
                <w:i/>
                <w:iCs/>
                <w:color w:val="000000"/>
              </w:rPr>
              <w:t>0.5586</w:t>
            </w:r>
          </w:p>
        </w:tc>
      </w:tr>
    </w:tbl>
    <w:p w14:paraId="594F7640" w14:textId="08A76186" w:rsidR="00742549" w:rsidRDefault="00AB262E" w:rsidP="00AB262E">
      <w:pPr>
        <w:spacing w:before="120" w:after="160" w:line="259" w:lineRule="auto"/>
        <w:rPr>
          <w:szCs w:val="28"/>
        </w:rPr>
      </w:pPr>
      <w:r>
        <w:rPr>
          <w:szCs w:val="28"/>
        </w:rPr>
        <w:t>Footnote: Values for stalk position, total, and grade index followed by the same letter within year</w:t>
      </w:r>
      <w:r w:rsidR="00233176">
        <w:rPr>
          <w:szCs w:val="28"/>
        </w:rPr>
        <w:t>,</w:t>
      </w:r>
      <w:r>
        <w:rPr>
          <w:szCs w:val="28"/>
        </w:rPr>
        <w:t xml:space="preserve"> tillage type</w:t>
      </w:r>
      <w:r w:rsidR="00233176">
        <w:rPr>
          <w:szCs w:val="28"/>
        </w:rPr>
        <w:t>, or cover crop type</w:t>
      </w:r>
      <w:r>
        <w:rPr>
          <w:szCs w:val="28"/>
        </w:rPr>
        <w:t xml:space="preserve"> indicate significance at p&lt;0.05 as determined by Tukey HSD.</w:t>
      </w:r>
    </w:p>
    <w:p w14:paraId="2617F726" w14:textId="4A181A41" w:rsidR="000D17A7" w:rsidRDefault="00742549" w:rsidP="000D17A7">
      <w:pPr>
        <w:spacing w:after="160" w:line="259" w:lineRule="auto"/>
        <w:rPr>
          <w:szCs w:val="28"/>
        </w:rPr>
      </w:pPr>
      <w:r>
        <w:rPr>
          <w:szCs w:val="28"/>
        </w:rPr>
        <w:br w:type="page"/>
      </w:r>
      <w:r w:rsidR="000D17A7">
        <w:rPr>
          <w:szCs w:val="28"/>
        </w:rPr>
        <w:t xml:space="preserve">Table 3. Average soil moisture percent </w:t>
      </w:r>
      <w:r w:rsidR="00F17E54">
        <w:rPr>
          <w:szCs w:val="28"/>
        </w:rPr>
        <w:t xml:space="preserve">by </w:t>
      </w:r>
      <w:r w:rsidR="0058168A">
        <w:rPr>
          <w:szCs w:val="28"/>
        </w:rPr>
        <w:t xml:space="preserve">cover crop treatment for each </w:t>
      </w:r>
      <w:r w:rsidR="00F17E54">
        <w:rPr>
          <w:szCs w:val="28"/>
        </w:rPr>
        <w:t xml:space="preserve">collection date. </w:t>
      </w:r>
    </w:p>
    <w:tbl>
      <w:tblPr>
        <w:tblW w:w="8456" w:type="dxa"/>
        <w:tblLook w:val="04A0" w:firstRow="1" w:lastRow="0" w:firstColumn="1" w:lastColumn="0" w:noHBand="0" w:noVBand="1"/>
      </w:tblPr>
      <w:tblGrid>
        <w:gridCol w:w="2160"/>
        <w:gridCol w:w="1350"/>
        <w:gridCol w:w="1170"/>
        <w:gridCol w:w="1350"/>
        <w:gridCol w:w="1260"/>
        <w:gridCol w:w="1166"/>
      </w:tblGrid>
      <w:tr w:rsidR="00997DA9" w:rsidRPr="00997DA9" w14:paraId="33A0D625" w14:textId="77777777" w:rsidTr="000D4C2B">
        <w:trPr>
          <w:trHeight w:val="300"/>
        </w:trPr>
        <w:tc>
          <w:tcPr>
            <w:tcW w:w="2160" w:type="dxa"/>
            <w:tcBorders>
              <w:top w:val="nil"/>
              <w:left w:val="nil"/>
              <w:bottom w:val="single" w:sz="8" w:space="0" w:color="auto"/>
              <w:right w:val="nil"/>
            </w:tcBorders>
            <w:shd w:val="clear" w:color="auto" w:fill="auto"/>
            <w:noWrap/>
            <w:vAlign w:val="center"/>
            <w:hideMark/>
          </w:tcPr>
          <w:p w14:paraId="5F697CB3" w14:textId="77777777" w:rsidR="00997DA9" w:rsidRPr="000D4C2B" w:rsidRDefault="00997DA9" w:rsidP="000D4C2B">
            <w:pPr>
              <w:jc w:val="center"/>
              <w:rPr>
                <w:color w:val="000000"/>
              </w:rPr>
            </w:pPr>
            <w:r w:rsidRPr="000D4C2B">
              <w:rPr>
                <w:color w:val="000000"/>
              </w:rPr>
              <w:t>Cover Crop</w:t>
            </w:r>
          </w:p>
        </w:tc>
        <w:tc>
          <w:tcPr>
            <w:tcW w:w="1350" w:type="dxa"/>
            <w:tcBorders>
              <w:top w:val="nil"/>
              <w:left w:val="single" w:sz="4" w:space="0" w:color="auto"/>
              <w:bottom w:val="single" w:sz="8" w:space="0" w:color="auto"/>
              <w:right w:val="nil"/>
            </w:tcBorders>
            <w:shd w:val="clear" w:color="auto" w:fill="auto"/>
            <w:noWrap/>
            <w:vAlign w:val="bottom"/>
            <w:hideMark/>
          </w:tcPr>
          <w:p w14:paraId="6CE1CDFE" w14:textId="77777777" w:rsidR="00997DA9" w:rsidRPr="000D4C2B" w:rsidRDefault="00997DA9">
            <w:pPr>
              <w:jc w:val="center"/>
              <w:rPr>
                <w:color w:val="000000"/>
              </w:rPr>
            </w:pPr>
            <w:r w:rsidRPr="000D4C2B">
              <w:rPr>
                <w:color w:val="000000"/>
              </w:rPr>
              <w:t>Feb. 10, 2023</w:t>
            </w:r>
          </w:p>
        </w:tc>
        <w:tc>
          <w:tcPr>
            <w:tcW w:w="1170" w:type="dxa"/>
            <w:tcBorders>
              <w:top w:val="nil"/>
              <w:left w:val="single" w:sz="4" w:space="0" w:color="auto"/>
              <w:bottom w:val="single" w:sz="8" w:space="0" w:color="auto"/>
              <w:right w:val="nil"/>
            </w:tcBorders>
            <w:shd w:val="clear" w:color="auto" w:fill="auto"/>
            <w:noWrap/>
            <w:vAlign w:val="bottom"/>
            <w:hideMark/>
          </w:tcPr>
          <w:p w14:paraId="2DA889DA" w14:textId="77777777" w:rsidR="00997DA9" w:rsidRPr="000D4C2B" w:rsidRDefault="00997DA9">
            <w:pPr>
              <w:jc w:val="center"/>
              <w:rPr>
                <w:color w:val="000000"/>
              </w:rPr>
            </w:pPr>
            <w:r w:rsidRPr="000D4C2B">
              <w:rPr>
                <w:color w:val="000000"/>
              </w:rPr>
              <w:t>Apr. 14, 2023</w:t>
            </w:r>
          </w:p>
        </w:tc>
        <w:tc>
          <w:tcPr>
            <w:tcW w:w="1350" w:type="dxa"/>
            <w:tcBorders>
              <w:top w:val="nil"/>
              <w:left w:val="single" w:sz="4" w:space="0" w:color="auto"/>
              <w:bottom w:val="single" w:sz="8" w:space="0" w:color="auto"/>
              <w:right w:val="nil"/>
            </w:tcBorders>
            <w:shd w:val="clear" w:color="auto" w:fill="auto"/>
            <w:noWrap/>
            <w:vAlign w:val="bottom"/>
            <w:hideMark/>
          </w:tcPr>
          <w:p w14:paraId="35BD3E59" w14:textId="77777777" w:rsidR="00997DA9" w:rsidRPr="000D4C2B" w:rsidRDefault="00997DA9">
            <w:pPr>
              <w:jc w:val="center"/>
              <w:rPr>
                <w:color w:val="000000"/>
              </w:rPr>
            </w:pPr>
            <w:r w:rsidRPr="000D4C2B">
              <w:rPr>
                <w:color w:val="000000"/>
              </w:rPr>
              <w:t>Nov. 8, 2023</w:t>
            </w:r>
          </w:p>
        </w:tc>
        <w:tc>
          <w:tcPr>
            <w:tcW w:w="1260" w:type="dxa"/>
            <w:tcBorders>
              <w:top w:val="nil"/>
              <w:left w:val="single" w:sz="4" w:space="0" w:color="auto"/>
              <w:bottom w:val="single" w:sz="8" w:space="0" w:color="auto"/>
              <w:right w:val="nil"/>
            </w:tcBorders>
            <w:shd w:val="clear" w:color="auto" w:fill="auto"/>
            <w:noWrap/>
            <w:vAlign w:val="bottom"/>
            <w:hideMark/>
          </w:tcPr>
          <w:p w14:paraId="380DA11E" w14:textId="77777777" w:rsidR="00997DA9" w:rsidRPr="000D4C2B" w:rsidRDefault="00997DA9">
            <w:pPr>
              <w:jc w:val="center"/>
              <w:rPr>
                <w:color w:val="000000"/>
              </w:rPr>
            </w:pPr>
            <w:r w:rsidRPr="000D4C2B">
              <w:rPr>
                <w:color w:val="000000"/>
              </w:rPr>
              <w:t>Feb. 6, 2024</w:t>
            </w:r>
          </w:p>
        </w:tc>
        <w:tc>
          <w:tcPr>
            <w:tcW w:w="1166" w:type="dxa"/>
            <w:tcBorders>
              <w:top w:val="nil"/>
              <w:left w:val="single" w:sz="4" w:space="0" w:color="auto"/>
              <w:bottom w:val="single" w:sz="8" w:space="0" w:color="auto"/>
              <w:right w:val="nil"/>
            </w:tcBorders>
            <w:shd w:val="clear" w:color="auto" w:fill="auto"/>
            <w:noWrap/>
            <w:vAlign w:val="bottom"/>
            <w:hideMark/>
          </w:tcPr>
          <w:p w14:paraId="7DEACBFE" w14:textId="77777777" w:rsidR="00997DA9" w:rsidRPr="000D4C2B" w:rsidRDefault="00997DA9">
            <w:pPr>
              <w:jc w:val="center"/>
              <w:rPr>
                <w:color w:val="000000"/>
              </w:rPr>
            </w:pPr>
            <w:r w:rsidRPr="000D4C2B">
              <w:rPr>
                <w:color w:val="000000"/>
              </w:rPr>
              <w:t>Apr. 12, 2024</w:t>
            </w:r>
          </w:p>
        </w:tc>
      </w:tr>
      <w:tr w:rsidR="00997DA9" w:rsidRPr="00997DA9" w14:paraId="3D089B45" w14:textId="77777777" w:rsidTr="000D4C2B">
        <w:trPr>
          <w:trHeight w:val="288"/>
        </w:trPr>
        <w:tc>
          <w:tcPr>
            <w:tcW w:w="2160" w:type="dxa"/>
            <w:tcBorders>
              <w:top w:val="nil"/>
              <w:left w:val="nil"/>
              <w:bottom w:val="nil"/>
              <w:right w:val="single" w:sz="8" w:space="0" w:color="auto"/>
            </w:tcBorders>
            <w:shd w:val="clear" w:color="auto" w:fill="auto"/>
            <w:noWrap/>
            <w:vAlign w:val="bottom"/>
            <w:hideMark/>
          </w:tcPr>
          <w:p w14:paraId="3C44217C" w14:textId="77777777" w:rsidR="00997DA9" w:rsidRPr="000D4C2B" w:rsidRDefault="00997DA9">
            <w:pPr>
              <w:jc w:val="center"/>
              <w:rPr>
                <w:color w:val="000000"/>
              </w:rPr>
            </w:pPr>
            <w:r w:rsidRPr="000D4C2B">
              <w:rPr>
                <w:color w:val="000000"/>
              </w:rPr>
              <w:t>Fallow</w:t>
            </w:r>
          </w:p>
        </w:tc>
        <w:tc>
          <w:tcPr>
            <w:tcW w:w="1350" w:type="dxa"/>
            <w:tcBorders>
              <w:top w:val="nil"/>
              <w:left w:val="nil"/>
              <w:bottom w:val="nil"/>
              <w:right w:val="single" w:sz="4" w:space="0" w:color="auto"/>
            </w:tcBorders>
            <w:shd w:val="clear" w:color="auto" w:fill="auto"/>
            <w:noWrap/>
            <w:vAlign w:val="bottom"/>
            <w:hideMark/>
          </w:tcPr>
          <w:p w14:paraId="1CC555EF" w14:textId="77777777" w:rsidR="00997DA9" w:rsidRPr="000D4C2B" w:rsidRDefault="00997DA9">
            <w:pPr>
              <w:jc w:val="center"/>
              <w:rPr>
                <w:color w:val="000000"/>
              </w:rPr>
            </w:pPr>
            <w:r w:rsidRPr="000D4C2B">
              <w:rPr>
                <w:color w:val="000000"/>
              </w:rPr>
              <w:t>35.0</w:t>
            </w:r>
          </w:p>
        </w:tc>
        <w:tc>
          <w:tcPr>
            <w:tcW w:w="1170" w:type="dxa"/>
            <w:tcBorders>
              <w:top w:val="nil"/>
              <w:left w:val="nil"/>
              <w:bottom w:val="nil"/>
              <w:right w:val="single" w:sz="4" w:space="0" w:color="auto"/>
            </w:tcBorders>
            <w:shd w:val="clear" w:color="auto" w:fill="auto"/>
            <w:noWrap/>
            <w:vAlign w:val="bottom"/>
            <w:hideMark/>
          </w:tcPr>
          <w:p w14:paraId="597E7B07" w14:textId="77777777" w:rsidR="00997DA9" w:rsidRPr="000D4C2B" w:rsidRDefault="00997DA9">
            <w:pPr>
              <w:jc w:val="center"/>
              <w:rPr>
                <w:color w:val="000000"/>
              </w:rPr>
            </w:pPr>
            <w:r w:rsidRPr="000D4C2B">
              <w:rPr>
                <w:color w:val="000000"/>
              </w:rPr>
              <w:t>17.0</w:t>
            </w:r>
          </w:p>
        </w:tc>
        <w:tc>
          <w:tcPr>
            <w:tcW w:w="1350" w:type="dxa"/>
            <w:tcBorders>
              <w:top w:val="nil"/>
              <w:left w:val="nil"/>
              <w:bottom w:val="nil"/>
              <w:right w:val="single" w:sz="4" w:space="0" w:color="auto"/>
            </w:tcBorders>
            <w:shd w:val="clear" w:color="auto" w:fill="auto"/>
            <w:noWrap/>
            <w:vAlign w:val="bottom"/>
            <w:hideMark/>
          </w:tcPr>
          <w:p w14:paraId="6442A723" w14:textId="77777777" w:rsidR="00997DA9" w:rsidRPr="000D4C2B" w:rsidRDefault="00997DA9">
            <w:pPr>
              <w:jc w:val="center"/>
              <w:rPr>
                <w:color w:val="000000"/>
              </w:rPr>
            </w:pPr>
            <w:r w:rsidRPr="000D4C2B">
              <w:rPr>
                <w:color w:val="000000"/>
              </w:rPr>
              <w:t>16.2</w:t>
            </w:r>
          </w:p>
        </w:tc>
        <w:tc>
          <w:tcPr>
            <w:tcW w:w="1260" w:type="dxa"/>
            <w:tcBorders>
              <w:top w:val="nil"/>
              <w:left w:val="nil"/>
              <w:bottom w:val="nil"/>
              <w:right w:val="single" w:sz="4" w:space="0" w:color="auto"/>
            </w:tcBorders>
            <w:shd w:val="clear" w:color="auto" w:fill="auto"/>
            <w:noWrap/>
            <w:vAlign w:val="bottom"/>
            <w:hideMark/>
          </w:tcPr>
          <w:p w14:paraId="6C12E39F" w14:textId="77777777" w:rsidR="00997DA9" w:rsidRPr="000D4C2B" w:rsidRDefault="00997DA9">
            <w:pPr>
              <w:jc w:val="center"/>
              <w:rPr>
                <w:color w:val="000000"/>
              </w:rPr>
            </w:pPr>
            <w:r w:rsidRPr="000D4C2B">
              <w:rPr>
                <w:color w:val="000000"/>
              </w:rPr>
              <w:t>29.0</w:t>
            </w:r>
          </w:p>
        </w:tc>
        <w:tc>
          <w:tcPr>
            <w:tcW w:w="1166" w:type="dxa"/>
            <w:tcBorders>
              <w:top w:val="nil"/>
              <w:left w:val="nil"/>
              <w:bottom w:val="nil"/>
              <w:right w:val="nil"/>
            </w:tcBorders>
            <w:shd w:val="clear" w:color="auto" w:fill="auto"/>
            <w:noWrap/>
            <w:vAlign w:val="bottom"/>
            <w:hideMark/>
          </w:tcPr>
          <w:p w14:paraId="2BB338E8" w14:textId="77777777" w:rsidR="00997DA9" w:rsidRPr="000D4C2B" w:rsidRDefault="00997DA9">
            <w:pPr>
              <w:jc w:val="center"/>
              <w:rPr>
                <w:color w:val="000000"/>
              </w:rPr>
            </w:pPr>
            <w:r w:rsidRPr="000D4C2B">
              <w:rPr>
                <w:color w:val="000000"/>
              </w:rPr>
              <w:t>17.0</w:t>
            </w:r>
          </w:p>
        </w:tc>
      </w:tr>
      <w:tr w:rsidR="00997DA9" w:rsidRPr="00997DA9" w14:paraId="1A08E5C7" w14:textId="77777777" w:rsidTr="000D4C2B">
        <w:trPr>
          <w:trHeight w:val="288"/>
        </w:trPr>
        <w:tc>
          <w:tcPr>
            <w:tcW w:w="2160" w:type="dxa"/>
            <w:tcBorders>
              <w:top w:val="nil"/>
              <w:left w:val="nil"/>
              <w:bottom w:val="nil"/>
              <w:right w:val="single" w:sz="8" w:space="0" w:color="auto"/>
            </w:tcBorders>
            <w:shd w:val="clear" w:color="auto" w:fill="auto"/>
            <w:noWrap/>
            <w:vAlign w:val="bottom"/>
            <w:hideMark/>
          </w:tcPr>
          <w:p w14:paraId="74F7D3E5" w14:textId="77777777" w:rsidR="00997DA9" w:rsidRPr="000D4C2B" w:rsidRDefault="00997DA9">
            <w:pPr>
              <w:jc w:val="center"/>
              <w:rPr>
                <w:color w:val="000000"/>
              </w:rPr>
            </w:pPr>
            <w:r w:rsidRPr="000D4C2B">
              <w:rPr>
                <w:color w:val="000000"/>
              </w:rPr>
              <w:t>Cereal Rye</w:t>
            </w:r>
          </w:p>
        </w:tc>
        <w:tc>
          <w:tcPr>
            <w:tcW w:w="1350" w:type="dxa"/>
            <w:tcBorders>
              <w:top w:val="nil"/>
              <w:left w:val="nil"/>
              <w:bottom w:val="nil"/>
              <w:right w:val="single" w:sz="4" w:space="0" w:color="auto"/>
            </w:tcBorders>
            <w:shd w:val="clear" w:color="auto" w:fill="auto"/>
            <w:noWrap/>
            <w:vAlign w:val="bottom"/>
            <w:hideMark/>
          </w:tcPr>
          <w:p w14:paraId="6288FD56" w14:textId="77777777" w:rsidR="00997DA9" w:rsidRPr="000D4C2B" w:rsidRDefault="00997DA9">
            <w:pPr>
              <w:jc w:val="center"/>
              <w:rPr>
                <w:color w:val="000000"/>
              </w:rPr>
            </w:pPr>
            <w:r w:rsidRPr="000D4C2B">
              <w:rPr>
                <w:color w:val="000000"/>
              </w:rPr>
              <w:t>35.2</w:t>
            </w:r>
          </w:p>
        </w:tc>
        <w:tc>
          <w:tcPr>
            <w:tcW w:w="1170" w:type="dxa"/>
            <w:tcBorders>
              <w:top w:val="nil"/>
              <w:left w:val="nil"/>
              <w:bottom w:val="nil"/>
              <w:right w:val="single" w:sz="4" w:space="0" w:color="auto"/>
            </w:tcBorders>
            <w:shd w:val="clear" w:color="auto" w:fill="auto"/>
            <w:noWrap/>
            <w:vAlign w:val="bottom"/>
            <w:hideMark/>
          </w:tcPr>
          <w:p w14:paraId="3C6BC3E7" w14:textId="77777777" w:rsidR="00997DA9" w:rsidRPr="000D4C2B" w:rsidRDefault="00997DA9">
            <w:pPr>
              <w:jc w:val="center"/>
              <w:rPr>
                <w:color w:val="000000"/>
              </w:rPr>
            </w:pPr>
            <w:r w:rsidRPr="000D4C2B">
              <w:rPr>
                <w:color w:val="000000"/>
              </w:rPr>
              <w:t>19.4</w:t>
            </w:r>
          </w:p>
        </w:tc>
        <w:tc>
          <w:tcPr>
            <w:tcW w:w="1350" w:type="dxa"/>
            <w:tcBorders>
              <w:top w:val="nil"/>
              <w:left w:val="nil"/>
              <w:bottom w:val="nil"/>
              <w:right w:val="single" w:sz="4" w:space="0" w:color="auto"/>
            </w:tcBorders>
            <w:shd w:val="clear" w:color="auto" w:fill="auto"/>
            <w:noWrap/>
            <w:vAlign w:val="bottom"/>
            <w:hideMark/>
          </w:tcPr>
          <w:p w14:paraId="0D4751D5" w14:textId="77777777" w:rsidR="00997DA9" w:rsidRPr="000D4C2B" w:rsidRDefault="00997DA9">
            <w:pPr>
              <w:jc w:val="center"/>
              <w:rPr>
                <w:color w:val="000000"/>
              </w:rPr>
            </w:pPr>
            <w:r w:rsidRPr="000D4C2B">
              <w:rPr>
                <w:color w:val="000000"/>
              </w:rPr>
              <w:t>18.4</w:t>
            </w:r>
          </w:p>
        </w:tc>
        <w:tc>
          <w:tcPr>
            <w:tcW w:w="1260" w:type="dxa"/>
            <w:tcBorders>
              <w:top w:val="nil"/>
              <w:left w:val="nil"/>
              <w:bottom w:val="nil"/>
              <w:right w:val="single" w:sz="4" w:space="0" w:color="auto"/>
            </w:tcBorders>
            <w:shd w:val="clear" w:color="auto" w:fill="auto"/>
            <w:noWrap/>
            <w:vAlign w:val="bottom"/>
            <w:hideMark/>
          </w:tcPr>
          <w:p w14:paraId="041B14DA" w14:textId="77777777" w:rsidR="00997DA9" w:rsidRPr="000D4C2B" w:rsidRDefault="00997DA9">
            <w:pPr>
              <w:jc w:val="center"/>
              <w:rPr>
                <w:color w:val="000000"/>
              </w:rPr>
            </w:pPr>
            <w:r w:rsidRPr="000D4C2B">
              <w:rPr>
                <w:color w:val="000000"/>
              </w:rPr>
              <w:t>31.3</w:t>
            </w:r>
          </w:p>
        </w:tc>
        <w:tc>
          <w:tcPr>
            <w:tcW w:w="1166" w:type="dxa"/>
            <w:tcBorders>
              <w:top w:val="nil"/>
              <w:left w:val="nil"/>
              <w:bottom w:val="nil"/>
              <w:right w:val="nil"/>
            </w:tcBorders>
            <w:shd w:val="clear" w:color="auto" w:fill="auto"/>
            <w:noWrap/>
            <w:vAlign w:val="bottom"/>
            <w:hideMark/>
          </w:tcPr>
          <w:p w14:paraId="1DFB92B7" w14:textId="77777777" w:rsidR="00997DA9" w:rsidRPr="000D4C2B" w:rsidRDefault="00997DA9">
            <w:pPr>
              <w:jc w:val="center"/>
              <w:rPr>
                <w:color w:val="000000"/>
              </w:rPr>
            </w:pPr>
            <w:r w:rsidRPr="000D4C2B">
              <w:rPr>
                <w:color w:val="000000"/>
              </w:rPr>
              <w:t>19.4</w:t>
            </w:r>
          </w:p>
        </w:tc>
      </w:tr>
      <w:tr w:rsidR="00997DA9" w:rsidRPr="00997DA9" w14:paraId="7D1BCB95" w14:textId="77777777" w:rsidTr="000D4C2B">
        <w:trPr>
          <w:trHeight w:val="288"/>
        </w:trPr>
        <w:tc>
          <w:tcPr>
            <w:tcW w:w="2160" w:type="dxa"/>
            <w:tcBorders>
              <w:top w:val="nil"/>
              <w:left w:val="nil"/>
              <w:bottom w:val="nil"/>
              <w:right w:val="single" w:sz="8" w:space="0" w:color="auto"/>
            </w:tcBorders>
            <w:shd w:val="clear" w:color="auto" w:fill="auto"/>
            <w:noWrap/>
            <w:vAlign w:val="bottom"/>
            <w:hideMark/>
          </w:tcPr>
          <w:p w14:paraId="213E2736" w14:textId="77777777" w:rsidR="00997DA9" w:rsidRPr="000D4C2B" w:rsidRDefault="00997DA9">
            <w:pPr>
              <w:jc w:val="center"/>
              <w:rPr>
                <w:color w:val="000000"/>
              </w:rPr>
            </w:pPr>
            <w:r w:rsidRPr="000D4C2B">
              <w:rPr>
                <w:color w:val="000000"/>
              </w:rPr>
              <w:t>Crimson Clover</w:t>
            </w:r>
          </w:p>
        </w:tc>
        <w:tc>
          <w:tcPr>
            <w:tcW w:w="1350" w:type="dxa"/>
            <w:tcBorders>
              <w:top w:val="nil"/>
              <w:left w:val="nil"/>
              <w:bottom w:val="nil"/>
              <w:right w:val="single" w:sz="4" w:space="0" w:color="auto"/>
            </w:tcBorders>
            <w:shd w:val="clear" w:color="auto" w:fill="auto"/>
            <w:noWrap/>
            <w:vAlign w:val="bottom"/>
            <w:hideMark/>
          </w:tcPr>
          <w:p w14:paraId="68730DC5" w14:textId="77777777" w:rsidR="00997DA9" w:rsidRPr="000D4C2B" w:rsidRDefault="00997DA9">
            <w:pPr>
              <w:jc w:val="center"/>
              <w:rPr>
                <w:color w:val="000000"/>
              </w:rPr>
            </w:pPr>
            <w:r w:rsidRPr="000D4C2B">
              <w:rPr>
                <w:color w:val="000000"/>
              </w:rPr>
              <w:t>34.4</w:t>
            </w:r>
          </w:p>
        </w:tc>
        <w:tc>
          <w:tcPr>
            <w:tcW w:w="1170" w:type="dxa"/>
            <w:tcBorders>
              <w:top w:val="nil"/>
              <w:left w:val="nil"/>
              <w:bottom w:val="nil"/>
              <w:right w:val="single" w:sz="4" w:space="0" w:color="auto"/>
            </w:tcBorders>
            <w:shd w:val="clear" w:color="auto" w:fill="auto"/>
            <w:noWrap/>
            <w:vAlign w:val="bottom"/>
            <w:hideMark/>
          </w:tcPr>
          <w:p w14:paraId="20E41F87" w14:textId="77777777" w:rsidR="00997DA9" w:rsidRPr="000D4C2B" w:rsidRDefault="00997DA9">
            <w:pPr>
              <w:jc w:val="center"/>
              <w:rPr>
                <w:color w:val="000000"/>
              </w:rPr>
            </w:pPr>
            <w:r w:rsidRPr="000D4C2B">
              <w:rPr>
                <w:color w:val="000000"/>
              </w:rPr>
              <w:t>18.8</w:t>
            </w:r>
          </w:p>
        </w:tc>
        <w:tc>
          <w:tcPr>
            <w:tcW w:w="1350" w:type="dxa"/>
            <w:tcBorders>
              <w:top w:val="nil"/>
              <w:left w:val="nil"/>
              <w:bottom w:val="nil"/>
              <w:right w:val="single" w:sz="4" w:space="0" w:color="auto"/>
            </w:tcBorders>
            <w:shd w:val="clear" w:color="auto" w:fill="auto"/>
            <w:noWrap/>
            <w:vAlign w:val="bottom"/>
            <w:hideMark/>
          </w:tcPr>
          <w:p w14:paraId="6A9A332A" w14:textId="77777777" w:rsidR="00997DA9" w:rsidRPr="000D4C2B" w:rsidRDefault="00997DA9">
            <w:pPr>
              <w:jc w:val="center"/>
              <w:rPr>
                <w:color w:val="000000"/>
              </w:rPr>
            </w:pPr>
            <w:r w:rsidRPr="000D4C2B">
              <w:rPr>
                <w:color w:val="000000"/>
              </w:rPr>
              <w:t>17.4</w:t>
            </w:r>
          </w:p>
        </w:tc>
        <w:tc>
          <w:tcPr>
            <w:tcW w:w="1260" w:type="dxa"/>
            <w:tcBorders>
              <w:top w:val="nil"/>
              <w:left w:val="nil"/>
              <w:bottom w:val="nil"/>
              <w:right w:val="single" w:sz="4" w:space="0" w:color="auto"/>
            </w:tcBorders>
            <w:shd w:val="clear" w:color="auto" w:fill="auto"/>
            <w:noWrap/>
            <w:vAlign w:val="bottom"/>
            <w:hideMark/>
          </w:tcPr>
          <w:p w14:paraId="38A9CA25" w14:textId="77777777" w:rsidR="00997DA9" w:rsidRPr="000D4C2B" w:rsidRDefault="00997DA9">
            <w:pPr>
              <w:jc w:val="center"/>
              <w:rPr>
                <w:color w:val="000000"/>
              </w:rPr>
            </w:pPr>
            <w:r w:rsidRPr="000D4C2B">
              <w:rPr>
                <w:color w:val="000000"/>
              </w:rPr>
              <w:t>31.4</w:t>
            </w:r>
          </w:p>
        </w:tc>
        <w:tc>
          <w:tcPr>
            <w:tcW w:w="1166" w:type="dxa"/>
            <w:tcBorders>
              <w:top w:val="nil"/>
              <w:left w:val="nil"/>
              <w:bottom w:val="nil"/>
              <w:right w:val="nil"/>
            </w:tcBorders>
            <w:shd w:val="clear" w:color="auto" w:fill="auto"/>
            <w:noWrap/>
            <w:vAlign w:val="bottom"/>
            <w:hideMark/>
          </w:tcPr>
          <w:p w14:paraId="64BCB8E4" w14:textId="77777777" w:rsidR="00997DA9" w:rsidRPr="000D4C2B" w:rsidRDefault="00997DA9">
            <w:pPr>
              <w:jc w:val="center"/>
              <w:rPr>
                <w:color w:val="000000"/>
              </w:rPr>
            </w:pPr>
            <w:r w:rsidRPr="000D4C2B">
              <w:rPr>
                <w:color w:val="000000"/>
              </w:rPr>
              <w:t>18.8</w:t>
            </w:r>
          </w:p>
        </w:tc>
      </w:tr>
      <w:tr w:rsidR="00997DA9" w:rsidRPr="00997DA9" w14:paraId="506FD59F" w14:textId="77777777" w:rsidTr="000D4C2B">
        <w:trPr>
          <w:trHeight w:val="288"/>
        </w:trPr>
        <w:tc>
          <w:tcPr>
            <w:tcW w:w="2160" w:type="dxa"/>
            <w:tcBorders>
              <w:top w:val="nil"/>
              <w:left w:val="nil"/>
              <w:bottom w:val="nil"/>
              <w:right w:val="single" w:sz="8" w:space="0" w:color="auto"/>
            </w:tcBorders>
            <w:shd w:val="clear" w:color="auto" w:fill="auto"/>
            <w:noWrap/>
            <w:vAlign w:val="bottom"/>
            <w:hideMark/>
          </w:tcPr>
          <w:p w14:paraId="2F15C166" w14:textId="77777777" w:rsidR="00997DA9" w:rsidRPr="000D4C2B" w:rsidRDefault="00997DA9">
            <w:pPr>
              <w:jc w:val="center"/>
              <w:rPr>
                <w:color w:val="000000"/>
              </w:rPr>
            </w:pPr>
            <w:r w:rsidRPr="000D4C2B">
              <w:rPr>
                <w:color w:val="000000"/>
              </w:rPr>
              <w:t>Hairy Vetch</w:t>
            </w:r>
          </w:p>
        </w:tc>
        <w:tc>
          <w:tcPr>
            <w:tcW w:w="1350" w:type="dxa"/>
            <w:tcBorders>
              <w:top w:val="nil"/>
              <w:left w:val="nil"/>
              <w:bottom w:val="nil"/>
              <w:right w:val="single" w:sz="4" w:space="0" w:color="auto"/>
            </w:tcBorders>
            <w:shd w:val="clear" w:color="auto" w:fill="auto"/>
            <w:noWrap/>
            <w:vAlign w:val="bottom"/>
            <w:hideMark/>
          </w:tcPr>
          <w:p w14:paraId="70A93913" w14:textId="77777777" w:rsidR="00997DA9" w:rsidRPr="000D4C2B" w:rsidRDefault="00997DA9">
            <w:pPr>
              <w:jc w:val="center"/>
              <w:rPr>
                <w:color w:val="000000"/>
              </w:rPr>
            </w:pPr>
            <w:r w:rsidRPr="000D4C2B">
              <w:rPr>
                <w:color w:val="000000"/>
              </w:rPr>
              <w:t>35.0</w:t>
            </w:r>
          </w:p>
        </w:tc>
        <w:tc>
          <w:tcPr>
            <w:tcW w:w="1170" w:type="dxa"/>
            <w:tcBorders>
              <w:top w:val="nil"/>
              <w:left w:val="nil"/>
              <w:bottom w:val="nil"/>
              <w:right w:val="single" w:sz="4" w:space="0" w:color="auto"/>
            </w:tcBorders>
            <w:shd w:val="clear" w:color="auto" w:fill="auto"/>
            <w:noWrap/>
            <w:vAlign w:val="bottom"/>
            <w:hideMark/>
          </w:tcPr>
          <w:p w14:paraId="26FF71A2" w14:textId="77777777" w:rsidR="00997DA9" w:rsidRPr="000D4C2B" w:rsidRDefault="00997DA9">
            <w:pPr>
              <w:jc w:val="center"/>
              <w:rPr>
                <w:color w:val="000000"/>
              </w:rPr>
            </w:pPr>
            <w:r w:rsidRPr="000D4C2B">
              <w:rPr>
                <w:color w:val="000000"/>
              </w:rPr>
              <w:t>18.0</w:t>
            </w:r>
          </w:p>
        </w:tc>
        <w:tc>
          <w:tcPr>
            <w:tcW w:w="1350" w:type="dxa"/>
            <w:tcBorders>
              <w:top w:val="nil"/>
              <w:left w:val="nil"/>
              <w:bottom w:val="nil"/>
              <w:right w:val="single" w:sz="4" w:space="0" w:color="auto"/>
            </w:tcBorders>
            <w:shd w:val="clear" w:color="auto" w:fill="auto"/>
            <w:noWrap/>
            <w:vAlign w:val="bottom"/>
            <w:hideMark/>
          </w:tcPr>
          <w:p w14:paraId="30B724B3" w14:textId="77777777" w:rsidR="00997DA9" w:rsidRPr="000D4C2B" w:rsidRDefault="00997DA9">
            <w:pPr>
              <w:jc w:val="center"/>
              <w:rPr>
                <w:color w:val="000000"/>
              </w:rPr>
            </w:pPr>
            <w:r w:rsidRPr="000D4C2B">
              <w:rPr>
                <w:color w:val="000000"/>
              </w:rPr>
              <w:t>16.5</w:t>
            </w:r>
          </w:p>
        </w:tc>
        <w:tc>
          <w:tcPr>
            <w:tcW w:w="1260" w:type="dxa"/>
            <w:tcBorders>
              <w:top w:val="nil"/>
              <w:left w:val="nil"/>
              <w:bottom w:val="nil"/>
              <w:right w:val="single" w:sz="4" w:space="0" w:color="auto"/>
            </w:tcBorders>
            <w:shd w:val="clear" w:color="auto" w:fill="auto"/>
            <w:noWrap/>
            <w:vAlign w:val="bottom"/>
            <w:hideMark/>
          </w:tcPr>
          <w:p w14:paraId="7D07C07D" w14:textId="77777777" w:rsidR="00997DA9" w:rsidRPr="000D4C2B" w:rsidRDefault="00997DA9">
            <w:pPr>
              <w:jc w:val="center"/>
              <w:rPr>
                <w:color w:val="000000"/>
              </w:rPr>
            </w:pPr>
            <w:r w:rsidRPr="000D4C2B">
              <w:rPr>
                <w:color w:val="000000"/>
              </w:rPr>
              <w:t>30.3</w:t>
            </w:r>
          </w:p>
        </w:tc>
        <w:tc>
          <w:tcPr>
            <w:tcW w:w="1166" w:type="dxa"/>
            <w:tcBorders>
              <w:top w:val="nil"/>
              <w:left w:val="nil"/>
              <w:bottom w:val="nil"/>
              <w:right w:val="nil"/>
            </w:tcBorders>
            <w:shd w:val="clear" w:color="auto" w:fill="auto"/>
            <w:noWrap/>
            <w:vAlign w:val="bottom"/>
            <w:hideMark/>
          </w:tcPr>
          <w:p w14:paraId="2D7076F8" w14:textId="77777777" w:rsidR="00997DA9" w:rsidRPr="000D4C2B" w:rsidRDefault="00997DA9">
            <w:pPr>
              <w:jc w:val="center"/>
              <w:rPr>
                <w:color w:val="000000"/>
              </w:rPr>
            </w:pPr>
            <w:r w:rsidRPr="000D4C2B">
              <w:rPr>
                <w:color w:val="000000"/>
              </w:rPr>
              <w:t>18.0</w:t>
            </w:r>
          </w:p>
        </w:tc>
      </w:tr>
      <w:tr w:rsidR="00997DA9" w:rsidRPr="00997DA9" w14:paraId="143848F8" w14:textId="77777777" w:rsidTr="000D4C2B">
        <w:trPr>
          <w:trHeight w:val="288"/>
        </w:trPr>
        <w:tc>
          <w:tcPr>
            <w:tcW w:w="2160" w:type="dxa"/>
            <w:tcBorders>
              <w:top w:val="nil"/>
              <w:left w:val="nil"/>
              <w:bottom w:val="nil"/>
              <w:right w:val="single" w:sz="8" w:space="0" w:color="auto"/>
            </w:tcBorders>
            <w:shd w:val="clear" w:color="auto" w:fill="auto"/>
            <w:noWrap/>
            <w:vAlign w:val="bottom"/>
            <w:hideMark/>
          </w:tcPr>
          <w:p w14:paraId="2480BECB" w14:textId="77777777" w:rsidR="00997DA9" w:rsidRPr="000D4C2B" w:rsidRDefault="00997DA9">
            <w:pPr>
              <w:jc w:val="center"/>
              <w:rPr>
                <w:i/>
                <w:iCs/>
                <w:color w:val="000000"/>
              </w:rPr>
            </w:pPr>
            <w:r w:rsidRPr="000D4C2B">
              <w:rPr>
                <w:i/>
                <w:iCs/>
                <w:color w:val="000000"/>
              </w:rPr>
              <w:t>P-value</w:t>
            </w:r>
          </w:p>
        </w:tc>
        <w:tc>
          <w:tcPr>
            <w:tcW w:w="1350" w:type="dxa"/>
            <w:tcBorders>
              <w:top w:val="nil"/>
              <w:left w:val="nil"/>
              <w:bottom w:val="nil"/>
              <w:right w:val="single" w:sz="4" w:space="0" w:color="auto"/>
            </w:tcBorders>
            <w:shd w:val="clear" w:color="auto" w:fill="auto"/>
            <w:noWrap/>
            <w:vAlign w:val="bottom"/>
            <w:hideMark/>
          </w:tcPr>
          <w:p w14:paraId="7A244AFC" w14:textId="77777777" w:rsidR="00997DA9" w:rsidRPr="000D4C2B" w:rsidRDefault="00997DA9">
            <w:pPr>
              <w:jc w:val="center"/>
              <w:rPr>
                <w:i/>
                <w:iCs/>
                <w:color w:val="000000"/>
              </w:rPr>
            </w:pPr>
            <w:r w:rsidRPr="000D4C2B">
              <w:rPr>
                <w:i/>
                <w:iCs/>
                <w:color w:val="000000"/>
              </w:rPr>
              <w:t>0.8024</w:t>
            </w:r>
          </w:p>
        </w:tc>
        <w:tc>
          <w:tcPr>
            <w:tcW w:w="1170" w:type="dxa"/>
            <w:tcBorders>
              <w:top w:val="nil"/>
              <w:left w:val="nil"/>
              <w:bottom w:val="nil"/>
              <w:right w:val="single" w:sz="4" w:space="0" w:color="auto"/>
            </w:tcBorders>
            <w:shd w:val="clear" w:color="auto" w:fill="auto"/>
            <w:noWrap/>
            <w:vAlign w:val="bottom"/>
            <w:hideMark/>
          </w:tcPr>
          <w:p w14:paraId="5D5D8C32" w14:textId="77777777" w:rsidR="00997DA9" w:rsidRPr="000D4C2B" w:rsidRDefault="00997DA9">
            <w:pPr>
              <w:jc w:val="center"/>
              <w:rPr>
                <w:i/>
                <w:iCs/>
                <w:color w:val="000000"/>
              </w:rPr>
            </w:pPr>
            <w:r w:rsidRPr="000D4C2B">
              <w:rPr>
                <w:i/>
                <w:iCs/>
                <w:color w:val="000000"/>
              </w:rPr>
              <w:t>0.6514</w:t>
            </w:r>
          </w:p>
        </w:tc>
        <w:tc>
          <w:tcPr>
            <w:tcW w:w="1350" w:type="dxa"/>
            <w:tcBorders>
              <w:top w:val="nil"/>
              <w:left w:val="nil"/>
              <w:bottom w:val="nil"/>
              <w:right w:val="single" w:sz="4" w:space="0" w:color="auto"/>
            </w:tcBorders>
            <w:shd w:val="clear" w:color="auto" w:fill="auto"/>
            <w:noWrap/>
            <w:vAlign w:val="bottom"/>
            <w:hideMark/>
          </w:tcPr>
          <w:p w14:paraId="68D854AB" w14:textId="77777777" w:rsidR="00997DA9" w:rsidRPr="000D4C2B" w:rsidRDefault="00997DA9">
            <w:pPr>
              <w:jc w:val="center"/>
              <w:rPr>
                <w:i/>
                <w:iCs/>
                <w:color w:val="000000"/>
              </w:rPr>
            </w:pPr>
            <w:r w:rsidRPr="000D4C2B">
              <w:rPr>
                <w:i/>
                <w:iCs/>
                <w:color w:val="000000"/>
              </w:rPr>
              <w:t>0.4832</w:t>
            </w:r>
          </w:p>
        </w:tc>
        <w:tc>
          <w:tcPr>
            <w:tcW w:w="1260" w:type="dxa"/>
            <w:tcBorders>
              <w:top w:val="nil"/>
              <w:left w:val="nil"/>
              <w:bottom w:val="nil"/>
              <w:right w:val="single" w:sz="4" w:space="0" w:color="auto"/>
            </w:tcBorders>
            <w:shd w:val="clear" w:color="auto" w:fill="auto"/>
            <w:noWrap/>
            <w:vAlign w:val="bottom"/>
            <w:hideMark/>
          </w:tcPr>
          <w:p w14:paraId="4E3523A6" w14:textId="77777777" w:rsidR="00997DA9" w:rsidRPr="000D4C2B" w:rsidRDefault="00997DA9">
            <w:pPr>
              <w:jc w:val="center"/>
              <w:rPr>
                <w:i/>
                <w:iCs/>
                <w:color w:val="000000"/>
              </w:rPr>
            </w:pPr>
            <w:r w:rsidRPr="000D4C2B">
              <w:rPr>
                <w:i/>
                <w:iCs/>
                <w:color w:val="000000"/>
              </w:rPr>
              <w:t>0.0911</w:t>
            </w:r>
          </w:p>
        </w:tc>
        <w:tc>
          <w:tcPr>
            <w:tcW w:w="1166" w:type="dxa"/>
            <w:tcBorders>
              <w:top w:val="nil"/>
              <w:left w:val="nil"/>
              <w:bottom w:val="nil"/>
              <w:right w:val="nil"/>
            </w:tcBorders>
            <w:shd w:val="clear" w:color="auto" w:fill="auto"/>
            <w:noWrap/>
            <w:vAlign w:val="bottom"/>
            <w:hideMark/>
          </w:tcPr>
          <w:p w14:paraId="67A576FC" w14:textId="77777777" w:rsidR="00997DA9" w:rsidRPr="000D4C2B" w:rsidRDefault="00997DA9">
            <w:pPr>
              <w:jc w:val="center"/>
              <w:rPr>
                <w:i/>
                <w:iCs/>
                <w:color w:val="000000"/>
              </w:rPr>
            </w:pPr>
            <w:r w:rsidRPr="000D4C2B">
              <w:rPr>
                <w:i/>
                <w:iCs/>
                <w:color w:val="000000"/>
              </w:rPr>
              <w:t>0.1440</w:t>
            </w:r>
          </w:p>
        </w:tc>
      </w:tr>
    </w:tbl>
    <w:p w14:paraId="33C7D2AF" w14:textId="77777777" w:rsidR="009E090B" w:rsidRDefault="00AE09D0">
      <w:r>
        <w:t xml:space="preserve">Footnote: Soil moisture percent was analyzed by collection date using </w:t>
      </w:r>
      <w:r w:rsidR="009E090B">
        <w:t xml:space="preserve">PROC ANOVA. </w:t>
      </w:r>
    </w:p>
    <w:p w14:paraId="065F933A" w14:textId="72FE262B" w:rsidR="009E090B" w:rsidRDefault="009E090B">
      <w:r>
        <w:br w:type="page"/>
      </w:r>
    </w:p>
    <w:p w14:paraId="6E0D6D13" w14:textId="6E7C4297" w:rsidR="009E090B" w:rsidRPr="004A663D" w:rsidRDefault="009E090B" w:rsidP="009E090B">
      <w:pPr>
        <w:spacing w:after="160" w:line="259" w:lineRule="auto"/>
        <w:rPr>
          <w:szCs w:val="28"/>
        </w:rPr>
      </w:pPr>
      <w:r>
        <w:rPr>
          <w:szCs w:val="28"/>
        </w:rPr>
        <w:t>Table 3. Average soil temperature (</w:t>
      </w:r>
      <w:r w:rsidR="00686776" w:rsidRPr="00686776">
        <w:rPr>
          <w:szCs w:val="28"/>
        </w:rPr>
        <w:t>°</w:t>
      </w:r>
      <w:r w:rsidR="00686776">
        <w:rPr>
          <w:szCs w:val="28"/>
        </w:rPr>
        <w:t>C) by cover crop treatment</w:t>
      </w:r>
      <w:r>
        <w:rPr>
          <w:szCs w:val="28"/>
        </w:rPr>
        <w:t xml:space="preserve"> </w:t>
      </w:r>
      <w:r w:rsidR="00686776">
        <w:rPr>
          <w:szCs w:val="28"/>
        </w:rPr>
        <w:t>for each</w:t>
      </w:r>
      <w:r>
        <w:rPr>
          <w:szCs w:val="28"/>
        </w:rPr>
        <w:t xml:space="preserve"> collection date. </w:t>
      </w:r>
    </w:p>
    <w:tbl>
      <w:tblPr>
        <w:tblW w:w="10040" w:type="dxa"/>
        <w:tblLook w:val="04A0" w:firstRow="1" w:lastRow="0" w:firstColumn="1" w:lastColumn="0" w:noHBand="0" w:noVBand="1"/>
      </w:tblPr>
      <w:tblGrid>
        <w:gridCol w:w="1980"/>
        <w:gridCol w:w="1350"/>
        <w:gridCol w:w="1530"/>
        <w:gridCol w:w="1420"/>
        <w:gridCol w:w="1300"/>
        <w:gridCol w:w="1180"/>
        <w:gridCol w:w="1280"/>
      </w:tblGrid>
      <w:tr w:rsidR="00AF26CC" w:rsidRPr="00AF26CC" w14:paraId="374F6C5C" w14:textId="77777777" w:rsidTr="000D4C2B">
        <w:trPr>
          <w:trHeight w:val="300"/>
        </w:trPr>
        <w:tc>
          <w:tcPr>
            <w:tcW w:w="1980" w:type="dxa"/>
            <w:tcBorders>
              <w:top w:val="nil"/>
              <w:left w:val="nil"/>
              <w:bottom w:val="single" w:sz="8" w:space="0" w:color="auto"/>
              <w:right w:val="single" w:sz="8" w:space="0" w:color="auto"/>
            </w:tcBorders>
            <w:shd w:val="clear" w:color="auto" w:fill="auto"/>
            <w:noWrap/>
            <w:vAlign w:val="center"/>
            <w:hideMark/>
          </w:tcPr>
          <w:p w14:paraId="0BD994BD" w14:textId="77777777" w:rsidR="00AF26CC" w:rsidRPr="000D4C2B" w:rsidRDefault="00AF26CC" w:rsidP="000D4C2B">
            <w:pPr>
              <w:jc w:val="center"/>
              <w:rPr>
                <w:color w:val="000000"/>
              </w:rPr>
            </w:pPr>
            <w:r w:rsidRPr="000D4C2B">
              <w:rPr>
                <w:color w:val="000000"/>
              </w:rPr>
              <w:t>Cover Crop</w:t>
            </w:r>
          </w:p>
        </w:tc>
        <w:tc>
          <w:tcPr>
            <w:tcW w:w="1350" w:type="dxa"/>
            <w:tcBorders>
              <w:top w:val="nil"/>
              <w:left w:val="nil"/>
              <w:bottom w:val="single" w:sz="8" w:space="0" w:color="auto"/>
              <w:right w:val="nil"/>
            </w:tcBorders>
            <w:shd w:val="clear" w:color="auto" w:fill="auto"/>
            <w:noWrap/>
            <w:vAlign w:val="bottom"/>
            <w:hideMark/>
          </w:tcPr>
          <w:p w14:paraId="352BC87D" w14:textId="77777777" w:rsidR="00AF26CC" w:rsidRPr="000D4C2B" w:rsidRDefault="00AF26CC">
            <w:pPr>
              <w:jc w:val="center"/>
              <w:rPr>
                <w:color w:val="000000"/>
              </w:rPr>
            </w:pPr>
            <w:r w:rsidRPr="000D4C2B">
              <w:rPr>
                <w:color w:val="000000"/>
              </w:rPr>
              <w:t>Feb. 10, 2023</w:t>
            </w:r>
          </w:p>
        </w:tc>
        <w:tc>
          <w:tcPr>
            <w:tcW w:w="1530" w:type="dxa"/>
            <w:tcBorders>
              <w:top w:val="nil"/>
              <w:left w:val="single" w:sz="4" w:space="0" w:color="auto"/>
              <w:bottom w:val="single" w:sz="8" w:space="0" w:color="auto"/>
              <w:right w:val="single" w:sz="4" w:space="0" w:color="auto"/>
            </w:tcBorders>
            <w:shd w:val="clear" w:color="auto" w:fill="auto"/>
            <w:noWrap/>
            <w:vAlign w:val="bottom"/>
            <w:hideMark/>
          </w:tcPr>
          <w:p w14:paraId="6BB7353B" w14:textId="77777777" w:rsidR="00AF26CC" w:rsidRPr="000D4C2B" w:rsidRDefault="00AF26CC">
            <w:pPr>
              <w:jc w:val="center"/>
              <w:rPr>
                <w:color w:val="000000"/>
              </w:rPr>
            </w:pPr>
            <w:r w:rsidRPr="000D4C2B">
              <w:rPr>
                <w:color w:val="000000"/>
              </w:rPr>
              <w:t>Apr. 14, 2023</w:t>
            </w:r>
          </w:p>
        </w:tc>
        <w:tc>
          <w:tcPr>
            <w:tcW w:w="1420" w:type="dxa"/>
            <w:tcBorders>
              <w:top w:val="nil"/>
              <w:left w:val="nil"/>
              <w:bottom w:val="single" w:sz="8" w:space="0" w:color="auto"/>
              <w:right w:val="nil"/>
            </w:tcBorders>
            <w:shd w:val="clear" w:color="auto" w:fill="auto"/>
            <w:noWrap/>
            <w:vAlign w:val="bottom"/>
            <w:hideMark/>
          </w:tcPr>
          <w:p w14:paraId="6E81FFC2" w14:textId="77777777" w:rsidR="00AF26CC" w:rsidRPr="000D4C2B" w:rsidRDefault="00AF26CC">
            <w:pPr>
              <w:jc w:val="center"/>
              <w:rPr>
                <w:color w:val="000000"/>
              </w:rPr>
            </w:pPr>
            <w:r w:rsidRPr="000D4C2B">
              <w:rPr>
                <w:color w:val="000000"/>
              </w:rPr>
              <w:t>Nov. 8, 2023</w:t>
            </w:r>
          </w:p>
        </w:tc>
        <w:tc>
          <w:tcPr>
            <w:tcW w:w="1300" w:type="dxa"/>
            <w:tcBorders>
              <w:top w:val="nil"/>
              <w:left w:val="single" w:sz="4" w:space="0" w:color="auto"/>
              <w:bottom w:val="single" w:sz="8" w:space="0" w:color="auto"/>
              <w:right w:val="nil"/>
            </w:tcBorders>
            <w:shd w:val="clear" w:color="auto" w:fill="auto"/>
            <w:noWrap/>
            <w:vAlign w:val="bottom"/>
            <w:hideMark/>
          </w:tcPr>
          <w:p w14:paraId="0C3DA1E7" w14:textId="77777777" w:rsidR="00AF26CC" w:rsidRPr="000D4C2B" w:rsidRDefault="00AF26CC">
            <w:pPr>
              <w:jc w:val="center"/>
              <w:rPr>
                <w:color w:val="000000"/>
              </w:rPr>
            </w:pPr>
            <w:r w:rsidRPr="000D4C2B">
              <w:rPr>
                <w:color w:val="000000"/>
              </w:rPr>
              <w:t>Dec. 12, 2023</w:t>
            </w:r>
          </w:p>
        </w:tc>
        <w:tc>
          <w:tcPr>
            <w:tcW w:w="1180" w:type="dxa"/>
            <w:tcBorders>
              <w:top w:val="nil"/>
              <w:left w:val="single" w:sz="4" w:space="0" w:color="auto"/>
              <w:bottom w:val="single" w:sz="8" w:space="0" w:color="auto"/>
              <w:right w:val="nil"/>
            </w:tcBorders>
            <w:shd w:val="clear" w:color="auto" w:fill="auto"/>
            <w:noWrap/>
            <w:vAlign w:val="bottom"/>
            <w:hideMark/>
          </w:tcPr>
          <w:p w14:paraId="3378C81A" w14:textId="77777777" w:rsidR="00AF26CC" w:rsidRPr="000D4C2B" w:rsidRDefault="00AF26CC">
            <w:pPr>
              <w:jc w:val="center"/>
              <w:rPr>
                <w:color w:val="000000"/>
              </w:rPr>
            </w:pPr>
            <w:r w:rsidRPr="000D4C2B">
              <w:rPr>
                <w:color w:val="000000"/>
              </w:rPr>
              <w:t>Feb. 6, 2024</w:t>
            </w:r>
          </w:p>
        </w:tc>
        <w:tc>
          <w:tcPr>
            <w:tcW w:w="1280" w:type="dxa"/>
            <w:tcBorders>
              <w:top w:val="nil"/>
              <w:left w:val="single" w:sz="4" w:space="0" w:color="auto"/>
              <w:bottom w:val="single" w:sz="8" w:space="0" w:color="auto"/>
              <w:right w:val="nil"/>
            </w:tcBorders>
            <w:shd w:val="clear" w:color="auto" w:fill="auto"/>
            <w:noWrap/>
            <w:vAlign w:val="bottom"/>
            <w:hideMark/>
          </w:tcPr>
          <w:p w14:paraId="3BA1553A" w14:textId="77777777" w:rsidR="00AF26CC" w:rsidRPr="000D4C2B" w:rsidRDefault="00AF26CC">
            <w:pPr>
              <w:jc w:val="center"/>
              <w:rPr>
                <w:color w:val="000000"/>
              </w:rPr>
            </w:pPr>
            <w:r w:rsidRPr="000D4C2B">
              <w:rPr>
                <w:color w:val="000000"/>
              </w:rPr>
              <w:t>Apr. 12, 2024</w:t>
            </w:r>
          </w:p>
        </w:tc>
      </w:tr>
      <w:tr w:rsidR="00AF26CC" w:rsidRPr="00AF26CC" w14:paraId="4F9EDFA7" w14:textId="77777777" w:rsidTr="000D4C2B">
        <w:trPr>
          <w:trHeight w:val="288"/>
        </w:trPr>
        <w:tc>
          <w:tcPr>
            <w:tcW w:w="1980" w:type="dxa"/>
            <w:tcBorders>
              <w:top w:val="nil"/>
              <w:left w:val="nil"/>
              <w:bottom w:val="nil"/>
              <w:right w:val="single" w:sz="8" w:space="0" w:color="auto"/>
            </w:tcBorders>
            <w:shd w:val="clear" w:color="auto" w:fill="auto"/>
            <w:noWrap/>
            <w:vAlign w:val="bottom"/>
            <w:hideMark/>
          </w:tcPr>
          <w:p w14:paraId="7CFCDA89" w14:textId="77777777" w:rsidR="00AF26CC" w:rsidRPr="000D4C2B" w:rsidRDefault="00AF26CC">
            <w:pPr>
              <w:jc w:val="center"/>
              <w:rPr>
                <w:color w:val="000000"/>
              </w:rPr>
            </w:pPr>
            <w:r w:rsidRPr="000D4C2B">
              <w:rPr>
                <w:color w:val="000000"/>
              </w:rPr>
              <w:t>Fallow</w:t>
            </w:r>
          </w:p>
        </w:tc>
        <w:tc>
          <w:tcPr>
            <w:tcW w:w="1350" w:type="dxa"/>
            <w:tcBorders>
              <w:top w:val="nil"/>
              <w:left w:val="nil"/>
              <w:bottom w:val="nil"/>
              <w:right w:val="single" w:sz="4" w:space="0" w:color="auto"/>
            </w:tcBorders>
            <w:shd w:val="clear" w:color="auto" w:fill="auto"/>
            <w:noWrap/>
            <w:vAlign w:val="bottom"/>
            <w:hideMark/>
          </w:tcPr>
          <w:p w14:paraId="0B58C72A" w14:textId="77777777" w:rsidR="00AF26CC" w:rsidRPr="000D4C2B" w:rsidRDefault="00AF26CC">
            <w:pPr>
              <w:jc w:val="center"/>
              <w:rPr>
                <w:color w:val="000000"/>
              </w:rPr>
            </w:pPr>
            <w:r w:rsidRPr="000D4C2B">
              <w:rPr>
                <w:color w:val="000000"/>
              </w:rPr>
              <w:t>8.4</w:t>
            </w:r>
          </w:p>
        </w:tc>
        <w:tc>
          <w:tcPr>
            <w:tcW w:w="1530" w:type="dxa"/>
            <w:tcBorders>
              <w:top w:val="nil"/>
              <w:left w:val="nil"/>
              <w:bottom w:val="nil"/>
              <w:right w:val="single" w:sz="4" w:space="0" w:color="auto"/>
            </w:tcBorders>
            <w:shd w:val="clear" w:color="auto" w:fill="auto"/>
            <w:noWrap/>
            <w:vAlign w:val="bottom"/>
            <w:hideMark/>
          </w:tcPr>
          <w:p w14:paraId="67DD4071" w14:textId="77777777" w:rsidR="00AF26CC" w:rsidRPr="000D4C2B" w:rsidRDefault="00AF26CC">
            <w:pPr>
              <w:jc w:val="center"/>
              <w:rPr>
                <w:color w:val="000000"/>
              </w:rPr>
            </w:pPr>
            <w:r w:rsidRPr="000D4C2B">
              <w:rPr>
                <w:color w:val="000000"/>
              </w:rPr>
              <w:t>15.4</w:t>
            </w:r>
          </w:p>
        </w:tc>
        <w:tc>
          <w:tcPr>
            <w:tcW w:w="1420" w:type="dxa"/>
            <w:tcBorders>
              <w:top w:val="nil"/>
              <w:left w:val="nil"/>
              <w:bottom w:val="nil"/>
              <w:right w:val="single" w:sz="4" w:space="0" w:color="auto"/>
            </w:tcBorders>
            <w:shd w:val="clear" w:color="auto" w:fill="auto"/>
            <w:noWrap/>
            <w:vAlign w:val="bottom"/>
            <w:hideMark/>
          </w:tcPr>
          <w:p w14:paraId="2DFE1302" w14:textId="77777777" w:rsidR="00AF26CC" w:rsidRPr="000D4C2B" w:rsidRDefault="00AF26CC">
            <w:pPr>
              <w:jc w:val="center"/>
              <w:rPr>
                <w:color w:val="000000"/>
              </w:rPr>
            </w:pPr>
            <w:r w:rsidRPr="000D4C2B">
              <w:rPr>
                <w:color w:val="000000"/>
              </w:rPr>
              <w:t>18.8</w:t>
            </w:r>
          </w:p>
        </w:tc>
        <w:tc>
          <w:tcPr>
            <w:tcW w:w="1300" w:type="dxa"/>
            <w:tcBorders>
              <w:top w:val="nil"/>
              <w:left w:val="nil"/>
              <w:bottom w:val="nil"/>
              <w:right w:val="single" w:sz="4" w:space="0" w:color="auto"/>
            </w:tcBorders>
            <w:shd w:val="clear" w:color="auto" w:fill="auto"/>
            <w:noWrap/>
            <w:vAlign w:val="bottom"/>
            <w:hideMark/>
          </w:tcPr>
          <w:p w14:paraId="072BF30B" w14:textId="77777777" w:rsidR="00AF26CC" w:rsidRPr="000D4C2B" w:rsidRDefault="00AF26CC">
            <w:pPr>
              <w:jc w:val="center"/>
              <w:rPr>
                <w:color w:val="000000"/>
              </w:rPr>
            </w:pPr>
            <w:r w:rsidRPr="000D4C2B">
              <w:rPr>
                <w:color w:val="000000"/>
              </w:rPr>
              <w:t>8.0</w:t>
            </w:r>
          </w:p>
        </w:tc>
        <w:tc>
          <w:tcPr>
            <w:tcW w:w="1180" w:type="dxa"/>
            <w:tcBorders>
              <w:top w:val="nil"/>
              <w:left w:val="nil"/>
              <w:bottom w:val="nil"/>
              <w:right w:val="single" w:sz="4" w:space="0" w:color="auto"/>
            </w:tcBorders>
            <w:shd w:val="clear" w:color="auto" w:fill="auto"/>
            <w:noWrap/>
            <w:vAlign w:val="bottom"/>
            <w:hideMark/>
          </w:tcPr>
          <w:p w14:paraId="3C17B321" w14:textId="77777777" w:rsidR="00AF26CC" w:rsidRPr="000D4C2B" w:rsidRDefault="00AF26CC">
            <w:pPr>
              <w:jc w:val="center"/>
              <w:rPr>
                <w:color w:val="000000"/>
              </w:rPr>
            </w:pPr>
            <w:r w:rsidRPr="000D4C2B">
              <w:rPr>
                <w:color w:val="000000"/>
              </w:rPr>
              <w:t>11.6</w:t>
            </w:r>
          </w:p>
        </w:tc>
        <w:tc>
          <w:tcPr>
            <w:tcW w:w="1280" w:type="dxa"/>
            <w:tcBorders>
              <w:top w:val="nil"/>
              <w:left w:val="nil"/>
              <w:bottom w:val="nil"/>
              <w:right w:val="nil"/>
            </w:tcBorders>
            <w:shd w:val="clear" w:color="auto" w:fill="auto"/>
            <w:noWrap/>
            <w:vAlign w:val="bottom"/>
            <w:hideMark/>
          </w:tcPr>
          <w:p w14:paraId="743FD36D" w14:textId="77777777" w:rsidR="00AF26CC" w:rsidRPr="000D4C2B" w:rsidRDefault="00AF26CC">
            <w:pPr>
              <w:jc w:val="center"/>
              <w:rPr>
                <w:color w:val="000000"/>
              </w:rPr>
            </w:pPr>
            <w:r w:rsidRPr="000D4C2B">
              <w:rPr>
                <w:color w:val="000000"/>
              </w:rPr>
              <w:t>15.4</w:t>
            </w:r>
          </w:p>
        </w:tc>
      </w:tr>
      <w:tr w:rsidR="00AF26CC" w:rsidRPr="00AF26CC" w14:paraId="6D8FE3D7" w14:textId="77777777" w:rsidTr="000D4C2B">
        <w:trPr>
          <w:trHeight w:val="288"/>
        </w:trPr>
        <w:tc>
          <w:tcPr>
            <w:tcW w:w="1980" w:type="dxa"/>
            <w:tcBorders>
              <w:top w:val="nil"/>
              <w:left w:val="nil"/>
              <w:bottom w:val="nil"/>
              <w:right w:val="single" w:sz="8" w:space="0" w:color="auto"/>
            </w:tcBorders>
            <w:shd w:val="clear" w:color="auto" w:fill="auto"/>
            <w:noWrap/>
            <w:vAlign w:val="bottom"/>
            <w:hideMark/>
          </w:tcPr>
          <w:p w14:paraId="1CF6E89B" w14:textId="77777777" w:rsidR="00AF26CC" w:rsidRPr="000D4C2B" w:rsidRDefault="00AF26CC">
            <w:pPr>
              <w:jc w:val="center"/>
              <w:rPr>
                <w:color w:val="000000"/>
              </w:rPr>
            </w:pPr>
            <w:r w:rsidRPr="000D4C2B">
              <w:rPr>
                <w:color w:val="000000"/>
              </w:rPr>
              <w:t>Cereal Rye</w:t>
            </w:r>
          </w:p>
        </w:tc>
        <w:tc>
          <w:tcPr>
            <w:tcW w:w="1350" w:type="dxa"/>
            <w:tcBorders>
              <w:top w:val="nil"/>
              <w:left w:val="nil"/>
              <w:bottom w:val="nil"/>
              <w:right w:val="single" w:sz="4" w:space="0" w:color="auto"/>
            </w:tcBorders>
            <w:shd w:val="clear" w:color="auto" w:fill="auto"/>
            <w:noWrap/>
            <w:vAlign w:val="bottom"/>
            <w:hideMark/>
          </w:tcPr>
          <w:p w14:paraId="47463B1B" w14:textId="77777777" w:rsidR="00AF26CC" w:rsidRPr="000D4C2B" w:rsidRDefault="00AF26CC">
            <w:pPr>
              <w:jc w:val="center"/>
              <w:rPr>
                <w:color w:val="000000"/>
              </w:rPr>
            </w:pPr>
            <w:r w:rsidRPr="000D4C2B">
              <w:rPr>
                <w:color w:val="000000"/>
              </w:rPr>
              <w:t>8.1</w:t>
            </w:r>
          </w:p>
        </w:tc>
        <w:tc>
          <w:tcPr>
            <w:tcW w:w="1530" w:type="dxa"/>
            <w:tcBorders>
              <w:top w:val="nil"/>
              <w:left w:val="nil"/>
              <w:bottom w:val="nil"/>
              <w:right w:val="single" w:sz="4" w:space="0" w:color="auto"/>
            </w:tcBorders>
            <w:shd w:val="clear" w:color="auto" w:fill="auto"/>
            <w:noWrap/>
            <w:vAlign w:val="bottom"/>
            <w:hideMark/>
          </w:tcPr>
          <w:p w14:paraId="6C564882" w14:textId="77777777" w:rsidR="00AF26CC" w:rsidRPr="000D4C2B" w:rsidRDefault="00AF26CC">
            <w:pPr>
              <w:jc w:val="center"/>
              <w:rPr>
                <w:color w:val="000000"/>
              </w:rPr>
            </w:pPr>
            <w:r w:rsidRPr="000D4C2B">
              <w:rPr>
                <w:color w:val="000000"/>
              </w:rPr>
              <w:t>14.6</w:t>
            </w:r>
          </w:p>
        </w:tc>
        <w:tc>
          <w:tcPr>
            <w:tcW w:w="1420" w:type="dxa"/>
            <w:tcBorders>
              <w:top w:val="nil"/>
              <w:left w:val="nil"/>
              <w:bottom w:val="nil"/>
              <w:right w:val="single" w:sz="4" w:space="0" w:color="auto"/>
            </w:tcBorders>
            <w:shd w:val="clear" w:color="auto" w:fill="auto"/>
            <w:noWrap/>
            <w:vAlign w:val="bottom"/>
            <w:hideMark/>
          </w:tcPr>
          <w:p w14:paraId="45288AED" w14:textId="77777777" w:rsidR="00AF26CC" w:rsidRPr="000D4C2B" w:rsidRDefault="00AF26CC">
            <w:pPr>
              <w:jc w:val="center"/>
              <w:rPr>
                <w:color w:val="000000"/>
              </w:rPr>
            </w:pPr>
            <w:r w:rsidRPr="000D4C2B">
              <w:rPr>
                <w:color w:val="000000"/>
              </w:rPr>
              <w:t>18.1</w:t>
            </w:r>
          </w:p>
        </w:tc>
        <w:tc>
          <w:tcPr>
            <w:tcW w:w="1300" w:type="dxa"/>
            <w:tcBorders>
              <w:top w:val="nil"/>
              <w:left w:val="nil"/>
              <w:bottom w:val="nil"/>
              <w:right w:val="single" w:sz="4" w:space="0" w:color="auto"/>
            </w:tcBorders>
            <w:shd w:val="clear" w:color="auto" w:fill="auto"/>
            <w:noWrap/>
            <w:vAlign w:val="bottom"/>
            <w:hideMark/>
          </w:tcPr>
          <w:p w14:paraId="3F668EEC" w14:textId="77777777" w:rsidR="00AF26CC" w:rsidRPr="000D4C2B" w:rsidRDefault="00AF26CC">
            <w:pPr>
              <w:jc w:val="center"/>
              <w:rPr>
                <w:color w:val="000000"/>
              </w:rPr>
            </w:pPr>
            <w:r w:rsidRPr="000D4C2B">
              <w:rPr>
                <w:color w:val="000000"/>
              </w:rPr>
              <w:t>7.8</w:t>
            </w:r>
          </w:p>
        </w:tc>
        <w:tc>
          <w:tcPr>
            <w:tcW w:w="1180" w:type="dxa"/>
            <w:tcBorders>
              <w:top w:val="nil"/>
              <w:left w:val="nil"/>
              <w:bottom w:val="nil"/>
              <w:right w:val="single" w:sz="4" w:space="0" w:color="auto"/>
            </w:tcBorders>
            <w:shd w:val="clear" w:color="auto" w:fill="auto"/>
            <w:noWrap/>
            <w:vAlign w:val="bottom"/>
            <w:hideMark/>
          </w:tcPr>
          <w:p w14:paraId="5C85D1FE" w14:textId="77777777" w:rsidR="00AF26CC" w:rsidRPr="000D4C2B" w:rsidRDefault="00AF26CC">
            <w:pPr>
              <w:jc w:val="center"/>
              <w:rPr>
                <w:color w:val="000000"/>
              </w:rPr>
            </w:pPr>
            <w:r w:rsidRPr="000D4C2B">
              <w:rPr>
                <w:color w:val="000000"/>
              </w:rPr>
              <w:t>10.6</w:t>
            </w:r>
          </w:p>
        </w:tc>
        <w:tc>
          <w:tcPr>
            <w:tcW w:w="1280" w:type="dxa"/>
            <w:tcBorders>
              <w:top w:val="nil"/>
              <w:left w:val="nil"/>
              <w:bottom w:val="nil"/>
              <w:right w:val="nil"/>
            </w:tcBorders>
            <w:shd w:val="clear" w:color="auto" w:fill="auto"/>
            <w:noWrap/>
            <w:vAlign w:val="bottom"/>
            <w:hideMark/>
          </w:tcPr>
          <w:p w14:paraId="14D5EA72" w14:textId="77777777" w:rsidR="00AF26CC" w:rsidRPr="000D4C2B" w:rsidRDefault="00AF26CC">
            <w:pPr>
              <w:jc w:val="center"/>
              <w:rPr>
                <w:color w:val="000000"/>
              </w:rPr>
            </w:pPr>
            <w:r w:rsidRPr="000D4C2B">
              <w:rPr>
                <w:color w:val="000000"/>
              </w:rPr>
              <w:t>14.6</w:t>
            </w:r>
          </w:p>
        </w:tc>
      </w:tr>
      <w:tr w:rsidR="00AF26CC" w:rsidRPr="00AF26CC" w14:paraId="79D968CB" w14:textId="77777777" w:rsidTr="000D4C2B">
        <w:trPr>
          <w:trHeight w:val="288"/>
        </w:trPr>
        <w:tc>
          <w:tcPr>
            <w:tcW w:w="1980" w:type="dxa"/>
            <w:tcBorders>
              <w:top w:val="nil"/>
              <w:left w:val="nil"/>
              <w:bottom w:val="nil"/>
              <w:right w:val="single" w:sz="8" w:space="0" w:color="auto"/>
            </w:tcBorders>
            <w:shd w:val="clear" w:color="auto" w:fill="auto"/>
            <w:noWrap/>
            <w:vAlign w:val="bottom"/>
            <w:hideMark/>
          </w:tcPr>
          <w:p w14:paraId="4424936F" w14:textId="77777777" w:rsidR="00AF26CC" w:rsidRPr="000D4C2B" w:rsidRDefault="00AF26CC">
            <w:pPr>
              <w:jc w:val="center"/>
              <w:rPr>
                <w:color w:val="000000"/>
              </w:rPr>
            </w:pPr>
            <w:r w:rsidRPr="000D4C2B">
              <w:rPr>
                <w:color w:val="000000"/>
              </w:rPr>
              <w:t>Crimson Clover</w:t>
            </w:r>
          </w:p>
        </w:tc>
        <w:tc>
          <w:tcPr>
            <w:tcW w:w="1350" w:type="dxa"/>
            <w:tcBorders>
              <w:top w:val="nil"/>
              <w:left w:val="nil"/>
              <w:bottom w:val="nil"/>
              <w:right w:val="single" w:sz="4" w:space="0" w:color="auto"/>
            </w:tcBorders>
            <w:shd w:val="clear" w:color="auto" w:fill="auto"/>
            <w:noWrap/>
            <w:vAlign w:val="bottom"/>
            <w:hideMark/>
          </w:tcPr>
          <w:p w14:paraId="4A38EB8E" w14:textId="77777777" w:rsidR="00AF26CC" w:rsidRPr="000D4C2B" w:rsidRDefault="00AF26CC">
            <w:pPr>
              <w:jc w:val="center"/>
              <w:rPr>
                <w:color w:val="000000"/>
              </w:rPr>
            </w:pPr>
            <w:r w:rsidRPr="000D4C2B">
              <w:rPr>
                <w:color w:val="000000"/>
              </w:rPr>
              <w:t>8.0</w:t>
            </w:r>
          </w:p>
        </w:tc>
        <w:tc>
          <w:tcPr>
            <w:tcW w:w="1530" w:type="dxa"/>
            <w:tcBorders>
              <w:top w:val="nil"/>
              <w:left w:val="nil"/>
              <w:bottom w:val="nil"/>
              <w:right w:val="single" w:sz="4" w:space="0" w:color="auto"/>
            </w:tcBorders>
            <w:shd w:val="clear" w:color="auto" w:fill="auto"/>
            <w:noWrap/>
            <w:vAlign w:val="bottom"/>
            <w:hideMark/>
          </w:tcPr>
          <w:p w14:paraId="04B18573" w14:textId="77777777" w:rsidR="00AF26CC" w:rsidRPr="000D4C2B" w:rsidRDefault="00AF26CC">
            <w:pPr>
              <w:jc w:val="center"/>
              <w:rPr>
                <w:color w:val="000000"/>
              </w:rPr>
            </w:pPr>
            <w:r w:rsidRPr="000D4C2B">
              <w:rPr>
                <w:color w:val="000000"/>
              </w:rPr>
              <w:t>14.8</w:t>
            </w:r>
          </w:p>
        </w:tc>
        <w:tc>
          <w:tcPr>
            <w:tcW w:w="1420" w:type="dxa"/>
            <w:tcBorders>
              <w:top w:val="nil"/>
              <w:left w:val="nil"/>
              <w:bottom w:val="nil"/>
              <w:right w:val="single" w:sz="4" w:space="0" w:color="auto"/>
            </w:tcBorders>
            <w:shd w:val="clear" w:color="auto" w:fill="auto"/>
            <w:noWrap/>
            <w:vAlign w:val="bottom"/>
            <w:hideMark/>
          </w:tcPr>
          <w:p w14:paraId="29593E9B" w14:textId="77777777" w:rsidR="00AF26CC" w:rsidRPr="000D4C2B" w:rsidRDefault="00AF26CC">
            <w:pPr>
              <w:jc w:val="center"/>
              <w:rPr>
                <w:color w:val="000000"/>
              </w:rPr>
            </w:pPr>
            <w:r w:rsidRPr="000D4C2B">
              <w:rPr>
                <w:color w:val="000000"/>
              </w:rPr>
              <w:t>18.0</w:t>
            </w:r>
          </w:p>
        </w:tc>
        <w:tc>
          <w:tcPr>
            <w:tcW w:w="1300" w:type="dxa"/>
            <w:tcBorders>
              <w:top w:val="nil"/>
              <w:left w:val="nil"/>
              <w:bottom w:val="nil"/>
              <w:right w:val="single" w:sz="4" w:space="0" w:color="auto"/>
            </w:tcBorders>
            <w:shd w:val="clear" w:color="auto" w:fill="auto"/>
            <w:noWrap/>
            <w:vAlign w:val="bottom"/>
            <w:hideMark/>
          </w:tcPr>
          <w:p w14:paraId="5FC39221" w14:textId="77777777" w:rsidR="00AF26CC" w:rsidRPr="000D4C2B" w:rsidRDefault="00AF26CC">
            <w:pPr>
              <w:jc w:val="center"/>
              <w:rPr>
                <w:color w:val="000000"/>
              </w:rPr>
            </w:pPr>
            <w:r w:rsidRPr="000D4C2B">
              <w:rPr>
                <w:color w:val="000000"/>
              </w:rPr>
              <w:t>7.5</w:t>
            </w:r>
          </w:p>
        </w:tc>
        <w:tc>
          <w:tcPr>
            <w:tcW w:w="1180" w:type="dxa"/>
            <w:tcBorders>
              <w:top w:val="nil"/>
              <w:left w:val="nil"/>
              <w:bottom w:val="nil"/>
              <w:right w:val="single" w:sz="4" w:space="0" w:color="auto"/>
            </w:tcBorders>
            <w:shd w:val="clear" w:color="auto" w:fill="auto"/>
            <w:noWrap/>
            <w:vAlign w:val="bottom"/>
            <w:hideMark/>
          </w:tcPr>
          <w:p w14:paraId="6CC9E350" w14:textId="77777777" w:rsidR="00AF26CC" w:rsidRPr="000D4C2B" w:rsidRDefault="00AF26CC">
            <w:pPr>
              <w:jc w:val="center"/>
              <w:rPr>
                <w:color w:val="000000"/>
              </w:rPr>
            </w:pPr>
            <w:r w:rsidRPr="000D4C2B">
              <w:rPr>
                <w:color w:val="000000"/>
              </w:rPr>
              <w:t>10.5</w:t>
            </w:r>
          </w:p>
        </w:tc>
        <w:tc>
          <w:tcPr>
            <w:tcW w:w="1280" w:type="dxa"/>
            <w:tcBorders>
              <w:top w:val="nil"/>
              <w:left w:val="nil"/>
              <w:bottom w:val="nil"/>
              <w:right w:val="nil"/>
            </w:tcBorders>
            <w:shd w:val="clear" w:color="auto" w:fill="auto"/>
            <w:noWrap/>
            <w:vAlign w:val="bottom"/>
            <w:hideMark/>
          </w:tcPr>
          <w:p w14:paraId="18226069" w14:textId="77777777" w:rsidR="00AF26CC" w:rsidRPr="000D4C2B" w:rsidRDefault="00AF26CC">
            <w:pPr>
              <w:jc w:val="center"/>
              <w:rPr>
                <w:color w:val="000000"/>
              </w:rPr>
            </w:pPr>
            <w:r w:rsidRPr="000D4C2B">
              <w:rPr>
                <w:color w:val="000000"/>
              </w:rPr>
              <w:t>14.8</w:t>
            </w:r>
          </w:p>
        </w:tc>
      </w:tr>
      <w:tr w:rsidR="00AF26CC" w:rsidRPr="00AF26CC" w14:paraId="4A421BCD" w14:textId="77777777" w:rsidTr="000D4C2B">
        <w:trPr>
          <w:trHeight w:val="288"/>
        </w:trPr>
        <w:tc>
          <w:tcPr>
            <w:tcW w:w="1980" w:type="dxa"/>
            <w:tcBorders>
              <w:top w:val="nil"/>
              <w:left w:val="nil"/>
              <w:bottom w:val="nil"/>
              <w:right w:val="single" w:sz="8" w:space="0" w:color="auto"/>
            </w:tcBorders>
            <w:shd w:val="clear" w:color="auto" w:fill="auto"/>
            <w:noWrap/>
            <w:vAlign w:val="bottom"/>
            <w:hideMark/>
          </w:tcPr>
          <w:p w14:paraId="24962CFB" w14:textId="77777777" w:rsidR="00AF26CC" w:rsidRPr="000D4C2B" w:rsidRDefault="00AF26CC">
            <w:pPr>
              <w:jc w:val="center"/>
              <w:rPr>
                <w:color w:val="000000"/>
              </w:rPr>
            </w:pPr>
            <w:r w:rsidRPr="000D4C2B">
              <w:rPr>
                <w:color w:val="000000"/>
              </w:rPr>
              <w:t>Hairy Vetch</w:t>
            </w:r>
          </w:p>
        </w:tc>
        <w:tc>
          <w:tcPr>
            <w:tcW w:w="1350" w:type="dxa"/>
            <w:tcBorders>
              <w:top w:val="nil"/>
              <w:left w:val="nil"/>
              <w:bottom w:val="nil"/>
              <w:right w:val="single" w:sz="4" w:space="0" w:color="auto"/>
            </w:tcBorders>
            <w:shd w:val="clear" w:color="auto" w:fill="auto"/>
            <w:noWrap/>
            <w:vAlign w:val="bottom"/>
            <w:hideMark/>
          </w:tcPr>
          <w:p w14:paraId="30486F21" w14:textId="77777777" w:rsidR="00AF26CC" w:rsidRPr="000D4C2B" w:rsidRDefault="00AF26CC">
            <w:pPr>
              <w:jc w:val="center"/>
              <w:rPr>
                <w:color w:val="000000"/>
              </w:rPr>
            </w:pPr>
            <w:r w:rsidRPr="000D4C2B">
              <w:rPr>
                <w:color w:val="000000"/>
              </w:rPr>
              <w:t>8.4</w:t>
            </w:r>
          </w:p>
        </w:tc>
        <w:tc>
          <w:tcPr>
            <w:tcW w:w="1530" w:type="dxa"/>
            <w:tcBorders>
              <w:top w:val="nil"/>
              <w:left w:val="nil"/>
              <w:bottom w:val="nil"/>
              <w:right w:val="single" w:sz="4" w:space="0" w:color="auto"/>
            </w:tcBorders>
            <w:shd w:val="clear" w:color="auto" w:fill="auto"/>
            <w:noWrap/>
            <w:vAlign w:val="bottom"/>
            <w:hideMark/>
          </w:tcPr>
          <w:p w14:paraId="65DC0593" w14:textId="77777777" w:rsidR="00AF26CC" w:rsidRPr="000D4C2B" w:rsidRDefault="00AF26CC">
            <w:pPr>
              <w:jc w:val="center"/>
              <w:rPr>
                <w:color w:val="000000"/>
              </w:rPr>
            </w:pPr>
            <w:r w:rsidRPr="000D4C2B">
              <w:rPr>
                <w:color w:val="000000"/>
              </w:rPr>
              <w:t>14.6</w:t>
            </w:r>
          </w:p>
        </w:tc>
        <w:tc>
          <w:tcPr>
            <w:tcW w:w="1420" w:type="dxa"/>
            <w:tcBorders>
              <w:top w:val="nil"/>
              <w:left w:val="nil"/>
              <w:bottom w:val="nil"/>
              <w:right w:val="single" w:sz="4" w:space="0" w:color="auto"/>
            </w:tcBorders>
            <w:shd w:val="clear" w:color="auto" w:fill="auto"/>
            <w:noWrap/>
            <w:vAlign w:val="bottom"/>
            <w:hideMark/>
          </w:tcPr>
          <w:p w14:paraId="44CEC845" w14:textId="77777777" w:rsidR="00AF26CC" w:rsidRPr="000D4C2B" w:rsidRDefault="00AF26CC">
            <w:pPr>
              <w:jc w:val="center"/>
              <w:rPr>
                <w:color w:val="000000"/>
              </w:rPr>
            </w:pPr>
            <w:r w:rsidRPr="000D4C2B">
              <w:rPr>
                <w:color w:val="000000"/>
              </w:rPr>
              <w:t>17.5</w:t>
            </w:r>
          </w:p>
        </w:tc>
        <w:tc>
          <w:tcPr>
            <w:tcW w:w="1300" w:type="dxa"/>
            <w:tcBorders>
              <w:top w:val="nil"/>
              <w:left w:val="nil"/>
              <w:bottom w:val="nil"/>
              <w:right w:val="single" w:sz="4" w:space="0" w:color="auto"/>
            </w:tcBorders>
            <w:shd w:val="clear" w:color="auto" w:fill="auto"/>
            <w:noWrap/>
            <w:vAlign w:val="bottom"/>
            <w:hideMark/>
          </w:tcPr>
          <w:p w14:paraId="4BE5E02C" w14:textId="77777777" w:rsidR="00AF26CC" w:rsidRPr="000D4C2B" w:rsidRDefault="00AF26CC">
            <w:pPr>
              <w:jc w:val="center"/>
              <w:rPr>
                <w:color w:val="000000"/>
              </w:rPr>
            </w:pPr>
            <w:r w:rsidRPr="000D4C2B">
              <w:rPr>
                <w:color w:val="000000"/>
              </w:rPr>
              <w:t>7.9</w:t>
            </w:r>
          </w:p>
        </w:tc>
        <w:tc>
          <w:tcPr>
            <w:tcW w:w="1180" w:type="dxa"/>
            <w:tcBorders>
              <w:top w:val="nil"/>
              <w:left w:val="nil"/>
              <w:bottom w:val="nil"/>
              <w:right w:val="single" w:sz="4" w:space="0" w:color="auto"/>
            </w:tcBorders>
            <w:shd w:val="clear" w:color="auto" w:fill="auto"/>
            <w:noWrap/>
            <w:vAlign w:val="bottom"/>
            <w:hideMark/>
          </w:tcPr>
          <w:p w14:paraId="4CD5E168" w14:textId="77777777" w:rsidR="00AF26CC" w:rsidRPr="000D4C2B" w:rsidRDefault="00AF26CC">
            <w:pPr>
              <w:jc w:val="center"/>
              <w:rPr>
                <w:color w:val="000000"/>
              </w:rPr>
            </w:pPr>
            <w:r w:rsidRPr="000D4C2B">
              <w:rPr>
                <w:color w:val="000000"/>
              </w:rPr>
              <w:t>10.9</w:t>
            </w:r>
          </w:p>
        </w:tc>
        <w:tc>
          <w:tcPr>
            <w:tcW w:w="1280" w:type="dxa"/>
            <w:tcBorders>
              <w:top w:val="nil"/>
              <w:left w:val="nil"/>
              <w:bottom w:val="nil"/>
              <w:right w:val="nil"/>
            </w:tcBorders>
            <w:shd w:val="clear" w:color="auto" w:fill="auto"/>
            <w:noWrap/>
            <w:vAlign w:val="bottom"/>
            <w:hideMark/>
          </w:tcPr>
          <w:p w14:paraId="4435426D" w14:textId="77777777" w:rsidR="00AF26CC" w:rsidRPr="000D4C2B" w:rsidRDefault="00AF26CC">
            <w:pPr>
              <w:jc w:val="center"/>
              <w:rPr>
                <w:color w:val="000000"/>
              </w:rPr>
            </w:pPr>
            <w:r w:rsidRPr="000D4C2B">
              <w:rPr>
                <w:color w:val="000000"/>
              </w:rPr>
              <w:t>14.6</w:t>
            </w:r>
          </w:p>
        </w:tc>
      </w:tr>
      <w:tr w:rsidR="00AF26CC" w:rsidRPr="00AF26CC" w14:paraId="1A81F4CF" w14:textId="77777777" w:rsidTr="000D4C2B">
        <w:trPr>
          <w:trHeight w:val="288"/>
        </w:trPr>
        <w:tc>
          <w:tcPr>
            <w:tcW w:w="1980" w:type="dxa"/>
            <w:tcBorders>
              <w:top w:val="nil"/>
              <w:left w:val="nil"/>
              <w:bottom w:val="nil"/>
              <w:right w:val="single" w:sz="8" w:space="0" w:color="auto"/>
            </w:tcBorders>
            <w:shd w:val="clear" w:color="auto" w:fill="auto"/>
            <w:noWrap/>
            <w:vAlign w:val="bottom"/>
            <w:hideMark/>
          </w:tcPr>
          <w:p w14:paraId="653156E5" w14:textId="77777777" w:rsidR="00AF26CC" w:rsidRPr="000D4C2B" w:rsidRDefault="00AF26CC">
            <w:pPr>
              <w:jc w:val="center"/>
              <w:rPr>
                <w:i/>
                <w:iCs/>
                <w:color w:val="000000"/>
              </w:rPr>
            </w:pPr>
            <w:r w:rsidRPr="000D4C2B">
              <w:rPr>
                <w:i/>
                <w:iCs/>
                <w:color w:val="000000"/>
              </w:rPr>
              <w:t>P-value</w:t>
            </w:r>
          </w:p>
        </w:tc>
        <w:tc>
          <w:tcPr>
            <w:tcW w:w="1350" w:type="dxa"/>
            <w:tcBorders>
              <w:top w:val="nil"/>
              <w:left w:val="nil"/>
              <w:bottom w:val="nil"/>
              <w:right w:val="single" w:sz="4" w:space="0" w:color="auto"/>
            </w:tcBorders>
            <w:shd w:val="clear" w:color="auto" w:fill="auto"/>
            <w:noWrap/>
            <w:vAlign w:val="bottom"/>
            <w:hideMark/>
          </w:tcPr>
          <w:p w14:paraId="30DF7DB6" w14:textId="77777777" w:rsidR="00AF26CC" w:rsidRPr="000D4C2B" w:rsidRDefault="00AF26CC">
            <w:pPr>
              <w:jc w:val="center"/>
              <w:rPr>
                <w:i/>
                <w:iCs/>
                <w:color w:val="000000"/>
              </w:rPr>
            </w:pPr>
            <w:r w:rsidRPr="000D4C2B">
              <w:rPr>
                <w:i/>
                <w:iCs/>
                <w:color w:val="000000"/>
              </w:rPr>
              <w:t>0.3320</w:t>
            </w:r>
          </w:p>
        </w:tc>
        <w:tc>
          <w:tcPr>
            <w:tcW w:w="1530" w:type="dxa"/>
            <w:tcBorders>
              <w:top w:val="nil"/>
              <w:left w:val="nil"/>
              <w:bottom w:val="nil"/>
              <w:right w:val="single" w:sz="4" w:space="0" w:color="auto"/>
            </w:tcBorders>
            <w:shd w:val="clear" w:color="auto" w:fill="auto"/>
            <w:noWrap/>
            <w:vAlign w:val="bottom"/>
            <w:hideMark/>
          </w:tcPr>
          <w:p w14:paraId="08E685E3" w14:textId="77777777" w:rsidR="00AF26CC" w:rsidRPr="000D4C2B" w:rsidRDefault="00AF26CC">
            <w:pPr>
              <w:jc w:val="center"/>
              <w:rPr>
                <w:i/>
                <w:iCs/>
                <w:color w:val="000000"/>
              </w:rPr>
            </w:pPr>
            <w:r w:rsidRPr="000D4C2B">
              <w:rPr>
                <w:i/>
                <w:iCs/>
                <w:color w:val="000000"/>
              </w:rPr>
              <w:t>0.1926</w:t>
            </w:r>
          </w:p>
        </w:tc>
        <w:tc>
          <w:tcPr>
            <w:tcW w:w="1420" w:type="dxa"/>
            <w:tcBorders>
              <w:top w:val="nil"/>
              <w:left w:val="nil"/>
              <w:bottom w:val="nil"/>
              <w:right w:val="single" w:sz="4" w:space="0" w:color="auto"/>
            </w:tcBorders>
            <w:shd w:val="clear" w:color="auto" w:fill="auto"/>
            <w:noWrap/>
            <w:vAlign w:val="bottom"/>
            <w:hideMark/>
          </w:tcPr>
          <w:p w14:paraId="0EAB15FB" w14:textId="77777777" w:rsidR="00AF26CC" w:rsidRPr="000D4C2B" w:rsidRDefault="00AF26CC">
            <w:pPr>
              <w:jc w:val="center"/>
              <w:rPr>
                <w:i/>
                <w:iCs/>
                <w:color w:val="000000"/>
              </w:rPr>
            </w:pPr>
            <w:r w:rsidRPr="000D4C2B">
              <w:rPr>
                <w:i/>
                <w:iCs/>
                <w:color w:val="000000"/>
              </w:rPr>
              <w:t>0.0685</w:t>
            </w:r>
          </w:p>
        </w:tc>
        <w:tc>
          <w:tcPr>
            <w:tcW w:w="1300" w:type="dxa"/>
            <w:tcBorders>
              <w:top w:val="nil"/>
              <w:left w:val="nil"/>
              <w:bottom w:val="nil"/>
              <w:right w:val="single" w:sz="4" w:space="0" w:color="auto"/>
            </w:tcBorders>
            <w:shd w:val="clear" w:color="auto" w:fill="auto"/>
            <w:noWrap/>
            <w:vAlign w:val="bottom"/>
            <w:hideMark/>
          </w:tcPr>
          <w:p w14:paraId="547700B8" w14:textId="77777777" w:rsidR="00AF26CC" w:rsidRPr="000D4C2B" w:rsidRDefault="00AF26CC">
            <w:pPr>
              <w:jc w:val="center"/>
              <w:rPr>
                <w:i/>
                <w:iCs/>
                <w:color w:val="000000"/>
              </w:rPr>
            </w:pPr>
            <w:r w:rsidRPr="000D4C2B">
              <w:rPr>
                <w:i/>
                <w:iCs/>
                <w:color w:val="000000"/>
              </w:rPr>
              <w:t>0.4912</w:t>
            </w:r>
          </w:p>
        </w:tc>
        <w:tc>
          <w:tcPr>
            <w:tcW w:w="1180" w:type="dxa"/>
            <w:tcBorders>
              <w:top w:val="nil"/>
              <w:left w:val="nil"/>
              <w:bottom w:val="nil"/>
              <w:right w:val="single" w:sz="4" w:space="0" w:color="auto"/>
            </w:tcBorders>
            <w:shd w:val="clear" w:color="auto" w:fill="auto"/>
            <w:noWrap/>
            <w:vAlign w:val="bottom"/>
            <w:hideMark/>
          </w:tcPr>
          <w:p w14:paraId="74637812" w14:textId="77777777" w:rsidR="00AF26CC" w:rsidRPr="000D4C2B" w:rsidRDefault="00AF26CC">
            <w:pPr>
              <w:jc w:val="center"/>
              <w:rPr>
                <w:i/>
                <w:iCs/>
                <w:color w:val="000000"/>
              </w:rPr>
            </w:pPr>
            <w:r w:rsidRPr="000D4C2B">
              <w:rPr>
                <w:i/>
                <w:iCs/>
                <w:color w:val="000000"/>
              </w:rPr>
              <w:t>0.1810</w:t>
            </w:r>
          </w:p>
        </w:tc>
        <w:tc>
          <w:tcPr>
            <w:tcW w:w="1280" w:type="dxa"/>
            <w:tcBorders>
              <w:top w:val="nil"/>
              <w:left w:val="nil"/>
              <w:bottom w:val="nil"/>
              <w:right w:val="nil"/>
            </w:tcBorders>
            <w:shd w:val="clear" w:color="auto" w:fill="auto"/>
            <w:noWrap/>
            <w:vAlign w:val="bottom"/>
            <w:hideMark/>
          </w:tcPr>
          <w:p w14:paraId="27023397" w14:textId="77777777" w:rsidR="00AF26CC" w:rsidRPr="000D4C2B" w:rsidRDefault="00AF26CC">
            <w:pPr>
              <w:jc w:val="center"/>
              <w:rPr>
                <w:i/>
                <w:iCs/>
                <w:color w:val="000000"/>
              </w:rPr>
            </w:pPr>
            <w:r w:rsidRPr="000D4C2B">
              <w:rPr>
                <w:i/>
                <w:iCs/>
                <w:color w:val="000000"/>
              </w:rPr>
              <w:t>0.1926</w:t>
            </w:r>
          </w:p>
        </w:tc>
      </w:tr>
    </w:tbl>
    <w:p w14:paraId="1B0B4333" w14:textId="39623F89" w:rsidR="004E24CA" w:rsidRDefault="0016739B">
      <w:r>
        <w:t xml:space="preserve">Footnote: Soil temperature was analyzed by collection date using PROC ANOVA. </w:t>
      </w:r>
    </w:p>
    <w:p w14:paraId="092C4703" w14:textId="77777777" w:rsidR="004E24CA" w:rsidRDefault="004E24CA">
      <w:r>
        <w:br w:type="page"/>
      </w:r>
    </w:p>
    <w:p w14:paraId="6184ACC3" w14:textId="2B1A76B4" w:rsidR="00FA45B4" w:rsidRDefault="004E24CA">
      <w:r>
        <w:t>Table</w:t>
      </w:r>
      <w:r w:rsidR="00740C87">
        <w:t xml:space="preserve"> 5. Average soil moisture and temperature for June 26, </w:t>
      </w:r>
      <w:proofErr w:type="gramStart"/>
      <w:r w:rsidR="00740C87">
        <w:t>2023</w:t>
      </w:r>
      <w:proofErr w:type="gramEnd"/>
      <w:r w:rsidR="00740C87">
        <w:t xml:space="preserve"> </w:t>
      </w:r>
      <w:r w:rsidR="00FA45B4">
        <w:t xml:space="preserve">by cover crop and tillage treatments. </w:t>
      </w:r>
    </w:p>
    <w:tbl>
      <w:tblPr>
        <w:tblW w:w="5060" w:type="dxa"/>
        <w:tblLook w:val="04A0" w:firstRow="1" w:lastRow="0" w:firstColumn="1" w:lastColumn="0" w:noHBand="0" w:noVBand="1"/>
      </w:tblPr>
      <w:tblGrid>
        <w:gridCol w:w="1890"/>
        <w:gridCol w:w="1440"/>
        <w:gridCol w:w="1730"/>
      </w:tblGrid>
      <w:tr w:rsidR="006A7CC3" w:rsidRPr="006A7CC3" w14:paraId="1FF420FF" w14:textId="77777777" w:rsidTr="006A7CC3">
        <w:trPr>
          <w:trHeight w:val="300"/>
        </w:trPr>
        <w:tc>
          <w:tcPr>
            <w:tcW w:w="1890" w:type="dxa"/>
            <w:vMerge w:val="restart"/>
            <w:tcBorders>
              <w:top w:val="nil"/>
              <w:left w:val="nil"/>
              <w:bottom w:val="single" w:sz="8" w:space="0" w:color="000000"/>
              <w:right w:val="single" w:sz="4" w:space="0" w:color="auto"/>
            </w:tcBorders>
            <w:shd w:val="clear" w:color="auto" w:fill="auto"/>
            <w:noWrap/>
            <w:vAlign w:val="center"/>
            <w:hideMark/>
          </w:tcPr>
          <w:p w14:paraId="2F8A52B9" w14:textId="77777777" w:rsidR="006A7CC3" w:rsidRPr="000D4C2B" w:rsidRDefault="006A7CC3">
            <w:pPr>
              <w:jc w:val="center"/>
              <w:rPr>
                <w:color w:val="000000"/>
              </w:rPr>
            </w:pPr>
            <w:r w:rsidRPr="000D4C2B">
              <w:rPr>
                <w:color w:val="000000"/>
              </w:rPr>
              <w:t>Treatment</w:t>
            </w:r>
          </w:p>
        </w:tc>
        <w:tc>
          <w:tcPr>
            <w:tcW w:w="1440" w:type="dxa"/>
            <w:tcBorders>
              <w:top w:val="nil"/>
              <w:left w:val="nil"/>
              <w:bottom w:val="single" w:sz="8" w:space="0" w:color="auto"/>
              <w:right w:val="nil"/>
            </w:tcBorders>
            <w:shd w:val="clear" w:color="auto" w:fill="auto"/>
            <w:noWrap/>
            <w:vAlign w:val="bottom"/>
            <w:hideMark/>
          </w:tcPr>
          <w:p w14:paraId="689442BE" w14:textId="77777777" w:rsidR="006A7CC3" w:rsidRPr="000D4C2B" w:rsidRDefault="006A7CC3">
            <w:pPr>
              <w:jc w:val="center"/>
              <w:rPr>
                <w:color w:val="000000"/>
              </w:rPr>
            </w:pPr>
            <w:r w:rsidRPr="000D4C2B">
              <w:rPr>
                <w:color w:val="000000"/>
              </w:rPr>
              <w:t>Soil Moisture</w:t>
            </w:r>
          </w:p>
        </w:tc>
        <w:tc>
          <w:tcPr>
            <w:tcW w:w="1730" w:type="dxa"/>
            <w:tcBorders>
              <w:top w:val="nil"/>
              <w:left w:val="single" w:sz="4" w:space="0" w:color="auto"/>
              <w:bottom w:val="single" w:sz="8" w:space="0" w:color="auto"/>
              <w:right w:val="nil"/>
            </w:tcBorders>
            <w:shd w:val="clear" w:color="auto" w:fill="auto"/>
            <w:noWrap/>
            <w:vAlign w:val="bottom"/>
            <w:hideMark/>
          </w:tcPr>
          <w:p w14:paraId="1AD1746D" w14:textId="77777777" w:rsidR="006A7CC3" w:rsidRPr="000D4C2B" w:rsidRDefault="006A7CC3">
            <w:pPr>
              <w:jc w:val="center"/>
              <w:rPr>
                <w:color w:val="000000"/>
              </w:rPr>
            </w:pPr>
            <w:r w:rsidRPr="000D4C2B">
              <w:rPr>
                <w:color w:val="000000"/>
              </w:rPr>
              <w:t>Soil Temperature</w:t>
            </w:r>
          </w:p>
        </w:tc>
      </w:tr>
      <w:tr w:rsidR="000D4C2B" w:rsidRPr="000D4C2B" w14:paraId="01F8D219" w14:textId="77777777" w:rsidTr="000D4C2B">
        <w:trPr>
          <w:trHeight w:val="300"/>
        </w:trPr>
        <w:tc>
          <w:tcPr>
            <w:tcW w:w="1890" w:type="dxa"/>
            <w:vMerge/>
            <w:tcBorders>
              <w:top w:val="nil"/>
              <w:left w:val="nil"/>
              <w:bottom w:val="single" w:sz="8" w:space="0" w:color="000000"/>
              <w:right w:val="single" w:sz="4" w:space="0" w:color="auto"/>
            </w:tcBorders>
            <w:vAlign w:val="center"/>
            <w:hideMark/>
          </w:tcPr>
          <w:p w14:paraId="050675AB" w14:textId="77777777" w:rsidR="006A7CC3" w:rsidRPr="000D4C2B" w:rsidRDefault="006A7CC3">
            <w:pPr>
              <w:rPr>
                <w:color w:val="000000"/>
              </w:rPr>
            </w:pPr>
          </w:p>
        </w:tc>
        <w:tc>
          <w:tcPr>
            <w:tcW w:w="1440" w:type="dxa"/>
            <w:tcBorders>
              <w:top w:val="nil"/>
              <w:left w:val="nil"/>
              <w:bottom w:val="single" w:sz="4" w:space="0" w:color="auto"/>
              <w:right w:val="nil"/>
            </w:tcBorders>
            <w:shd w:val="clear" w:color="auto" w:fill="auto"/>
            <w:noWrap/>
            <w:vAlign w:val="bottom"/>
            <w:hideMark/>
          </w:tcPr>
          <w:p w14:paraId="63DCCF0D" w14:textId="77777777" w:rsidR="006A7CC3" w:rsidRPr="000D4C2B" w:rsidRDefault="006A7CC3">
            <w:pPr>
              <w:jc w:val="center"/>
              <w:rPr>
                <w:color w:val="000000"/>
              </w:rPr>
            </w:pPr>
            <w:r w:rsidRPr="000D4C2B">
              <w:rPr>
                <w:color w:val="000000"/>
              </w:rPr>
              <w:t>%</w:t>
            </w:r>
          </w:p>
        </w:tc>
        <w:tc>
          <w:tcPr>
            <w:tcW w:w="1730" w:type="dxa"/>
            <w:tcBorders>
              <w:top w:val="nil"/>
              <w:left w:val="single" w:sz="4" w:space="0" w:color="auto"/>
              <w:bottom w:val="single" w:sz="4" w:space="0" w:color="auto"/>
              <w:right w:val="nil"/>
            </w:tcBorders>
            <w:shd w:val="clear" w:color="auto" w:fill="auto"/>
            <w:noWrap/>
            <w:vAlign w:val="bottom"/>
            <w:hideMark/>
          </w:tcPr>
          <w:p w14:paraId="29000CD3" w14:textId="77777777" w:rsidR="006A7CC3" w:rsidRPr="000D4C2B" w:rsidRDefault="006A7CC3">
            <w:pPr>
              <w:jc w:val="center"/>
              <w:rPr>
                <w:color w:val="000000"/>
              </w:rPr>
            </w:pPr>
            <w:r w:rsidRPr="000D4C2B">
              <w:rPr>
                <w:color w:val="000000"/>
              </w:rPr>
              <w:t>°C</w:t>
            </w:r>
          </w:p>
        </w:tc>
      </w:tr>
      <w:tr w:rsidR="000D4C2B" w:rsidRPr="000D4C2B" w14:paraId="2810080E" w14:textId="77777777" w:rsidTr="000D4C2B">
        <w:trPr>
          <w:trHeight w:val="288"/>
        </w:trPr>
        <w:tc>
          <w:tcPr>
            <w:tcW w:w="1890" w:type="dxa"/>
            <w:tcBorders>
              <w:top w:val="nil"/>
              <w:left w:val="nil"/>
              <w:bottom w:val="nil"/>
              <w:right w:val="nil"/>
            </w:tcBorders>
            <w:shd w:val="clear" w:color="auto" w:fill="auto"/>
            <w:noWrap/>
            <w:vAlign w:val="bottom"/>
            <w:hideMark/>
          </w:tcPr>
          <w:p w14:paraId="41A0BB95" w14:textId="77777777" w:rsidR="006A7CC3" w:rsidRPr="000D4C2B" w:rsidRDefault="006A7CC3">
            <w:pPr>
              <w:jc w:val="center"/>
              <w:rPr>
                <w:color w:val="000000"/>
              </w:rPr>
            </w:pPr>
            <w:r w:rsidRPr="000D4C2B">
              <w:rPr>
                <w:color w:val="000000"/>
              </w:rPr>
              <w:t>Fallow</w:t>
            </w:r>
          </w:p>
        </w:tc>
        <w:tc>
          <w:tcPr>
            <w:tcW w:w="1440" w:type="dxa"/>
            <w:tcBorders>
              <w:top w:val="nil"/>
              <w:left w:val="single" w:sz="4" w:space="0" w:color="auto"/>
              <w:bottom w:val="nil"/>
              <w:right w:val="single" w:sz="4" w:space="0" w:color="auto"/>
            </w:tcBorders>
            <w:shd w:val="clear" w:color="auto" w:fill="auto"/>
            <w:noWrap/>
            <w:vAlign w:val="bottom"/>
            <w:hideMark/>
          </w:tcPr>
          <w:p w14:paraId="4E492D4E" w14:textId="77777777" w:rsidR="006A7CC3" w:rsidRPr="000D4C2B" w:rsidRDefault="006A7CC3">
            <w:pPr>
              <w:jc w:val="center"/>
              <w:rPr>
                <w:color w:val="000000"/>
              </w:rPr>
            </w:pPr>
            <w:r w:rsidRPr="000D4C2B">
              <w:rPr>
                <w:color w:val="000000"/>
              </w:rPr>
              <w:t>13.5</w:t>
            </w:r>
          </w:p>
        </w:tc>
        <w:tc>
          <w:tcPr>
            <w:tcW w:w="1730" w:type="dxa"/>
            <w:tcBorders>
              <w:top w:val="nil"/>
              <w:left w:val="nil"/>
              <w:bottom w:val="nil"/>
              <w:right w:val="nil"/>
            </w:tcBorders>
            <w:shd w:val="clear" w:color="auto" w:fill="auto"/>
            <w:noWrap/>
            <w:vAlign w:val="bottom"/>
            <w:hideMark/>
          </w:tcPr>
          <w:p w14:paraId="685BE293" w14:textId="77777777" w:rsidR="006A7CC3" w:rsidRPr="000D4C2B" w:rsidRDefault="006A7CC3">
            <w:pPr>
              <w:jc w:val="center"/>
              <w:rPr>
                <w:color w:val="000000"/>
              </w:rPr>
            </w:pPr>
            <w:r w:rsidRPr="000D4C2B">
              <w:rPr>
                <w:color w:val="000000"/>
              </w:rPr>
              <w:t>31.9</w:t>
            </w:r>
          </w:p>
        </w:tc>
      </w:tr>
      <w:tr w:rsidR="000D4C2B" w:rsidRPr="000D4C2B" w14:paraId="07A63A6B" w14:textId="77777777" w:rsidTr="000D4C2B">
        <w:trPr>
          <w:trHeight w:val="288"/>
        </w:trPr>
        <w:tc>
          <w:tcPr>
            <w:tcW w:w="1890" w:type="dxa"/>
            <w:tcBorders>
              <w:top w:val="nil"/>
              <w:left w:val="nil"/>
              <w:bottom w:val="nil"/>
              <w:right w:val="single" w:sz="4" w:space="0" w:color="auto"/>
            </w:tcBorders>
            <w:shd w:val="clear" w:color="auto" w:fill="auto"/>
            <w:noWrap/>
            <w:vAlign w:val="bottom"/>
            <w:hideMark/>
          </w:tcPr>
          <w:p w14:paraId="0A11D516" w14:textId="77777777" w:rsidR="006A7CC3" w:rsidRPr="000D4C2B" w:rsidRDefault="006A7CC3">
            <w:pPr>
              <w:jc w:val="center"/>
              <w:rPr>
                <w:color w:val="000000"/>
              </w:rPr>
            </w:pPr>
            <w:r w:rsidRPr="000D4C2B">
              <w:rPr>
                <w:color w:val="000000"/>
              </w:rPr>
              <w:t>Cereal Rye</w:t>
            </w:r>
          </w:p>
        </w:tc>
        <w:tc>
          <w:tcPr>
            <w:tcW w:w="1440" w:type="dxa"/>
            <w:tcBorders>
              <w:top w:val="nil"/>
              <w:left w:val="nil"/>
              <w:bottom w:val="nil"/>
              <w:right w:val="single" w:sz="4" w:space="0" w:color="auto"/>
            </w:tcBorders>
            <w:shd w:val="clear" w:color="auto" w:fill="auto"/>
            <w:noWrap/>
            <w:vAlign w:val="bottom"/>
            <w:hideMark/>
          </w:tcPr>
          <w:p w14:paraId="692851DB" w14:textId="77777777" w:rsidR="006A7CC3" w:rsidRPr="000D4C2B" w:rsidRDefault="006A7CC3">
            <w:pPr>
              <w:jc w:val="center"/>
              <w:rPr>
                <w:color w:val="000000"/>
              </w:rPr>
            </w:pPr>
            <w:r w:rsidRPr="000D4C2B">
              <w:rPr>
                <w:color w:val="000000"/>
              </w:rPr>
              <w:t>24.2</w:t>
            </w:r>
          </w:p>
        </w:tc>
        <w:tc>
          <w:tcPr>
            <w:tcW w:w="1730" w:type="dxa"/>
            <w:tcBorders>
              <w:top w:val="nil"/>
              <w:left w:val="nil"/>
              <w:bottom w:val="nil"/>
              <w:right w:val="nil"/>
            </w:tcBorders>
            <w:shd w:val="clear" w:color="auto" w:fill="auto"/>
            <w:noWrap/>
            <w:vAlign w:val="bottom"/>
            <w:hideMark/>
          </w:tcPr>
          <w:p w14:paraId="4AD9267C" w14:textId="77777777" w:rsidR="006A7CC3" w:rsidRPr="000D4C2B" w:rsidRDefault="006A7CC3">
            <w:pPr>
              <w:jc w:val="center"/>
              <w:rPr>
                <w:color w:val="000000"/>
              </w:rPr>
            </w:pPr>
            <w:r w:rsidRPr="000D4C2B">
              <w:rPr>
                <w:color w:val="000000"/>
              </w:rPr>
              <w:t>31.9</w:t>
            </w:r>
          </w:p>
        </w:tc>
      </w:tr>
      <w:tr w:rsidR="000D4C2B" w:rsidRPr="000D4C2B" w14:paraId="3CAF95D9" w14:textId="77777777" w:rsidTr="000D4C2B">
        <w:trPr>
          <w:trHeight w:val="288"/>
        </w:trPr>
        <w:tc>
          <w:tcPr>
            <w:tcW w:w="1890" w:type="dxa"/>
            <w:tcBorders>
              <w:top w:val="nil"/>
              <w:left w:val="nil"/>
              <w:bottom w:val="nil"/>
              <w:right w:val="single" w:sz="4" w:space="0" w:color="auto"/>
            </w:tcBorders>
            <w:shd w:val="clear" w:color="auto" w:fill="auto"/>
            <w:noWrap/>
            <w:vAlign w:val="bottom"/>
            <w:hideMark/>
          </w:tcPr>
          <w:p w14:paraId="0F1BC668" w14:textId="77777777" w:rsidR="006A7CC3" w:rsidRPr="000D4C2B" w:rsidRDefault="006A7CC3">
            <w:pPr>
              <w:jc w:val="center"/>
              <w:rPr>
                <w:color w:val="000000"/>
              </w:rPr>
            </w:pPr>
            <w:r w:rsidRPr="000D4C2B">
              <w:rPr>
                <w:color w:val="000000"/>
              </w:rPr>
              <w:t>Crimson clover</w:t>
            </w:r>
          </w:p>
        </w:tc>
        <w:tc>
          <w:tcPr>
            <w:tcW w:w="1440" w:type="dxa"/>
            <w:tcBorders>
              <w:top w:val="nil"/>
              <w:left w:val="nil"/>
              <w:bottom w:val="nil"/>
              <w:right w:val="single" w:sz="4" w:space="0" w:color="auto"/>
            </w:tcBorders>
            <w:shd w:val="clear" w:color="auto" w:fill="auto"/>
            <w:noWrap/>
            <w:vAlign w:val="bottom"/>
            <w:hideMark/>
          </w:tcPr>
          <w:p w14:paraId="37974BB7" w14:textId="77777777" w:rsidR="006A7CC3" w:rsidRPr="000D4C2B" w:rsidRDefault="006A7CC3">
            <w:pPr>
              <w:jc w:val="center"/>
              <w:rPr>
                <w:color w:val="000000"/>
              </w:rPr>
            </w:pPr>
            <w:r w:rsidRPr="000D4C2B">
              <w:rPr>
                <w:color w:val="000000"/>
              </w:rPr>
              <w:t>13.8</w:t>
            </w:r>
          </w:p>
        </w:tc>
        <w:tc>
          <w:tcPr>
            <w:tcW w:w="1730" w:type="dxa"/>
            <w:tcBorders>
              <w:top w:val="nil"/>
              <w:left w:val="nil"/>
              <w:bottom w:val="nil"/>
              <w:right w:val="nil"/>
            </w:tcBorders>
            <w:shd w:val="clear" w:color="auto" w:fill="auto"/>
            <w:noWrap/>
            <w:vAlign w:val="bottom"/>
            <w:hideMark/>
          </w:tcPr>
          <w:p w14:paraId="42406D58" w14:textId="77777777" w:rsidR="006A7CC3" w:rsidRPr="000D4C2B" w:rsidRDefault="006A7CC3">
            <w:pPr>
              <w:jc w:val="center"/>
              <w:rPr>
                <w:color w:val="000000"/>
              </w:rPr>
            </w:pPr>
            <w:r w:rsidRPr="000D4C2B">
              <w:rPr>
                <w:color w:val="000000"/>
              </w:rPr>
              <w:t>31.5</w:t>
            </w:r>
          </w:p>
        </w:tc>
      </w:tr>
      <w:tr w:rsidR="000D4C2B" w:rsidRPr="000D4C2B" w14:paraId="04E7F7DD" w14:textId="77777777" w:rsidTr="000D4C2B">
        <w:trPr>
          <w:trHeight w:val="288"/>
        </w:trPr>
        <w:tc>
          <w:tcPr>
            <w:tcW w:w="1890" w:type="dxa"/>
            <w:tcBorders>
              <w:top w:val="nil"/>
              <w:left w:val="nil"/>
              <w:bottom w:val="nil"/>
              <w:right w:val="single" w:sz="4" w:space="0" w:color="auto"/>
            </w:tcBorders>
            <w:shd w:val="clear" w:color="auto" w:fill="auto"/>
            <w:noWrap/>
            <w:vAlign w:val="bottom"/>
            <w:hideMark/>
          </w:tcPr>
          <w:p w14:paraId="3714673F" w14:textId="77777777" w:rsidR="006A7CC3" w:rsidRPr="000D4C2B" w:rsidRDefault="006A7CC3">
            <w:pPr>
              <w:jc w:val="center"/>
              <w:rPr>
                <w:color w:val="000000"/>
              </w:rPr>
            </w:pPr>
            <w:r w:rsidRPr="000D4C2B">
              <w:rPr>
                <w:color w:val="000000"/>
              </w:rPr>
              <w:t>Hairy Vetch</w:t>
            </w:r>
          </w:p>
        </w:tc>
        <w:tc>
          <w:tcPr>
            <w:tcW w:w="1440" w:type="dxa"/>
            <w:tcBorders>
              <w:top w:val="nil"/>
              <w:left w:val="nil"/>
              <w:bottom w:val="nil"/>
              <w:right w:val="single" w:sz="4" w:space="0" w:color="auto"/>
            </w:tcBorders>
            <w:shd w:val="clear" w:color="auto" w:fill="auto"/>
            <w:noWrap/>
            <w:vAlign w:val="bottom"/>
            <w:hideMark/>
          </w:tcPr>
          <w:p w14:paraId="24C9A552" w14:textId="77777777" w:rsidR="006A7CC3" w:rsidRPr="000D4C2B" w:rsidRDefault="006A7CC3">
            <w:pPr>
              <w:jc w:val="center"/>
              <w:rPr>
                <w:color w:val="000000"/>
              </w:rPr>
            </w:pPr>
            <w:r w:rsidRPr="000D4C2B">
              <w:rPr>
                <w:color w:val="000000"/>
              </w:rPr>
              <w:t>13.3</w:t>
            </w:r>
          </w:p>
        </w:tc>
        <w:tc>
          <w:tcPr>
            <w:tcW w:w="1730" w:type="dxa"/>
            <w:tcBorders>
              <w:top w:val="nil"/>
              <w:left w:val="nil"/>
              <w:bottom w:val="nil"/>
              <w:right w:val="nil"/>
            </w:tcBorders>
            <w:shd w:val="clear" w:color="auto" w:fill="auto"/>
            <w:noWrap/>
            <w:vAlign w:val="bottom"/>
            <w:hideMark/>
          </w:tcPr>
          <w:p w14:paraId="66D7EE90" w14:textId="77777777" w:rsidR="006A7CC3" w:rsidRPr="000D4C2B" w:rsidRDefault="006A7CC3">
            <w:pPr>
              <w:jc w:val="center"/>
              <w:rPr>
                <w:color w:val="000000"/>
              </w:rPr>
            </w:pPr>
            <w:r w:rsidRPr="000D4C2B">
              <w:rPr>
                <w:color w:val="000000"/>
              </w:rPr>
              <w:t>31.5</w:t>
            </w:r>
          </w:p>
        </w:tc>
      </w:tr>
      <w:tr w:rsidR="000D4C2B" w:rsidRPr="000D4C2B" w14:paraId="7E0E8594" w14:textId="77777777" w:rsidTr="000D4C2B">
        <w:trPr>
          <w:trHeight w:val="300"/>
        </w:trPr>
        <w:tc>
          <w:tcPr>
            <w:tcW w:w="1890" w:type="dxa"/>
            <w:tcBorders>
              <w:top w:val="nil"/>
              <w:left w:val="nil"/>
              <w:bottom w:val="single" w:sz="8" w:space="0" w:color="auto"/>
              <w:right w:val="single" w:sz="4" w:space="0" w:color="auto"/>
            </w:tcBorders>
            <w:shd w:val="clear" w:color="auto" w:fill="auto"/>
            <w:noWrap/>
            <w:vAlign w:val="bottom"/>
            <w:hideMark/>
          </w:tcPr>
          <w:p w14:paraId="521C7BD4" w14:textId="77777777" w:rsidR="006A7CC3" w:rsidRPr="000D4C2B" w:rsidRDefault="006A7CC3">
            <w:pPr>
              <w:jc w:val="center"/>
              <w:rPr>
                <w:i/>
                <w:iCs/>
                <w:color w:val="000000"/>
              </w:rPr>
            </w:pPr>
            <w:r w:rsidRPr="000D4C2B">
              <w:rPr>
                <w:i/>
                <w:iCs/>
                <w:color w:val="000000"/>
              </w:rPr>
              <w:t>P-value</w:t>
            </w:r>
          </w:p>
        </w:tc>
        <w:tc>
          <w:tcPr>
            <w:tcW w:w="1440" w:type="dxa"/>
            <w:tcBorders>
              <w:top w:val="nil"/>
              <w:left w:val="nil"/>
              <w:bottom w:val="single" w:sz="8" w:space="0" w:color="auto"/>
              <w:right w:val="single" w:sz="4" w:space="0" w:color="auto"/>
            </w:tcBorders>
            <w:shd w:val="clear" w:color="auto" w:fill="auto"/>
            <w:noWrap/>
            <w:vAlign w:val="bottom"/>
            <w:hideMark/>
          </w:tcPr>
          <w:p w14:paraId="29C743BE" w14:textId="77777777" w:rsidR="006A7CC3" w:rsidRPr="000D4C2B" w:rsidRDefault="006A7CC3">
            <w:pPr>
              <w:jc w:val="center"/>
              <w:rPr>
                <w:i/>
                <w:iCs/>
                <w:color w:val="000000"/>
              </w:rPr>
            </w:pPr>
            <w:r w:rsidRPr="000D4C2B">
              <w:rPr>
                <w:i/>
                <w:iCs/>
                <w:color w:val="000000"/>
              </w:rPr>
              <w:t>0.4670</w:t>
            </w:r>
          </w:p>
        </w:tc>
        <w:tc>
          <w:tcPr>
            <w:tcW w:w="1730" w:type="dxa"/>
            <w:tcBorders>
              <w:top w:val="nil"/>
              <w:left w:val="nil"/>
              <w:bottom w:val="single" w:sz="8" w:space="0" w:color="auto"/>
              <w:right w:val="nil"/>
            </w:tcBorders>
            <w:shd w:val="clear" w:color="auto" w:fill="auto"/>
            <w:noWrap/>
            <w:vAlign w:val="bottom"/>
            <w:hideMark/>
          </w:tcPr>
          <w:p w14:paraId="5C7E8DB0" w14:textId="77777777" w:rsidR="006A7CC3" w:rsidRPr="000D4C2B" w:rsidRDefault="006A7CC3">
            <w:pPr>
              <w:jc w:val="center"/>
              <w:rPr>
                <w:i/>
                <w:iCs/>
                <w:color w:val="000000"/>
              </w:rPr>
            </w:pPr>
            <w:r w:rsidRPr="000D4C2B">
              <w:rPr>
                <w:i/>
                <w:iCs/>
                <w:color w:val="000000"/>
              </w:rPr>
              <w:t>0.4556</w:t>
            </w:r>
          </w:p>
        </w:tc>
      </w:tr>
      <w:tr w:rsidR="000D4C2B" w:rsidRPr="000D4C2B" w14:paraId="2CA7A7AC" w14:textId="77777777" w:rsidTr="000D4C2B">
        <w:trPr>
          <w:trHeight w:val="288"/>
        </w:trPr>
        <w:tc>
          <w:tcPr>
            <w:tcW w:w="1890" w:type="dxa"/>
            <w:tcBorders>
              <w:top w:val="nil"/>
              <w:left w:val="nil"/>
              <w:bottom w:val="nil"/>
              <w:right w:val="single" w:sz="4" w:space="0" w:color="auto"/>
            </w:tcBorders>
            <w:shd w:val="clear" w:color="auto" w:fill="auto"/>
            <w:noWrap/>
            <w:vAlign w:val="bottom"/>
            <w:hideMark/>
          </w:tcPr>
          <w:p w14:paraId="0E278D82" w14:textId="77777777" w:rsidR="006A7CC3" w:rsidRPr="000D4C2B" w:rsidRDefault="006A7CC3">
            <w:pPr>
              <w:jc w:val="center"/>
              <w:rPr>
                <w:color w:val="000000"/>
              </w:rPr>
            </w:pPr>
            <w:r w:rsidRPr="000D4C2B">
              <w:rPr>
                <w:color w:val="000000"/>
              </w:rPr>
              <w:t>CONV</w:t>
            </w:r>
          </w:p>
        </w:tc>
        <w:tc>
          <w:tcPr>
            <w:tcW w:w="1440" w:type="dxa"/>
            <w:tcBorders>
              <w:top w:val="nil"/>
              <w:left w:val="nil"/>
              <w:bottom w:val="nil"/>
              <w:right w:val="single" w:sz="4" w:space="0" w:color="auto"/>
            </w:tcBorders>
            <w:shd w:val="clear" w:color="auto" w:fill="auto"/>
            <w:noWrap/>
            <w:vAlign w:val="bottom"/>
            <w:hideMark/>
          </w:tcPr>
          <w:p w14:paraId="1E6C68C1" w14:textId="77777777" w:rsidR="006A7CC3" w:rsidRPr="000D4C2B" w:rsidRDefault="006A7CC3">
            <w:pPr>
              <w:jc w:val="center"/>
              <w:rPr>
                <w:color w:val="000000"/>
              </w:rPr>
            </w:pPr>
            <w:r w:rsidRPr="000D4C2B">
              <w:rPr>
                <w:color w:val="000000"/>
              </w:rPr>
              <w:t>13.6</w:t>
            </w:r>
          </w:p>
        </w:tc>
        <w:tc>
          <w:tcPr>
            <w:tcW w:w="1730" w:type="dxa"/>
            <w:tcBorders>
              <w:top w:val="nil"/>
              <w:left w:val="nil"/>
              <w:bottom w:val="nil"/>
              <w:right w:val="nil"/>
            </w:tcBorders>
            <w:shd w:val="clear" w:color="auto" w:fill="auto"/>
            <w:noWrap/>
            <w:vAlign w:val="bottom"/>
            <w:hideMark/>
          </w:tcPr>
          <w:p w14:paraId="3FFB7441" w14:textId="77777777" w:rsidR="006A7CC3" w:rsidRPr="000D4C2B" w:rsidRDefault="006A7CC3">
            <w:pPr>
              <w:jc w:val="center"/>
              <w:rPr>
                <w:color w:val="000000"/>
              </w:rPr>
            </w:pPr>
            <w:r w:rsidRPr="000D4C2B">
              <w:rPr>
                <w:color w:val="000000"/>
              </w:rPr>
              <w:t>31.5</w:t>
            </w:r>
          </w:p>
        </w:tc>
      </w:tr>
      <w:tr w:rsidR="000D4C2B" w:rsidRPr="000D4C2B" w14:paraId="4451EAFC" w14:textId="77777777" w:rsidTr="000D4C2B">
        <w:trPr>
          <w:trHeight w:val="288"/>
        </w:trPr>
        <w:tc>
          <w:tcPr>
            <w:tcW w:w="1890" w:type="dxa"/>
            <w:tcBorders>
              <w:top w:val="nil"/>
              <w:left w:val="nil"/>
              <w:bottom w:val="nil"/>
              <w:right w:val="single" w:sz="4" w:space="0" w:color="auto"/>
            </w:tcBorders>
            <w:shd w:val="clear" w:color="auto" w:fill="auto"/>
            <w:noWrap/>
            <w:vAlign w:val="bottom"/>
            <w:hideMark/>
          </w:tcPr>
          <w:p w14:paraId="36D844F5" w14:textId="77777777" w:rsidR="006A7CC3" w:rsidRPr="000D4C2B" w:rsidRDefault="006A7CC3">
            <w:pPr>
              <w:jc w:val="center"/>
              <w:rPr>
                <w:color w:val="000000"/>
              </w:rPr>
            </w:pPr>
            <w:r w:rsidRPr="000D4C2B">
              <w:rPr>
                <w:color w:val="000000"/>
              </w:rPr>
              <w:t>NT</w:t>
            </w:r>
          </w:p>
        </w:tc>
        <w:tc>
          <w:tcPr>
            <w:tcW w:w="1440" w:type="dxa"/>
            <w:tcBorders>
              <w:top w:val="nil"/>
              <w:left w:val="nil"/>
              <w:bottom w:val="nil"/>
              <w:right w:val="single" w:sz="4" w:space="0" w:color="auto"/>
            </w:tcBorders>
            <w:shd w:val="clear" w:color="auto" w:fill="auto"/>
            <w:noWrap/>
            <w:vAlign w:val="bottom"/>
            <w:hideMark/>
          </w:tcPr>
          <w:p w14:paraId="21DA2BD2" w14:textId="77777777" w:rsidR="006A7CC3" w:rsidRPr="000D4C2B" w:rsidRDefault="006A7CC3">
            <w:pPr>
              <w:jc w:val="center"/>
              <w:rPr>
                <w:color w:val="000000"/>
              </w:rPr>
            </w:pPr>
            <w:r w:rsidRPr="000D4C2B">
              <w:rPr>
                <w:color w:val="000000"/>
              </w:rPr>
              <w:t>18.9</w:t>
            </w:r>
          </w:p>
        </w:tc>
        <w:tc>
          <w:tcPr>
            <w:tcW w:w="1730" w:type="dxa"/>
            <w:tcBorders>
              <w:top w:val="nil"/>
              <w:left w:val="nil"/>
              <w:bottom w:val="nil"/>
              <w:right w:val="nil"/>
            </w:tcBorders>
            <w:shd w:val="clear" w:color="auto" w:fill="auto"/>
            <w:noWrap/>
            <w:vAlign w:val="bottom"/>
            <w:hideMark/>
          </w:tcPr>
          <w:p w14:paraId="49CFCF56" w14:textId="77777777" w:rsidR="006A7CC3" w:rsidRPr="000D4C2B" w:rsidRDefault="006A7CC3">
            <w:pPr>
              <w:jc w:val="center"/>
              <w:rPr>
                <w:color w:val="000000"/>
              </w:rPr>
            </w:pPr>
            <w:r w:rsidRPr="000D4C2B">
              <w:rPr>
                <w:color w:val="000000"/>
              </w:rPr>
              <w:t>31.9</w:t>
            </w:r>
          </w:p>
        </w:tc>
      </w:tr>
      <w:tr w:rsidR="000D4C2B" w:rsidRPr="000D4C2B" w14:paraId="21388DC1" w14:textId="77777777" w:rsidTr="000D4C2B">
        <w:trPr>
          <w:trHeight w:val="288"/>
        </w:trPr>
        <w:tc>
          <w:tcPr>
            <w:tcW w:w="1890" w:type="dxa"/>
            <w:tcBorders>
              <w:top w:val="nil"/>
              <w:left w:val="nil"/>
              <w:bottom w:val="nil"/>
              <w:right w:val="single" w:sz="4" w:space="0" w:color="auto"/>
            </w:tcBorders>
            <w:shd w:val="clear" w:color="auto" w:fill="auto"/>
            <w:noWrap/>
            <w:vAlign w:val="bottom"/>
            <w:hideMark/>
          </w:tcPr>
          <w:p w14:paraId="15B0B019" w14:textId="77777777" w:rsidR="006A7CC3" w:rsidRPr="000D4C2B" w:rsidRDefault="006A7CC3">
            <w:pPr>
              <w:jc w:val="center"/>
              <w:rPr>
                <w:i/>
                <w:iCs/>
                <w:color w:val="000000"/>
              </w:rPr>
            </w:pPr>
            <w:r w:rsidRPr="000D4C2B">
              <w:rPr>
                <w:i/>
                <w:iCs/>
                <w:color w:val="000000"/>
              </w:rPr>
              <w:t>P-value</w:t>
            </w:r>
          </w:p>
        </w:tc>
        <w:tc>
          <w:tcPr>
            <w:tcW w:w="1440" w:type="dxa"/>
            <w:tcBorders>
              <w:top w:val="nil"/>
              <w:left w:val="nil"/>
              <w:bottom w:val="nil"/>
              <w:right w:val="single" w:sz="4" w:space="0" w:color="auto"/>
            </w:tcBorders>
            <w:shd w:val="clear" w:color="auto" w:fill="auto"/>
            <w:noWrap/>
            <w:vAlign w:val="bottom"/>
            <w:hideMark/>
          </w:tcPr>
          <w:p w14:paraId="36606DCC" w14:textId="77777777" w:rsidR="006A7CC3" w:rsidRPr="000D4C2B" w:rsidRDefault="006A7CC3">
            <w:pPr>
              <w:jc w:val="center"/>
              <w:rPr>
                <w:i/>
                <w:iCs/>
                <w:color w:val="000000"/>
              </w:rPr>
            </w:pPr>
            <w:r w:rsidRPr="000D4C2B">
              <w:rPr>
                <w:i/>
                <w:iCs/>
                <w:color w:val="000000"/>
              </w:rPr>
              <w:t>0.3782</w:t>
            </w:r>
          </w:p>
        </w:tc>
        <w:tc>
          <w:tcPr>
            <w:tcW w:w="1730" w:type="dxa"/>
            <w:tcBorders>
              <w:top w:val="nil"/>
              <w:left w:val="nil"/>
              <w:bottom w:val="nil"/>
              <w:right w:val="nil"/>
            </w:tcBorders>
            <w:shd w:val="clear" w:color="auto" w:fill="auto"/>
            <w:noWrap/>
            <w:vAlign w:val="bottom"/>
            <w:hideMark/>
          </w:tcPr>
          <w:p w14:paraId="2C610639" w14:textId="77777777" w:rsidR="006A7CC3" w:rsidRPr="000D4C2B" w:rsidRDefault="006A7CC3">
            <w:pPr>
              <w:jc w:val="center"/>
              <w:rPr>
                <w:i/>
                <w:iCs/>
                <w:color w:val="000000"/>
              </w:rPr>
            </w:pPr>
            <w:r w:rsidRPr="000D4C2B">
              <w:rPr>
                <w:i/>
                <w:iCs/>
                <w:color w:val="000000"/>
              </w:rPr>
              <w:t>0.1134</w:t>
            </w:r>
          </w:p>
        </w:tc>
      </w:tr>
    </w:tbl>
    <w:p w14:paraId="2F6C3618" w14:textId="19B418AA" w:rsidR="00932028" w:rsidRPr="000D4C2B" w:rsidRDefault="00FA45B4">
      <w:r>
        <w:t>Footnote: Soil moisture and temperature were analyzed separately by cover crop and tillage treatment using PROC ANOVA.</w:t>
      </w:r>
      <w:r w:rsidR="009E090B">
        <w:br w:type="page"/>
      </w:r>
    </w:p>
    <w:p w14:paraId="654CFD98" w14:textId="7945D6B5" w:rsidR="00191DD7" w:rsidRPr="00932028" w:rsidRDefault="007D538B" w:rsidP="00932028">
      <w:pPr>
        <w:pStyle w:val="Heading1"/>
        <w:rPr>
          <w:color w:val="auto"/>
        </w:rPr>
      </w:pPr>
      <w:bookmarkStart w:id="41" w:name="_Toc196292003"/>
      <w:r w:rsidRPr="003B6716">
        <w:t>V</w:t>
      </w:r>
      <w:r w:rsidR="00E91931" w:rsidRPr="003B6716">
        <w:t>ita</w:t>
      </w:r>
      <w:bookmarkEnd w:id="37"/>
      <w:bookmarkEnd w:id="38"/>
      <w:bookmarkEnd w:id="39"/>
      <w:bookmarkEnd w:id="41"/>
    </w:p>
    <w:p w14:paraId="55A9A8B4" w14:textId="01A6A368" w:rsidR="00AE125E" w:rsidRPr="00F21024" w:rsidRDefault="003D63DF" w:rsidP="00880CD2">
      <w:pPr>
        <w:spacing w:line="360" w:lineRule="auto"/>
      </w:pPr>
      <w:r w:rsidRPr="00F21024">
        <w:tab/>
      </w:r>
      <w:r w:rsidR="0018554B" w:rsidRPr="00F21024">
        <w:t xml:space="preserve">Alyssa Corinne Thelin was born in Midwest City, Oklahoma. She spent her childhood and formative teen years in Choctaw, Oklahoma where she attended elementary, middle, and high school. She was active in her church youth group and working in the family restaurant. During her senior year of high school, she discovered her interest in plants and the environment through her introductory botany class. After high school, she moved to Stillwater, Oklahoma to attend Oklahoma State University. There she majored in plant and soil sciences with a concentration </w:t>
      </w:r>
      <w:proofErr w:type="gramStart"/>
      <w:r w:rsidR="0018554B" w:rsidRPr="00F21024">
        <w:t>in</w:t>
      </w:r>
      <w:proofErr w:type="gramEnd"/>
      <w:r w:rsidR="0018554B" w:rsidRPr="00F21024">
        <w:t xml:space="preserve"> soil and water resources. She was active as an undergraduate research assistant where she found her love for soil. The support she received from her undergraduate advisors and supervisors led her to apply, and eventually be accepted, to graduate school. She graduated from Oklahoma State University with honors in May 2022. In August 2022, she began her master’s program</w:t>
      </w:r>
      <w:r w:rsidR="00713001" w:rsidRPr="00F21024">
        <w:t xml:space="preserve"> at the University of Tennessee, Knoxville</w:t>
      </w:r>
      <w:r w:rsidR="0018554B" w:rsidRPr="00F21024">
        <w:t xml:space="preserve"> as a Graduate Research Assistant under the advisement and supervision of Drs. Mitchell Richmond and Virginia Sykes. During graduate school, she attended two professional development conferences, presented at four scientific conferences, and many extension field days. Alyssa left her graduate program with an exciting appreciation for crop science and a new hatred for the rain.</w:t>
      </w:r>
    </w:p>
    <w:sectPr w:rsidR="00AE125E" w:rsidRPr="00F21024" w:rsidSect="005311F9">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EF44B" w14:textId="77777777" w:rsidR="00FF5C5A" w:rsidRDefault="00FF5C5A">
      <w:r>
        <w:separator/>
      </w:r>
    </w:p>
  </w:endnote>
  <w:endnote w:type="continuationSeparator" w:id="0">
    <w:p w14:paraId="21EC2DC6" w14:textId="77777777" w:rsidR="00FF5C5A" w:rsidRDefault="00FF5C5A">
      <w:r>
        <w:continuationSeparator/>
      </w:r>
    </w:p>
  </w:endnote>
  <w:endnote w:type="continuationNotice" w:id="1">
    <w:p w14:paraId="5911DF1F" w14:textId="77777777" w:rsidR="00FF5C5A" w:rsidRDefault="00FF5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986760"/>
      <w:docPartObj>
        <w:docPartGallery w:val="Page Numbers (Bottom of Page)"/>
        <w:docPartUnique/>
      </w:docPartObj>
    </w:sdtPr>
    <w:sdtEndPr>
      <w:rPr>
        <w:noProof/>
      </w:rPr>
    </w:sdtEndPr>
    <w:sdtContent>
      <w:p w14:paraId="376F9992" w14:textId="77777777" w:rsidR="00D83B30" w:rsidRPr="009D2AA9" w:rsidRDefault="00D83B30">
        <w:pPr>
          <w:pStyle w:val="Footer"/>
          <w:jc w:val="center"/>
        </w:pPr>
        <w:r w:rsidRPr="009D2AA9">
          <w:fldChar w:fldCharType="begin"/>
        </w:r>
        <w:r w:rsidRPr="009D2AA9">
          <w:instrText xml:space="preserve"> PAGE   \* MERGEFORMAT </w:instrText>
        </w:r>
        <w:r w:rsidRPr="009D2AA9">
          <w:fldChar w:fldCharType="separate"/>
        </w:r>
        <w:r w:rsidR="007F7A99">
          <w:rPr>
            <w:noProof/>
          </w:rPr>
          <w:t>14</w:t>
        </w:r>
        <w:r w:rsidRPr="009D2AA9">
          <w:rPr>
            <w:noProof/>
          </w:rPr>
          <w:fldChar w:fldCharType="end"/>
        </w:r>
      </w:p>
    </w:sdtContent>
  </w:sdt>
  <w:p w14:paraId="4F633534"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24BB" w14:textId="77777777" w:rsidR="00FF5C5A" w:rsidRDefault="00FF5C5A">
      <w:r>
        <w:separator/>
      </w:r>
    </w:p>
  </w:footnote>
  <w:footnote w:type="continuationSeparator" w:id="0">
    <w:p w14:paraId="3171D105" w14:textId="77777777" w:rsidR="00FF5C5A" w:rsidRDefault="00FF5C5A">
      <w:r>
        <w:continuationSeparator/>
      </w:r>
    </w:p>
  </w:footnote>
  <w:footnote w:type="continuationNotice" w:id="1">
    <w:p w14:paraId="38719B01" w14:textId="77777777" w:rsidR="00FF5C5A" w:rsidRDefault="00FF5C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4811"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064D"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179E4E7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252347384">
    <w:abstractNumId w:val="0"/>
  </w:num>
  <w:num w:numId="2" w16cid:durableId="290132700">
    <w:abstractNumId w:val="7"/>
  </w:num>
  <w:num w:numId="3" w16cid:durableId="1913394623">
    <w:abstractNumId w:val="3"/>
  </w:num>
  <w:num w:numId="4" w16cid:durableId="629946356">
    <w:abstractNumId w:val="13"/>
  </w:num>
  <w:num w:numId="5" w16cid:durableId="1577982554">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2ADD"/>
    <w:rsid w:val="00005C6C"/>
    <w:rsid w:val="00013FE3"/>
    <w:rsid w:val="00014582"/>
    <w:rsid w:val="00014A3E"/>
    <w:rsid w:val="000166A9"/>
    <w:rsid w:val="0002037F"/>
    <w:rsid w:val="00024BB2"/>
    <w:rsid w:val="0003058F"/>
    <w:rsid w:val="00032057"/>
    <w:rsid w:val="000356CF"/>
    <w:rsid w:val="00035D02"/>
    <w:rsid w:val="00036ECF"/>
    <w:rsid w:val="00040F4E"/>
    <w:rsid w:val="00041EBD"/>
    <w:rsid w:val="00044270"/>
    <w:rsid w:val="00044BA4"/>
    <w:rsid w:val="00044EFF"/>
    <w:rsid w:val="000454C8"/>
    <w:rsid w:val="00051620"/>
    <w:rsid w:val="00053720"/>
    <w:rsid w:val="000546CC"/>
    <w:rsid w:val="00055EAE"/>
    <w:rsid w:val="00057004"/>
    <w:rsid w:val="00060BBE"/>
    <w:rsid w:val="00062DC6"/>
    <w:rsid w:val="00063D78"/>
    <w:rsid w:val="000642DE"/>
    <w:rsid w:val="000704D0"/>
    <w:rsid w:val="00070A00"/>
    <w:rsid w:val="00071F25"/>
    <w:rsid w:val="00071FB8"/>
    <w:rsid w:val="00072127"/>
    <w:rsid w:val="00076A95"/>
    <w:rsid w:val="00085343"/>
    <w:rsid w:val="00085E63"/>
    <w:rsid w:val="00091D2C"/>
    <w:rsid w:val="0009399A"/>
    <w:rsid w:val="000957C1"/>
    <w:rsid w:val="000A6193"/>
    <w:rsid w:val="000B0207"/>
    <w:rsid w:val="000B0A40"/>
    <w:rsid w:val="000B2105"/>
    <w:rsid w:val="000B2D1B"/>
    <w:rsid w:val="000B5945"/>
    <w:rsid w:val="000B59E4"/>
    <w:rsid w:val="000B5C42"/>
    <w:rsid w:val="000C1395"/>
    <w:rsid w:val="000C2975"/>
    <w:rsid w:val="000C4A92"/>
    <w:rsid w:val="000D17A7"/>
    <w:rsid w:val="000D2D14"/>
    <w:rsid w:val="000D4C2B"/>
    <w:rsid w:val="000D5EA4"/>
    <w:rsid w:val="000D7B5E"/>
    <w:rsid w:val="000E1E9C"/>
    <w:rsid w:val="000E5BEA"/>
    <w:rsid w:val="000E6A42"/>
    <w:rsid w:val="000E6A54"/>
    <w:rsid w:val="000F13EE"/>
    <w:rsid w:val="000F27D4"/>
    <w:rsid w:val="000F2EB4"/>
    <w:rsid w:val="000F3AF0"/>
    <w:rsid w:val="000F5B94"/>
    <w:rsid w:val="000F5DD6"/>
    <w:rsid w:val="0010217F"/>
    <w:rsid w:val="0011248A"/>
    <w:rsid w:val="00112F00"/>
    <w:rsid w:val="00115C19"/>
    <w:rsid w:val="00122CE0"/>
    <w:rsid w:val="001308F8"/>
    <w:rsid w:val="00132276"/>
    <w:rsid w:val="00135CDD"/>
    <w:rsid w:val="00136EC2"/>
    <w:rsid w:val="00136FF9"/>
    <w:rsid w:val="0014000E"/>
    <w:rsid w:val="001415FE"/>
    <w:rsid w:val="001416CC"/>
    <w:rsid w:val="00142D24"/>
    <w:rsid w:val="0014721A"/>
    <w:rsid w:val="001501DE"/>
    <w:rsid w:val="00152FA2"/>
    <w:rsid w:val="001533D5"/>
    <w:rsid w:val="00157886"/>
    <w:rsid w:val="00163757"/>
    <w:rsid w:val="001652B7"/>
    <w:rsid w:val="001661DC"/>
    <w:rsid w:val="001669A7"/>
    <w:rsid w:val="0016739B"/>
    <w:rsid w:val="00171D59"/>
    <w:rsid w:val="00172441"/>
    <w:rsid w:val="00173751"/>
    <w:rsid w:val="00174043"/>
    <w:rsid w:val="00177577"/>
    <w:rsid w:val="00177D09"/>
    <w:rsid w:val="00177D9D"/>
    <w:rsid w:val="00180798"/>
    <w:rsid w:val="001807E0"/>
    <w:rsid w:val="00183CDE"/>
    <w:rsid w:val="001854FB"/>
    <w:rsid w:val="0018554B"/>
    <w:rsid w:val="00186E11"/>
    <w:rsid w:val="001875A8"/>
    <w:rsid w:val="0018779A"/>
    <w:rsid w:val="001900B7"/>
    <w:rsid w:val="001909C5"/>
    <w:rsid w:val="001913F6"/>
    <w:rsid w:val="00191DD7"/>
    <w:rsid w:val="00193642"/>
    <w:rsid w:val="00194297"/>
    <w:rsid w:val="0019669C"/>
    <w:rsid w:val="00196BAE"/>
    <w:rsid w:val="001A0457"/>
    <w:rsid w:val="001A0D20"/>
    <w:rsid w:val="001A495E"/>
    <w:rsid w:val="001A611E"/>
    <w:rsid w:val="001B62C5"/>
    <w:rsid w:val="001B62E2"/>
    <w:rsid w:val="001B6CA3"/>
    <w:rsid w:val="001C2567"/>
    <w:rsid w:val="001C39F6"/>
    <w:rsid w:val="001C66FE"/>
    <w:rsid w:val="001C7C11"/>
    <w:rsid w:val="001D102D"/>
    <w:rsid w:val="001D10A3"/>
    <w:rsid w:val="001D4908"/>
    <w:rsid w:val="001D6904"/>
    <w:rsid w:val="001E0A4D"/>
    <w:rsid w:val="001E0DD8"/>
    <w:rsid w:val="001E378A"/>
    <w:rsid w:val="001E7737"/>
    <w:rsid w:val="001E778B"/>
    <w:rsid w:val="001E7937"/>
    <w:rsid w:val="001F0104"/>
    <w:rsid w:val="001F0D5E"/>
    <w:rsid w:val="001F522F"/>
    <w:rsid w:val="001F697D"/>
    <w:rsid w:val="001F7FDD"/>
    <w:rsid w:val="002029D5"/>
    <w:rsid w:val="002031F5"/>
    <w:rsid w:val="00206090"/>
    <w:rsid w:val="00207219"/>
    <w:rsid w:val="0020728D"/>
    <w:rsid w:val="00212292"/>
    <w:rsid w:val="00213893"/>
    <w:rsid w:val="002200A5"/>
    <w:rsid w:val="002203DB"/>
    <w:rsid w:val="0022088D"/>
    <w:rsid w:val="0022144F"/>
    <w:rsid w:val="00222BB3"/>
    <w:rsid w:val="002239A2"/>
    <w:rsid w:val="00223CDA"/>
    <w:rsid w:val="002252EE"/>
    <w:rsid w:val="00230065"/>
    <w:rsid w:val="00230A72"/>
    <w:rsid w:val="00233176"/>
    <w:rsid w:val="00233F70"/>
    <w:rsid w:val="00233FB3"/>
    <w:rsid w:val="00236E6D"/>
    <w:rsid w:val="002429E5"/>
    <w:rsid w:val="00242A04"/>
    <w:rsid w:val="0025170A"/>
    <w:rsid w:val="00251A43"/>
    <w:rsid w:val="00252ACF"/>
    <w:rsid w:val="00257735"/>
    <w:rsid w:val="00260245"/>
    <w:rsid w:val="00262FCB"/>
    <w:rsid w:val="0026542B"/>
    <w:rsid w:val="00265EC7"/>
    <w:rsid w:val="002674FC"/>
    <w:rsid w:val="00271EB9"/>
    <w:rsid w:val="00272D63"/>
    <w:rsid w:val="0027333F"/>
    <w:rsid w:val="002776FE"/>
    <w:rsid w:val="002804BA"/>
    <w:rsid w:val="00280CEF"/>
    <w:rsid w:val="002812CE"/>
    <w:rsid w:val="002826D2"/>
    <w:rsid w:val="00283794"/>
    <w:rsid w:val="00283A46"/>
    <w:rsid w:val="002848B5"/>
    <w:rsid w:val="00284FAE"/>
    <w:rsid w:val="002852EE"/>
    <w:rsid w:val="002874F3"/>
    <w:rsid w:val="0028757A"/>
    <w:rsid w:val="00295013"/>
    <w:rsid w:val="002953E7"/>
    <w:rsid w:val="002A0E6A"/>
    <w:rsid w:val="002A126F"/>
    <w:rsid w:val="002A334C"/>
    <w:rsid w:val="002A4701"/>
    <w:rsid w:val="002A4EC3"/>
    <w:rsid w:val="002A5B79"/>
    <w:rsid w:val="002B03CB"/>
    <w:rsid w:val="002B5DDB"/>
    <w:rsid w:val="002B7592"/>
    <w:rsid w:val="002C0C6C"/>
    <w:rsid w:val="002C11E5"/>
    <w:rsid w:val="002C2A9F"/>
    <w:rsid w:val="002C646E"/>
    <w:rsid w:val="002C70CA"/>
    <w:rsid w:val="002D1FE4"/>
    <w:rsid w:val="002D470F"/>
    <w:rsid w:val="002D4D6F"/>
    <w:rsid w:val="002E2492"/>
    <w:rsid w:val="002F13C8"/>
    <w:rsid w:val="002F15D8"/>
    <w:rsid w:val="002F7731"/>
    <w:rsid w:val="0030143A"/>
    <w:rsid w:val="003028D1"/>
    <w:rsid w:val="003039A2"/>
    <w:rsid w:val="00303B0C"/>
    <w:rsid w:val="00304BD0"/>
    <w:rsid w:val="0030577F"/>
    <w:rsid w:val="00306BE7"/>
    <w:rsid w:val="00307D77"/>
    <w:rsid w:val="00311DCA"/>
    <w:rsid w:val="00311F1A"/>
    <w:rsid w:val="00313E9E"/>
    <w:rsid w:val="003150D5"/>
    <w:rsid w:val="00320261"/>
    <w:rsid w:val="00320F78"/>
    <w:rsid w:val="00325E73"/>
    <w:rsid w:val="00325F48"/>
    <w:rsid w:val="0032774F"/>
    <w:rsid w:val="00335078"/>
    <w:rsid w:val="00335309"/>
    <w:rsid w:val="003362F3"/>
    <w:rsid w:val="003374B5"/>
    <w:rsid w:val="00342F03"/>
    <w:rsid w:val="00343D29"/>
    <w:rsid w:val="003452BC"/>
    <w:rsid w:val="0035066D"/>
    <w:rsid w:val="003506CC"/>
    <w:rsid w:val="0035155B"/>
    <w:rsid w:val="00351A25"/>
    <w:rsid w:val="003563CA"/>
    <w:rsid w:val="00356647"/>
    <w:rsid w:val="0035768F"/>
    <w:rsid w:val="00360CC8"/>
    <w:rsid w:val="003703AA"/>
    <w:rsid w:val="00371F9D"/>
    <w:rsid w:val="00372DD8"/>
    <w:rsid w:val="00373FC6"/>
    <w:rsid w:val="00376FA0"/>
    <w:rsid w:val="0037774A"/>
    <w:rsid w:val="0038177C"/>
    <w:rsid w:val="003828B5"/>
    <w:rsid w:val="003836EB"/>
    <w:rsid w:val="00387024"/>
    <w:rsid w:val="00387BB0"/>
    <w:rsid w:val="00392B2C"/>
    <w:rsid w:val="0039365D"/>
    <w:rsid w:val="00394179"/>
    <w:rsid w:val="003963D3"/>
    <w:rsid w:val="003A30F4"/>
    <w:rsid w:val="003A4DF4"/>
    <w:rsid w:val="003B33B8"/>
    <w:rsid w:val="003B4683"/>
    <w:rsid w:val="003B6716"/>
    <w:rsid w:val="003C1575"/>
    <w:rsid w:val="003C45E1"/>
    <w:rsid w:val="003D07F7"/>
    <w:rsid w:val="003D0B15"/>
    <w:rsid w:val="003D16B1"/>
    <w:rsid w:val="003D3202"/>
    <w:rsid w:val="003D511D"/>
    <w:rsid w:val="003D5275"/>
    <w:rsid w:val="003D63DF"/>
    <w:rsid w:val="003D737F"/>
    <w:rsid w:val="003D74F3"/>
    <w:rsid w:val="003D7CA3"/>
    <w:rsid w:val="003E01A7"/>
    <w:rsid w:val="003E0B60"/>
    <w:rsid w:val="003E2944"/>
    <w:rsid w:val="003E5EA7"/>
    <w:rsid w:val="003E751F"/>
    <w:rsid w:val="003F07B5"/>
    <w:rsid w:val="003F179E"/>
    <w:rsid w:val="003F28EE"/>
    <w:rsid w:val="003F59EA"/>
    <w:rsid w:val="003F7474"/>
    <w:rsid w:val="003F7FED"/>
    <w:rsid w:val="00404616"/>
    <w:rsid w:val="00404C48"/>
    <w:rsid w:val="00407248"/>
    <w:rsid w:val="00407B6A"/>
    <w:rsid w:val="00407D65"/>
    <w:rsid w:val="004140EC"/>
    <w:rsid w:val="00414400"/>
    <w:rsid w:val="00420910"/>
    <w:rsid w:val="00421A67"/>
    <w:rsid w:val="00421CD4"/>
    <w:rsid w:val="00423529"/>
    <w:rsid w:val="00427833"/>
    <w:rsid w:val="004279C0"/>
    <w:rsid w:val="00427D25"/>
    <w:rsid w:val="004312A4"/>
    <w:rsid w:val="004336A8"/>
    <w:rsid w:val="00435C63"/>
    <w:rsid w:val="00436256"/>
    <w:rsid w:val="0043650C"/>
    <w:rsid w:val="0044196E"/>
    <w:rsid w:val="00442B43"/>
    <w:rsid w:val="004471F1"/>
    <w:rsid w:val="00447B90"/>
    <w:rsid w:val="00451B7F"/>
    <w:rsid w:val="00453935"/>
    <w:rsid w:val="00453991"/>
    <w:rsid w:val="0045688B"/>
    <w:rsid w:val="00456953"/>
    <w:rsid w:val="0047158E"/>
    <w:rsid w:val="0047172C"/>
    <w:rsid w:val="00474210"/>
    <w:rsid w:val="00474AE0"/>
    <w:rsid w:val="00474E40"/>
    <w:rsid w:val="00475921"/>
    <w:rsid w:val="004765A1"/>
    <w:rsid w:val="00477BC3"/>
    <w:rsid w:val="004804D7"/>
    <w:rsid w:val="00480B96"/>
    <w:rsid w:val="00481567"/>
    <w:rsid w:val="0048303E"/>
    <w:rsid w:val="0048521B"/>
    <w:rsid w:val="004868FF"/>
    <w:rsid w:val="004920F6"/>
    <w:rsid w:val="00493618"/>
    <w:rsid w:val="004938F2"/>
    <w:rsid w:val="004940A8"/>
    <w:rsid w:val="004A1B3F"/>
    <w:rsid w:val="004A2643"/>
    <w:rsid w:val="004A278A"/>
    <w:rsid w:val="004A53C2"/>
    <w:rsid w:val="004A67E8"/>
    <w:rsid w:val="004B137E"/>
    <w:rsid w:val="004B2875"/>
    <w:rsid w:val="004B2F06"/>
    <w:rsid w:val="004C1BA1"/>
    <w:rsid w:val="004C3D65"/>
    <w:rsid w:val="004D05F5"/>
    <w:rsid w:val="004D098A"/>
    <w:rsid w:val="004D6472"/>
    <w:rsid w:val="004D6A00"/>
    <w:rsid w:val="004E0050"/>
    <w:rsid w:val="004E05BC"/>
    <w:rsid w:val="004E0B81"/>
    <w:rsid w:val="004E24CA"/>
    <w:rsid w:val="004E60E1"/>
    <w:rsid w:val="004E7754"/>
    <w:rsid w:val="004F03AC"/>
    <w:rsid w:val="004F08CE"/>
    <w:rsid w:val="004F4B1F"/>
    <w:rsid w:val="00501F50"/>
    <w:rsid w:val="00503753"/>
    <w:rsid w:val="00504A3E"/>
    <w:rsid w:val="005053D2"/>
    <w:rsid w:val="00505806"/>
    <w:rsid w:val="0050679B"/>
    <w:rsid w:val="00507A0F"/>
    <w:rsid w:val="00513BB6"/>
    <w:rsid w:val="0051559D"/>
    <w:rsid w:val="00522342"/>
    <w:rsid w:val="00523873"/>
    <w:rsid w:val="00523D5B"/>
    <w:rsid w:val="00525397"/>
    <w:rsid w:val="00525540"/>
    <w:rsid w:val="005262C6"/>
    <w:rsid w:val="00526B27"/>
    <w:rsid w:val="00527293"/>
    <w:rsid w:val="005311F9"/>
    <w:rsid w:val="00531AD5"/>
    <w:rsid w:val="00532FDE"/>
    <w:rsid w:val="00534D8E"/>
    <w:rsid w:val="00535BBA"/>
    <w:rsid w:val="005413EE"/>
    <w:rsid w:val="0054278C"/>
    <w:rsid w:val="00542ECE"/>
    <w:rsid w:val="005460F7"/>
    <w:rsid w:val="005468DC"/>
    <w:rsid w:val="00551104"/>
    <w:rsid w:val="00551536"/>
    <w:rsid w:val="00553478"/>
    <w:rsid w:val="00554135"/>
    <w:rsid w:val="00562CD0"/>
    <w:rsid w:val="00562EB1"/>
    <w:rsid w:val="00564BE9"/>
    <w:rsid w:val="00564D60"/>
    <w:rsid w:val="00566A02"/>
    <w:rsid w:val="00567810"/>
    <w:rsid w:val="00567B69"/>
    <w:rsid w:val="00580572"/>
    <w:rsid w:val="0058156F"/>
    <w:rsid w:val="0058168A"/>
    <w:rsid w:val="005818B8"/>
    <w:rsid w:val="005837A6"/>
    <w:rsid w:val="00583A6D"/>
    <w:rsid w:val="0058443A"/>
    <w:rsid w:val="005847BE"/>
    <w:rsid w:val="0058626C"/>
    <w:rsid w:val="00593CBB"/>
    <w:rsid w:val="00596803"/>
    <w:rsid w:val="005978D7"/>
    <w:rsid w:val="00597D3F"/>
    <w:rsid w:val="005A0EB0"/>
    <w:rsid w:val="005A1D62"/>
    <w:rsid w:val="005A79E3"/>
    <w:rsid w:val="005B410B"/>
    <w:rsid w:val="005B505C"/>
    <w:rsid w:val="005B6160"/>
    <w:rsid w:val="005B79E9"/>
    <w:rsid w:val="005C02DC"/>
    <w:rsid w:val="005C0868"/>
    <w:rsid w:val="005C4D62"/>
    <w:rsid w:val="005D09F1"/>
    <w:rsid w:val="005D0A3A"/>
    <w:rsid w:val="005E09AA"/>
    <w:rsid w:val="005E0FA0"/>
    <w:rsid w:val="005E3D20"/>
    <w:rsid w:val="005E4639"/>
    <w:rsid w:val="005E4912"/>
    <w:rsid w:val="005E6F1F"/>
    <w:rsid w:val="005F226F"/>
    <w:rsid w:val="005F27FE"/>
    <w:rsid w:val="005F2B0B"/>
    <w:rsid w:val="005F3BFE"/>
    <w:rsid w:val="005F4196"/>
    <w:rsid w:val="005F44D1"/>
    <w:rsid w:val="005F7822"/>
    <w:rsid w:val="00604C08"/>
    <w:rsid w:val="00607CF6"/>
    <w:rsid w:val="006160CD"/>
    <w:rsid w:val="00621129"/>
    <w:rsid w:val="0062218B"/>
    <w:rsid w:val="00622F79"/>
    <w:rsid w:val="006267A8"/>
    <w:rsid w:val="006267D9"/>
    <w:rsid w:val="00626A33"/>
    <w:rsid w:val="0063031C"/>
    <w:rsid w:val="00631B41"/>
    <w:rsid w:val="00633916"/>
    <w:rsid w:val="00640B0D"/>
    <w:rsid w:val="00641D2B"/>
    <w:rsid w:val="0065123B"/>
    <w:rsid w:val="0065190D"/>
    <w:rsid w:val="00652719"/>
    <w:rsid w:val="00660A28"/>
    <w:rsid w:val="00661D83"/>
    <w:rsid w:val="00662D3E"/>
    <w:rsid w:val="00662D6E"/>
    <w:rsid w:val="00663152"/>
    <w:rsid w:val="006632F5"/>
    <w:rsid w:val="0066383F"/>
    <w:rsid w:val="006650B1"/>
    <w:rsid w:val="00665C7E"/>
    <w:rsid w:val="0067039E"/>
    <w:rsid w:val="006717FC"/>
    <w:rsid w:val="00672DDD"/>
    <w:rsid w:val="00674FB6"/>
    <w:rsid w:val="00676C91"/>
    <w:rsid w:val="006817FB"/>
    <w:rsid w:val="00681FAD"/>
    <w:rsid w:val="00683F5B"/>
    <w:rsid w:val="00686776"/>
    <w:rsid w:val="00690B77"/>
    <w:rsid w:val="00690C28"/>
    <w:rsid w:val="00692F7B"/>
    <w:rsid w:val="00693334"/>
    <w:rsid w:val="006A2046"/>
    <w:rsid w:val="006A3403"/>
    <w:rsid w:val="006A7CC3"/>
    <w:rsid w:val="006B138F"/>
    <w:rsid w:val="006B190E"/>
    <w:rsid w:val="006B608B"/>
    <w:rsid w:val="006C4000"/>
    <w:rsid w:val="006C5FCE"/>
    <w:rsid w:val="006D170C"/>
    <w:rsid w:val="006D474B"/>
    <w:rsid w:val="006D64A7"/>
    <w:rsid w:val="006E17C3"/>
    <w:rsid w:val="006E1E6D"/>
    <w:rsid w:val="006E4BDD"/>
    <w:rsid w:val="006E56E8"/>
    <w:rsid w:val="006E6C8E"/>
    <w:rsid w:val="006E7CBE"/>
    <w:rsid w:val="006F256B"/>
    <w:rsid w:val="006F300E"/>
    <w:rsid w:val="00701663"/>
    <w:rsid w:val="00701A2D"/>
    <w:rsid w:val="00703F4E"/>
    <w:rsid w:val="00704AEA"/>
    <w:rsid w:val="00706DC3"/>
    <w:rsid w:val="00711200"/>
    <w:rsid w:val="00712403"/>
    <w:rsid w:val="0071274D"/>
    <w:rsid w:val="00713001"/>
    <w:rsid w:val="0071590E"/>
    <w:rsid w:val="00720F24"/>
    <w:rsid w:val="00721C30"/>
    <w:rsid w:val="0072397F"/>
    <w:rsid w:val="007250E8"/>
    <w:rsid w:val="00727AF6"/>
    <w:rsid w:val="00731922"/>
    <w:rsid w:val="00731ACB"/>
    <w:rsid w:val="00733055"/>
    <w:rsid w:val="007368AD"/>
    <w:rsid w:val="00737AB4"/>
    <w:rsid w:val="00737F54"/>
    <w:rsid w:val="00740C87"/>
    <w:rsid w:val="0074133D"/>
    <w:rsid w:val="00742549"/>
    <w:rsid w:val="0074293C"/>
    <w:rsid w:val="0075023A"/>
    <w:rsid w:val="0075196D"/>
    <w:rsid w:val="00753EAD"/>
    <w:rsid w:val="00753EE4"/>
    <w:rsid w:val="00755180"/>
    <w:rsid w:val="00755292"/>
    <w:rsid w:val="0075558C"/>
    <w:rsid w:val="00760BF6"/>
    <w:rsid w:val="00761EFA"/>
    <w:rsid w:val="00764873"/>
    <w:rsid w:val="00767F9D"/>
    <w:rsid w:val="00772CEF"/>
    <w:rsid w:val="00773A4B"/>
    <w:rsid w:val="00773F16"/>
    <w:rsid w:val="007778DD"/>
    <w:rsid w:val="00777E42"/>
    <w:rsid w:val="00790B6C"/>
    <w:rsid w:val="00791030"/>
    <w:rsid w:val="007916E1"/>
    <w:rsid w:val="007918A4"/>
    <w:rsid w:val="00791A30"/>
    <w:rsid w:val="00792989"/>
    <w:rsid w:val="007949D4"/>
    <w:rsid w:val="00795D03"/>
    <w:rsid w:val="00796693"/>
    <w:rsid w:val="007A0168"/>
    <w:rsid w:val="007A4DEF"/>
    <w:rsid w:val="007A5073"/>
    <w:rsid w:val="007A66BD"/>
    <w:rsid w:val="007C0745"/>
    <w:rsid w:val="007C7591"/>
    <w:rsid w:val="007D0073"/>
    <w:rsid w:val="007D4352"/>
    <w:rsid w:val="007D538B"/>
    <w:rsid w:val="007D5CD5"/>
    <w:rsid w:val="007E0371"/>
    <w:rsid w:val="007E0448"/>
    <w:rsid w:val="007E1188"/>
    <w:rsid w:val="007E15AD"/>
    <w:rsid w:val="007F2C24"/>
    <w:rsid w:val="007F4B2D"/>
    <w:rsid w:val="007F6AE9"/>
    <w:rsid w:val="007F7A99"/>
    <w:rsid w:val="0080469B"/>
    <w:rsid w:val="00806FA1"/>
    <w:rsid w:val="008111A7"/>
    <w:rsid w:val="00811B7F"/>
    <w:rsid w:val="008143C7"/>
    <w:rsid w:val="0081488B"/>
    <w:rsid w:val="008148CB"/>
    <w:rsid w:val="008211C3"/>
    <w:rsid w:val="00821C30"/>
    <w:rsid w:val="00824A72"/>
    <w:rsid w:val="00826D54"/>
    <w:rsid w:val="00827C11"/>
    <w:rsid w:val="008306C8"/>
    <w:rsid w:val="008338D9"/>
    <w:rsid w:val="008345B0"/>
    <w:rsid w:val="00834CBF"/>
    <w:rsid w:val="00836F89"/>
    <w:rsid w:val="00840227"/>
    <w:rsid w:val="0084050E"/>
    <w:rsid w:val="00843360"/>
    <w:rsid w:val="008447B2"/>
    <w:rsid w:val="00845F98"/>
    <w:rsid w:val="00846459"/>
    <w:rsid w:val="008473D0"/>
    <w:rsid w:val="008502AA"/>
    <w:rsid w:val="00851A61"/>
    <w:rsid w:val="00852266"/>
    <w:rsid w:val="00852A71"/>
    <w:rsid w:val="00853A88"/>
    <w:rsid w:val="0086016C"/>
    <w:rsid w:val="00861CAB"/>
    <w:rsid w:val="00863435"/>
    <w:rsid w:val="008653D2"/>
    <w:rsid w:val="00866C79"/>
    <w:rsid w:val="00870869"/>
    <w:rsid w:val="00872827"/>
    <w:rsid w:val="0087349A"/>
    <w:rsid w:val="008746CD"/>
    <w:rsid w:val="008759F4"/>
    <w:rsid w:val="00880203"/>
    <w:rsid w:val="00880CD2"/>
    <w:rsid w:val="008865B6"/>
    <w:rsid w:val="0088751B"/>
    <w:rsid w:val="00895DF4"/>
    <w:rsid w:val="00897102"/>
    <w:rsid w:val="00897353"/>
    <w:rsid w:val="0089780D"/>
    <w:rsid w:val="008A3B11"/>
    <w:rsid w:val="008A4E30"/>
    <w:rsid w:val="008A703D"/>
    <w:rsid w:val="008B1A4D"/>
    <w:rsid w:val="008B636E"/>
    <w:rsid w:val="008C0A55"/>
    <w:rsid w:val="008C0F7C"/>
    <w:rsid w:val="008C23E5"/>
    <w:rsid w:val="008C4D91"/>
    <w:rsid w:val="008D1823"/>
    <w:rsid w:val="008D1916"/>
    <w:rsid w:val="008D51A3"/>
    <w:rsid w:val="008D51AE"/>
    <w:rsid w:val="008D581D"/>
    <w:rsid w:val="008D589C"/>
    <w:rsid w:val="008D7360"/>
    <w:rsid w:val="008D7BB1"/>
    <w:rsid w:val="008E1016"/>
    <w:rsid w:val="008E3377"/>
    <w:rsid w:val="008E37FF"/>
    <w:rsid w:val="008E5114"/>
    <w:rsid w:val="008E7085"/>
    <w:rsid w:val="008F02AF"/>
    <w:rsid w:val="008F086D"/>
    <w:rsid w:val="008F233C"/>
    <w:rsid w:val="008F24B6"/>
    <w:rsid w:val="008F25FF"/>
    <w:rsid w:val="008F2A6C"/>
    <w:rsid w:val="008F4461"/>
    <w:rsid w:val="008F4C57"/>
    <w:rsid w:val="008F4D12"/>
    <w:rsid w:val="008F60C3"/>
    <w:rsid w:val="008F790E"/>
    <w:rsid w:val="00900EAA"/>
    <w:rsid w:val="0090434F"/>
    <w:rsid w:val="009062E6"/>
    <w:rsid w:val="00907440"/>
    <w:rsid w:val="009117D3"/>
    <w:rsid w:val="00917A41"/>
    <w:rsid w:val="009223E4"/>
    <w:rsid w:val="009229B6"/>
    <w:rsid w:val="009254D6"/>
    <w:rsid w:val="009261DF"/>
    <w:rsid w:val="0092669B"/>
    <w:rsid w:val="009315DF"/>
    <w:rsid w:val="0093163E"/>
    <w:rsid w:val="00932028"/>
    <w:rsid w:val="009349D4"/>
    <w:rsid w:val="00934EEE"/>
    <w:rsid w:val="00935A98"/>
    <w:rsid w:val="00936436"/>
    <w:rsid w:val="0094099A"/>
    <w:rsid w:val="00942A8A"/>
    <w:rsid w:val="00945004"/>
    <w:rsid w:val="0094721A"/>
    <w:rsid w:val="00952009"/>
    <w:rsid w:val="0095576A"/>
    <w:rsid w:val="00960EFA"/>
    <w:rsid w:val="00962D22"/>
    <w:rsid w:val="009638EE"/>
    <w:rsid w:val="009645FF"/>
    <w:rsid w:val="00965FBD"/>
    <w:rsid w:val="00966BAC"/>
    <w:rsid w:val="00972B23"/>
    <w:rsid w:val="00975744"/>
    <w:rsid w:val="009825F6"/>
    <w:rsid w:val="00984448"/>
    <w:rsid w:val="00984A07"/>
    <w:rsid w:val="00986A0E"/>
    <w:rsid w:val="00990BC9"/>
    <w:rsid w:val="00991032"/>
    <w:rsid w:val="009935C1"/>
    <w:rsid w:val="00994696"/>
    <w:rsid w:val="0099631E"/>
    <w:rsid w:val="00997DA9"/>
    <w:rsid w:val="009A1BE0"/>
    <w:rsid w:val="009A2ABE"/>
    <w:rsid w:val="009A5ECB"/>
    <w:rsid w:val="009A62BD"/>
    <w:rsid w:val="009A6A2F"/>
    <w:rsid w:val="009A6A32"/>
    <w:rsid w:val="009B1236"/>
    <w:rsid w:val="009B1CD2"/>
    <w:rsid w:val="009B2C1F"/>
    <w:rsid w:val="009B2F7A"/>
    <w:rsid w:val="009B6789"/>
    <w:rsid w:val="009B7F5A"/>
    <w:rsid w:val="009C141F"/>
    <w:rsid w:val="009C3A9F"/>
    <w:rsid w:val="009C755C"/>
    <w:rsid w:val="009C780F"/>
    <w:rsid w:val="009C7CC4"/>
    <w:rsid w:val="009D2408"/>
    <w:rsid w:val="009D2AA9"/>
    <w:rsid w:val="009D4A42"/>
    <w:rsid w:val="009E090B"/>
    <w:rsid w:val="009E2D76"/>
    <w:rsid w:val="009E4719"/>
    <w:rsid w:val="009E4F4C"/>
    <w:rsid w:val="009E60F3"/>
    <w:rsid w:val="009E666A"/>
    <w:rsid w:val="009F5166"/>
    <w:rsid w:val="009F64BF"/>
    <w:rsid w:val="00A05D87"/>
    <w:rsid w:val="00A1386B"/>
    <w:rsid w:val="00A14308"/>
    <w:rsid w:val="00A17254"/>
    <w:rsid w:val="00A20725"/>
    <w:rsid w:val="00A219E8"/>
    <w:rsid w:val="00A23F03"/>
    <w:rsid w:val="00A25353"/>
    <w:rsid w:val="00A2564F"/>
    <w:rsid w:val="00A33C70"/>
    <w:rsid w:val="00A34ABE"/>
    <w:rsid w:val="00A34F5F"/>
    <w:rsid w:val="00A413C0"/>
    <w:rsid w:val="00A46220"/>
    <w:rsid w:val="00A46A68"/>
    <w:rsid w:val="00A50EE9"/>
    <w:rsid w:val="00A5188E"/>
    <w:rsid w:val="00A56B44"/>
    <w:rsid w:val="00A574E6"/>
    <w:rsid w:val="00A608A6"/>
    <w:rsid w:val="00A62BCE"/>
    <w:rsid w:val="00A675DC"/>
    <w:rsid w:val="00A7118D"/>
    <w:rsid w:val="00A75C02"/>
    <w:rsid w:val="00A763DC"/>
    <w:rsid w:val="00A83041"/>
    <w:rsid w:val="00A84ED0"/>
    <w:rsid w:val="00A86293"/>
    <w:rsid w:val="00A86F48"/>
    <w:rsid w:val="00A90739"/>
    <w:rsid w:val="00A908CB"/>
    <w:rsid w:val="00A976BD"/>
    <w:rsid w:val="00AA46A8"/>
    <w:rsid w:val="00AA4F16"/>
    <w:rsid w:val="00AA62D2"/>
    <w:rsid w:val="00AA69AD"/>
    <w:rsid w:val="00AB262E"/>
    <w:rsid w:val="00AB2F47"/>
    <w:rsid w:val="00AB3C3D"/>
    <w:rsid w:val="00AB4157"/>
    <w:rsid w:val="00AB5EFC"/>
    <w:rsid w:val="00AB5F20"/>
    <w:rsid w:val="00AC5151"/>
    <w:rsid w:val="00AC7929"/>
    <w:rsid w:val="00AC7E8E"/>
    <w:rsid w:val="00AD0A33"/>
    <w:rsid w:val="00AD2EDB"/>
    <w:rsid w:val="00AD7410"/>
    <w:rsid w:val="00AE0982"/>
    <w:rsid w:val="00AE09D0"/>
    <w:rsid w:val="00AE11F6"/>
    <w:rsid w:val="00AE125E"/>
    <w:rsid w:val="00AE3BBB"/>
    <w:rsid w:val="00AE42D6"/>
    <w:rsid w:val="00AE4781"/>
    <w:rsid w:val="00AE5690"/>
    <w:rsid w:val="00AE619A"/>
    <w:rsid w:val="00AE7F59"/>
    <w:rsid w:val="00AF0F08"/>
    <w:rsid w:val="00AF16E6"/>
    <w:rsid w:val="00AF26CC"/>
    <w:rsid w:val="00AF2CD9"/>
    <w:rsid w:val="00AF3702"/>
    <w:rsid w:val="00AF688F"/>
    <w:rsid w:val="00B02E5E"/>
    <w:rsid w:val="00B067A7"/>
    <w:rsid w:val="00B073A4"/>
    <w:rsid w:val="00B07524"/>
    <w:rsid w:val="00B10F7F"/>
    <w:rsid w:val="00B113E7"/>
    <w:rsid w:val="00B2322F"/>
    <w:rsid w:val="00B24BDB"/>
    <w:rsid w:val="00B25CC4"/>
    <w:rsid w:val="00B266A6"/>
    <w:rsid w:val="00B30C2F"/>
    <w:rsid w:val="00B31AD3"/>
    <w:rsid w:val="00B31D9B"/>
    <w:rsid w:val="00B3272F"/>
    <w:rsid w:val="00B336A2"/>
    <w:rsid w:val="00B34707"/>
    <w:rsid w:val="00B35B7C"/>
    <w:rsid w:val="00B4054C"/>
    <w:rsid w:val="00B43198"/>
    <w:rsid w:val="00B45D96"/>
    <w:rsid w:val="00B466C8"/>
    <w:rsid w:val="00B4699F"/>
    <w:rsid w:val="00B5065A"/>
    <w:rsid w:val="00B52CCC"/>
    <w:rsid w:val="00B53C15"/>
    <w:rsid w:val="00B5474B"/>
    <w:rsid w:val="00B55437"/>
    <w:rsid w:val="00B57090"/>
    <w:rsid w:val="00B60C7F"/>
    <w:rsid w:val="00B7538A"/>
    <w:rsid w:val="00B766FD"/>
    <w:rsid w:val="00B76E7C"/>
    <w:rsid w:val="00B76EFD"/>
    <w:rsid w:val="00B87DB3"/>
    <w:rsid w:val="00B90095"/>
    <w:rsid w:val="00B904A6"/>
    <w:rsid w:val="00B93431"/>
    <w:rsid w:val="00B9446A"/>
    <w:rsid w:val="00B955BD"/>
    <w:rsid w:val="00B97547"/>
    <w:rsid w:val="00BA0086"/>
    <w:rsid w:val="00BA3DDA"/>
    <w:rsid w:val="00BA437E"/>
    <w:rsid w:val="00BA4387"/>
    <w:rsid w:val="00BA4AD3"/>
    <w:rsid w:val="00BA56C7"/>
    <w:rsid w:val="00BA7F35"/>
    <w:rsid w:val="00BB095E"/>
    <w:rsid w:val="00BB121F"/>
    <w:rsid w:val="00BB1268"/>
    <w:rsid w:val="00BB3C4A"/>
    <w:rsid w:val="00BB428F"/>
    <w:rsid w:val="00BB51D3"/>
    <w:rsid w:val="00BB62BD"/>
    <w:rsid w:val="00BC55F1"/>
    <w:rsid w:val="00BD0595"/>
    <w:rsid w:val="00BD09F6"/>
    <w:rsid w:val="00BD1289"/>
    <w:rsid w:val="00BD3522"/>
    <w:rsid w:val="00BD3983"/>
    <w:rsid w:val="00BD43E6"/>
    <w:rsid w:val="00BE46B9"/>
    <w:rsid w:val="00BE5F83"/>
    <w:rsid w:val="00BE69C3"/>
    <w:rsid w:val="00BE73AB"/>
    <w:rsid w:val="00BF1EE5"/>
    <w:rsid w:val="00BF4346"/>
    <w:rsid w:val="00BF4658"/>
    <w:rsid w:val="00BF641C"/>
    <w:rsid w:val="00BF6A9A"/>
    <w:rsid w:val="00C002C9"/>
    <w:rsid w:val="00C0149B"/>
    <w:rsid w:val="00C01714"/>
    <w:rsid w:val="00C05257"/>
    <w:rsid w:val="00C0530A"/>
    <w:rsid w:val="00C067FC"/>
    <w:rsid w:val="00C0799A"/>
    <w:rsid w:val="00C07A34"/>
    <w:rsid w:val="00C11D0D"/>
    <w:rsid w:val="00C15C9C"/>
    <w:rsid w:val="00C22796"/>
    <w:rsid w:val="00C2321F"/>
    <w:rsid w:val="00C24296"/>
    <w:rsid w:val="00C27458"/>
    <w:rsid w:val="00C3052F"/>
    <w:rsid w:val="00C30745"/>
    <w:rsid w:val="00C317E9"/>
    <w:rsid w:val="00C3294C"/>
    <w:rsid w:val="00C340E2"/>
    <w:rsid w:val="00C348BF"/>
    <w:rsid w:val="00C35269"/>
    <w:rsid w:val="00C36FB3"/>
    <w:rsid w:val="00C42B0B"/>
    <w:rsid w:val="00C46465"/>
    <w:rsid w:val="00C4739F"/>
    <w:rsid w:val="00C509C3"/>
    <w:rsid w:val="00C50A17"/>
    <w:rsid w:val="00C52CC6"/>
    <w:rsid w:val="00C52CCB"/>
    <w:rsid w:val="00C57E3E"/>
    <w:rsid w:val="00C620DB"/>
    <w:rsid w:val="00C65186"/>
    <w:rsid w:val="00C66892"/>
    <w:rsid w:val="00C70EAE"/>
    <w:rsid w:val="00C71B53"/>
    <w:rsid w:val="00C72D98"/>
    <w:rsid w:val="00C74A44"/>
    <w:rsid w:val="00C75963"/>
    <w:rsid w:val="00C75B38"/>
    <w:rsid w:val="00C80B54"/>
    <w:rsid w:val="00C82290"/>
    <w:rsid w:val="00C82301"/>
    <w:rsid w:val="00C83B65"/>
    <w:rsid w:val="00C85113"/>
    <w:rsid w:val="00C85D02"/>
    <w:rsid w:val="00C86D1F"/>
    <w:rsid w:val="00C90F06"/>
    <w:rsid w:val="00C91240"/>
    <w:rsid w:val="00C91AD2"/>
    <w:rsid w:val="00C95581"/>
    <w:rsid w:val="00CA543E"/>
    <w:rsid w:val="00CB1799"/>
    <w:rsid w:val="00CB2A92"/>
    <w:rsid w:val="00CB35E5"/>
    <w:rsid w:val="00CB3AF2"/>
    <w:rsid w:val="00CB3F3B"/>
    <w:rsid w:val="00CB4991"/>
    <w:rsid w:val="00CB5578"/>
    <w:rsid w:val="00CB77EA"/>
    <w:rsid w:val="00CC0C05"/>
    <w:rsid w:val="00CC413B"/>
    <w:rsid w:val="00CD06FB"/>
    <w:rsid w:val="00CD16FF"/>
    <w:rsid w:val="00CD29EB"/>
    <w:rsid w:val="00CD2BAE"/>
    <w:rsid w:val="00CD438C"/>
    <w:rsid w:val="00CD50B5"/>
    <w:rsid w:val="00CD73A9"/>
    <w:rsid w:val="00CE1946"/>
    <w:rsid w:val="00CE3880"/>
    <w:rsid w:val="00CE4DE4"/>
    <w:rsid w:val="00CE619B"/>
    <w:rsid w:val="00CE7BA5"/>
    <w:rsid w:val="00CF188A"/>
    <w:rsid w:val="00CF5872"/>
    <w:rsid w:val="00D06F12"/>
    <w:rsid w:val="00D07F69"/>
    <w:rsid w:val="00D1059D"/>
    <w:rsid w:val="00D1171E"/>
    <w:rsid w:val="00D12DBA"/>
    <w:rsid w:val="00D1327E"/>
    <w:rsid w:val="00D149B6"/>
    <w:rsid w:val="00D160F1"/>
    <w:rsid w:val="00D1633E"/>
    <w:rsid w:val="00D2193A"/>
    <w:rsid w:val="00D21EF3"/>
    <w:rsid w:val="00D26894"/>
    <w:rsid w:val="00D3114E"/>
    <w:rsid w:val="00D317EE"/>
    <w:rsid w:val="00D359CC"/>
    <w:rsid w:val="00D406E9"/>
    <w:rsid w:val="00D40974"/>
    <w:rsid w:val="00D454D1"/>
    <w:rsid w:val="00D458B3"/>
    <w:rsid w:val="00D465A7"/>
    <w:rsid w:val="00D46790"/>
    <w:rsid w:val="00D47BEA"/>
    <w:rsid w:val="00D64750"/>
    <w:rsid w:val="00D66887"/>
    <w:rsid w:val="00D676C9"/>
    <w:rsid w:val="00D74B90"/>
    <w:rsid w:val="00D7674B"/>
    <w:rsid w:val="00D76A02"/>
    <w:rsid w:val="00D77F9F"/>
    <w:rsid w:val="00D811DF"/>
    <w:rsid w:val="00D81B0C"/>
    <w:rsid w:val="00D81B33"/>
    <w:rsid w:val="00D82404"/>
    <w:rsid w:val="00D837A9"/>
    <w:rsid w:val="00D83B30"/>
    <w:rsid w:val="00D84F71"/>
    <w:rsid w:val="00D86A75"/>
    <w:rsid w:val="00D90BA3"/>
    <w:rsid w:val="00D91A9B"/>
    <w:rsid w:val="00D91C27"/>
    <w:rsid w:val="00D95A34"/>
    <w:rsid w:val="00D97F87"/>
    <w:rsid w:val="00DA1282"/>
    <w:rsid w:val="00DA3E20"/>
    <w:rsid w:val="00DA62CA"/>
    <w:rsid w:val="00DA6415"/>
    <w:rsid w:val="00DA66BF"/>
    <w:rsid w:val="00DA72AD"/>
    <w:rsid w:val="00DB1685"/>
    <w:rsid w:val="00DB1723"/>
    <w:rsid w:val="00DB3CF8"/>
    <w:rsid w:val="00DB4AC9"/>
    <w:rsid w:val="00DC0530"/>
    <w:rsid w:val="00DC1CD9"/>
    <w:rsid w:val="00DC46A1"/>
    <w:rsid w:val="00DC5925"/>
    <w:rsid w:val="00DC60FA"/>
    <w:rsid w:val="00DC69B3"/>
    <w:rsid w:val="00DC7C64"/>
    <w:rsid w:val="00DD5B45"/>
    <w:rsid w:val="00DE0D99"/>
    <w:rsid w:val="00DE0FD4"/>
    <w:rsid w:val="00DE23AF"/>
    <w:rsid w:val="00DE24C6"/>
    <w:rsid w:val="00DE420B"/>
    <w:rsid w:val="00DE4B5B"/>
    <w:rsid w:val="00DE5031"/>
    <w:rsid w:val="00DE5085"/>
    <w:rsid w:val="00DE5D45"/>
    <w:rsid w:val="00DE5E3B"/>
    <w:rsid w:val="00DF3B9A"/>
    <w:rsid w:val="00DF7D46"/>
    <w:rsid w:val="00E001BE"/>
    <w:rsid w:val="00E03364"/>
    <w:rsid w:val="00E04A73"/>
    <w:rsid w:val="00E05713"/>
    <w:rsid w:val="00E06C62"/>
    <w:rsid w:val="00E11089"/>
    <w:rsid w:val="00E1475A"/>
    <w:rsid w:val="00E14ACA"/>
    <w:rsid w:val="00E14FDF"/>
    <w:rsid w:val="00E16438"/>
    <w:rsid w:val="00E17598"/>
    <w:rsid w:val="00E17CCD"/>
    <w:rsid w:val="00E24257"/>
    <w:rsid w:val="00E24DAC"/>
    <w:rsid w:val="00E27BE7"/>
    <w:rsid w:val="00E305C0"/>
    <w:rsid w:val="00E36457"/>
    <w:rsid w:val="00E3664B"/>
    <w:rsid w:val="00E367FB"/>
    <w:rsid w:val="00E37570"/>
    <w:rsid w:val="00E37E8C"/>
    <w:rsid w:val="00E405AB"/>
    <w:rsid w:val="00E410F6"/>
    <w:rsid w:val="00E42A55"/>
    <w:rsid w:val="00E513E5"/>
    <w:rsid w:val="00E557E2"/>
    <w:rsid w:val="00E56AEB"/>
    <w:rsid w:val="00E57316"/>
    <w:rsid w:val="00E61FFE"/>
    <w:rsid w:val="00E6301D"/>
    <w:rsid w:val="00E6638C"/>
    <w:rsid w:val="00E672A4"/>
    <w:rsid w:val="00E719B2"/>
    <w:rsid w:val="00E7288F"/>
    <w:rsid w:val="00E73B0E"/>
    <w:rsid w:val="00E74116"/>
    <w:rsid w:val="00E7535F"/>
    <w:rsid w:val="00E812EC"/>
    <w:rsid w:val="00E82267"/>
    <w:rsid w:val="00E822D1"/>
    <w:rsid w:val="00E8378F"/>
    <w:rsid w:val="00E8657A"/>
    <w:rsid w:val="00E91931"/>
    <w:rsid w:val="00E95873"/>
    <w:rsid w:val="00E95A1C"/>
    <w:rsid w:val="00E96089"/>
    <w:rsid w:val="00E97FDB"/>
    <w:rsid w:val="00EA39A9"/>
    <w:rsid w:val="00EA5199"/>
    <w:rsid w:val="00EA5479"/>
    <w:rsid w:val="00EA6459"/>
    <w:rsid w:val="00EA6CCA"/>
    <w:rsid w:val="00EA71C5"/>
    <w:rsid w:val="00EB1442"/>
    <w:rsid w:val="00EB1FEE"/>
    <w:rsid w:val="00EB37CC"/>
    <w:rsid w:val="00EC1484"/>
    <w:rsid w:val="00EC32FF"/>
    <w:rsid w:val="00EC6B9F"/>
    <w:rsid w:val="00ED03DD"/>
    <w:rsid w:val="00ED184E"/>
    <w:rsid w:val="00ED7A05"/>
    <w:rsid w:val="00ED7CDC"/>
    <w:rsid w:val="00EE0E42"/>
    <w:rsid w:val="00EE114D"/>
    <w:rsid w:val="00EE2AA6"/>
    <w:rsid w:val="00EE334C"/>
    <w:rsid w:val="00EE47B6"/>
    <w:rsid w:val="00EE5D7B"/>
    <w:rsid w:val="00EE72D9"/>
    <w:rsid w:val="00EE7D03"/>
    <w:rsid w:val="00EE7F46"/>
    <w:rsid w:val="00EF0AFC"/>
    <w:rsid w:val="00EF11A4"/>
    <w:rsid w:val="00EF5AF9"/>
    <w:rsid w:val="00EF5E8C"/>
    <w:rsid w:val="00F02153"/>
    <w:rsid w:val="00F058DF"/>
    <w:rsid w:val="00F07DE7"/>
    <w:rsid w:val="00F126D0"/>
    <w:rsid w:val="00F15675"/>
    <w:rsid w:val="00F165EB"/>
    <w:rsid w:val="00F172EF"/>
    <w:rsid w:val="00F17E54"/>
    <w:rsid w:val="00F20D5D"/>
    <w:rsid w:val="00F21024"/>
    <w:rsid w:val="00F21250"/>
    <w:rsid w:val="00F21BFC"/>
    <w:rsid w:val="00F2398D"/>
    <w:rsid w:val="00F2535E"/>
    <w:rsid w:val="00F30F7D"/>
    <w:rsid w:val="00F32442"/>
    <w:rsid w:val="00F33DA4"/>
    <w:rsid w:val="00F4249E"/>
    <w:rsid w:val="00F43232"/>
    <w:rsid w:val="00F435B6"/>
    <w:rsid w:val="00F446AE"/>
    <w:rsid w:val="00F51FEF"/>
    <w:rsid w:val="00F52FA4"/>
    <w:rsid w:val="00F57674"/>
    <w:rsid w:val="00F62837"/>
    <w:rsid w:val="00F634A3"/>
    <w:rsid w:val="00F64382"/>
    <w:rsid w:val="00F64C33"/>
    <w:rsid w:val="00F64F1E"/>
    <w:rsid w:val="00F658FC"/>
    <w:rsid w:val="00F660E0"/>
    <w:rsid w:val="00F70B27"/>
    <w:rsid w:val="00F710F9"/>
    <w:rsid w:val="00F71292"/>
    <w:rsid w:val="00F71ABE"/>
    <w:rsid w:val="00F7620F"/>
    <w:rsid w:val="00F76B62"/>
    <w:rsid w:val="00F806C1"/>
    <w:rsid w:val="00F8089B"/>
    <w:rsid w:val="00F83A5F"/>
    <w:rsid w:val="00F8462C"/>
    <w:rsid w:val="00F87F40"/>
    <w:rsid w:val="00F91C68"/>
    <w:rsid w:val="00F91DCA"/>
    <w:rsid w:val="00F93588"/>
    <w:rsid w:val="00F940F2"/>
    <w:rsid w:val="00F948C4"/>
    <w:rsid w:val="00F95781"/>
    <w:rsid w:val="00F97BBB"/>
    <w:rsid w:val="00F97D58"/>
    <w:rsid w:val="00FA0AE4"/>
    <w:rsid w:val="00FA21B2"/>
    <w:rsid w:val="00FA2D5F"/>
    <w:rsid w:val="00FA3A78"/>
    <w:rsid w:val="00FA45B4"/>
    <w:rsid w:val="00FB04D3"/>
    <w:rsid w:val="00FB29A0"/>
    <w:rsid w:val="00FB3EF0"/>
    <w:rsid w:val="00FB4DBA"/>
    <w:rsid w:val="00FB5688"/>
    <w:rsid w:val="00FB5AD8"/>
    <w:rsid w:val="00FB667E"/>
    <w:rsid w:val="00FB6CB1"/>
    <w:rsid w:val="00FC0490"/>
    <w:rsid w:val="00FC0A4A"/>
    <w:rsid w:val="00FC30F6"/>
    <w:rsid w:val="00FC4984"/>
    <w:rsid w:val="00FC4E1C"/>
    <w:rsid w:val="00FC5CC5"/>
    <w:rsid w:val="00FC622F"/>
    <w:rsid w:val="00FD13BA"/>
    <w:rsid w:val="00FD22E7"/>
    <w:rsid w:val="00FD6CDE"/>
    <w:rsid w:val="00FE087A"/>
    <w:rsid w:val="00FE1DDF"/>
    <w:rsid w:val="00FE552D"/>
    <w:rsid w:val="00FE5A67"/>
    <w:rsid w:val="00FF195C"/>
    <w:rsid w:val="00FF20A1"/>
    <w:rsid w:val="00FF5C5A"/>
    <w:rsid w:val="00FF5D45"/>
    <w:rsid w:val="00FF7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style>
  <w:style w:type="paragraph" w:styleId="Heading1">
    <w:name w:val="heading 1"/>
    <w:basedOn w:val="Normal"/>
    <w:next w:val="Normal"/>
    <w:link w:val="Heading1Char"/>
    <w:autoRedefine/>
    <w:qFormat/>
    <w:rsid w:val="00EE114D"/>
    <w:pPr>
      <w:autoSpaceDE w:val="0"/>
      <w:autoSpaceDN w:val="0"/>
      <w:adjustRightInd w:val="0"/>
      <w:spacing w:before="120" w:after="120" w:line="360" w:lineRule="auto"/>
      <w:jc w:val="center"/>
      <w:outlineLvl w:val="0"/>
    </w:pPr>
    <w:rPr>
      <w:b/>
      <w:bCs/>
      <w:caps/>
      <w:color w:val="000000" w:themeColor="text1"/>
    </w:rPr>
  </w:style>
  <w:style w:type="paragraph" w:styleId="Heading2">
    <w:name w:val="heading 2"/>
    <w:basedOn w:val="Normal"/>
    <w:next w:val="Normal"/>
    <w:autoRedefine/>
    <w:qFormat/>
    <w:rsid w:val="00AE5690"/>
    <w:pPr>
      <w:keepNext/>
      <w:spacing w:before="240" w:after="60"/>
      <w:jc w:val="center"/>
      <w:outlineLvl w:val="1"/>
    </w:pPr>
    <w:rPr>
      <w:b/>
      <w:bCs/>
      <w:iCs/>
    </w:rPr>
  </w:style>
  <w:style w:type="paragraph" w:styleId="Heading3">
    <w:name w:val="heading 3"/>
    <w:basedOn w:val="Normal"/>
    <w:next w:val="Normal"/>
    <w:autoRedefine/>
    <w:qFormat/>
    <w:rsid w:val="000B5945"/>
    <w:pPr>
      <w:keepNext/>
      <w:numPr>
        <w:ilvl w:val="2"/>
        <w:numId w:val="2"/>
      </w:numPr>
      <w:spacing w:before="240" w:after="60" w:line="360" w:lineRule="auto"/>
      <w:outlineLvl w:val="2"/>
    </w:pPr>
    <w:rPr>
      <w:rFonts w:eastAsia="Aptos"/>
      <w:iCs/>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EE114D"/>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FC4984"/>
    <w:pPr>
      <w:spacing w:line="360" w:lineRule="auto"/>
      <w:ind w:left="144"/>
      <w:contextualSpacing/>
    </w:pPr>
    <w:rPr>
      <w:rFonts w:eastAsia="Aptos"/>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868FF"/>
    <w:pPr>
      <w:numPr>
        <w:ilvl w:val="12"/>
      </w:numPr>
    </w:pPr>
    <w:rPr>
      <w:bCs w:val="0"/>
    </w:rPr>
  </w:style>
  <w:style w:type="character" w:styleId="CommentReference">
    <w:name w:val="annotation reference"/>
    <w:basedOn w:val="DefaultParagraphFont"/>
    <w:uiPriority w:val="99"/>
    <w:semiHidden/>
    <w:unhideWhenUsed/>
    <w:rsid w:val="00AE5690"/>
    <w:rPr>
      <w:sz w:val="16"/>
      <w:szCs w:val="16"/>
    </w:rPr>
  </w:style>
  <w:style w:type="paragraph" w:styleId="CommentText">
    <w:name w:val="annotation text"/>
    <w:basedOn w:val="Normal"/>
    <w:link w:val="CommentTextChar"/>
    <w:uiPriority w:val="99"/>
    <w:unhideWhenUsed/>
    <w:rsid w:val="00AE5690"/>
    <w:pPr>
      <w:spacing w:after="160"/>
    </w:pPr>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AE5690"/>
    <w:rPr>
      <w:rFonts w:eastAsiaTheme="minorHAnsi" w:cstheme="minorBidi"/>
      <w:kern w:val="2"/>
      <w:sz w:val="20"/>
      <w:szCs w:val="20"/>
      <w14:ligatures w14:val="standardContextual"/>
    </w:rPr>
  </w:style>
  <w:style w:type="character" w:styleId="UnresolvedMention">
    <w:name w:val="Unresolved Mention"/>
    <w:basedOn w:val="DefaultParagraphFont"/>
    <w:uiPriority w:val="99"/>
    <w:semiHidden/>
    <w:unhideWhenUsed/>
    <w:rsid w:val="00566A02"/>
    <w:rPr>
      <w:color w:val="605E5C"/>
      <w:shd w:val="clear" w:color="auto" w:fill="E1DFDD"/>
    </w:rPr>
  </w:style>
  <w:style w:type="paragraph" w:customStyle="1" w:styleId="H1">
    <w:name w:val="H1"/>
    <w:basedOn w:val="Normal"/>
    <w:rsid w:val="00BE73AB"/>
    <w:pPr>
      <w:keepNext/>
      <w:spacing w:before="240"/>
      <w:jc w:val="center"/>
      <w:outlineLvl w:val="0"/>
    </w:pPr>
    <w:rPr>
      <w:b/>
      <w:caps/>
      <w:kern w:val="28"/>
      <w:sz w:val="28"/>
      <w:szCs w:val="20"/>
    </w:rPr>
  </w:style>
  <w:style w:type="paragraph" w:customStyle="1" w:styleId="Ack">
    <w:name w:val="Ack"/>
    <w:basedOn w:val="Normal"/>
    <w:rsid w:val="009E4719"/>
    <w:pPr>
      <w:spacing w:before="120"/>
      <w:ind w:firstLine="720"/>
    </w:pPr>
    <w:rPr>
      <w:sz w:val="20"/>
      <w:szCs w:val="20"/>
    </w:rPr>
  </w:style>
  <w:style w:type="paragraph" w:customStyle="1" w:styleId="AckTitle">
    <w:name w:val="Ack_Title"/>
    <w:basedOn w:val="Normal"/>
    <w:rsid w:val="009E4719"/>
    <w:pPr>
      <w:keepNext/>
      <w:spacing w:before="240"/>
      <w:jc w:val="center"/>
      <w:outlineLvl w:val="1"/>
    </w:pPr>
    <w:rPr>
      <w:b/>
      <w:caps/>
      <w:kern w:val="28"/>
      <w:szCs w:val="20"/>
    </w:rPr>
  </w:style>
  <w:style w:type="character" w:styleId="LineNumber">
    <w:name w:val="line number"/>
    <w:basedOn w:val="DefaultParagraphFont"/>
    <w:semiHidden/>
    <w:unhideWhenUsed/>
    <w:rsid w:val="000F2EB4"/>
  </w:style>
  <w:style w:type="paragraph" w:styleId="CommentSubject">
    <w:name w:val="annotation subject"/>
    <w:basedOn w:val="CommentText"/>
    <w:next w:val="CommentText"/>
    <w:link w:val="CommentSubjectChar"/>
    <w:semiHidden/>
    <w:unhideWhenUsed/>
    <w:rsid w:val="0094099A"/>
    <w:pPr>
      <w:spacing w:after="0"/>
    </w:pPr>
    <w:rPr>
      <w:rFonts w:eastAsia="Times New Roman" w:cs="Times New Roman"/>
      <w:b/>
      <w:bCs/>
      <w:kern w:val="0"/>
      <w14:ligatures w14:val="none"/>
    </w:rPr>
  </w:style>
  <w:style w:type="character" w:customStyle="1" w:styleId="CommentSubjectChar">
    <w:name w:val="Comment Subject Char"/>
    <w:basedOn w:val="CommentTextChar"/>
    <w:link w:val="CommentSubject"/>
    <w:semiHidden/>
    <w:rsid w:val="0094099A"/>
    <w:rPr>
      <w:rFonts w:eastAsiaTheme="minorHAnsi" w:cstheme="minorBidi"/>
      <w:b/>
      <w:bCs/>
      <w:kern w:val="2"/>
      <w:sz w:val="20"/>
      <w:szCs w:val="20"/>
      <w14:ligatures w14:val="standardContextual"/>
    </w:rPr>
  </w:style>
  <w:style w:type="paragraph" w:styleId="Revision">
    <w:name w:val="Revision"/>
    <w:hidden/>
    <w:uiPriority w:val="99"/>
    <w:semiHidden/>
    <w:rsid w:val="006B1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7167">
      <w:bodyDiv w:val="1"/>
      <w:marLeft w:val="0"/>
      <w:marRight w:val="0"/>
      <w:marTop w:val="0"/>
      <w:marBottom w:val="0"/>
      <w:divBdr>
        <w:top w:val="none" w:sz="0" w:space="0" w:color="auto"/>
        <w:left w:val="none" w:sz="0" w:space="0" w:color="auto"/>
        <w:bottom w:val="none" w:sz="0" w:space="0" w:color="auto"/>
        <w:right w:val="none" w:sz="0" w:space="0" w:color="auto"/>
      </w:divBdr>
    </w:div>
    <w:div w:id="119152971">
      <w:bodyDiv w:val="1"/>
      <w:marLeft w:val="0"/>
      <w:marRight w:val="0"/>
      <w:marTop w:val="0"/>
      <w:marBottom w:val="0"/>
      <w:divBdr>
        <w:top w:val="none" w:sz="0" w:space="0" w:color="auto"/>
        <w:left w:val="none" w:sz="0" w:space="0" w:color="auto"/>
        <w:bottom w:val="none" w:sz="0" w:space="0" w:color="auto"/>
        <w:right w:val="none" w:sz="0" w:space="0" w:color="auto"/>
      </w:divBdr>
    </w:div>
    <w:div w:id="201326958">
      <w:bodyDiv w:val="1"/>
      <w:marLeft w:val="0"/>
      <w:marRight w:val="0"/>
      <w:marTop w:val="0"/>
      <w:marBottom w:val="0"/>
      <w:divBdr>
        <w:top w:val="none" w:sz="0" w:space="0" w:color="auto"/>
        <w:left w:val="none" w:sz="0" w:space="0" w:color="auto"/>
        <w:bottom w:val="none" w:sz="0" w:space="0" w:color="auto"/>
        <w:right w:val="none" w:sz="0" w:space="0" w:color="auto"/>
      </w:divBdr>
      <w:divsChild>
        <w:div w:id="1039430621">
          <w:marLeft w:val="0"/>
          <w:marRight w:val="0"/>
          <w:marTop w:val="0"/>
          <w:marBottom w:val="0"/>
          <w:divBdr>
            <w:top w:val="none" w:sz="0" w:space="0" w:color="auto"/>
            <w:left w:val="none" w:sz="0" w:space="0" w:color="auto"/>
            <w:bottom w:val="none" w:sz="0" w:space="0" w:color="auto"/>
            <w:right w:val="none" w:sz="0" w:space="0" w:color="auto"/>
          </w:divBdr>
        </w:div>
      </w:divsChild>
    </w:div>
    <w:div w:id="297027498">
      <w:bodyDiv w:val="1"/>
      <w:marLeft w:val="0"/>
      <w:marRight w:val="0"/>
      <w:marTop w:val="0"/>
      <w:marBottom w:val="0"/>
      <w:divBdr>
        <w:top w:val="none" w:sz="0" w:space="0" w:color="auto"/>
        <w:left w:val="none" w:sz="0" w:space="0" w:color="auto"/>
        <w:bottom w:val="none" w:sz="0" w:space="0" w:color="auto"/>
        <w:right w:val="none" w:sz="0" w:space="0" w:color="auto"/>
      </w:divBdr>
      <w:divsChild>
        <w:div w:id="1481113810">
          <w:marLeft w:val="0"/>
          <w:marRight w:val="0"/>
          <w:marTop w:val="0"/>
          <w:marBottom w:val="0"/>
          <w:divBdr>
            <w:top w:val="none" w:sz="0" w:space="0" w:color="auto"/>
            <w:left w:val="none" w:sz="0" w:space="0" w:color="auto"/>
            <w:bottom w:val="none" w:sz="0" w:space="0" w:color="auto"/>
            <w:right w:val="none" w:sz="0" w:space="0" w:color="auto"/>
          </w:divBdr>
        </w:div>
      </w:divsChild>
    </w:div>
    <w:div w:id="438643206">
      <w:bodyDiv w:val="1"/>
      <w:marLeft w:val="0"/>
      <w:marRight w:val="0"/>
      <w:marTop w:val="0"/>
      <w:marBottom w:val="0"/>
      <w:divBdr>
        <w:top w:val="none" w:sz="0" w:space="0" w:color="auto"/>
        <w:left w:val="none" w:sz="0" w:space="0" w:color="auto"/>
        <w:bottom w:val="none" w:sz="0" w:space="0" w:color="auto"/>
        <w:right w:val="none" w:sz="0" w:space="0" w:color="auto"/>
      </w:divBdr>
    </w:div>
    <w:div w:id="576092964">
      <w:bodyDiv w:val="1"/>
      <w:marLeft w:val="0"/>
      <w:marRight w:val="0"/>
      <w:marTop w:val="0"/>
      <w:marBottom w:val="0"/>
      <w:divBdr>
        <w:top w:val="none" w:sz="0" w:space="0" w:color="auto"/>
        <w:left w:val="none" w:sz="0" w:space="0" w:color="auto"/>
        <w:bottom w:val="none" w:sz="0" w:space="0" w:color="auto"/>
        <w:right w:val="none" w:sz="0" w:space="0" w:color="auto"/>
      </w:divBdr>
      <w:divsChild>
        <w:div w:id="541870540">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47919241">
      <w:bodyDiv w:val="1"/>
      <w:marLeft w:val="0"/>
      <w:marRight w:val="0"/>
      <w:marTop w:val="0"/>
      <w:marBottom w:val="0"/>
      <w:divBdr>
        <w:top w:val="none" w:sz="0" w:space="0" w:color="auto"/>
        <w:left w:val="none" w:sz="0" w:space="0" w:color="auto"/>
        <w:bottom w:val="none" w:sz="0" w:space="0" w:color="auto"/>
        <w:right w:val="none" w:sz="0" w:space="0" w:color="auto"/>
      </w:divBdr>
    </w:div>
    <w:div w:id="789978425">
      <w:bodyDiv w:val="1"/>
      <w:marLeft w:val="0"/>
      <w:marRight w:val="0"/>
      <w:marTop w:val="0"/>
      <w:marBottom w:val="0"/>
      <w:divBdr>
        <w:top w:val="none" w:sz="0" w:space="0" w:color="auto"/>
        <w:left w:val="none" w:sz="0" w:space="0" w:color="auto"/>
        <w:bottom w:val="none" w:sz="0" w:space="0" w:color="auto"/>
        <w:right w:val="none" w:sz="0" w:space="0" w:color="auto"/>
      </w:divBdr>
      <w:divsChild>
        <w:div w:id="374164286">
          <w:marLeft w:val="0"/>
          <w:marRight w:val="0"/>
          <w:marTop w:val="0"/>
          <w:marBottom w:val="0"/>
          <w:divBdr>
            <w:top w:val="none" w:sz="0" w:space="0" w:color="auto"/>
            <w:left w:val="none" w:sz="0" w:space="0" w:color="auto"/>
            <w:bottom w:val="none" w:sz="0" w:space="0" w:color="auto"/>
            <w:right w:val="none" w:sz="0" w:space="0" w:color="auto"/>
          </w:divBdr>
        </w:div>
      </w:divsChild>
    </w:div>
    <w:div w:id="1128550781">
      <w:bodyDiv w:val="1"/>
      <w:marLeft w:val="0"/>
      <w:marRight w:val="0"/>
      <w:marTop w:val="0"/>
      <w:marBottom w:val="0"/>
      <w:divBdr>
        <w:top w:val="none" w:sz="0" w:space="0" w:color="auto"/>
        <w:left w:val="none" w:sz="0" w:space="0" w:color="auto"/>
        <w:bottom w:val="none" w:sz="0" w:space="0" w:color="auto"/>
        <w:right w:val="none" w:sz="0" w:space="0" w:color="auto"/>
      </w:divBdr>
      <w:divsChild>
        <w:div w:id="1210192545">
          <w:marLeft w:val="0"/>
          <w:marRight w:val="0"/>
          <w:marTop w:val="0"/>
          <w:marBottom w:val="0"/>
          <w:divBdr>
            <w:top w:val="none" w:sz="0" w:space="0" w:color="auto"/>
            <w:left w:val="none" w:sz="0" w:space="0" w:color="auto"/>
            <w:bottom w:val="none" w:sz="0" w:space="0" w:color="auto"/>
            <w:right w:val="none" w:sz="0" w:space="0" w:color="auto"/>
          </w:divBdr>
        </w:div>
      </w:divsChild>
    </w:div>
    <w:div w:id="1149517654">
      <w:bodyDiv w:val="1"/>
      <w:marLeft w:val="0"/>
      <w:marRight w:val="0"/>
      <w:marTop w:val="0"/>
      <w:marBottom w:val="0"/>
      <w:divBdr>
        <w:top w:val="none" w:sz="0" w:space="0" w:color="auto"/>
        <w:left w:val="none" w:sz="0" w:space="0" w:color="auto"/>
        <w:bottom w:val="none" w:sz="0" w:space="0" w:color="auto"/>
        <w:right w:val="none" w:sz="0" w:space="0" w:color="auto"/>
      </w:divBdr>
    </w:div>
    <w:div w:id="1333798808">
      <w:bodyDiv w:val="1"/>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
      </w:divsChild>
    </w:div>
    <w:div w:id="1438866605">
      <w:bodyDiv w:val="1"/>
      <w:marLeft w:val="0"/>
      <w:marRight w:val="0"/>
      <w:marTop w:val="0"/>
      <w:marBottom w:val="0"/>
      <w:divBdr>
        <w:top w:val="none" w:sz="0" w:space="0" w:color="auto"/>
        <w:left w:val="none" w:sz="0" w:space="0" w:color="auto"/>
        <w:bottom w:val="none" w:sz="0" w:space="0" w:color="auto"/>
        <w:right w:val="none" w:sz="0" w:space="0" w:color="auto"/>
      </w:divBdr>
    </w:div>
    <w:div w:id="1647399001">
      <w:bodyDiv w:val="1"/>
      <w:marLeft w:val="0"/>
      <w:marRight w:val="0"/>
      <w:marTop w:val="0"/>
      <w:marBottom w:val="0"/>
      <w:divBdr>
        <w:top w:val="none" w:sz="0" w:space="0" w:color="auto"/>
        <w:left w:val="none" w:sz="0" w:space="0" w:color="auto"/>
        <w:bottom w:val="none" w:sz="0" w:space="0" w:color="auto"/>
        <w:right w:val="none" w:sz="0" w:space="0" w:color="auto"/>
      </w:divBdr>
    </w:div>
    <w:div w:id="1698507019">
      <w:bodyDiv w:val="1"/>
      <w:marLeft w:val="0"/>
      <w:marRight w:val="0"/>
      <w:marTop w:val="0"/>
      <w:marBottom w:val="0"/>
      <w:divBdr>
        <w:top w:val="none" w:sz="0" w:space="0" w:color="auto"/>
        <w:left w:val="none" w:sz="0" w:space="0" w:color="auto"/>
        <w:bottom w:val="none" w:sz="0" w:space="0" w:color="auto"/>
        <w:right w:val="none" w:sz="0" w:space="0" w:color="auto"/>
      </w:divBdr>
    </w:div>
    <w:div w:id="196838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TotalTime>
  <Pages>46</Pages>
  <Words>10813</Words>
  <Characters>60211</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Thelin, Alyssa</cp:lastModifiedBy>
  <cp:revision>3</cp:revision>
  <cp:lastPrinted>2025-03-26T14:27:00Z</cp:lastPrinted>
  <dcterms:created xsi:type="dcterms:W3CDTF">2025-04-24T20:36:00Z</dcterms:created>
  <dcterms:modified xsi:type="dcterms:W3CDTF">2025-04-24T20:36:00Z</dcterms:modified>
</cp:coreProperties>
</file>