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57" w:rsidRPr="00701057" w:rsidRDefault="00701057" w:rsidP="00701057">
      <w:pPr>
        <w:jc w:val="center"/>
        <w:rPr>
          <w:rFonts w:ascii="Calibri" w:hAnsi="Calibri"/>
          <w:sz w:val="24"/>
          <w:szCs w:val="24"/>
        </w:rPr>
      </w:pPr>
      <w:r w:rsidRPr="00701057">
        <w:rPr>
          <w:rFonts w:ascii="Calibri" w:hAnsi="Calibri"/>
          <w:sz w:val="24"/>
          <w:szCs w:val="24"/>
        </w:rPr>
        <w:t>Antimicrobial Activity of Essen</w:t>
      </w:r>
      <w:r w:rsidR="00916C24">
        <w:rPr>
          <w:rFonts w:ascii="Calibri" w:hAnsi="Calibri"/>
          <w:sz w:val="24"/>
          <w:szCs w:val="24"/>
        </w:rPr>
        <w:t xml:space="preserve">tial Oils and Their Components </w:t>
      </w:r>
      <w:proofErr w:type="gramStart"/>
      <w:r w:rsidR="007B6F39">
        <w:rPr>
          <w:rFonts w:ascii="Calibri" w:hAnsi="Calibri"/>
          <w:sz w:val="24"/>
          <w:szCs w:val="24"/>
        </w:rPr>
        <w:t>A</w:t>
      </w:r>
      <w:r w:rsidRPr="00701057">
        <w:rPr>
          <w:rFonts w:ascii="Calibri" w:hAnsi="Calibri"/>
          <w:sz w:val="24"/>
          <w:szCs w:val="24"/>
        </w:rPr>
        <w:t>gainst</w:t>
      </w:r>
      <w:proofErr w:type="gramEnd"/>
      <w:r w:rsidRPr="00701057">
        <w:rPr>
          <w:rFonts w:ascii="Calibri" w:hAnsi="Calibri"/>
          <w:sz w:val="24"/>
          <w:szCs w:val="24"/>
        </w:rPr>
        <w:t xml:space="preserve"> Lactic Acid Bacteria</w:t>
      </w:r>
    </w:p>
    <w:p w:rsidR="00701057" w:rsidRPr="00701057" w:rsidRDefault="00701057" w:rsidP="00701057">
      <w:pPr>
        <w:jc w:val="center"/>
        <w:rPr>
          <w:rFonts w:ascii="Calibri" w:hAnsi="Calibri"/>
          <w:sz w:val="24"/>
          <w:szCs w:val="24"/>
        </w:rPr>
      </w:pPr>
    </w:p>
    <w:p w:rsidR="00701057" w:rsidRPr="00701057" w:rsidRDefault="00701057" w:rsidP="00701057">
      <w:pPr>
        <w:jc w:val="center"/>
        <w:rPr>
          <w:rFonts w:ascii="Calibri" w:hAnsi="Calibri"/>
          <w:sz w:val="24"/>
          <w:szCs w:val="24"/>
        </w:rPr>
      </w:pPr>
    </w:p>
    <w:p w:rsidR="00701057" w:rsidRPr="00701057" w:rsidRDefault="00701057" w:rsidP="00701057">
      <w:pPr>
        <w:jc w:val="center"/>
        <w:rPr>
          <w:rFonts w:ascii="Calibri" w:hAnsi="Calibri"/>
          <w:sz w:val="24"/>
          <w:szCs w:val="24"/>
        </w:rPr>
      </w:pPr>
    </w:p>
    <w:p w:rsidR="00701057" w:rsidRPr="00701057" w:rsidRDefault="00701057" w:rsidP="00701057">
      <w:pPr>
        <w:jc w:val="center"/>
        <w:rPr>
          <w:rFonts w:ascii="Calibri" w:hAnsi="Calibri"/>
          <w:sz w:val="24"/>
          <w:szCs w:val="24"/>
        </w:rPr>
      </w:pPr>
    </w:p>
    <w:p w:rsidR="00701057" w:rsidRPr="00701057" w:rsidRDefault="00701057" w:rsidP="00701057">
      <w:pPr>
        <w:jc w:val="center"/>
        <w:rPr>
          <w:rFonts w:ascii="Calibri" w:hAnsi="Calibri"/>
          <w:sz w:val="24"/>
          <w:szCs w:val="24"/>
        </w:rPr>
      </w:pPr>
    </w:p>
    <w:p w:rsidR="00701057" w:rsidRPr="00701057" w:rsidRDefault="00701057" w:rsidP="00701057">
      <w:pPr>
        <w:jc w:val="center"/>
        <w:rPr>
          <w:rFonts w:ascii="Calibri" w:hAnsi="Calibri"/>
          <w:sz w:val="24"/>
          <w:szCs w:val="24"/>
        </w:rPr>
      </w:pPr>
    </w:p>
    <w:p w:rsidR="00701057" w:rsidRPr="00701057" w:rsidRDefault="00701057" w:rsidP="00701057">
      <w:pPr>
        <w:jc w:val="center"/>
        <w:rPr>
          <w:rFonts w:ascii="Calibri" w:hAnsi="Calibri"/>
          <w:sz w:val="24"/>
          <w:szCs w:val="24"/>
        </w:rPr>
      </w:pPr>
    </w:p>
    <w:p w:rsidR="00701057" w:rsidRPr="00701057" w:rsidRDefault="00701057" w:rsidP="00701057">
      <w:pPr>
        <w:jc w:val="center"/>
        <w:rPr>
          <w:rFonts w:ascii="Calibri" w:hAnsi="Calibri"/>
          <w:sz w:val="24"/>
          <w:szCs w:val="24"/>
        </w:rPr>
      </w:pPr>
    </w:p>
    <w:p w:rsidR="00701057" w:rsidRPr="00701057" w:rsidRDefault="00701057" w:rsidP="00701057">
      <w:pPr>
        <w:contextualSpacing/>
        <w:jc w:val="center"/>
        <w:rPr>
          <w:rFonts w:ascii="Calibri" w:hAnsi="Calibri"/>
          <w:sz w:val="24"/>
          <w:szCs w:val="24"/>
        </w:rPr>
      </w:pPr>
      <w:r w:rsidRPr="00701057">
        <w:rPr>
          <w:rFonts w:ascii="Calibri" w:hAnsi="Calibri"/>
          <w:sz w:val="24"/>
          <w:szCs w:val="24"/>
        </w:rPr>
        <w:t>A Thesis Presented for the</w:t>
      </w:r>
    </w:p>
    <w:p w:rsidR="00701057" w:rsidRPr="00701057" w:rsidRDefault="00701057" w:rsidP="00701057">
      <w:pPr>
        <w:contextualSpacing/>
        <w:jc w:val="center"/>
        <w:rPr>
          <w:rFonts w:ascii="Calibri" w:hAnsi="Calibri"/>
          <w:sz w:val="24"/>
          <w:szCs w:val="24"/>
        </w:rPr>
      </w:pPr>
      <w:r w:rsidRPr="00701057">
        <w:rPr>
          <w:rFonts w:ascii="Calibri" w:hAnsi="Calibri"/>
          <w:sz w:val="24"/>
          <w:szCs w:val="24"/>
        </w:rPr>
        <w:t>Master of Science</w:t>
      </w:r>
    </w:p>
    <w:p w:rsidR="00701057" w:rsidRPr="00701057" w:rsidRDefault="00701057" w:rsidP="00701057">
      <w:pPr>
        <w:contextualSpacing/>
        <w:jc w:val="center"/>
        <w:rPr>
          <w:rFonts w:ascii="Calibri" w:hAnsi="Calibri"/>
          <w:sz w:val="24"/>
          <w:szCs w:val="24"/>
        </w:rPr>
      </w:pPr>
      <w:r w:rsidRPr="00701057">
        <w:rPr>
          <w:rFonts w:ascii="Calibri" w:hAnsi="Calibri"/>
          <w:sz w:val="24"/>
          <w:szCs w:val="24"/>
        </w:rPr>
        <w:t>Degree</w:t>
      </w:r>
    </w:p>
    <w:p w:rsidR="00701057" w:rsidRPr="00701057" w:rsidRDefault="00701057" w:rsidP="00701057">
      <w:pPr>
        <w:contextualSpacing/>
        <w:jc w:val="center"/>
        <w:rPr>
          <w:rFonts w:ascii="Calibri" w:hAnsi="Calibri"/>
          <w:sz w:val="24"/>
          <w:szCs w:val="24"/>
        </w:rPr>
      </w:pPr>
      <w:r w:rsidRPr="00701057">
        <w:rPr>
          <w:rFonts w:ascii="Calibri" w:hAnsi="Calibri"/>
          <w:sz w:val="24"/>
          <w:szCs w:val="24"/>
        </w:rPr>
        <w:t>The University of Tennessee, Knoxville</w:t>
      </w:r>
    </w:p>
    <w:p w:rsidR="00701057" w:rsidRPr="00701057" w:rsidRDefault="00701057" w:rsidP="00701057">
      <w:pPr>
        <w:rPr>
          <w:rFonts w:ascii="Calibri" w:hAnsi="Calibri"/>
          <w:sz w:val="24"/>
          <w:szCs w:val="24"/>
        </w:rPr>
      </w:pPr>
    </w:p>
    <w:p w:rsidR="00701057" w:rsidRPr="00701057" w:rsidRDefault="00701057" w:rsidP="00701057">
      <w:pPr>
        <w:rPr>
          <w:rFonts w:ascii="Calibri" w:hAnsi="Calibri"/>
          <w:sz w:val="24"/>
          <w:szCs w:val="24"/>
        </w:rPr>
      </w:pPr>
    </w:p>
    <w:p w:rsidR="00701057" w:rsidRPr="00701057" w:rsidRDefault="00701057" w:rsidP="00701057">
      <w:pPr>
        <w:rPr>
          <w:rFonts w:ascii="Calibri" w:hAnsi="Calibri"/>
          <w:sz w:val="24"/>
          <w:szCs w:val="24"/>
        </w:rPr>
      </w:pPr>
    </w:p>
    <w:p w:rsidR="00701057" w:rsidRPr="00701057" w:rsidRDefault="00701057" w:rsidP="00701057">
      <w:pPr>
        <w:rPr>
          <w:rFonts w:ascii="Calibri" w:hAnsi="Calibri"/>
          <w:sz w:val="24"/>
          <w:szCs w:val="24"/>
        </w:rPr>
      </w:pPr>
    </w:p>
    <w:p w:rsidR="00701057" w:rsidRPr="00701057" w:rsidRDefault="00701057" w:rsidP="00701057">
      <w:pPr>
        <w:rPr>
          <w:rFonts w:ascii="Calibri" w:hAnsi="Calibri"/>
          <w:sz w:val="24"/>
          <w:szCs w:val="24"/>
        </w:rPr>
      </w:pPr>
    </w:p>
    <w:p w:rsidR="00701057" w:rsidRPr="00701057" w:rsidRDefault="00701057" w:rsidP="00701057">
      <w:pPr>
        <w:rPr>
          <w:rFonts w:ascii="Calibri" w:hAnsi="Calibri"/>
          <w:sz w:val="24"/>
          <w:szCs w:val="24"/>
        </w:rPr>
      </w:pPr>
    </w:p>
    <w:p w:rsidR="00701057" w:rsidRPr="00701057" w:rsidRDefault="00874E87" w:rsidP="00874E87">
      <w:pPr>
        <w:tabs>
          <w:tab w:val="left" w:pos="3520"/>
        </w:tabs>
        <w:rPr>
          <w:rFonts w:ascii="Calibri" w:hAnsi="Calibri"/>
          <w:sz w:val="24"/>
          <w:szCs w:val="24"/>
        </w:rPr>
      </w:pPr>
      <w:r>
        <w:rPr>
          <w:rFonts w:ascii="Calibri" w:hAnsi="Calibri"/>
          <w:sz w:val="24"/>
          <w:szCs w:val="24"/>
        </w:rPr>
        <w:tab/>
      </w:r>
    </w:p>
    <w:p w:rsidR="00701057" w:rsidRPr="00701057" w:rsidRDefault="00701057" w:rsidP="00701057">
      <w:pPr>
        <w:rPr>
          <w:rFonts w:ascii="Calibri" w:hAnsi="Calibri"/>
          <w:sz w:val="24"/>
          <w:szCs w:val="24"/>
        </w:rPr>
      </w:pPr>
    </w:p>
    <w:p w:rsidR="00701057" w:rsidRPr="00701057" w:rsidRDefault="00701057" w:rsidP="00701057">
      <w:pPr>
        <w:rPr>
          <w:rFonts w:ascii="Calibri" w:hAnsi="Calibri"/>
          <w:sz w:val="24"/>
          <w:szCs w:val="24"/>
        </w:rPr>
      </w:pPr>
    </w:p>
    <w:p w:rsidR="00701057" w:rsidRPr="00701057" w:rsidRDefault="00701057" w:rsidP="00701057">
      <w:pPr>
        <w:rPr>
          <w:rFonts w:ascii="Calibri" w:hAnsi="Calibri"/>
          <w:sz w:val="24"/>
          <w:szCs w:val="24"/>
        </w:rPr>
      </w:pPr>
    </w:p>
    <w:p w:rsidR="00701057" w:rsidRPr="00701057" w:rsidRDefault="00701057" w:rsidP="00701057">
      <w:pPr>
        <w:contextualSpacing/>
        <w:rPr>
          <w:rFonts w:ascii="Calibri" w:hAnsi="Calibri"/>
          <w:sz w:val="24"/>
          <w:szCs w:val="24"/>
        </w:rPr>
      </w:pPr>
    </w:p>
    <w:p w:rsidR="00FE5B3A" w:rsidRDefault="00FE5B3A" w:rsidP="00701057">
      <w:pPr>
        <w:contextualSpacing/>
        <w:jc w:val="center"/>
        <w:rPr>
          <w:rFonts w:ascii="Calibri" w:hAnsi="Calibri"/>
          <w:sz w:val="24"/>
          <w:szCs w:val="24"/>
        </w:rPr>
      </w:pPr>
    </w:p>
    <w:p w:rsidR="00FE5B3A" w:rsidRDefault="00FE5B3A" w:rsidP="00701057">
      <w:pPr>
        <w:contextualSpacing/>
        <w:jc w:val="center"/>
        <w:rPr>
          <w:rFonts w:ascii="Calibri" w:hAnsi="Calibri"/>
          <w:sz w:val="24"/>
          <w:szCs w:val="24"/>
        </w:rPr>
      </w:pPr>
    </w:p>
    <w:p w:rsidR="00701057" w:rsidRPr="00701057" w:rsidRDefault="00701057" w:rsidP="00701057">
      <w:pPr>
        <w:contextualSpacing/>
        <w:jc w:val="center"/>
        <w:rPr>
          <w:rFonts w:ascii="Calibri" w:hAnsi="Calibri"/>
          <w:sz w:val="24"/>
          <w:szCs w:val="24"/>
        </w:rPr>
      </w:pPr>
      <w:r w:rsidRPr="00701057">
        <w:rPr>
          <w:rFonts w:ascii="Calibri" w:hAnsi="Calibri"/>
          <w:sz w:val="24"/>
          <w:szCs w:val="24"/>
        </w:rPr>
        <w:t>Laurel Dunn Gann</w:t>
      </w:r>
    </w:p>
    <w:p w:rsidR="00007FB9" w:rsidRDefault="00701057" w:rsidP="00701057">
      <w:pPr>
        <w:contextualSpacing/>
        <w:jc w:val="center"/>
        <w:rPr>
          <w:rFonts w:ascii="Calibri" w:hAnsi="Calibri"/>
          <w:sz w:val="24"/>
          <w:szCs w:val="24"/>
        </w:rPr>
        <w:sectPr w:rsidR="00007FB9" w:rsidSect="00052CE4">
          <w:pgSz w:w="12240" w:h="15840"/>
          <w:pgMar w:top="1440" w:right="1440" w:bottom="1440" w:left="1440" w:header="720" w:footer="720" w:gutter="0"/>
          <w:pgNumType w:fmt="lowerRoman" w:start="2"/>
          <w:cols w:space="720"/>
          <w:docGrid w:linePitch="360"/>
        </w:sectPr>
      </w:pPr>
      <w:r w:rsidRPr="00701057">
        <w:rPr>
          <w:rFonts w:ascii="Calibri" w:hAnsi="Calibri"/>
          <w:sz w:val="24"/>
          <w:szCs w:val="24"/>
        </w:rPr>
        <w:t>August 2013</w:t>
      </w:r>
    </w:p>
    <w:p w:rsidR="00701057" w:rsidRPr="00DC03CD" w:rsidRDefault="00701057" w:rsidP="00701057">
      <w:pPr>
        <w:spacing w:line="480" w:lineRule="auto"/>
        <w:contextualSpacing/>
        <w:rPr>
          <w:b/>
          <w:sz w:val="24"/>
          <w:szCs w:val="24"/>
        </w:rPr>
      </w:pPr>
      <w:r w:rsidRPr="00DC03CD">
        <w:rPr>
          <w:b/>
          <w:sz w:val="24"/>
          <w:szCs w:val="24"/>
        </w:rPr>
        <w:lastRenderedPageBreak/>
        <w:t>Acknowledgments</w:t>
      </w:r>
    </w:p>
    <w:p w:rsidR="00701057" w:rsidRDefault="00E73A8C" w:rsidP="00701057">
      <w:pPr>
        <w:spacing w:line="480" w:lineRule="auto"/>
        <w:contextualSpacing/>
        <w:rPr>
          <w:sz w:val="24"/>
          <w:szCs w:val="24"/>
        </w:rPr>
      </w:pPr>
      <w:r>
        <w:rPr>
          <w:sz w:val="24"/>
          <w:szCs w:val="24"/>
        </w:rPr>
        <w:tab/>
        <w:t>I woul</w:t>
      </w:r>
      <w:r w:rsidR="007F0262">
        <w:rPr>
          <w:sz w:val="24"/>
          <w:szCs w:val="24"/>
        </w:rPr>
        <w:t>d first like to thank</w:t>
      </w:r>
      <w:r w:rsidR="0004721C">
        <w:rPr>
          <w:sz w:val="24"/>
          <w:szCs w:val="24"/>
        </w:rPr>
        <w:t xml:space="preserve"> Dr.</w:t>
      </w:r>
      <w:r w:rsidR="007F0262">
        <w:rPr>
          <w:sz w:val="24"/>
          <w:szCs w:val="24"/>
        </w:rPr>
        <w:t xml:space="preserve"> Faith</w:t>
      </w:r>
      <w:r>
        <w:rPr>
          <w:sz w:val="24"/>
          <w:szCs w:val="24"/>
        </w:rPr>
        <w:t xml:space="preserve"> Critzer</w:t>
      </w:r>
      <w:r w:rsidR="007F0262">
        <w:rPr>
          <w:sz w:val="24"/>
          <w:szCs w:val="24"/>
        </w:rPr>
        <w:t>, my major professor,</w:t>
      </w:r>
      <w:r>
        <w:rPr>
          <w:sz w:val="24"/>
          <w:szCs w:val="24"/>
        </w:rPr>
        <w:t xml:space="preserve"> for her willingness to</w:t>
      </w:r>
      <w:r w:rsidR="0076090C">
        <w:rPr>
          <w:sz w:val="24"/>
          <w:szCs w:val="24"/>
        </w:rPr>
        <w:t xml:space="preserve"> accept me as a student. I could not have asked for a more supportive and knowledgeable advisor, both in and outside the laboratory setting. The encouragement I have received from her to develop and trust my ow</w:t>
      </w:r>
      <w:r w:rsidR="00BD648B">
        <w:rPr>
          <w:sz w:val="24"/>
          <w:szCs w:val="24"/>
        </w:rPr>
        <w:t>n critical thinking skills has</w:t>
      </w:r>
      <w:r w:rsidR="0076090C">
        <w:rPr>
          <w:sz w:val="24"/>
          <w:szCs w:val="24"/>
        </w:rPr>
        <w:t xml:space="preserve"> been invaluable, and I am profoundly grateful that she</w:t>
      </w:r>
      <w:r w:rsidR="007F0262">
        <w:rPr>
          <w:sz w:val="24"/>
          <w:szCs w:val="24"/>
        </w:rPr>
        <w:t xml:space="preserve"> made the decision</w:t>
      </w:r>
      <w:r w:rsidR="0076090C">
        <w:rPr>
          <w:sz w:val="24"/>
          <w:szCs w:val="24"/>
        </w:rPr>
        <w:t xml:space="preserve"> to mentor me.</w:t>
      </w:r>
      <w:r w:rsidR="007F0262">
        <w:rPr>
          <w:sz w:val="24"/>
          <w:szCs w:val="24"/>
        </w:rPr>
        <w:t xml:space="preserve"> I would also like to thank Miranda Calderon, who not only gave me the opportunity to discover how much I love food science, but has continued to be a great friend and supporter.</w:t>
      </w:r>
    </w:p>
    <w:p w:rsidR="00BD648B" w:rsidRDefault="00BD648B" w:rsidP="00701057">
      <w:pPr>
        <w:spacing w:line="480" w:lineRule="auto"/>
        <w:contextualSpacing/>
        <w:rPr>
          <w:sz w:val="24"/>
          <w:szCs w:val="24"/>
        </w:rPr>
      </w:pPr>
      <w:r>
        <w:rPr>
          <w:sz w:val="24"/>
          <w:szCs w:val="24"/>
        </w:rPr>
        <w:tab/>
        <w:t xml:space="preserve">Every member of the Food Science Department has my heartfelt thanks. Nothing could have been done without the aid I received from my instructors, fellow classmates, and friends. Their constant </w:t>
      </w:r>
      <w:r w:rsidR="00806BB4">
        <w:rPr>
          <w:sz w:val="24"/>
          <w:szCs w:val="24"/>
        </w:rPr>
        <w:t>camaraderie</w:t>
      </w:r>
      <w:r w:rsidR="007F0262">
        <w:rPr>
          <w:sz w:val="24"/>
          <w:szCs w:val="24"/>
        </w:rPr>
        <w:t>,</w:t>
      </w:r>
      <w:r>
        <w:rPr>
          <w:sz w:val="24"/>
          <w:szCs w:val="24"/>
        </w:rPr>
        <w:t xml:space="preserve"> encouragement</w:t>
      </w:r>
      <w:r w:rsidR="007F0262">
        <w:rPr>
          <w:sz w:val="24"/>
          <w:szCs w:val="24"/>
        </w:rPr>
        <w:t>, and willingness to jump in and help when I’ve been overwhelmed with work</w:t>
      </w:r>
      <w:r>
        <w:rPr>
          <w:sz w:val="24"/>
          <w:szCs w:val="24"/>
        </w:rPr>
        <w:t xml:space="preserve"> have kept me going for the past year and half. </w:t>
      </w:r>
    </w:p>
    <w:p w:rsidR="00622E85" w:rsidRDefault="00BD648B" w:rsidP="00701057">
      <w:pPr>
        <w:spacing w:line="480" w:lineRule="auto"/>
        <w:contextualSpacing/>
        <w:rPr>
          <w:sz w:val="24"/>
          <w:szCs w:val="24"/>
        </w:rPr>
      </w:pPr>
      <w:r>
        <w:rPr>
          <w:sz w:val="24"/>
          <w:szCs w:val="24"/>
        </w:rPr>
        <w:tab/>
        <w:t xml:space="preserve">My family, especially my parents and </w:t>
      </w:r>
      <w:r w:rsidR="00D546EC">
        <w:rPr>
          <w:sz w:val="24"/>
          <w:szCs w:val="24"/>
        </w:rPr>
        <w:t xml:space="preserve">parents- </w:t>
      </w:r>
      <w:r>
        <w:rPr>
          <w:sz w:val="24"/>
          <w:szCs w:val="24"/>
        </w:rPr>
        <w:t>in-law,</w:t>
      </w:r>
      <w:r w:rsidR="00622E85">
        <w:rPr>
          <w:sz w:val="24"/>
          <w:szCs w:val="24"/>
        </w:rPr>
        <w:t xml:space="preserve"> has</w:t>
      </w:r>
      <w:r>
        <w:rPr>
          <w:sz w:val="24"/>
          <w:szCs w:val="24"/>
        </w:rPr>
        <w:t xml:space="preserve"> been a constant source of aid</w:t>
      </w:r>
      <w:r w:rsidR="00622E85">
        <w:rPr>
          <w:sz w:val="24"/>
          <w:szCs w:val="24"/>
        </w:rPr>
        <w:t xml:space="preserve">, especially this summer. </w:t>
      </w:r>
      <w:r w:rsidR="00EF1F51">
        <w:rPr>
          <w:sz w:val="24"/>
          <w:szCs w:val="24"/>
        </w:rPr>
        <w:t>My mom has always been my most enthusiastic cheerleader, and I am</w:t>
      </w:r>
      <w:r w:rsidR="007F0262">
        <w:rPr>
          <w:sz w:val="24"/>
          <w:szCs w:val="24"/>
        </w:rPr>
        <w:t xml:space="preserve"> </w:t>
      </w:r>
      <w:r w:rsidR="00EF1F51">
        <w:rPr>
          <w:sz w:val="24"/>
          <w:szCs w:val="24"/>
        </w:rPr>
        <w:t xml:space="preserve">thankful for all the times my dad is willing to listen when I am upset. </w:t>
      </w:r>
      <w:r w:rsidR="00622E85">
        <w:rPr>
          <w:sz w:val="24"/>
          <w:szCs w:val="24"/>
        </w:rPr>
        <w:t xml:space="preserve">I could not ask for a more loving and supportive family and am continually thankful for the blessing </w:t>
      </w:r>
      <w:r w:rsidR="007F0262">
        <w:rPr>
          <w:sz w:val="24"/>
          <w:szCs w:val="24"/>
        </w:rPr>
        <w:t>that they</w:t>
      </w:r>
      <w:r w:rsidR="00622E85">
        <w:rPr>
          <w:sz w:val="24"/>
          <w:szCs w:val="24"/>
        </w:rPr>
        <w:t xml:space="preserve"> are.</w:t>
      </w:r>
    </w:p>
    <w:p w:rsidR="00701057" w:rsidRDefault="00622E85" w:rsidP="00701057">
      <w:pPr>
        <w:spacing w:line="480" w:lineRule="auto"/>
        <w:contextualSpacing/>
        <w:rPr>
          <w:sz w:val="24"/>
          <w:szCs w:val="24"/>
        </w:rPr>
      </w:pPr>
      <w:r>
        <w:rPr>
          <w:sz w:val="24"/>
          <w:szCs w:val="24"/>
        </w:rPr>
        <w:tab/>
        <w:t>My husband, Josh,</w:t>
      </w:r>
      <w:r w:rsidR="00EF1F51">
        <w:rPr>
          <w:sz w:val="24"/>
          <w:szCs w:val="24"/>
        </w:rPr>
        <w:t xml:space="preserve"> </w:t>
      </w:r>
      <w:r>
        <w:rPr>
          <w:sz w:val="24"/>
          <w:szCs w:val="24"/>
        </w:rPr>
        <w:t xml:space="preserve">has my heartfelt thanks as he is the individual who has sacrificed the most </w:t>
      </w:r>
      <w:r w:rsidR="007F0262">
        <w:rPr>
          <w:sz w:val="24"/>
          <w:szCs w:val="24"/>
        </w:rPr>
        <w:t>by</w:t>
      </w:r>
      <w:r>
        <w:rPr>
          <w:sz w:val="24"/>
          <w:szCs w:val="24"/>
        </w:rPr>
        <w:t xml:space="preserve"> supporting my decision to return to school. </w:t>
      </w:r>
      <w:r w:rsidR="00EF1F51">
        <w:rPr>
          <w:sz w:val="24"/>
          <w:szCs w:val="24"/>
        </w:rPr>
        <w:t>Despite the challenges we have had thrown at us over the past 4 years, his positive attitude, kind spirit, and patience have kept us going</w:t>
      </w:r>
      <w:r w:rsidR="007F0262">
        <w:rPr>
          <w:sz w:val="24"/>
          <w:szCs w:val="24"/>
        </w:rPr>
        <w:t xml:space="preserve"> through it all</w:t>
      </w:r>
      <w:r w:rsidR="00EF1F51">
        <w:rPr>
          <w:sz w:val="24"/>
          <w:szCs w:val="24"/>
        </w:rPr>
        <w:t>.</w:t>
      </w:r>
      <w:r w:rsidR="007F0262">
        <w:rPr>
          <w:sz w:val="24"/>
          <w:szCs w:val="24"/>
        </w:rPr>
        <w:t xml:space="preserve"> I am so thankful I have not had to go through this period of time without him.</w:t>
      </w: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Pr="004F3083" w:rsidRDefault="00701057" w:rsidP="004F3083">
      <w:pPr>
        <w:spacing w:line="480" w:lineRule="auto"/>
        <w:contextualSpacing/>
        <w:jc w:val="center"/>
        <w:rPr>
          <w:b/>
          <w:sz w:val="28"/>
          <w:szCs w:val="28"/>
        </w:rPr>
      </w:pPr>
      <w:r w:rsidRPr="004F3083">
        <w:rPr>
          <w:b/>
          <w:sz w:val="28"/>
          <w:szCs w:val="28"/>
        </w:rPr>
        <w:lastRenderedPageBreak/>
        <w:t>Abstract</w:t>
      </w:r>
    </w:p>
    <w:p w:rsidR="00701057" w:rsidRDefault="002F7D65" w:rsidP="00701057">
      <w:pPr>
        <w:spacing w:line="480" w:lineRule="auto"/>
        <w:contextualSpacing/>
        <w:rPr>
          <w:sz w:val="24"/>
          <w:szCs w:val="24"/>
        </w:rPr>
      </w:pPr>
      <w:r>
        <w:rPr>
          <w:sz w:val="24"/>
          <w:szCs w:val="24"/>
        </w:rPr>
        <w:tab/>
        <w:t xml:space="preserve">Efficacy of plant essential oils against spoilage lactic acid bacteria was examined using two different study methods with the goal of determining minimum inhibitory </w:t>
      </w:r>
      <w:r w:rsidR="00CB5B01">
        <w:rPr>
          <w:sz w:val="24"/>
          <w:szCs w:val="24"/>
        </w:rPr>
        <w:t xml:space="preserve">(MIC) </w:t>
      </w:r>
      <w:r>
        <w:rPr>
          <w:sz w:val="24"/>
          <w:szCs w:val="24"/>
        </w:rPr>
        <w:t>and minimum lethal</w:t>
      </w:r>
      <w:r w:rsidR="00CF30E6">
        <w:rPr>
          <w:sz w:val="24"/>
          <w:szCs w:val="24"/>
        </w:rPr>
        <w:t xml:space="preserve"> </w:t>
      </w:r>
      <w:r>
        <w:rPr>
          <w:sz w:val="24"/>
          <w:szCs w:val="24"/>
        </w:rPr>
        <w:t>concentrations</w:t>
      </w:r>
      <w:r w:rsidR="00CB5B01">
        <w:rPr>
          <w:sz w:val="24"/>
          <w:szCs w:val="24"/>
        </w:rPr>
        <w:t xml:space="preserve"> (MLC)</w:t>
      </w:r>
      <w:r>
        <w:rPr>
          <w:sz w:val="24"/>
          <w:szCs w:val="24"/>
        </w:rPr>
        <w:t xml:space="preserve"> of the essential oils. The initial study </w:t>
      </w:r>
      <w:r w:rsidR="00CB5B01">
        <w:rPr>
          <w:sz w:val="24"/>
          <w:szCs w:val="24"/>
        </w:rPr>
        <w:t>included the incorporation of the essential oils, or their major constituents, into agar to allow uniform dispersion of the substance throughout an agar surface. Individual cultures of nine lactic acid bacteria species</w:t>
      </w:r>
      <w:r w:rsidR="006C4E68">
        <w:rPr>
          <w:sz w:val="24"/>
          <w:szCs w:val="24"/>
        </w:rPr>
        <w:t xml:space="preserve"> (</w:t>
      </w:r>
      <w:r w:rsidR="006C4E68" w:rsidRPr="006C4E68">
        <w:rPr>
          <w:i/>
          <w:sz w:val="24"/>
          <w:szCs w:val="24"/>
        </w:rPr>
        <w:t>Pediococcus acidilactici</w:t>
      </w:r>
      <w:r w:rsidR="006C4E68">
        <w:rPr>
          <w:sz w:val="24"/>
          <w:szCs w:val="24"/>
        </w:rPr>
        <w:t xml:space="preserve">, </w:t>
      </w:r>
      <w:r w:rsidR="006C4E68" w:rsidRPr="006C4E68">
        <w:rPr>
          <w:i/>
          <w:sz w:val="24"/>
          <w:szCs w:val="24"/>
        </w:rPr>
        <w:t>Pediococcus damnosus</w:t>
      </w:r>
      <w:r w:rsidR="006C4E68">
        <w:rPr>
          <w:sz w:val="24"/>
          <w:szCs w:val="24"/>
        </w:rPr>
        <w:t xml:space="preserve">, </w:t>
      </w:r>
      <w:r w:rsidR="006C4E68" w:rsidRPr="006C4E68">
        <w:rPr>
          <w:i/>
          <w:sz w:val="24"/>
          <w:szCs w:val="24"/>
        </w:rPr>
        <w:t>Lactobacillus fermentum</w:t>
      </w:r>
      <w:r w:rsidR="006C4E68">
        <w:rPr>
          <w:sz w:val="24"/>
          <w:szCs w:val="24"/>
        </w:rPr>
        <w:t xml:space="preserve">, </w:t>
      </w:r>
      <w:r w:rsidR="006C4E68" w:rsidRPr="006C4E68">
        <w:rPr>
          <w:i/>
          <w:sz w:val="24"/>
          <w:szCs w:val="24"/>
        </w:rPr>
        <w:t>Lactobacillus fructivorans</w:t>
      </w:r>
      <w:r w:rsidR="006C4E68">
        <w:rPr>
          <w:sz w:val="24"/>
          <w:szCs w:val="24"/>
        </w:rPr>
        <w:t xml:space="preserve">, </w:t>
      </w:r>
      <w:r w:rsidR="00BC45C9" w:rsidRPr="006C4E68">
        <w:rPr>
          <w:i/>
          <w:sz w:val="24"/>
          <w:szCs w:val="24"/>
        </w:rPr>
        <w:t>Lactobacillus</w:t>
      </w:r>
      <w:r w:rsidR="006C4E68" w:rsidRPr="006C4E68">
        <w:rPr>
          <w:i/>
          <w:sz w:val="24"/>
          <w:szCs w:val="24"/>
        </w:rPr>
        <w:t xml:space="preserve"> brevis</w:t>
      </w:r>
      <w:r w:rsidR="006C4E68">
        <w:rPr>
          <w:sz w:val="24"/>
          <w:szCs w:val="24"/>
        </w:rPr>
        <w:t xml:space="preserve">, </w:t>
      </w:r>
      <w:r w:rsidR="006C4E68" w:rsidRPr="006C4E68">
        <w:rPr>
          <w:i/>
          <w:sz w:val="24"/>
          <w:szCs w:val="24"/>
        </w:rPr>
        <w:t>Lactobacillus buchneri</w:t>
      </w:r>
      <w:r w:rsidR="006C4E68">
        <w:rPr>
          <w:sz w:val="24"/>
          <w:szCs w:val="24"/>
        </w:rPr>
        <w:t xml:space="preserve">, </w:t>
      </w:r>
      <w:r w:rsidR="006C4E68" w:rsidRPr="006C4E68">
        <w:rPr>
          <w:i/>
          <w:sz w:val="24"/>
          <w:szCs w:val="24"/>
        </w:rPr>
        <w:t>Lactobacillus plantarum</w:t>
      </w:r>
      <w:r w:rsidR="006C4E68">
        <w:rPr>
          <w:sz w:val="24"/>
          <w:szCs w:val="24"/>
        </w:rPr>
        <w:t xml:space="preserve">, </w:t>
      </w:r>
      <w:r w:rsidR="006C4E68" w:rsidRPr="006C4E68">
        <w:rPr>
          <w:i/>
          <w:sz w:val="24"/>
          <w:szCs w:val="24"/>
        </w:rPr>
        <w:t>Leuconostoc mesenteroides</w:t>
      </w:r>
      <w:r w:rsidR="006C4E68">
        <w:rPr>
          <w:sz w:val="24"/>
          <w:szCs w:val="24"/>
        </w:rPr>
        <w:t xml:space="preserve">, and </w:t>
      </w:r>
      <w:r w:rsidR="006C4E68" w:rsidRPr="006C4E68">
        <w:rPr>
          <w:i/>
          <w:sz w:val="24"/>
          <w:szCs w:val="24"/>
        </w:rPr>
        <w:t>Leuconostoc citrovorum</w:t>
      </w:r>
      <w:r w:rsidR="006C4E68">
        <w:rPr>
          <w:sz w:val="24"/>
          <w:szCs w:val="24"/>
        </w:rPr>
        <w:t>)</w:t>
      </w:r>
      <w:r w:rsidR="00CB5B01">
        <w:rPr>
          <w:sz w:val="24"/>
          <w:szCs w:val="24"/>
        </w:rPr>
        <w:t xml:space="preserve"> were spot inoculated</w:t>
      </w:r>
      <w:r w:rsidR="001A3E6B">
        <w:rPr>
          <w:sz w:val="24"/>
          <w:szCs w:val="24"/>
        </w:rPr>
        <w:t xml:space="preserve"> onto de </w:t>
      </w:r>
      <w:r w:rsidR="00CF30E6">
        <w:rPr>
          <w:sz w:val="24"/>
          <w:szCs w:val="24"/>
        </w:rPr>
        <w:t>M</w:t>
      </w:r>
      <w:r w:rsidR="004D6872">
        <w:rPr>
          <w:sz w:val="24"/>
          <w:szCs w:val="24"/>
        </w:rPr>
        <w:t>a</w:t>
      </w:r>
      <w:r w:rsidR="001A3E6B">
        <w:rPr>
          <w:sz w:val="24"/>
          <w:szCs w:val="24"/>
        </w:rPr>
        <w:t>n</w:t>
      </w:r>
      <w:r w:rsidR="004D6872">
        <w:rPr>
          <w:sz w:val="24"/>
          <w:szCs w:val="24"/>
        </w:rPr>
        <w:t>, Rogosa, and Sharpe (MRS)</w:t>
      </w:r>
      <w:r w:rsidR="00CB5B01">
        <w:rPr>
          <w:sz w:val="24"/>
          <w:szCs w:val="24"/>
        </w:rPr>
        <w:t xml:space="preserve"> agar </w:t>
      </w:r>
      <w:r w:rsidR="004D6872">
        <w:rPr>
          <w:sz w:val="24"/>
          <w:szCs w:val="24"/>
        </w:rPr>
        <w:t>containing the essential oils</w:t>
      </w:r>
      <w:r w:rsidR="00CB5B01">
        <w:rPr>
          <w:sz w:val="24"/>
          <w:szCs w:val="24"/>
        </w:rPr>
        <w:t xml:space="preserve"> and incubated under ambient conditions (as determined independently per organism) for 4 days. </w:t>
      </w:r>
      <w:r w:rsidR="00017460">
        <w:rPr>
          <w:sz w:val="24"/>
          <w:szCs w:val="24"/>
        </w:rPr>
        <w:t>The p</w:t>
      </w:r>
      <w:r w:rsidR="00CB5B01">
        <w:rPr>
          <w:sz w:val="24"/>
          <w:szCs w:val="24"/>
        </w:rPr>
        <w:t xml:space="preserve">lates were examined for the evidence of growth, with the lowest concentration adequate to suppress growth being identified as the </w:t>
      </w:r>
      <w:r w:rsidR="00CF30E6">
        <w:rPr>
          <w:sz w:val="24"/>
          <w:szCs w:val="24"/>
        </w:rPr>
        <w:t>MIC</w:t>
      </w:r>
      <w:r w:rsidR="00CB5B01">
        <w:rPr>
          <w:sz w:val="24"/>
          <w:szCs w:val="24"/>
        </w:rPr>
        <w:t>. The most antimicrobial compounds were thymol and carvacrol</w:t>
      </w:r>
      <w:r w:rsidR="004D6872">
        <w:rPr>
          <w:sz w:val="24"/>
          <w:szCs w:val="24"/>
        </w:rPr>
        <w:t xml:space="preserve">, both of which had </w:t>
      </w:r>
      <w:r w:rsidR="00186F35">
        <w:rPr>
          <w:sz w:val="24"/>
          <w:szCs w:val="24"/>
        </w:rPr>
        <w:t>MICs</w:t>
      </w:r>
      <w:r w:rsidR="004D6872">
        <w:rPr>
          <w:sz w:val="24"/>
          <w:szCs w:val="24"/>
        </w:rPr>
        <w:t xml:space="preserve"> of 0.1%</w:t>
      </w:r>
      <w:r w:rsidR="0051624C">
        <w:rPr>
          <w:sz w:val="24"/>
          <w:szCs w:val="24"/>
        </w:rPr>
        <w:t xml:space="preserve"> w/v or v/v, respectively</w:t>
      </w:r>
      <w:r w:rsidR="004D6872">
        <w:rPr>
          <w:sz w:val="24"/>
          <w:szCs w:val="24"/>
        </w:rPr>
        <w:t xml:space="preserve">. Cinnamaldehyde, cinnamon bark oil, eugenol, thyme oil, and clove bud oil had </w:t>
      </w:r>
      <w:r w:rsidR="00186F35">
        <w:rPr>
          <w:sz w:val="24"/>
          <w:szCs w:val="24"/>
        </w:rPr>
        <w:t>MICs</w:t>
      </w:r>
      <w:r w:rsidR="004D6872">
        <w:rPr>
          <w:sz w:val="24"/>
          <w:szCs w:val="24"/>
        </w:rPr>
        <w:t xml:space="preserve"> of 0.2%</w:t>
      </w:r>
      <w:r w:rsidR="0051624C">
        <w:rPr>
          <w:sz w:val="24"/>
          <w:szCs w:val="24"/>
        </w:rPr>
        <w:t xml:space="preserve"> v/v</w:t>
      </w:r>
      <w:r w:rsidR="004D6872">
        <w:rPr>
          <w:sz w:val="24"/>
          <w:szCs w:val="24"/>
        </w:rPr>
        <w:t>. Cinnamic acid had an MIC of 0.5%</w:t>
      </w:r>
      <w:r w:rsidR="0051624C">
        <w:rPr>
          <w:sz w:val="24"/>
          <w:szCs w:val="24"/>
        </w:rPr>
        <w:t xml:space="preserve"> w/v</w:t>
      </w:r>
      <w:r w:rsidR="004D6872">
        <w:rPr>
          <w:sz w:val="24"/>
          <w:szCs w:val="24"/>
        </w:rPr>
        <w:t>, while no MIC was determined for ally</w:t>
      </w:r>
      <w:r w:rsidR="00806BB4">
        <w:rPr>
          <w:sz w:val="24"/>
          <w:szCs w:val="24"/>
        </w:rPr>
        <w:t>l</w:t>
      </w:r>
      <w:r w:rsidR="004D6872">
        <w:rPr>
          <w:sz w:val="24"/>
          <w:szCs w:val="24"/>
        </w:rPr>
        <w:t xml:space="preserve"> isothiocyanate up to concentrations of 0.75%</w:t>
      </w:r>
      <w:r w:rsidR="0051624C">
        <w:rPr>
          <w:sz w:val="24"/>
          <w:szCs w:val="24"/>
        </w:rPr>
        <w:t xml:space="preserve"> v/v</w:t>
      </w:r>
      <w:r w:rsidR="004D6872">
        <w:rPr>
          <w:sz w:val="24"/>
          <w:szCs w:val="24"/>
        </w:rPr>
        <w:t>.</w:t>
      </w:r>
    </w:p>
    <w:p w:rsidR="004D6872" w:rsidRDefault="004D6872" w:rsidP="00701057">
      <w:pPr>
        <w:spacing w:line="480" w:lineRule="auto"/>
        <w:contextualSpacing/>
        <w:rPr>
          <w:sz w:val="24"/>
          <w:szCs w:val="24"/>
        </w:rPr>
      </w:pPr>
      <w:r>
        <w:rPr>
          <w:sz w:val="24"/>
          <w:szCs w:val="24"/>
        </w:rPr>
        <w:tab/>
        <w:t xml:space="preserve">Minimum lethal concentrations were examined using </w:t>
      </w:r>
      <w:r w:rsidR="00017460">
        <w:rPr>
          <w:sz w:val="24"/>
          <w:szCs w:val="24"/>
        </w:rPr>
        <w:t xml:space="preserve">a </w:t>
      </w:r>
      <w:r>
        <w:rPr>
          <w:sz w:val="24"/>
          <w:szCs w:val="24"/>
        </w:rPr>
        <w:t xml:space="preserve">broth dilution assay for 72 h. Carvacrol, thymol, eugenol, and cinnamaldehyde were dissolved in 95% ethanol to create a 50% stock solution. This solution was then added to MRS broth and mixed thoroughly. Individual cultures of </w:t>
      </w:r>
      <w:r w:rsidRPr="006C4E68">
        <w:rPr>
          <w:i/>
          <w:sz w:val="24"/>
          <w:szCs w:val="24"/>
        </w:rPr>
        <w:t>P. acidilactici</w:t>
      </w:r>
      <w:r>
        <w:rPr>
          <w:sz w:val="24"/>
          <w:szCs w:val="24"/>
        </w:rPr>
        <w:t xml:space="preserve">, </w:t>
      </w:r>
      <w:r w:rsidRPr="006C4E68">
        <w:rPr>
          <w:i/>
          <w:sz w:val="24"/>
          <w:szCs w:val="24"/>
        </w:rPr>
        <w:t>L. buchneri</w:t>
      </w:r>
      <w:r>
        <w:rPr>
          <w:sz w:val="24"/>
          <w:szCs w:val="24"/>
        </w:rPr>
        <w:t xml:space="preserve">, and </w:t>
      </w:r>
      <w:r w:rsidRPr="006C4E68">
        <w:rPr>
          <w:i/>
          <w:sz w:val="24"/>
          <w:szCs w:val="24"/>
        </w:rPr>
        <w:t>L. citrovorum</w:t>
      </w:r>
      <w:r>
        <w:rPr>
          <w:sz w:val="24"/>
          <w:szCs w:val="24"/>
        </w:rPr>
        <w:t xml:space="preserve"> were added to the broth at concentrations of 4 </w:t>
      </w:r>
      <w:proofErr w:type="gramStart"/>
      <w:r>
        <w:rPr>
          <w:sz w:val="24"/>
          <w:szCs w:val="24"/>
        </w:rPr>
        <w:t>log</w:t>
      </w:r>
      <w:proofErr w:type="gramEnd"/>
      <w:r>
        <w:rPr>
          <w:sz w:val="24"/>
          <w:szCs w:val="24"/>
        </w:rPr>
        <w:t xml:space="preserve"> CFU/mL</w:t>
      </w:r>
      <w:r w:rsidR="006C4E68">
        <w:rPr>
          <w:sz w:val="24"/>
          <w:szCs w:val="24"/>
        </w:rPr>
        <w:t xml:space="preserve">. </w:t>
      </w:r>
      <w:r w:rsidR="00017460">
        <w:rPr>
          <w:sz w:val="24"/>
          <w:szCs w:val="24"/>
        </w:rPr>
        <w:t>The b</w:t>
      </w:r>
      <w:r w:rsidR="006C4E68">
        <w:rPr>
          <w:sz w:val="24"/>
          <w:szCs w:val="24"/>
        </w:rPr>
        <w:t>roth was spiral plated at 0</w:t>
      </w:r>
      <w:r w:rsidR="00CF30E6">
        <w:rPr>
          <w:sz w:val="24"/>
          <w:szCs w:val="24"/>
        </w:rPr>
        <w:t xml:space="preserve"> (immediately after exposure)</w:t>
      </w:r>
      <w:r w:rsidR="006C4E68">
        <w:rPr>
          <w:sz w:val="24"/>
          <w:szCs w:val="24"/>
        </w:rPr>
        <w:t xml:space="preserve">, 6, 12, 24, 48, and 72 </w:t>
      </w:r>
      <w:r w:rsidR="00806BB4">
        <w:rPr>
          <w:sz w:val="24"/>
          <w:szCs w:val="24"/>
        </w:rPr>
        <w:t>h</w:t>
      </w:r>
      <w:r w:rsidR="006C4E68">
        <w:rPr>
          <w:sz w:val="24"/>
          <w:szCs w:val="24"/>
        </w:rPr>
        <w:t xml:space="preserve">, and lethality was determined according to log reduction at these time </w:t>
      </w:r>
      <w:r w:rsidR="006C4E68">
        <w:rPr>
          <w:sz w:val="24"/>
          <w:szCs w:val="24"/>
        </w:rPr>
        <w:lastRenderedPageBreak/>
        <w:t xml:space="preserve">points. Carvacrol was lethal to </w:t>
      </w:r>
      <w:r w:rsidR="00017460">
        <w:rPr>
          <w:sz w:val="24"/>
          <w:szCs w:val="24"/>
        </w:rPr>
        <w:t xml:space="preserve">against all species at </w:t>
      </w:r>
      <w:r w:rsidR="006C4E68">
        <w:rPr>
          <w:sz w:val="24"/>
          <w:szCs w:val="24"/>
        </w:rPr>
        <w:t xml:space="preserve">0.2% (v/v) </w:t>
      </w:r>
      <w:r w:rsidR="00806BB4">
        <w:rPr>
          <w:sz w:val="24"/>
          <w:szCs w:val="24"/>
        </w:rPr>
        <w:t>to the limits of detection (</w:t>
      </w:r>
      <w:r w:rsidR="00826600">
        <w:rPr>
          <w:sz w:val="24"/>
          <w:szCs w:val="24"/>
        </w:rPr>
        <w:t>0.95 CFU</w:t>
      </w:r>
      <w:r w:rsidR="00C44521">
        <w:rPr>
          <w:sz w:val="24"/>
          <w:szCs w:val="24"/>
        </w:rPr>
        <w:t>/</w:t>
      </w:r>
      <w:r w:rsidR="00826600">
        <w:rPr>
          <w:sz w:val="24"/>
          <w:szCs w:val="24"/>
        </w:rPr>
        <w:t>mL</w:t>
      </w:r>
      <w:r w:rsidR="00806BB4">
        <w:rPr>
          <w:sz w:val="24"/>
          <w:szCs w:val="24"/>
        </w:rPr>
        <w:t xml:space="preserve">, </w:t>
      </w:r>
      <w:r w:rsidR="006C4E68">
        <w:rPr>
          <w:sz w:val="24"/>
          <w:szCs w:val="24"/>
        </w:rPr>
        <w:t xml:space="preserve">while thymol </w:t>
      </w:r>
      <w:r w:rsidR="00017460">
        <w:rPr>
          <w:sz w:val="24"/>
          <w:szCs w:val="24"/>
        </w:rPr>
        <w:t xml:space="preserve">at 0.2% and 0.1% (w/v) </w:t>
      </w:r>
      <w:r w:rsidR="006C4E68">
        <w:rPr>
          <w:sz w:val="24"/>
          <w:szCs w:val="24"/>
        </w:rPr>
        <w:t xml:space="preserve">prevented recovery of </w:t>
      </w:r>
      <w:r w:rsidR="006C4E68" w:rsidRPr="006C4E68">
        <w:rPr>
          <w:i/>
          <w:sz w:val="24"/>
          <w:szCs w:val="24"/>
        </w:rPr>
        <w:t>L. buchneri</w:t>
      </w:r>
      <w:r w:rsidR="006C4E68">
        <w:rPr>
          <w:sz w:val="24"/>
          <w:szCs w:val="24"/>
        </w:rPr>
        <w:t xml:space="preserve"> and </w:t>
      </w:r>
      <w:r w:rsidR="006C4E68" w:rsidRPr="006C4E68">
        <w:rPr>
          <w:i/>
          <w:sz w:val="24"/>
          <w:szCs w:val="24"/>
        </w:rPr>
        <w:t xml:space="preserve">L. </w:t>
      </w:r>
      <w:r w:rsidR="00BC45C9" w:rsidRPr="006C4E68">
        <w:rPr>
          <w:i/>
          <w:sz w:val="24"/>
          <w:szCs w:val="24"/>
        </w:rPr>
        <w:t>citrovorum</w:t>
      </w:r>
      <w:r w:rsidR="00017460">
        <w:rPr>
          <w:i/>
          <w:sz w:val="24"/>
          <w:szCs w:val="24"/>
        </w:rPr>
        <w:t>, respectively</w:t>
      </w:r>
      <w:r w:rsidR="006C4E68">
        <w:rPr>
          <w:sz w:val="24"/>
          <w:szCs w:val="24"/>
        </w:rPr>
        <w:t xml:space="preserve">. Concentrations of cinnamaldehyde </w:t>
      </w:r>
      <w:r w:rsidR="00017460">
        <w:rPr>
          <w:sz w:val="24"/>
          <w:szCs w:val="24"/>
        </w:rPr>
        <w:t xml:space="preserve">at 0.2% </w:t>
      </w:r>
      <w:r w:rsidR="006C4E68">
        <w:rPr>
          <w:sz w:val="24"/>
          <w:szCs w:val="24"/>
        </w:rPr>
        <w:t xml:space="preserve">were lethal against </w:t>
      </w:r>
      <w:r w:rsidR="006C4E68" w:rsidRPr="006C4E68">
        <w:rPr>
          <w:i/>
          <w:sz w:val="24"/>
          <w:szCs w:val="24"/>
        </w:rPr>
        <w:t>L. buchneri</w:t>
      </w:r>
      <w:r w:rsidR="006C4E68">
        <w:rPr>
          <w:sz w:val="24"/>
          <w:szCs w:val="24"/>
        </w:rPr>
        <w:t xml:space="preserve"> and </w:t>
      </w:r>
      <w:r w:rsidR="006C4E68" w:rsidRPr="006C4E68">
        <w:rPr>
          <w:i/>
          <w:sz w:val="24"/>
          <w:szCs w:val="24"/>
        </w:rPr>
        <w:t>L. citrovorum</w:t>
      </w:r>
      <w:r w:rsidR="00017460">
        <w:rPr>
          <w:sz w:val="24"/>
          <w:szCs w:val="24"/>
        </w:rPr>
        <w:t>,</w:t>
      </w:r>
      <w:r w:rsidR="006C4E68">
        <w:rPr>
          <w:sz w:val="24"/>
          <w:szCs w:val="24"/>
        </w:rPr>
        <w:t xml:space="preserve"> and </w:t>
      </w:r>
      <w:r w:rsidR="00017460">
        <w:rPr>
          <w:sz w:val="24"/>
          <w:szCs w:val="24"/>
        </w:rPr>
        <w:t xml:space="preserve">at 0.25% (v/v) against </w:t>
      </w:r>
      <w:r w:rsidR="006C4E68" w:rsidRPr="006C4E68">
        <w:rPr>
          <w:i/>
          <w:sz w:val="24"/>
          <w:szCs w:val="24"/>
        </w:rPr>
        <w:t>P. acidilactici</w:t>
      </w:r>
      <w:r w:rsidR="00017460">
        <w:rPr>
          <w:sz w:val="24"/>
          <w:szCs w:val="24"/>
        </w:rPr>
        <w:t>.</w:t>
      </w:r>
      <w:r w:rsidR="006C4E68">
        <w:rPr>
          <w:sz w:val="24"/>
          <w:szCs w:val="24"/>
        </w:rPr>
        <w:t xml:space="preserve"> Eugenol required concentrations in excess of 0.3% (v/v) for universal lethality.</w:t>
      </w: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p w:rsidR="00701057" w:rsidRDefault="00701057" w:rsidP="00701057">
      <w:pPr>
        <w:spacing w:line="480" w:lineRule="auto"/>
        <w:contextualSpacing/>
        <w:rPr>
          <w:sz w:val="24"/>
          <w:szCs w:val="24"/>
        </w:rPr>
      </w:pPr>
    </w:p>
    <w:sdt>
      <w:sdtPr>
        <w:rPr>
          <w:color w:val="4F81BD" w:themeColor="accent1"/>
          <w:sz w:val="26"/>
          <w:szCs w:val="26"/>
        </w:rPr>
        <w:id w:val="10108128"/>
        <w:docPartObj>
          <w:docPartGallery w:val="Table of Contents"/>
          <w:docPartUnique/>
        </w:docPartObj>
      </w:sdtPr>
      <w:sdtContent>
        <w:p w:rsidR="00FE5B3A" w:rsidRDefault="00EF128C" w:rsidP="00EF128C">
          <w:pPr>
            <w:pStyle w:val="TOCHeading"/>
            <w:jc w:val="center"/>
            <w:rPr>
              <w:rFonts w:asciiTheme="minorHAnsi" w:hAnsiTheme="minorHAnsi"/>
            </w:rPr>
          </w:pPr>
          <w:r w:rsidRPr="00EF128C">
            <w:rPr>
              <w:rFonts w:asciiTheme="minorHAnsi" w:hAnsiTheme="minorHAnsi"/>
              <w:color w:val="auto"/>
            </w:rPr>
            <w:t xml:space="preserve">Table of </w:t>
          </w:r>
          <w:r w:rsidR="00AD0C57" w:rsidRPr="00EF128C">
            <w:rPr>
              <w:rFonts w:asciiTheme="minorHAnsi" w:hAnsiTheme="minorHAnsi"/>
              <w:color w:val="auto"/>
            </w:rPr>
            <w:t>Contents</w:t>
          </w:r>
        </w:p>
        <w:p w:rsidR="00FE5B3A" w:rsidRPr="00FE5B3A" w:rsidRDefault="00FE5B3A" w:rsidP="00FE5B3A">
          <w:pPr>
            <w:rPr>
              <w:sz w:val="24"/>
              <w:szCs w:val="24"/>
            </w:rPr>
          </w:pPr>
        </w:p>
        <w:p w:rsidR="004E2965" w:rsidRDefault="00E443CC" w:rsidP="004E2965">
          <w:pPr>
            <w:pStyle w:val="TOC1"/>
            <w:rPr>
              <w:rFonts w:eastAsiaTheme="minorEastAsia"/>
              <w:sz w:val="22"/>
              <w:szCs w:val="22"/>
            </w:rPr>
          </w:pPr>
          <w:r w:rsidRPr="00E443CC">
            <w:fldChar w:fldCharType="begin"/>
          </w:r>
          <w:r w:rsidR="00AD0C57">
            <w:instrText xml:space="preserve"> TOC \o "1-3" \h \z \u </w:instrText>
          </w:r>
          <w:r w:rsidRPr="00E443CC">
            <w:fldChar w:fldCharType="separate"/>
          </w:r>
          <w:hyperlink w:anchor="_Toc364366568" w:history="1">
            <w:r w:rsidR="004E2965" w:rsidRPr="00B0716B">
              <w:rPr>
                <w:rStyle w:val="Hyperlink"/>
              </w:rPr>
              <w:t>Introduction</w:t>
            </w:r>
            <w:r w:rsidR="004E2965">
              <w:rPr>
                <w:webHidden/>
              </w:rPr>
              <w:tab/>
            </w:r>
            <w:r w:rsidR="004E2965">
              <w:rPr>
                <w:webHidden/>
              </w:rPr>
              <w:fldChar w:fldCharType="begin"/>
            </w:r>
            <w:r w:rsidR="004E2965">
              <w:rPr>
                <w:webHidden/>
              </w:rPr>
              <w:instrText xml:space="preserve"> PAGEREF _Toc364366568 \h </w:instrText>
            </w:r>
            <w:r w:rsidR="004E2965">
              <w:rPr>
                <w:webHidden/>
              </w:rPr>
            </w:r>
            <w:r w:rsidR="004E2965">
              <w:rPr>
                <w:webHidden/>
              </w:rPr>
              <w:fldChar w:fldCharType="separate"/>
            </w:r>
            <w:r w:rsidR="004E2965">
              <w:rPr>
                <w:webHidden/>
              </w:rPr>
              <w:t>1</w:t>
            </w:r>
            <w:r w:rsidR="004E2965">
              <w:rPr>
                <w:webHidden/>
              </w:rPr>
              <w:fldChar w:fldCharType="end"/>
            </w:r>
          </w:hyperlink>
        </w:p>
        <w:p w:rsidR="004E2965" w:rsidRPr="004E2965" w:rsidRDefault="004E2965" w:rsidP="004E2965">
          <w:pPr>
            <w:pStyle w:val="TOC1"/>
            <w:rPr>
              <w:rStyle w:val="Hyperlink"/>
              <w:color w:val="auto"/>
            </w:rPr>
          </w:pPr>
          <w:r w:rsidRPr="004E2965">
            <w:rPr>
              <w:rStyle w:val="Hyperlink"/>
              <w:color w:val="auto"/>
            </w:rPr>
            <w:t>Chapter 1</w:t>
          </w:r>
        </w:p>
        <w:p w:rsidR="004E2965" w:rsidRDefault="004E2965" w:rsidP="004E2965">
          <w:pPr>
            <w:pStyle w:val="TOC1"/>
            <w:rPr>
              <w:rFonts w:eastAsiaTheme="minorEastAsia"/>
              <w:sz w:val="22"/>
              <w:szCs w:val="22"/>
            </w:rPr>
          </w:pPr>
          <w:hyperlink w:anchor="_Toc364366569" w:history="1">
            <w:r w:rsidRPr="00B0716B">
              <w:rPr>
                <w:rStyle w:val="Hyperlink"/>
              </w:rPr>
              <w:t>Review of Literature</w:t>
            </w:r>
            <w:r>
              <w:rPr>
                <w:webHidden/>
              </w:rPr>
              <w:tab/>
            </w:r>
            <w:r>
              <w:rPr>
                <w:webHidden/>
              </w:rPr>
              <w:fldChar w:fldCharType="begin"/>
            </w:r>
            <w:r>
              <w:rPr>
                <w:webHidden/>
              </w:rPr>
              <w:instrText xml:space="preserve"> PAGEREF _Toc364366569 \h </w:instrText>
            </w:r>
            <w:r>
              <w:rPr>
                <w:webHidden/>
              </w:rPr>
            </w:r>
            <w:r>
              <w:rPr>
                <w:webHidden/>
              </w:rPr>
              <w:fldChar w:fldCharType="separate"/>
            </w:r>
            <w:r>
              <w:rPr>
                <w:webHidden/>
              </w:rPr>
              <w:t>2</w:t>
            </w:r>
            <w:r>
              <w:rPr>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70" w:history="1">
            <w:r w:rsidRPr="00B0716B">
              <w:rPr>
                <w:rStyle w:val="Hyperlink"/>
                <w:noProof/>
              </w:rPr>
              <w:t>Introduction to Essential Oils</w:t>
            </w:r>
            <w:r>
              <w:rPr>
                <w:noProof/>
                <w:webHidden/>
              </w:rPr>
              <w:tab/>
            </w:r>
            <w:r>
              <w:rPr>
                <w:noProof/>
                <w:webHidden/>
              </w:rPr>
              <w:fldChar w:fldCharType="begin"/>
            </w:r>
            <w:r>
              <w:rPr>
                <w:noProof/>
                <w:webHidden/>
              </w:rPr>
              <w:instrText xml:space="preserve"> PAGEREF _Toc364366570 \h </w:instrText>
            </w:r>
            <w:r>
              <w:rPr>
                <w:noProof/>
                <w:webHidden/>
              </w:rPr>
            </w:r>
            <w:r>
              <w:rPr>
                <w:noProof/>
                <w:webHidden/>
              </w:rPr>
              <w:fldChar w:fldCharType="separate"/>
            </w:r>
            <w:r>
              <w:rPr>
                <w:noProof/>
                <w:webHidden/>
              </w:rPr>
              <w:t>4</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71" w:history="1">
            <w:r w:rsidRPr="00B0716B">
              <w:rPr>
                <w:rStyle w:val="Hyperlink"/>
                <w:noProof/>
              </w:rPr>
              <w:t>Lactic Acid Bacteria</w:t>
            </w:r>
            <w:r>
              <w:rPr>
                <w:noProof/>
                <w:webHidden/>
              </w:rPr>
              <w:tab/>
            </w:r>
            <w:r>
              <w:rPr>
                <w:noProof/>
                <w:webHidden/>
              </w:rPr>
              <w:fldChar w:fldCharType="begin"/>
            </w:r>
            <w:r>
              <w:rPr>
                <w:noProof/>
                <w:webHidden/>
              </w:rPr>
              <w:instrText xml:space="preserve"> PAGEREF _Toc364366571 \h </w:instrText>
            </w:r>
            <w:r>
              <w:rPr>
                <w:noProof/>
                <w:webHidden/>
              </w:rPr>
            </w:r>
            <w:r>
              <w:rPr>
                <w:noProof/>
                <w:webHidden/>
              </w:rPr>
              <w:fldChar w:fldCharType="separate"/>
            </w:r>
            <w:r>
              <w:rPr>
                <w:noProof/>
                <w:webHidden/>
              </w:rPr>
              <w:t>5</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72" w:history="1">
            <w:r w:rsidRPr="00B0716B">
              <w:rPr>
                <w:rStyle w:val="Hyperlink"/>
                <w:noProof/>
              </w:rPr>
              <w:t>Phenolic Mechanisms</w:t>
            </w:r>
            <w:r>
              <w:rPr>
                <w:noProof/>
                <w:webHidden/>
              </w:rPr>
              <w:tab/>
            </w:r>
            <w:r>
              <w:rPr>
                <w:noProof/>
                <w:webHidden/>
              </w:rPr>
              <w:fldChar w:fldCharType="begin"/>
            </w:r>
            <w:r>
              <w:rPr>
                <w:noProof/>
                <w:webHidden/>
              </w:rPr>
              <w:instrText xml:space="preserve"> PAGEREF _Toc364366572 \h </w:instrText>
            </w:r>
            <w:r>
              <w:rPr>
                <w:noProof/>
                <w:webHidden/>
              </w:rPr>
            </w:r>
            <w:r>
              <w:rPr>
                <w:noProof/>
                <w:webHidden/>
              </w:rPr>
              <w:fldChar w:fldCharType="separate"/>
            </w:r>
            <w:r>
              <w:rPr>
                <w:noProof/>
                <w:webHidden/>
              </w:rPr>
              <w:t>6</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73" w:history="1">
            <w:r w:rsidRPr="00B0716B">
              <w:rPr>
                <w:rStyle w:val="Hyperlink"/>
                <w:noProof/>
              </w:rPr>
              <w:t>Isothiocyanates</w:t>
            </w:r>
            <w:r>
              <w:rPr>
                <w:noProof/>
                <w:webHidden/>
              </w:rPr>
              <w:tab/>
            </w:r>
            <w:r>
              <w:rPr>
                <w:noProof/>
                <w:webHidden/>
              </w:rPr>
              <w:fldChar w:fldCharType="begin"/>
            </w:r>
            <w:r>
              <w:rPr>
                <w:noProof/>
                <w:webHidden/>
              </w:rPr>
              <w:instrText xml:space="preserve"> PAGEREF _Toc364366573 \h </w:instrText>
            </w:r>
            <w:r>
              <w:rPr>
                <w:noProof/>
                <w:webHidden/>
              </w:rPr>
            </w:r>
            <w:r>
              <w:rPr>
                <w:noProof/>
                <w:webHidden/>
              </w:rPr>
              <w:fldChar w:fldCharType="separate"/>
            </w:r>
            <w:r>
              <w:rPr>
                <w:noProof/>
                <w:webHidden/>
              </w:rPr>
              <w:t>10</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74" w:history="1">
            <w:r w:rsidRPr="00B0716B">
              <w:rPr>
                <w:rStyle w:val="Hyperlink"/>
                <w:noProof/>
              </w:rPr>
              <w:t>Essential oils in food</w:t>
            </w:r>
            <w:r>
              <w:rPr>
                <w:noProof/>
                <w:webHidden/>
              </w:rPr>
              <w:tab/>
            </w:r>
            <w:r>
              <w:rPr>
                <w:noProof/>
                <w:webHidden/>
              </w:rPr>
              <w:fldChar w:fldCharType="begin"/>
            </w:r>
            <w:r>
              <w:rPr>
                <w:noProof/>
                <w:webHidden/>
              </w:rPr>
              <w:instrText xml:space="preserve"> PAGEREF _Toc364366574 \h </w:instrText>
            </w:r>
            <w:r>
              <w:rPr>
                <w:noProof/>
                <w:webHidden/>
              </w:rPr>
            </w:r>
            <w:r>
              <w:rPr>
                <w:noProof/>
                <w:webHidden/>
              </w:rPr>
              <w:fldChar w:fldCharType="separate"/>
            </w:r>
            <w:r>
              <w:rPr>
                <w:noProof/>
                <w:webHidden/>
              </w:rPr>
              <w:t>12</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75" w:history="1">
            <w:r w:rsidRPr="00B0716B">
              <w:rPr>
                <w:rStyle w:val="Hyperlink"/>
                <w:noProof/>
              </w:rPr>
              <w:t>Additives and combinations that enhance essential oil activity</w:t>
            </w:r>
            <w:r>
              <w:rPr>
                <w:noProof/>
                <w:webHidden/>
              </w:rPr>
              <w:tab/>
            </w:r>
            <w:r>
              <w:rPr>
                <w:noProof/>
                <w:webHidden/>
              </w:rPr>
              <w:fldChar w:fldCharType="begin"/>
            </w:r>
            <w:r>
              <w:rPr>
                <w:noProof/>
                <w:webHidden/>
              </w:rPr>
              <w:instrText xml:space="preserve"> PAGEREF _Toc364366575 \h </w:instrText>
            </w:r>
            <w:r>
              <w:rPr>
                <w:noProof/>
                <w:webHidden/>
              </w:rPr>
            </w:r>
            <w:r>
              <w:rPr>
                <w:noProof/>
                <w:webHidden/>
              </w:rPr>
              <w:fldChar w:fldCharType="separate"/>
            </w:r>
            <w:r>
              <w:rPr>
                <w:noProof/>
                <w:webHidden/>
              </w:rPr>
              <w:t>14</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76" w:history="1">
            <w:r w:rsidRPr="00B0716B">
              <w:rPr>
                <w:rStyle w:val="Hyperlink"/>
                <w:noProof/>
              </w:rPr>
              <w:t>Essential oils on meat, fish and poultry</w:t>
            </w:r>
            <w:r>
              <w:rPr>
                <w:noProof/>
                <w:webHidden/>
              </w:rPr>
              <w:tab/>
            </w:r>
            <w:r>
              <w:rPr>
                <w:noProof/>
                <w:webHidden/>
              </w:rPr>
              <w:fldChar w:fldCharType="begin"/>
            </w:r>
            <w:r>
              <w:rPr>
                <w:noProof/>
                <w:webHidden/>
              </w:rPr>
              <w:instrText xml:space="preserve"> PAGEREF _Toc364366576 \h </w:instrText>
            </w:r>
            <w:r>
              <w:rPr>
                <w:noProof/>
                <w:webHidden/>
              </w:rPr>
            </w:r>
            <w:r>
              <w:rPr>
                <w:noProof/>
                <w:webHidden/>
              </w:rPr>
              <w:fldChar w:fldCharType="separate"/>
            </w:r>
            <w:r>
              <w:rPr>
                <w:noProof/>
                <w:webHidden/>
              </w:rPr>
              <w:t>16</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77" w:history="1">
            <w:r w:rsidRPr="00B0716B">
              <w:rPr>
                <w:rStyle w:val="Hyperlink"/>
                <w:noProof/>
              </w:rPr>
              <w:t>Essential oils and packaging methods</w:t>
            </w:r>
            <w:r>
              <w:rPr>
                <w:noProof/>
                <w:webHidden/>
              </w:rPr>
              <w:tab/>
            </w:r>
            <w:r>
              <w:rPr>
                <w:noProof/>
                <w:webHidden/>
              </w:rPr>
              <w:fldChar w:fldCharType="begin"/>
            </w:r>
            <w:r>
              <w:rPr>
                <w:noProof/>
                <w:webHidden/>
              </w:rPr>
              <w:instrText xml:space="preserve"> PAGEREF _Toc364366577 \h </w:instrText>
            </w:r>
            <w:r>
              <w:rPr>
                <w:noProof/>
                <w:webHidden/>
              </w:rPr>
            </w:r>
            <w:r>
              <w:rPr>
                <w:noProof/>
                <w:webHidden/>
              </w:rPr>
              <w:fldChar w:fldCharType="separate"/>
            </w:r>
            <w:r>
              <w:rPr>
                <w:noProof/>
                <w:webHidden/>
              </w:rPr>
              <w:t>17</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78" w:history="1">
            <w:r w:rsidRPr="00B0716B">
              <w:rPr>
                <w:rStyle w:val="Hyperlink"/>
                <w:noProof/>
              </w:rPr>
              <w:t>Stimulatory effects of essential oils</w:t>
            </w:r>
            <w:r>
              <w:rPr>
                <w:noProof/>
                <w:webHidden/>
              </w:rPr>
              <w:tab/>
            </w:r>
            <w:r>
              <w:rPr>
                <w:noProof/>
                <w:webHidden/>
              </w:rPr>
              <w:fldChar w:fldCharType="begin"/>
            </w:r>
            <w:r>
              <w:rPr>
                <w:noProof/>
                <w:webHidden/>
              </w:rPr>
              <w:instrText xml:space="preserve"> PAGEREF _Toc364366578 \h </w:instrText>
            </w:r>
            <w:r>
              <w:rPr>
                <w:noProof/>
                <w:webHidden/>
              </w:rPr>
            </w:r>
            <w:r>
              <w:rPr>
                <w:noProof/>
                <w:webHidden/>
              </w:rPr>
              <w:fldChar w:fldCharType="separate"/>
            </w:r>
            <w:r>
              <w:rPr>
                <w:noProof/>
                <w:webHidden/>
              </w:rPr>
              <w:t>18</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79" w:history="1">
            <w:r w:rsidRPr="00B0716B">
              <w:rPr>
                <w:rStyle w:val="Hyperlink"/>
                <w:noProof/>
              </w:rPr>
              <w:t>Salad Dressings</w:t>
            </w:r>
            <w:r>
              <w:rPr>
                <w:noProof/>
                <w:webHidden/>
              </w:rPr>
              <w:tab/>
            </w:r>
            <w:r>
              <w:rPr>
                <w:noProof/>
                <w:webHidden/>
              </w:rPr>
              <w:fldChar w:fldCharType="begin"/>
            </w:r>
            <w:r>
              <w:rPr>
                <w:noProof/>
                <w:webHidden/>
              </w:rPr>
              <w:instrText xml:space="preserve"> PAGEREF _Toc364366579 \h </w:instrText>
            </w:r>
            <w:r>
              <w:rPr>
                <w:noProof/>
                <w:webHidden/>
              </w:rPr>
            </w:r>
            <w:r>
              <w:rPr>
                <w:noProof/>
                <w:webHidden/>
              </w:rPr>
              <w:fldChar w:fldCharType="separate"/>
            </w:r>
            <w:r>
              <w:rPr>
                <w:noProof/>
                <w:webHidden/>
              </w:rPr>
              <w:t>19</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80" w:history="1">
            <w:r w:rsidRPr="00B0716B">
              <w:rPr>
                <w:rStyle w:val="Hyperlink"/>
                <w:noProof/>
              </w:rPr>
              <w:t>Use of Essential Oil Combinations</w:t>
            </w:r>
            <w:r>
              <w:rPr>
                <w:noProof/>
                <w:webHidden/>
              </w:rPr>
              <w:tab/>
            </w:r>
            <w:r>
              <w:rPr>
                <w:noProof/>
                <w:webHidden/>
              </w:rPr>
              <w:fldChar w:fldCharType="begin"/>
            </w:r>
            <w:r>
              <w:rPr>
                <w:noProof/>
                <w:webHidden/>
              </w:rPr>
              <w:instrText xml:space="preserve"> PAGEREF _Toc364366580 \h </w:instrText>
            </w:r>
            <w:r>
              <w:rPr>
                <w:noProof/>
                <w:webHidden/>
              </w:rPr>
            </w:r>
            <w:r>
              <w:rPr>
                <w:noProof/>
                <w:webHidden/>
              </w:rPr>
              <w:fldChar w:fldCharType="separate"/>
            </w:r>
            <w:r>
              <w:rPr>
                <w:noProof/>
                <w:webHidden/>
              </w:rPr>
              <w:t>21</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81" w:history="1">
            <w:r w:rsidRPr="00B0716B">
              <w:rPr>
                <w:rStyle w:val="Hyperlink"/>
                <w:noProof/>
              </w:rPr>
              <w:t>List of References</w:t>
            </w:r>
            <w:r>
              <w:rPr>
                <w:noProof/>
                <w:webHidden/>
              </w:rPr>
              <w:tab/>
            </w:r>
            <w:r>
              <w:rPr>
                <w:noProof/>
                <w:webHidden/>
              </w:rPr>
              <w:fldChar w:fldCharType="begin"/>
            </w:r>
            <w:r>
              <w:rPr>
                <w:noProof/>
                <w:webHidden/>
              </w:rPr>
              <w:instrText xml:space="preserve"> PAGEREF _Toc364366581 \h </w:instrText>
            </w:r>
            <w:r>
              <w:rPr>
                <w:noProof/>
                <w:webHidden/>
              </w:rPr>
            </w:r>
            <w:r>
              <w:rPr>
                <w:noProof/>
                <w:webHidden/>
              </w:rPr>
              <w:fldChar w:fldCharType="separate"/>
            </w:r>
            <w:r>
              <w:rPr>
                <w:noProof/>
                <w:webHidden/>
              </w:rPr>
              <w:t>26</w:t>
            </w:r>
            <w:r>
              <w:rPr>
                <w:noProof/>
                <w:webHidden/>
              </w:rPr>
              <w:fldChar w:fldCharType="end"/>
            </w:r>
          </w:hyperlink>
        </w:p>
        <w:p w:rsidR="004E2965" w:rsidRPr="004E2965" w:rsidRDefault="004E2965" w:rsidP="004E2965">
          <w:pPr>
            <w:pStyle w:val="TOC1"/>
            <w:rPr>
              <w:rStyle w:val="Hyperlink"/>
              <w:color w:val="auto"/>
            </w:rPr>
          </w:pPr>
          <w:r w:rsidRPr="004E2965">
            <w:rPr>
              <w:rStyle w:val="Hyperlink"/>
              <w:color w:val="auto"/>
            </w:rPr>
            <w:t>Chapter 2</w:t>
          </w:r>
        </w:p>
        <w:p w:rsidR="004E2965" w:rsidRDefault="004E2965" w:rsidP="004E2965">
          <w:pPr>
            <w:pStyle w:val="TOC1"/>
            <w:rPr>
              <w:rFonts w:eastAsiaTheme="minorEastAsia"/>
              <w:sz w:val="22"/>
              <w:szCs w:val="22"/>
            </w:rPr>
          </w:pPr>
          <w:hyperlink w:anchor="_Toc364366582" w:history="1">
            <w:r w:rsidRPr="00B0716B">
              <w:rPr>
                <w:rStyle w:val="Hyperlink"/>
              </w:rPr>
              <w:t>Minimum inhibitory concentrations of essential oils</w:t>
            </w:r>
            <w:r>
              <w:rPr>
                <w:webHidden/>
              </w:rPr>
              <w:tab/>
            </w:r>
            <w:r>
              <w:rPr>
                <w:webHidden/>
              </w:rPr>
              <w:fldChar w:fldCharType="begin"/>
            </w:r>
            <w:r>
              <w:rPr>
                <w:webHidden/>
              </w:rPr>
              <w:instrText xml:space="preserve"> PAGEREF _Toc364366582 \h </w:instrText>
            </w:r>
            <w:r>
              <w:rPr>
                <w:webHidden/>
              </w:rPr>
            </w:r>
            <w:r>
              <w:rPr>
                <w:webHidden/>
              </w:rPr>
              <w:fldChar w:fldCharType="separate"/>
            </w:r>
            <w:r>
              <w:rPr>
                <w:webHidden/>
              </w:rPr>
              <w:t>32</w:t>
            </w:r>
            <w:r>
              <w:rPr>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83" w:history="1">
            <w:r w:rsidRPr="00B0716B">
              <w:rPr>
                <w:rStyle w:val="Hyperlink"/>
                <w:noProof/>
              </w:rPr>
              <w:t>Abstract</w:t>
            </w:r>
            <w:r>
              <w:rPr>
                <w:noProof/>
                <w:webHidden/>
              </w:rPr>
              <w:tab/>
            </w:r>
            <w:r>
              <w:rPr>
                <w:noProof/>
                <w:webHidden/>
              </w:rPr>
              <w:fldChar w:fldCharType="begin"/>
            </w:r>
            <w:r>
              <w:rPr>
                <w:noProof/>
                <w:webHidden/>
              </w:rPr>
              <w:instrText xml:space="preserve"> PAGEREF _Toc364366583 \h </w:instrText>
            </w:r>
            <w:r>
              <w:rPr>
                <w:noProof/>
                <w:webHidden/>
              </w:rPr>
            </w:r>
            <w:r>
              <w:rPr>
                <w:noProof/>
                <w:webHidden/>
              </w:rPr>
              <w:fldChar w:fldCharType="separate"/>
            </w:r>
            <w:r>
              <w:rPr>
                <w:noProof/>
                <w:webHidden/>
              </w:rPr>
              <w:t>32</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84" w:history="1">
            <w:r w:rsidRPr="00B0716B">
              <w:rPr>
                <w:rStyle w:val="Hyperlink"/>
                <w:noProof/>
              </w:rPr>
              <w:t>Introduction</w:t>
            </w:r>
            <w:r>
              <w:rPr>
                <w:noProof/>
                <w:webHidden/>
              </w:rPr>
              <w:tab/>
            </w:r>
            <w:r>
              <w:rPr>
                <w:noProof/>
                <w:webHidden/>
              </w:rPr>
              <w:fldChar w:fldCharType="begin"/>
            </w:r>
            <w:r>
              <w:rPr>
                <w:noProof/>
                <w:webHidden/>
              </w:rPr>
              <w:instrText xml:space="preserve"> PAGEREF _Toc364366584 \h </w:instrText>
            </w:r>
            <w:r>
              <w:rPr>
                <w:noProof/>
                <w:webHidden/>
              </w:rPr>
            </w:r>
            <w:r>
              <w:rPr>
                <w:noProof/>
                <w:webHidden/>
              </w:rPr>
              <w:fldChar w:fldCharType="separate"/>
            </w:r>
            <w:r>
              <w:rPr>
                <w:noProof/>
                <w:webHidden/>
              </w:rPr>
              <w:t>33</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85" w:history="1">
            <w:r w:rsidRPr="00B0716B">
              <w:rPr>
                <w:rStyle w:val="Hyperlink"/>
                <w:noProof/>
              </w:rPr>
              <w:t>Materials and Methods</w:t>
            </w:r>
            <w:r>
              <w:rPr>
                <w:noProof/>
                <w:webHidden/>
              </w:rPr>
              <w:tab/>
            </w:r>
            <w:r>
              <w:rPr>
                <w:noProof/>
                <w:webHidden/>
              </w:rPr>
              <w:fldChar w:fldCharType="begin"/>
            </w:r>
            <w:r>
              <w:rPr>
                <w:noProof/>
                <w:webHidden/>
              </w:rPr>
              <w:instrText xml:space="preserve"> PAGEREF _Toc364366585 \h </w:instrText>
            </w:r>
            <w:r>
              <w:rPr>
                <w:noProof/>
                <w:webHidden/>
              </w:rPr>
            </w:r>
            <w:r>
              <w:rPr>
                <w:noProof/>
                <w:webHidden/>
              </w:rPr>
              <w:fldChar w:fldCharType="separate"/>
            </w:r>
            <w:r>
              <w:rPr>
                <w:noProof/>
                <w:webHidden/>
              </w:rPr>
              <w:t>34</w:t>
            </w:r>
            <w:r>
              <w:rPr>
                <w:noProof/>
                <w:webHidden/>
              </w:rPr>
              <w:fldChar w:fldCharType="end"/>
            </w:r>
          </w:hyperlink>
        </w:p>
        <w:p w:rsidR="004E2965" w:rsidRDefault="004E2965">
          <w:pPr>
            <w:pStyle w:val="TOC3"/>
            <w:tabs>
              <w:tab w:val="right" w:leader="dot" w:pos="9350"/>
            </w:tabs>
            <w:rPr>
              <w:rFonts w:eastAsiaTheme="minorEastAsia"/>
              <w:noProof/>
              <w:sz w:val="22"/>
              <w:szCs w:val="22"/>
            </w:rPr>
          </w:pPr>
          <w:hyperlink w:anchor="_Toc364366586" w:history="1">
            <w:r w:rsidRPr="00B0716B">
              <w:rPr>
                <w:rStyle w:val="Hyperlink"/>
                <w:noProof/>
              </w:rPr>
              <w:t>Agar preparation</w:t>
            </w:r>
            <w:r>
              <w:rPr>
                <w:noProof/>
                <w:webHidden/>
              </w:rPr>
              <w:tab/>
            </w:r>
            <w:r>
              <w:rPr>
                <w:noProof/>
                <w:webHidden/>
              </w:rPr>
              <w:fldChar w:fldCharType="begin"/>
            </w:r>
            <w:r>
              <w:rPr>
                <w:noProof/>
                <w:webHidden/>
              </w:rPr>
              <w:instrText xml:space="preserve"> PAGEREF _Toc364366586 \h </w:instrText>
            </w:r>
            <w:r>
              <w:rPr>
                <w:noProof/>
                <w:webHidden/>
              </w:rPr>
            </w:r>
            <w:r>
              <w:rPr>
                <w:noProof/>
                <w:webHidden/>
              </w:rPr>
              <w:fldChar w:fldCharType="separate"/>
            </w:r>
            <w:r>
              <w:rPr>
                <w:noProof/>
                <w:webHidden/>
              </w:rPr>
              <w:t>34</w:t>
            </w:r>
            <w:r>
              <w:rPr>
                <w:noProof/>
                <w:webHidden/>
              </w:rPr>
              <w:fldChar w:fldCharType="end"/>
            </w:r>
          </w:hyperlink>
        </w:p>
        <w:p w:rsidR="004E2965" w:rsidRDefault="004E2965">
          <w:pPr>
            <w:pStyle w:val="TOC3"/>
            <w:tabs>
              <w:tab w:val="right" w:leader="dot" w:pos="9350"/>
            </w:tabs>
            <w:rPr>
              <w:rFonts w:eastAsiaTheme="minorEastAsia"/>
              <w:noProof/>
              <w:sz w:val="22"/>
              <w:szCs w:val="22"/>
            </w:rPr>
          </w:pPr>
          <w:hyperlink w:anchor="_Toc364366587" w:history="1">
            <w:r w:rsidRPr="00B0716B">
              <w:rPr>
                <w:rStyle w:val="Hyperlink"/>
                <w:noProof/>
              </w:rPr>
              <w:t>Culture Inoculation</w:t>
            </w:r>
            <w:r>
              <w:rPr>
                <w:noProof/>
                <w:webHidden/>
              </w:rPr>
              <w:tab/>
            </w:r>
            <w:r>
              <w:rPr>
                <w:noProof/>
                <w:webHidden/>
              </w:rPr>
              <w:fldChar w:fldCharType="begin"/>
            </w:r>
            <w:r>
              <w:rPr>
                <w:noProof/>
                <w:webHidden/>
              </w:rPr>
              <w:instrText xml:space="preserve"> PAGEREF _Toc364366587 \h </w:instrText>
            </w:r>
            <w:r>
              <w:rPr>
                <w:noProof/>
                <w:webHidden/>
              </w:rPr>
            </w:r>
            <w:r>
              <w:rPr>
                <w:noProof/>
                <w:webHidden/>
              </w:rPr>
              <w:fldChar w:fldCharType="separate"/>
            </w:r>
            <w:r>
              <w:rPr>
                <w:noProof/>
                <w:webHidden/>
              </w:rPr>
              <w:t>35</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88" w:history="1">
            <w:r w:rsidRPr="00B0716B">
              <w:rPr>
                <w:rStyle w:val="Hyperlink"/>
                <w:noProof/>
              </w:rPr>
              <w:t>Results and Discussion</w:t>
            </w:r>
            <w:r>
              <w:rPr>
                <w:noProof/>
                <w:webHidden/>
              </w:rPr>
              <w:tab/>
            </w:r>
            <w:r>
              <w:rPr>
                <w:noProof/>
                <w:webHidden/>
              </w:rPr>
              <w:fldChar w:fldCharType="begin"/>
            </w:r>
            <w:r>
              <w:rPr>
                <w:noProof/>
                <w:webHidden/>
              </w:rPr>
              <w:instrText xml:space="preserve"> PAGEREF _Toc364366588 \h </w:instrText>
            </w:r>
            <w:r>
              <w:rPr>
                <w:noProof/>
                <w:webHidden/>
              </w:rPr>
            </w:r>
            <w:r>
              <w:rPr>
                <w:noProof/>
                <w:webHidden/>
              </w:rPr>
              <w:fldChar w:fldCharType="separate"/>
            </w:r>
            <w:r>
              <w:rPr>
                <w:noProof/>
                <w:webHidden/>
              </w:rPr>
              <w:t>35</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89" w:history="1">
            <w:r w:rsidRPr="00B0716B">
              <w:rPr>
                <w:rStyle w:val="Hyperlink"/>
                <w:noProof/>
              </w:rPr>
              <w:t>Conclusions</w:t>
            </w:r>
            <w:r>
              <w:rPr>
                <w:noProof/>
                <w:webHidden/>
              </w:rPr>
              <w:tab/>
            </w:r>
            <w:r>
              <w:rPr>
                <w:noProof/>
                <w:webHidden/>
              </w:rPr>
              <w:fldChar w:fldCharType="begin"/>
            </w:r>
            <w:r>
              <w:rPr>
                <w:noProof/>
                <w:webHidden/>
              </w:rPr>
              <w:instrText xml:space="preserve"> PAGEREF _Toc364366589 \h </w:instrText>
            </w:r>
            <w:r>
              <w:rPr>
                <w:noProof/>
                <w:webHidden/>
              </w:rPr>
            </w:r>
            <w:r>
              <w:rPr>
                <w:noProof/>
                <w:webHidden/>
              </w:rPr>
              <w:fldChar w:fldCharType="separate"/>
            </w:r>
            <w:r>
              <w:rPr>
                <w:noProof/>
                <w:webHidden/>
              </w:rPr>
              <w:t>41</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90" w:history="1">
            <w:r w:rsidRPr="00B0716B">
              <w:rPr>
                <w:rStyle w:val="Hyperlink"/>
                <w:noProof/>
              </w:rPr>
              <w:t>List of References</w:t>
            </w:r>
            <w:r>
              <w:rPr>
                <w:noProof/>
                <w:webHidden/>
              </w:rPr>
              <w:tab/>
            </w:r>
            <w:r>
              <w:rPr>
                <w:noProof/>
                <w:webHidden/>
              </w:rPr>
              <w:fldChar w:fldCharType="begin"/>
            </w:r>
            <w:r>
              <w:rPr>
                <w:noProof/>
                <w:webHidden/>
              </w:rPr>
              <w:instrText xml:space="preserve"> PAGEREF _Toc364366590 \h </w:instrText>
            </w:r>
            <w:r>
              <w:rPr>
                <w:noProof/>
                <w:webHidden/>
              </w:rPr>
            </w:r>
            <w:r>
              <w:rPr>
                <w:noProof/>
                <w:webHidden/>
              </w:rPr>
              <w:fldChar w:fldCharType="separate"/>
            </w:r>
            <w:r>
              <w:rPr>
                <w:noProof/>
                <w:webHidden/>
              </w:rPr>
              <w:t>45</w:t>
            </w:r>
            <w:r>
              <w:rPr>
                <w:noProof/>
                <w:webHidden/>
              </w:rPr>
              <w:fldChar w:fldCharType="end"/>
            </w:r>
          </w:hyperlink>
        </w:p>
        <w:p w:rsidR="004E2965" w:rsidRPr="004E2965" w:rsidRDefault="004E2965" w:rsidP="004E2965">
          <w:pPr>
            <w:pStyle w:val="TOC1"/>
            <w:rPr>
              <w:rStyle w:val="Hyperlink"/>
              <w:color w:val="auto"/>
            </w:rPr>
          </w:pPr>
          <w:r w:rsidRPr="004E2965">
            <w:rPr>
              <w:rStyle w:val="Hyperlink"/>
              <w:color w:val="auto"/>
            </w:rPr>
            <w:t>Chapter 3</w:t>
          </w:r>
        </w:p>
        <w:p w:rsidR="004E2965" w:rsidRDefault="004E2965" w:rsidP="004E2965">
          <w:pPr>
            <w:pStyle w:val="TOC1"/>
            <w:rPr>
              <w:rFonts w:eastAsiaTheme="minorEastAsia"/>
              <w:sz w:val="22"/>
              <w:szCs w:val="22"/>
            </w:rPr>
          </w:pPr>
          <w:hyperlink w:anchor="_Toc364366591" w:history="1">
            <w:r w:rsidRPr="00B0716B">
              <w:rPr>
                <w:rStyle w:val="Hyperlink"/>
              </w:rPr>
              <w:t>Minimum lethal concentrations of essential oils</w:t>
            </w:r>
            <w:r>
              <w:rPr>
                <w:webHidden/>
              </w:rPr>
              <w:tab/>
            </w:r>
            <w:r>
              <w:rPr>
                <w:webHidden/>
              </w:rPr>
              <w:fldChar w:fldCharType="begin"/>
            </w:r>
            <w:r>
              <w:rPr>
                <w:webHidden/>
              </w:rPr>
              <w:instrText xml:space="preserve"> PAGEREF _Toc364366591 \h </w:instrText>
            </w:r>
            <w:r>
              <w:rPr>
                <w:webHidden/>
              </w:rPr>
            </w:r>
            <w:r>
              <w:rPr>
                <w:webHidden/>
              </w:rPr>
              <w:fldChar w:fldCharType="separate"/>
            </w:r>
            <w:r>
              <w:rPr>
                <w:webHidden/>
              </w:rPr>
              <w:t>48</w:t>
            </w:r>
            <w:r>
              <w:rPr>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92" w:history="1">
            <w:r w:rsidRPr="00B0716B">
              <w:rPr>
                <w:rStyle w:val="Hyperlink"/>
                <w:noProof/>
              </w:rPr>
              <w:t>Abstract</w:t>
            </w:r>
            <w:r>
              <w:rPr>
                <w:noProof/>
                <w:webHidden/>
              </w:rPr>
              <w:tab/>
            </w:r>
            <w:r>
              <w:rPr>
                <w:noProof/>
                <w:webHidden/>
              </w:rPr>
              <w:fldChar w:fldCharType="begin"/>
            </w:r>
            <w:r>
              <w:rPr>
                <w:noProof/>
                <w:webHidden/>
              </w:rPr>
              <w:instrText xml:space="preserve"> PAGEREF _Toc364366592 \h </w:instrText>
            </w:r>
            <w:r>
              <w:rPr>
                <w:noProof/>
                <w:webHidden/>
              </w:rPr>
            </w:r>
            <w:r>
              <w:rPr>
                <w:noProof/>
                <w:webHidden/>
              </w:rPr>
              <w:fldChar w:fldCharType="separate"/>
            </w:r>
            <w:r>
              <w:rPr>
                <w:noProof/>
                <w:webHidden/>
              </w:rPr>
              <w:t>49</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93" w:history="1">
            <w:r w:rsidRPr="00B0716B">
              <w:rPr>
                <w:rStyle w:val="Hyperlink"/>
                <w:noProof/>
              </w:rPr>
              <w:t>Introduction</w:t>
            </w:r>
            <w:r>
              <w:rPr>
                <w:noProof/>
                <w:webHidden/>
              </w:rPr>
              <w:tab/>
            </w:r>
            <w:r>
              <w:rPr>
                <w:noProof/>
                <w:webHidden/>
              </w:rPr>
              <w:fldChar w:fldCharType="begin"/>
            </w:r>
            <w:r>
              <w:rPr>
                <w:noProof/>
                <w:webHidden/>
              </w:rPr>
              <w:instrText xml:space="preserve"> PAGEREF _Toc364366593 \h </w:instrText>
            </w:r>
            <w:r>
              <w:rPr>
                <w:noProof/>
                <w:webHidden/>
              </w:rPr>
            </w:r>
            <w:r>
              <w:rPr>
                <w:noProof/>
                <w:webHidden/>
              </w:rPr>
              <w:fldChar w:fldCharType="separate"/>
            </w:r>
            <w:r>
              <w:rPr>
                <w:noProof/>
                <w:webHidden/>
              </w:rPr>
              <w:t>50</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94" w:history="1">
            <w:r w:rsidRPr="00B0716B">
              <w:rPr>
                <w:rStyle w:val="Hyperlink"/>
                <w:noProof/>
              </w:rPr>
              <w:t>Materials and Methods</w:t>
            </w:r>
            <w:r>
              <w:rPr>
                <w:noProof/>
                <w:webHidden/>
              </w:rPr>
              <w:tab/>
            </w:r>
            <w:r>
              <w:rPr>
                <w:noProof/>
                <w:webHidden/>
              </w:rPr>
              <w:fldChar w:fldCharType="begin"/>
            </w:r>
            <w:r>
              <w:rPr>
                <w:noProof/>
                <w:webHidden/>
              </w:rPr>
              <w:instrText xml:space="preserve"> PAGEREF _Toc364366594 \h </w:instrText>
            </w:r>
            <w:r>
              <w:rPr>
                <w:noProof/>
                <w:webHidden/>
              </w:rPr>
            </w:r>
            <w:r>
              <w:rPr>
                <w:noProof/>
                <w:webHidden/>
              </w:rPr>
              <w:fldChar w:fldCharType="separate"/>
            </w:r>
            <w:r>
              <w:rPr>
                <w:noProof/>
                <w:webHidden/>
              </w:rPr>
              <w:t>51</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95" w:history="1">
            <w:r w:rsidRPr="00B0716B">
              <w:rPr>
                <w:rStyle w:val="Hyperlink"/>
                <w:noProof/>
              </w:rPr>
              <w:t>Results and Discussion</w:t>
            </w:r>
            <w:r>
              <w:rPr>
                <w:noProof/>
                <w:webHidden/>
              </w:rPr>
              <w:tab/>
            </w:r>
            <w:r>
              <w:rPr>
                <w:noProof/>
                <w:webHidden/>
              </w:rPr>
              <w:fldChar w:fldCharType="begin"/>
            </w:r>
            <w:r>
              <w:rPr>
                <w:noProof/>
                <w:webHidden/>
              </w:rPr>
              <w:instrText xml:space="preserve"> PAGEREF _Toc364366595 \h </w:instrText>
            </w:r>
            <w:r>
              <w:rPr>
                <w:noProof/>
                <w:webHidden/>
              </w:rPr>
            </w:r>
            <w:r>
              <w:rPr>
                <w:noProof/>
                <w:webHidden/>
              </w:rPr>
              <w:fldChar w:fldCharType="separate"/>
            </w:r>
            <w:r>
              <w:rPr>
                <w:noProof/>
                <w:webHidden/>
              </w:rPr>
              <w:t>52</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96" w:history="1">
            <w:r w:rsidRPr="00B0716B">
              <w:rPr>
                <w:rStyle w:val="Hyperlink"/>
                <w:noProof/>
              </w:rPr>
              <w:t>Conclusions</w:t>
            </w:r>
            <w:r>
              <w:rPr>
                <w:noProof/>
                <w:webHidden/>
              </w:rPr>
              <w:tab/>
            </w:r>
            <w:r>
              <w:rPr>
                <w:noProof/>
                <w:webHidden/>
              </w:rPr>
              <w:fldChar w:fldCharType="begin"/>
            </w:r>
            <w:r>
              <w:rPr>
                <w:noProof/>
                <w:webHidden/>
              </w:rPr>
              <w:instrText xml:space="preserve"> PAGEREF _Toc364366596 \h </w:instrText>
            </w:r>
            <w:r>
              <w:rPr>
                <w:noProof/>
                <w:webHidden/>
              </w:rPr>
            </w:r>
            <w:r>
              <w:rPr>
                <w:noProof/>
                <w:webHidden/>
              </w:rPr>
              <w:fldChar w:fldCharType="separate"/>
            </w:r>
            <w:r>
              <w:rPr>
                <w:noProof/>
                <w:webHidden/>
              </w:rPr>
              <w:t>57</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97" w:history="1">
            <w:r w:rsidRPr="00B0716B">
              <w:rPr>
                <w:rStyle w:val="Hyperlink"/>
                <w:noProof/>
              </w:rPr>
              <w:t>Figures</w:t>
            </w:r>
            <w:r>
              <w:rPr>
                <w:noProof/>
                <w:webHidden/>
              </w:rPr>
              <w:tab/>
            </w:r>
            <w:r>
              <w:rPr>
                <w:noProof/>
                <w:webHidden/>
              </w:rPr>
              <w:fldChar w:fldCharType="begin"/>
            </w:r>
            <w:r>
              <w:rPr>
                <w:noProof/>
                <w:webHidden/>
              </w:rPr>
              <w:instrText xml:space="preserve"> PAGEREF _Toc364366597 \h </w:instrText>
            </w:r>
            <w:r>
              <w:rPr>
                <w:noProof/>
                <w:webHidden/>
              </w:rPr>
            </w:r>
            <w:r>
              <w:rPr>
                <w:noProof/>
                <w:webHidden/>
              </w:rPr>
              <w:fldChar w:fldCharType="separate"/>
            </w:r>
            <w:r>
              <w:rPr>
                <w:noProof/>
                <w:webHidden/>
              </w:rPr>
              <w:t>60</w:t>
            </w:r>
            <w:r>
              <w:rPr>
                <w:noProof/>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598" w:history="1">
            <w:r w:rsidRPr="00B0716B">
              <w:rPr>
                <w:rStyle w:val="Hyperlink"/>
                <w:noProof/>
              </w:rPr>
              <w:t>List of References</w:t>
            </w:r>
            <w:r>
              <w:rPr>
                <w:noProof/>
                <w:webHidden/>
              </w:rPr>
              <w:tab/>
            </w:r>
            <w:r>
              <w:rPr>
                <w:noProof/>
                <w:webHidden/>
              </w:rPr>
              <w:fldChar w:fldCharType="begin"/>
            </w:r>
            <w:r>
              <w:rPr>
                <w:noProof/>
                <w:webHidden/>
              </w:rPr>
              <w:instrText xml:space="preserve"> PAGEREF _Toc364366598 \h </w:instrText>
            </w:r>
            <w:r>
              <w:rPr>
                <w:noProof/>
                <w:webHidden/>
              </w:rPr>
            </w:r>
            <w:r>
              <w:rPr>
                <w:noProof/>
                <w:webHidden/>
              </w:rPr>
              <w:fldChar w:fldCharType="separate"/>
            </w:r>
            <w:r>
              <w:rPr>
                <w:noProof/>
                <w:webHidden/>
              </w:rPr>
              <w:t>65</w:t>
            </w:r>
            <w:r>
              <w:rPr>
                <w:noProof/>
                <w:webHidden/>
              </w:rPr>
              <w:fldChar w:fldCharType="end"/>
            </w:r>
          </w:hyperlink>
        </w:p>
        <w:p w:rsidR="004E2965" w:rsidRDefault="004E2965" w:rsidP="004E2965">
          <w:pPr>
            <w:pStyle w:val="TOC1"/>
            <w:rPr>
              <w:rFonts w:eastAsiaTheme="minorEastAsia"/>
              <w:sz w:val="22"/>
              <w:szCs w:val="22"/>
            </w:rPr>
          </w:pPr>
          <w:hyperlink w:anchor="_Toc364366599" w:history="1">
            <w:r w:rsidRPr="00B0716B">
              <w:rPr>
                <w:rStyle w:val="Hyperlink"/>
              </w:rPr>
              <w:t>Conclusion</w:t>
            </w:r>
            <w:r>
              <w:rPr>
                <w:webHidden/>
              </w:rPr>
              <w:tab/>
            </w:r>
            <w:r>
              <w:rPr>
                <w:webHidden/>
              </w:rPr>
              <w:fldChar w:fldCharType="begin"/>
            </w:r>
            <w:r>
              <w:rPr>
                <w:webHidden/>
              </w:rPr>
              <w:instrText xml:space="preserve"> PAGEREF _Toc364366599 \h </w:instrText>
            </w:r>
            <w:r>
              <w:rPr>
                <w:webHidden/>
              </w:rPr>
            </w:r>
            <w:r>
              <w:rPr>
                <w:webHidden/>
              </w:rPr>
              <w:fldChar w:fldCharType="separate"/>
            </w:r>
            <w:r>
              <w:rPr>
                <w:webHidden/>
              </w:rPr>
              <w:t>68</w:t>
            </w:r>
            <w:r>
              <w:rPr>
                <w:webHidden/>
              </w:rPr>
              <w:fldChar w:fldCharType="end"/>
            </w:r>
          </w:hyperlink>
        </w:p>
        <w:p w:rsidR="004E2965" w:rsidRDefault="004E2965">
          <w:pPr>
            <w:pStyle w:val="TOC2"/>
            <w:tabs>
              <w:tab w:val="right" w:leader="dot" w:pos="9350"/>
            </w:tabs>
            <w:rPr>
              <w:rFonts w:eastAsiaTheme="minorEastAsia"/>
              <w:i w:val="0"/>
              <w:iCs w:val="0"/>
              <w:noProof/>
              <w:sz w:val="22"/>
              <w:szCs w:val="22"/>
            </w:rPr>
          </w:pPr>
          <w:hyperlink w:anchor="_Toc364366600" w:history="1">
            <w:r w:rsidRPr="00B0716B">
              <w:rPr>
                <w:rStyle w:val="Hyperlink"/>
                <w:noProof/>
              </w:rPr>
              <w:t>List of References</w:t>
            </w:r>
            <w:r>
              <w:rPr>
                <w:noProof/>
                <w:webHidden/>
              </w:rPr>
              <w:tab/>
            </w:r>
            <w:r>
              <w:rPr>
                <w:noProof/>
                <w:webHidden/>
              </w:rPr>
              <w:fldChar w:fldCharType="begin"/>
            </w:r>
            <w:r>
              <w:rPr>
                <w:noProof/>
                <w:webHidden/>
              </w:rPr>
              <w:instrText xml:space="preserve"> PAGEREF _Toc364366600 \h </w:instrText>
            </w:r>
            <w:r>
              <w:rPr>
                <w:noProof/>
                <w:webHidden/>
              </w:rPr>
            </w:r>
            <w:r>
              <w:rPr>
                <w:noProof/>
                <w:webHidden/>
              </w:rPr>
              <w:fldChar w:fldCharType="separate"/>
            </w:r>
            <w:r>
              <w:rPr>
                <w:noProof/>
                <w:webHidden/>
              </w:rPr>
              <w:t>69</w:t>
            </w:r>
            <w:r>
              <w:rPr>
                <w:noProof/>
                <w:webHidden/>
              </w:rPr>
              <w:fldChar w:fldCharType="end"/>
            </w:r>
          </w:hyperlink>
        </w:p>
        <w:p w:rsidR="004E2965" w:rsidRDefault="004E2965" w:rsidP="004E2965">
          <w:pPr>
            <w:pStyle w:val="TOC1"/>
            <w:rPr>
              <w:rFonts w:eastAsiaTheme="minorEastAsia"/>
              <w:sz w:val="22"/>
              <w:szCs w:val="22"/>
            </w:rPr>
          </w:pPr>
          <w:hyperlink w:anchor="_Toc364366601" w:history="1">
            <w:r w:rsidRPr="00B0716B">
              <w:rPr>
                <w:rStyle w:val="Hyperlink"/>
              </w:rPr>
              <w:t>Vita</w:t>
            </w:r>
            <w:r>
              <w:rPr>
                <w:webHidden/>
              </w:rPr>
              <w:tab/>
            </w:r>
            <w:r>
              <w:rPr>
                <w:webHidden/>
              </w:rPr>
              <w:fldChar w:fldCharType="begin"/>
            </w:r>
            <w:r>
              <w:rPr>
                <w:webHidden/>
              </w:rPr>
              <w:instrText xml:space="preserve"> PAGEREF _Toc364366601 \h </w:instrText>
            </w:r>
            <w:r>
              <w:rPr>
                <w:webHidden/>
              </w:rPr>
            </w:r>
            <w:r>
              <w:rPr>
                <w:webHidden/>
              </w:rPr>
              <w:fldChar w:fldCharType="separate"/>
            </w:r>
            <w:r>
              <w:rPr>
                <w:webHidden/>
              </w:rPr>
              <w:t>71</w:t>
            </w:r>
            <w:r>
              <w:rPr>
                <w:webHidden/>
              </w:rPr>
              <w:fldChar w:fldCharType="end"/>
            </w:r>
          </w:hyperlink>
        </w:p>
        <w:p w:rsidR="00AD0C57" w:rsidRDefault="00E443CC" w:rsidP="00D027CE">
          <w:pPr>
            <w:pStyle w:val="Heading2"/>
          </w:pPr>
          <w:r>
            <w:fldChar w:fldCharType="end"/>
          </w:r>
        </w:p>
      </w:sdtContent>
    </w:sdt>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E3793F" w:rsidRDefault="00E3793F" w:rsidP="00E3793F">
      <w:pPr>
        <w:jc w:val="center"/>
        <w:rPr>
          <w:b/>
          <w:sz w:val="28"/>
          <w:szCs w:val="28"/>
        </w:rPr>
      </w:pPr>
    </w:p>
    <w:p w:rsidR="00102A26" w:rsidRDefault="00102A26" w:rsidP="00102A26">
      <w:pPr>
        <w:tabs>
          <w:tab w:val="left" w:pos="3760"/>
          <w:tab w:val="center" w:pos="4680"/>
        </w:tabs>
        <w:rPr>
          <w:b/>
          <w:sz w:val="28"/>
          <w:szCs w:val="28"/>
        </w:rPr>
      </w:pPr>
      <w:r>
        <w:rPr>
          <w:b/>
          <w:sz w:val="28"/>
          <w:szCs w:val="28"/>
        </w:rPr>
        <w:tab/>
      </w:r>
    </w:p>
    <w:p w:rsidR="00A24C82" w:rsidRDefault="00102A26" w:rsidP="00102A26">
      <w:pPr>
        <w:tabs>
          <w:tab w:val="left" w:pos="3760"/>
          <w:tab w:val="center" w:pos="4680"/>
        </w:tabs>
        <w:rPr>
          <w:b/>
          <w:sz w:val="28"/>
          <w:szCs w:val="28"/>
        </w:rPr>
      </w:pPr>
      <w:r>
        <w:rPr>
          <w:b/>
          <w:sz w:val="28"/>
          <w:szCs w:val="28"/>
        </w:rPr>
        <w:lastRenderedPageBreak/>
        <w:tab/>
      </w:r>
      <w:r w:rsidR="00A24C82" w:rsidRPr="00464F11">
        <w:rPr>
          <w:b/>
          <w:sz w:val="28"/>
          <w:szCs w:val="28"/>
        </w:rPr>
        <w:t>List of Tables</w:t>
      </w:r>
    </w:p>
    <w:p w:rsidR="00A24C82" w:rsidRPr="00597631" w:rsidRDefault="00597631" w:rsidP="00597631">
      <w:pPr>
        <w:rPr>
          <w:sz w:val="24"/>
          <w:szCs w:val="24"/>
        </w:rPr>
      </w:pPr>
      <w:r w:rsidRPr="00597631">
        <w:rPr>
          <w:sz w:val="24"/>
          <w:szCs w:val="24"/>
        </w:rPr>
        <w:t>Table</w:t>
      </w:r>
      <w:r w:rsidRPr="00597631">
        <w:rPr>
          <w:sz w:val="24"/>
          <w:szCs w:val="24"/>
        </w:rPr>
        <w:tab/>
      </w:r>
      <w:r w:rsidRPr="00597631">
        <w:rPr>
          <w:sz w:val="24"/>
          <w:szCs w:val="24"/>
        </w:rPr>
        <w:tab/>
      </w:r>
      <w:r w:rsidRPr="00597631">
        <w:rPr>
          <w:sz w:val="24"/>
          <w:szCs w:val="24"/>
        </w:rPr>
        <w:tab/>
      </w:r>
      <w:r w:rsidRPr="00597631">
        <w:rPr>
          <w:sz w:val="24"/>
          <w:szCs w:val="24"/>
        </w:rPr>
        <w:tab/>
      </w:r>
      <w:r w:rsidRPr="00597631">
        <w:rPr>
          <w:sz w:val="24"/>
          <w:szCs w:val="24"/>
        </w:rPr>
        <w:tab/>
        <w:t xml:space="preserve">                                                                                                 </w:t>
      </w:r>
      <w:r>
        <w:rPr>
          <w:sz w:val="24"/>
          <w:szCs w:val="24"/>
        </w:rPr>
        <w:t>Page</w:t>
      </w:r>
    </w:p>
    <w:p w:rsidR="00597631" w:rsidRPr="00597631" w:rsidRDefault="00597631" w:rsidP="005112FB">
      <w:pPr>
        <w:contextualSpacing/>
        <w:rPr>
          <w:sz w:val="24"/>
          <w:szCs w:val="24"/>
        </w:rPr>
      </w:pPr>
      <w:r w:rsidRPr="00597631">
        <w:rPr>
          <w:sz w:val="24"/>
          <w:szCs w:val="24"/>
        </w:rPr>
        <w:t>1.</w:t>
      </w:r>
      <w:r w:rsidR="00BF51F5">
        <w:rPr>
          <w:sz w:val="24"/>
          <w:szCs w:val="24"/>
        </w:rPr>
        <w:t>1</w:t>
      </w:r>
      <w:r w:rsidRPr="00597631">
        <w:rPr>
          <w:sz w:val="24"/>
          <w:szCs w:val="24"/>
        </w:rPr>
        <w:tab/>
        <w:t xml:space="preserve">Comparison of individual component MICs and MICs when combined                             </w:t>
      </w:r>
    </w:p>
    <w:p w:rsidR="00612AE2" w:rsidRPr="00696044" w:rsidRDefault="00597631" w:rsidP="00597631">
      <w:pPr>
        <w:ind w:firstLine="720"/>
        <w:contextualSpacing/>
        <w:rPr>
          <w:sz w:val="24"/>
          <w:szCs w:val="24"/>
        </w:rPr>
      </w:pPr>
      <w:proofErr w:type="gramStart"/>
      <w:r w:rsidRPr="00696044">
        <w:rPr>
          <w:sz w:val="24"/>
          <w:szCs w:val="24"/>
        </w:rPr>
        <w:t>in</w:t>
      </w:r>
      <w:proofErr w:type="gramEnd"/>
      <w:r w:rsidRPr="00696044">
        <w:rPr>
          <w:sz w:val="24"/>
          <w:szCs w:val="24"/>
        </w:rPr>
        <w:t xml:space="preserve"> pairs (adapted from Pei and others 2009)</w:t>
      </w:r>
      <w:r w:rsidR="00C23E53">
        <w:rPr>
          <w:sz w:val="24"/>
          <w:szCs w:val="24"/>
        </w:rPr>
        <w:t>…………………………………………………………………25</w:t>
      </w:r>
    </w:p>
    <w:p w:rsidR="00623F87" w:rsidRPr="00696044" w:rsidRDefault="00623F87" w:rsidP="00623F87">
      <w:pPr>
        <w:contextualSpacing/>
        <w:rPr>
          <w:sz w:val="24"/>
          <w:szCs w:val="24"/>
        </w:rPr>
      </w:pPr>
      <w:r w:rsidRPr="00696044">
        <w:rPr>
          <w:sz w:val="24"/>
          <w:szCs w:val="24"/>
        </w:rPr>
        <w:t>2.</w:t>
      </w:r>
      <w:r>
        <w:rPr>
          <w:sz w:val="24"/>
          <w:szCs w:val="24"/>
        </w:rPr>
        <w:t>1</w:t>
      </w:r>
      <w:r w:rsidRPr="00696044">
        <w:rPr>
          <w:sz w:val="24"/>
          <w:szCs w:val="24"/>
        </w:rPr>
        <w:tab/>
        <w:t xml:space="preserve">Incubation temperatures and atmospheres for ATCC sourced </w:t>
      </w:r>
    </w:p>
    <w:p w:rsidR="00623F87" w:rsidRPr="00696044" w:rsidRDefault="00623F87" w:rsidP="00623F87">
      <w:pPr>
        <w:ind w:firstLine="720"/>
        <w:contextualSpacing/>
        <w:rPr>
          <w:sz w:val="24"/>
          <w:szCs w:val="24"/>
        </w:rPr>
      </w:pPr>
      <w:proofErr w:type="gramStart"/>
      <w:r w:rsidRPr="00696044">
        <w:rPr>
          <w:sz w:val="24"/>
          <w:szCs w:val="24"/>
        </w:rPr>
        <w:t>lactic</w:t>
      </w:r>
      <w:proofErr w:type="gramEnd"/>
      <w:r w:rsidRPr="00696044">
        <w:rPr>
          <w:sz w:val="24"/>
          <w:szCs w:val="24"/>
        </w:rPr>
        <w:t xml:space="preserve"> acid bacteria……………………………</w:t>
      </w:r>
      <w:r w:rsidR="00C23E53">
        <w:rPr>
          <w:sz w:val="24"/>
          <w:szCs w:val="24"/>
        </w:rPr>
        <w:t>…………………………………………………………………………..43</w:t>
      </w:r>
    </w:p>
    <w:p w:rsidR="00597631" w:rsidRPr="00696044" w:rsidRDefault="00623F87" w:rsidP="00623F87">
      <w:pPr>
        <w:contextualSpacing/>
        <w:rPr>
          <w:rFonts w:eastAsia="Times New Roman" w:cs="Times New Roman"/>
          <w:iCs/>
          <w:color w:val="000000"/>
          <w:sz w:val="24"/>
          <w:szCs w:val="24"/>
        </w:rPr>
      </w:pPr>
      <w:r w:rsidRPr="00696044">
        <w:rPr>
          <w:sz w:val="24"/>
          <w:szCs w:val="24"/>
        </w:rPr>
        <w:t>2.</w:t>
      </w:r>
      <w:r>
        <w:rPr>
          <w:sz w:val="24"/>
          <w:szCs w:val="24"/>
        </w:rPr>
        <w:t>2</w:t>
      </w:r>
      <w:r w:rsidRPr="00696044">
        <w:rPr>
          <w:sz w:val="24"/>
          <w:szCs w:val="24"/>
        </w:rPr>
        <w:tab/>
      </w:r>
      <w:r w:rsidR="00597631" w:rsidRPr="00696044">
        <w:rPr>
          <w:rFonts w:eastAsia="Times New Roman" w:cs="Times New Roman"/>
          <w:iCs/>
          <w:color w:val="000000"/>
          <w:sz w:val="24"/>
          <w:szCs w:val="24"/>
        </w:rPr>
        <w:t xml:space="preserve">Minimum inhibitory concentrations of essential oils incorporated into </w:t>
      </w:r>
    </w:p>
    <w:p w:rsidR="00A24C82" w:rsidRPr="00696044" w:rsidRDefault="00597631" w:rsidP="00597631">
      <w:pPr>
        <w:ind w:firstLine="720"/>
        <w:contextualSpacing/>
        <w:rPr>
          <w:sz w:val="24"/>
          <w:szCs w:val="24"/>
        </w:rPr>
      </w:pPr>
      <w:r w:rsidRPr="00696044">
        <w:rPr>
          <w:rFonts w:eastAsia="Times New Roman" w:cs="Times New Roman"/>
          <w:iCs/>
          <w:color w:val="000000"/>
          <w:sz w:val="24"/>
          <w:szCs w:val="24"/>
        </w:rPr>
        <w:t>MRS agar against lactic acid bacteria</w:t>
      </w:r>
      <w:r w:rsidR="00BF51F5" w:rsidRPr="00696044">
        <w:rPr>
          <w:rFonts w:eastAsia="Times New Roman" w:cs="Times New Roman"/>
          <w:iCs/>
          <w:color w:val="000000"/>
          <w:sz w:val="24"/>
          <w:szCs w:val="24"/>
        </w:rPr>
        <w:t>………………………………………………………………………</w:t>
      </w:r>
      <w:r w:rsidR="00696044" w:rsidRPr="00696044">
        <w:rPr>
          <w:rFonts w:eastAsia="Times New Roman" w:cs="Times New Roman"/>
          <w:iCs/>
          <w:color w:val="000000"/>
          <w:sz w:val="24"/>
          <w:szCs w:val="24"/>
        </w:rPr>
        <w:t>.</w:t>
      </w:r>
      <w:r w:rsidR="00BF51F5" w:rsidRPr="00696044">
        <w:rPr>
          <w:rFonts w:eastAsia="Times New Roman" w:cs="Times New Roman"/>
          <w:iCs/>
          <w:color w:val="000000"/>
          <w:sz w:val="24"/>
          <w:szCs w:val="24"/>
        </w:rPr>
        <w:t>…..</w:t>
      </w:r>
      <w:r w:rsidR="00696044" w:rsidRPr="00696044">
        <w:rPr>
          <w:rFonts w:eastAsia="Times New Roman" w:cs="Times New Roman"/>
          <w:iCs/>
          <w:color w:val="000000"/>
          <w:sz w:val="24"/>
          <w:szCs w:val="24"/>
        </w:rPr>
        <w:t>4</w:t>
      </w:r>
      <w:r w:rsidR="00C23E53">
        <w:rPr>
          <w:rFonts w:eastAsia="Times New Roman" w:cs="Times New Roman"/>
          <w:iCs/>
          <w:color w:val="000000"/>
          <w:sz w:val="24"/>
          <w:szCs w:val="24"/>
        </w:rPr>
        <w:t>4</w:t>
      </w:r>
    </w:p>
    <w:p w:rsidR="00696044" w:rsidRPr="00696044" w:rsidRDefault="00696044" w:rsidP="00696044">
      <w:pPr>
        <w:spacing w:after="0"/>
        <w:rPr>
          <w:rFonts w:ascii="Calibri" w:eastAsia="Times New Roman" w:hAnsi="Calibri" w:cs="Times New Roman"/>
          <w:color w:val="000000"/>
          <w:sz w:val="24"/>
          <w:szCs w:val="24"/>
        </w:rPr>
      </w:pPr>
      <w:r w:rsidRPr="00696044">
        <w:rPr>
          <w:sz w:val="24"/>
          <w:szCs w:val="24"/>
        </w:rPr>
        <w:t>3.1</w:t>
      </w:r>
      <w:r w:rsidRPr="00696044">
        <w:rPr>
          <w:sz w:val="24"/>
          <w:szCs w:val="24"/>
        </w:rPr>
        <w:tab/>
      </w:r>
      <w:r w:rsidRPr="00696044">
        <w:rPr>
          <w:rFonts w:ascii="Calibri" w:eastAsia="Times New Roman" w:hAnsi="Calibri" w:cs="Times New Roman"/>
          <w:color w:val="000000"/>
          <w:sz w:val="24"/>
          <w:szCs w:val="24"/>
        </w:rPr>
        <w:t xml:space="preserve">Concentrations of carvacrol, cinnamaldehyde, eugenol and thymol </w:t>
      </w:r>
    </w:p>
    <w:p w:rsidR="00696044" w:rsidRPr="006F4759" w:rsidRDefault="00696044" w:rsidP="00696044">
      <w:pPr>
        <w:spacing w:after="0"/>
        <w:ind w:firstLine="720"/>
        <w:rPr>
          <w:rFonts w:ascii="Calibri" w:eastAsia="Times New Roman" w:hAnsi="Calibri" w:cs="Times New Roman"/>
          <w:color w:val="000000"/>
          <w:sz w:val="24"/>
          <w:szCs w:val="24"/>
        </w:rPr>
      </w:pPr>
      <w:proofErr w:type="gramStart"/>
      <w:r w:rsidRPr="00696044">
        <w:rPr>
          <w:rFonts w:ascii="Calibri" w:eastAsia="Times New Roman" w:hAnsi="Calibri" w:cs="Times New Roman"/>
          <w:color w:val="000000"/>
          <w:sz w:val="24"/>
          <w:szCs w:val="24"/>
        </w:rPr>
        <w:t>examined</w:t>
      </w:r>
      <w:proofErr w:type="gramEnd"/>
      <w:r w:rsidRPr="00696044">
        <w:rPr>
          <w:rFonts w:ascii="Calibri" w:eastAsia="Times New Roman" w:hAnsi="Calibri" w:cs="Times New Roman"/>
          <w:color w:val="000000"/>
          <w:sz w:val="24"/>
          <w:szCs w:val="24"/>
        </w:rPr>
        <w:t xml:space="preserve"> against </w:t>
      </w:r>
      <w:r w:rsidRPr="00696044">
        <w:rPr>
          <w:rFonts w:ascii="Calibri" w:eastAsia="Times New Roman" w:hAnsi="Calibri" w:cs="Times New Roman"/>
          <w:i/>
          <w:color w:val="000000"/>
          <w:sz w:val="24"/>
          <w:szCs w:val="24"/>
        </w:rPr>
        <w:t>P. acidilactici</w:t>
      </w:r>
      <w:r w:rsidRPr="00696044">
        <w:rPr>
          <w:rFonts w:ascii="Calibri" w:eastAsia="Times New Roman" w:hAnsi="Calibri" w:cs="Times New Roman"/>
          <w:color w:val="000000"/>
          <w:sz w:val="24"/>
          <w:szCs w:val="24"/>
        </w:rPr>
        <w:t xml:space="preserve">, </w:t>
      </w:r>
      <w:r w:rsidRPr="00696044">
        <w:rPr>
          <w:rFonts w:ascii="Calibri" w:eastAsia="Times New Roman" w:hAnsi="Calibri" w:cs="Times New Roman"/>
          <w:i/>
          <w:color w:val="000000"/>
          <w:sz w:val="24"/>
          <w:szCs w:val="24"/>
        </w:rPr>
        <w:t>L. buchneri</w:t>
      </w:r>
      <w:r w:rsidRPr="00696044">
        <w:rPr>
          <w:rFonts w:ascii="Calibri" w:eastAsia="Times New Roman" w:hAnsi="Calibri" w:cs="Times New Roman"/>
          <w:color w:val="000000"/>
          <w:sz w:val="24"/>
          <w:szCs w:val="24"/>
        </w:rPr>
        <w:t xml:space="preserve">, and </w:t>
      </w:r>
      <w:r w:rsidRPr="00696044">
        <w:rPr>
          <w:rFonts w:ascii="Calibri" w:eastAsia="Times New Roman" w:hAnsi="Calibri" w:cs="Times New Roman"/>
          <w:i/>
          <w:color w:val="000000"/>
          <w:sz w:val="24"/>
          <w:szCs w:val="24"/>
        </w:rPr>
        <w:t>L. citrovorum</w:t>
      </w:r>
      <w:r w:rsidRPr="00696044">
        <w:rPr>
          <w:rFonts w:ascii="Calibri" w:eastAsia="Times New Roman" w:hAnsi="Calibri" w:cs="Times New Roman"/>
          <w:color w:val="000000"/>
          <w:sz w:val="24"/>
          <w:szCs w:val="24"/>
        </w:rPr>
        <w:t xml:space="preserve">. Values </w:t>
      </w:r>
      <w:r w:rsidRPr="00696044">
        <w:rPr>
          <w:rFonts w:ascii="Calibri" w:eastAsia="Times New Roman" w:hAnsi="Calibri" w:cs="Times New Roman"/>
          <w:color w:val="000000"/>
          <w:sz w:val="24"/>
          <w:szCs w:val="24"/>
        </w:rPr>
        <w:tab/>
      </w:r>
      <w:r w:rsidRPr="00696044">
        <w:rPr>
          <w:rFonts w:ascii="Calibri" w:eastAsia="Times New Roman" w:hAnsi="Calibri" w:cs="Times New Roman"/>
          <w:color w:val="000000"/>
          <w:sz w:val="24"/>
          <w:szCs w:val="24"/>
        </w:rPr>
        <w:tab/>
      </w:r>
      <w:r w:rsidRPr="00696044">
        <w:rPr>
          <w:rFonts w:ascii="Calibri" w:eastAsia="Times New Roman" w:hAnsi="Calibri" w:cs="Times New Roman"/>
          <w:color w:val="000000"/>
          <w:sz w:val="24"/>
          <w:szCs w:val="24"/>
        </w:rPr>
        <w:tab/>
        <w:t>are</w:t>
      </w:r>
      <w:r w:rsidRPr="006F4759">
        <w:rPr>
          <w:rFonts w:ascii="Calibri" w:eastAsia="Times New Roman" w:hAnsi="Calibri" w:cs="Times New Roman"/>
          <w:color w:val="000000"/>
          <w:sz w:val="24"/>
          <w:szCs w:val="24"/>
        </w:rPr>
        <w:t xml:space="preserve"> v/v except thymol (w/v)</w:t>
      </w:r>
      <w:r>
        <w:rPr>
          <w:rFonts w:ascii="Calibri" w:eastAsia="Times New Roman" w:hAnsi="Calibri" w:cs="Times New Roman"/>
          <w:color w:val="000000"/>
          <w:sz w:val="24"/>
          <w:szCs w:val="24"/>
        </w:rPr>
        <w:t>……………</w:t>
      </w:r>
      <w:r w:rsidR="006D2064">
        <w:rPr>
          <w:rFonts w:ascii="Calibri" w:eastAsia="Times New Roman" w:hAnsi="Calibri" w:cs="Times New Roman"/>
          <w:color w:val="000000"/>
          <w:sz w:val="24"/>
          <w:szCs w:val="24"/>
        </w:rPr>
        <w:t>…………………………………………………</w:t>
      </w:r>
      <w:r w:rsidR="00C23E53">
        <w:rPr>
          <w:rFonts w:ascii="Calibri" w:eastAsia="Times New Roman" w:hAnsi="Calibri" w:cs="Times New Roman"/>
          <w:color w:val="000000"/>
          <w:sz w:val="24"/>
          <w:szCs w:val="24"/>
        </w:rPr>
        <w:t>……………………….…59</w:t>
      </w:r>
    </w:p>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A24C82" w:rsidRDefault="00A24C82" w:rsidP="005112FB"/>
    <w:p w:rsidR="00597631" w:rsidRDefault="00597631" w:rsidP="00464F11">
      <w:pPr>
        <w:jc w:val="center"/>
        <w:rPr>
          <w:b/>
          <w:sz w:val="28"/>
          <w:szCs w:val="28"/>
        </w:rPr>
      </w:pPr>
    </w:p>
    <w:p w:rsidR="00597631" w:rsidRDefault="00597631" w:rsidP="00464F11">
      <w:pPr>
        <w:jc w:val="center"/>
        <w:rPr>
          <w:b/>
          <w:sz w:val="28"/>
          <w:szCs w:val="28"/>
        </w:rPr>
      </w:pPr>
    </w:p>
    <w:p w:rsidR="00A24C82" w:rsidRPr="00464F11" w:rsidRDefault="00464F11" w:rsidP="00464F11">
      <w:pPr>
        <w:jc w:val="center"/>
        <w:rPr>
          <w:b/>
          <w:sz w:val="28"/>
          <w:szCs w:val="28"/>
        </w:rPr>
      </w:pPr>
      <w:r w:rsidRPr="00464F11">
        <w:rPr>
          <w:b/>
          <w:sz w:val="28"/>
          <w:szCs w:val="28"/>
        </w:rPr>
        <w:lastRenderedPageBreak/>
        <w:t>List of Figures</w:t>
      </w:r>
    </w:p>
    <w:p w:rsidR="005112FB" w:rsidRPr="00612AE2" w:rsidRDefault="00612AE2" w:rsidP="005112FB">
      <w:pPr>
        <w:rPr>
          <w:sz w:val="24"/>
          <w:szCs w:val="24"/>
        </w:rPr>
      </w:pPr>
      <w:r w:rsidRPr="00612AE2">
        <w:rPr>
          <w:sz w:val="24"/>
          <w:szCs w:val="24"/>
        </w:rPr>
        <w:t>Figure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Page</w:t>
      </w:r>
    </w:p>
    <w:p w:rsidR="004F3083" w:rsidRPr="004E2965" w:rsidRDefault="005C4FA0" w:rsidP="00102A26">
      <w:pPr>
        <w:contextualSpacing/>
        <w:rPr>
          <w:sz w:val="24"/>
          <w:szCs w:val="24"/>
        </w:rPr>
      </w:pPr>
      <w:r>
        <w:rPr>
          <w:sz w:val="24"/>
          <w:szCs w:val="24"/>
        </w:rPr>
        <w:t>3.1</w:t>
      </w:r>
      <w:r>
        <w:rPr>
          <w:sz w:val="24"/>
          <w:szCs w:val="24"/>
        </w:rPr>
        <w:tab/>
      </w:r>
      <w:r w:rsidR="00102A26" w:rsidRPr="004E2965">
        <w:rPr>
          <w:sz w:val="24"/>
          <w:szCs w:val="24"/>
        </w:rPr>
        <w:t xml:space="preserve">Response of a) </w:t>
      </w:r>
      <w:r w:rsidR="00102A26" w:rsidRPr="004E2965">
        <w:rPr>
          <w:i/>
          <w:iCs/>
          <w:sz w:val="24"/>
          <w:szCs w:val="24"/>
        </w:rPr>
        <w:t xml:space="preserve">L. citrovorum, </w:t>
      </w:r>
      <w:r w:rsidR="00102A26" w:rsidRPr="004E2965">
        <w:rPr>
          <w:sz w:val="24"/>
          <w:szCs w:val="24"/>
        </w:rPr>
        <w:t xml:space="preserve">b) </w:t>
      </w:r>
      <w:r w:rsidR="00102A26" w:rsidRPr="004E2965">
        <w:rPr>
          <w:i/>
          <w:iCs/>
          <w:sz w:val="24"/>
          <w:szCs w:val="24"/>
        </w:rPr>
        <w:t xml:space="preserve">P. acidilactici, </w:t>
      </w:r>
      <w:r w:rsidR="00102A26" w:rsidRPr="004E2965">
        <w:rPr>
          <w:sz w:val="24"/>
          <w:szCs w:val="24"/>
        </w:rPr>
        <w:t xml:space="preserve">and c) </w:t>
      </w:r>
      <w:r w:rsidR="00102A26" w:rsidRPr="004E2965">
        <w:rPr>
          <w:i/>
          <w:iCs/>
          <w:sz w:val="24"/>
          <w:szCs w:val="24"/>
        </w:rPr>
        <w:t xml:space="preserve">L. buchneri </w:t>
      </w:r>
      <w:r w:rsidR="00102A26" w:rsidRPr="004E2965">
        <w:rPr>
          <w:sz w:val="24"/>
          <w:szCs w:val="24"/>
        </w:rPr>
        <w:t xml:space="preserve">in </w:t>
      </w:r>
    </w:p>
    <w:p w:rsidR="005C4FA0" w:rsidRPr="004E2965" w:rsidRDefault="00102A26" w:rsidP="004F3083">
      <w:pPr>
        <w:ind w:firstLine="720"/>
        <w:contextualSpacing/>
        <w:rPr>
          <w:sz w:val="24"/>
          <w:szCs w:val="24"/>
        </w:rPr>
      </w:pPr>
      <w:r w:rsidRPr="004E2965">
        <w:rPr>
          <w:sz w:val="24"/>
          <w:szCs w:val="24"/>
        </w:rPr>
        <w:t>MRS broth with varying % (w/v) thymol over 72 h</w:t>
      </w:r>
      <w:r w:rsidR="005C4FA0" w:rsidRPr="004E2965">
        <w:rPr>
          <w:sz w:val="24"/>
          <w:szCs w:val="24"/>
        </w:rPr>
        <w:t>…………………………</w:t>
      </w:r>
      <w:r w:rsidR="00C44521" w:rsidRPr="004E2965">
        <w:rPr>
          <w:sz w:val="24"/>
          <w:szCs w:val="24"/>
        </w:rPr>
        <w:t>…</w:t>
      </w:r>
      <w:r w:rsidR="004F3083" w:rsidRPr="004E2965">
        <w:rPr>
          <w:sz w:val="24"/>
          <w:szCs w:val="24"/>
        </w:rPr>
        <w:t>………………………</w:t>
      </w:r>
      <w:r w:rsidR="002B5627" w:rsidRPr="004E2965">
        <w:rPr>
          <w:sz w:val="24"/>
          <w:szCs w:val="24"/>
        </w:rPr>
        <w:t>….61</w:t>
      </w:r>
      <w:r w:rsidR="005C4FA0" w:rsidRPr="004E2965">
        <w:rPr>
          <w:sz w:val="24"/>
          <w:szCs w:val="24"/>
        </w:rPr>
        <w:t xml:space="preserve"> </w:t>
      </w:r>
    </w:p>
    <w:p w:rsidR="004F3083" w:rsidRPr="004E2965" w:rsidRDefault="00BF51F5" w:rsidP="004F3083">
      <w:pPr>
        <w:contextualSpacing/>
        <w:rPr>
          <w:sz w:val="24"/>
          <w:szCs w:val="24"/>
        </w:rPr>
      </w:pPr>
      <w:r w:rsidRPr="004E2965">
        <w:rPr>
          <w:sz w:val="24"/>
          <w:szCs w:val="24"/>
        </w:rPr>
        <w:t>3.</w:t>
      </w:r>
      <w:r w:rsidR="005C4FA0" w:rsidRPr="004E2965">
        <w:rPr>
          <w:sz w:val="24"/>
          <w:szCs w:val="24"/>
        </w:rPr>
        <w:t>2</w:t>
      </w:r>
      <w:r w:rsidR="00612AE2" w:rsidRPr="004E2965">
        <w:rPr>
          <w:sz w:val="24"/>
          <w:szCs w:val="24"/>
        </w:rPr>
        <w:tab/>
      </w:r>
      <w:r w:rsidR="004F3083" w:rsidRPr="004E2965">
        <w:rPr>
          <w:sz w:val="24"/>
          <w:szCs w:val="24"/>
        </w:rPr>
        <w:t xml:space="preserve">Response of a) </w:t>
      </w:r>
      <w:r w:rsidR="004F3083" w:rsidRPr="004E2965">
        <w:rPr>
          <w:i/>
          <w:iCs/>
          <w:sz w:val="24"/>
          <w:szCs w:val="24"/>
        </w:rPr>
        <w:t xml:space="preserve">L. citrovorum, </w:t>
      </w:r>
      <w:r w:rsidR="004F3083" w:rsidRPr="004E2965">
        <w:rPr>
          <w:sz w:val="24"/>
          <w:szCs w:val="24"/>
        </w:rPr>
        <w:t xml:space="preserve">b) </w:t>
      </w:r>
      <w:r w:rsidR="004F3083" w:rsidRPr="004E2965">
        <w:rPr>
          <w:i/>
          <w:iCs/>
          <w:sz w:val="24"/>
          <w:szCs w:val="24"/>
        </w:rPr>
        <w:t xml:space="preserve">P. acidilactici, </w:t>
      </w:r>
      <w:r w:rsidR="004F3083" w:rsidRPr="004E2965">
        <w:rPr>
          <w:sz w:val="24"/>
          <w:szCs w:val="24"/>
        </w:rPr>
        <w:t xml:space="preserve">and c) </w:t>
      </w:r>
      <w:r w:rsidR="004F3083" w:rsidRPr="004E2965">
        <w:rPr>
          <w:i/>
          <w:iCs/>
          <w:sz w:val="24"/>
          <w:szCs w:val="24"/>
        </w:rPr>
        <w:t xml:space="preserve">L. buchneri </w:t>
      </w:r>
      <w:r w:rsidR="004F3083" w:rsidRPr="004E2965">
        <w:rPr>
          <w:sz w:val="24"/>
          <w:szCs w:val="24"/>
        </w:rPr>
        <w:t xml:space="preserve">in </w:t>
      </w:r>
    </w:p>
    <w:p w:rsidR="00612AE2" w:rsidRPr="004E2965" w:rsidRDefault="004F3083" w:rsidP="004F3083">
      <w:pPr>
        <w:ind w:firstLine="720"/>
        <w:contextualSpacing/>
        <w:rPr>
          <w:sz w:val="24"/>
          <w:szCs w:val="24"/>
        </w:rPr>
      </w:pPr>
      <w:r w:rsidRPr="004E2965">
        <w:rPr>
          <w:sz w:val="24"/>
          <w:szCs w:val="24"/>
        </w:rPr>
        <w:t xml:space="preserve">MRS broth with varying % (v/v) cinnamaldehyde over 72 h </w:t>
      </w:r>
      <w:proofErr w:type="gramStart"/>
      <w:r w:rsidR="007E1649" w:rsidRPr="004E2965">
        <w:rPr>
          <w:sz w:val="24"/>
          <w:szCs w:val="24"/>
        </w:rPr>
        <w:t>………………………</w:t>
      </w:r>
      <w:r w:rsidRPr="004E2965">
        <w:rPr>
          <w:sz w:val="24"/>
          <w:szCs w:val="24"/>
        </w:rPr>
        <w:t>………..</w:t>
      </w:r>
      <w:r w:rsidR="004E2965">
        <w:rPr>
          <w:sz w:val="24"/>
          <w:szCs w:val="24"/>
        </w:rPr>
        <w:t>…</w:t>
      </w:r>
      <w:r w:rsidR="00C44521" w:rsidRPr="004E2965">
        <w:rPr>
          <w:sz w:val="24"/>
          <w:szCs w:val="24"/>
        </w:rPr>
        <w:t>..</w:t>
      </w:r>
      <w:r w:rsidR="007E1649" w:rsidRPr="004E2965">
        <w:rPr>
          <w:sz w:val="24"/>
          <w:szCs w:val="24"/>
        </w:rPr>
        <w:t>….</w:t>
      </w:r>
      <w:proofErr w:type="gramEnd"/>
      <w:r w:rsidR="002B5627" w:rsidRPr="004E2965">
        <w:rPr>
          <w:sz w:val="24"/>
          <w:szCs w:val="24"/>
        </w:rPr>
        <w:t>62</w:t>
      </w:r>
      <w:r w:rsidR="00612AE2" w:rsidRPr="004E2965">
        <w:rPr>
          <w:sz w:val="24"/>
          <w:szCs w:val="24"/>
        </w:rPr>
        <w:t xml:space="preserve"> </w:t>
      </w:r>
    </w:p>
    <w:p w:rsidR="004F3083" w:rsidRPr="004E2965" w:rsidRDefault="00BF51F5" w:rsidP="004F3083">
      <w:pPr>
        <w:contextualSpacing/>
        <w:rPr>
          <w:sz w:val="24"/>
          <w:szCs w:val="24"/>
        </w:rPr>
      </w:pPr>
      <w:r w:rsidRPr="004E2965">
        <w:rPr>
          <w:sz w:val="24"/>
          <w:szCs w:val="24"/>
        </w:rPr>
        <w:t>3.</w:t>
      </w:r>
      <w:r w:rsidR="005C4FA0" w:rsidRPr="004E2965">
        <w:rPr>
          <w:sz w:val="24"/>
          <w:szCs w:val="24"/>
        </w:rPr>
        <w:t>3</w:t>
      </w:r>
      <w:r w:rsidR="00612AE2" w:rsidRPr="004E2965">
        <w:rPr>
          <w:sz w:val="24"/>
          <w:szCs w:val="24"/>
        </w:rPr>
        <w:t xml:space="preserve"> </w:t>
      </w:r>
      <w:r w:rsidR="00612AE2" w:rsidRPr="004E2965">
        <w:rPr>
          <w:sz w:val="24"/>
          <w:szCs w:val="24"/>
        </w:rPr>
        <w:tab/>
      </w:r>
      <w:r w:rsidR="004F3083" w:rsidRPr="004E2965">
        <w:rPr>
          <w:sz w:val="24"/>
          <w:szCs w:val="24"/>
        </w:rPr>
        <w:t xml:space="preserve">Response of a) </w:t>
      </w:r>
      <w:r w:rsidR="004F3083" w:rsidRPr="004E2965">
        <w:rPr>
          <w:i/>
          <w:iCs/>
          <w:sz w:val="24"/>
          <w:szCs w:val="24"/>
        </w:rPr>
        <w:t xml:space="preserve">L. citrovorum, </w:t>
      </w:r>
      <w:r w:rsidR="004F3083" w:rsidRPr="004E2965">
        <w:rPr>
          <w:sz w:val="24"/>
          <w:szCs w:val="24"/>
        </w:rPr>
        <w:t xml:space="preserve">b) </w:t>
      </w:r>
      <w:r w:rsidR="004F3083" w:rsidRPr="004E2965">
        <w:rPr>
          <w:i/>
          <w:iCs/>
          <w:sz w:val="24"/>
          <w:szCs w:val="24"/>
        </w:rPr>
        <w:t xml:space="preserve">P. acidilactici, </w:t>
      </w:r>
      <w:r w:rsidR="004F3083" w:rsidRPr="004E2965">
        <w:rPr>
          <w:sz w:val="24"/>
          <w:szCs w:val="24"/>
        </w:rPr>
        <w:t xml:space="preserve">and c) </w:t>
      </w:r>
      <w:r w:rsidR="004F3083" w:rsidRPr="004E2965">
        <w:rPr>
          <w:i/>
          <w:iCs/>
          <w:sz w:val="24"/>
          <w:szCs w:val="24"/>
        </w:rPr>
        <w:t xml:space="preserve">L. buchneri </w:t>
      </w:r>
      <w:r w:rsidR="004F3083" w:rsidRPr="004E2965">
        <w:rPr>
          <w:sz w:val="24"/>
          <w:szCs w:val="24"/>
        </w:rPr>
        <w:t xml:space="preserve">in </w:t>
      </w:r>
    </w:p>
    <w:p w:rsidR="00612AE2" w:rsidRPr="004E2965" w:rsidRDefault="004F3083" w:rsidP="004F3083">
      <w:pPr>
        <w:ind w:firstLine="720"/>
        <w:contextualSpacing/>
        <w:rPr>
          <w:sz w:val="24"/>
          <w:szCs w:val="24"/>
        </w:rPr>
      </w:pPr>
      <w:r w:rsidRPr="004E2965">
        <w:rPr>
          <w:sz w:val="24"/>
          <w:szCs w:val="24"/>
        </w:rPr>
        <w:t xml:space="preserve">MRS broth with varying % (v/v) carvacrol over 72 h </w:t>
      </w:r>
      <w:proofErr w:type="gramStart"/>
      <w:r w:rsidR="007E1649" w:rsidRPr="004E2965">
        <w:rPr>
          <w:sz w:val="24"/>
          <w:szCs w:val="24"/>
        </w:rPr>
        <w:t>………………………………</w:t>
      </w:r>
      <w:r w:rsidRPr="004E2965">
        <w:rPr>
          <w:sz w:val="24"/>
          <w:szCs w:val="24"/>
        </w:rPr>
        <w:t>……………..</w:t>
      </w:r>
      <w:r w:rsidR="00C44521" w:rsidRPr="004E2965">
        <w:rPr>
          <w:sz w:val="24"/>
          <w:szCs w:val="24"/>
        </w:rPr>
        <w:t>.</w:t>
      </w:r>
      <w:r w:rsidR="007E1649" w:rsidRPr="004E2965">
        <w:rPr>
          <w:sz w:val="24"/>
          <w:szCs w:val="24"/>
        </w:rPr>
        <w:t>…</w:t>
      </w:r>
      <w:proofErr w:type="gramEnd"/>
      <w:r w:rsidR="007E1649" w:rsidRPr="004E2965">
        <w:rPr>
          <w:sz w:val="24"/>
          <w:szCs w:val="24"/>
        </w:rPr>
        <w:t>.</w:t>
      </w:r>
      <w:r w:rsidR="006D2064" w:rsidRPr="004E2965">
        <w:rPr>
          <w:sz w:val="24"/>
          <w:szCs w:val="24"/>
        </w:rPr>
        <w:t>.</w:t>
      </w:r>
      <w:r w:rsidR="002B5627" w:rsidRPr="004E2965">
        <w:rPr>
          <w:sz w:val="24"/>
          <w:szCs w:val="24"/>
        </w:rPr>
        <w:t>63</w:t>
      </w:r>
      <w:r w:rsidR="00612AE2" w:rsidRPr="004E2965">
        <w:rPr>
          <w:sz w:val="24"/>
          <w:szCs w:val="24"/>
        </w:rPr>
        <w:t xml:space="preserve"> </w:t>
      </w:r>
    </w:p>
    <w:p w:rsidR="004F3083" w:rsidRPr="004E2965" w:rsidRDefault="004F3083" w:rsidP="004F3083">
      <w:pPr>
        <w:contextualSpacing/>
        <w:rPr>
          <w:sz w:val="24"/>
          <w:szCs w:val="24"/>
        </w:rPr>
      </w:pPr>
      <w:r w:rsidRPr="004E2965">
        <w:rPr>
          <w:sz w:val="24"/>
          <w:szCs w:val="24"/>
        </w:rPr>
        <w:t>3.4</w:t>
      </w:r>
      <w:r w:rsidRPr="004E2965">
        <w:rPr>
          <w:sz w:val="24"/>
          <w:szCs w:val="24"/>
        </w:rPr>
        <w:tab/>
        <w:t xml:space="preserve">Response of a) </w:t>
      </w:r>
      <w:r w:rsidRPr="004E2965">
        <w:rPr>
          <w:i/>
          <w:iCs/>
          <w:sz w:val="24"/>
          <w:szCs w:val="24"/>
        </w:rPr>
        <w:t xml:space="preserve">L. citrovorum, </w:t>
      </w:r>
      <w:r w:rsidRPr="004E2965">
        <w:rPr>
          <w:sz w:val="24"/>
          <w:szCs w:val="24"/>
        </w:rPr>
        <w:t xml:space="preserve">b) </w:t>
      </w:r>
      <w:r w:rsidRPr="004E2965">
        <w:rPr>
          <w:i/>
          <w:iCs/>
          <w:sz w:val="24"/>
          <w:szCs w:val="24"/>
        </w:rPr>
        <w:t xml:space="preserve">P. acidilactici, </w:t>
      </w:r>
      <w:r w:rsidRPr="004E2965">
        <w:rPr>
          <w:sz w:val="24"/>
          <w:szCs w:val="24"/>
        </w:rPr>
        <w:t xml:space="preserve">and c) </w:t>
      </w:r>
      <w:r w:rsidRPr="004E2965">
        <w:rPr>
          <w:i/>
          <w:iCs/>
          <w:sz w:val="24"/>
          <w:szCs w:val="24"/>
        </w:rPr>
        <w:t xml:space="preserve">L. buchneri </w:t>
      </w:r>
      <w:r w:rsidRPr="004E2965">
        <w:rPr>
          <w:sz w:val="24"/>
          <w:szCs w:val="24"/>
        </w:rPr>
        <w:t xml:space="preserve">in </w:t>
      </w:r>
    </w:p>
    <w:p w:rsidR="005112FB" w:rsidRPr="004E2965" w:rsidRDefault="004F3083" w:rsidP="004F3083">
      <w:pPr>
        <w:ind w:firstLine="720"/>
        <w:rPr>
          <w:sz w:val="24"/>
          <w:szCs w:val="24"/>
        </w:rPr>
      </w:pPr>
      <w:r w:rsidRPr="004E2965">
        <w:rPr>
          <w:sz w:val="24"/>
          <w:szCs w:val="24"/>
        </w:rPr>
        <w:t>MRS broth with varying % (v/v) eugenol over 72 h……………………………………………………….6</w:t>
      </w:r>
      <w:r w:rsidR="002B5627" w:rsidRPr="004E2965">
        <w:rPr>
          <w:sz w:val="24"/>
          <w:szCs w:val="24"/>
        </w:rPr>
        <w:t>4</w:t>
      </w:r>
    </w:p>
    <w:p w:rsidR="005112FB" w:rsidRDefault="005112FB" w:rsidP="005112FB"/>
    <w:p w:rsidR="00007FB9" w:rsidRDefault="00007FB9" w:rsidP="005112FB"/>
    <w:p w:rsidR="00901018" w:rsidRDefault="00901018" w:rsidP="005112FB">
      <w:pPr>
        <w:sectPr w:rsidR="00901018" w:rsidSect="00052CE4">
          <w:headerReference w:type="default" r:id="rId6"/>
          <w:footerReference w:type="default" r:id="rId7"/>
          <w:pgSz w:w="12240" w:h="15840"/>
          <w:pgMar w:top="1440" w:right="1440" w:bottom="1440" w:left="1440" w:header="720" w:footer="720" w:gutter="0"/>
          <w:pgNumType w:fmt="lowerRoman" w:start="2"/>
          <w:cols w:space="720"/>
          <w:docGrid w:linePitch="360"/>
        </w:sectPr>
      </w:pPr>
    </w:p>
    <w:p w:rsidR="0074049B" w:rsidRPr="0074049B" w:rsidRDefault="0074049B" w:rsidP="0074049B">
      <w:pPr>
        <w:pStyle w:val="Heading1"/>
        <w:spacing w:line="480" w:lineRule="auto"/>
        <w:contextualSpacing/>
        <w:jc w:val="center"/>
        <w:rPr>
          <w:rFonts w:asciiTheme="minorHAnsi" w:hAnsiTheme="minorHAnsi"/>
          <w:color w:val="auto"/>
        </w:rPr>
      </w:pPr>
      <w:bookmarkStart w:id="0" w:name="_Toc364366568"/>
      <w:r w:rsidRPr="0074049B">
        <w:rPr>
          <w:rFonts w:asciiTheme="minorHAnsi" w:hAnsiTheme="minorHAnsi"/>
          <w:color w:val="auto"/>
        </w:rPr>
        <w:lastRenderedPageBreak/>
        <w:t>Introduction</w:t>
      </w:r>
      <w:bookmarkEnd w:id="0"/>
    </w:p>
    <w:p w:rsidR="0074049B" w:rsidRPr="0029151A" w:rsidRDefault="0074049B" w:rsidP="002B5627">
      <w:pPr>
        <w:spacing w:line="480" w:lineRule="auto"/>
        <w:contextualSpacing/>
        <w:rPr>
          <w:sz w:val="24"/>
          <w:szCs w:val="24"/>
        </w:rPr>
      </w:pPr>
      <w:r w:rsidRPr="0029151A">
        <w:rPr>
          <w:sz w:val="24"/>
          <w:szCs w:val="24"/>
        </w:rPr>
        <w:tab/>
      </w:r>
      <w:r>
        <w:rPr>
          <w:sz w:val="24"/>
          <w:szCs w:val="24"/>
        </w:rPr>
        <w:t>Many h</w:t>
      </w:r>
      <w:r w:rsidRPr="0029151A">
        <w:rPr>
          <w:sz w:val="24"/>
          <w:szCs w:val="24"/>
        </w:rPr>
        <w:t xml:space="preserve">erbs and spices have been recognized for their preservative or medicinal properties for millennia. Essential oils present in plant matter have been attributed as principal sources of antimicrobial </w:t>
      </w:r>
      <w:r>
        <w:rPr>
          <w:sz w:val="24"/>
          <w:szCs w:val="24"/>
        </w:rPr>
        <w:t>activity, which has been illustrated against bacteria and fungi (Shelef 1983;</w:t>
      </w:r>
      <w:r w:rsidRPr="00016C02">
        <w:rPr>
          <w:sz w:val="24"/>
          <w:szCs w:val="24"/>
        </w:rPr>
        <w:t xml:space="preserve"> </w:t>
      </w:r>
      <w:r>
        <w:rPr>
          <w:sz w:val="24"/>
          <w:szCs w:val="24"/>
        </w:rPr>
        <w:t>Zaika 1988). The understanding of these oil’s antimicrobial mechanisms of action has led to increased interest in the specific compounds responsible for this activity, specifically those phenolic in nature (Davidson and others 2005).</w:t>
      </w:r>
    </w:p>
    <w:p w:rsidR="0074049B" w:rsidRDefault="0074049B" w:rsidP="0074049B">
      <w:pPr>
        <w:spacing w:line="480" w:lineRule="auto"/>
        <w:ind w:firstLine="720"/>
        <w:contextualSpacing/>
        <w:rPr>
          <w:sz w:val="24"/>
          <w:szCs w:val="24"/>
        </w:rPr>
      </w:pPr>
      <w:r>
        <w:rPr>
          <w:sz w:val="24"/>
          <w:szCs w:val="24"/>
        </w:rPr>
        <w:t xml:space="preserve">Consumers are becoming increasingly aware and concerned about the use of food additives that are synthetically derived or altered. This is driving research to examine essential oils for their use as food preservatives in lieu of traditionally used synthetic compounds. </w:t>
      </w:r>
      <w:proofErr w:type="gramStart"/>
      <w:r w:rsidRPr="0029151A">
        <w:rPr>
          <w:sz w:val="24"/>
          <w:szCs w:val="24"/>
        </w:rPr>
        <w:t>(Fratianni and others).</w:t>
      </w:r>
      <w:proofErr w:type="gramEnd"/>
      <w:r w:rsidRPr="0029151A">
        <w:rPr>
          <w:sz w:val="24"/>
          <w:szCs w:val="24"/>
        </w:rPr>
        <w:t xml:space="preserve"> </w:t>
      </w:r>
      <w:r>
        <w:rPr>
          <w:sz w:val="24"/>
          <w:szCs w:val="24"/>
        </w:rPr>
        <w:t>The aim of this work was to determine what concentrations of several oils or their compounds are effective against lactic acid bacteria, which are responsible for spoilage of acidic foods.</w:t>
      </w:r>
    </w:p>
    <w:p w:rsidR="0074049B" w:rsidRDefault="0074049B" w:rsidP="0074049B">
      <w:pPr>
        <w:spacing w:line="480" w:lineRule="auto"/>
        <w:ind w:firstLine="720"/>
        <w:contextualSpacing/>
        <w:rPr>
          <w:sz w:val="24"/>
          <w:szCs w:val="24"/>
        </w:rPr>
      </w:pPr>
    </w:p>
    <w:p w:rsidR="0074049B" w:rsidRDefault="0074049B" w:rsidP="0074049B">
      <w:pPr>
        <w:spacing w:line="480" w:lineRule="auto"/>
        <w:ind w:firstLine="720"/>
        <w:contextualSpacing/>
        <w:rPr>
          <w:sz w:val="24"/>
          <w:szCs w:val="24"/>
        </w:rPr>
      </w:pPr>
    </w:p>
    <w:p w:rsidR="0074049B" w:rsidRDefault="0074049B" w:rsidP="0074049B">
      <w:pPr>
        <w:spacing w:line="480" w:lineRule="auto"/>
        <w:ind w:firstLine="720"/>
        <w:contextualSpacing/>
        <w:rPr>
          <w:sz w:val="24"/>
          <w:szCs w:val="24"/>
        </w:rPr>
      </w:pPr>
    </w:p>
    <w:p w:rsidR="0074049B" w:rsidRDefault="0074049B" w:rsidP="0074049B">
      <w:pPr>
        <w:spacing w:line="480" w:lineRule="auto"/>
        <w:ind w:firstLine="720"/>
        <w:contextualSpacing/>
        <w:rPr>
          <w:sz w:val="24"/>
          <w:szCs w:val="24"/>
        </w:rPr>
      </w:pPr>
    </w:p>
    <w:p w:rsidR="0074049B" w:rsidRDefault="0074049B" w:rsidP="0074049B">
      <w:pPr>
        <w:spacing w:line="480" w:lineRule="auto"/>
        <w:ind w:firstLine="720"/>
        <w:contextualSpacing/>
        <w:rPr>
          <w:sz w:val="24"/>
          <w:szCs w:val="24"/>
        </w:rPr>
      </w:pPr>
    </w:p>
    <w:p w:rsidR="0074049B" w:rsidRDefault="0074049B" w:rsidP="0074049B">
      <w:pPr>
        <w:spacing w:line="480" w:lineRule="auto"/>
        <w:ind w:firstLine="720"/>
        <w:contextualSpacing/>
        <w:rPr>
          <w:sz w:val="24"/>
          <w:szCs w:val="24"/>
        </w:rPr>
      </w:pPr>
    </w:p>
    <w:p w:rsidR="0074049B" w:rsidRDefault="0074049B" w:rsidP="0074049B">
      <w:pPr>
        <w:spacing w:line="480" w:lineRule="auto"/>
        <w:ind w:firstLine="720"/>
        <w:contextualSpacing/>
        <w:rPr>
          <w:sz w:val="24"/>
          <w:szCs w:val="24"/>
        </w:rPr>
      </w:pPr>
    </w:p>
    <w:p w:rsidR="0074049B" w:rsidRDefault="0074049B" w:rsidP="0074049B">
      <w:pPr>
        <w:spacing w:line="480" w:lineRule="auto"/>
        <w:ind w:firstLine="720"/>
        <w:contextualSpacing/>
        <w:rPr>
          <w:sz w:val="24"/>
          <w:szCs w:val="24"/>
        </w:rPr>
      </w:pPr>
    </w:p>
    <w:p w:rsidR="00007FB9" w:rsidRPr="00901018" w:rsidRDefault="00D027CE" w:rsidP="002B5627">
      <w:pPr>
        <w:spacing w:line="480" w:lineRule="auto"/>
        <w:contextualSpacing/>
        <w:jc w:val="center"/>
        <w:rPr>
          <w:b/>
          <w:sz w:val="28"/>
          <w:szCs w:val="28"/>
        </w:rPr>
      </w:pPr>
      <w:r w:rsidRPr="00901018">
        <w:rPr>
          <w:b/>
          <w:sz w:val="28"/>
          <w:szCs w:val="28"/>
        </w:rPr>
        <w:lastRenderedPageBreak/>
        <w:t>Chapter 1</w:t>
      </w:r>
    </w:p>
    <w:p w:rsidR="00701057" w:rsidRPr="00901018" w:rsidRDefault="00901018" w:rsidP="002B5627">
      <w:pPr>
        <w:pStyle w:val="Heading1"/>
        <w:tabs>
          <w:tab w:val="left" w:pos="5040"/>
        </w:tabs>
        <w:jc w:val="center"/>
        <w:rPr>
          <w:rFonts w:asciiTheme="minorHAnsi" w:hAnsiTheme="minorHAnsi"/>
          <w:color w:val="auto"/>
        </w:rPr>
      </w:pPr>
      <w:bookmarkStart w:id="1" w:name="_Toc364366569"/>
      <w:r w:rsidRPr="00901018">
        <w:rPr>
          <w:rFonts w:asciiTheme="minorHAnsi" w:hAnsiTheme="minorHAnsi"/>
          <w:color w:val="auto"/>
        </w:rPr>
        <w:t>Review of Literature</w:t>
      </w:r>
      <w:bookmarkEnd w:id="1"/>
    </w:p>
    <w:p w:rsidR="00901018" w:rsidRDefault="00901018" w:rsidP="00901018"/>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6778AD" w:rsidRDefault="006778AD" w:rsidP="00B571BC">
      <w:pPr>
        <w:pStyle w:val="Heading2"/>
        <w:spacing w:line="480" w:lineRule="auto"/>
        <w:rPr>
          <w:rFonts w:asciiTheme="minorHAnsi" w:hAnsiTheme="minorHAnsi"/>
          <w:color w:val="auto"/>
          <w:sz w:val="24"/>
          <w:szCs w:val="24"/>
        </w:rPr>
      </w:pPr>
    </w:p>
    <w:p w:rsidR="00901018" w:rsidRPr="00B571BC" w:rsidRDefault="00901018" w:rsidP="00B571BC">
      <w:pPr>
        <w:pStyle w:val="Heading2"/>
        <w:spacing w:line="480" w:lineRule="auto"/>
        <w:rPr>
          <w:rFonts w:asciiTheme="minorHAnsi" w:hAnsiTheme="minorHAnsi"/>
          <w:color w:val="auto"/>
          <w:sz w:val="24"/>
          <w:szCs w:val="24"/>
        </w:rPr>
      </w:pPr>
      <w:bookmarkStart w:id="2" w:name="_Toc364366570"/>
      <w:r w:rsidRPr="00B571BC">
        <w:rPr>
          <w:rFonts w:asciiTheme="minorHAnsi" w:hAnsiTheme="minorHAnsi"/>
          <w:color w:val="auto"/>
          <w:sz w:val="24"/>
          <w:szCs w:val="24"/>
        </w:rPr>
        <w:lastRenderedPageBreak/>
        <w:t>Introduction to Essential Oils</w:t>
      </w:r>
      <w:bookmarkEnd w:id="2"/>
    </w:p>
    <w:p w:rsidR="00701057" w:rsidRPr="00FE5B3A" w:rsidRDefault="00701057" w:rsidP="00B571BC">
      <w:pPr>
        <w:spacing w:line="480" w:lineRule="auto"/>
        <w:ind w:firstLine="720"/>
        <w:contextualSpacing/>
        <w:rPr>
          <w:sz w:val="24"/>
          <w:szCs w:val="24"/>
        </w:rPr>
      </w:pPr>
      <w:r w:rsidRPr="00701057">
        <w:rPr>
          <w:sz w:val="24"/>
          <w:szCs w:val="24"/>
        </w:rPr>
        <w:t xml:space="preserve">Plant derived antimicrobial agents are becoming increasingly popular as food, cosmetic and pharmaceutical preservatives.  Essential oils isolated from widely used spices and their plant sources contain compounds known for their antimicrobial activity (Dorman and Deans 2000). Oils containing specific phenols are generally the most effective for antimicrobial application, including those from clove, oregano, and thyme (Deans and others 1995; Holley </w:t>
      </w:r>
      <w:r w:rsidRPr="00FE5B3A">
        <w:rPr>
          <w:sz w:val="24"/>
          <w:szCs w:val="24"/>
        </w:rPr>
        <w:t xml:space="preserve">and Patel 2005; Pyrgotou and others 2010). Many of these oils are </w:t>
      </w:r>
      <w:r w:rsidR="00826600" w:rsidRPr="00FE5B3A">
        <w:rPr>
          <w:sz w:val="24"/>
          <w:szCs w:val="24"/>
        </w:rPr>
        <w:t>m</w:t>
      </w:r>
      <w:r w:rsidR="00826600">
        <w:rPr>
          <w:sz w:val="24"/>
          <w:szCs w:val="24"/>
        </w:rPr>
        <w:t>ost</w:t>
      </w:r>
      <w:r w:rsidR="00826600" w:rsidRPr="00FE5B3A">
        <w:rPr>
          <w:sz w:val="24"/>
          <w:szCs w:val="24"/>
        </w:rPr>
        <w:t xml:space="preserve"> </w:t>
      </w:r>
      <w:r w:rsidRPr="00FE5B3A">
        <w:rPr>
          <w:sz w:val="24"/>
          <w:szCs w:val="24"/>
        </w:rPr>
        <w:t xml:space="preserve">effective against </w:t>
      </w:r>
      <w:r w:rsidR="00203888">
        <w:rPr>
          <w:sz w:val="24"/>
          <w:szCs w:val="24"/>
        </w:rPr>
        <w:t>Gram-positive</w:t>
      </w:r>
      <w:r w:rsidRPr="00FE5B3A">
        <w:rPr>
          <w:sz w:val="24"/>
          <w:szCs w:val="24"/>
        </w:rPr>
        <w:t xml:space="preserve"> organisms, </w:t>
      </w:r>
      <w:r w:rsidR="00826600">
        <w:rPr>
          <w:sz w:val="24"/>
          <w:szCs w:val="24"/>
        </w:rPr>
        <w:t xml:space="preserve">though some are more antagonistic towards </w:t>
      </w:r>
      <w:r w:rsidR="00203888">
        <w:rPr>
          <w:sz w:val="24"/>
          <w:szCs w:val="24"/>
        </w:rPr>
        <w:t>Gram-negative</w:t>
      </w:r>
      <w:r w:rsidR="00826600">
        <w:rPr>
          <w:sz w:val="24"/>
          <w:szCs w:val="24"/>
        </w:rPr>
        <w:t xml:space="preserve"> species.</w:t>
      </w:r>
      <w:r w:rsidR="00F327C5">
        <w:rPr>
          <w:sz w:val="24"/>
          <w:szCs w:val="24"/>
        </w:rPr>
        <w:t xml:space="preserve"> </w:t>
      </w:r>
      <w:proofErr w:type="gramStart"/>
      <w:r w:rsidR="00F327C5">
        <w:rPr>
          <w:sz w:val="24"/>
          <w:szCs w:val="24"/>
        </w:rPr>
        <w:t xml:space="preserve">(Ouattara and others 1997; </w:t>
      </w:r>
      <w:r w:rsidR="00F327C5" w:rsidRPr="00FE5B3A">
        <w:rPr>
          <w:sz w:val="24"/>
          <w:szCs w:val="24"/>
        </w:rPr>
        <w:t>Skandamis and others 2002</w:t>
      </w:r>
      <w:r w:rsidR="00F327C5">
        <w:rPr>
          <w:sz w:val="24"/>
          <w:szCs w:val="24"/>
        </w:rPr>
        <w:t>; Holley and Patel 2005</w:t>
      </w:r>
      <w:r w:rsidRPr="00FE5B3A">
        <w:rPr>
          <w:sz w:val="24"/>
          <w:szCs w:val="24"/>
        </w:rPr>
        <w:t>).</w:t>
      </w:r>
      <w:proofErr w:type="gramEnd"/>
      <w:r w:rsidRPr="00FE5B3A">
        <w:rPr>
          <w:sz w:val="24"/>
          <w:szCs w:val="24"/>
        </w:rPr>
        <w:t xml:space="preserve"> Additional derivatives of these oils may be non-phenolic in nature but still exhibit profound antimicrobial activity, such as allyl isothiocyanate,</w:t>
      </w:r>
      <w:r w:rsidR="00652905">
        <w:rPr>
          <w:sz w:val="24"/>
          <w:szCs w:val="24"/>
        </w:rPr>
        <w:t xml:space="preserve"> which may be used against </w:t>
      </w:r>
      <w:r w:rsidR="00203888">
        <w:rPr>
          <w:sz w:val="24"/>
          <w:szCs w:val="24"/>
        </w:rPr>
        <w:t>Gram-negative</w:t>
      </w:r>
      <w:r w:rsidRPr="00FE5B3A">
        <w:rPr>
          <w:sz w:val="24"/>
          <w:szCs w:val="24"/>
        </w:rPr>
        <w:t xml:space="preserve"> bacteria and fungi (Kyung and Fleming 1997; Lin and others 2000). </w:t>
      </w:r>
    </w:p>
    <w:p w:rsidR="00701057" w:rsidRPr="00FE5B3A" w:rsidRDefault="00701057" w:rsidP="004602D6">
      <w:pPr>
        <w:spacing w:line="480" w:lineRule="auto"/>
        <w:ind w:firstLine="720"/>
        <w:contextualSpacing/>
        <w:rPr>
          <w:sz w:val="24"/>
          <w:szCs w:val="24"/>
        </w:rPr>
      </w:pPr>
      <w:r w:rsidRPr="00FE5B3A">
        <w:rPr>
          <w:sz w:val="24"/>
          <w:szCs w:val="24"/>
        </w:rPr>
        <w:t xml:space="preserve">Antimicrobials of particular interest in this review include thyme oil, thymol, clove bud oil, carvacrol, cinnamon bark oil, cinnamic acid, cinnamaldehyde, eugenol, and allyl isothiocyanate. Eugenol is the major antimicrobial in clove bud oil, comprising approximately 70-90% of the oil. The remainder of the oil contains compounds such as eugenol acetate (0-15%) and beta caryophyllene (5-15%) </w:t>
      </w:r>
      <w:proofErr w:type="gramStart"/>
      <w:r w:rsidRPr="00FE5B3A">
        <w:rPr>
          <w:sz w:val="24"/>
          <w:szCs w:val="24"/>
        </w:rPr>
        <w:t>(Deans and others 1995; Pino and others 2001; Holley and Patel 2005; Alma and others 2007).</w:t>
      </w:r>
      <w:proofErr w:type="gramEnd"/>
      <w:r w:rsidRPr="00FE5B3A">
        <w:rPr>
          <w:sz w:val="24"/>
          <w:szCs w:val="24"/>
        </w:rPr>
        <w:t xml:space="preserve"> Oregano oil is one of the most common sources of carvacrol, which makes up 60-70% of the oil. </w:t>
      </w:r>
      <w:r w:rsidR="00FB19F2">
        <w:rPr>
          <w:sz w:val="24"/>
          <w:szCs w:val="24"/>
        </w:rPr>
        <w:t>The antimicrobial activity of thyme oil is most readily attributed to thymol, which is generally present in concentrations around 45% (Bagamboula and others 2004). However, thyme oil may also contain large quantities of carvacrol, which can range from</w:t>
      </w:r>
      <w:r w:rsidR="00EF7111">
        <w:rPr>
          <w:sz w:val="24"/>
          <w:szCs w:val="24"/>
        </w:rPr>
        <w:t xml:space="preserve"> 33% in leaf oils to about 61% in stem oil</w:t>
      </w:r>
      <w:r w:rsidR="00FB19F2">
        <w:rPr>
          <w:sz w:val="24"/>
          <w:szCs w:val="24"/>
        </w:rPr>
        <w:t xml:space="preserve">, depending on </w:t>
      </w:r>
      <w:r w:rsidR="00FB19F2">
        <w:rPr>
          <w:sz w:val="24"/>
          <w:szCs w:val="24"/>
        </w:rPr>
        <w:lastRenderedPageBreak/>
        <w:t>geographic location, time of harvest, or extraction method of the oil</w:t>
      </w:r>
      <w:r w:rsidRPr="00FE5B3A">
        <w:rPr>
          <w:sz w:val="24"/>
          <w:szCs w:val="24"/>
        </w:rPr>
        <w:t xml:space="preserve"> (Ultee and others 2002</w:t>
      </w:r>
      <w:r w:rsidR="00EF7111">
        <w:rPr>
          <w:sz w:val="24"/>
          <w:szCs w:val="24"/>
        </w:rPr>
        <w:t>; Belaqziz and others 2013</w:t>
      </w:r>
      <w:r w:rsidRPr="00FE5B3A">
        <w:rPr>
          <w:sz w:val="24"/>
          <w:szCs w:val="24"/>
        </w:rPr>
        <w:t>).</w:t>
      </w:r>
      <w:r w:rsidR="00EF7111">
        <w:rPr>
          <w:sz w:val="24"/>
          <w:szCs w:val="24"/>
        </w:rPr>
        <w:t xml:space="preserve"> </w:t>
      </w:r>
      <w:r w:rsidRPr="00FE5B3A">
        <w:rPr>
          <w:sz w:val="24"/>
          <w:szCs w:val="24"/>
        </w:rPr>
        <w:t xml:space="preserve">Cinnamaldehyde is the major antimicrobial component in cinnamon bark oil. Cinnamic acid also participates in the antimicrobial activity of cinnamon oils as well as cloves (Roller and Seedhar 2002; Holley and Patel 2005; Matan and others 2006). </w:t>
      </w:r>
    </w:p>
    <w:p w:rsidR="00701057" w:rsidRPr="00FE5B3A" w:rsidRDefault="00701057" w:rsidP="007E1649">
      <w:pPr>
        <w:pStyle w:val="Heading2"/>
        <w:spacing w:line="480" w:lineRule="auto"/>
        <w:contextualSpacing/>
        <w:rPr>
          <w:rFonts w:asciiTheme="minorHAnsi" w:hAnsiTheme="minorHAnsi"/>
          <w:color w:val="auto"/>
        </w:rPr>
      </w:pPr>
      <w:bookmarkStart w:id="3" w:name="_Toc364366571"/>
      <w:r w:rsidRPr="00FE5B3A">
        <w:rPr>
          <w:rFonts w:asciiTheme="minorHAnsi" w:hAnsiTheme="minorHAnsi"/>
          <w:color w:val="auto"/>
        </w:rPr>
        <w:t>Lactic Acid Bacteria</w:t>
      </w:r>
      <w:bookmarkEnd w:id="3"/>
    </w:p>
    <w:p w:rsidR="00701057" w:rsidRPr="00FE5B3A" w:rsidRDefault="00701057" w:rsidP="007E1649">
      <w:pPr>
        <w:spacing w:line="480" w:lineRule="auto"/>
        <w:contextualSpacing/>
        <w:rPr>
          <w:sz w:val="24"/>
          <w:szCs w:val="24"/>
        </w:rPr>
      </w:pPr>
      <w:r w:rsidRPr="00FE5B3A">
        <w:rPr>
          <w:sz w:val="24"/>
          <w:szCs w:val="24"/>
        </w:rPr>
        <w:tab/>
        <w:t xml:space="preserve">The term lactic acid bacteria (LAB) encompasses a vast community of </w:t>
      </w:r>
      <w:r w:rsidR="00203888">
        <w:rPr>
          <w:sz w:val="24"/>
          <w:szCs w:val="24"/>
        </w:rPr>
        <w:t>Gram-positive</w:t>
      </w:r>
      <w:r w:rsidRPr="00FE5B3A">
        <w:rPr>
          <w:sz w:val="24"/>
          <w:szCs w:val="24"/>
        </w:rPr>
        <w:t xml:space="preserve">, non-spore forming, fermentative microorganisms that are desired </w:t>
      </w:r>
      <w:r w:rsidR="00287378">
        <w:rPr>
          <w:sz w:val="24"/>
          <w:szCs w:val="24"/>
        </w:rPr>
        <w:t xml:space="preserve">in food fermentations but are considered spoilage agents by other </w:t>
      </w:r>
      <w:r w:rsidRPr="00FE5B3A">
        <w:rPr>
          <w:sz w:val="24"/>
          <w:szCs w:val="24"/>
        </w:rPr>
        <w:t xml:space="preserve">constituents of the food industry. End products of their fermentation result in classification into two primary classes: homofermentative and heterofermentative. Under unrestricted ambient growth conditions, homofermentative LAB convert glucose to </w:t>
      </w:r>
      <w:r w:rsidR="00287378">
        <w:rPr>
          <w:sz w:val="24"/>
          <w:szCs w:val="24"/>
        </w:rPr>
        <w:t xml:space="preserve">&gt; 90% </w:t>
      </w:r>
      <w:r w:rsidRPr="00FE5B3A">
        <w:rPr>
          <w:sz w:val="24"/>
          <w:szCs w:val="24"/>
        </w:rPr>
        <w:t xml:space="preserve">lactic acid. Heterofermentative LAB fermentation, on the other hand, results in a blend of end products predominantly comprising lactic acid but that may also include carbon dioxide, ethanol and acetic acid.   </w:t>
      </w:r>
    </w:p>
    <w:p w:rsidR="00701057" w:rsidRPr="00FE5B3A" w:rsidRDefault="00701057" w:rsidP="00701057">
      <w:pPr>
        <w:spacing w:line="480" w:lineRule="auto"/>
        <w:contextualSpacing/>
        <w:rPr>
          <w:sz w:val="24"/>
          <w:szCs w:val="24"/>
        </w:rPr>
      </w:pPr>
      <w:r w:rsidRPr="00FE5B3A">
        <w:rPr>
          <w:sz w:val="24"/>
          <w:szCs w:val="24"/>
        </w:rPr>
        <w:tab/>
      </w:r>
      <w:r w:rsidR="00AD0B96" w:rsidRPr="007E3424">
        <w:rPr>
          <w:i/>
          <w:sz w:val="24"/>
          <w:szCs w:val="24"/>
        </w:rPr>
        <w:t>Pediococci</w:t>
      </w:r>
      <w:r w:rsidRPr="00FE5B3A">
        <w:rPr>
          <w:sz w:val="24"/>
          <w:szCs w:val="24"/>
        </w:rPr>
        <w:t xml:space="preserve"> are homofermentative, acid tolerant bacteria commonly isolated from foods. </w:t>
      </w:r>
      <w:r w:rsidR="00DB0605" w:rsidRPr="00DB0605">
        <w:rPr>
          <w:i/>
          <w:sz w:val="24"/>
          <w:szCs w:val="24"/>
        </w:rPr>
        <w:t xml:space="preserve">P. </w:t>
      </w:r>
      <w:r w:rsidR="006F4759">
        <w:rPr>
          <w:i/>
          <w:sz w:val="24"/>
          <w:szCs w:val="24"/>
        </w:rPr>
        <w:t>acidilactici</w:t>
      </w:r>
      <w:r w:rsidRPr="00FE5B3A">
        <w:rPr>
          <w:sz w:val="24"/>
          <w:szCs w:val="24"/>
        </w:rPr>
        <w:t xml:space="preserve"> is commonly required for preservation and flavoring of fermented sausages due to their production of lactic acid. Members of the heterofermentative </w:t>
      </w:r>
      <w:r w:rsidRPr="0083707B">
        <w:rPr>
          <w:i/>
          <w:sz w:val="24"/>
          <w:szCs w:val="24"/>
        </w:rPr>
        <w:t>Leuconostoc</w:t>
      </w:r>
      <w:r w:rsidRPr="00FE5B3A">
        <w:rPr>
          <w:sz w:val="24"/>
          <w:szCs w:val="24"/>
        </w:rPr>
        <w:t xml:space="preserve"> genus are widely exploited for production of fermented vegetable products such as kimchi and sauerkraut. </w:t>
      </w:r>
      <w:r w:rsidR="00BC45C9" w:rsidRPr="0083707B">
        <w:rPr>
          <w:i/>
          <w:sz w:val="24"/>
          <w:szCs w:val="24"/>
        </w:rPr>
        <w:t>Leuconostoc</w:t>
      </w:r>
      <w:r w:rsidRPr="0083707B">
        <w:rPr>
          <w:i/>
          <w:sz w:val="24"/>
          <w:szCs w:val="24"/>
        </w:rPr>
        <w:t xml:space="preserve"> mesenteroides</w:t>
      </w:r>
      <w:r w:rsidR="0051624C">
        <w:rPr>
          <w:sz w:val="24"/>
          <w:szCs w:val="24"/>
        </w:rPr>
        <w:t xml:space="preserve"> is also a commonly used culture</w:t>
      </w:r>
      <w:r w:rsidRPr="00FE5B3A">
        <w:rPr>
          <w:sz w:val="24"/>
          <w:szCs w:val="24"/>
        </w:rPr>
        <w:t xml:space="preserve"> in dairy fermentations. Lactobacilli are the most abundant and often most acid tolerant of the LAB, and aid in the production of fermented vegetable products, yogurts and cheeses, and breads (Axelsson and others 2004).  </w:t>
      </w:r>
    </w:p>
    <w:p w:rsidR="00701057" w:rsidRPr="00FE5B3A" w:rsidRDefault="00701057" w:rsidP="00701057">
      <w:pPr>
        <w:spacing w:line="480" w:lineRule="auto"/>
        <w:contextualSpacing/>
        <w:rPr>
          <w:sz w:val="24"/>
          <w:szCs w:val="24"/>
        </w:rPr>
      </w:pPr>
      <w:r w:rsidRPr="00FE5B3A">
        <w:rPr>
          <w:sz w:val="24"/>
          <w:szCs w:val="24"/>
        </w:rPr>
        <w:lastRenderedPageBreak/>
        <w:tab/>
        <w:t>As highly as LAB are valued within the food industry, they also account for significant spoilage and mo</w:t>
      </w:r>
      <w:r w:rsidR="0051624C">
        <w:rPr>
          <w:sz w:val="24"/>
          <w:szCs w:val="24"/>
        </w:rPr>
        <w:t>netary loss</w:t>
      </w:r>
      <w:r w:rsidRPr="00FE5B3A">
        <w:rPr>
          <w:sz w:val="24"/>
          <w:szCs w:val="24"/>
        </w:rPr>
        <w:t xml:space="preserve">.  Spoilage due to </w:t>
      </w:r>
      <w:r w:rsidR="00DB0605" w:rsidRPr="00DB0605">
        <w:rPr>
          <w:i/>
          <w:sz w:val="24"/>
          <w:szCs w:val="24"/>
        </w:rPr>
        <w:t>P. damnosus</w:t>
      </w:r>
      <w:r w:rsidRPr="00FE5B3A">
        <w:rPr>
          <w:sz w:val="24"/>
          <w:szCs w:val="24"/>
        </w:rPr>
        <w:t xml:space="preserve"> has long been the bane of beer producers as its presence results in a buttery off-flavor in finished product</w:t>
      </w:r>
      <w:r w:rsidR="00017460">
        <w:rPr>
          <w:sz w:val="24"/>
          <w:szCs w:val="24"/>
        </w:rPr>
        <w:t>s</w:t>
      </w:r>
      <w:r w:rsidRPr="00FE5B3A">
        <w:rPr>
          <w:sz w:val="24"/>
          <w:szCs w:val="24"/>
        </w:rPr>
        <w:t xml:space="preserve"> (Axelsson and others 2004). </w:t>
      </w:r>
      <w:r w:rsidR="00FD3B94" w:rsidRPr="00FD3B94">
        <w:rPr>
          <w:i/>
          <w:sz w:val="24"/>
          <w:szCs w:val="24"/>
        </w:rPr>
        <w:t>L. fructivorans</w:t>
      </w:r>
      <w:r w:rsidRPr="00FE5B3A">
        <w:rPr>
          <w:sz w:val="24"/>
          <w:szCs w:val="24"/>
        </w:rPr>
        <w:t xml:space="preserve">, </w:t>
      </w:r>
      <w:r w:rsidR="00FD3B94" w:rsidRPr="00FD3B94">
        <w:rPr>
          <w:i/>
          <w:sz w:val="24"/>
          <w:szCs w:val="24"/>
        </w:rPr>
        <w:t>L. plantarum</w:t>
      </w:r>
      <w:r w:rsidRPr="00FE5B3A">
        <w:rPr>
          <w:sz w:val="24"/>
          <w:szCs w:val="24"/>
        </w:rPr>
        <w:t xml:space="preserve">, </w:t>
      </w:r>
      <w:r w:rsidR="00FD3B94" w:rsidRPr="00FD3B94">
        <w:rPr>
          <w:i/>
          <w:sz w:val="24"/>
          <w:szCs w:val="24"/>
        </w:rPr>
        <w:t>L. brevis</w:t>
      </w:r>
      <w:r w:rsidRPr="00FE5B3A">
        <w:rPr>
          <w:sz w:val="24"/>
          <w:szCs w:val="24"/>
        </w:rPr>
        <w:t xml:space="preserve">, and </w:t>
      </w:r>
      <w:r w:rsidR="00DB0605" w:rsidRPr="00DB0605">
        <w:rPr>
          <w:i/>
          <w:sz w:val="24"/>
          <w:szCs w:val="24"/>
        </w:rPr>
        <w:t xml:space="preserve">P. </w:t>
      </w:r>
      <w:r w:rsidR="006F4759">
        <w:rPr>
          <w:i/>
          <w:sz w:val="24"/>
          <w:szCs w:val="24"/>
        </w:rPr>
        <w:t>acidilactici</w:t>
      </w:r>
      <w:r w:rsidRPr="00FE5B3A">
        <w:rPr>
          <w:sz w:val="24"/>
          <w:szCs w:val="24"/>
        </w:rPr>
        <w:t xml:space="preserve"> have been implicated in the spoilage of mayonnaise and/or salad dressings (Kurtzman and others 1971; Waite and others 2009). And LAB are the most commonly associated spoilage microorganisms with whole or ground meat, poultry, and fish products (Holley and Patel 2005; Zinoviadou and others 2009; Fratianni and others 2010; Pyrgotou and others 2010).</w:t>
      </w:r>
    </w:p>
    <w:p w:rsidR="00701057" w:rsidRPr="00FE5B3A" w:rsidRDefault="00701057" w:rsidP="007E1649">
      <w:pPr>
        <w:pStyle w:val="Heading2"/>
        <w:spacing w:line="480" w:lineRule="auto"/>
        <w:rPr>
          <w:rFonts w:asciiTheme="minorHAnsi" w:hAnsiTheme="minorHAnsi"/>
          <w:color w:val="auto"/>
        </w:rPr>
      </w:pPr>
      <w:bookmarkStart w:id="4" w:name="_Toc364366572"/>
      <w:r w:rsidRPr="00FE5B3A">
        <w:rPr>
          <w:rFonts w:asciiTheme="minorHAnsi" w:hAnsiTheme="minorHAnsi"/>
          <w:color w:val="auto"/>
        </w:rPr>
        <w:t>Phenolic Mechanisms</w:t>
      </w:r>
      <w:bookmarkEnd w:id="4"/>
    </w:p>
    <w:p w:rsidR="00701057" w:rsidRPr="00FE5B3A" w:rsidRDefault="00701057" w:rsidP="007E1649">
      <w:pPr>
        <w:spacing w:line="480" w:lineRule="auto"/>
        <w:contextualSpacing/>
        <w:rPr>
          <w:sz w:val="24"/>
          <w:szCs w:val="24"/>
        </w:rPr>
      </w:pPr>
      <w:r w:rsidRPr="00FE5B3A">
        <w:rPr>
          <w:sz w:val="24"/>
          <w:szCs w:val="24"/>
        </w:rPr>
        <w:tab/>
        <w:t xml:space="preserve">It is commonly believed that the antibacterial activity of phenolic compounds within essential oils, namely carvacrol, thymol and eugenol, is attributed to the hydroxyl group contained on their structures. Lipid solubility </w:t>
      </w:r>
      <w:r w:rsidR="002725A6">
        <w:rPr>
          <w:sz w:val="24"/>
          <w:szCs w:val="24"/>
        </w:rPr>
        <w:t xml:space="preserve">of these </w:t>
      </w:r>
      <w:proofErr w:type="gramStart"/>
      <w:r w:rsidR="002725A6">
        <w:rPr>
          <w:sz w:val="24"/>
          <w:szCs w:val="24"/>
        </w:rPr>
        <w:t xml:space="preserve">phenolics </w:t>
      </w:r>
      <w:r w:rsidRPr="00FE5B3A">
        <w:rPr>
          <w:sz w:val="24"/>
          <w:szCs w:val="24"/>
        </w:rPr>
        <w:t xml:space="preserve"> allow</w:t>
      </w:r>
      <w:r w:rsidR="002725A6">
        <w:rPr>
          <w:sz w:val="24"/>
          <w:szCs w:val="24"/>
        </w:rPr>
        <w:t>s</w:t>
      </w:r>
      <w:proofErr w:type="gramEnd"/>
      <w:r w:rsidRPr="00FE5B3A">
        <w:rPr>
          <w:sz w:val="24"/>
          <w:szCs w:val="24"/>
        </w:rPr>
        <w:t xml:space="preserve"> interaction between the antimicrobial and the fatty acid dense </w:t>
      </w:r>
      <w:r w:rsidR="0025175D">
        <w:rPr>
          <w:sz w:val="24"/>
          <w:szCs w:val="24"/>
        </w:rPr>
        <w:t>microbial cell</w:t>
      </w:r>
      <w:r w:rsidR="0025175D" w:rsidRPr="00FE5B3A">
        <w:rPr>
          <w:sz w:val="24"/>
          <w:szCs w:val="24"/>
        </w:rPr>
        <w:t xml:space="preserve"> </w:t>
      </w:r>
      <w:r w:rsidRPr="00FE5B3A">
        <w:rPr>
          <w:sz w:val="24"/>
          <w:szCs w:val="24"/>
        </w:rPr>
        <w:t>membrane (Blaszyk and Holley 1998</w:t>
      </w:r>
      <w:r w:rsidR="00E3793F">
        <w:rPr>
          <w:sz w:val="24"/>
          <w:szCs w:val="24"/>
        </w:rPr>
        <w:t>; Helander and others 1998</w:t>
      </w:r>
      <w:r w:rsidRPr="00FE5B3A">
        <w:rPr>
          <w:sz w:val="24"/>
          <w:szCs w:val="24"/>
        </w:rPr>
        <w:t xml:space="preserve">). While aqueous insolubility is a barrier to overcome in the utilization of oils in food preservation, the lipophilic nature of phenolic compounds and essential oil components is essential for the </w:t>
      </w:r>
      <w:r w:rsidR="00287378">
        <w:rPr>
          <w:sz w:val="24"/>
          <w:szCs w:val="24"/>
        </w:rPr>
        <w:t>activity</w:t>
      </w:r>
      <w:r w:rsidR="00287378" w:rsidRPr="00FE5B3A">
        <w:rPr>
          <w:sz w:val="24"/>
          <w:szCs w:val="24"/>
        </w:rPr>
        <w:t xml:space="preserve"> </w:t>
      </w:r>
      <w:r w:rsidRPr="00FE5B3A">
        <w:rPr>
          <w:sz w:val="24"/>
          <w:szCs w:val="24"/>
        </w:rPr>
        <w:t xml:space="preserve">of the antimicrobials. </w:t>
      </w:r>
    </w:p>
    <w:p w:rsidR="00701057" w:rsidRPr="00FE5B3A" w:rsidRDefault="00701057" w:rsidP="00701057">
      <w:pPr>
        <w:spacing w:line="480" w:lineRule="auto"/>
        <w:contextualSpacing/>
        <w:rPr>
          <w:sz w:val="24"/>
          <w:szCs w:val="24"/>
        </w:rPr>
      </w:pPr>
      <w:r w:rsidRPr="00FE5B3A">
        <w:rPr>
          <w:sz w:val="24"/>
          <w:szCs w:val="24"/>
        </w:rPr>
        <w:tab/>
        <w:t xml:space="preserve">Theories describing the antimicrobial mechanism of phenolic compounds abound as the pathway of action is unclear and tends to vary by essential oil or microorganism. It is widely held that </w:t>
      </w:r>
      <w:r w:rsidR="00203888">
        <w:rPr>
          <w:sz w:val="24"/>
          <w:szCs w:val="24"/>
        </w:rPr>
        <w:t>Gram-positive</w:t>
      </w:r>
      <w:r w:rsidRPr="00FE5B3A">
        <w:rPr>
          <w:sz w:val="24"/>
          <w:szCs w:val="24"/>
        </w:rPr>
        <w:t xml:space="preserve"> bacteria experience greater sensitivity to the antimicrobial action of essential oils than </w:t>
      </w:r>
      <w:r w:rsidR="00203888">
        <w:rPr>
          <w:sz w:val="24"/>
          <w:szCs w:val="24"/>
        </w:rPr>
        <w:t>Gram-negative</w:t>
      </w:r>
      <w:r w:rsidRPr="00FE5B3A">
        <w:rPr>
          <w:sz w:val="24"/>
          <w:szCs w:val="24"/>
        </w:rPr>
        <w:t xml:space="preserve"> species. </w:t>
      </w:r>
      <w:r w:rsidR="00203888">
        <w:rPr>
          <w:sz w:val="24"/>
          <w:szCs w:val="24"/>
        </w:rPr>
        <w:t>Gram-positive</w:t>
      </w:r>
      <w:r w:rsidRPr="00FE5B3A">
        <w:rPr>
          <w:sz w:val="24"/>
          <w:szCs w:val="24"/>
        </w:rPr>
        <w:t xml:space="preserve"> lactic acid bacteria are a notable exception. </w:t>
      </w:r>
      <w:r w:rsidR="00203888">
        <w:rPr>
          <w:sz w:val="24"/>
          <w:szCs w:val="24"/>
        </w:rPr>
        <w:t>Gram-negative</w:t>
      </w:r>
      <w:r w:rsidR="0025175D">
        <w:rPr>
          <w:sz w:val="24"/>
          <w:szCs w:val="24"/>
        </w:rPr>
        <w:t xml:space="preserve"> </w:t>
      </w:r>
      <w:r w:rsidR="00017460">
        <w:rPr>
          <w:sz w:val="24"/>
          <w:szCs w:val="24"/>
        </w:rPr>
        <w:t>bacteria</w:t>
      </w:r>
      <w:r w:rsidRPr="00FE5B3A">
        <w:rPr>
          <w:sz w:val="24"/>
          <w:szCs w:val="24"/>
        </w:rPr>
        <w:t xml:space="preserve"> may attribute their increased resistance to the lipopolysaccharide (LPS) rich outer membrane, creating a highly restrictive barrier against large </w:t>
      </w:r>
      <w:r w:rsidRPr="00FE5B3A">
        <w:rPr>
          <w:sz w:val="24"/>
          <w:szCs w:val="24"/>
        </w:rPr>
        <w:lastRenderedPageBreak/>
        <w:t>molecular particles, including toxins and antibiotics</w:t>
      </w:r>
      <w:r w:rsidR="007E3424">
        <w:rPr>
          <w:sz w:val="24"/>
          <w:szCs w:val="24"/>
        </w:rPr>
        <w:t xml:space="preserve"> (</w:t>
      </w:r>
      <w:r w:rsidR="007E3424" w:rsidRPr="00FE5B3A">
        <w:rPr>
          <w:sz w:val="24"/>
          <w:szCs w:val="24"/>
        </w:rPr>
        <w:t>Nikaido 1994</w:t>
      </w:r>
      <w:r w:rsidR="007E3424">
        <w:rPr>
          <w:sz w:val="24"/>
          <w:szCs w:val="24"/>
        </w:rPr>
        <w:t>)</w:t>
      </w:r>
      <w:r w:rsidRPr="00FE5B3A">
        <w:rPr>
          <w:sz w:val="24"/>
          <w:szCs w:val="24"/>
        </w:rPr>
        <w:t xml:space="preserve">. This LPS layer includes several features that aid to the rigid structure of </w:t>
      </w:r>
      <w:r w:rsidR="00203888">
        <w:rPr>
          <w:sz w:val="24"/>
          <w:szCs w:val="24"/>
        </w:rPr>
        <w:t>Gram-negative</w:t>
      </w:r>
      <w:r w:rsidRPr="00FE5B3A">
        <w:rPr>
          <w:sz w:val="24"/>
          <w:szCs w:val="24"/>
        </w:rPr>
        <w:t xml:space="preserve"> cells. LPS is comprised of saturated fatty acid chains, packing together to form a highly rigid lipid b</w:t>
      </w:r>
      <w:r w:rsidR="0025175D">
        <w:rPr>
          <w:sz w:val="24"/>
          <w:szCs w:val="24"/>
        </w:rPr>
        <w:t>i</w:t>
      </w:r>
      <w:r w:rsidR="001A130D" w:rsidRPr="00FE5B3A">
        <w:rPr>
          <w:sz w:val="24"/>
          <w:szCs w:val="24"/>
        </w:rPr>
        <w:t>lay</w:t>
      </w:r>
      <w:r w:rsidRPr="00FE5B3A">
        <w:rPr>
          <w:sz w:val="24"/>
          <w:szCs w:val="24"/>
        </w:rPr>
        <w:t xml:space="preserve">er in contrast to the more fluid, unsaturated fatty acid chains found in membranes of other species. Each LPS molecule also contains a larger quantity of these hydrocarbon chains than glycerophospholipids, further increasing structural rigidity. </w:t>
      </w:r>
      <w:r w:rsidR="00203888">
        <w:rPr>
          <w:sz w:val="24"/>
          <w:szCs w:val="24"/>
        </w:rPr>
        <w:t>Gram-positive</w:t>
      </w:r>
      <w:r w:rsidRPr="00FE5B3A">
        <w:rPr>
          <w:sz w:val="24"/>
          <w:szCs w:val="24"/>
        </w:rPr>
        <w:t xml:space="preserve"> bacteria lack this extra, more complex membrane, and instead are surrounded by a thick peptidoglycan wall. This peptidoglycan layer strengthens the wall structurally, but is not dense enough to exclude small antimicrobial particles which can permeate the layer and access the cellular membrane (Nikaido 1994; Helander and others 1998; Holley and Patel 2005; Zinoviadou and others 2009; Hyldgaard and others 2012).</w:t>
      </w:r>
    </w:p>
    <w:p w:rsidR="00701057" w:rsidRPr="00FE5B3A" w:rsidRDefault="00701057" w:rsidP="004602D6">
      <w:pPr>
        <w:spacing w:line="480" w:lineRule="auto"/>
        <w:ind w:firstLine="720"/>
        <w:contextualSpacing/>
        <w:rPr>
          <w:sz w:val="24"/>
          <w:szCs w:val="24"/>
        </w:rPr>
      </w:pPr>
      <w:r w:rsidRPr="00FE5B3A">
        <w:rPr>
          <w:sz w:val="24"/>
          <w:szCs w:val="24"/>
        </w:rPr>
        <w:t xml:space="preserve">Although the cytoplasmic membrane is thought by some to be the site of the vast majority of antimicrobial action, </w:t>
      </w:r>
      <w:r w:rsidR="00203888">
        <w:rPr>
          <w:sz w:val="24"/>
          <w:szCs w:val="24"/>
        </w:rPr>
        <w:t>Gram-negative</w:t>
      </w:r>
      <w:r w:rsidR="00017460">
        <w:rPr>
          <w:sz w:val="24"/>
          <w:szCs w:val="24"/>
        </w:rPr>
        <w:t xml:space="preserve"> bacteria</w:t>
      </w:r>
      <w:r w:rsidR="001D6AA9">
        <w:rPr>
          <w:sz w:val="24"/>
          <w:szCs w:val="24"/>
        </w:rPr>
        <w:t xml:space="preserve"> are not immune to the effects of essential oils, </w:t>
      </w:r>
      <w:r w:rsidRPr="00FE5B3A">
        <w:rPr>
          <w:sz w:val="24"/>
          <w:szCs w:val="24"/>
        </w:rPr>
        <w:t>despite their additional outer membrane</w:t>
      </w:r>
      <w:r w:rsidR="001D6AA9">
        <w:rPr>
          <w:sz w:val="24"/>
          <w:szCs w:val="24"/>
        </w:rPr>
        <w:t xml:space="preserve">. </w:t>
      </w:r>
      <w:r w:rsidRPr="00FE5B3A">
        <w:rPr>
          <w:sz w:val="24"/>
          <w:szCs w:val="24"/>
        </w:rPr>
        <w:t xml:space="preserve">One study reported dissolution of cellular membranes of both </w:t>
      </w:r>
      <w:r w:rsidRPr="003773C4">
        <w:rPr>
          <w:i/>
          <w:sz w:val="24"/>
          <w:szCs w:val="24"/>
        </w:rPr>
        <w:t>Es</w:t>
      </w:r>
      <w:r w:rsidR="00287378">
        <w:rPr>
          <w:i/>
          <w:sz w:val="24"/>
          <w:szCs w:val="24"/>
        </w:rPr>
        <w:t>c</w:t>
      </w:r>
      <w:r w:rsidRPr="003773C4">
        <w:rPr>
          <w:i/>
          <w:sz w:val="24"/>
          <w:szCs w:val="24"/>
        </w:rPr>
        <w:t>herichia coli</w:t>
      </w:r>
      <w:r w:rsidRPr="00FE5B3A">
        <w:rPr>
          <w:sz w:val="24"/>
          <w:szCs w:val="24"/>
        </w:rPr>
        <w:t xml:space="preserve"> and </w:t>
      </w:r>
      <w:r w:rsidRPr="003773C4">
        <w:rPr>
          <w:i/>
          <w:sz w:val="24"/>
          <w:szCs w:val="24"/>
        </w:rPr>
        <w:t xml:space="preserve">Salmonella </w:t>
      </w:r>
      <w:r w:rsidR="009023B0" w:rsidRPr="009D785E">
        <w:rPr>
          <w:sz w:val="24"/>
          <w:szCs w:val="24"/>
        </w:rPr>
        <w:t>Typhimurium</w:t>
      </w:r>
      <w:r w:rsidRPr="003773C4">
        <w:rPr>
          <w:i/>
          <w:sz w:val="24"/>
          <w:szCs w:val="24"/>
        </w:rPr>
        <w:t xml:space="preserve"> </w:t>
      </w:r>
      <w:r w:rsidRPr="00FE5B3A">
        <w:rPr>
          <w:sz w:val="24"/>
          <w:szCs w:val="24"/>
        </w:rPr>
        <w:t xml:space="preserve">after treatment with either thymol or carvacrol (Helander and others 1998; Holley and Patel 2005). This may be due in part to the presence of porin proteins embedded along the outer membrane of </w:t>
      </w:r>
      <w:r w:rsidR="00203888">
        <w:rPr>
          <w:sz w:val="24"/>
          <w:szCs w:val="24"/>
        </w:rPr>
        <w:t>Gram-negative</w:t>
      </w:r>
      <w:r w:rsidRPr="00FE5B3A">
        <w:rPr>
          <w:sz w:val="24"/>
          <w:szCs w:val="24"/>
        </w:rPr>
        <w:t xml:space="preserve"> species which aid in the acquisition of nutrients by the cell. These proteins allow the transport of macromolecules and are generally able to exclude toxins and antibiotics from entering the cell. However, some hydrophilic agents and substituted phenolic compounds are able to penetrate the outer membrane via these porin proteins, gaining access to the periplasmic space and cytoplasmic membrane where the targets of their antimicrobial activity </w:t>
      </w:r>
      <w:r w:rsidRPr="00FE5B3A">
        <w:rPr>
          <w:sz w:val="24"/>
          <w:szCs w:val="24"/>
        </w:rPr>
        <w:lastRenderedPageBreak/>
        <w:t xml:space="preserve">exist. The additional outer membrane does not, therefore, confer absolute immunity to </w:t>
      </w:r>
      <w:r w:rsidR="00203888">
        <w:rPr>
          <w:sz w:val="24"/>
          <w:szCs w:val="24"/>
        </w:rPr>
        <w:t>Gram-negative</w:t>
      </w:r>
      <w:r w:rsidRPr="00FE5B3A">
        <w:rPr>
          <w:sz w:val="24"/>
          <w:szCs w:val="24"/>
        </w:rPr>
        <w:t xml:space="preserve"> organisms against essential oils (Nikaido 1994).</w:t>
      </w:r>
    </w:p>
    <w:p w:rsidR="00701057" w:rsidRPr="00FE5B3A" w:rsidRDefault="00701057" w:rsidP="004602D6">
      <w:pPr>
        <w:spacing w:line="480" w:lineRule="auto"/>
        <w:ind w:firstLine="720"/>
        <w:contextualSpacing/>
        <w:rPr>
          <w:sz w:val="24"/>
          <w:szCs w:val="24"/>
        </w:rPr>
      </w:pPr>
      <w:r w:rsidRPr="00FE5B3A">
        <w:rPr>
          <w:sz w:val="24"/>
          <w:szCs w:val="24"/>
        </w:rPr>
        <w:t xml:space="preserve">In both </w:t>
      </w:r>
      <w:r w:rsidR="00203888">
        <w:rPr>
          <w:sz w:val="24"/>
          <w:szCs w:val="24"/>
        </w:rPr>
        <w:t>Gram-positive</w:t>
      </w:r>
      <w:r w:rsidRPr="00FE5B3A">
        <w:rPr>
          <w:sz w:val="24"/>
          <w:szCs w:val="24"/>
        </w:rPr>
        <w:t xml:space="preserve"> and </w:t>
      </w:r>
      <w:r w:rsidR="00203888">
        <w:rPr>
          <w:sz w:val="24"/>
          <w:szCs w:val="24"/>
        </w:rPr>
        <w:t>Gram-negative</w:t>
      </w:r>
      <w:r w:rsidRPr="00FE5B3A">
        <w:rPr>
          <w:sz w:val="24"/>
          <w:szCs w:val="24"/>
        </w:rPr>
        <w:t xml:space="preserve"> species, the most readily accepted theory describing cellular death is that it occurs after structural integrity of the cellular membrane is compromised, at which point membrane permeability loses much of its discriminatory nature (Holley and Patel 2005).  </w:t>
      </w:r>
      <w:r w:rsidR="00132B53">
        <w:rPr>
          <w:sz w:val="24"/>
          <w:szCs w:val="24"/>
        </w:rPr>
        <w:t>C</w:t>
      </w:r>
      <w:r w:rsidRPr="00FE5B3A">
        <w:rPr>
          <w:sz w:val="24"/>
          <w:szCs w:val="24"/>
        </w:rPr>
        <w:t>arvacrol and thymol</w:t>
      </w:r>
      <w:r w:rsidR="00132B53">
        <w:rPr>
          <w:sz w:val="24"/>
          <w:szCs w:val="24"/>
        </w:rPr>
        <w:t xml:space="preserve"> </w:t>
      </w:r>
      <w:r w:rsidRPr="00FE5B3A">
        <w:rPr>
          <w:sz w:val="24"/>
          <w:szCs w:val="24"/>
        </w:rPr>
        <w:t xml:space="preserve">share similar structures and are believed to have very similar modes of action. Phenolic terpenoids attribute their antimicrobial activity in part to a hydroxyl group, which in the case of carvacrol and thymol is located on their benzene ring. Carvacrol predominantly acts by incorporating itself into the cellular membrane, increasing fluidity and in turn permeability of the membrane. This results in cellular stress through the leakage of cellular contents, potassium ions, and ATP. Additionally, carvacrol has been described as a proton exchanger, dissociating by relinquishing its proton upon access to the cytoplasm, then </w:t>
      </w:r>
      <w:r w:rsidR="00132B53">
        <w:rPr>
          <w:sz w:val="24"/>
          <w:szCs w:val="24"/>
        </w:rPr>
        <w:t>taking</w:t>
      </w:r>
      <w:r w:rsidR="00132B53" w:rsidRPr="00FE5B3A">
        <w:rPr>
          <w:sz w:val="24"/>
          <w:szCs w:val="24"/>
        </w:rPr>
        <w:t xml:space="preserve"> </w:t>
      </w:r>
      <w:r w:rsidRPr="00FE5B3A">
        <w:rPr>
          <w:sz w:val="24"/>
          <w:szCs w:val="24"/>
        </w:rPr>
        <w:t>a cation while exiting the cell</w:t>
      </w:r>
      <w:r w:rsidR="00DD1774">
        <w:rPr>
          <w:sz w:val="24"/>
          <w:szCs w:val="24"/>
        </w:rPr>
        <w:t xml:space="preserve"> (Ultee and others 2002)</w:t>
      </w:r>
      <w:r w:rsidRPr="00FE5B3A">
        <w:rPr>
          <w:sz w:val="24"/>
          <w:szCs w:val="24"/>
        </w:rPr>
        <w:t>. This action disrupts metabolism and eventually leads to death. Thymol is thought to disrupt the structural and functional integrity of the inner and outer membranes in a similar manner. Both phenolic terpenoids are believed to interfere with proteins that comprise the membrane as well as protein targets within the cell (Ultee and others 2002; Hyldgaard and others 2012).</w:t>
      </w:r>
    </w:p>
    <w:p w:rsidR="00701057" w:rsidRPr="00FE5B3A" w:rsidRDefault="00701057" w:rsidP="004602D6">
      <w:pPr>
        <w:spacing w:line="480" w:lineRule="auto"/>
        <w:ind w:firstLine="720"/>
        <w:contextualSpacing/>
        <w:rPr>
          <w:sz w:val="24"/>
          <w:szCs w:val="24"/>
        </w:rPr>
      </w:pPr>
      <w:r w:rsidRPr="00FE5B3A">
        <w:rPr>
          <w:sz w:val="24"/>
          <w:szCs w:val="24"/>
        </w:rPr>
        <w:t>The most obvious consequence of thymol or carvacrol induced membrane damage is the efflux of cellular components. Loss of cellular content is generally preceded by a</w:t>
      </w:r>
      <w:r w:rsidR="00132B53">
        <w:rPr>
          <w:sz w:val="24"/>
          <w:szCs w:val="24"/>
        </w:rPr>
        <w:t xml:space="preserve"> loss </w:t>
      </w:r>
      <w:r w:rsidRPr="00FE5B3A">
        <w:rPr>
          <w:sz w:val="24"/>
          <w:szCs w:val="24"/>
        </w:rPr>
        <w:t xml:space="preserve">of potassium ions through the membrane (Holley and Patel 2005). Disruption of the cellular membrane </w:t>
      </w:r>
      <w:r w:rsidR="00132B53" w:rsidRPr="00FE5B3A">
        <w:rPr>
          <w:sz w:val="24"/>
          <w:szCs w:val="24"/>
        </w:rPr>
        <w:t xml:space="preserve">by carvacrol and thymol </w:t>
      </w:r>
      <w:r w:rsidRPr="00FE5B3A">
        <w:rPr>
          <w:sz w:val="24"/>
          <w:szCs w:val="24"/>
        </w:rPr>
        <w:t xml:space="preserve">was </w:t>
      </w:r>
      <w:r w:rsidR="00132B53">
        <w:rPr>
          <w:sz w:val="24"/>
          <w:szCs w:val="24"/>
        </w:rPr>
        <w:t>demonstrated</w:t>
      </w:r>
      <w:r w:rsidR="00132B53" w:rsidRPr="00FE5B3A">
        <w:rPr>
          <w:sz w:val="24"/>
          <w:szCs w:val="24"/>
        </w:rPr>
        <w:t xml:space="preserve"> </w:t>
      </w:r>
      <w:r w:rsidR="00132B53">
        <w:rPr>
          <w:sz w:val="24"/>
          <w:szCs w:val="24"/>
        </w:rPr>
        <w:t>by their ability</w:t>
      </w:r>
      <w:r w:rsidRPr="00FE5B3A">
        <w:rPr>
          <w:sz w:val="24"/>
          <w:szCs w:val="24"/>
        </w:rPr>
        <w:t xml:space="preserve"> to decrease intercellular </w:t>
      </w:r>
      <w:r w:rsidRPr="00FE5B3A">
        <w:rPr>
          <w:sz w:val="24"/>
          <w:szCs w:val="24"/>
        </w:rPr>
        <w:lastRenderedPageBreak/>
        <w:t xml:space="preserve">levels of ATP in </w:t>
      </w:r>
      <w:r w:rsidR="00FD3B94" w:rsidRPr="00FD3B94">
        <w:rPr>
          <w:i/>
          <w:sz w:val="24"/>
          <w:szCs w:val="24"/>
        </w:rPr>
        <w:t>E. coli</w:t>
      </w:r>
      <w:r w:rsidRPr="00FE5B3A">
        <w:rPr>
          <w:sz w:val="24"/>
          <w:szCs w:val="24"/>
        </w:rPr>
        <w:t xml:space="preserve"> while increasing the levels of ATP found outside of the cell beyond what was normal (Helander and others 1998). </w:t>
      </w:r>
    </w:p>
    <w:p w:rsidR="00B571BC" w:rsidRDefault="00701057">
      <w:pPr>
        <w:spacing w:line="480" w:lineRule="auto"/>
        <w:ind w:firstLine="720"/>
        <w:contextualSpacing/>
        <w:rPr>
          <w:sz w:val="24"/>
          <w:szCs w:val="24"/>
        </w:rPr>
      </w:pPr>
      <w:r w:rsidRPr="00FE5B3A">
        <w:rPr>
          <w:sz w:val="24"/>
          <w:szCs w:val="24"/>
        </w:rPr>
        <w:t xml:space="preserve">Eugenol and cinnamaldehyde are phenylpropenes synthesized from phenylalanine and contain a six-carbon phenol group. Eugenol is believed to have similar bactericidal activity to thymol and carvacrol, incorporating into the cellular membrane and altering surface and structural proteins. Both compounds are believed to inhibit cellular metabolism and potentially serve as ATPase inhibitors, while cinnamaldehyde may also act through membrane disruption (Gill and Holley 2004; Hyldgaard 2012). Gill and Holley determined that energy generation was significantly reduced in both </w:t>
      </w:r>
      <w:r w:rsidRPr="003773C4">
        <w:rPr>
          <w:i/>
          <w:sz w:val="24"/>
          <w:szCs w:val="24"/>
        </w:rPr>
        <w:t xml:space="preserve">Listeria </w:t>
      </w:r>
      <w:r w:rsidR="002E4263" w:rsidRPr="003773C4">
        <w:rPr>
          <w:i/>
          <w:sz w:val="24"/>
          <w:szCs w:val="24"/>
        </w:rPr>
        <w:t>monocytogenes</w:t>
      </w:r>
      <w:r w:rsidRPr="00FE5B3A">
        <w:rPr>
          <w:sz w:val="24"/>
          <w:szCs w:val="24"/>
        </w:rPr>
        <w:t xml:space="preserve"> and </w:t>
      </w:r>
      <w:r w:rsidRPr="003773C4">
        <w:rPr>
          <w:i/>
          <w:sz w:val="24"/>
          <w:szCs w:val="24"/>
        </w:rPr>
        <w:t xml:space="preserve">Lactobacillus </w:t>
      </w:r>
      <w:r w:rsidR="00F327C5">
        <w:rPr>
          <w:i/>
          <w:sz w:val="24"/>
          <w:szCs w:val="24"/>
        </w:rPr>
        <w:t>sake</w:t>
      </w:r>
      <w:r w:rsidRPr="00FE5B3A">
        <w:rPr>
          <w:sz w:val="24"/>
          <w:szCs w:val="24"/>
        </w:rPr>
        <w:t xml:space="preserve"> upon treatment with eugenol and cinnamaldehyde. Further theories describing the potential antibacterial mechanism of essential oils include the inhibition of enzymatic production or activity required for energy generation, disruption in the generation process of ATP, or depletion of ATP already present within the cell (Holley and Pa</w:t>
      </w:r>
      <w:r w:rsidR="00612AE2">
        <w:rPr>
          <w:sz w:val="24"/>
          <w:szCs w:val="24"/>
        </w:rPr>
        <w:t>tel 2005; Matan and others 2006;</w:t>
      </w:r>
      <w:r w:rsidRPr="00FE5B3A">
        <w:rPr>
          <w:sz w:val="24"/>
          <w:szCs w:val="24"/>
        </w:rPr>
        <w:t xml:space="preserve"> Helander and others 1998).</w:t>
      </w:r>
    </w:p>
    <w:p w:rsidR="00701057" w:rsidRPr="00FE5B3A" w:rsidRDefault="00701057" w:rsidP="004602D6">
      <w:pPr>
        <w:spacing w:line="480" w:lineRule="auto"/>
        <w:ind w:firstLine="720"/>
        <w:contextualSpacing/>
        <w:rPr>
          <w:sz w:val="24"/>
          <w:szCs w:val="24"/>
        </w:rPr>
      </w:pPr>
      <w:r w:rsidRPr="00FE5B3A">
        <w:rPr>
          <w:sz w:val="24"/>
          <w:szCs w:val="24"/>
        </w:rPr>
        <w:t xml:space="preserve">Lactic acid bacteria are understood to be more resistant to the cytotoxic effects of essential oils. </w:t>
      </w:r>
      <w:r w:rsidR="00297551" w:rsidRPr="00FE5B3A">
        <w:rPr>
          <w:sz w:val="24"/>
          <w:szCs w:val="24"/>
        </w:rPr>
        <w:t>Rodríguez</w:t>
      </w:r>
      <w:r w:rsidR="00297551">
        <w:rPr>
          <w:sz w:val="24"/>
          <w:szCs w:val="24"/>
        </w:rPr>
        <w:t xml:space="preserve"> and others (2009) suggest one likely </w:t>
      </w:r>
      <w:r w:rsidRPr="00FE5B3A">
        <w:rPr>
          <w:sz w:val="24"/>
          <w:szCs w:val="24"/>
        </w:rPr>
        <w:t xml:space="preserve">reason for </w:t>
      </w:r>
      <w:r w:rsidR="00297551">
        <w:rPr>
          <w:sz w:val="24"/>
          <w:szCs w:val="24"/>
        </w:rPr>
        <w:t xml:space="preserve">LAB resistance to phenolicsis because LAB </w:t>
      </w:r>
      <w:r w:rsidRPr="00FE5B3A">
        <w:rPr>
          <w:sz w:val="24"/>
          <w:szCs w:val="24"/>
        </w:rPr>
        <w:t>are present and grow on phenol containing plants, and therefore have adapted in order to successfully colonize such antagonistic substrates. Degradati</w:t>
      </w:r>
      <w:r w:rsidR="00BC45C9">
        <w:rPr>
          <w:sz w:val="24"/>
          <w:szCs w:val="24"/>
        </w:rPr>
        <w:t>on</w:t>
      </w:r>
      <w:r w:rsidRPr="00FE5B3A">
        <w:rPr>
          <w:sz w:val="24"/>
          <w:szCs w:val="24"/>
        </w:rPr>
        <w:t xml:space="preserve"> capabilities of phenolic compounds by LAB have also been described, although work on the subject is limited (Rodríguez and others 2009). </w:t>
      </w:r>
    </w:p>
    <w:p w:rsidR="00701057" w:rsidRPr="00FE5B3A" w:rsidRDefault="00701057" w:rsidP="00701057">
      <w:pPr>
        <w:spacing w:line="480" w:lineRule="auto"/>
        <w:contextualSpacing/>
        <w:rPr>
          <w:sz w:val="24"/>
          <w:szCs w:val="24"/>
        </w:rPr>
      </w:pPr>
      <w:r w:rsidRPr="00FE5B3A">
        <w:rPr>
          <w:sz w:val="24"/>
          <w:szCs w:val="24"/>
        </w:rPr>
        <w:tab/>
      </w:r>
    </w:p>
    <w:p w:rsidR="00701057" w:rsidRPr="00FE5B3A" w:rsidRDefault="00701057" w:rsidP="007E1649">
      <w:pPr>
        <w:pStyle w:val="Heading2"/>
        <w:spacing w:line="480" w:lineRule="auto"/>
        <w:rPr>
          <w:rFonts w:asciiTheme="minorHAnsi" w:hAnsiTheme="minorHAnsi"/>
          <w:color w:val="auto"/>
        </w:rPr>
      </w:pPr>
      <w:bookmarkStart w:id="5" w:name="_Toc364366573"/>
      <w:r w:rsidRPr="00FE5B3A">
        <w:rPr>
          <w:rFonts w:asciiTheme="minorHAnsi" w:hAnsiTheme="minorHAnsi"/>
          <w:color w:val="auto"/>
        </w:rPr>
        <w:lastRenderedPageBreak/>
        <w:t>Isothiocyanates</w:t>
      </w:r>
      <w:bookmarkEnd w:id="5"/>
    </w:p>
    <w:p w:rsidR="00297551" w:rsidRDefault="00701057" w:rsidP="0051624C">
      <w:pPr>
        <w:spacing w:line="480" w:lineRule="auto"/>
        <w:contextualSpacing/>
        <w:rPr>
          <w:sz w:val="24"/>
          <w:szCs w:val="24"/>
        </w:rPr>
      </w:pPr>
      <w:r w:rsidRPr="00FE5B3A">
        <w:rPr>
          <w:sz w:val="24"/>
          <w:szCs w:val="24"/>
        </w:rPr>
        <w:tab/>
        <w:t>Isothiocyanates are natural antimicrobial compounds commonly isolated from plants in the Cruciferae family, which include horseradish and mustard plants. They account for the intense pungent taste of plants within this family. These sulfur containing compounds, the most prevalent being allyl isothiocyanate</w:t>
      </w:r>
      <w:r w:rsidR="000D0A95">
        <w:rPr>
          <w:sz w:val="24"/>
          <w:szCs w:val="24"/>
        </w:rPr>
        <w:t xml:space="preserve"> (AIT)</w:t>
      </w:r>
      <w:r w:rsidRPr="00FE5B3A">
        <w:rPr>
          <w:sz w:val="24"/>
          <w:szCs w:val="24"/>
        </w:rPr>
        <w:t xml:space="preserve">, are released upon damage to plant tissues. AIT is thought to interfere with protein structure when present at concentrations that inhibit most microbial growth; free amino groups and disulfide bonds are the predominant protein targets of isothiocyanates (Lin and others 2000; Delaquis and Sholberg 1997; Kawakishi and Kaneko 1987). Luciano and Holley (2009) found that concentrations of 10 to 100 µg/L were sufficient to inhibit </w:t>
      </w:r>
      <w:r w:rsidR="008F2970">
        <w:rPr>
          <w:sz w:val="24"/>
          <w:szCs w:val="24"/>
        </w:rPr>
        <w:t>the</w:t>
      </w:r>
      <w:r w:rsidRPr="00FE5B3A">
        <w:rPr>
          <w:sz w:val="24"/>
          <w:szCs w:val="24"/>
        </w:rPr>
        <w:t xml:space="preserve"> metabolic enzymes present in </w:t>
      </w:r>
      <w:r w:rsidR="00FD3B94" w:rsidRPr="00FD3B94">
        <w:rPr>
          <w:i/>
          <w:sz w:val="24"/>
          <w:szCs w:val="24"/>
        </w:rPr>
        <w:t>E. coli</w:t>
      </w:r>
      <w:r w:rsidRPr="00FE5B3A">
        <w:rPr>
          <w:sz w:val="24"/>
          <w:szCs w:val="24"/>
        </w:rPr>
        <w:t xml:space="preserve">, </w:t>
      </w:r>
      <w:r w:rsidR="008F2970">
        <w:rPr>
          <w:sz w:val="24"/>
          <w:szCs w:val="24"/>
        </w:rPr>
        <w:t xml:space="preserve">including </w:t>
      </w:r>
      <w:r w:rsidRPr="00FE5B3A">
        <w:rPr>
          <w:sz w:val="24"/>
          <w:szCs w:val="24"/>
        </w:rPr>
        <w:t>thioredoxin reductase</w:t>
      </w:r>
      <w:r w:rsidR="008F2970">
        <w:rPr>
          <w:sz w:val="24"/>
          <w:szCs w:val="24"/>
        </w:rPr>
        <w:t>, which when disturbed impairs cellular capacity to maintain an appropriate oxidation state,</w:t>
      </w:r>
      <w:r w:rsidRPr="00FE5B3A">
        <w:rPr>
          <w:sz w:val="24"/>
          <w:szCs w:val="24"/>
        </w:rPr>
        <w:t xml:space="preserve"> and acetate kinase</w:t>
      </w:r>
      <w:r w:rsidR="008F2970">
        <w:rPr>
          <w:sz w:val="24"/>
          <w:szCs w:val="24"/>
        </w:rPr>
        <w:t>, which is responsible in part for the synthesis of acetyl-CoA (Ankri and Mirelman 1999) and crucial for glycolysis</w:t>
      </w:r>
      <w:r w:rsidRPr="00FE5B3A">
        <w:rPr>
          <w:sz w:val="24"/>
          <w:szCs w:val="24"/>
        </w:rPr>
        <w:t>. In yeasts also it appears that reduction of enzymatic activity required for metabolism and degradation of disulfide bonds in non-specific enzymatic targets is significant to the antimicrobial action of AIT. Activity against multiple enzymatic targets suggests AIT may use several mechanisms of action to inhibit microbial growth. It has also been suggested that aerobic microorganisms are more sensitive to AIT, indicating that enzymes required for aerobic metabolism are manipulated by isothiocyanate action. However, as some facultative anaerobes also demonstrate suppressed growth or survival upon exposure to AIT, the proposed is unlikely a predominant mechanism (Delaquis and Sholberg 1997).</w:t>
      </w:r>
      <w:r w:rsidR="0051624C">
        <w:rPr>
          <w:sz w:val="24"/>
          <w:szCs w:val="24"/>
        </w:rPr>
        <w:t xml:space="preserve"> </w:t>
      </w:r>
      <w:r w:rsidRPr="00FE5B3A">
        <w:rPr>
          <w:sz w:val="24"/>
          <w:szCs w:val="24"/>
        </w:rPr>
        <w:t xml:space="preserve">The greatest activity of AIT appears to be against </w:t>
      </w:r>
      <w:r w:rsidR="00203888">
        <w:rPr>
          <w:sz w:val="24"/>
          <w:szCs w:val="24"/>
        </w:rPr>
        <w:t>Gram-negative</w:t>
      </w:r>
      <w:r w:rsidRPr="00FE5B3A">
        <w:rPr>
          <w:sz w:val="24"/>
          <w:szCs w:val="24"/>
        </w:rPr>
        <w:t xml:space="preserve"> bacteria and some yeasts and molds. Lactic acid bacteria are particularly resistant to AIT-rich essential oils and as of yet, no clear </w:t>
      </w:r>
      <w:r w:rsidRPr="00FE5B3A">
        <w:rPr>
          <w:sz w:val="24"/>
          <w:szCs w:val="24"/>
        </w:rPr>
        <w:lastRenderedPageBreak/>
        <w:t>explanation exists for this tolerance. AIT has been illustrated to effect sensitive bacteria in both stationary and exponential growth phases, which is significant considering most organisms in food matrices a</w:t>
      </w:r>
      <w:r w:rsidR="001D6AA9">
        <w:rPr>
          <w:sz w:val="24"/>
          <w:szCs w:val="24"/>
        </w:rPr>
        <w:t>re subject to other preservation</w:t>
      </w:r>
      <w:r w:rsidRPr="00FE5B3A">
        <w:rPr>
          <w:sz w:val="24"/>
          <w:szCs w:val="24"/>
        </w:rPr>
        <w:t xml:space="preserve"> methods and additives, maintaining suppressed metabolic activity for microbial contaminants. A definitive mechanism of antimicrobial action may need to be understood before an answer to why LAB are so resistant to isothiocyanates is apparent, but reasons are likely similar to those proposed for other essential oil components (Lin and others 2000).</w:t>
      </w:r>
      <w:r w:rsidR="00132B53">
        <w:rPr>
          <w:sz w:val="24"/>
          <w:szCs w:val="24"/>
        </w:rPr>
        <w:t xml:space="preserve"> </w:t>
      </w:r>
    </w:p>
    <w:p w:rsidR="00826600" w:rsidRDefault="00701057" w:rsidP="00297551">
      <w:pPr>
        <w:spacing w:line="480" w:lineRule="auto"/>
        <w:ind w:firstLine="720"/>
        <w:contextualSpacing/>
        <w:rPr>
          <w:sz w:val="24"/>
          <w:szCs w:val="24"/>
        </w:rPr>
      </w:pPr>
      <w:r w:rsidRPr="00FE5B3A">
        <w:rPr>
          <w:sz w:val="24"/>
          <w:szCs w:val="24"/>
        </w:rPr>
        <w:t xml:space="preserve">LAB resistance </w:t>
      </w:r>
      <w:r w:rsidR="00132B53">
        <w:rPr>
          <w:sz w:val="24"/>
          <w:szCs w:val="24"/>
        </w:rPr>
        <w:t xml:space="preserve">was demonstrated </w:t>
      </w:r>
      <w:r w:rsidRPr="00FE5B3A">
        <w:rPr>
          <w:sz w:val="24"/>
          <w:szCs w:val="24"/>
        </w:rPr>
        <w:t xml:space="preserve">by Ward and others </w:t>
      </w:r>
      <w:r w:rsidR="00132B53">
        <w:rPr>
          <w:sz w:val="24"/>
          <w:szCs w:val="24"/>
        </w:rPr>
        <w:t>who</w:t>
      </w:r>
      <w:r w:rsidR="00132B53" w:rsidRPr="00FE5B3A">
        <w:rPr>
          <w:sz w:val="24"/>
          <w:szCs w:val="24"/>
        </w:rPr>
        <w:t xml:space="preserve"> </w:t>
      </w:r>
      <w:r w:rsidRPr="00FE5B3A">
        <w:rPr>
          <w:sz w:val="24"/>
          <w:szCs w:val="24"/>
        </w:rPr>
        <w:t xml:space="preserve">used a horseradish distillate containing 90% allyl isothiocyanate. Results demonstrated that growth of common </w:t>
      </w:r>
      <w:r w:rsidR="00E640D5">
        <w:rPr>
          <w:sz w:val="24"/>
          <w:szCs w:val="24"/>
        </w:rPr>
        <w:t>foodborne</w:t>
      </w:r>
      <w:r w:rsidRPr="00FE5B3A">
        <w:rPr>
          <w:sz w:val="24"/>
          <w:szCs w:val="24"/>
        </w:rPr>
        <w:t xml:space="preserve"> pathogens, including </w:t>
      </w:r>
      <w:r w:rsidR="001A3E6B">
        <w:rPr>
          <w:i/>
          <w:sz w:val="24"/>
          <w:szCs w:val="24"/>
        </w:rPr>
        <w:t>L.</w:t>
      </w:r>
      <w:r w:rsidRPr="003773C4">
        <w:rPr>
          <w:i/>
          <w:sz w:val="24"/>
          <w:szCs w:val="24"/>
        </w:rPr>
        <w:t xml:space="preserve"> mon</w:t>
      </w:r>
      <w:r w:rsidR="00132B53">
        <w:rPr>
          <w:i/>
          <w:sz w:val="24"/>
          <w:szCs w:val="24"/>
        </w:rPr>
        <w:t>o</w:t>
      </w:r>
      <w:r w:rsidRPr="003773C4">
        <w:rPr>
          <w:i/>
          <w:sz w:val="24"/>
          <w:szCs w:val="24"/>
        </w:rPr>
        <w:t>cytogenes</w:t>
      </w:r>
      <w:r w:rsidRPr="00FE5B3A">
        <w:rPr>
          <w:sz w:val="24"/>
          <w:szCs w:val="24"/>
        </w:rPr>
        <w:t xml:space="preserve">, </w:t>
      </w:r>
      <w:r w:rsidR="001A3E6B">
        <w:rPr>
          <w:i/>
          <w:sz w:val="24"/>
          <w:szCs w:val="24"/>
        </w:rPr>
        <w:t>S.</w:t>
      </w:r>
      <w:r w:rsidRPr="003773C4">
        <w:rPr>
          <w:i/>
          <w:sz w:val="24"/>
          <w:szCs w:val="24"/>
        </w:rPr>
        <w:t xml:space="preserve"> </w:t>
      </w:r>
      <w:r w:rsidR="000D0A95">
        <w:rPr>
          <w:sz w:val="24"/>
          <w:szCs w:val="24"/>
        </w:rPr>
        <w:t>T</w:t>
      </w:r>
      <w:r w:rsidR="00E7628B" w:rsidRPr="00E7628B">
        <w:rPr>
          <w:sz w:val="24"/>
          <w:szCs w:val="24"/>
        </w:rPr>
        <w:t>yphimurium</w:t>
      </w:r>
      <w:r w:rsidRPr="00FE5B3A">
        <w:rPr>
          <w:sz w:val="24"/>
          <w:szCs w:val="24"/>
        </w:rPr>
        <w:t xml:space="preserve">, </w:t>
      </w:r>
      <w:r w:rsidR="001A3E6B">
        <w:rPr>
          <w:i/>
          <w:sz w:val="24"/>
          <w:szCs w:val="24"/>
        </w:rPr>
        <w:t xml:space="preserve">E. </w:t>
      </w:r>
      <w:r w:rsidRPr="003773C4">
        <w:rPr>
          <w:i/>
          <w:sz w:val="24"/>
          <w:szCs w:val="24"/>
        </w:rPr>
        <w:t>coli</w:t>
      </w:r>
      <w:r w:rsidRPr="00FE5B3A">
        <w:rPr>
          <w:sz w:val="24"/>
          <w:szCs w:val="24"/>
        </w:rPr>
        <w:t xml:space="preserve"> O157:H7, and </w:t>
      </w:r>
      <w:r w:rsidRPr="003773C4">
        <w:rPr>
          <w:i/>
          <w:sz w:val="24"/>
          <w:szCs w:val="24"/>
        </w:rPr>
        <w:t>Staphylococcus aureus</w:t>
      </w:r>
      <w:r w:rsidRPr="00FE5B3A">
        <w:rPr>
          <w:sz w:val="24"/>
          <w:szCs w:val="24"/>
        </w:rPr>
        <w:t xml:space="preserve"> was completely inhibited when grown on agar incubated under 4,000 </w:t>
      </w:r>
      <w:proofErr w:type="gramStart"/>
      <w:r w:rsidRPr="00FE5B3A">
        <w:rPr>
          <w:sz w:val="24"/>
          <w:szCs w:val="24"/>
        </w:rPr>
        <w:t>n</w:t>
      </w:r>
      <w:r w:rsidR="00BC45C9">
        <w:rPr>
          <w:sz w:val="24"/>
          <w:szCs w:val="24"/>
        </w:rPr>
        <w:t>L</w:t>
      </w:r>
      <w:proofErr w:type="gramEnd"/>
      <w:r w:rsidRPr="00FE5B3A">
        <w:rPr>
          <w:sz w:val="24"/>
          <w:szCs w:val="24"/>
        </w:rPr>
        <w:t xml:space="preserve"> horseradish distillate/liter air. By contrast, a 20,000 n</w:t>
      </w:r>
      <w:r w:rsidR="00BC45C9">
        <w:rPr>
          <w:sz w:val="24"/>
          <w:szCs w:val="24"/>
        </w:rPr>
        <w:t>L</w:t>
      </w:r>
      <w:r w:rsidR="00132B53">
        <w:rPr>
          <w:sz w:val="24"/>
          <w:szCs w:val="24"/>
        </w:rPr>
        <w:t>/</w:t>
      </w:r>
      <w:r w:rsidRPr="00FE5B3A">
        <w:rPr>
          <w:sz w:val="24"/>
          <w:szCs w:val="24"/>
        </w:rPr>
        <w:t>l</w:t>
      </w:r>
      <w:r w:rsidR="00132B53">
        <w:rPr>
          <w:sz w:val="24"/>
          <w:szCs w:val="24"/>
        </w:rPr>
        <w:t>iter</w:t>
      </w:r>
      <w:r w:rsidRPr="00FE5B3A">
        <w:rPr>
          <w:sz w:val="24"/>
          <w:szCs w:val="24"/>
        </w:rPr>
        <w:t xml:space="preserve"> concentration of distillate was required for complete inhibition of </w:t>
      </w:r>
      <w:r w:rsidRPr="003773C4">
        <w:rPr>
          <w:i/>
          <w:sz w:val="24"/>
          <w:szCs w:val="24"/>
        </w:rPr>
        <w:t xml:space="preserve">Lactobacillus </w:t>
      </w:r>
      <w:r w:rsidR="00F327C5">
        <w:rPr>
          <w:i/>
          <w:sz w:val="24"/>
          <w:szCs w:val="24"/>
        </w:rPr>
        <w:t>sake</w:t>
      </w:r>
      <w:r w:rsidRPr="00FE5B3A">
        <w:rPr>
          <w:sz w:val="24"/>
          <w:szCs w:val="24"/>
        </w:rPr>
        <w:t xml:space="preserve"> (Ward and others 1998; Holley and Patel 2005).</w:t>
      </w:r>
    </w:p>
    <w:p w:rsidR="00701057" w:rsidRPr="00FE5B3A" w:rsidRDefault="00701057" w:rsidP="00701057">
      <w:pPr>
        <w:spacing w:line="480" w:lineRule="auto"/>
        <w:contextualSpacing/>
        <w:rPr>
          <w:sz w:val="24"/>
          <w:szCs w:val="24"/>
        </w:rPr>
      </w:pPr>
      <w:r w:rsidRPr="00FE5B3A">
        <w:rPr>
          <w:sz w:val="24"/>
          <w:szCs w:val="24"/>
        </w:rPr>
        <w:tab/>
        <w:t xml:space="preserve">AIT and other sulfur containing compounds were evaluated in a liquid medium against a series of </w:t>
      </w:r>
      <w:r w:rsidR="00203888">
        <w:rPr>
          <w:sz w:val="24"/>
          <w:szCs w:val="24"/>
        </w:rPr>
        <w:t>Gram-positive</w:t>
      </w:r>
      <w:r w:rsidRPr="00FE5B3A">
        <w:rPr>
          <w:sz w:val="24"/>
          <w:szCs w:val="24"/>
        </w:rPr>
        <w:t xml:space="preserve"> and </w:t>
      </w:r>
      <w:r w:rsidR="00203888">
        <w:rPr>
          <w:sz w:val="24"/>
          <w:szCs w:val="24"/>
        </w:rPr>
        <w:t>Gram-negative</w:t>
      </w:r>
      <w:r w:rsidRPr="00FE5B3A">
        <w:rPr>
          <w:sz w:val="24"/>
          <w:szCs w:val="24"/>
        </w:rPr>
        <w:t xml:space="preserve"> bacteria in addition to several yeast species. All LAB required concentrations of 300-500 ppm AIT for inhibition to occur. MICs for non-LAB species ranged from 50-300 ppm. </w:t>
      </w:r>
      <w:r w:rsidR="00FD3B94" w:rsidRPr="00FD3B94">
        <w:rPr>
          <w:i/>
          <w:sz w:val="24"/>
          <w:szCs w:val="24"/>
        </w:rPr>
        <w:t>E. coli</w:t>
      </w:r>
      <w:r w:rsidRPr="00FE5B3A">
        <w:rPr>
          <w:sz w:val="24"/>
          <w:szCs w:val="24"/>
        </w:rPr>
        <w:t xml:space="preserve"> was the most susceptible </w:t>
      </w:r>
      <w:r w:rsidR="00203888">
        <w:rPr>
          <w:sz w:val="24"/>
          <w:szCs w:val="24"/>
        </w:rPr>
        <w:t>Gram-negative</w:t>
      </w:r>
      <w:r w:rsidRPr="00FE5B3A">
        <w:rPr>
          <w:sz w:val="24"/>
          <w:szCs w:val="24"/>
        </w:rPr>
        <w:t xml:space="preserve"> bacteria with an MIC of 50 ppm, while </w:t>
      </w:r>
      <w:r w:rsidRPr="003773C4">
        <w:rPr>
          <w:i/>
          <w:sz w:val="24"/>
          <w:szCs w:val="24"/>
        </w:rPr>
        <w:t>Enterobacter aerogenes</w:t>
      </w:r>
      <w:r w:rsidRPr="00FE5B3A">
        <w:rPr>
          <w:sz w:val="24"/>
          <w:szCs w:val="24"/>
        </w:rPr>
        <w:t xml:space="preserve"> was the least susceptible </w:t>
      </w:r>
      <w:r w:rsidR="00203888">
        <w:rPr>
          <w:sz w:val="24"/>
          <w:szCs w:val="24"/>
        </w:rPr>
        <w:t>Gram-negative</w:t>
      </w:r>
      <w:r w:rsidRPr="00FE5B3A">
        <w:rPr>
          <w:sz w:val="24"/>
          <w:szCs w:val="24"/>
        </w:rPr>
        <w:t xml:space="preserve"> requiring 300 ppm for inhibition. The yeasts, which included </w:t>
      </w:r>
      <w:r w:rsidRPr="003773C4">
        <w:rPr>
          <w:i/>
          <w:sz w:val="24"/>
          <w:szCs w:val="24"/>
        </w:rPr>
        <w:t>Saccharomyces</w:t>
      </w:r>
      <w:r w:rsidRPr="00FE5B3A">
        <w:rPr>
          <w:sz w:val="24"/>
          <w:szCs w:val="24"/>
        </w:rPr>
        <w:t xml:space="preserve"> and </w:t>
      </w:r>
      <w:r w:rsidRPr="003773C4">
        <w:rPr>
          <w:i/>
          <w:sz w:val="24"/>
          <w:szCs w:val="24"/>
        </w:rPr>
        <w:t>Pichia</w:t>
      </w:r>
      <w:r w:rsidRPr="00FE5B3A">
        <w:rPr>
          <w:sz w:val="24"/>
          <w:szCs w:val="24"/>
        </w:rPr>
        <w:t xml:space="preserve"> species, were highly sensitive as inhibition occurred within a range of 1-4 ppm AIT (Kyung and Fleming 1997; Ward and others 1998).</w:t>
      </w:r>
    </w:p>
    <w:p w:rsidR="00701057" w:rsidRPr="00FE5B3A" w:rsidRDefault="00701057" w:rsidP="00701057">
      <w:pPr>
        <w:spacing w:line="480" w:lineRule="auto"/>
        <w:contextualSpacing/>
        <w:rPr>
          <w:sz w:val="24"/>
          <w:szCs w:val="24"/>
        </w:rPr>
      </w:pPr>
      <w:r w:rsidRPr="00FE5B3A">
        <w:rPr>
          <w:sz w:val="24"/>
          <w:szCs w:val="24"/>
        </w:rPr>
        <w:lastRenderedPageBreak/>
        <w:tab/>
        <w:t>Rapid degradation of AIT is a significant hurdle to overcome prior to application to food preservation. Water, either in vapor or liquid forms</w:t>
      </w:r>
      <w:r w:rsidR="00132B53">
        <w:rPr>
          <w:sz w:val="24"/>
          <w:szCs w:val="24"/>
        </w:rPr>
        <w:t>,</w:t>
      </w:r>
      <w:r w:rsidRPr="00FE5B3A">
        <w:rPr>
          <w:sz w:val="24"/>
          <w:szCs w:val="24"/>
        </w:rPr>
        <w:t xml:space="preserve"> quickly decomposes AIT to produc</w:t>
      </w:r>
      <w:r w:rsidR="00132B53">
        <w:rPr>
          <w:sz w:val="24"/>
          <w:szCs w:val="24"/>
        </w:rPr>
        <w:t>e</w:t>
      </w:r>
      <w:r w:rsidRPr="00FE5B3A">
        <w:rPr>
          <w:sz w:val="24"/>
          <w:szCs w:val="24"/>
        </w:rPr>
        <w:t xml:space="preserve"> sulfur, ally dithiocarbamate, diallyl tetra-sulfide and diallyl penta-sulfide</w:t>
      </w:r>
      <w:r w:rsidR="002913D9">
        <w:rPr>
          <w:sz w:val="24"/>
          <w:szCs w:val="24"/>
        </w:rPr>
        <w:t>, all with</w:t>
      </w:r>
      <w:r w:rsidR="00132B53" w:rsidRPr="00132B53">
        <w:rPr>
          <w:sz w:val="24"/>
          <w:szCs w:val="24"/>
        </w:rPr>
        <w:t xml:space="preserve"> </w:t>
      </w:r>
      <w:r w:rsidR="00132B53" w:rsidRPr="00FE5B3A">
        <w:rPr>
          <w:sz w:val="24"/>
          <w:szCs w:val="24"/>
        </w:rPr>
        <w:t>diminished antimicrobial activity</w:t>
      </w:r>
      <w:r w:rsidRPr="00FE5B3A">
        <w:rPr>
          <w:sz w:val="24"/>
          <w:szCs w:val="24"/>
        </w:rPr>
        <w:t xml:space="preserve">. This degradation is further </w:t>
      </w:r>
      <w:r w:rsidR="002913D9" w:rsidRPr="00FE5B3A">
        <w:rPr>
          <w:sz w:val="24"/>
          <w:szCs w:val="24"/>
        </w:rPr>
        <w:t>exacerbated</w:t>
      </w:r>
      <w:r w:rsidRPr="00FE5B3A">
        <w:rPr>
          <w:sz w:val="24"/>
          <w:szCs w:val="24"/>
        </w:rPr>
        <w:t xml:space="preserve"> by high temperatures and pH (Luciano and Holley 2009; Ward and others 1998; Kawakishi and Kaneko 1987). Microencapsulation has been explored as a means of adding AIT to suitable food products to reduced degradation prior to target contact while also limiting changes to flavor profiles (Ko and others 2012).</w:t>
      </w:r>
    </w:p>
    <w:p w:rsidR="00701057" w:rsidRPr="00FE5B3A" w:rsidRDefault="00701057" w:rsidP="007E1649">
      <w:pPr>
        <w:pStyle w:val="Heading2"/>
        <w:spacing w:line="480" w:lineRule="auto"/>
        <w:rPr>
          <w:rFonts w:asciiTheme="minorHAnsi" w:hAnsiTheme="minorHAnsi"/>
          <w:color w:val="auto"/>
        </w:rPr>
      </w:pPr>
      <w:bookmarkStart w:id="6" w:name="_Toc364366574"/>
      <w:r w:rsidRPr="00FE5B3A">
        <w:rPr>
          <w:rFonts w:asciiTheme="minorHAnsi" w:hAnsiTheme="minorHAnsi"/>
          <w:color w:val="auto"/>
        </w:rPr>
        <w:t>Essential oil</w:t>
      </w:r>
      <w:r w:rsidR="00E95A92">
        <w:rPr>
          <w:rFonts w:asciiTheme="minorHAnsi" w:hAnsiTheme="minorHAnsi"/>
          <w:color w:val="auto"/>
        </w:rPr>
        <w:t>s</w:t>
      </w:r>
      <w:r w:rsidRPr="00FE5B3A">
        <w:rPr>
          <w:rFonts w:asciiTheme="minorHAnsi" w:hAnsiTheme="minorHAnsi"/>
          <w:color w:val="auto"/>
        </w:rPr>
        <w:t xml:space="preserve"> in food</w:t>
      </w:r>
      <w:bookmarkEnd w:id="6"/>
    </w:p>
    <w:p w:rsidR="00E52A6F" w:rsidRDefault="000046C4" w:rsidP="007E1649">
      <w:pPr>
        <w:spacing w:line="480" w:lineRule="auto"/>
        <w:ind w:firstLine="720"/>
        <w:contextualSpacing/>
        <w:rPr>
          <w:sz w:val="24"/>
          <w:szCs w:val="24"/>
        </w:rPr>
      </w:pPr>
      <w:r>
        <w:rPr>
          <w:sz w:val="24"/>
          <w:szCs w:val="24"/>
        </w:rPr>
        <w:t>It is well accepted that in the majority of instances, greater concentrations of essential oils are required for inhibition of microbial growth in food products than is evident in liquid or agar mediums (Zaika</w:t>
      </w:r>
      <w:r w:rsidR="0025320F">
        <w:rPr>
          <w:sz w:val="24"/>
          <w:szCs w:val="24"/>
        </w:rPr>
        <w:t xml:space="preserve"> 1988</w:t>
      </w:r>
      <w:r w:rsidR="00E52A6F">
        <w:rPr>
          <w:sz w:val="24"/>
          <w:szCs w:val="24"/>
        </w:rPr>
        <w:t>)</w:t>
      </w:r>
      <w:r>
        <w:rPr>
          <w:sz w:val="24"/>
          <w:szCs w:val="24"/>
        </w:rPr>
        <w:t>.</w:t>
      </w:r>
      <w:r w:rsidR="00E52A6F">
        <w:rPr>
          <w:sz w:val="24"/>
          <w:szCs w:val="24"/>
        </w:rPr>
        <w:t xml:space="preserve"> Intrinsic characteristics of food matrixes, including protein, fat, water activity, or pH all influence the efficiency of antimicrobial additives.</w:t>
      </w:r>
    </w:p>
    <w:p w:rsidR="00FB12FF" w:rsidRDefault="00E52A6F" w:rsidP="007E1649">
      <w:pPr>
        <w:spacing w:line="480" w:lineRule="auto"/>
        <w:ind w:firstLine="720"/>
        <w:contextualSpacing/>
        <w:rPr>
          <w:sz w:val="24"/>
          <w:szCs w:val="24"/>
        </w:rPr>
      </w:pPr>
      <w:r>
        <w:rPr>
          <w:sz w:val="24"/>
          <w:szCs w:val="24"/>
        </w:rPr>
        <w:t>For example, fresh meats</w:t>
      </w:r>
      <w:r w:rsidR="004219CF">
        <w:rPr>
          <w:sz w:val="24"/>
          <w:szCs w:val="24"/>
        </w:rPr>
        <w:t>, poultry, and fish</w:t>
      </w:r>
      <w:r>
        <w:rPr>
          <w:sz w:val="24"/>
          <w:szCs w:val="24"/>
        </w:rPr>
        <w:t xml:space="preserve"> </w:t>
      </w:r>
      <w:r w:rsidR="007535B6">
        <w:rPr>
          <w:sz w:val="24"/>
          <w:szCs w:val="24"/>
        </w:rPr>
        <w:t xml:space="preserve">not only </w:t>
      </w:r>
      <w:r>
        <w:rPr>
          <w:sz w:val="24"/>
          <w:szCs w:val="24"/>
        </w:rPr>
        <w:t>receive minimal processing prior to marketing,</w:t>
      </w:r>
      <w:r w:rsidR="007535B6">
        <w:rPr>
          <w:sz w:val="24"/>
          <w:szCs w:val="24"/>
        </w:rPr>
        <w:t xml:space="preserve"> but their high lipid and protein content </w:t>
      </w:r>
      <w:r w:rsidR="0051624C">
        <w:rPr>
          <w:sz w:val="24"/>
          <w:szCs w:val="24"/>
        </w:rPr>
        <w:t>decrease</w:t>
      </w:r>
      <w:r w:rsidR="007535B6">
        <w:rPr>
          <w:sz w:val="24"/>
          <w:szCs w:val="24"/>
        </w:rPr>
        <w:t xml:space="preserve"> the activity of </w:t>
      </w:r>
      <w:r w:rsidR="004219CF">
        <w:rPr>
          <w:sz w:val="24"/>
          <w:szCs w:val="24"/>
        </w:rPr>
        <w:t>phenolics.</w:t>
      </w:r>
      <w:r w:rsidR="000046C4">
        <w:rPr>
          <w:sz w:val="24"/>
          <w:szCs w:val="24"/>
        </w:rPr>
        <w:t xml:space="preserve"> </w:t>
      </w:r>
      <w:r>
        <w:rPr>
          <w:sz w:val="24"/>
          <w:szCs w:val="24"/>
        </w:rPr>
        <w:t xml:space="preserve">As essential oils are hydrophobic in nature, when applied to the surface of a meat product, the oils </w:t>
      </w:r>
      <w:r w:rsidR="001D6AA9">
        <w:rPr>
          <w:sz w:val="24"/>
          <w:szCs w:val="24"/>
        </w:rPr>
        <w:t>often</w:t>
      </w:r>
      <w:r w:rsidR="004219CF">
        <w:rPr>
          <w:sz w:val="24"/>
          <w:szCs w:val="24"/>
        </w:rPr>
        <w:t xml:space="preserve"> </w:t>
      </w:r>
      <w:r w:rsidR="00ED7E88">
        <w:rPr>
          <w:sz w:val="24"/>
          <w:szCs w:val="24"/>
        </w:rPr>
        <w:t>aggregate into the lipid</w:t>
      </w:r>
      <w:r>
        <w:rPr>
          <w:sz w:val="24"/>
          <w:szCs w:val="24"/>
        </w:rPr>
        <w:t xml:space="preserve"> portion of the meat</w:t>
      </w:r>
      <w:r w:rsidR="001D6AA9">
        <w:rPr>
          <w:sz w:val="24"/>
          <w:szCs w:val="24"/>
        </w:rPr>
        <w:t>, thus leaving</w:t>
      </w:r>
      <w:r w:rsidR="004219CF">
        <w:rPr>
          <w:sz w:val="24"/>
          <w:szCs w:val="24"/>
        </w:rPr>
        <w:t xml:space="preserve"> </w:t>
      </w:r>
      <w:r>
        <w:rPr>
          <w:sz w:val="24"/>
          <w:szCs w:val="24"/>
        </w:rPr>
        <w:t>the microbially contaminated surface</w:t>
      </w:r>
      <w:r w:rsidR="001D6AA9">
        <w:rPr>
          <w:sz w:val="24"/>
          <w:szCs w:val="24"/>
        </w:rPr>
        <w:t xml:space="preserve"> untreated.</w:t>
      </w:r>
      <w:r>
        <w:rPr>
          <w:sz w:val="24"/>
          <w:szCs w:val="24"/>
        </w:rPr>
        <w:t xml:space="preserve"> </w:t>
      </w:r>
      <w:r w:rsidR="001D6AA9">
        <w:rPr>
          <w:sz w:val="24"/>
          <w:szCs w:val="24"/>
        </w:rPr>
        <w:t>T</w:t>
      </w:r>
      <w:r w:rsidR="004219CF">
        <w:rPr>
          <w:sz w:val="24"/>
          <w:szCs w:val="24"/>
        </w:rPr>
        <w:t xml:space="preserve">hey </w:t>
      </w:r>
      <w:r w:rsidR="001D6AA9">
        <w:rPr>
          <w:sz w:val="24"/>
          <w:szCs w:val="24"/>
        </w:rPr>
        <w:t>may also</w:t>
      </w:r>
      <w:r w:rsidR="0051624C">
        <w:rPr>
          <w:sz w:val="24"/>
          <w:szCs w:val="24"/>
        </w:rPr>
        <w:t xml:space="preserve"> </w:t>
      </w:r>
      <w:r w:rsidR="001D6AA9">
        <w:rPr>
          <w:sz w:val="24"/>
          <w:szCs w:val="24"/>
        </w:rPr>
        <w:t>be</w:t>
      </w:r>
      <w:r>
        <w:rPr>
          <w:sz w:val="24"/>
          <w:szCs w:val="24"/>
        </w:rPr>
        <w:t xml:space="preserve"> chemically altered, </w:t>
      </w:r>
      <w:r w:rsidR="004219CF">
        <w:rPr>
          <w:sz w:val="24"/>
          <w:szCs w:val="24"/>
        </w:rPr>
        <w:t xml:space="preserve">losing </w:t>
      </w:r>
      <w:r>
        <w:rPr>
          <w:sz w:val="24"/>
          <w:szCs w:val="24"/>
        </w:rPr>
        <w:t>antimicrobial capabilities as they come in contact with intrinsic meat components (Quintavalla and Vincini 2002).</w:t>
      </w:r>
      <w:r w:rsidR="001D6AA9">
        <w:rPr>
          <w:sz w:val="24"/>
          <w:szCs w:val="24"/>
        </w:rPr>
        <w:t xml:space="preserve"> These products also have pH values</w:t>
      </w:r>
      <w:r w:rsidR="004219CF">
        <w:rPr>
          <w:sz w:val="24"/>
          <w:szCs w:val="24"/>
        </w:rPr>
        <w:t xml:space="preserve"> near neutral and high water activities, providing an ideal substrate on which microorganisms can flourish (Davidson and others 2013).</w:t>
      </w:r>
      <w:r w:rsidR="00F44278">
        <w:rPr>
          <w:sz w:val="24"/>
          <w:szCs w:val="24"/>
        </w:rPr>
        <w:t xml:space="preserve"> For these reasons, the use of oil </w:t>
      </w:r>
      <w:r w:rsidR="00F44278">
        <w:rPr>
          <w:sz w:val="24"/>
          <w:szCs w:val="24"/>
        </w:rPr>
        <w:lastRenderedPageBreak/>
        <w:t xml:space="preserve">incorporated films is becoming an increasingly popular area of study (Zivanovic and others </w:t>
      </w:r>
      <w:r w:rsidR="00F051AE">
        <w:rPr>
          <w:sz w:val="24"/>
          <w:szCs w:val="24"/>
        </w:rPr>
        <w:t xml:space="preserve">2005; </w:t>
      </w:r>
      <w:r w:rsidR="00F44278" w:rsidRPr="006A1812">
        <w:rPr>
          <w:sz w:val="24"/>
          <w:szCs w:val="24"/>
        </w:rPr>
        <w:t>Gómez-Estaca</w:t>
      </w:r>
      <w:r w:rsidR="00F44278">
        <w:rPr>
          <w:sz w:val="24"/>
          <w:szCs w:val="24"/>
        </w:rPr>
        <w:t xml:space="preserve"> and others 2010; </w:t>
      </w:r>
      <w:r w:rsidR="00F44278" w:rsidRPr="00F44278">
        <w:rPr>
          <w:sz w:val="24"/>
          <w:szCs w:val="24"/>
        </w:rPr>
        <w:t>Emiroğlu</w:t>
      </w:r>
      <w:r w:rsidR="00F44278">
        <w:rPr>
          <w:sz w:val="24"/>
          <w:szCs w:val="24"/>
        </w:rPr>
        <w:t xml:space="preserve"> and others 2010</w:t>
      </w:r>
      <w:r w:rsidR="00F051AE">
        <w:rPr>
          <w:sz w:val="24"/>
          <w:szCs w:val="24"/>
        </w:rPr>
        <w:t>)</w:t>
      </w:r>
      <w:r w:rsidR="00F44278">
        <w:rPr>
          <w:sz w:val="24"/>
          <w:szCs w:val="24"/>
        </w:rPr>
        <w:t>.</w:t>
      </w:r>
    </w:p>
    <w:p w:rsidR="00AB5696" w:rsidRDefault="00D23069" w:rsidP="007E1649">
      <w:pPr>
        <w:spacing w:line="480" w:lineRule="auto"/>
        <w:ind w:firstLine="720"/>
        <w:contextualSpacing/>
        <w:rPr>
          <w:sz w:val="24"/>
          <w:szCs w:val="24"/>
        </w:rPr>
      </w:pPr>
      <w:r>
        <w:rPr>
          <w:sz w:val="24"/>
          <w:szCs w:val="24"/>
        </w:rPr>
        <w:t xml:space="preserve">Fruit and vegetable products are likely candidates for essential oil application, due in large part to the virtual absence of proteins and lipids in the majority of herbaceous species.  However, carbohydrates have demonstrated interference with essential oils within a food system, </w:t>
      </w:r>
      <w:r w:rsidR="00BD3FFF">
        <w:rPr>
          <w:sz w:val="24"/>
          <w:szCs w:val="24"/>
        </w:rPr>
        <w:t xml:space="preserve">so further </w:t>
      </w:r>
      <w:r>
        <w:rPr>
          <w:sz w:val="24"/>
          <w:szCs w:val="24"/>
        </w:rPr>
        <w:t>research in this area</w:t>
      </w:r>
      <w:r w:rsidR="00BD3FFF">
        <w:rPr>
          <w:sz w:val="24"/>
          <w:szCs w:val="24"/>
        </w:rPr>
        <w:t xml:space="preserve"> is still crucial to evaluate their interactions</w:t>
      </w:r>
      <w:r w:rsidR="009D785E">
        <w:rPr>
          <w:sz w:val="24"/>
          <w:szCs w:val="24"/>
        </w:rPr>
        <w:t xml:space="preserve"> (Davidson and others 2013)</w:t>
      </w:r>
      <w:r>
        <w:rPr>
          <w:sz w:val="24"/>
          <w:szCs w:val="24"/>
        </w:rPr>
        <w:t xml:space="preserve">. </w:t>
      </w:r>
      <w:r w:rsidR="009D785E">
        <w:rPr>
          <w:sz w:val="24"/>
          <w:szCs w:val="24"/>
        </w:rPr>
        <w:t xml:space="preserve"> A</w:t>
      </w:r>
      <w:r w:rsidR="00BD3FFF">
        <w:rPr>
          <w:sz w:val="24"/>
          <w:szCs w:val="24"/>
        </w:rPr>
        <w:t>dditionally</w:t>
      </w:r>
      <w:r w:rsidR="00EE5B91">
        <w:rPr>
          <w:sz w:val="24"/>
          <w:szCs w:val="24"/>
        </w:rPr>
        <w:t xml:space="preserve">, </w:t>
      </w:r>
      <w:r w:rsidR="00BD3FFF">
        <w:rPr>
          <w:sz w:val="24"/>
          <w:szCs w:val="24"/>
        </w:rPr>
        <w:t>th</w:t>
      </w:r>
      <w:r>
        <w:rPr>
          <w:sz w:val="24"/>
          <w:szCs w:val="24"/>
        </w:rPr>
        <w:t xml:space="preserve">e surface of most produce is covered with crevices into which microorganisms are able to insert, making uniform application of essential oils to plant surfaces </w:t>
      </w:r>
      <w:r w:rsidR="002913D9">
        <w:rPr>
          <w:sz w:val="24"/>
          <w:szCs w:val="24"/>
        </w:rPr>
        <w:t>difficult</w:t>
      </w:r>
      <w:r>
        <w:rPr>
          <w:sz w:val="24"/>
          <w:szCs w:val="24"/>
        </w:rPr>
        <w:t>. In juice form, the potential is much more promising as greater homogeneity of the product is achieved, and the major</w:t>
      </w:r>
      <w:r w:rsidR="0060731C">
        <w:rPr>
          <w:sz w:val="24"/>
          <w:szCs w:val="24"/>
        </w:rPr>
        <w:t>ity of fruit and even</w:t>
      </w:r>
      <w:r w:rsidR="00BD3FFF">
        <w:rPr>
          <w:sz w:val="24"/>
          <w:szCs w:val="24"/>
        </w:rPr>
        <w:t xml:space="preserve"> some</w:t>
      </w:r>
      <w:r w:rsidR="0060731C">
        <w:rPr>
          <w:sz w:val="24"/>
          <w:szCs w:val="24"/>
        </w:rPr>
        <w:t xml:space="preserve"> vegetable juice</w:t>
      </w:r>
      <w:r w:rsidR="00BD3FFF">
        <w:rPr>
          <w:sz w:val="24"/>
          <w:szCs w:val="24"/>
        </w:rPr>
        <w:t xml:space="preserve"> cocktails</w:t>
      </w:r>
      <w:r w:rsidR="0060731C">
        <w:rPr>
          <w:sz w:val="24"/>
          <w:szCs w:val="24"/>
        </w:rPr>
        <w:t xml:space="preserve"> tend to have high acidities. Low pH in juices not only selects for acid tolerant microbial species, but has also been shown to enhance to the antimicrobial </w:t>
      </w:r>
      <w:r w:rsidR="001D6AA9">
        <w:rPr>
          <w:sz w:val="24"/>
          <w:szCs w:val="24"/>
        </w:rPr>
        <w:t>properties</w:t>
      </w:r>
      <w:r w:rsidR="0060731C">
        <w:rPr>
          <w:sz w:val="24"/>
          <w:szCs w:val="24"/>
        </w:rPr>
        <w:t xml:space="preserve"> of many essential oils.</w:t>
      </w:r>
      <w:r>
        <w:rPr>
          <w:sz w:val="24"/>
          <w:szCs w:val="24"/>
        </w:rPr>
        <w:t xml:space="preserve"> </w:t>
      </w:r>
      <w:r w:rsidR="00FE340F">
        <w:rPr>
          <w:sz w:val="24"/>
          <w:szCs w:val="24"/>
        </w:rPr>
        <w:t xml:space="preserve">For example, </w:t>
      </w:r>
      <w:r w:rsidR="00FE340F" w:rsidRPr="00FE340F">
        <w:rPr>
          <w:sz w:val="24"/>
          <w:szCs w:val="24"/>
        </w:rPr>
        <w:t>Gutierrez</w:t>
      </w:r>
      <w:r w:rsidR="00FE340F">
        <w:rPr>
          <w:sz w:val="24"/>
          <w:szCs w:val="24"/>
        </w:rPr>
        <w:t xml:space="preserve"> and others (2008) found that essential oils applied in a liquid medium at pH 5 increased lag phase and reduced growth of </w:t>
      </w:r>
      <w:r w:rsidR="00FE340F" w:rsidRPr="00FE340F">
        <w:rPr>
          <w:i/>
          <w:sz w:val="24"/>
          <w:szCs w:val="24"/>
        </w:rPr>
        <w:t xml:space="preserve">L. monocytogenes </w:t>
      </w:r>
      <w:r w:rsidR="00FE340F">
        <w:rPr>
          <w:sz w:val="24"/>
          <w:szCs w:val="24"/>
        </w:rPr>
        <w:t>more effectively than when administered in broth of pH 6 or 7.</w:t>
      </w:r>
      <w:r w:rsidR="00BD3FFF">
        <w:rPr>
          <w:sz w:val="24"/>
          <w:szCs w:val="24"/>
        </w:rPr>
        <w:t xml:space="preserve"> Additionally, juices are ideal substrates to which essential oils may be incorporated because many plant sources of essential oils are traditionally used with commonly consumed juice beverages, such as cinnamon with apple juice or cider. </w:t>
      </w:r>
    </w:p>
    <w:p w:rsidR="00701057" w:rsidRPr="00FE5B3A" w:rsidRDefault="00BD3FFF" w:rsidP="007E1649">
      <w:pPr>
        <w:spacing w:line="480" w:lineRule="auto"/>
        <w:ind w:firstLine="720"/>
        <w:contextualSpacing/>
        <w:rPr>
          <w:sz w:val="24"/>
          <w:szCs w:val="24"/>
        </w:rPr>
      </w:pPr>
      <w:r>
        <w:rPr>
          <w:sz w:val="24"/>
          <w:szCs w:val="24"/>
        </w:rPr>
        <w:t xml:space="preserve">The use of spices and spice blends in many food products that already contain high levels of similar seasonings </w:t>
      </w:r>
      <w:r w:rsidR="00E95A92">
        <w:rPr>
          <w:sz w:val="24"/>
          <w:szCs w:val="24"/>
        </w:rPr>
        <w:t>has also been examined. Ideally, reengineering of food formulations that contain high levels of spices such as oregano or thyme seasonings could take advantage of the already present sources of essential oils. Unfortunately, s</w:t>
      </w:r>
      <w:r w:rsidR="00701057" w:rsidRPr="00FE5B3A">
        <w:rPr>
          <w:sz w:val="24"/>
          <w:szCs w:val="24"/>
        </w:rPr>
        <w:t xml:space="preserve">ome work has shown that spices stimulate the growth and acid production of LAB (Shelef 1983). In a study by Nes and Skjelkvale </w:t>
      </w:r>
      <w:r w:rsidR="00701057" w:rsidRPr="00FE5B3A">
        <w:rPr>
          <w:sz w:val="24"/>
          <w:szCs w:val="24"/>
        </w:rPr>
        <w:lastRenderedPageBreak/>
        <w:t xml:space="preserve">(1982), seasoned dry sausages were inoculated with three strains of </w:t>
      </w:r>
      <w:r w:rsidR="00FD3B94" w:rsidRPr="00FD3B94">
        <w:rPr>
          <w:i/>
          <w:sz w:val="24"/>
          <w:szCs w:val="24"/>
        </w:rPr>
        <w:t>Lactobacillus plantarum</w:t>
      </w:r>
      <w:r w:rsidR="00701057" w:rsidRPr="00FE5B3A">
        <w:rPr>
          <w:sz w:val="24"/>
          <w:szCs w:val="24"/>
        </w:rPr>
        <w:t>. Acid production and glucose consumption within sausages was augmented in those utilizing a natural spice blend. However, seasoning with oleoresins derived from the same spices resulted in no change in acid production, indicating that oleoresins had no effect on cellular growth</w:t>
      </w:r>
    </w:p>
    <w:p w:rsidR="00690416" w:rsidRPr="00FE5B3A" w:rsidRDefault="00701057" w:rsidP="004602D6">
      <w:pPr>
        <w:spacing w:line="480" w:lineRule="auto"/>
        <w:ind w:firstLine="720"/>
        <w:contextualSpacing/>
        <w:rPr>
          <w:sz w:val="24"/>
          <w:szCs w:val="24"/>
        </w:rPr>
      </w:pPr>
      <w:r w:rsidRPr="00FE5B3A">
        <w:rPr>
          <w:sz w:val="24"/>
          <w:szCs w:val="24"/>
        </w:rPr>
        <w:t>Spices themselves are not likely suitable replacements for concentrated volatile oils</w:t>
      </w:r>
      <w:r w:rsidR="00690416">
        <w:rPr>
          <w:sz w:val="24"/>
          <w:szCs w:val="24"/>
        </w:rPr>
        <w:t>.</w:t>
      </w:r>
      <w:r w:rsidRPr="00FE5B3A">
        <w:rPr>
          <w:sz w:val="24"/>
          <w:szCs w:val="24"/>
        </w:rPr>
        <w:t xml:space="preserve"> </w:t>
      </w:r>
      <w:r w:rsidR="00EE5B91">
        <w:rPr>
          <w:sz w:val="24"/>
          <w:szCs w:val="24"/>
        </w:rPr>
        <w:t>T</w:t>
      </w:r>
      <w:r w:rsidRPr="00FE5B3A">
        <w:rPr>
          <w:sz w:val="24"/>
          <w:szCs w:val="24"/>
        </w:rPr>
        <w:t xml:space="preserve">he quantity of seasoning used is typically far too small to contain sufficient quantities of essential oil to confer antimicrobial activity. Effective dosages are likely only realistic for highly </w:t>
      </w:r>
      <w:r w:rsidR="00690416">
        <w:rPr>
          <w:sz w:val="24"/>
          <w:szCs w:val="24"/>
        </w:rPr>
        <w:t>seasoned</w:t>
      </w:r>
      <w:r w:rsidRPr="00FE5B3A">
        <w:rPr>
          <w:sz w:val="24"/>
          <w:szCs w:val="24"/>
        </w:rPr>
        <w:t xml:space="preserve"> foods like fermented meat or vegetable products, which are coincidentally foods in which viable cultures are desirable. Bacterial contamination of spices and seasonings is a common occurrence as well</w:t>
      </w:r>
      <w:r w:rsidR="00690416">
        <w:rPr>
          <w:sz w:val="24"/>
          <w:szCs w:val="24"/>
        </w:rPr>
        <w:t xml:space="preserve">; as the majority of essential oils are contained within the plant matter and not on the surface, contaminants may be present on the surface of leaves or stems in spice blends and serve as an inadvertent source of contamination </w:t>
      </w:r>
      <w:r w:rsidRPr="00FE5B3A">
        <w:rPr>
          <w:sz w:val="24"/>
          <w:szCs w:val="24"/>
        </w:rPr>
        <w:t>(Dorman and Deans 2000). Utilizing oil components</w:t>
      </w:r>
      <w:r w:rsidR="00690416">
        <w:rPr>
          <w:sz w:val="24"/>
          <w:szCs w:val="24"/>
        </w:rPr>
        <w:t xml:space="preserve"> instead of spice blends</w:t>
      </w:r>
      <w:r w:rsidRPr="00FE5B3A">
        <w:rPr>
          <w:sz w:val="24"/>
          <w:szCs w:val="24"/>
        </w:rPr>
        <w:t xml:space="preserve"> would circumvent the</w:t>
      </w:r>
      <w:r w:rsidR="00690416">
        <w:rPr>
          <w:sz w:val="24"/>
          <w:szCs w:val="24"/>
        </w:rPr>
        <w:t>se</w:t>
      </w:r>
      <w:r w:rsidRPr="00FE5B3A">
        <w:rPr>
          <w:sz w:val="24"/>
          <w:szCs w:val="24"/>
        </w:rPr>
        <w:t xml:space="preserve"> issues.</w:t>
      </w:r>
    </w:p>
    <w:p w:rsidR="00701057" w:rsidRPr="001A3E6B" w:rsidRDefault="00701057" w:rsidP="001A3E6B">
      <w:pPr>
        <w:pStyle w:val="Heading2"/>
        <w:spacing w:line="480" w:lineRule="auto"/>
        <w:rPr>
          <w:rFonts w:asciiTheme="minorHAnsi" w:hAnsiTheme="minorHAnsi"/>
          <w:color w:val="auto"/>
          <w:sz w:val="24"/>
          <w:szCs w:val="24"/>
        </w:rPr>
      </w:pPr>
      <w:bookmarkStart w:id="7" w:name="_Toc364366575"/>
      <w:r w:rsidRPr="001A3E6B">
        <w:rPr>
          <w:rFonts w:asciiTheme="minorHAnsi" w:hAnsiTheme="minorHAnsi"/>
          <w:color w:val="auto"/>
          <w:sz w:val="24"/>
          <w:szCs w:val="24"/>
        </w:rPr>
        <w:t>Additives and combinations that enhance essential oil activity</w:t>
      </w:r>
      <w:bookmarkEnd w:id="7"/>
    </w:p>
    <w:p w:rsidR="00701057" w:rsidRPr="00FE5B3A" w:rsidRDefault="00701057" w:rsidP="001A3E6B">
      <w:pPr>
        <w:spacing w:line="480" w:lineRule="auto"/>
        <w:ind w:firstLine="720"/>
        <w:rPr>
          <w:sz w:val="24"/>
          <w:szCs w:val="24"/>
        </w:rPr>
      </w:pPr>
      <w:r w:rsidRPr="00FE5B3A">
        <w:rPr>
          <w:sz w:val="24"/>
          <w:szCs w:val="24"/>
        </w:rPr>
        <w:t>The insoluble nature of essential oils makes delivery of phenolic compounds to the liquid fraction of food products</w:t>
      </w:r>
      <w:r w:rsidR="001D272F">
        <w:rPr>
          <w:sz w:val="24"/>
          <w:szCs w:val="24"/>
        </w:rPr>
        <w:t xml:space="preserve"> </w:t>
      </w:r>
      <w:r w:rsidRPr="00FE5B3A">
        <w:rPr>
          <w:sz w:val="24"/>
          <w:szCs w:val="24"/>
        </w:rPr>
        <w:t>difficult</w:t>
      </w:r>
      <w:r w:rsidR="00297551">
        <w:rPr>
          <w:sz w:val="24"/>
          <w:szCs w:val="24"/>
        </w:rPr>
        <w:t xml:space="preserve"> </w:t>
      </w:r>
      <w:r w:rsidR="00297551" w:rsidRPr="00FE5B3A">
        <w:rPr>
          <w:sz w:val="24"/>
          <w:szCs w:val="24"/>
        </w:rPr>
        <w:t>(Blaszyk and Holley 1998).</w:t>
      </w:r>
      <w:r w:rsidRPr="00FE5B3A">
        <w:rPr>
          <w:sz w:val="24"/>
          <w:szCs w:val="24"/>
        </w:rPr>
        <w:t xml:space="preserve"> </w:t>
      </w:r>
      <w:r w:rsidR="001D272F">
        <w:rPr>
          <w:sz w:val="24"/>
          <w:szCs w:val="24"/>
        </w:rPr>
        <w:t>When essential oils are added to a food matrix, they typically partition off into the lipid portion of the food, leaving the aqueous segment devoid of phenolic</w:t>
      </w:r>
      <w:r w:rsidR="00723288">
        <w:rPr>
          <w:sz w:val="24"/>
          <w:szCs w:val="24"/>
        </w:rPr>
        <w:t>s</w:t>
      </w:r>
      <w:r w:rsidR="001D272F">
        <w:rPr>
          <w:sz w:val="24"/>
          <w:szCs w:val="24"/>
        </w:rPr>
        <w:t>. While viable microorganisms can be present in lipid dense zones, growth occurs within the aqueous regions</w:t>
      </w:r>
      <w:r w:rsidR="00723288">
        <w:rPr>
          <w:sz w:val="24"/>
          <w:szCs w:val="24"/>
        </w:rPr>
        <w:t xml:space="preserve">; in a food product, it is feasible that microbial spoilage occurs unchecked despite a high essential oil concentration as the microorganisms are unlikely to come into contact with the lipid-bound phenolic compounds. </w:t>
      </w:r>
      <w:r w:rsidRPr="00FE5B3A">
        <w:rPr>
          <w:sz w:val="24"/>
          <w:szCs w:val="24"/>
        </w:rPr>
        <w:t xml:space="preserve">Adding essential oils to high fat foods generally results in high phenol concentrations in the lipid </w:t>
      </w:r>
      <w:r w:rsidRPr="00FE5B3A">
        <w:rPr>
          <w:sz w:val="24"/>
          <w:szCs w:val="24"/>
        </w:rPr>
        <w:lastRenderedPageBreak/>
        <w:t>portion with little present in the aqueous</w:t>
      </w:r>
      <w:r w:rsidR="001D272F">
        <w:rPr>
          <w:sz w:val="24"/>
          <w:szCs w:val="24"/>
        </w:rPr>
        <w:t xml:space="preserve"> segment</w:t>
      </w:r>
      <w:r w:rsidRPr="00FE5B3A">
        <w:rPr>
          <w:sz w:val="24"/>
          <w:szCs w:val="24"/>
        </w:rPr>
        <w:t xml:space="preserve"> of a food</w:t>
      </w:r>
      <w:r w:rsidR="001D272F">
        <w:rPr>
          <w:sz w:val="24"/>
          <w:szCs w:val="24"/>
        </w:rPr>
        <w:t xml:space="preserve">. </w:t>
      </w:r>
      <w:r w:rsidRPr="00FE5B3A">
        <w:rPr>
          <w:sz w:val="24"/>
          <w:szCs w:val="24"/>
        </w:rPr>
        <w:t>Attempts to solubilize essential oils have been generally unsuccessful, often with the solub</w:t>
      </w:r>
      <w:r w:rsidR="002913D9">
        <w:rPr>
          <w:sz w:val="24"/>
          <w:szCs w:val="24"/>
        </w:rPr>
        <w:t>i</w:t>
      </w:r>
      <w:r w:rsidRPr="00FE5B3A">
        <w:rPr>
          <w:sz w:val="24"/>
          <w:szCs w:val="24"/>
        </w:rPr>
        <w:t xml:space="preserve">lizing agent interfering with the </w:t>
      </w:r>
      <w:r w:rsidR="001D272F">
        <w:rPr>
          <w:sz w:val="24"/>
          <w:szCs w:val="24"/>
        </w:rPr>
        <w:t>antimicrobial</w:t>
      </w:r>
      <w:r w:rsidRPr="00FE5B3A">
        <w:rPr>
          <w:sz w:val="24"/>
          <w:szCs w:val="24"/>
        </w:rPr>
        <w:t xml:space="preserve"> activity of the oils (Blaszyk and Holley 1998). </w:t>
      </w:r>
    </w:p>
    <w:p w:rsidR="00701057" w:rsidRPr="00FE5B3A" w:rsidRDefault="00971E66" w:rsidP="004602D6">
      <w:pPr>
        <w:spacing w:line="480" w:lineRule="auto"/>
        <w:ind w:firstLine="720"/>
        <w:contextualSpacing/>
        <w:rPr>
          <w:sz w:val="24"/>
          <w:szCs w:val="24"/>
        </w:rPr>
      </w:pPr>
      <w:r>
        <w:rPr>
          <w:sz w:val="24"/>
          <w:szCs w:val="24"/>
        </w:rPr>
        <w:t>Inclusion of other</w:t>
      </w:r>
      <w:r w:rsidRPr="00FE5B3A">
        <w:rPr>
          <w:sz w:val="24"/>
          <w:szCs w:val="24"/>
        </w:rPr>
        <w:t xml:space="preserve"> additives or processes, however, has</w:t>
      </w:r>
      <w:r w:rsidR="00701057" w:rsidRPr="00FE5B3A">
        <w:rPr>
          <w:sz w:val="24"/>
          <w:szCs w:val="24"/>
        </w:rPr>
        <w:t xml:space="preserve"> been highly successful in improving the activity and efficiency of essential oils within food products. The addition of humectants, such as salt and sugar, has been shown to improve the antimicrobial action of cinnamon or clove against mold (Shelef 1983). Moleyar and Narasimham (1992) found that 500 µg/mL </w:t>
      </w:r>
      <w:r w:rsidR="00111C41">
        <w:rPr>
          <w:sz w:val="24"/>
          <w:szCs w:val="24"/>
        </w:rPr>
        <w:t>cinnamaldehyde</w:t>
      </w:r>
      <w:r w:rsidR="00701057" w:rsidRPr="00FE5B3A">
        <w:rPr>
          <w:sz w:val="24"/>
          <w:szCs w:val="24"/>
        </w:rPr>
        <w:t xml:space="preserve"> was required for inhibition of the foodborne organisms at 30°C, but at 20°</w:t>
      </w:r>
      <w:r w:rsidR="001D6AA9">
        <w:rPr>
          <w:sz w:val="24"/>
          <w:szCs w:val="24"/>
        </w:rPr>
        <w:t>C</w:t>
      </w:r>
      <w:r w:rsidR="00701057" w:rsidRPr="00FE5B3A">
        <w:rPr>
          <w:sz w:val="24"/>
          <w:szCs w:val="24"/>
        </w:rPr>
        <w:t xml:space="preserve"> and 25°</w:t>
      </w:r>
      <w:r w:rsidR="001D6AA9">
        <w:rPr>
          <w:sz w:val="24"/>
          <w:szCs w:val="24"/>
        </w:rPr>
        <w:t>C</w:t>
      </w:r>
      <w:r w:rsidR="00701057" w:rsidRPr="00FE5B3A">
        <w:rPr>
          <w:sz w:val="24"/>
          <w:szCs w:val="24"/>
        </w:rPr>
        <w:t xml:space="preserve"> the MIC dropped </w:t>
      </w:r>
      <w:proofErr w:type="gramStart"/>
      <w:r w:rsidR="00701057" w:rsidRPr="00FE5B3A">
        <w:rPr>
          <w:sz w:val="24"/>
          <w:szCs w:val="24"/>
        </w:rPr>
        <w:t>to 400 µg/mL (Blaszyk and Holley 1998)</w:t>
      </w:r>
      <w:proofErr w:type="gramEnd"/>
      <w:r w:rsidR="00701057" w:rsidRPr="00FE5B3A">
        <w:rPr>
          <w:sz w:val="24"/>
          <w:szCs w:val="24"/>
        </w:rPr>
        <w:t>.</w:t>
      </w:r>
    </w:p>
    <w:p w:rsidR="00701057" w:rsidRPr="00FE5B3A" w:rsidRDefault="00701057" w:rsidP="004602D6">
      <w:pPr>
        <w:spacing w:line="480" w:lineRule="auto"/>
        <w:ind w:firstLine="720"/>
        <w:contextualSpacing/>
        <w:rPr>
          <w:sz w:val="24"/>
          <w:szCs w:val="24"/>
        </w:rPr>
      </w:pPr>
      <w:r w:rsidRPr="00FE5B3A">
        <w:rPr>
          <w:sz w:val="24"/>
          <w:szCs w:val="24"/>
        </w:rPr>
        <w:t xml:space="preserve">In a study by Blaszyk and Holley, eugenol was combined with monolaurin, a GRAS status additive, and sodium citrate for testing against two </w:t>
      </w:r>
      <w:r w:rsidR="00E7628B" w:rsidRPr="00E7628B">
        <w:rPr>
          <w:i/>
          <w:sz w:val="24"/>
          <w:szCs w:val="24"/>
        </w:rPr>
        <w:t>Lactobacillus</w:t>
      </w:r>
      <w:r w:rsidRPr="00FE5B3A">
        <w:rPr>
          <w:sz w:val="24"/>
          <w:szCs w:val="24"/>
        </w:rPr>
        <w:t xml:space="preserve"> species and </w:t>
      </w:r>
      <w:r w:rsidR="00FD3B94" w:rsidRPr="00FD3B94">
        <w:rPr>
          <w:i/>
          <w:sz w:val="24"/>
          <w:szCs w:val="24"/>
        </w:rPr>
        <w:t>Leuconostoc mesenteroides</w:t>
      </w:r>
      <w:r w:rsidRPr="00FE5B3A">
        <w:rPr>
          <w:sz w:val="24"/>
          <w:szCs w:val="24"/>
        </w:rPr>
        <w:t xml:space="preserve"> for four days in MRS broth. Monolaurin also exhibits antimicrobial activity against </w:t>
      </w:r>
      <w:r w:rsidR="00203888">
        <w:rPr>
          <w:sz w:val="24"/>
          <w:szCs w:val="24"/>
        </w:rPr>
        <w:t>Gram-positive</w:t>
      </w:r>
      <w:r w:rsidRPr="00FE5B3A">
        <w:rPr>
          <w:sz w:val="24"/>
          <w:szCs w:val="24"/>
        </w:rPr>
        <w:t xml:space="preserve"> bacteria a</w:t>
      </w:r>
      <w:r w:rsidR="002913D9">
        <w:rPr>
          <w:sz w:val="24"/>
          <w:szCs w:val="24"/>
        </w:rPr>
        <w:t xml:space="preserve">s well as </w:t>
      </w:r>
      <w:r w:rsidRPr="00FE5B3A">
        <w:rPr>
          <w:sz w:val="24"/>
          <w:szCs w:val="24"/>
        </w:rPr>
        <w:t>fung</w:t>
      </w:r>
      <w:r w:rsidR="002913D9">
        <w:rPr>
          <w:sz w:val="24"/>
          <w:szCs w:val="24"/>
        </w:rPr>
        <w:t>i</w:t>
      </w:r>
      <w:r w:rsidRPr="00FE5B3A">
        <w:rPr>
          <w:sz w:val="24"/>
          <w:szCs w:val="24"/>
        </w:rPr>
        <w:t xml:space="preserve">. </w:t>
      </w:r>
      <w:r w:rsidR="00F274C7">
        <w:rPr>
          <w:sz w:val="24"/>
          <w:szCs w:val="24"/>
        </w:rPr>
        <w:t>When evaluated alone</w:t>
      </w:r>
      <w:r w:rsidRPr="00FE5B3A">
        <w:rPr>
          <w:sz w:val="24"/>
          <w:szCs w:val="24"/>
        </w:rPr>
        <w:t xml:space="preserve">, </w:t>
      </w:r>
      <w:r w:rsidR="00FD3B94" w:rsidRPr="00FD3B94">
        <w:rPr>
          <w:i/>
          <w:sz w:val="24"/>
          <w:szCs w:val="24"/>
        </w:rPr>
        <w:t>L. mesenteroides</w:t>
      </w:r>
      <w:r w:rsidRPr="00FE5B3A">
        <w:rPr>
          <w:sz w:val="24"/>
          <w:szCs w:val="24"/>
        </w:rPr>
        <w:t xml:space="preserve"> proved to be more sensitive than the </w:t>
      </w:r>
      <w:r w:rsidR="00F274C7">
        <w:rPr>
          <w:sz w:val="24"/>
          <w:szCs w:val="24"/>
        </w:rPr>
        <w:t>l</w:t>
      </w:r>
      <w:r w:rsidRPr="00FE5B3A">
        <w:rPr>
          <w:sz w:val="24"/>
          <w:szCs w:val="24"/>
        </w:rPr>
        <w:t xml:space="preserve">actobacilli to </w:t>
      </w:r>
      <w:r w:rsidR="002913D9">
        <w:rPr>
          <w:sz w:val="24"/>
          <w:szCs w:val="24"/>
        </w:rPr>
        <w:t xml:space="preserve">the </w:t>
      </w:r>
      <w:r w:rsidR="002913D9" w:rsidRPr="00FE5B3A">
        <w:rPr>
          <w:sz w:val="24"/>
          <w:szCs w:val="24"/>
        </w:rPr>
        <w:t xml:space="preserve">antimicrobial activity </w:t>
      </w:r>
      <w:r w:rsidR="002913D9">
        <w:rPr>
          <w:sz w:val="24"/>
          <w:szCs w:val="24"/>
        </w:rPr>
        <w:t xml:space="preserve">of </w:t>
      </w:r>
      <w:r w:rsidRPr="00FE5B3A">
        <w:rPr>
          <w:sz w:val="24"/>
          <w:szCs w:val="24"/>
        </w:rPr>
        <w:t xml:space="preserve">eugenol, especially at </w:t>
      </w:r>
      <w:r w:rsidR="00472005">
        <w:rPr>
          <w:sz w:val="24"/>
          <w:szCs w:val="24"/>
        </w:rPr>
        <w:t xml:space="preserve">a lower temperature of </w:t>
      </w:r>
      <w:r w:rsidRPr="00FE5B3A">
        <w:rPr>
          <w:sz w:val="24"/>
          <w:szCs w:val="24"/>
        </w:rPr>
        <w:t>7°C</w:t>
      </w:r>
      <w:r w:rsidR="00472005">
        <w:rPr>
          <w:sz w:val="24"/>
          <w:szCs w:val="24"/>
        </w:rPr>
        <w:t>.</w:t>
      </w:r>
      <w:r w:rsidRPr="00FE5B3A">
        <w:rPr>
          <w:sz w:val="24"/>
          <w:szCs w:val="24"/>
        </w:rPr>
        <w:t xml:space="preserve"> Both </w:t>
      </w:r>
      <w:r w:rsidR="00E7628B" w:rsidRPr="00E7628B">
        <w:rPr>
          <w:i/>
          <w:sz w:val="24"/>
          <w:szCs w:val="24"/>
        </w:rPr>
        <w:t>Lactobacillus</w:t>
      </w:r>
      <w:r w:rsidRPr="00FE5B3A">
        <w:rPr>
          <w:sz w:val="24"/>
          <w:szCs w:val="24"/>
        </w:rPr>
        <w:t xml:space="preserve"> </w:t>
      </w:r>
      <w:r w:rsidR="00F274C7">
        <w:rPr>
          <w:sz w:val="24"/>
          <w:szCs w:val="24"/>
        </w:rPr>
        <w:t xml:space="preserve">species </w:t>
      </w:r>
      <w:r w:rsidRPr="00FE5B3A">
        <w:rPr>
          <w:sz w:val="24"/>
          <w:szCs w:val="24"/>
        </w:rPr>
        <w:t>were relatively unhindered by the eugenol, although inhibition did appear to increase for one of the species at 7°C.</w:t>
      </w:r>
      <w:r w:rsidR="002913D9">
        <w:rPr>
          <w:sz w:val="24"/>
          <w:szCs w:val="24"/>
        </w:rPr>
        <w:t xml:space="preserve"> T</w:t>
      </w:r>
      <w:r w:rsidRPr="00FE5B3A">
        <w:rPr>
          <w:sz w:val="24"/>
          <w:szCs w:val="24"/>
        </w:rPr>
        <w:t>he authors concluded that the most effective inhibition came with the use of all three additives simultaneously</w:t>
      </w:r>
      <w:r w:rsidR="00BE14A6">
        <w:rPr>
          <w:sz w:val="24"/>
          <w:szCs w:val="24"/>
        </w:rPr>
        <w:t xml:space="preserve">; a combination of eugenol at 1000 ppm in conjunction with 0.4% sodium citrate and 250 ppm </w:t>
      </w:r>
      <w:r w:rsidR="009166D3">
        <w:rPr>
          <w:sz w:val="24"/>
          <w:szCs w:val="24"/>
        </w:rPr>
        <w:t>m</w:t>
      </w:r>
      <w:r w:rsidR="00BE14A6">
        <w:rPr>
          <w:sz w:val="24"/>
          <w:szCs w:val="24"/>
        </w:rPr>
        <w:t xml:space="preserve">onolaurin completely inhibited growth of </w:t>
      </w:r>
      <w:r w:rsidR="00BE14A6" w:rsidRPr="00BE14A6">
        <w:rPr>
          <w:i/>
          <w:sz w:val="24"/>
          <w:szCs w:val="24"/>
        </w:rPr>
        <w:t>L. curvatus</w:t>
      </w:r>
      <w:r w:rsidR="00BE14A6">
        <w:rPr>
          <w:sz w:val="24"/>
          <w:szCs w:val="24"/>
        </w:rPr>
        <w:t>.</w:t>
      </w:r>
      <w:r w:rsidRPr="00FE5B3A">
        <w:rPr>
          <w:sz w:val="24"/>
          <w:szCs w:val="24"/>
        </w:rPr>
        <w:t xml:space="preserve"> </w:t>
      </w:r>
      <w:r w:rsidR="002913D9">
        <w:rPr>
          <w:sz w:val="24"/>
          <w:szCs w:val="24"/>
        </w:rPr>
        <w:t>Additionally</w:t>
      </w:r>
      <w:r w:rsidR="009166D3">
        <w:rPr>
          <w:sz w:val="24"/>
          <w:szCs w:val="24"/>
        </w:rPr>
        <w:t xml:space="preserve">, sodium citrate </w:t>
      </w:r>
      <w:r w:rsidR="002913D9">
        <w:rPr>
          <w:sz w:val="24"/>
          <w:szCs w:val="24"/>
        </w:rPr>
        <w:t xml:space="preserve">at </w:t>
      </w:r>
      <w:r w:rsidR="009166D3">
        <w:rPr>
          <w:sz w:val="24"/>
          <w:szCs w:val="24"/>
        </w:rPr>
        <w:t xml:space="preserve">0.2 or 0.4% </w:t>
      </w:r>
      <w:r w:rsidR="002913D9">
        <w:rPr>
          <w:sz w:val="24"/>
          <w:szCs w:val="24"/>
        </w:rPr>
        <w:t xml:space="preserve">significantly inhibited </w:t>
      </w:r>
      <w:r w:rsidR="009166D3" w:rsidRPr="009166D3">
        <w:rPr>
          <w:i/>
          <w:sz w:val="24"/>
          <w:szCs w:val="24"/>
        </w:rPr>
        <w:t>L. sake</w:t>
      </w:r>
      <w:r w:rsidR="009166D3">
        <w:rPr>
          <w:sz w:val="24"/>
          <w:szCs w:val="24"/>
        </w:rPr>
        <w:t xml:space="preserve"> growth w</w:t>
      </w:r>
      <w:r w:rsidR="002913D9">
        <w:rPr>
          <w:sz w:val="24"/>
          <w:szCs w:val="24"/>
        </w:rPr>
        <w:t>ith</w:t>
      </w:r>
      <w:r w:rsidR="009166D3">
        <w:rPr>
          <w:sz w:val="24"/>
          <w:szCs w:val="24"/>
        </w:rPr>
        <w:t xml:space="preserve"> 250 ppm monolaurin at either 500 or 1000 ppm eugenol, while </w:t>
      </w:r>
      <w:r w:rsidR="009166D3" w:rsidRPr="009166D3">
        <w:rPr>
          <w:i/>
          <w:sz w:val="24"/>
          <w:szCs w:val="24"/>
        </w:rPr>
        <w:t>L. mesenteroides</w:t>
      </w:r>
      <w:r w:rsidR="009166D3">
        <w:rPr>
          <w:sz w:val="24"/>
          <w:szCs w:val="24"/>
        </w:rPr>
        <w:t xml:space="preserve"> growth was greatly hindered with 500 ppm eugenol and 100 ppm monolaurin</w:t>
      </w:r>
      <w:r w:rsidR="00690416">
        <w:rPr>
          <w:sz w:val="24"/>
          <w:szCs w:val="24"/>
        </w:rPr>
        <w:t xml:space="preserve"> </w:t>
      </w:r>
      <w:r w:rsidR="00690416" w:rsidRPr="00FE5B3A">
        <w:rPr>
          <w:sz w:val="24"/>
          <w:szCs w:val="24"/>
        </w:rPr>
        <w:t>(Blaszyk and Holley 1998)</w:t>
      </w:r>
      <w:r w:rsidR="009166D3">
        <w:rPr>
          <w:sz w:val="24"/>
          <w:szCs w:val="24"/>
        </w:rPr>
        <w:t xml:space="preserve">. By understanding and </w:t>
      </w:r>
      <w:r w:rsidR="009166D3">
        <w:rPr>
          <w:sz w:val="24"/>
          <w:szCs w:val="24"/>
        </w:rPr>
        <w:lastRenderedPageBreak/>
        <w:t xml:space="preserve">manipulating additive or synergistic relationships among essential oils and other food additives, </w:t>
      </w:r>
      <w:r w:rsidR="00690416">
        <w:rPr>
          <w:sz w:val="24"/>
          <w:szCs w:val="24"/>
        </w:rPr>
        <w:t xml:space="preserve">it is possible that reduced concentrations may be necessary for food preservation, resulting in </w:t>
      </w:r>
      <w:r w:rsidR="00EE5B91">
        <w:rPr>
          <w:sz w:val="24"/>
          <w:szCs w:val="24"/>
        </w:rPr>
        <w:t>fewer</w:t>
      </w:r>
      <w:r w:rsidR="00690416">
        <w:rPr>
          <w:sz w:val="24"/>
          <w:szCs w:val="24"/>
        </w:rPr>
        <w:t xml:space="preserve"> negative </w:t>
      </w:r>
      <w:r w:rsidR="002913D9">
        <w:rPr>
          <w:sz w:val="24"/>
          <w:szCs w:val="24"/>
        </w:rPr>
        <w:t xml:space="preserve">sensory </w:t>
      </w:r>
      <w:r w:rsidR="00690416">
        <w:rPr>
          <w:sz w:val="24"/>
          <w:szCs w:val="24"/>
        </w:rPr>
        <w:t>changes occurring in food products.</w:t>
      </w:r>
    </w:p>
    <w:p w:rsidR="00701057" w:rsidRPr="00FE5B3A" w:rsidRDefault="00701057" w:rsidP="004602D6">
      <w:pPr>
        <w:spacing w:line="480" w:lineRule="auto"/>
        <w:ind w:firstLine="720"/>
        <w:contextualSpacing/>
        <w:rPr>
          <w:sz w:val="24"/>
          <w:szCs w:val="24"/>
        </w:rPr>
      </w:pPr>
      <w:r w:rsidRPr="00FE5B3A">
        <w:rPr>
          <w:sz w:val="24"/>
          <w:szCs w:val="24"/>
        </w:rPr>
        <w:t xml:space="preserve">Pyrgotou and others </w:t>
      </w:r>
      <w:r w:rsidR="00E640D5">
        <w:rPr>
          <w:sz w:val="24"/>
          <w:szCs w:val="24"/>
        </w:rPr>
        <w:t xml:space="preserve">(2010) </w:t>
      </w:r>
      <w:r w:rsidRPr="00FE5B3A">
        <w:rPr>
          <w:sz w:val="24"/>
          <w:szCs w:val="24"/>
        </w:rPr>
        <w:t xml:space="preserve">examined the effect of oregano oil (carvacrol 57.7% and thymol 2.8%) on salted rainbow trout under modified atmosphere conditions. Oil was added to salted fish </w:t>
      </w:r>
      <w:r w:rsidR="002913D9">
        <w:rPr>
          <w:sz w:val="24"/>
          <w:szCs w:val="24"/>
        </w:rPr>
        <w:t xml:space="preserve">at </w:t>
      </w:r>
      <w:r w:rsidRPr="00FE5B3A">
        <w:rPr>
          <w:sz w:val="24"/>
          <w:szCs w:val="24"/>
        </w:rPr>
        <w:t>0.2% and 0.4% (w/v), then placed under modified atmosphere conditions (45% CO</w:t>
      </w:r>
      <w:r w:rsidR="00AD0B96" w:rsidRPr="00AD0B96">
        <w:rPr>
          <w:sz w:val="24"/>
          <w:szCs w:val="24"/>
          <w:vertAlign w:val="subscript"/>
        </w:rPr>
        <w:t>2</w:t>
      </w:r>
      <w:r w:rsidRPr="00FE5B3A">
        <w:rPr>
          <w:sz w:val="24"/>
          <w:szCs w:val="24"/>
        </w:rPr>
        <w:t>/5% O</w:t>
      </w:r>
      <w:r w:rsidR="00AD0B96" w:rsidRPr="00AD0B96">
        <w:rPr>
          <w:sz w:val="24"/>
          <w:szCs w:val="24"/>
          <w:vertAlign w:val="subscript"/>
        </w:rPr>
        <w:t>2</w:t>
      </w:r>
      <w:r w:rsidRPr="00FE5B3A">
        <w:rPr>
          <w:sz w:val="24"/>
          <w:szCs w:val="24"/>
        </w:rPr>
        <w:t>/50% N</w:t>
      </w:r>
      <w:r w:rsidR="00AD0B96" w:rsidRPr="00AD0B96">
        <w:rPr>
          <w:sz w:val="24"/>
          <w:szCs w:val="24"/>
          <w:vertAlign w:val="subscript"/>
        </w:rPr>
        <w:t>2</w:t>
      </w:r>
      <w:r w:rsidRPr="00FE5B3A">
        <w:rPr>
          <w:sz w:val="24"/>
          <w:szCs w:val="24"/>
        </w:rPr>
        <w:t xml:space="preserve">) and stored for 21 days under refrigerated conditions. The study found that LAB </w:t>
      </w:r>
      <w:proofErr w:type="gramStart"/>
      <w:r w:rsidRPr="00FE5B3A">
        <w:rPr>
          <w:sz w:val="24"/>
          <w:szCs w:val="24"/>
        </w:rPr>
        <w:t>were</w:t>
      </w:r>
      <w:proofErr w:type="gramEnd"/>
      <w:r w:rsidRPr="00FE5B3A">
        <w:rPr>
          <w:sz w:val="24"/>
          <w:szCs w:val="24"/>
        </w:rPr>
        <w:t xml:space="preserve"> significantly inhibited by the essential oil/salt/MAP conditions with a </w:t>
      </w:r>
      <w:r w:rsidRPr="00E640D5">
        <w:rPr>
          <w:sz w:val="24"/>
          <w:szCs w:val="24"/>
        </w:rPr>
        <w:t>log</w:t>
      </w:r>
      <w:r w:rsidRPr="00FE5B3A">
        <w:rPr>
          <w:sz w:val="24"/>
          <w:szCs w:val="24"/>
        </w:rPr>
        <w:t xml:space="preserve"> reduction of approximately 2.6 CFU/g at both concentrations. Unfortunately, a trained sensory panel scored the odor of the treated, cooked samples as unacceptable because of off-odors.</w:t>
      </w:r>
    </w:p>
    <w:p w:rsidR="00701057" w:rsidRPr="00FE5B3A" w:rsidRDefault="00701057" w:rsidP="00612AE2">
      <w:pPr>
        <w:pStyle w:val="Heading2"/>
        <w:spacing w:line="480" w:lineRule="auto"/>
        <w:rPr>
          <w:rFonts w:asciiTheme="minorHAnsi" w:hAnsiTheme="minorHAnsi"/>
          <w:color w:val="auto"/>
        </w:rPr>
      </w:pPr>
      <w:bookmarkStart w:id="8" w:name="_Toc364366576"/>
      <w:r w:rsidRPr="00FE5B3A">
        <w:rPr>
          <w:rFonts w:asciiTheme="minorHAnsi" w:hAnsiTheme="minorHAnsi"/>
          <w:color w:val="auto"/>
        </w:rPr>
        <w:t>Essential oils on meat, fish and poultry</w:t>
      </w:r>
      <w:bookmarkEnd w:id="8"/>
    </w:p>
    <w:p w:rsidR="00701057" w:rsidRPr="00FE5B3A" w:rsidRDefault="00701057" w:rsidP="00612AE2">
      <w:pPr>
        <w:spacing w:line="480" w:lineRule="auto"/>
        <w:contextualSpacing/>
        <w:rPr>
          <w:sz w:val="24"/>
          <w:szCs w:val="24"/>
        </w:rPr>
      </w:pPr>
      <w:r w:rsidRPr="00FE5B3A">
        <w:rPr>
          <w:sz w:val="24"/>
          <w:szCs w:val="24"/>
        </w:rPr>
        <w:tab/>
        <w:t xml:space="preserve">The chemical composition and physical characteristics of meat makes it a suitable environment for bacterial growth, which includes species such as LAB, </w:t>
      </w:r>
      <w:r w:rsidR="00E7628B" w:rsidRPr="00E7628B">
        <w:rPr>
          <w:i/>
          <w:sz w:val="24"/>
          <w:szCs w:val="24"/>
        </w:rPr>
        <w:t>Pseudomonas</w:t>
      </w:r>
      <w:r w:rsidRPr="00FE5B3A">
        <w:rPr>
          <w:sz w:val="24"/>
          <w:szCs w:val="24"/>
        </w:rPr>
        <w:t>, and a host of foodborne pathogens. LAB spoilage in meats is a relevant problem as they are facultative anaerobes that can grow and continue to spoil foods under chilled conditions (Fratianni and others 2010; Pyrgotou and others 2010). It has been shown that the more complex a food matrix is, especially in items like meats that are high in fat and protein, the less effective essential oil activity is against resident bacteria (Shelef 1983; Zinoviadou and others 2009; Gill and Holley 2005).</w:t>
      </w:r>
    </w:p>
    <w:p w:rsidR="00701057" w:rsidRPr="00FE5B3A" w:rsidRDefault="005E00B9" w:rsidP="00701057">
      <w:pPr>
        <w:spacing w:line="480" w:lineRule="auto"/>
        <w:contextualSpacing/>
        <w:rPr>
          <w:sz w:val="24"/>
          <w:szCs w:val="24"/>
        </w:rPr>
      </w:pPr>
      <w:r>
        <w:rPr>
          <w:sz w:val="24"/>
          <w:szCs w:val="24"/>
        </w:rPr>
        <w:tab/>
        <w:t>Fratianni and others (2010)</w:t>
      </w:r>
      <w:r w:rsidR="00701057" w:rsidRPr="00FE5B3A">
        <w:rPr>
          <w:sz w:val="24"/>
          <w:szCs w:val="24"/>
        </w:rPr>
        <w:t xml:space="preserve"> treated fresh strips of chicken breast meat with an agar slurry solution containing 0.5% thyme and balm essential oils for 15 min. Samples were stored for 21 days at 4°C. Thyme was incredibly effective at controlling LAB growth for the duration of </w:t>
      </w:r>
      <w:r w:rsidR="00701057" w:rsidRPr="00FE5B3A">
        <w:rPr>
          <w:sz w:val="24"/>
          <w:szCs w:val="24"/>
        </w:rPr>
        <w:lastRenderedPageBreak/>
        <w:t>the study; 21 day counts were only 0.8 x 10</w:t>
      </w:r>
      <w:r w:rsidR="00AD0B96" w:rsidRPr="00AD0B96">
        <w:rPr>
          <w:sz w:val="24"/>
          <w:szCs w:val="24"/>
          <w:vertAlign w:val="superscript"/>
        </w:rPr>
        <w:t>3</w:t>
      </w:r>
      <w:r w:rsidR="00701057" w:rsidRPr="00FE5B3A">
        <w:rPr>
          <w:sz w:val="24"/>
          <w:szCs w:val="24"/>
        </w:rPr>
        <w:t xml:space="preserve"> CFU/mL, which was consistent throughout the entire 3 weeks. The antibacterial effect of balm oil was much less evident until the </w:t>
      </w:r>
      <w:r w:rsidR="00E640D5" w:rsidRPr="00FE5B3A">
        <w:rPr>
          <w:sz w:val="24"/>
          <w:szCs w:val="24"/>
        </w:rPr>
        <w:t xml:space="preserve">day </w:t>
      </w:r>
      <w:r w:rsidR="00701057" w:rsidRPr="00FE5B3A">
        <w:rPr>
          <w:sz w:val="24"/>
          <w:szCs w:val="24"/>
        </w:rPr>
        <w:t xml:space="preserve">21, with balm oil closely matching the untreated control up until that point. </w:t>
      </w:r>
      <w:r w:rsidR="00701057" w:rsidRPr="00C572B9">
        <w:rPr>
          <w:i/>
          <w:sz w:val="24"/>
          <w:szCs w:val="24"/>
        </w:rPr>
        <w:t>Salmonella</w:t>
      </w:r>
      <w:r w:rsidR="00701057" w:rsidRPr="00FE5B3A">
        <w:rPr>
          <w:sz w:val="24"/>
          <w:szCs w:val="24"/>
        </w:rPr>
        <w:t xml:space="preserve"> on the treated chicken was very sensitive to the activity of balm oil, while thyme oil very effectively reduced</w:t>
      </w:r>
      <w:r>
        <w:rPr>
          <w:sz w:val="24"/>
          <w:szCs w:val="24"/>
        </w:rPr>
        <w:t xml:space="preserve"> growth of </w:t>
      </w:r>
      <w:r w:rsidRPr="00C572B9">
        <w:rPr>
          <w:i/>
          <w:sz w:val="24"/>
          <w:szCs w:val="24"/>
        </w:rPr>
        <w:t>E</w:t>
      </w:r>
      <w:r w:rsidR="00612AE2">
        <w:rPr>
          <w:i/>
          <w:sz w:val="24"/>
          <w:szCs w:val="24"/>
        </w:rPr>
        <w:t>.</w:t>
      </w:r>
      <w:r w:rsidRPr="00C572B9">
        <w:rPr>
          <w:i/>
          <w:sz w:val="24"/>
          <w:szCs w:val="24"/>
        </w:rPr>
        <w:t xml:space="preserve"> coli</w:t>
      </w:r>
      <w:r w:rsidR="00701057" w:rsidRPr="00FE5B3A">
        <w:rPr>
          <w:sz w:val="24"/>
          <w:szCs w:val="24"/>
        </w:rPr>
        <w:t xml:space="preserve">. </w:t>
      </w:r>
    </w:p>
    <w:p w:rsidR="00701057" w:rsidRPr="00FE5B3A" w:rsidRDefault="00701057" w:rsidP="00612AE2">
      <w:pPr>
        <w:pStyle w:val="Heading2"/>
        <w:spacing w:line="480" w:lineRule="auto"/>
        <w:rPr>
          <w:rFonts w:asciiTheme="minorHAnsi" w:hAnsiTheme="minorHAnsi"/>
          <w:color w:val="auto"/>
        </w:rPr>
      </w:pPr>
      <w:bookmarkStart w:id="9" w:name="_Toc364366577"/>
      <w:r w:rsidRPr="00FE5B3A">
        <w:rPr>
          <w:rFonts w:asciiTheme="minorHAnsi" w:hAnsiTheme="minorHAnsi"/>
          <w:color w:val="auto"/>
        </w:rPr>
        <w:t>Essential oils and packaging methods</w:t>
      </w:r>
      <w:bookmarkEnd w:id="9"/>
    </w:p>
    <w:p w:rsidR="00701057" w:rsidRPr="00FE5B3A" w:rsidRDefault="00701057" w:rsidP="00612AE2">
      <w:pPr>
        <w:spacing w:line="480" w:lineRule="auto"/>
        <w:ind w:firstLine="720"/>
        <w:contextualSpacing/>
        <w:rPr>
          <w:sz w:val="24"/>
          <w:szCs w:val="24"/>
        </w:rPr>
      </w:pPr>
      <w:r w:rsidRPr="00FE5B3A">
        <w:rPr>
          <w:sz w:val="24"/>
          <w:szCs w:val="24"/>
        </w:rPr>
        <w:t xml:space="preserve">The use of plant essential oils is predominantly restricted by </w:t>
      </w:r>
      <w:r w:rsidR="00E640D5">
        <w:rPr>
          <w:sz w:val="24"/>
          <w:szCs w:val="24"/>
        </w:rPr>
        <w:t>sensory</w:t>
      </w:r>
      <w:r w:rsidR="00E640D5" w:rsidRPr="00FE5B3A">
        <w:rPr>
          <w:sz w:val="24"/>
          <w:szCs w:val="24"/>
        </w:rPr>
        <w:t xml:space="preserve"> </w:t>
      </w:r>
      <w:r w:rsidRPr="00FE5B3A">
        <w:rPr>
          <w:sz w:val="24"/>
          <w:szCs w:val="24"/>
        </w:rPr>
        <w:t>acceptability as essential oils have ‘Generally Re</w:t>
      </w:r>
      <w:r w:rsidR="00612AE2">
        <w:rPr>
          <w:sz w:val="24"/>
          <w:szCs w:val="24"/>
        </w:rPr>
        <w:t>cognized</w:t>
      </w:r>
      <w:r w:rsidRPr="00FE5B3A">
        <w:rPr>
          <w:sz w:val="24"/>
          <w:szCs w:val="24"/>
        </w:rPr>
        <w:t xml:space="preserve"> as Safe’ (GRAS) status (</w:t>
      </w:r>
      <w:r w:rsidR="00163505">
        <w:rPr>
          <w:sz w:val="24"/>
          <w:szCs w:val="24"/>
        </w:rPr>
        <w:t xml:space="preserve">Lambert and others 2001; </w:t>
      </w:r>
      <w:r w:rsidRPr="00FE5B3A">
        <w:rPr>
          <w:sz w:val="24"/>
          <w:szCs w:val="24"/>
        </w:rPr>
        <w:t xml:space="preserve">Roller and others 2002; Zinoviadou and others 2009; Rodríguez and others 2009). To circumvent this issue, which may include </w:t>
      </w:r>
      <w:r w:rsidR="00E640D5">
        <w:rPr>
          <w:sz w:val="24"/>
          <w:szCs w:val="24"/>
        </w:rPr>
        <w:t xml:space="preserve">changes in </w:t>
      </w:r>
      <w:r w:rsidRPr="00FE5B3A">
        <w:rPr>
          <w:sz w:val="24"/>
          <w:szCs w:val="24"/>
        </w:rPr>
        <w:t xml:space="preserve">flavor, astringency or appearance, packaging materials and films may be utilized to aid in the impartation of essential oil antimicrobial benefits without negative flavor profile modification (Zinoviadou and others 2009). A study by Zinoviadou </w:t>
      </w:r>
      <w:r w:rsidR="000C6811">
        <w:rPr>
          <w:sz w:val="24"/>
          <w:szCs w:val="24"/>
        </w:rPr>
        <w:t>and others (</w:t>
      </w:r>
      <w:r w:rsidR="002D7384">
        <w:rPr>
          <w:sz w:val="24"/>
          <w:szCs w:val="24"/>
        </w:rPr>
        <w:t>2009</w:t>
      </w:r>
      <w:r w:rsidR="000C6811">
        <w:rPr>
          <w:sz w:val="24"/>
          <w:szCs w:val="24"/>
        </w:rPr>
        <w:t>)</w:t>
      </w:r>
      <w:r w:rsidRPr="00FE5B3A">
        <w:rPr>
          <w:sz w:val="24"/>
          <w:szCs w:val="24"/>
        </w:rPr>
        <w:t xml:space="preserve"> put varied levels of oregano oil (which is naturally high in carvacrol) into whey protein films prior to covering beef cuts. In a </w:t>
      </w:r>
      <w:r w:rsidR="00E640D5">
        <w:rPr>
          <w:sz w:val="24"/>
          <w:szCs w:val="24"/>
        </w:rPr>
        <w:t>12</w:t>
      </w:r>
      <w:r w:rsidR="00E640D5" w:rsidRPr="00FE5B3A">
        <w:rPr>
          <w:sz w:val="24"/>
          <w:szCs w:val="24"/>
        </w:rPr>
        <w:t xml:space="preserve"> </w:t>
      </w:r>
      <w:r w:rsidRPr="00FE5B3A">
        <w:rPr>
          <w:sz w:val="24"/>
          <w:szCs w:val="24"/>
        </w:rPr>
        <w:t>day trial, lactic acid bacteria on product covered by films containing no oregano oil increased nearly 5 log CFU/cm</w:t>
      </w:r>
      <w:r w:rsidR="00E7628B" w:rsidRPr="00E7628B">
        <w:rPr>
          <w:sz w:val="24"/>
          <w:szCs w:val="24"/>
          <w:vertAlign w:val="superscript"/>
        </w:rPr>
        <w:t>2</w:t>
      </w:r>
      <w:r w:rsidRPr="00FE5B3A">
        <w:rPr>
          <w:sz w:val="24"/>
          <w:szCs w:val="24"/>
        </w:rPr>
        <w:t>, while organisms on beef covered by films containing 1.5% oregano oil increased less than 1 log CFU/cm</w:t>
      </w:r>
      <w:r w:rsidR="00E7628B" w:rsidRPr="00E7628B">
        <w:rPr>
          <w:sz w:val="24"/>
          <w:szCs w:val="24"/>
          <w:vertAlign w:val="superscript"/>
        </w:rPr>
        <w:t>2</w:t>
      </w:r>
      <w:r w:rsidRPr="00FE5B3A">
        <w:rPr>
          <w:sz w:val="24"/>
          <w:szCs w:val="24"/>
        </w:rPr>
        <w:t xml:space="preserve"> (Zinoviadou and others 2009).</w:t>
      </w:r>
    </w:p>
    <w:p w:rsidR="00701057" w:rsidRPr="00FE5B3A" w:rsidRDefault="00701057" w:rsidP="00701057">
      <w:pPr>
        <w:spacing w:line="480" w:lineRule="auto"/>
        <w:contextualSpacing/>
        <w:rPr>
          <w:sz w:val="24"/>
          <w:szCs w:val="24"/>
        </w:rPr>
      </w:pPr>
      <w:r w:rsidRPr="00FE5B3A">
        <w:rPr>
          <w:sz w:val="24"/>
          <w:szCs w:val="24"/>
        </w:rPr>
        <w:tab/>
        <w:t>Essential oils have also been considered for potential application in modified atmosph</w:t>
      </w:r>
      <w:r w:rsidR="00EE5B91">
        <w:rPr>
          <w:sz w:val="24"/>
          <w:szCs w:val="24"/>
        </w:rPr>
        <w:t>ere conditions. Modified atmosphere packaged (MAP) and vacuum-</w:t>
      </w:r>
      <w:r w:rsidRPr="00FE5B3A">
        <w:rPr>
          <w:sz w:val="24"/>
          <w:szCs w:val="24"/>
        </w:rPr>
        <w:t xml:space="preserve">packaged </w:t>
      </w:r>
      <w:r w:rsidR="00EE5B91">
        <w:rPr>
          <w:sz w:val="24"/>
          <w:szCs w:val="24"/>
        </w:rPr>
        <w:t xml:space="preserve">(VP) </w:t>
      </w:r>
      <w:r w:rsidRPr="00FE5B3A">
        <w:rPr>
          <w:sz w:val="24"/>
          <w:szCs w:val="24"/>
        </w:rPr>
        <w:t xml:space="preserve">products are often selective for </w:t>
      </w:r>
      <w:r w:rsidRPr="00C572B9">
        <w:rPr>
          <w:i/>
          <w:sz w:val="24"/>
          <w:szCs w:val="24"/>
        </w:rPr>
        <w:t xml:space="preserve">Lactobacillus </w:t>
      </w:r>
      <w:r w:rsidRPr="00FE5B3A">
        <w:rPr>
          <w:sz w:val="24"/>
          <w:szCs w:val="24"/>
        </w:rPr>
        <w:t xml:space="preserve">or </w:t>
      </w:r>
      <w:r w:rsidRPr="00C572B9">
        <w:rPr>
          <w:i/>
          <w:sz w:val="24"/>
          <w:szCs w:val="24"/>
        </w:rPr>
        <w:t xml:space="preserve">Leuconostoc </w:t>
      </w:r>
      <w:r w:rsidRPr="00FE5B3A">
        <w:rPr>
          <w:sz w:val="24"/>
          <w:szCs w:val="24"/>
        </w:rPr>
        <w:t xml:space="preserve">species, making these organisms the primary source of spoilage in such conditions (Holley and Patel 2005). Matan and others incubated a broad spectrum of yeast and bacteria under the volatilized gas phases of cinnamon </w:t>
      </w:r>
      <w:r w:rsidRPr="00FE5B3A">
        <w:rPr>
          <w:sz w:val="24"/>
          <w:szCs w:val="24"/>
        </w:rPr>
        <w:lastRenderedPageBreak/>
        <w:t xml:space="preserve">and clove oils. The oils, at a 1:1 ratio, were effective against all </w:t>
      </w:r>
      <w:proofErr w:type="gramStart"/>
      <w:r w:rsidRPr="00FE5B3A">
        <w:rPr>
          <w:sz w:val="24"/>
          <w:szCs w:val="24"/>
        </w:rPr>
        <w:t>microorganisms,</w:t>
      </w:r>
      <w:proofErr w:type="gramEnd"/>
      <w:r w:rsidRPr="00FE5B3A">
        <w:rPr>
          <w:sz w:val="24"/>
          <w:szCs w:val="24"/>
        </w:rPr>
        <w:t xml:space="preserve"> especially </w:t>
      </w:r>
      <w:r w:rsidRPr="00C572B9">
        <w:rPr>
          <w:i/>
          <w:sz w:val="24"/>
          <w:szCs w:val="24"/>
        </w:rPr>
        <w:t>Pediococcus halophilus</w:t>
      </w:r>
      <w:r w:rsidRPr="00FE5B3A">
        <w:rPr>
          <w:sz w:val="24"/>
          <w:szCs w:val="24"/>
        </w:rPr>
        <w:t xml:space="preserve"> (recently reclassified as </w:t>
      </w:r>
      <w:r w:rsidRPr="00C572B9">
        <w:rPr>
          <w:i/>
          <w:sz w:val="24"/>
          <w:szCs w:val="24"/>
        </w:rPr>
        <w:t>Tetragenococcus halophilus</w:t>
      </w:r>
      <w:r w:rsidRPr="00FE5B3A">
        <w:rPr>
          <w:sz w:val="24"/>
          <w:szCs w:val="24"/>
        </w:rPr>
        <w:t>). The inhibitory period increased when oxygen was reduced, and further increased when CO</w:t>
      </w:r>
      <w:r w:rsidR="00AD0B96" w:rsidRPr="00AD0B96">
        <w:rPr>
          <w:sz w:val="24"/>
          <w:szCs w:val="24"/>
          <w:vertAlign w:val="subscript"/>
        </w:rPr>
        <w:t>2</w:t>
      </w:r>
      <w:r w:rsidRPr="00FE5B3A">
        <w:rPr>
          <w:sz w:val="24"/>
          <w:szCs w:val="24"/>
        </w:rPr>
        <w:t xml:space="preserve"> levels rose. The most significant inhibition was evident when low oxygen was used in conjunction with high CO</w:t>
      </w:r>
      <w:r w:rsidR="00AD0B96" w:rsidRPr="00AD0B96">
        <w:rPr>
          <w:sz w:val="24"/>
          <w:szCs w:val="24"/>
          <w:vertAlign w:val="subscript"/>
        </w:rPr>
        <w:t>2</w:t>
      </w:r>
      <w:r w:rsidRPr="00FE5B3A">
        <w:rPr>
          <w:sz w:val="24"/>
          <w:szCs w:val="24"/>
        </w:rPr>
        <w:t xml:space="preserve"> levels. In fact, under &lt;0.05% oxygen and 40% CO</w:t>
      </w:r>
      <w:r w:rsidRPr="001D6AA9">
        <w:rPr>
          <w:sz w:val="24"/>
          <w:szCs w:val="24"/>
          <w:vertAlign w:val="subscript"/>
        </w:rPr>
        <w:t>2</w:t>
      </w:r>
      <w:r w:rsidRPr="00FE5B3A">
        <w:rPr>
          <w:sz w:val="24"/>
          <w:szCs w:val="24"/>
        </w:rPr>
        <w:t xml:space="preserve">, </w:t>
      </w:r>
      <w:r w:rsidRPr="00C572B9">
        <w:rPr>
          <w:i/>
          <w:sz w:val="24"/>
          <w:szCs w:val="24"/>
        </w:rPr>
        <w:t>P. halophilus</w:t>
      </w:r>
      <w:r w:rsidRPr="00FE5B3A">
        <w:rPr>
          <w:sz w:val="24"/>
          <w:szCs w:val="24"/>
        </w:rPr>
        <w:t xml:space="preserve"> growth was delayed for 38 days on MRS agar (Matan and others 2006; Axelsson and others 2004).</w:t>
      </w:r>
    </w:p>
    <w:p w:rsidR="00701057" w:rsidRPr="00FE5B3A" w:rsidRDefault="00701057" w:rsidP="00701057">
      <w:pPr>
        <w:spacing w:line="480" w:lineRule="auto"/>
        <w:contextualSpacing/>
        <w:rPr>
          <w:sz w:val="24"/>
          <w:szCs w:val="24"/>
        </w:rPr>
      </w:pPr>
      <w:r w:rsidRPr="00FE5B3A">
        <w:rPr>
          <w:sz w:val="24"/>
          <w:szCs w:val="24"/>
        </w:rPr>
        <w:tab/>
        <w:t>Work with oregano oil in modified atmosphere packaged and vacuum</w:t>
      </w:r>
      <w:r w:rsidR="00E640D5">
        <w:rPr>
          <w:sz w:val="24"/>
          <w:szCs w:val="24"/>
        </w:rPr>
        <w:t>-</w:t>
      </w:r>
      <w:r w:rsidRPr="00FE5B3A">
        <w:rPr>
          <w:sz w:val="24"/>
          <w:szCs w:val="24"/>
        </w:rPr>
        <w:t xml:space="preserve">packaged food showed that organism selectivity as well as essential oil inhibition occurred (Skandamis and others 2002). </w:t>
      </w:r>
      <w:r w:rsidR="00BC45C9" w:rsidRPr="00FE5B3A">
        <w:rPr>
          <w:sz w:val="24"/>
          <w:szCs w:val="24"/>
        </w:rPr>
        <w:t>Oregano</w:t>
      </w:r>
      <w:r w:rsidRPr="00FE5B3A">
        <w:rPr>
          <w:sz w:val="24"/>
          <w:szCs w:val="24"/>
        </w:rPr>
        <w:t xml:space="preserve"> oil was found to have less inhibitory potential in aerobically packaged product</w:t>
      </w:r>
      <w:r w:rsidR="001D6AA9">
        <w:rPr>
          <w:sz w:val="24"/>
          <w:szCs w:val="24"/>
        </w:rPr>
        <w:t>s</w:t>
      </w:r>
      <w:r w:rsidRPr="00FE5B3A">
        <w:rPr>
          <w:sz w:val="24"/>
          <w:szCs w:val="24"/>
        </w:rPr>
        <w:t xml:space="preserve">, as well as in MAP or VP foods with highly oxygen permeable films. However, lactic acid bacteria along with </w:t>
      </w:r>
      <w:r w:rsidR="00E7628B" w:rsidRPr="00E7628B">
        <w:rPr>
          <w:i/>
          <w:sz w:val="24"/>
          <w:szCs w:val="24"/>
        </w:rPr>
        <w:t>Salmonella</w:t>
      </w:r>
      <w:r w:rsidRPr="00FE5B3A">
        <w:rPr>
          <w:sz w:val="24"/>
          <w:szCs w:val="24"/>
        </w:rPr>
        <w:t xml:space="preserve"> </w:t>
      </w:r>
      <w:r w:rsidR="007D4185">
        <w:rPr>
          <w:sz w:val="24"/>
          <w:szCs w:val="24"/>
        </w:rPr>
        <w:t>T</w:t>
      </w:r>
      <w:r w:rsidRPr="00FE5B3A">
        <w:rPr>
          <w:sz w:val="24"/>
          <w:szCs w:val="24"/>
        </w:rPr>
        <w:t>yphimurium were found to be highly susceptible to an oil c</w:t>
      </w:r>
      <w:r w:rsidR="00C572B9">
        <w:rPr>
          <w:sz w:val="24"/>
          <w:szCs w:val="24"/>
        </w:rPr>
        <w:t>oncentration of 0.</w:t>
      </w:r>
      <w:r w:rsidRPr="00FE5B3A">
        <w:rPr>
          <w:sz w:val="24"/>
          <w:szCs w:val="24"/>
        </w:rPr>
        <w:t>8% w/v regardless of atmosphere or film permeability (Skandamis and others 2002).</w:t>
      </w:r>
    </w:p>
    <w:p w:rsidR="00701057" w:rsidRPr="00FE5B3A" w:rsidRDefault="00701057" w:rsidP="00014888">
      <w:pPr>
        <w:pStyle w:val="Heading2"/>
        <w:spacing w:line="480" w:lineRule="auto"/>
        <w:rPr>
          <w:rFonts w:asciiTheme="minorHAnsi" w:hAnsiTheme="minorHAnsi"/>
          <w:color w:val="auto"/>
        </w:rPr>
      </w:pPr>
      <w:bookmarkStart w:id="10" w:name="_Toc364366578"/>
      <w:r w:rsidRPr="00FE5B3A">
        <w:rPr>
          <w:rFonts w:asciiTheme="minorHAnsi" w:hAnsiTheme="minorHAnsi"/>
          <w:color w:val="auto"/>
        </w:rPr>
        <w:t>Stimulatory effects of essential oils</w:t>
      </w:r>
      <w:bookmarkEnd w:id="10"/>
    </w:p>
    <w:p w:rsidR="00701057" w:rsidRPr="00FE5B3A" w:rsidRDefault="00701057" w:rsidP="00014888">
      <w:pPr>
        <w:spacing w:line="480" w:lineRule="auto"/>
        <w:contextualSpacing/>
        <w:rPr>
          <w:sz w:val="24"/>
          <w:szCs w:val="24"/>
        </w:rPr>
      </w:pPr>
      <w:r w:rsidRPr="00FE5B3A">
        <w:rPr>
          <w:sz w:val="24"/>
          <w:szCs w:val="24"/>
        </w:rPr>
        <w:tab/>
        <w:t xml:space="preserve">A team of researchers at Danisco studied the possible substitution of essential oils or their components for avilamycin, an antimicrobial growth promoter the use of which, like all such promoters, is prohibited by the European Union. </w:t>
      </w:r>
      <w:r w:rsidR="009373F0">
        <w:rPr>
          <w:sz w:val="24"/>
          <w:szCs w:val="24"/>
        </w:rPr>
        <w:t>Use of this and other antimicrobial growth promoters have been used in poultry and meat animals for decades to accelerate body mass accumulation (Lin and others 2013).</w:t>
      </w:r>
      <w:r w:rsidRPr="00FE5B3A">
        <w:rPr>
          <w:sz w:val="24"/>
          <w:szCs w:val="24"/>
        </w:rPr>
        <w:t>The intent of essential oil use in this study was to</w:t>
      </w:r>
      <w:r w:rsidR="00472005">
        <w:rPr>
          <w:sz w:val="24"/>
          <w:szCs w:val="24"/>
        </w:rPr>
        <w:t xml:space="preserve"> find an alternative to antibiotic growth promoters in effort to</w:t>
      </w:r>
      <w:r w:rsidRPr="00FE5B3A">
        <w:rPr>
          <w:sz w:val="24"/>
          <w:szCs w:val="24"/>
        </w:rPr>
        <w:t xml:space="preserve"> limit the increase of antibiotic resistant bacteria species</w:t>
      </w:r>
      <w:r w:rsidR="00A75EAB">
        <w:rPr>
          <w:sz w:val="24"/>
          <w:szCs w:val="24"/>
        </w:rPr>
        <w:t xml:space="preserve"> that may</w:t>
      </w:r>
      <w:r w:rsidR="00472005">
        <w:rPr>
          <w:sz w:val="24"/>
          <w:szCs w:val="24"/>
        </w:rPr>
        <w:t xml:space="preserve"> be due in pa</w:t>
      </w:r>
      <w:r w:rsidR="00A75EAB">
        <w:rPr>
          <w:sz w:val="24"/>
          <w:szCs w:val="24"/>
        </w:rPr>
        <w:t>rt to the increased use of these antibiotics</w:t>
      </w:r>
      <w:r w:rsidRPr="00FE5B3A">
        <w:rPr>
          <w:sz w:val="24"/>
          <w:szCs w:val="24"/>
        </w:rPr>
        <w:t xml:space="preserve">. </w:t>
      </w:r>
      <w:r w:rsidRPr="00FE5B3A">
        <w:rPr>
          <w:sz w:val="24"/>
          <w:szCs w:val="24"/>
        </w:rPr>
        <w:lastRenderedPageBreak/>
        <w:t>Ideally, essential oils would target pathogenic bacteria without harming beneficial bacte</w:t>
      </w:r>
      <w:r w:rsidR="00A75EAB">
        <w:rPr>
          <w:sz w:val="24"/>
          <w:szCs w:val="24"/>
        </w:rPr>
        <w:t xml:space="preserve">ria and could potentially slow the spread </w:t>
      </w:r>
      <w:r w:rsidRPr="00FE5B3A">
        <w:rPr>
          <w:sz w:val="24"/>
          <w:szCs w:val="24"/>
        </w:rPr>
        <w:t>antibiotic resistance</w:t>
      </w:r>
      <w:r w:rsidR="00472005">
        <w:rPr>
          <w:sz w:val="24"/>
          <w:szCs w:val="24"/>
        </w:rPr>
        <w:t xml:space="preserve"> </w:t>
      </w:r>
      <w:r w:rsidR="00472005" w:rsidRPr="00FE5B3A">
        <w:rPr>
          <w:sz w:val="24"/>
          <w:szCs w:val="24"/>
        </w:rPr>
        <w:t>(Ouwehand and others 2010)</w:t>
      </w:r>
      <w:r w:rsidRPr="00FE5B3A">
        <w:rPr>
          <w:sz w:val="24"/>
          <w:szCs w:val="24"/>
        </w:rPr>
        <w:t>.</w:t>
      </w:r>
    </w:p>
    <w:p w:rsidR="00701057" w:rsidRPr="00FE5B3A" w:rsidRDefault="00701057" w:rsidP="00701057">
      <w:pPr>
        <w:spacing w:line="480" w:lineRule="auto"/>
        <w:contextualSpacing/>
        <w:rPr>
          <w:sz w:val="24"/>
          <w:szCs w:val="24"/>
        </w:rPr>
      </w:pPr>
      <w:r w:rsidRPr="00FE5B3A">
        <w:rPr>
          <w:sz w:val="24"/>
          <w:szCs w:val="24"/>
        </w:rPr>
        <w:tab/>
        <w:t xml:space="preserve">Five LAB species with reported high sensitivity to avilamycin were tested against 13 essential oils or extracts thereof, including carvacrol, cinnamaldehyde, eugenol, thymol, and thyme oil. </w:t>
      </w:r>
      <w:r w:rsidRPr="00E33F02">
        <w:rPr>
          <w:i/>
          <w:sz w:val="24"/>
          <w:szCs w:val="24"/>
        </w:rPr>
        <w:t>Bifidobacterium breve</w:t>
      </w:r>
      <w:r w:rsidRPr="00FE5B3A">
        <w:rPr>
          <w:sz w:val="24"/>
          <w:szCs w:val="24"/>
        </w:rPr>
        <w:t xml:space="preserve"> was found not only to be resistant to the majority of the essential oils, but exhibited pronounced stimulatory effects when exposed to eugenol. Similarly, </w:t>
      </w:r>
      <w:r w:rsidR="00FD3B94" w:rsidRPr="00FD3B94">
        <w:rPr>
          <w:i/>
          <w:sz w:val="24"/>
          <w:szCs w:val="24"/>
        </w:rPr>
        <w:t>Lactobacillus fermentum</w:t>
      </w:r>
      <w:r w:rsidRPr="00FE5B3A">
        <w:rPr>
          <w:sz w:val="24"/>
          <w:szCs w:val="24"/>
        </w:rPr>
        <w:t xml:space="preserve"> growth was stimulated by carvacrol, cinnamaldehyde, thymol, and thyme oil, although it was found to be sensitive to several of the essential oils. </w:t>
      </w:r>
      <w:r w:rsidRPr="00C572B9">
        <w:rPr>
          <w:i/>
          <w:sz w:val="24"/>
          <w:szCs w:val="24"/>
        </w:rPr>
        <w:t>Lactobacillus</w:t>
      </w:r>
      <w:r w:rsidRPr="00FE5B3A">
        <w:rPr>
          <w:sz w:val="24"/>
          <w:szCs w:val="24"/>
        </w:rPr>
        <w:t xml:space="preserve"> </w:t>
      </w:r>
      <w:r w:rsidRPr="00E33F02">
        <w:rPr>
          <w:i/>
          <w:sz w:val="24"/>
          <w:szCs w:val="24"/>
        </w:rPr>
        <w:t>reuteri</w:t>
      </w:r>
      <w:r w:rsidRPr="00FE5B3A">
        <w:rPr>
          <w:sz w:val="24"/>
          <w:szCs w:val="24"/>
        </w:rPr>
        <w:t xml:space="preserve"> exhibited sensitivity only when exposed to the highest concentration of carvacrol and thymol, while </w:t>
      </w:r>
      <w:r w:rsidRPr="00E33F02">
        <w:rPr>
          <w:i/>
          <w:sz w:val="24"/>
          <w:szCs w:val="24"/>
        </w:rPr>
        <w:t>Bifidobacterium longum</w:t>
      </w:r>
      <w:r w:rsidRPr="00FE5B3A">
        <w:rPr>
          <w:sz w:val="24"/>
          <w:szCs w:val="24"/>
        </w:rPr>
        <w:t xml:space="preserve"> was sensitive only to the highest concentrati</w:t>
      </w:r>
      <w:bookmarkStart w:id="11" w:name="_GoBack"/>
      <w:bookmarkEnd w:id="11"/>
      <w:r w:rsidRPr="00FE5B3A">
        <w:rPr>
          <w:sz w:val="24"/>
          <w:szCs w:val="24"/>
        </w:rPr>
        <w:t xml:space="preserve">ons of the oils examined (500 mg/l) Only </w:t>
      </w:r>
      <w:r w:rsidRPr="00E33F02">
        <w:rPr>
          <w:i/>
          <w:sz w:val="24"/>
          <w:szCs w:val="24"/>
        </w:rPr>
        <w:t>Bifidobacterium animalis</w:t>
      </w:r>
      <w:r w:rsidRPr="00FE5B3A">
        <w:rPr>
          <w:sz w:val="24"/>
          <w:szCs w:val="24"/>
        </w:rPr>
        <w:t xml:space="preserve"> ssp. </w:t>
      </w:r>
      <w:r w:rsidR="00AD0B96" w:rsidRPr="00AD0B96">
        <w:rPr>
          <w:i/>
          <w:sz w:val="24"/>
          <w:szCs w:val="24"/>
        </w:rPr>
        <w:t>lactis</w:t>
      </w:r>
      <w:r w:rsidRPr="00FE5B3A">
        <w:rPr>
          <w:sz w:val="24"/>
          <w:szCs w:val="24"/>
        </w:rPr>
        <w:t xml:space="preserve"> was sensitive to the essential oils at all concentrations (5, 50, and 500 mg/l) (Ouwehand and others 2010).</w:t>
      </w:r>
    </w:p>
    <w:p w:rsidR="00701057" w:rsidRPr="00FE5B3A" w:rsidRDefault="00701057" w:rsidP="008C561F">
      <w:pPr>
        <w:pStyle w:val="Heading2"/>
        <w:spacing w:line="480" w:lineRule="auto"/>
        <w:rPr>
          <w:rFonts w:asciiTheme="minorHAnsi" w:hAnsiTheme="minorHAnsi"/>
          <w:color w:val="auto"/>
        </w:rPr>
      </w:pPr>
      <w:bookmarkStart w:id="12" w:name="_Toc364366579"/>
      <w:r w:rsidRPr="00FE5B3A">
        <w:rPr>
          <w:rFonts w:asciiTheme="minorHAnsi" w:hAnsiTheme="minorHAnsi"/>
          <w:color w:val="auto"/>
        </w:rPr>
        <w:t>Salad Dressings</w:t>
      </w:r>
      <w:bookmarkEnd w:id="12"/>
    </w:p>
    <w:p w:rsidR="00701057" w:rsidRPr="00FE5B3A" w:rsidRDefault="00701057" w:rsidP="008C561F">
      <w:pPr>
        <w:spacing w:line="480" w:lineRule="auto"/>
        <w:contextualSpacing/>
        <w:rPr>
          <w:sz w:val="24"/>
          <w:szCs w:val="24"/>
        </w:rPr>
      </w:pPr>
      <w:r w:rsidRPr="00FE5B3A">
        <w:rPr>
          <w:sz w:val="24"/>
          <w:szCs w:val="24"/>
        </w:rPr>
        <w:tab/>
        <w:t xml:space="preserve">Mayonnaise and salad dressings are exempt from acidified food regulations in United States due in large part to their extensive history as safe food products and intrinsic characteristics that prevent them from being environments conducive to microbial growth. The acidity of these products, </w:t>
      </w:r>
      <w:r w:rsidR="00870835">
        <w:rPr>
          <w:sz w:val="24"/>
          <w:szCs w:val="24"/>
        </w:rPr>
        <w:t xml:space="preserve">which must remain below pH of 4.6 to prevent growth of </w:t>
      </w:r>
      <w:r w:rsidR="00870835" w:rsidRPr="00870835">
        <w:rPr>
          <w:i/>
          <w:sz w:val="24"/>
          <w:szCs w:val="24"/>
        </w:rPr>
        <w:t>Clostridium botulinum</w:t>
      </w:r>
      <w:r w:rsidR="00613DB4">
        <w:rPr>
          <w:sz w:val="24"/>
          <w:szCs w:val="24"/>
        </w:rPr>
        <w:t xml:space="preserve">, </w:t>
      </w:r>
      <w:r w:rsidR="00613DB4" w:rsidRPr="00FE5B3A">
        <w:rPr>
          <w:sz w:val="24"/>
          <w:szCs w:val="24"/>
        </w:rPr>
        <w:t>sufficiently</w:t>
      </w:r>
      <w:r w:rsidR="00870835">
        <w:rPr>
          <w:sz w:val="24"/>
          <w:szCs w:val="24"/>
        </w:rPr>
        <w:t xml:space="preserve"> </w:t>
      </w:r>
      <w:r w:rsidRPr="00FE5B3A">
        <w:rPr>
          <w:sz w:val="24"/>
          <w:szCs w:val="24"/>
        </w:rPr>
        <w:t xml:space="preserve">prevents survival of </w:t>
      </w:r>
      <w:r w:rsidR="00870835">
        <w:rPr>
          <w:sz w:val="24"/>
          <w:szCs w:val="24"/>
        </w:rPr>
        <w:t xml:space="preserve">other </w:t>
      </w:r>
      <w:r w:rsidR="00E640D5">
        <w:rPr>
          <w:sz w:val="24"/>
          <w:szCs w:val="24"/>
        </w:rPr>
        <w:t>foodborne</w:t>
      </w:r>
      <w:r w:rsidRPr="00FE5B3A">
        <w:rPr>
          <w:sz w:val="24"/>
          <w:szCs w:val="24"/>
        </w:rPr>
        <w:t xml:space="preserve"> pathogens that may be introduced during manufacture or post-production of these products</w:t>
      </w:r>
      <w:r w:rsidR="00870835">
        <w:rPr>
          <w:sz w:val="24"/>
          <w:szCs w:val="24"/>
        </w:rPr>
        <w:t xml:space="preserve"> (Smith and Stratton 2006)</w:t>
      </w:r>
      <w:r w:rsidRPr="00FE5B3A">
        <w:rPr>
          <w:sz w:val="24"/>
          <w:szCs w:val="24"/>
        </w:rPr>
        <w:t>. Outbreaks do occur in parts of the world where homemade products are commonly made with raw eggs and lower acidities, but in commercially available salad dressings in the US, this problem is virtually non</w:t>
      </w:r>
      <w:r w:rsidR="00E640D5">
        <w:rPr>
          <w:sz w:val="24"/>
          <w:szCs w:val="24"/>
        </w:rPr>
        <w:t>-</w:t>
      </w:r>
      <w:r w:rsidRPr="00FE5B3A">
        <w:rPr>
          <w:sz w:val="24"/>
          <w:szCs w:val="24"/>
        </w:rPr>
        <w:t xml:space="preserve">existent. The water portion of commercial dressing products is predominantly </w:t>
      </w:r>
      <w:r w:rsidRPr="00FE5B3A">
        <w:rPr>
          <w:sz w:val="24"/>
          <w:szCs w:val="24"/>
        </w:rPr>
        <w:lastRenderedPageBreak/>
        <w:t xml:space="preserve">acetic acid, with lactic or citric acids also being present in some instances. </w:t>
      </w:r>
      <w:r w:rsidR="00A75EAB" w:rsidRPr="00FE5B3A">
        <w:rPr>
          <w:sz w:val="24"/>
          <w:szCs w:val="24"/>
        </w:rPr>
        <w:t>Large quantities of additional ingredients also have</w:t>
      </w:r>
      <w:r w:rsidRPr="00FE5B3A">
        <w:rPr>
          <w:sz w:val="24"/>
          <w:szCs w:val="24"/>
        </w:rPr>
        <w:t xml:space="preserve"> high acidities, including lemon juice and fermented dairy products (Smittle 2000; Radford and others 1991). </w:t>
      </w:r>
    </w:p>
    <w:p w:rsidR="00701057" w:rsidRPr="00FE5B3A" w:rsidRDefault="00701057" w:rsidP="00701057">
      <w:pPr>
        <w:spacing w:line="480" w:lineRule="auto"/>
        <w:contextualSpacing/>
        <w:rPr>
          <w:sz w:val="24"/>
          <w:szCs w:val="24"/>
        </w:rPr>
      </w:pPr>
      <w:r w:rsidRPr="00FE5B3A">
        <w:rPr>
          <w:sz w:val="24"/>
          <w:szCs w:val="24"/>
        </w:rPr>
        <w:tab/>
        <w:t xml:space="preserve">Microbial spoilage of these products, however, is of </w:t>
      </w:r>
      <w:r w:rsidR="00E640D5">
        <w:rPr>
          <w:sz w:val="24"/>
          <w:szCs w:val="24"/>
        </w:rPr>
        <w:t>commercial</w:t>
      </w:r>
      <w:r w:rsidR="00E640D5" w:rsidRPr="00FE5B3A">
        <w:rPr>
          <w:sz w:val="24"/>
          <w:szCs w:val="24"/>
        </w:rPr>
        <w:t xml:space="preserve"> </w:t>
      </w:r>
      <w:r w:rsidRPr="00FE5B3A">
        <w:rPr>
          <w:sz w:val="24"/>
          <w:szCs w:val="24"/>
        </w:rPr>
        <w:t xml:space="preserve">interest as lactic acid bacteria are capable of surviving and growing under low pH conditions. </w:t>
      </w:r>
      <w:r w:rsidR="00AD0B96" w:rsidRPr="002D7384">
        <w:rPr>
          <w:i/>
          <w:sz w:val="24"/>
          <w:szCs w:val="24"/>
        </w:rPr>
        <w:t>Lactobacilli</w:t>
      </w:r>
      <w:r w:rsidRPr="00FE5B3A">
        <w:rPr>
          <w:sz w:val="24"/>
          <w:szCs w:val="24"/>
        </w:rPr>
        <w:t xml:space="preserve"> are the most acid tolerant of the LAB, the majority of which are able to ferment sugars at pH of 4.4 and below (Axelsso</w:t>
      </w:r>
      <w:r w:rsidR="00C572B9">
        <w:rPr>
          <w:sz w:val="24"/>
          <w:szCs w:val="24"/>
        </w:rPr>
        <w:t>n and others 2004). Kurtzman and others</w:t>
      </w:r>
      <w:r w:rsidR="00F55CE8">
        <w:rPr>
          <w:sz w:val="24"/>
          <w:szCs w:val="24"/>
        </w:rPr>
        <w:t xml:space="preserve"> (1971)</w:t>
      </w:r>
      <w:r w:rsidRPr="00FE5B3A">
        <w:rPr>
          <w:sz w:val="24"/>
          <w:szCs w:val="24"/>
        </w:rPr>
        <w:t xml:space="preserve"> reported the possibility of utilizing sweeteners that are not readily fermented by LAB to reduce the likelihood of spoilage due to these organisms. Many LAB, including </w:t>
      </w:r>
      <w:r w:rsidR="00FD3B94" w:rsidRPr="00FD3B94">
        <w:rPr>
          <w:i/>
          <w:sz w:val="24"/>
          <w:szCs w:val="24"/>
        </w:rPr>
        <w:t>L. fructivorans</w:t>
      </w:r>
      <w:r w:rsidRPr="00FE5B3A">
        <w:rPr>
          <w:sz w:val="24"/>
          <w:szCs w:val="24"/>
        </w:rPr>
        <w:t xml:space="preserve"> ferment glucose readily but can also utilize sucrose, albeit at suppressed rates. While sucrose monoesters were found to have no effect on the growth or lag time of </w:t>
      </w:r>
      <w:r w:rsidR="00FD3B94" w:rsidRPr="00FD3B94">
        <w:rPr>
          <w:i/>
          <w:sz w:val="24"/>
          <w:szCs w:val="24"/>
        </w:rPr>
        <w:t>L. fructivorans</w:t>
      </w:r>
      <w:r w:rsidRPr="00FE5B3A">
        <w:rPr>
          <w:sz w:val="24"/>
          <w:szCs w:val="24"/>
        </w:rPr>
        <w:t xml:space="preserve"> in salad dressing, a significant reduction was evident in the final colony counts (Yang and others 2003). While sucrose esters do not appear to have promise in terms of LAB inhibition, the utilization of non-carbohydrate containing artificial sweeteners has potential as a means of limiting the spoilage capacity of these acid tolerant bacteria.</w:t>
      </w:r>
    </w:p>
    <w:p w:rsidR="00701057" w:rsidRPr="00FE5B3A" w:rsidRDefault="00701057" w:rsidP="00701057">
      <w:pPr>
        <w:spacing w:line="480" w:lineRule="auto"/>
        <w:contextualSpacing/>
        <w:rPr>
          <w:sz w:val="24"/>
          <w:szCs w:val="24"/>
        </w:rPr>
      </w:pPr>
      <w:r w:rsidRPr="00FE5B3A">
        <w:rPr>
          <w:sz w:val="24"/>
          <w:szCs w:val="24"/>
        </w:rPr>
        <w:tab/>
        <w:t xml:space="preserve">Plant oils in homemade mayonnaise were examined for the influence they may contribute to the elimination of </w:t>
      </w:r>
      <w:r w:rsidRPr="00E33F02">
        <w:rPr>
          <w:i/>
          <w:sz w:val="24"/>
          <w:szCs w:val="24"/>
        </w:rPr>
        <w:t xml:space="preserve">Salmonella </w:t>
      </w:r>
      <w:r w:rsidR="007D4185">
        <w:rPr>
          <w:sz w:val="24"/>
          <w:szCs w:val="24"/>
        </w:rPr>
        <w:t>E</w:t>
      </w:r>
      <w:r w:rsidR="00E7628B" w:rsidRPr="00E7628B">
        <w:rPr>
          <w:sz w:val="24"/>
          <w:szCs w:val="24"/>
        </w:rPr>
        <w:t>nteritidis</w:t>
      </w:r>
      <w:r w:rsidRPr="00FE5B3A">
        <w:rPr>
          <w:sz w:val="24"/>
          <w:szCs w:val="24"/>
        </w:rPr>
        <w:t xml:space="preserve">. The study found that a recipe containing extra virgin olive oil resulted in faster </w:t>
      </w:r>
      <w:r w:rsidRPr="00E33F02">
        <w:rPr>
          <w:i/>
          <w:sz w:val="24"/>
          <w:szCs w:val="24"/>
        </w:rPr>
        <w:t>Salmonella</w:t>
      </w:r>
      <w:r w:rsidRPr="00FE5B3A">
        <w:rPr>
          <w:sz w:val="24"/>
          <w:szCs w:val="24"/>
        </w:rPr>
        <w:t xml:space="preserve"> death rates when compared to blended olive or sunflower oils. They determined that this increased bactericidal activity was due not only to the lower acidity of the oil (0.5% oleic acid), but also to the more complex phenolic profile of the olive oils, particularly that originating from Greece. The Greek oils contained a wider range of phenols including tyrosol, oleuropein, caffeic acid, and vanillic acid (Radford and others </w:t>
      </w:r>
      <w:r w:rsidRPr="00FE5B3A">
        <w:rPr>
          <w:sz w:val="24"/>
          <w:szCs w:val="24"/>
        </w:rPr>
        <w:lastRenderedPageBreak/>
        <w:t>1991). Manufacturers interested in incorporating essential oils into their dressing and mayonnaise products should first explore the possibility of using ingredients that may contain high levels of phenolics. Using phenols that are present in already incorporated ingredients may produce a product that is more organoleptically acceptable than would occur with the addition of extraneous essential oils.</w:t>
      </w:r>
    </w:p>
    <w:p w:rsidR="00B571BC" w:rsidRDefault="004E2965">
      <w:pPr>
        <w:pStyle w:val="Heading2"/>
        <w:spacing w:line="480" w:lineRule="auto"/>
      </w:pPr>
      <w:bookmarkStart w:id="13" w:name="_Toc364366580"/>
      <w:r>
        <w:rPr>
          <w:rFonts w:asciiTheme="minorHAnsi" w:hAnsiTheme="minorHAnsi"/>
          <w:color w:val="auto"/>
        </w:rPr>
        <w:t>Use of Essential Oil</w:t>
      </w:r>
      <w:r w:rsidR="002673E4">
        <w:rPr>
          <w:rFonts w:asciiTheme="minorHAnsi" w:hAnsiTheme="minorHAnsi"/>
          <w:color w:val="auto"/>
        </w:rPr>
        <w:t xml:space="preserve"> </w:t>
      </w:r>
      <w:r w:rsidR="00701057" w:rsidRPr="00FE5B3A">
        <w:rPr>
          <w:rFonts w:asciiTheme="minorHAnsi" w:hAnsiTheme="minorHAnsi"/>
          <w:color w:val="auto"/>
        </w:rPr>
        <w:t>Combination</w:t>
      </w:r>
      <w:r>
        <w:rPr>
          <w:rFonts w:asciiTheme="minorHAnsi" w:hAnsiTheme="minorHAnsi"/>
          <w:color w:val="auto"/>
        </w:rPr>
        <w:t>s</w:t>
      </w:r>
      <w:bookmarkEnd w:id="13"/>
    </w:p>
    <w:p w:rsidR="00701057" w:rsidRPr="00FE5B3A" w:rsidRDefault="002673E4" w:rsidP="007E1649">
      <w:pPr>
        <w:spacing w:line="480" w:lineRule="auto"/>
        <w:contextualSpacing/>
        <w:rPr>
          <w:sz w:val="24"/>
          <w:szCs w:val="24"/>
        </w:rPr>
      </w:pPr>
      <w:r>
        <w:rPr>
          <w:sz w:val="24"/>
          <w:szCs w:val="24"/>
        </w:rPr>
        <w:tab/>
      </w:r>
      <w:r w:rsidR="00701057" w:rsidRPr="00FE5B3A">
        <w:rPr>
          <w:sz w:val="24"/>
          <w:szCs w:val="24"/>
        </w:rPr>
        <w:t xml:space="preserve">Increasingly apparent is the fact that individual essential oils or their compounds will be </w:t>
      </w:r>
      <w:proofErr w:type="gramStart"/>
      <w:r w:rsidR="00701057" w:rsidRPr="00FE5B3A">
        <w:rPr>
          <w:sz w:val="24"/>
          <w:szCs w:val="24"/>
        </w:rPr>
        <w:t>not</w:t>
      </w:r>
      <w:proofErr w:type="gramEnd"/>
      <w:r w:rsidR="00701057" w:rsidRPr="00FE5B3A">
        <w:rPr>
          <w:sz w:val="24"/>
          <w:szCs w:val="24"/>
        </w:rPr>
        <w:t xml:space="preserve"> be sufficient to satisfactorily inhibit the growth of spoilage bacteria while still producing an acceptable food product. </w:t>
      </w:r>
      <w:r w:rsidR="00186F35">
        <w:rPr>
          <w:sz w:val="24"/>
          <w:szCs w:val="24"/>
        </w:rPr>
        <w:t>MICs</w:t>
      </w:r>
      <w:r w:rsidR="00701057" w:rsidRPr="00FE5B3A">
        <w:rPr>
          <w:sz w:val="24"/>
          <w:szCs w:val="24"/>
        </w:rPr>
        <w:t xml:space="preserve"> for oils range from 1-5%, which due to the strong scent and flavor characteristics of the majority of essential </w:t>
      </w:r>
      <w:proofErr w:type="gramStart"/>
      <w:r w:rsidR="00701057" w:rsidRPr="00FE5B3A">
        <w:rPr>
          <w:sz w:val="24"/>
          <w:szCs w:val="24"/>
        </w:rPr>
        <w:t>oils,</w:t>
      </w:r>
      <w:proofErr w:type="gramEnd"/>
      <w:r w:rsidR="00701057" w:rsidRPr="00FE5B3A">
        <w:rPr>
          <w:sz w:val="24"/>
          <w:szCs w:val="24"/>
        </w:rPr>
        <w:t xml:space="preserve"> makes these preservatives difficult to disguise. Combinations of </w:t>
      </w:r>
      <w:r w:rsidR="001A167B">
        <w:rPr>
          <w:sz w:val="24"/>
          <w:szCs w:val="24"/>
        </w:rPr>
        <w:t xml:space="preserve">essential oils or </w:t>
      </w:r>
      <w:r w:rsidR="00701057" w:rsidRPr="00FE5B3A">
        <w:rPr>
          <w:sz w:val="24"/>
          <w:szCs w:val="24"/>
        </w:rPr>
        <w:t xml:space="preserve">seasonings with high essential oil fractions may be the most effective oil based method for a myriad of food products, allowing for concentrations less than individual oil </w:t>
      </w:r>
      <w:r w:rsidR="00186F35">
        <w:rPr>
          <w:sz w:val="24"/>
          <w:szCs w:val="24"/>
        </w:rPr>
        <w:t>MICs</w:t>
      </w:r>
      <w:r w:rsidR="00701057" w:rsidRPr="00FE5B3A">
        <w:rPr>
          <w:sz w:val="24"/>
          <w:szCs w:val="24"/>
        </w:rPr>
        <w:t xml:space="preserve">. This method results in more subtle flavor and odor profiles as opposed to highly concentrated, more objectionable flavors (Moleyar and Narasimham 1992). Resistance to sub-lethal concentrations of whole plant organ oils (such as clove bud oil) is less likely </w:t>
      </w:r>
      <w:r w:rsidR="00A75EAB">
        <w:rPr>
          <w:sz w:val="24"/>
          <w:szCs w:val="24"/>
        </w:rPr>
        <w:t xml:space="preserve">to </w:t>
      </w:r>
      <w:r w:rsidR="00701057" w:rsidRPr="00FE5B3A">
        <w:rPr>
          <w:sz w:val="24"/>
          <w:szCs w:val="24"/>
        </w:rPr>
        <w:t xml:space="preserve">occur than when single essential oil components (for example, eugenol) are used because of the diversity of antimicrobial agents within essential oils (Shelef 1983; Pei and others 2009; Angienda and Hill 2012). Antimicrobial agents other than the phenolics do exist in whole essential oils, but are often not worth the difficultly to extract due to their inferior activity and quantity within the plant material.  However, when allowed to remain in the oils alongside highly active phenolic compounds, their activity may be </w:t>
      </w:r>
      <w:r w:rsidR="00BC45C9" w:rsidRPr="00FE5B3A">
        <w:rPr>
          <w:sz w:val="24"/>
          <w:szCs w:val="24"/>
        </w:rPr>
        <w:t>indispensable</w:t>
      </w:r>
      <w:r w:rsidR="00701057" w:rsidRPr="00FE5B3A">
        <w:rPr>
          <w:sz w:val="24"/>
          <w:szCs w:val="24"/>
        </w:rPr>
        <w:t xml:space="preserve"> to the antibacterial activity of the essential oils as a whole (Holley and Patel 2005). </w:t>
      </w:r>
    </w:p>
    <w:p w:rsidR="00701057" w:rsidRPr="00FE5B3A" w:rsidRDefault="00701057" w:rsidP="00701057">
      <w:pPr>
        <w:spacing w:line="480" w:lineRule="auto"/>
        <w:contextualSpacing/>
        <w:rPr>
          <w:sz w:val="24"/>
          <w:szCs w:val="24"/>
        </w:rPr>
      </w:pPr>
      <w:r w:rsidRPr="00FE5B3A">
        <w:rPr>
          <w:sz w:val="24"/>
          <w:szCs w:val="24"/>
        </w:rPr>
        <w:lastRenderedPageBreak/>
        <w:tab/>
        <w:t xml:space="preserve">One such example of such cooperation is p-cymene, a precursor to carvacrol that is believed to work synergistically with carvacrol as an antimicrobial agent. While exhibiting insufficient antimicrobial activity independently, it has been shown to cause greater expansion and swelling of the bacterial membrane than what carvacrol alone is capable. This expansion results in leakage of ions from the cell; while incapable of cellular destruction single-handedly, this destabilization may increase cellular exposure and susceptibility to the cation exchanger carvacrol, leading to ATP depletion and cellular death (Ultee and others 2002; Hyldgaard and others 2012). </w:t>
      </w:r>
    </w:p>
    <w:p w:rsidR="00B75A85" w:rsidRPr="00FE5B3A" w:rsidRDefault="00701057" w:rsidP="00701057">
      <w:pPr>
        <w:spacing w:line="480" w:lineRule="auto"/>
        <w:contextualSpacing/>
        <w:rPr>
          <w:sz w:val="24"/>
          <w:szCs w:val="24"/>
        </w:rPr>
      </w:pPr>
      <w:r w:rsidRPr="00FE5B3A">
        <w:rPr>
          <w:sz w:val="24"/>
          <w:szCs w:val="24"/>
        </w:rPr>
        <w:tab/>
        <w:t xml:space="preserve">As aldehydes and phenols are credited as conferring the majority of the antimicrobial properties of essential oils, synergistic mechanisms have been observed when combining these highly active compounds. Pei and others (2009) found the MICs of cinnamaldehyde, eugenol, carvacrol, and thymol to be significantly reduced when pairs of these agents were administered against </w:t>
      </w:r>
      <w:r w:rsidR="00FD3B94" w:rsidRPr="00FD3B94">
        <w:rPr>
          <w:i/>
          <w:sz w:val="24"/>
          <w:szCs w:val="24"/>
        </w:rPr>
        <w:t>E. coli</w:t>
      </w:r>
      <w:r w:rsidR="0086157B">
        <w:rPr>
          <w:sz w:val="24"/>
          <w:szCs w:val="24"/>
        </w:rPr>
        <w:t xml:space="preserve"> (see table 1.1)</w:t>
      </w:r>
      <w:r w:rsidRPr="00FE5B3A">
        <w:rPr>
          <w:sz w:val="24"/>
          <w:szCs w:val="24"/>
        </w:rPr>
        <w:t xml:space="preserve">. </w:t>
      </w:r>
    </w:p>
    <w:p w:rsidR="00701057" w:rsidRPr="00FE5B3A" w:rsidRDefault="00701057" w:rsidP="00701057">
      <w:pPr>
        <w:spacing w:line="480" w:lineRule="auto"/>
        <w:contextualSpacing/>
        <w:rPr>
          <w:sz w:val="24"/>
          <w:szCs w:val="24"/>
        </w:rPr>
      </w:pPr>
      <w:r w:rsidRPr="00FE5B3A">
        <w:rPr>
          <w:sz w:val="24"/>
          <w:szCs w:val="24"/>
        </w:rPr>
        <w:tab/>
        <w:t xml:space="preserve">Specifically, the MICs for eugenol and cinnamaldehyde were reduced from 1600 and 400 mg/L, respectively, to 400 and 100 mg/L (Pei and others 2009). This synergism is potentially attributable to the differing protein target sites of eugenol and cinnamaldehyde; eugenol inhibits enzymatic activity while cinnamaldehyde interferes with the action of amino acid decarboxylases (Wendakoon and Sakaguchi 1993). Eugenol and thymol are believed to work synergistically with thymol disrupting and disintegrating the outer membrane of </w:t>
      </w:r>
      <w:r w:rsidR="00203888">
        <w:rPr>
          <w:sz w:val="24"/>
          <w:szCs w:val="24"/>
        </w:rPr>
        <w:t>Gram-negative</w:t>
      </w:r>
      <w:r w:rsidRPr="00FE5B3A">
        <w:rPr>
          <w:sz w:val="24"/>
          <w:szCs w:val="24"/>
        </w:rPr>
        <w:t xml:space="preserve"> species and allowing eugenol access to the cytoplasm to disrupt enzymes. The MIC for thymol decreases from 400 to 100 m</w:t>
      </w:r>
      <w:r w:rsidR="00824AB4">
        <w:rPr>
          <w:sz w:val="24"/>
          <w:szCs w:val="24"/>
        </w:rPr>
        <w:t xml:space="preserve">g/L when combined with 400 mg/L of eugenol. Independently, eugenol required 1600 mg/L for inhibition </w:t>
      </w:r>
      <w:r w:rsidRPr="00FE5B3A">
        <w:rPr>
          <w:sz w:val="24"/>
          <w:szCs w:val="24"/>
        </w:rPr>
        <w:t xml:space="preserve">(Pei and others 2009).  Supporting work by Moleyar </w:t>
      </w:r>
      <w:r w:rsidRPr="00FE5B3A">
        <w:rPr>
          <w:sz w:val="24"/>
          <w:szCs w:val="24"/>
        </w:rPr>
        <w:lastRenderedPageBreak/>
        <w:t xml:space="preserve">and Narasimham (1992) found that combining </w:t>
      </w:r>
      <w:r w:rsidR="00111C41">
        <w:rPr>
          <w:sz w:val="24"/>
          <w:szCs w:val="24"/>
        </w:rPr>
        <w:t>cinnamaldehyde</w:t>
      </w:r>
      <w:r w:rsidRPr="00FE5B3A">
        <w:rPr>
          <w:sz w:val="24"/>
          <w:szCs w:val="24"/>
        </w:rPr>
        <w:t xml:space="preserve"> </w:t>
      </w:r>
      <w:proofErr w:type="gramStart"/>
      <w:r w:rsidRPr="00FE5B3A">
        <w:rPr>
          <w:sz w:val="24"/>
          <w:szCs w:val="24"/>
        </w:rPr>
        <w:t>at 250 µg/mL</w:t>
      </w:r>
      <w:proofErr w:type="gramEnd"/>
      <w:r w:rsidRPr="00FE5B3A">
        <w:rPr>
          <w:sz w:val="24"/>
          <w:szCs w:val="24"/>
        </w:rPr>
        <w:t xml:space="preserve"> with eugenol at 500 µg/mL was effective at inhibiting bacterial growth for thirty days while individually at similar concentrations the compounds were ineffective.</w:t>
      </w:r>
    </w:p>
    <w:p w:rsidR="00701057" w:rsidRDefault="00701057" w:rsidP="00701057">
      <w:pPr>
        <w:spacing w:line="480" w:lineRule="auto"/>
        <w:contextualSpacing/>
        <w:rPr>
          <w:sz w:val="24"/>
          <w:szCs w:val="24"/>
        </w:rPr>
      </w:pPr>
      <w:r w:rsidRPr="00FE5B3A">
        <w:rPr>
          <w:sz w:val="24"/>
          <w:szCs w:val="24"/>
        </w:rPr>
        <w:tab/>
        <w:t>The interest in using individual components of essential oils for use as preservatives is due to several distinct advantages.  One such benefit is the standardization of commercial oil constituents by uniform distillation (Holley and Patel 2005). Composition of natural oils varies widely based on a multitude of factors, including plant organ of origin, geographical location and time of harvest. The eugenol content of clove bud oil, for example, is approximately 70%, while clove leaf oil contains 78.1% eugenol. Carvacrol has also been found to range from virtually non-</w:t>
      </w:r>
      <w:r w:rsidR="00F051AE" w:rsidRPr="00FE5B3A">
        <w:rPr>
          <w:sz w:val="24"/>
          <w:szCs w:val="24"/>
        </w:rPr>
        <w:t>existent</w:t>
      </w:r>
      <w:r w:rsidRPr="00FE5B3A">
        <w:rPr>
          <w:sz w:val="24"/>
          <w:szCs w:val="24"/>
        </w:rPr>
        <w:t xml:space="preserve"> to comprising 4/5 of some oregano oils (Pino and others 2001; </w:t>
      </w:r>
      <w:r w:rsidR="00C572B9" w:rsidRPr="00C572B9">
        <w:rPr>
          <w:sz w:val="24"/>
          <w:szCs w:val="24"/>
        </w:rPr>
        <w:t>Gómez-Estaca</w:t>
      </w:r>
      <w:r w:rsidRPr="00FE5B3A">
        <w:rPr>
          <w:sz w:val="24"/>
          <w:szCs w:val="24"/>
        </w:rPr>
        <w:t xml:space="preserve"> and others 2010).</w:t>
      </w:r>
    </w:p>
    <w:p w:rsidR="00C44521" w:rsidRDefault="00F35C77" w:rsidP="0010736C">
      <w:pPr>
        <w:spacing w:line="480" w:lineRule="auto"/>
        <w:contextualSpacing/>
        <w:rPr>
          <w:b/>
          <w:sz w:val="28"/>
          <w:szCs w:val="28"/>
        </w:rPr>
      </w:pPr>
      <w:r>
        <w:rPr>
          <w:sz w:val="24"/>
          <w:szCs w:val="24"/>
        </w:rPr>
        <w:tab/>
        <w:t xml:space="preserve">Essential oils and their components may provide a solution for the growing demand of natural preservative methods that require minimal processing. Even more exciting is the fact that </w:t>
      </w:r>
      <w:r w:rsidR="00B643DE">
        <w:rPr>
          <w:sz w:val="24"/>
          <w:szCs w:val="24"/>
        </w:rPr>
        <w:t xml:space="preserve">these are already approved for use in foods, meaning that once the issues of application and concentration are resolved, food producers can almost immediately begin using essential oils in their food formulations. </w:t>
      </w:r>
      <w:r w:rsidR="00A75EAB">
        <w:rPr>
          <w:sz w:val="24"/>
          <w:szCs w:val="24"/>
        </w:rPr>
        <w:t>Future work must comprise studies that determine which essential oils are most appropriate for preservatio</w:t>
      </w:r>
      <w:r w:rsidR="0010736C">
        <w:rPr>
          <w:sz w:val="24"/>
          <w:szCs w:val="24"/>
        </w:rPr>
        <w:t>n, what concentrations and delivery methods are most appropriate and effective, and what foods or packaging methods are most ideal for reformulation or reengineering to take advantage of the antimicrobial activity of essential oils.</w:t>
      </w:r>
    </w:p>
    <w:p w:rsidR="00C44521" w:rsidRDefault="00C44521" w:rsidP="0010736C">
      <w:pPr>
        <w:spacing w:line="480" w:lineRule="auto"/>
        <w:contextualSpacing/>
        <w:rPr>
          <w:b/>
          <w:sz w:val="28"/>
          <w:szCs w:val="28"/>
        </w:rPr>
        <w:sectPr w:rsidR="00C44521" w:rsidSect="00AD0C57">
          <w:footerReference w:type="default" r:id="rId8"/>
          <w:pgSz w:w="12240" w:h="15840"/>
          <w:pgMar w:top="1440" w:right="1440" w:bottom="1440" w:left="1440" w:header="720" w:footer="720" w:gutter="0"/>
          <w:pgNumType w:start="1"/>
          <w:cols w:space="720"/>
          <w:docGrid w:linePitch="360"/>
        </w:sectPr>
      </w:pPr>
    </w:p>
    <w:p w:rsidR="001018B2" w:rsidRDefault="009023B0" w:rsidP="0010736C">
      <w:pPr>
        <w:spacing w:line="480" w:lineRule="auto"/>
        <w:contextualSpacing/>
        <w:jc w:val="center"/>
        <w:rPr>
          <w:b/>
          <w:sz w:val="28"/>
          <w:szCs w:val="28"/>
        </w:rPr>
      </w:pPr>
      <w:r w:rsidRPr="009023B0">
        <w:rPr>
          <w:b/>
          <w:sz w:val="28"/>
          <w:szCs w:val="28"/>
        </w:rPr>
        <w:lastRenderedPageBreak/>
        <w:t>Tables</w:t>
      </w:r>
    </w:p>
    <w:p w:rsidR="0086157B" w:rsidRDefault="0086157B" w:rsidP="00701057">
      <w:pPr>
        <w:spacing w:line="480" w:lineRule="auto"/>
        <w:contextualSpacing/>
        <w:rPr>
          <w:sz w:val="24"/>
          <w:szCs w:val="24"/>
        </w:rPr>
      </w:pPr>
    </w:p>
    <w:p w:rsidR="0086157B" w:rsidRDefault="0086157B" w:rsidP="00701057">
      <w:pPr>
        <w:spacing w:line="480" w:lineRule="auto"/>
        <w:contextualSpacing/>
        <w:rPr>
          <w:sz w:val="24"/>
          <w:szCs w:val="24"/>
        </w:rPr>
      </w:pPr>
    </w:p>
    <w:p w:rsidR="0086157B" w:rsidRDefault="0086157B" w:rsidP="00701057">
      <w:pPr>
        <w:spacing w:line="480" w:lineRule="auto"/>
        <w:contextualSpacing/>
        <w:rPr>
          <w:sz w:val="24"/>
          <w:szCs w:val="24"/>
        </w:rPr>
      </w:pPr>
    </w:p>
    <w:p w:rsidR="0086157B" w:rsidRDefault="0086157B" w:rsidP="00701057">
      <w:pPr>
        <w:spacing w:line="480" w:lineRule="auto"/>
        <w:contextualSpacing/>
        <w:rPr>
          <w:sz w:val="24"/>
          <w:szCs w:val="24"/>
        </w:rPr>
      </w:pPr>
    </w:p>
    <w:p w:rsidR="0086157B" w:rsidRDefault="0086157B" w:rsidP="00701057">
      <w:pPr>
        <w:spacing w:line="480" w:lineRule="auto"/>
        <w:contextualSpacing/>
        <w:rPr>
          <w:sz w:val="24"/>
          <w:szCs w:val="24"/>
        </w:rPr>
      </w:pPr>
    </w:p>
    <w:p w:rsidR="0086157B" w:rsidRDefault="0086157B" w:rsidP="00701057">
      <w:pPr>
        <w:spacing w:line="480" w:lineRule="auto"/>
        <w:contextualSpacing/>
        <w:rPr>
          <w:sz w:val="24"/>
          <w:szCs w:val="24"/>
        </w:rPr>
      </w:pPr>
    </w:p>
    <w:p w:rsidR="00BF51F5" w:rsidRDefault="00BF51F5" w:rsidP="00701057">
      <w:pPr>
        <w:spacing w:line="480" w:lineRule="auto"/>
        <w:contextualSpacing/>
        <w:rPr>
          <w:sz w:val="24"/>
          <w:szCs w:val="24"/>
        </w:rPr>
      </w:pPr>
    </w:p>
    <w:p w:rsidR="00BF51F5" w:rsidRDefault="00BF51F5" w:rsidP="00701057">
      <w:pPr>
        <w:spacing w:line="480" w:lineRule="auto"/>
        <w:contextualSpacing/>
        <w:rPr>
          <w:sz w:val="24"/>
          <w:szCs w:val="24"/>
        </w:rPr>
      </w:pPr>
    </w:p>
    <w:p w:rsidR="00BF51F5" w:rsidRDefault="00BF51F5" w:rsidP="00701057">
      <w:pPr>
        <w:spacing w:line="480" w:lineRule="auto"/>
        <w:contextualSpacing/>
        <w:rPr>
          <w:sz w:val="24"/>
          <w:szCs w:val="24"/>
        </w:rPr>
      </w:pPr>
    </w:p>
    <w:p w:rsidR="00BF51F5" w:rsidRDefault="00BF51F5" w:rsidP="00701057">
      <w:pPr>
        <w:spacing w:line="480" w:lineRule="auto"/>
        <w:contextualSpacing/>
        <w:rPr>
          <w:sz w:val="24"/>
          <w:szCs w:val="24"/>
        </w:rPr>
      </w:pPr>
    </w:p>
    <w:p w:rsidR="00BF51F5" w:rsidRDefault="00BF51F5" w:rsidP="00701057">
      <w:pPr>
        <w:spacing w:line="480" w:lineRule="auto"/>
        <w:contextualSpacing/>
        <w:rPr>
          <w:sz w:val="24"/>
          <w:szCs w:val="24"/>
        </w:rPr>
      </w:pPr>
    </w:p>
    <w:p w:rsidR="00BF51F5" w:rsidRDefault="00BF51F5" w:rsidP="00701057">
      <w:pPr>
        <w:spacing w:line="480" w:lineRule="auto"/>
        <w:contextualSpacing/>
        <w:rPr>
          <w:sz w:val="24"/>
          <w:szCs w:val="24"/>
        </w:rPr>
      </w:pPr>
    </w:p>
    <w:p w:rsidR="00BF51F5" w:rsidRDefault="00BF51F5" w:rsidP="00701057">
      <w:pPr>
        <w:spacing w:line="480" w:lineRule="auto"/>
        <w:contextualSpacing/>
        <w:rPr>
          <w:sz w:val="24"/>
          <w:szCs w:val="24"/>
        </w:rPr>
      </w:pPr>
    </w:p>
    <w:p w:rsidR="00BF51F5" w:rsidRDefault="00BF51F5" w:rsidP="00701057">
      <w:pPr>
        <w:spacing w:line="480" w:lineRule="auto"/>
        <w:contextualSpacing/>
        <w:rPr>
          <w:sz w:val="24"/>
          <w:szCs w:val="24"/>
        </w:rPr>
      </w:pPr>
    </w:p>
    <w:p w:rsidR="00BF51F5" w:rsidRDefault="00BF51F5" w:rsidP="00701057">
      <w:pPr>
        <w:spacing w:line="480" w:lineRule="auto"/>
        <w:contextualSpacing/>
        <w:rPr>
          <w:sz w:val="24"/>
          <w:szCs w:val="24"/>
        </w:rPr>
      </w:pPr>
    </w:p>
    <w:p w:rsidR="00BF51F5" w:rsidRDefault="00BF51F5" w:rsidP="00701057">
      <w:pPr>
        <w:spacing w:line="480" w:lineRule="auto"/>
        <w:contextualSpacing/>
        <w:rPr>
          <w:sz w:val="24"/>
          <w:szCs w:val="24"/>
        </w:rPr>
      </w:pPr>
    </w:p>
    <w:p w:rsidR="00BF51F5" w:rsidRDefault="00BF51F5" w:rsidP="00701057">
      <w:pPr>
        <w:spacing w:line="480" w:lineRule="auto"/>
        <w:contextualSpacing/>
        <w:rPr>
          <w:sz w:val="24"/>
          <w:szCs w:val="24"/>
        </w:rPr>
      </w:pPr>
    </w:p>
    <w:p w:rsidR="009D647B" w:rsidRDefault="009D647B" w:rsidP="00701057">
      <w:pPr>
        <w:spacing w:line="480" w:lineRule="auto"/>
        <w:contextualSpacing/>
        <w:rPr>
          <w:sz w:val="24"/>
          <w:szCs w:val="24"/>
        </w:rPr>
      </w:pPr>
    </w:p>
    <w:p w:rsidR="009D6C5F" w:rsidRDefault="009D6C5F" w:rsidP="009D647B">
      <w:pPr>
        <w:contextualSpacing/>
        <w:rPr>
          <w:sz w:val="24"/>
          <w:szCs w:val="24"/>
        </w:rPr>
      </w:pPr>
    </w:p>
    <w:p w:rsidR="009D6C5F" w:rsidRDefault="009D6C5F" w:rsidP="009D647B">
      <w:pPr>
        <w:contextualSpacing/>
        <w:rPr>
          <w:sz w:val="24"/>
          <w:szCs w:val="24"/>
        </w:rPr>
      </w:pPr>
    </w:p>
    <w:p w:rsidR="009D6C5F" w:rsidRDefault="009D6C5F" w:rsidP="009D647B">
      <w:pPr>
        <w:contextualSpacing/>
        <w:rPr>
          <w:sz w:val="24"/>
          <w:szCs w:val="24"/>
        </w:rPr>
      </w:pPr>
    </w:p>
    <w:p w:rsidR="009D6C5F" w:rsidRDefault="009D6C5F" w:rsidP="009D647B">
      <w:pPr>
        <w:contextualSpacing/>
        <w:rPr>
          <w:sz w:val="24"/>
          <w:szCs w:val="24"/>
        </w:rPr>
      </w:pPr>
    </w:p>
    <w:p w:rsidR="009D6C5F" w:rsidRDefault="009D6C5F" w:rsidP="009D647B">
      <w:pPr>
        <w:contextualSpacing/>
        <w:rPr>
          <w:sz w:val="24"/>
          <w:szCs w:val="24"/>
        </w:rPr>
      </w:pPr>
    </w:p>
    <w:p w:rsidR="009D647B" w:rsidRDefault="009D647B" w:rsidP="009D647B">
      <w:pPr>
        <w:contextualSpacing/>
        <w:rPr>
          <w:sz w:val="24"/>
          <w:szCs w:val="24"/>
        </w:rPr>
      </w:pPr>
      <w:proofErr w:type="gramStart"/>
      <w:r w:rsidRPr="00B75A85">
        <w:rPr>
          <w:sz w:val="24"/>
          <w:szCs w:val="24"/>
        </w:rPr>
        <w:lastRenderedPageBreak/>
        <w:t>Table 1.</w:t>
      </w:r>
      <w:r>
        <w:rPr>
          <w:sz w:val="24"/>
          <w:szCs w:val="24"/>
        </w:rPr>
        <w:t>1.</w:t>
      </w:r>
      <w:proofErr w:type="gramEnd"/>
      <w:r w:rsidRPr="00B75A85">
        <w:rPr>
          <w:sz w:val="24"/>
          <w:szCs w:val="24"/>
        </w:rPr>
        <w:t xml:space="preserve"> </w:t>
      </w:r>
      <w:r w:rsidRPr="00BF51F5">
        <w:rPr>
          <w:sz w:val="24"/>
          <w:szCs w:val="24"/>
        </w:rPr>
        <w:t>Comparison of individual component MICs</w:t>
      </w:r>
      <w:r w:rsidR="00824AB4">
        <w:rPr>
          <w:sz w:val="24"/>
          <w:szCs w:val="24"/>
        </w:rPr>
        <w:t xml:space="preserve"> and MICs when combined with one other essential oil compound</w:t>
      </w:r>
      <w:r w:rsidRPr="00BF51F5">
        <w:rPr>
          <w:sz w:val="24"/>
          <w:szCs w:val="24"/>
        </w:rPr>
        <w:t xml:space="preserve"> (adapted from Pei and others 2009).</w:t>
      </w:r>
    </w:p>
    <w:p w:rsidR="009D647B" w:rsidRPr="00B75A85" w:rsidRDefault="009D647B" w:rsidP="009D647B">
      <w:pPr>
        <w:contextualSpacing/>
        <w:rPr>
          <w:i/>
          <w:sz w:val="24"/>
          <w:szCs w:val="24"/>
        </w:rPr>
      </w:pPr>
    </w:p>
    <w:tbl>
      <w:tblPr>
        <w:tblW w:w="7998" w:type="dxa"/>
        <w:tblInd w:w="688" w:type="dxa"/>
        <w:tblLook w:val="04A0"/>
      </w:tblPr>
      <w:tblGrid>
        <w:gridCol w:w="1216"/>
        <w:gridCol w:w="1412"/>
        <w:gridCol w:w="1854"/>
        <w:gridCol w:w="1900"/>
        <w:gridCol w:w="1900"/>
      </w:tblGrid>
      <w:tr w:rsidR="00D36C8B" w:rsidRPr="00D36C8B" w:rsidTr="00824AB4">
        <w:trPr>
          <w:trHeight w:val="324"/>
        </w:trPr>
        <w:tc>
          <w:tcPr>
            <w:tcW w:w="1166" w:type="dxa"/>
            <w:tcBorders>
              <w:top w:val="single" w:sz="4" w:space="0" w:color="auto"/>
              <w:left w:val="nil"/>
              <w:bottom w:val="nil"/>
              <w:right w:val="nil"/>
            </w:tcBorders>
            <w:shd w:val="clear" w:color="auto" w:fill="auto"/>
            <w:noWrap/>
            <w:vAlign w:val="bottom"/>
            <w:hideMark/>
          </w:tcPr>
          <w:p w:rsidR="00D36C8B" w:rsidRPr="00D36C8B" w:rsidRDefault="00D36C8B" w:rsidP="00824AB4">
            <w:pPr>
              <w:spacing w:after="0"/>
              <w:jc w:val="center"/>
              <w:rPr>
                <w:rFonts w:ascii="Calibri" w:eastAsia="Times New Roman" w:hAnsi="Calibri" w:cs="Times New Roman"/>
                <w:color w:val="000000"/>
                <w:sz w:val="24"/>
                <w:szCs w:val="24"/>
              </w:rPr>
            </w:pPr>
          </w:p>
        </w:tc>
        <w:tc>
          <w:tcPr>
            <w:tcW w:w="6832" w:type="dxa"/>
            <w:gridSpan w:val="4"/>
            <w:tcBorders>
              <w:top w:val="single" w:sz="4" w:space="0" w:color="auto"/>
              <w:left w:val="nil"/>
              <w:bottom w:val="single" w:sz="8" w:space="0" w:color="auto"/>
              <w:right w:val="nil"/>
            </w:tcBorders>
            <w:shd w:val="clear" w:color="auto" w:fill="auto"/>
            <w:noWrap/>
            <w:vAlign w:val="bottom"/>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Essential Oil Component</w:t>
            </w:r>
          </w:p>
        </w:tc>
      </w:tr>
      <w:tr w:rsidR="00D36C8B" w:rsidRPr="00D36C8B" w:rsidTr="00824AB4">
        <w:trPr>
          <w:trHeight w:val="324"/>
        </w:trPr>
        <w:tc>
          <w:tcPr>
            <w:tcW w:w="1166" w:type="dxa"/>
            <w:tcBorders>
              <w:top w:val="nil"/>
              <w:left w:val="nil"/>
              <w:bottom w:val="single" w:sz="8" w:space="0" w:color="auto"/>
              <w:right w:val="nil"/>
            </w:tcBorders>
            <w:shd w:val="clear" w:color="auto" w:fill="auto"/>
            <w:noWrap/>
            <w:vAlign w:val="bottom"/>
            <w:hideMark/>
          </w:tcPr>
          <w:p w:rsidR="00D36C8B" w:rsidRPr="00D36C8B" w:rsidRDefault="00D36C8B" w:rsidP="00D36C8B">
            <w:pPr>
              <w:spacing w:after="0"/>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 </w:t>
            </w:r>
          </w:p>
        </w:tc>
        <w:tc>
          <w:tcPr>
            <w:tcW w:w="1354" w:type="dxa"/>
            <w:tcBorders>
              <w:top w:val="nil"/>
              <w:left w:val="nil"/>
              <w:bottom w:val="single" w:sz="8" w:space="0" w:color="auto"/>
              <w:right w:val="nil"/>
            </w:tcBorders>
            <w:shd w:val="clear" w:color="auto" w:fill="auto"/>
            <w:noWrap/>
            <w:vAlign w:val="bottom"/>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Carvacrol</w:t>
            </w:r>
          </w:p>
        </w:tc>
        <w:tc>
          <w:tcPr>
            <w:tcW w:w="1842" w:type="dxa"/>
            <w:tcBorders>
              <w:top w:val="nil"/>
              <w:left w:val="nil"/>
              <w:bottom w:val="single" w:sz="8" w:space="0" w:color="auto"/>
              <w:right w:val="nil"/>
            </w:tcBorders>
            <w:shd w:val="clear" w:color="auto" w:fill="auto"/>
            <w:noWrap/>
            <w:vAlign w:val="bottom"/>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Cinnamaldehyde</w:t>
            </w:r>
          </w:p>
        </w:tc>
        <w:tc>
          <w:tcPr>
            <w:tcW w:w="1818" w:type="dxa"/>
            <w:tcBorders>
              <w:top w:val="nil"/>
              <w:left w:val="nil"/>
              <w:bottom w:val="single" w:sz="8" w:space="0" w:color="auto"/>
              <w:right w:val="nil"/>
            </w:tcBorders>
            <w:shd w:val="clear" w:color="auto" w:fill="auto"/>
            <w:noWrap/>
            <w:vAlign w:val="bottom"/>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Eugenol</w:t>
            </w:r>
          </w:p>
        </w:tc>
        <w:tc>
          <w:tcPr>
            <w:tcW w:w="1818" w:type="dxa"/>
            <w:tcBorders>
              <w:top w:val="nil"/>
              <w:left w:val="nil"/>
              <w:bottom w:val="single" w:sz="8" w:space="0" w:color="auto"/>
              <w:right w:val="nil"/>
            </w:tcBorders>
            <w:shd w:val="clear" w:color="auto" w:fill="auto"/>
            <w:noWrap/>
            <w:vAlign w:val="bottom"/>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Thymol</w:t>
            </w:r>
          </w:p>
        </w:tc>
      </w:tr>
      <w:tr w:rsidR="00D36C8B" w:rsidRPr="00D36C8B" w:rsidTr="00824AB4">
        <w:trPr>
          <w:trHeight w:val="948"/>
        </w:trPr>
        <w:tc>
          <w:tcPr>
            <w:tcW w:w="1166" w:type="dxa"/>
            <w:tcBorders>
              <w:top w:val="nil"/>
              <w:left w:val="nil"/>
              <w:bottom w:val="nil"/>
              <w:right w:val="nil"/>
            </w:tcBorders>
            <w:shd w:val="clear" w:color="auto" w:fill="auto"/>
            <w:vAlign w:val="bottom"/>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Individual MIC (mg/L)</w:t>
            </w:r>
          </w:p>
        </w:tc>
        <w:tc>
          <w:tcPr>
            <w:tcW w:w="1354" w:type="dxa"/>
            <w:tcBorders>
              <w:top w:val="nil"/>
              <w:left w:val="nil"/>
              <w:bottom w:val="nil"/>
              <w:right w:val="nil"/>
            </w:tcBorders>
            <w:shd w:val="clear" w:color="auto" w:fill="auto"/>
            <w:noWrap/>
            <w:vAlign w:val="center"/>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400</w:t>
            </w:r>
          </w:p>
        </w:tc>
        <w:tc>
          <w:tcPr>
            <w:tcW w:w="1842" w:type="dxa"/>
            <w:tcBorders>
              <w:top w:val="nil"/>
              <w:left w:val="nil"/>
              <w:bottom w:val="nil"/>
              <w:right w:val="nil"/>
            </w:tcBorders>
            <w:shd w:val="clear" w:color="auto" w:fill="auto"/>
            <w:noWrap/>
            <w:vAlign w:val="center"/>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400</w:t>
            </w:r>
          </w:p>
        </w:tc>
        <w:tc>
          <w:tcPr>
            <w:tcW w:w="1818" w:type="dxa"/>
            <w:tcBorders>
              <w:top w:val="nil"/>
              <w:left w:val="nil"/>
              <w:bottom w:val="nil"/>
              <w:right w:val="nil"/>
            </w:tcBorders>
            <w:shd w:val="clear" w:color="auto" w:fill="auto"/>
            <w:noWrap/>
            <w:vAlign w:val="center"/>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1600</w:t>
            </w:r>
          </w:p>
        </w:tc>
        <w:tc>
          <w:tcPr>
            <w:tcW w:w="1818" w:type="dxa"/>
            <w:tcBorders>
              <w:top w:val="nil"/>
              <w:left w:val="nil"/>
              <w:bottom w:val="nil"/>
              <w:right w:val="nil"/>
            </w:tcBorders>
            <w:shd w:val="clear" w:color="auto" w:fill="auto"/>
            <w:noWrap/>
            <w:vAlign w:val="center"/>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400</w:t>
            </w:r>
          </w:p>
        </w:tc>
      </w:tr>
      <w:tr w:rsidR="00D36C8B" w:rsidRPr="00D36C8B" w:rsidTr="00824AB4">
        <w:trPr>
          <w:trHeight w:val="948"/>
        </w:trPr>
        <w:tc>
          <w:tcPr>
            <w:tcW w:w="1166" w:type="dxa"/>
            <w:tcBorders>
              <w:top w:val="nil"/>
              <w:left w:val="nil"/>
              <w:bottom w:val="single" w:sz="8" w:space="0" w:color="auto"/>
              <w:right w:val="nil"/>
            </w:tcBorders>
            <w:shd w:val="clear" w:color="auto" w:fill="auto"/>
            <w:vAlign w:val="bottom"/>
            <w:hideMark/>
          </w:tcPr>
          <w:p w:rsidR="00D36C8B" w:rsidRP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Combined MIC (mg/L)</w:t>
            </w:r>
          </w:p>
        </w:tc>
        <w:tc>
          <w:tcPr>
            <w:tcW w:w="1354" w:type="dxa"/>
            <w:tcBorders>
              <w:top w:val="nil"/>
              <w:left w:val="nil"/>
              <w:bottom w:val="single" w:sz="8" w:space="0" w:color="auto"/>
              <w:right w:val="nil"/>
            </w:tcBorders>
            <w:shd w:val="clear" w:color="auto" w:fill="auto"/>
            <w:noWrap/>
            <w:vAlign w:val="center"/>
            <w:hideMark/>
          </w:tcPr>
          <w:p w:rsid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100</w:t>
            </w:r>
          </w:p>
          <w:p w:rsidR="0010736C" w:rsidRPr="00D36C8B" w:rsidRDefault="0010736C" w:rsidP="00D36C8B">
            <w:pPr>
              <w:spacing w:after="0"/>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(w/</w:t>
            </w:r>
            <w:r w:rsidR="00824AB4">
              <w:rPr>
                <w:rFonts w:ascii="Calibri" w:eastAsia="Times New Roman" w:hAnsi="Calibri" w:cs="Times New Roman"/>
                <w:color w:val="000000"/>
                <w:sz w:val="24"/>
                <w:szCs w:val="24"/>
              </w:rPr>
              <w:t>eugenol)</w:t>
            </w:r>
          </w:p>
        </w:tc>
        <w:tc>
          <w:tcPr>
            <w:tcW w:w="1842" w:type="dxa"/>
            <w:tcBorders>
              <w:top w:val="nil"/>
              <w:left w:val="nil"/>
              <w:bottom w:val="single" w:sz="8" w:space="0" w:color="auto"/>
              <w:right w:val="nil"/>
            </w:tcBorders>
            <w:shd w:val="clear" w:color="auto" w:fill="auto"/>
            <w:noWrap/>
            <w:vAlign w:val="center"/>
            <w:hideMark/>
          </w:tcPr>
          <w:p w:rsid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100</w:t>
            </w:r>
          </w:p>
          <w:p w:rsidR="00824AB4" w:rsidRPr="00D36C8B" w:rsidRDefault="00824AB4" w:rsidP="00D36C8B">
            <w:pPr>
              <w:spacing w:after="0"/>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(w/eugenol)</w:t>
            </w:r>
          </w:p>
        </w:tc>
        <w:tc>
          <w:tcPr>
            <w:tcW w:w="1818" w:type="dxa"/>
            <w:tcBorders>
              <w:top w:val="nil"/>
              <w:left w:val="nil"/>
              <w:bottom w:val="single" w:sz="8" w:space="0" w:color="auto"/>
              <w:right w:val="nil"/>
            </w:tcBorders>
            <w:shd w:val="clear" w:color="auto" w:fill="auto"/>
            <w:noWrap/>
            <w:vAlign w:val="center"/>
            <w:hideMark/>
          </w:tcPr>
          <w:p w:rsid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400</w:t>
            </w:r>
          </w:p>
          <w:p w:rsidR="00824AB4" w:rsidRPr="00D36C8B" w:rsidRDefault="00824AB4" w:rsidP="00D36C8B">
            <w:pPr>
              <w:spacing w:after="0"/>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(w/ thymol or cinnamaldehyde)</w:t>
            </w:r>
          </w:p>
        </w:tc>
        <w:tc>
          <w:tcPr>
            <w:tcW w:w="1818" w:type="dxa"/>
            <w:tcBorders>
              <w:top w:val="nil"/>
              <w:left w:val="nil"/>
              <w:bottom w:val="single" w:sz="8" w:space="0" w:color="auto"/>
              <w:right w:val="nil"/>
            </w:tcBorders>
            <w:shd w:val="clear" w:color="auto" w:fill="auto"/>
            <w:noWrap/>
            <w:vAlign w:val="center"/>
            <w:hideMark/>
          </w:tcPr>
          <w:p w:rsidR="00D36C8B" w:rsidRDefault="00D36C8B" w:rsidP="00D36C8B">
            <w:pPr>
              <w:spacing w:after="0"/>
              <w:jc w:val="center"/>
              <w:rPr>
                <w:rFonts w:ascii="Calibri" w:eastAsia="Times New Roman" w:hAnsi="Calibri" w:cs="Times New Roman"/>
                <w:color w:val="000000"/>
                <w:sz w:val="24"/>
                <w:szCs w:val="24"/>
              </w:rPr>
            </w:pPr>
            <w:r w:rsidRPr="00D36C8B">
              <w:rPr>
                <w:rFonts w:ascii="Calibri" w:eastAsia="Times New Roman" w:hAnsi="Calibri" w:cs="Times New Roman"/>
                <w:color w:val="000000"/>
                <w:sz w:val="24"/>
                <w:szCs w:val="24"/>
              </w:rPr>
              <w:t>100</w:t>
            </w:r>
          </w:p>
          <w:p w:rsidR="00824AB4" w:rsidRPr="00D36C8B" w:rsidRDefault="00824AB4" w:rsidP="00D36C8B">
            <w:pPr>
              <w:spacing w:after="0"/>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(w/eugenol or cinnamaldehyde)</w:t>
            </w:r>
          </w:p>
        </w:tc>
      </w:tr>
    </w:tbl>
    <w:p w:rsidR="00D56DD4" w:rsidRPr="00FE5B3A" w:rsidRDefault="00D56DD4" w:rsidP="00D56DD4">
      <w:pPr>
        <w:rPr>
          <w:sz w:val="24"/>
          <w:szCs w:val="24"/>
        </w:rPr>
      </w:pPr>
    </w:p>
    <w:p w:rsidR="00BC45C9" w:rsidRDefault="00BC45C9">
      <w:pPr>
        <w:rPr>
          <w:rFonts w:eastAsiaTheme="majorEastAsia" w:cstheme="majorBidi"/>
          <w:b/>
          <w:bCs/>
          <w:sz w:val="28"/>
          <w:szCs w:val="28"/>
        </w:rPr>
      </w:pPr>
      <w:r>
        <w:rPr>
          <w:sz w:val="28"/>
          <w:szCs w:val="28"/>
        </w:rPr>
        <w:br w:type="page"/>
      </w:r>
    </w:p>
    <w:p w:rsidR="0086157B" w:rsidRPr="00696044" w:rsidRDefault="0086157B" w:rsidP="00696044">
      <w:pPr>
        <w:pStyle w:val="Heading2"/>
        <w:jc w:val="center"/>
        <w:rPr>
          <w:rFonts w:asciiTheme="minorHAnsi" w:hAnsiTheme="minorHAnsi"/>
          <w:color w:val="auto"/>
          <w:sz w:val="28"/>
          <w:szCs w:val="28"/>
        </w:rPr>
      </w:pPr>
      <w:bookmarkStart w:id="14" w:name="_Toc364366581"/>
      <w:r w:rsidRPr="00696044">
        <w:rPr>
          <w:rFonts w:asciiTheme="minorHAnsi" w:hAnsiTheme="minorHAnsi"/>
          <w:color w:val="auto"/>
          <w:sz w:val="28"/>
          <w:szCs w:val="28"/>
        </w:rPr>
        <w:lastRenderedPageBreak/>
        <w:t>List of References</w:t>
      </w:r>
      <w:bookmarkEnd w:id="14"/>
    </w:p>
    <w:p w:rsidR="00E95A92" w:rsidRDefault="00E95A92" w:rsidP="0086157B">
      <w:pPr>
        <w:contextualSpacing/>
        <w:rPr>
          <w:b/>
          <w:sz w:val="28"/>
          <w:szCs w:val="28"/>
        </w:rPr>
      </w:pPr>
    </w:p>
    <w:p w:rsidR="00BC45C9" w:rsidRDefault="00BC45C9"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E95A92" w:rsidRDefault="00E95A92" w:rsidP="001E6B0B">
      <w:pPr>
        <w:spacing w:line="480" w:lineRule="auto"/>
        <w:contextualSpacing/>
        <w:jc w:val="center"/>
        <w:rPr>
          <w:b/>
          <w:sz w:val="28"/>
          <w:szCs w:val="28"/>
        </w:rPr>
      </w:pPr>
    </w:p>
    <w:p w:rsidR="004D43B4" w:rsidRDefault="004D43B4" w:rsidP="0086157B">
      <w:pPr>
        <w:contextualSpacing/>
        <w:rPr>
          <w:sz w:val="24"/>
          <w:szCs w:val="24"/>
        </w:rPr>
      </w:pPr>
    </w:p>
    <w:p w:rsidR="004D43B4" w:rsidRDefault="004D43B4" w:rsidP="0086157B">
      <w:pPr>
        <w:contextualSpacing/>
        <w:rPr>
          <w:sz w:val="24"/>
          <w:szCs w:val="24"/>
        </w:rPr>
      </w:pPr>
    </w:p>
    <w:p w:rsidR="00605FC5" w:rsidRDefault="00605FC5" w:rsidP="0086157B">
      <w:pPr>
        <w:contextualSpacing/>
        <w:rPr>
          <w:sz w:val="24"/>
          <w:szCs w:val="24"/>
        </w:rPr>
      </w:pPr>
    </w:p>
    <w:p w:rsidR="00605FC5" w:rsidRDefault="00605FC5" w:rsidP="0086157B">
      <w:pPr>
        <w:contextualSpacing/>
        <w:rPr>
          <w:sz w:val="24"/>
          <w:szCs w:val="24"/>
        </w:rPr>
      </w:pPr>
    </w:p>
    <w:p w:rsidR="00605FC5" w:rsidRDefault="00605FC5" w:rsidP="0086157B">
      <w:pPr>
        <w:contextualSpacing/>
        <w:rPr>
          <w:sz w:val="24"/>
          <w:szCs w:val="24"/>
        </w:rPr>
      </w:pPr>
    </w:p>
    <w:p w:rsidR="00605FC5" w:rsidRDefault="00605FC5" w:rsidP="0086157B">
      <w:pPr>
        <w:contextualSpacing/>
        <w:rPr>
          <w:sz w:val="24"/>
          <w:szCs w:val="24"/>
        </w:rPr>
      </w:pPr>
    </w:p>
    <w:p w:rsidR="00605FC5" w:rsidRDefault="00605FC5" w:rsidP="0086157B">
      <w:pPr>
        <w:contextualSpacing/>
        <w:rPr>
          <w:sz w:val="24"/>
          <w:szCs w:val="24"/>
        </w:rPr>
      </w:pPr>
    </w:p>
    <w:p w:rsidR="00605FC5" w:rsidRDefault="00605FC5" w:rsidP="0086157B">
      <w:pPr>
        <w:contextualSpacing/>
        <w:rPr>
          <w:sz w:val="24"/>
          <w:szCs w:val="24"/>
        </w:rPr>
      </w:pPr>
    </w:p>
    <w:p w:rsidR="00605FC5" w:rsidRDefault="00605FC5" w:rsidP="0086157B">
      <w:pPr>
        <w:contextualSpacing/>
        <w:rPr>
          <w:sz w:val="24"/>
          <w:szCs w:val="24"/>
        </w:rPr>
      </w:pPr>
    </w:p>
    <w:p w:rsidR="00605FC5" w:rsidRDefault="00605FC5" w:rsidP="0086157B">
      <w:pPr>
        <w:contextualSpacing/>
        <w:rPr>
          <w:sz w:val="24"/>
          <w:szCs w:val="24"/>
        </w:rPr>
      </w:pPr>
    </w:p>
    <w:p w:rsidR="00605FC5" w:rsidRDefault="00605FC5" w:rsidP="0086157B">
      <w:pPr>
        <w:contextualSpacing/>
        <w:rPr>
          <w:sz w:val="24"/>
          <w:szCs w:val="24"/>
        </w:rPr>
      </w:pPr>
    </w:p>
    <w:p w:rsidR="0086157B" w:rsidRPr="00F35C77" w:rsidRDefault="0086157B" w:rsidP="0086157B">
      <w:pPr>
        <w:contextualSpacing/>
        <w:rPr>
          <w:sz w:val="24"/>
          <w:szCs w:val="24"/>
        </w:rPr>
      </w:pPr>
      <w:proofErr w:type="gramStart"/>
      <w:r w:rsidRPr="00F35C77">
        <w:rPr>
          <w:sz w:val="24"/>
          <w:szCs w:val="24"/>
        </w:rPr>
        <w:lastRenderedPageBreak/>
        <w:t>Alma MH, Ertas M, Nitz S, Kollmannsberger H. 2007.</w:t>
      </w:r>
      <w:proofErr w:type="gramEnd"/>
      <w:r w:rsidRPr="00F35C77">
        <w:rPr>
          <w:sz w:val="24"/>
          <w:szCs w:val="24"/>
        </w:rPr>
        <w:t xml:space="preserve"> Chemical composition and content of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essential</w:t>
      </w:r>
      <w:proofErr w:type="gramEnd"/>
      <w:r w:rsidRPr="00F35C77">
        <w:rPr>
          <w:sz w:val="24"/>
          <w:szCs w:val="24"/>
        </w:rPr>
        <w:t xml:space="preserve"> oil from the bud of cultivated Turkish clove (</w:t>
      </w:r>
      <w:r w:rsidRPr="004D43B4">
        <w:rPr>
          <w:i/>
          <w:sz w:val="24"/>
          <w:szCs w:val="24"/>
        </w:rPr>
        <w:t>Syzygium aromaticum</w:t>
      </w:r>
      <w:r w:rsidRPr="00F35C77">
        <w:rPr>
          <w:sz w:val="24"/>
          <w:szCs w:val="24"/>
        </w:rPr>
        <w:t xml:space="preserve"> L.). BioRes </w:t>
      </w:r>
    </w:p>
    <w:p w:rsidR="0086157B" w:rsidRDefault="0086157B" w:rsidP="0086157B">
      <w:pPr>
        <w:contextualSpacing/>
        <w:rPr>
          <w:sz w:val="24"/>
          <w:szCs w:val="24"/>
        </w:rPr>
      </w:pPr>
      <w:r w:rsidRPr="00F35C77">
        <w:rPr>
          <w:sz w:val="24"/>
          <w:szCs w:val="24"/>
        </w:rPr>
        <w:tab/>
        <w:t>2(2):265-269.</w:t>
      </w:r>
    </w:p>
    <w:p w:rsidR="00F35C77" w:rsidRPr="00F35C77" w:rsidRDefault="00F35C77" w:rsidP="0086157B">
      <w:pPr>
        <w:contextualSpacing/>
        <w:rPr>
          <w:sz w:val="24"/>
          <w:szCs w:val="24"/>
        </w:rPr>
      </w:pPr>
    </w:p>
    <w:p w:rsidR="0086157B" w:rsidRDefault="0086157B" w:rsidP="0086157B">
      <w:pPr>
        <w:contextualSpacing/>
        <w:rPr>
          <w:sz w:val="24"/>
          <w:szCs w:val="24"/>
        </w:rPr>
      </w:pPr>
      <w:r w:rsidRPr="00F35C77">
        <w:rPr>
          <w:sz w:val="24"/>
          <w:szCs w:val="24"/>
        </w:rPr>
        <w:t>Angienda PO</w:t>
      </w:r>
      <w:r w:rsidR="002C1E5F">
        <w:rPr>
          <w:sz w:val="24"/>
          <w:szCs w:val="24"/>
        </w:rPr>
        <w:t xml:space="preserve"> and</w:t>
      </w:r>
      <w:r w:rsidRPr="00F35C77">
        <w:rPr>
          <w:sz w:val="24"/>
          <w:szCs w:val="24"/>
        </w:rPr>
        <w:t xml:space="preserve"> Hill DJ. 2012. The effect of sodium chloride and pH on the antimicrobial </w:t>
      </w:r>
      <w:r w:rsidR="00F35C77" w:rsidRPr="00F35C77">
        <w:rPr>
          <w:sz w:val="24"/>
          <w:szCs w:val="24"/>
        </w:rPr>
        <w:tab/>
      </w:r>
      <w:r w:rsidRPr="00F35C77">
        <w:rPr>
          <w:sz w:val="24"/>
          <w:szCs w:val="24"/>
        </w:rPr>
        <w:t xml:space="preserve">effectiveness of essential oils against pathogenic and food spoilage bacteria: </w:t>
      </w:r>
      <w:r w:rsidR="00F35C77" w:rsidRPr="00F35C77">
        <w:rPr>
          <w:sz w:val="24"/>
          <w:szCs w:val="24"/>
        </w:rPr>
        <w:tab/>
      </w:r>
      <w:r w:rsidRPr="00F35C77">
        <w:rPr>
          <w:sz w:val="24"/>
          <w:szCs w:val="24"/>
        </w:rPr>
        <w:t>Implications in food safety. Int J Biol Life Sci 8:222–2227.</w:t>
      </w:r>
    </w:p>
    <w:p w:rsidR="00007EEA" w:rsidRDefault="00007EEA" w:rsidP="00007EEA">
      <w:pPr>
        <w:contextualSpacing/>
        <w:rPr>
          <w:sz w:val="24"/>
          <w:szCs w:val="24"/>
        </w:rPr>
      </w:pPr>
    </w:p>
    <w:p w:rsidR="00007EEA" w:rsidRDefault="00007EEA" w:rsidP="00007EEA">
      <w:pPr>
        <w:contextualSpacing/>
        <w:rPr>
          <w:sz w:val="24"/>
          <w:szCs w:val="24"/>
        </w:rPr>
      </w:pPr>
      <w:proofErr w:type="gramStart"/>
      <w:r>
        <w:rPr>
          <w:sz w:val="24"/>
          <w:szCs w:val="24"/>
        </w:rPr>
        <w:t>Ankri S and Mirelman.</w:t>
      </w:r>
      <w:proofErr w:type="gramEnd"/>
      <w:r>
        <w:rPr>
          <w:sz w:val="24"/>
          <w:szCs w:val="24"/>
        </w:rPr>
        <w:t xml:space="preserve"> 1999. Antimicrobial properties of allicin from garlic. Microbes Infect </w:t>
      </w:r>
      <w:r>
        <w:rPr>
          <w:sz w:val="24"/>
          <w:szCs w:val="24"/>
        </w:rPr>
        <w:tab/>
        <w:t>2:125-129.</w:t>
      </w:r>
    </w:p>
    <w:p w:rsidR="00F35C77" w:rsidRPr="00F35C77" w:rsidRDefault="00F35C77" w:rsidP="0086157B">
      <w:pPr>
        <w:contextualSpacing/>
        <w:rPr>
          <w:sz w:val="24"/>
          <w:szCs w:val="24"/>
        </w:rPr>
      </w:pPr>
    </w:p>
    <w:p w:rsidR="001223A3" w:rsidRDefault="00F35C77" w:rsidP="002C1E5F">
      <w:pPr>
        <w:contextualSpacing/>
        <w:rPr>
          <w:sz w:val="24"/>
          <w:szCs w:val="24"/>
        </w:rPr>
      </w:pPr>
      <w:r w:rsidRPr="0083707B">
        <w:rPr>
          <w:sz w:val="24"/>
          <w:szCs w:val="24"/>
        </w:rPr>
        <w:t>Axelson L</w:t>
      </w:r>
      <w:r>
        <w:rPr>
          <w:sz w:val="24"/>
          <w:szCs w:val="24"/>
        </w:rPr>
        <w:t>.</w:t>
      </w:r>
      <w:r w:rsidRPr="0083707B">
        <w:rPr>
          <w:sz w:val="24"/>
          <w:szCs w:val="24"/>
        </w:rPr>
        <w:t xml:space="preserve"> 2004. </w:t>
      </w:r>
      <w:proofErr w:type="gramStart"/>
      <w:r w:rsidRPr="0083707B">
        <w:rPr>
          <w:sz w:val="24"/>
          <w:szCs w:val="24"/>
        </w:rPr>
        <w:t>Lactic acid bacteria classification and physiology.</w:t>
      </w:r>
      <w:proofErr w:type="gramEnd"/>
      <w:r w:rsidRPr="0083707B">
        <w:rPr>
          <w:sz w:val="24"/>
          <w:szCs w:val="24"/>
        </w:rPr>
        <w:t xml:space="preserve"> In: </w:t>
      </w:r>
      <w:r w:rsidR="002C1E5F">
        <w:rPr>
          <w:sz w:val="24"/>
          <w:szCs w:val="24"/>
        </w:rPr>
        <w:t>Salminen S, von Wright A,</w:t>
      </w:r>
      <w:r w:rsidR="002C1E5F" w:rsidRPr="0083707B">
        <w:rPr>
          <w:sz w:val="24"/>
          <w:szCs w:val="24"/>
        </w:rPr>
        <w:t xml:space="preserve"> </w:t>
      </w:r>
      <w:r w:rsidR="002C1E5F">
        <w:rPr>
          <w:sz w:val="24"/>
          <w:szCs w:val="24"/>
        </w:rPr>
        <w:tab/>
      </w:r>
      <w:r w:rsidR="002C1E5F" w:rsidRPr="0083707B">
        <w:rPr>
          <w:sz w:val="24"/>
          <w:szCs w:val="24"/>
        </w:rPr>
        <w:t>Ouwehand A</w:t>
      </w:r>
      <w:r w:rsidR="002C1E5F">
        <w:rPr>
          <w:sz w:val="24"/>
          <w:szCs w:val="24"/>
        </w:rPr>
        <w:t xml:space="preserve">, editors. </w:t>
      </w:r>
      <w:proofErr w:type="gramStart"/>
      <w:r w:rsidRPr="0083707B">
        <w:rPr>
          <w:sz w:val="24"/>
          <w:szCs w:val="24"/>
        </w:rPr>
        <w:t>Lactic acid bacteria, microbiological</w:t>
      </w:r>
      <w:r>
        <w:rPr>
          <w:sz w:val="24"/>
          <w:szCs w:val="24"/>
        </w:rPr>
        <w:t xml:space="preserve"> </w:t>
      </w:r>
      <w:r w:rsidRPr="0083707B">
        <w:rPr>
          <w:sz w:val="24"/>
          <w:szCs w:val="24"/>
        </w:rPr>
        <w:t>and functional aspects.</w:t>
      </w:r>
      <w:proofErr w:type="gramEnd"/>
      <w:r w:rsidRPr="0083707B">
        <w:rPr>
          <w:sz w:val="24"/>
          <w:szCs w:val="24"/>
        </w:rPr>
        <w:t xml:space="preserve"> </w:t>
      </w:r>
      <w:proofErr w:type="gramStart"/>
      <w:r w:rsidRPr="0083707B">
        <w:rPr>
          <w:sz w:val="24"/>
          <w:szCs w:val="24"/>
        </w:rPr>
        <w:t>3</w:t>
      </w:r>
      <w:r w:rsidRPr="002C1E5F">
        <w:rPr>
          <w:sz w:val="24"/>
          <w:szCs w:val="24"/>
          <w:vertAlign w:val="superscript"/>
        </w:rPr>
        <w:t>rd</w:t>
      </w:r>
      <w:r w:rsidR="002C1E5F">
        <w:rPr>
          <w:sz w:val="24"/>
          <w:szCs w:val="24"/>
        </w:rPr>
        <w:tab/>
      </w:r>
      <w:r w:rsidR="002C1E5F">
        <w:rPr>
          <w:sz w:val="24"/>
          <w:szCs w:val="24"/>
        </w:rPr>
        <w:tab/>
        <w:t>edition.</w:t>
      </w:r>
      <w:proofErr w:type="gramEnd"/>
      <w:r w:rsidRPr="0083707B">
        <w:rPr>
          <w:sz w:val="24"/>
          <w:szCs w:val="24"/>
        </w:rPr>
        <w:t xml:space="preserve"> New</w:t>
      </w:r>
      <w:r>
        <w:rPr>
          <w:sz w:val="24"/>
          <w:szCs w:val="24"/>
        </w:rPr>
        <w:t xml:space="preserve"> </w:t>
      </w:r>
      <w:r w:rsidRPr="0083707B">
        <w:rPr>
          <w:sz w:val="24"/>
          <w:szCs w:val="24"/>
        </w:rPr>
        <w:t>York</w:t>
      </w:r>
      <w:r w:rsidR="002C1E5F">
        <w:rPr>
          <w:sz w:val="24"/>
          <w:szCs w:val="24"/>
        </w:rPr>
        <w:t xml:space="preserve">: </w:t>
      </w:r>
      <w:r w:rsidRPr="0083707B">
        <w:rPr>
          <w:sz w:val="24"/>
          <w:szCs w:val="24"/>
        </w:rPr>
        <w:t>Marcel De</w:t>
      </w:r>
      <w:r w:rsidR="00BC45C9">
        <w:rPr>
          <w:sz w:val="24"/>
          <w:szCs w:val="24"/>
        </w:rPr>
        <w:t>kk</w:t>
      </w:r>
      <w:r w:rsidRPr="0083707B">
        <w:rPr>
          <w:sz w:val="24"/>
          <w:szCs w:val="24"/>
        </w:rPr>
        <w:t>er Inc.</w:t>
      </w:r>
      <w:r w:rsidRPr="00E508C0">
        <w:rPr>
          <w:sz w:val="24"/>
          <w:szCs w:val="24"/>
        </w:rPr>
        <w:t xml:space="preserve"> </w:t>
      </w:r>
      <w:r w:rsidR="002C1E5F">
        <w:rPr>
          <w:sz w:val="24"/>
          <w:szCs w:val="24"/>
        </w:rPr>
        <w:t>p</w:t>
      </w:r>
      <w:r w:rsidRPr="0083707B">
        <w:rPr>
          <w:sz w:val="24"/>
          <w:szCs w:val="24"/>
        </w:rPr>
        <w:t xml:space="preserve"> 1-67</w:t>
      </w:r>
      <w:r w:rsidR="002C1E5F">
        <w:rPr>
          <w:sz w:val="24"/>
          <w:szCs w:val="24"/>
        </w:rPr>
        <w:t>.</w:t>
      </w:r>
    </w:p>
    <w:p w:rsidR="00007EEA" w:rsidRDefault="00007EEA" w:rsidP="002C1E5F">
      <w:pPr>
        <w:contextualSpacing/>
        <w:rPr>
          <w:sz w:val="24"/>
          <w:szCs w:val="24"/>
        </w:rPr>
      </w:pPr>
    </w:p>
    <w:p w:rsidR="00007EEA" w:rsidRPr="00007EEA" w:rsidRDefault="00007EEA" w:rsidP="00007EEA">
      <w:pPr>
        <w:contextualSpacing/>
        <w:rPr>
          <w:sz w:val="24"/>
          <w:szCs w:val="24"/>
        </w:rPr>
      </w:pPr>
      <w:r>
        <w:rPr>
          <w:sz w:val="24"/>
          <w:szCs w:val="24"/>
        </w:rPr>
        <w:t>Belaqziz R</w:t>
      </w:r>
      <w:r w:rsidRPr="00007EEA">
        <w:rPr>
          <w:sz w:val="24"/>
          <w:szCs w:val="24"/>
        </w:rPr>
        <w:t>, Ba</w:t>
      </w:r>
      <w:r>
        <w:rPr>
          <w:sz w:val="24"/>
          <w:szCs w:val="24"/>
        </w:rPr>
        <w:t>hri F, Romane A, Antoniotti</w:t>
      </w:r>
      <w:r w:rsidRPr="00007EEA">
        <w:rPr>
          <w:sz w:val="24"/>
          <w:szCs w:val="24"/>
        </w:rPr>
        <w:t xml:space="preserve"> </w:t>
      </w:r>
      <w:r>
        <w:rPr>
          <w:sz w:val="24"/>
          <w:szCs w:val="24"/>
        </w:rPr>
        <w:t xml:space="preserve">S, Fernandez X, Duñach E. </w:t>
      </w:r>
      <w:r w:rsidRPr="00007EEA">
        <w:rPr>
          <w:sz w:val="24"/>
          <w:szCs w:val="24"/>
        </w:rPr>
        <w:t xml:space="preserve">2013. Essential oil </w:t>
      </w:r>
      <w:r>
        <w:rPr>
          <w:sz w:val="24"/>
          <w:szCs w:val="24"/>
        </w:rPr>
        <w:tab/>
      </w:r>
      <w:r w:rsidRPr="00007EEA">
        <w:rPr>
          <w:sz w:val="24"/>
          <w:szCs w:val="24"/>
        </w:rPr>
        <w:t xml:space="preserve">composition and antibacterial activity of the different parts of </w:t>
      </w:r>
      <w:r w:rsidRPr="00007EEA">
        <w:rPr>
          <w:i/>
          <w:sz w:val="24"/>
          <w:szCs w:val="24"/>
        </w:rPr>
        <w:t>Thymus maroccanus</w:t>
      </w:r>
      <w:r w:rsidRPr="00007EEA">
        <w:rPr>
          <w:sz w:val="24"/>
          <w:szCs w:val="24"/>
        </w:rPr>
        <w:t xml:space="preserve"> Ball: </w:t>
      </w:r>
      <w:r>
        <w:rPr>
          <w:sz w:val="24"/>
          <w:szCs w:val="24"/>
        </w:rPr>
        <w:tab/>
        <w:t>an endemic species in Morocco</w:t>
      </w:r>
      <w:r w:rsidRPr="00007EEA">
        <w:rPr>
          <w:sz w:val="24"/>
          <w:szCs w:val="24"/>
        </w:rPr>
        <w:t xml:space="preserve">. </w:t>
      </w:r>
      <w:r>
        <w:rPr>
          <w:iCs/>
          <w:sz w:val="24"/>
          <w:szCs w:val="24"/>
        </w:rPr>
        <w:t xml:space="preserve">Nat Prod Res </w:t>
      </w:r>
      <w:r>
        <w:rPr>
          <w:sz w:val="24"/>
          <w:szCs w:val="24"/>
        </w:rPr>
        <w:t>(ahead-of-print):</w:t>
      </w:r>
      <w:r w:rsidRPr="00007EEA">
        <w:rPr>
          <w:sz w:val="24"/>
          <w:szCs w:val="24"/>
        </w:rPr>
        <w:t xml:space="preserve"> 1-5.</w:t>
      </w:r>
    </w:p>
    <w:p w:rsidR="00007EEA" w:rsidRDefault="00007EEA" w:rsidP="002C1E5F">
      <w:pPr>
        <w:contextualSpacing/>
        <w:rPr>
          <w:sz w:val="24"/>
          <w:szCs w:val="24"/>
        </w:rPr>
      </w:pPr>
    </w:p>
    <w:p w:rsidR="00A20B9C" w:rsidRDefault="00A20B9C" w:rsidP="002C1E5F">
      <w:pPr>
        <w:contextualSpacing/>
        <w:rPr>
          <w:sz w:val="24"/>
          <w:szCs w:val="24"/>
        </w:rPr>
      </w:pPr>
      <w:r>
        <w:rPr>
          <w:sz w:val="24"/>
          <w:szCs w:val="24"/>
        </w:rPr>
        <w:t xml:space="preserve">Bagamboula CF, Uyttendaele M, Debevere J. 2004. </w:t>
      </w:r>
      <w:proofErr w:type="gramStart"/>
      <w:r>
        <w:rPr>
          <w:sz w:val="24"/>
          <w:szCs w:val="24"/>
        </w:rPr>
        <w:t>Inhibitory effect of thyme and basil essential</w:t>
      </w:r>
      <w:r>
        <w:rPr>
          <w:sz w:val="24"/>
          <w:szCs w:val="24"/>
        </w:rPr>
        <w:tab/>
      </w:r>
      <w:r>
        <w:rPr>
          <w:sz w:val="24"/>
          <w:szCs w:val="24"/>
        </w:rPr>
        <w:tab/>
        <w:t xml:space="preserve"> oils, carvacrol, thymol, estragol, linalool, and p-cymene towards </w:t>
      </w:r>
      <w:r w:rsidRPr="00A20B9C">
        <w:rPr>
          <w:i/>
          <w:sz w:val="24"/>
          <w:szCs w:val="24"/>
        </w:rPr>
        <w:t>Shigella sonnei</w:t>
      </w:r>
      <w:r>
        <w:rPr>
          <w:sz w:val="24"/>
          <w:szCs w:val="24"/>
        </w:rPr>
        <w:t xml:space="preserve"> and </w:t>
      </w:r>
      <w:r w:rsidRPr="00A20B9C">
        <w:rPr>
          <w:i/>
          <w:sz w:val="24"/>
          <w:szCs w:val="24"/>
        </w:rPr>
        <w:t>S.</w:t>
      </w:r>
      <w:proofErr w:type="gramEnd"/>
      <w:r w:rsidRPr="00A20B9C">
        <w:rPr>
          <w:i/>
          <w:sz w:val="24"/>
          <w:szCs w:val="24"/>
        </w:rPr>
        <w:t xml:space="preserve"> </w:t>
      </w:r>
      <w:r w:rsidRPr="00A20B9C">
        <w:rPr>
          <w:i/>
          <w:sz w:val="24"/>
          <w:szCs w:val="24"/>
        </w:rPr>
        <w:tab/>
      </w:r>
      <w:proofErr w:type="gramStart"/>
      <w:r w:rsidRPr="00A20B9C">
        <w:rPr>
          <w:i/>
          <w:sz w:val="24"/>
          <w:szCs w:val="24"/>
        </w:rPr>
        <w:t>fle</w:t>
      </w:r>
      <w:r>
        <w:rPr>
          <w:i/>
          <w:sz w:val="24"/>
          <w:szCs w:val="24"/>
        </w:rPr>
        <w:t>x</w:t>
      </w:r>
      <w:r w:rsidRPr="00A20B9C">
        <w:rPr>
          <w:i/>
          <w:sz w:val="24"/>
          <w:szCs w:val="24"/>
        </w:rPr>
        <w:t>neri</w:t>
      </w:r>
      <w:proofErr w:type="gramEnd"/>
      <w:r>
        <w:rPr>
          <w:sz w:val="24"/>
          <w:szCs w:val="24"/>
        </w:rPr>
        <w:t>. Foodborne Pathog Dis 6(6):725-728.</w:t>
      </w:r>
    </w:p>
    <w:p w:rsidR="001223A3" w:rsidRDefault="001223A3" w:rsidP="0086157B">
      <w:pPr>
        <w:contextualSpacing/>
        <w:rPr>
          <w:sz w:val="24"/>
          <w:szCs w:val="24"/>
        </w:rPr>
      </w:pPr>
    </w:p>
    <w:p w:rsidR="0086157B" w:rsidRPr="00F35C77" w:rsidRDefault="0086157B" w:rsidP="0086157B">
      <w:pPr>
        <w:contextualSpacing/>
        <w:rPr>
          <w:sz w:val="24"/>
          <w:szCs w:val="24"/>
        </w:rPr>
      </w:pPr>
      <w:r w:rsidRPr="00F35C77">
        <w:rPr>
          <w:sz w:val="24"/>
          <w:szCs w:val="24"/>
        </w:rPr>
        <w:t>Blaszyk M, H</w:t>
      </w:r>
      <w:r w:rsidR="001223A3">
        <w:rPr>
          <w:sz w:val="24"/>
          <w:szCs w:val="24"/>
        </w:rPr>
        <w:t>olley RA. 1998. Interaction of m</w:t>
      </w:r>
      <w:r w:rsidRPr="00F35C77">
        <w:rPr>
          <w:sz w:val="24"/>
          <w:szCs w:val="24"/>
        </w:rPr>
        <w:t xml:space="preserve">onolaurin, eugenol and sodium citrate on growth </w:t>
      </w:r>
    </w:p>
    <w:p w:rsidR="0086157B" w:rsidRDefault="0086157B" w:rsidP="0086157B">
      <w:pPr>
        <w:contextualSpacing/>
        <w:rPr>
          <w:sz w:val="24"/>
          <w:szCs w:val="24"/>
        </w:rPr>
      </w:pPr>
      <w:r w:rsidRPr="00F35C77">
        <w:rPr>
          <w:sz w:val="24"/>
          <w:szCs w:val="24"/>
        </w:rPr>
        <w:tab/>
      </w:r>
      <w:proofErr w:type="gramStart"/>
      <w:r w:rsidRPr="00F35C77">
        <w:rPr>
          <w:sz w:val="24"/>
          <w:szCs w:val="24"/>
        </w:rPr>
        <w:t>of</w:t>
      </w:r>
      <w:proofErr w:type="gramEnd"/>
      <w:r w:rsidRPr="00F35C77">
        <w:rPr>
          <w:sz w:val="24"/>
          <w:szCs w:val="24"/>
        </w:rPr>
        <w:t xml:space="preserve"> common meat spoilage and pathogenic organisms. Int J Food Micriobiol 39:175-183.</w:t>
      </w:r>
    </w:p>
    <w:p w:rsidR="00F051AE" w:rsidRDefault="00F051AE" w:rsidP="0086157B">
      <w:pPr>
        <w:contextualSpacing/>
        <w:rPr>
          <w:sz w:val="24"/>
          <w:szCs w:val="24"/>
        </w:rPr>
      </w:pPr>
    </w:p>
    <w:p w:rsidR="00F051AE" w:rsidRDefault="00F051AE" w:rsidP="0086157B">
      <w:pPr>
        <w:contextualSpacing/>
        <w:rPr>
          <w:sz w:val="24"/>
          <w:szCs w:val="24"/>
        </w:rPr>
      </w:pPr>
      <w:proofErr w:type="gramStart"/>
      <w:r>
        <w:rPr>
          <w:sz w:val="24"/>
          <w:szCs w:val="24"/>
        </w:rPr>
        <w:t>Davidson PM, Critzer FJ, Taylor TM.</w:t>
      </w:r>
      <w:proofErr w:type="gramEnd"/>
      <w:r>
        <w:rPr>
          <w:sz w:val="24"/>
          <w:szCs w:val="24"/>
        </w:rPr>
        <w:t xml:space="preserve"> 2013. Naturally occurring antimicrobials for minimally </w:t>
      </w:r>
      <w:r>
        <w:rPr>
          <w:sz w:val="24"/>
          <w:szCs w:val="24"/>
        </w:rPr>
        <w:tab/>
        <w:t xml:space="preserve">processed foods. Annu Rev Food Sci Technol 4:163-190. </w:t>
      </w:r>
      <w:proofErr w:type="gramStart"/>
      <w:r>
        <w:rPr>
          <w:sz w:val="24"/>
          <w:szCs w:val="24"/>
        </w:rPr>
        <w:t>doi</w:t>
      </w:r>
      <w:proofErr w:type="gramEnd"/>
      <w:r>
        <w:rPr>
          <w:sz w:val="24"/>
          <w:szCs w:val="24"/>
        </w:rPr>
        <w:t>: 10.1146/annurev-food-</w:t>
      </w:r>
      <w:r>
        <w:rPr>
          <w:sz w:val="24"/>
          <w:szCs w:val="24"/>
        </w:rPr>
        <w:tab/>
        <w:t>030212-182535</w:t>
      </w:r>
    </w:p>
    <w:p w:rsidR="00F35C77" w:rsidRPr="00F35C77" w:rsidRDefault="00F35C77" w:rsidP="0086157B">
      <w:pPr>
        <w:contextualSpacing/>
        <w:rPr>
          <w:sz w:val="24"/>
          <w:szCs w:val="24"/>
        </w:rPr>
      </w:pPr>
    </w:p>
    <w:p w:rsidR="0086157B" w:rsidRPr="00F35C77" w:rsidRDefault="0086157B" w:rsidP="0086157B">
      <w:pPr>
        <w:contextualSpacing/>
        <w:rPr>
          <w:sz w:val="24"/>
          <w:szCs w:val="24"/>
        </w:rPr>
      </w:pPr>
      <w:r w:rsidRPr="00F35C77">
        <w:rPr>
          <w:sz w:val="24"/>
          <w:szCs w:val="24"/>
        </w:rPr>
        <w:t xml:space="preserve">Deans SG, Noble RC, Hiltunen R, Wuryani W, </w:t>
      </w:r>
      <w:proofErr w:type="gramStart"/>
      <w:r w:rsidRPr="00F35C77">
        <w:rPr>
          <w:sz w:val="24"/>
          <w:szCs w:val="24"/>
        </w:rPr>
        <w:t>Pénzes  LG</w:t>
      </w:r>
      <w:proofErr w:type="gramEnd"/>
      <w:r w:rsidRPr="00F35C77">
        <w:rPr>
          <w:sz w:val="24"/>
          <w:szCs w:val="24"/>
        </w:rPr>
        <w:t xml:space="preserve">. 1995. Antimicrobial and antioxidant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properties</w:t>
      </w:r>
      <w:proofErr w:type="gramEnd"/>
      <w:r w:rsidRPr="00F35C77">
        <w:rPr>
          <w:sz w:val="24"/>
          <w:szCs w:val="24"/>
        </w:rPr>
        <w:t xml:space="preserve"> of </w:t>
      </w:r>
      <w:r w:rsidRPr="001223A3">
        <w:rPr>
          <w:i/>
          <w:sz w:val="24"/>
          <w:szCs w:val="24"/>
        </w:rPr>
        <w:t>Syzygium aromaticum</w:t>
      </w:r>
      <w:r w:rsidRPr="00F35C77">
        <w:rPr>
          <w:sz w:val="24"/>
          <w:szCs w:val="24"/>
        </w:rPr>
        <w:t xml:space="preserve"> (L.) Merr</w:t>
      </w:r>
      <w:proofErr w:type="gramStart"/>
      <w:r w:rsidRPr="00F35C77">
        <w:rPr>
          <w:sz w:val="24"/>
          <w:szCs w:val="24"/>
        </w:rPr>
        <w:t>.&amp;</w:t>
      </w:r>
      <w:proofErr w:type="gramEnd"/>
      <w:r w:rsidRPr="00F35C77">
        <w:rPr>
          <w:sz w:val="24"/>
          <w:szCs w:val="24"/>
        </w:rPr>
        <w:t xml:space="preserve"> Perry: Impact upon bacteria, fungi and </w:t>
      </w:r>
    </w:p>
    <w:p w:rsidR="0086157B" w:rsidRDefault="0086157B" w:rsidP="0086157B">
      <w:pPr>
        <w:contextualSpacing/>
        <w:rPr>
          <w:sz w:val="24"/>
          <w:szCs w:val="24"/>
        </w:rPr>
      </w:pPr>
      <w:r w:rsidRPr="00F35C77">
        <w:rPr>
          <w:sz w:val="24"/>
          <w:szCs w:val="24"/>
        </w:rPr>
        <w:tab/>
      </w:r>
      <w:proofErr w:type="gramStart"/>
      <w:r w:rsidRPr="00F35C77">
        <w:rPr>
          <w:sz w:val="24"/>
          <w:szCs w:val="24"/>
        </w:rPr>
        <w:t>fatty</w:t>
      </w:r>
      <w:proofErr w:type="gramEnd"/>
      <w:r w:rsidRPr="00F35C77">
        <w:rPr>
          <w:sz w:val="24"/>
          <w:szCs w:val="24"/>
        </w:rPr>
        <w:t xml:space="preserve"> acid levels in ageing mice. Flavour Frag J 10:323-328.</w:t>
      </w:r>
    </w:p>
    <w:p w:rsidR="00F35C77" w:rsidRPr="00F35C77" w:rsidRDefault="00F35C77" w:rsidP="0086157B">
      <w:pPr>
        <w:contextualSpacing/>
        <w:rPr>
          <w:sz w:val="24"/>
          <w:szCs w:val="24"/>
        </w:rPr>
      </w:pPr>
    </w:p>
    <w:p w:rsidR="0086157B" w:rsidRPr="00F35C77" w:rsidRDefault="0086157B" w:rsidP="0086157B">
      <w:pPr>
        <w:contextualSpacing/>
        <w:rPr>
          <w:sz w:val="24"/>
          <w:szCs w:val="24"/>
        </w:rPr>
      </w:pPr>
      <w:proofErr w:type="gramStart"/>
      <w:r w:rsidRPr="00F35C77">
        <w:rPr>
          <w:sz w:val="24"/>
          <w:szCs w:val="24"/>
        </w:rPr>
        <w:t>Delaquis PJ and Sholberg PL. 1997.</w:t>
      </w:r>
      <w:proofErr w:type="gramEnd"/>
      <w:r w:rsidRPr="00F35C77">
        <w:rPr>
          <w:sz w:val="24"/>
          <w:szCs w:val="24"/>
        </w:rPr>
        <w:t xml:space="preserve"> </w:t>
      </w:r>
      <w:proofErr w:type="gramStart"/>
      <w:r w:rsidRPr="00F35C77">
        <w:rPr>
          <w:sz w:val="24"/>
          <w:szCs w:val="24"/>
        </w:rPr>
        <w:t>Antimicrobial activity of gaseous allyl sothiocyanate.</w:t>
      </w:r>
      <w:proofErr w:type="gramEnd"/>
      <w:r w:rsidRPr="00F35C77">
        <w:rPr>
          <w:sz w:val="24"/>
          <w:szCs w:val="24"/>
        </w:rPr>
        <w:t xml:space="preserve"> J </w:t>
      </w:r>
    </w:p>
    <w:p w:rsidR="0086157B" w:rsidRDefault="0086157B" w:rsidP="0086157B">
      <w:pPr>
        <w:contextualSpacing/>
        <w:rPr>
          <w:sz w:val="24"/>
          <w:szCs w:val="24"/>
        </w:rPr>
      </w:pPr>
      <w:r w:rsidRPr="00F35C77">
        <w:rPr>
          <w:sz w:val="24"/>
          <w:szCs w:val="24"/>
        </w:rPr>
        <w:tab/>
        <w:t>Food Protect 60(8):943-947.</w:t>
      </w:r>
    </w:p>
    <w:p w:rsidR="00A20B9C" w:rsidRDefault="00A20B9C" w:rsidP="0086157B">
      <w:pPr>
        <w:contextualSpacing/>
        <w:rPr>
          <w:sz w:val="24"/>
          <w:szCs w:val="24"/>
        </w:rPr>
      </w:pPr>
    </w:p>
    <w:p w:rsidR="00A20B9C" w:rsidRDefault="00A20B9C" w:rsidP="0086157B">
      <w:pPr>
        <w:contextualSpacing/>
        <w:rPr>
          <w:sz w:val="24"/>
          <w:szCs w:val="24"/>
        </w:rPr>
      </w:pPr>
      <w:proofErr w:type="gramStart"/>
      <w:r>
        <w:rPr>
          <w:sz w:val="24"/>
          <w:szCs w:val="24"/>
        </w:rPr>
        <w:t>Dorman HJD and Deans SG.</w:t>
      </w:r>
      <w:proofErr w:type="gramEnd"/>
      <w:r>
        <w:rPr>
          <w:sz w:val="24"/>
          <w:szCs w:val="24"/>
        </w:rPr>
        <w:t xml:space="preserve"> 2000. Antimicrobial agents from plants: antimicrobial activity of </w:t>
      </w:r>
      <w:r w:rsidR="00007EEA">
        <w:rPr>
          <w:sz w:val="24"/>
          <w:szCs w:val="24"/>
        </w:rPr>
        <w:tab/>
      </w:r>
      <w:r>
        <w:rPr>
          <w:sz w:val="24"/>
          <w:szCs w:val="24"/>
        </w:rPr>
        <w:t>plant volatile oils. J Appl Microbiol 88:308-316.</w:t>
      </w:r>
    </w:p>
    <w:p w:rsidR="00D36C8B" w:rsidRDefault="00D36C8B" w:rsidP="0086157B">
      <w:pPr>
        <w:contextualSpacing/>
        <w:rPr>
          <w:sz w:val="24"/>
          <w:szCs w:val="24"/>
        </w:rPr>
      </w:pPr>
    </w:p>
    <w:p w:rsidR="00007EEA" w:rsidRDefault="00007EEA" w:rsidP="0086157B">
      <w:pPr>
        <w:contextualSpacing/>
        <w:rPr>
          <w:sz w:val="24"/>
          <w:szCs w:val="24"/>
        </w:rPr>
      </w:pPr>
      <w:r>
        <w:rPr>
          <w:sz w:val="24"/>
          <w:szCs w:val="24"/>
        </w:rPr>
        <w:t>Emiroğlu</w:t>
      </w:r>
      <w:r w:rsidRPr="00007EEA">
        <w:rPr>
          <w:sz w:val="24"/>
          <w:szCs w:val="24"/>
        </w:rPr>
        <w:t xml:space="preserve"> ZK, Yemiş</w:t>
      </w:r>
      <w:r>
        <w:rPr>
          <w:sz w:val="24"/>
          <w:szCs w:val="24"/>
        </w:rPr>
        <w:t xml:space="preserve"> G</w:t>
      </w:r>
      <w:r w:rsidRPr="00007EEA">
        <w:rPr>
          <w:sz w:val="24"/>
          <w:szCs w:val="24"/>
        </w:rPr>
        <w:t>P, Coşku</w:t>
      </w:r>
      <w:r>
        <w:rPr>
          <w:sz w:val="24"/>
          <w:szCs w:val="24"/>
        </w:rPr>
        <w:t>n BK, Candoğan K. 2010.</w:t>
      </w:r>
      <w:r w:rsidRPr="00007EEA">
        <w:rPr>
          <w:sz w:val="24"/>
          <w:szCs w:val="24"/>
        </w:rPr>
        <w:t xml:space="preserve"> Antimicrobial activity of soy edible films </w:t>
      </w:r>
      <w:r>
        <w:rPr>
          <w:sz w:val="24"/>
          <w:szCs w:val="24"/>
        </w:rPr>
        <w:tab/>
      </w:r>
      <w:r w:rsidRPr="00007EEA">
        <w:rPr>
          <w:sz w:val="24"/>
          <w:szCs w:val="24"/>
        </w:rPr>
        <w:t xml:space="preserve">incorporated with thyme and oregano essential oils on fresh ground beef patties. </w:t>
      </w:r>
      <w:proofErr w:type="gramStart"/>
      <w:r w:rsidRPr="00007EEA">
        <w:rPr>
          <w:iCs/>
          <w:sz w:val="24"/>
          <w:szCs w:val="24"/>
        </w:rPr>
        <w:t xml:space="preserve">Meat </w:t>
      </w:r>
      <w:r>
        <w:rPr>
          <w:iCs/>
          <w:sz w:val="24"/>
          <w:szCs w:val="24"/>
        </w:rPr>
        <w:tab/>
        <w:t xml:space="preserve">Sci </w:t>
      </w:r>
      <w:r w:rsidRPr="00007EEA">
        <w:rPr>
          <w:iCs/>
          <w:sz w:val="24"/>
          <w:szCs w:val="24"/>
        </w:rPr>
        <w:t>86</w:t>
      </w:r>
      <w:r>
        <w:rPr>
          <w:sz w:val="24"/>
          <w:szCs w:val="24"/>
        </w:rPr>
        <w:t>(2):</w:t>
      </w:r>
      <w:r w:rsidRPr="00007EEA">
        <w:rPr>
          <w:sz w:val="24"/>
          <w:szCs w:val="24"/>
        </w:rPr>
        <w:t>283-288.</w:t>
      </w:r>
      <w:proofErr w:type="gramEnd"/>
    </w:p>
    <w:p w:rsidR="00007EEA" w:rsidRPr="00F35C77" w:rsidRDefault="00007EEA" w:rsidP="0086157B">
      <w:pPr>
        <w:contextualSpacing/>
        <w:rPr>
          <w:sz w:val="24"/>
          <w:szCs w:val="24"/>
        </w:rPr>
      </w:pPr>
    </w:p>
    <w:p w:rsidR="0086157B" w:rsidRPr="00F35C77" w:rsidRDefault="0086157B" w:rsidP="0086157B">
      <w:pPr>
        <w:contextualSpacing/>
        <w:rPr>
          <w:sz w:val="24"/>
          <w:szCs w:val="24"/>
        </w:rPr>
      </w:pPr>
      <w:r w:rsidRPr="00F35C77">
        <w:rPr>
          <w:sz w:val="24"/>
          <w:szCs w:val="24"/>
        </w:rPr>
        <w:lastRenderedPageBreak/>
        <w:t xml:space="preserve">Fratianni F, De Martino L, Melone A, De Feo V, Coppola R, Nazzaro F. 2010. Preservation of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chicken</w:t>
      </w:r>
      <w:proofErr w:type="gramEnd"/>
      <w:r w:rsidRPr="00F35C77">
        <w:rPr>
          <w:sz w:val="24"/>
          <w:szCs w:val="24"/>
        </w:rPr>
        <w:t xml:space="preserve"> breast meat treated with thyme and balm essential oils. J Food Sci 75(8):M528-</w:t>
      </w:r>
    </w:p>
    <w:p w:rsidR="0086157B" w:rsidRPr="00F35C77" w:rsidRDefault="0086157B" w:rsidP="0086157B">
      <w:pPr>
        <w:contextualSpacing/>
        <w:rPr>
          <w:sz w:val="24"/>
          <w:szCs w:val="24"/>
        </w:rPr>
      </w:pPr>
      <w:r w:rsidRPr="00F35C77">
        <w:rPr>
          <w:sz w:val="24"/>
          <w:szCs w:val="24"/>
        </w:rPr>
        <w:tab/>
        <w:t xml:space="preserve">M535. </w:t>
      </w:r>
      <w:proofErr w:type="gramStart"/>
      <w:r w:rsidRPr="00F35C77">
        <w:rPr>
          <w:sz w:val="24"/>
          <w:szCs w:val="24"/>
        </w:rPr>
        <w:t>doi</w:t>
      </w:r>
      <w:proofErr w:type="gramEnd"/>
      <w:r w:rsidRPr="00F35C77">
        <w:rPr>
          <w:sz w:val="24"/>
          <w:szCs w:val="24"/>
        </w:rPr>
        <w:t>: 10.1111/j.1750-3841.2010.01791.x</w:t>
      </w:r>
    </w:p>
    <w:p w:rsidR="00F35C77" w:rsidRDefault="00F35C77" w:rsidP="0086157B">
      <w:pPr>
        <w:contextualSpacing/>
        <w:rPr>
          <w:sz w:val="24"/>
          <w:szCs w:val="24"/>
        </w:rPr>
      </w:pPr>
    </w:p>
    <w:p w:rsidR="0086157B" w:rsidRPr="00F35C77" w:rsidRDefault="0086157B" w:rsidP="0086157B">
      <w:pPr>
        <w:contextualSpacing/>
        <w:rPr>
          <w:sz w:val="24"/>
          <w:szCs w:val="24"/>
        </w:rPr>
      </w:pPr>
      <w:r w:rsidRPr="00F35C77">
        <w:rPr>
          <w:sz w:val="24"/>
          <w:szCs w:val="24"/>
        </w:rPr>
        <w:t xml:space="preserve">Gill AO and Holley RA. 2004. Mechanisms of bactericidal action of cinnamaldehyde against </w:t>
      </w:r>
    </w:p>
    <w:p w:rsidR="0086157B" w:rsidRPr="001223A3" w:rsidRDefault="0086157B" w:rsidP="0086157B">
      <w:pPr>
        <w:contextualSpacing/>
        <w:rPr>
          <w:i/>
          <w:sz w:val="24"/>
          <w:szCs w:val="24"/>
        </w:rPr>
      </w:pPr>
      <w:r w:rsidRPr="00F35C77">
        <w:rPr>
          <w:sz w:val="24"/>
          <w:szCs w:val="24"/>
        </w:rPr>
        <w:tab/>
      </w:r>
      <w:r w:rsidRPr="001223A3">
        <w:rPr>
          <w:i/>
          <w:sz w:val="24"/>
          <w:szCs w:val="24"/>
        </w:rPr>
        <w:t>Listeria monocytogenes</w:t>
      </w:r>
      <w:r w:rsidRPr="00F35C77">
        <w:rPr>
          <w:sz w:val="24"/>
          <w:szCs w:val="24"/>
        </w:rPr>
        <w:t xml:space="preserve"> and of eugenol against </w:t>
      </w:r>
      <w:r w:rsidRPr="001223A3">
        <w:rPr>
          <w:i/>
          <w:sz w:val="24"/>
          <w:szCs w:val="24"/>
        </w:rPr>
        <w:t>L. monocytogenes</w:t>
      </w:r>
      <w:r w:rsidRPr="00F35C77">
        <w:rPr>
          <w:sz w:val="24"/>
          <w:szCs w:val="24"/>
        </w:rPr>
        <w:t xml:space="preserve"> and </w:t>
      </w:r>
      <w:r w:rsidRPr="001223A3">
        <w:rPr>
          <w:i/>
          <w:sz w:val="24"/>
          <w:szCs w:val="24"/>
        </w:rPr>
        <w:t xml:space="preserve">Lactobacillus </w:t>
      </w:r>
    </w:p>
    <w:p w:rsidR="0086157B" w:rsidRPr="00F35C77" w:rsidRDefault="0086157B" w:rsidP="0086157B">
      <w:pPr>
        <w:contextualSpacing/>
        <w:rPr>
          <w:sz w:val="24"/>
          <w:szCs w:val="24"/>
        </w:rPr>
      </w:pPr>
      <w:r w:rsidRPr="001223A3">
        <w:rPr>
          <w:i/>
          <w:sz w:val="24"/>
          <w:szCs w:val="24"/>
        </w:rPr>
        <w:tab/>
      </w:r>
      <w:proofErr w:type="gramStart"/>
      <w:r w:rsidRPr="001223A3">
        <w:rPr>
          <w:i/>
          <w:sz w:val="24"/>
          <w:szCs w:val="24"/>
        </w:rPr>
        <w:t>sakei</w:t>
      </w:r>
      <w:proofErr w:type="gramEnd"/>
      <w:r w:rsidRPr="00F35C77">
        <w:rPr>
          <w:sz w:val="24"/>
          <w:szCs w:val="24"/>
        </w:rPr>
        <w:t xml:space="preserve">. Appl Environ Microbiol 70(10):5750-5755. </w:t>
      </w:r>
      <w:proofErr w:type="gramStart"/>
      <w:r w:rsidRPr="00F35C77">
        <w:rPr>
          <w:sz w:val="24"/>
          <w:szCs w:val="24"/>
        </w:rPr>
        <w:t>doi</w:t>
      </w:r>
      <w:proofErr w:type="gramEnd"/>
      <w:r w:rsidRPr="00F35C77">
        <w:rPr>
          <w:sz w:val="24"/>
          <w:szCs w:val="24"/>
        </w:rPr>
        <w:t>: 10.1128/AEM.70.10.5750-</w:t>
      </w:r>
    </w:p>
    <w:p w:rsidR="0086157B" w:rsidRPr="00F35C77" w:rsidRDefault="0086157B" w:rsidP="0086157B">
      <w:pPr>
        <w:contextualSpacing/>
        <w:rPr>
          <w:sz w:val="24"/>
          <w:szCs w:val="24"/>
        </w:rPr>
      </w:pPr>
      <w:r w:rsidRPr="00F35C77">
        <w:rPr>
          <w:sz w:val="24"/>
          <w:szCs w:val="24"/>
        </w:rPr>
        <w:tab/>
        <w:t>5755.2004</w:t>
      </w:r>
    </w:p>
    <w:p w:rsidR="00F35C77" w:rsidRDefault="00F35C77" w:rsidP="0086157B">
      <w:pPr>
        <w:contextualSpacing/>
        <w:rPr>
          <w:sz w:val="24"/>
          <w:szCs w:val="24"/>
        </w:rPr>
      </w:pPr>
    </w:p>
    <w:p w:rsidR="0086157B" w:rsidRDefault="0086157B" w:rsidP="0086157B">
      <w:pPr>
        <w:contextualSpacing/>
        <w:rPr>
          <w:sz w:val="24"/>
          <w:szCs w:val="24"/>
        </w:rPr>
      </w:pPr>
      <w:r w:rsidRPr="00F35C77">
        <w:rPr>
          <w:sz w:val="24"/>
          <w:szCs w:val="24"/>
        </w:rPr>
        <w:t xml:space="preserve">Gómez-Estaca J, López de Lacey A, López-Caballero ME, Gómez-Guillén MC, Montero P. 2010. </w:t>
      </w:r>
      <w:r w:rsidR="00F35C77">
        <w:rPr>
          <w:sz w:val="24"/>
          <w:szCs w:val="24"/>
        </w:rPr>
        <w:tab/>
      </w:r>
      <w:r w:rsidRPr="00F35C77">
        <w:rPr>
          <w:sz w:val="24"/>
          <w:szCs w:val="24"/>
        </w:rPr>
        <w:t xml:space="preserve">Biodegradable gelatin–chitosan films incorporated with essential oils as antimicrobial </w:t>
      </w:r>
      <w:r w:rsidR="00F35C77">
        <w:rPr>
          <w:sz w:val="24"/>
          <w:szCs w:val="24"/>
        </w:rPr>
        <w:tab/>
      </w:r>
      <w:r w:rsidRPr="00F35C77">
        <w:rPr>
          <w:sz w:val="24"/>
          <w:szCs w:val="24"/>
        </w:rPr>
        <w:t xml:space="preserve">agents for fish preservation. Food Microbiol 27(7):889-896. </w:t>
      </w:r>
      <w:proofErr w:type="gramStart"/>
      <w:r w:rsidRPr="00F35C77">
        <w:rPr>
          <w:sz w:val="24"/>
          <w:szCs w:val="24"/>
        </w:rPr>
        <w:t>doi</w:t>
      </w:r>
      <w:proofErr w:type="gramEnd"/>
      <w:r w:rsidRPr="00F35C77">
        <w:rPr>
          <w:sz w:val="24"/>
          <w:szCs w:val="24"/>
        </w:rPr>
        <w:t xml:space="preserve">: </w:t>
      </w:r>
      <w:r w:rsidR="00F35C77">
        <w:rPr>
          <w:sz w:val="24"/>
          <w:szCs w:val="24"/>
        </w:rPr>
        <w:tab/>
      </w:r>
      <w:r w:rsidRPr="00F35C77">
        <w:rPr>
          <w:sz w:val="24"/>
          <w:szCs w:val="24"/>
        </w:rPr>
        <w:t>10.106/j.fm.2010.05.012</w:t>
      </w:r>
    </w:p>
    <w:p w:rsidR="00FE340F" w:rsidRPr="00FE340F" w:rsidRDefault="00FE340F" w:rsidP="0086157B">
      <w:pPr>
        <w:contextualSpacing/>
        <w:rPr>
          <w:sz w:val="24"/>
          <w:szCs w:val="24"/>
        </w:rPr>
      </w:pPr>
    </w:p>
    <w:p w:rsidR="00FE340F" w:rsidRPr="00FE340F" w:rsidRDefault="00FE340F" w:rsidP="00FE340F">
      <w:pPr>
        <w:rPr>
          <w:sz w:val="24"/>
          <w:szCs w:val="24"/>
        </w:rPr>
      </w:pPr>
      <w:r w:rsidRPr="00FE340F">
        <w:rPr>
          <w:sz w:val="24"/>
          <w:szCs w:val="24"/>
        </w:rPr>
        <w:t xml:space="preserve">Gutierrez J, Barry-Ryan C, Bourke P. 2008. </w:t>
      </w:r>
      <w:proofErr w:type="gramStart"/>
      <w:r w:rsidRPr="00FE340F">
        <w:rPr>
          <w:sz w:val="24"/>
          <w:szCs w:val="24"/>
        </w:rPr>
        <w:t xml:space="preserve">The antimicrobial efficacy of plant essential oil </w:t>
      </w:r>
      <w:r>
        <w:rPr>
          <w:sz w:val="24"/>
          <w:szCs w:val="24"/>
        </w:rPr>
        <w:tab/>
      </w:r>
      <w:r w:rsidRPr="00FE340F">
        <w:rPr>
          <w:sz w:val="24"/>
          <w:szCs w:val="24"/>
        </w:rPr>
        <w:t xml:space="preserve">combinations </w:t>
      </w:r>
      <w:r w:rsidRPr="00FE340F">
        <w:rPr>
          <w:sz w:val="24"/>
          <w:szCs w:val="24"/>
        </w:rPr>
        <w:tab/>
        <w:t>and interactions with food ingredients.</w:t>
      </w:r>
      <w:proofErr w:type="gramEnd"/>
      <w:r w:rsidRPr="00FE340F">
        <w:rPr>
          <w:sz w:val="24"/>
          <w:szCs w:val="24"/>
        </w:rPr>
        <w:t xml:space="preserve"> Int J Food Microbiol 124(1):91-97.</w:t>
      </w:r>
      <w:r>
        <w:rPr>
          <w:sz w:val="24"/>
          <w:szCs w:val="24"/>
        </w:rPr>
        <w:tab/>
      </w:r>
      <w:r>
        <w:rPr>
          <w:sz w:val="24"/>
          <w:szCs w:val="24"/>
        </w:rPr>
        <w:tab/>
      </w:r>
      <w:r w:rsidRPr="00FE340F">
        <w:rPr>
          <w:sz w:val="24"/>
          <w:szCs w:val="24"/>
        </w:rPr>
        <w:t xml:space="preserve"> </w:t>
      </w:r>
      <w:proofErr w:type="gramStart"/>
      <w:r w:rsidRPr="00FE340F">
        <w:rPr>
          <w:sz w:val="24"/>
          <w:szCs w:val="24"/>
        </w:rPr>
        <w:t>doi</w:t>
      </w:r>
      <w:proofErr w:type="gramEnd"/>
      <w:r w:rsidRPr="00FE340F">
        <w:rPr>
          <w:sz w:val="24"/>
          <w:szCs w:val="24"/>
        </w:rPr>
        <w:t>: 10.1016/j.ijfoodmicro.2008.02.028</w:t>
      </w:r>
    </w:p>
    <w:p w:rsidR="0086157B" w:rsidRPr="00F35C77" w:rsidRDefault="0086157B" w:rsidP="0086157B">
      <w:pPr>
        <w:contextualSpacing/>
        <w:rPr>
          <w:sz w:val="24"/>
          <w:szCs w:val="24"/>
        </w:rPr>
      </w:pPr>
      <w:r w:rsidRPr="00F35C77">
        <w:rPr>
          <w:sz w:val="24"/>
          <w:szCs w:val="24"/>
        </w:rPr>
        <w:t xml:space="preserve">Helander IM, Alakomi HL, Latva-Kala K, Mattila-Sandholm T, Pol I, Smid EJ, Gorris LGM,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von</w:t>
      </w:r>
      <w:proofErr w:type="gramEnd"/>
      <w:r w:rsidRPr="00F35C77">
        <w:rPr>
          <w:sz w:val="24"/>
          <w:szCs w:val="24"/>
        </w:rPr>
        <w:t xml:space="preserve"> Wright A. 1998. Characterization of the action of selected essential oil components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on</w:t>
      </w:r>
      <w:proofErr w:type="gramEnd"/>
      <w:r w:rsidRPr="00F35C77">
        <w:rPr>
          <w:sz w:val="24"/>
          <w:szCs w:val="24"/>
        </w:rPr>
        <w:t xml:space="preserve"> Gram-negative Bacteria. J Agric Food Chem 46:3590-3595.</w:t>
      </w:r>
    </w:p>
    <w:p w:rsidR="00F35C77" w:rsidRDefault="00F35C77" w:rsidP="00F35C77">
      <w:pPr>
        <w:contextualSpacing/>
        <w:rPr>
          <w:sz w:val="24"/>
          <w:szCs w:val="24"/>
        </w:rPr>
      </w:pPr>
    </w:p>
    <w:p w:rsidR="0086157B" w:rsidRPr="00F35C77" w:rsidRDefault="0086157B" w:rsidP="00F35C77">
      <w:pPr>
        <w:contextualSpacing/>
        <w:rPr>
          <w:sz w:val="24"/>
          <w:szCs w:val="24"/>
        </w:rPr>
      </w:pPr>
      <w:proofErr w:type="gramStart"/>
      <w:r w:rsidRPr="00F35C77">
        <w:rPr>
          <w:sz w:val="24"/>
          <w:szCs w:val="24"/>
        </w:rPr>
        <w:t>Holley RA and Patel D. 2005.</w:t>
      </w:r>
      <w:proofErr w:type="gramEnd"/>
      <w:r w:rsidRPr="00F35C77">
        <w:rPr>
          <w:sz w:val="24"/>
          <w:szCs w:val="24"/>
        </w:rPr>
        <w:t xml:space="preserve"> </w:t>
      </w:r>
      <w:proofErr w:type="gramStart"/>
      <w:r w:rsidRPr="00F35C77">
        <w:rPr>
          <w:sz w:val="24"/>
          <w:szCs w:val="24"/>
        </w:rPr>
        <w:t xml:space="preserve">Improvement in shelf-life and safety of perishable foods by plant </w:t>
      </w:r>
      <w:r w:rsidR="00F35C77">
        <w:rPr>
          <w:sz w:val="24"/>
          <w:szCs w:val="24"/>
        </w:rPr>
        <w:tab/>
      </w:r>
      <w:r w:rsidRPr="00F35C77">
        <w:rPr>
          <w:sz w:val="24"/>
          <w:szCs w:val="24"/>
        </w:rPr>
        <w:t>essential oils and smoke antimicrobials.</w:t>
      </w:r>
      <w:proofErr w:type="gramEnd"/>
      <w:r w:rsidRPr="00F35C77">
        <w:rPr>
          <w:sz w:val="24"/>
          <w:szCs w:val="24"/>
        </w:rPr>
        <w:t xml:space="preserve"> Food Microbiol 22(4):273-292.</w:t>
      </w:r>
    </w:p>
    <w:p w:rsidR="00F35C77" w:rsidRDefault="00F35C77" w:rsidP="0086157B">
      <w:pPr>
        <w:contextualSpacing/>
        <w:rPr>
          <w:sz w:val="24"/>
          <w:szCs w:val="24"/>
        </w:rPr>
      </w:pPr>
    </w:p>
    <w:p w:rsidR="0086157B" w:rsidRPr="00F35C77" w:rsidRDefault="0086157B" w:rsidP="0086157B">
      <w:pPr>
        <w:contextualSpacing/>
        <w:rPr>
          <w:sz w:val="24"/>
          <w:szCs w:val="24"/>
        </w:rPr>
      </w:pPr>
      <w:r w:rsidRPr="00F35C77">
        <w:rPr>
          <w:sz w:val="24"/>
          <w:szCs w:val="24"/>
        </w:rPr>
        <w:t xml:space="preserve">Hyldgaard M, Mygind T, Meyer RL. 2012. Essential oils in food preservation: mode of action, </w:t>
      </w:r>
      <w:r w:rsidR="00F35C77">
        <w:rPr>
          <w:sz w:val="24"/>
          <w:szCs w:val="24"/>
        </w:rPr>
        <w:tab/>
      </w:r>
      <w:r w:rsidRPr="00F35C77">
        <w:rPr>
          <w:sz w:val="24"/>
          <w:szCs w:val="24"/>
        </w:rPr>
        <w:t xml:space="preserve">synergies, and interactions with food matrix components. Front Microbiol 3.  </w:t>
      </w:r>
      <w:proofErr w:type="gramStart"/>
      <w:r w:rsidRPr="00F35C77">
        <w:rPr>
          <w:sz w:val="24"/>
          <w:szCs w:val="24"/>
        </w:rPr>
        <w:t>doi</w:t>
      </w:r>
      <w:proofErr w:type="gramEnd"/>
      <w:r w:rsidRPr="00F35C77">
        <w:rPr>
          <w:sz w:val="24"/>
          <w:szCs w:val="24"/>
        </w:rPr>
        <w:t xml:space="preserve">: </w:t>
      </w:r>
      <w:r w:rsidR="00F35C77">
        <w:rPr>
          <w:sz w:val="24"/>
          <w:szCs w:val="24"/>
        </w:rPr>
        <w:tab/>
      </w:r>
      <w:r w:rsidRPr="00F35C77">
        <w:rPr>
          <w:sz w:val="24"/>
          <w:szCs w:val="24"/>
        </w:rPr>
        <w:t>10.3389/fmicb.2012.00012</w:t>
      </w:r>
    </w:p>
    <w:p w:rsidR="00F35C77" w:rsidRDefault="00F35C77" w:rsidP="0086157B">
      <w:pPr>
        <w:contextualSpacing/>
        <w:rPr>
          <w:sz w:val="24"/>
          <w:szCs w:val="24"/>
        </w:rPr>
      </w:pPr>
    </w:p>
    <w:p w:rsidR="0086157B" w:rsidRDefault="0086157B" w:rsidP="0086157B">
      <w:pPr>
        <w:contextualSpacing/>
        <w:rPr>
          <w:sz w:val="24"/>
          <w:szCs w:val="24"/>
        </w:rPr>
      </w:pPr>
      <w:r w:rsidRPr="00F35C77">
        <w:rPr>
          <w:sz w:val="24"/>
          <w:szCs w:val="24"/>
        </w:rPr>
        <w:t xml:space="preserve">Kawakishi S, Kaneko T. 1987. </w:t>
      </w:r>
      <w:proofErr w:type="gramStart"/>
      <w:r w:rsidRPr="00F35C77">
        <w:rPr>
          <w:sz w:val="24"/>
          <w:szCs w:val="24"/>
        </w:rPr>
        <w:t>Interaction of proteins with allyl isothiocyanate.</w:t>
      </w:r>
      <w:proofErr w:type="gramEnd"/>
      <w:r w:rsidRPr="00F35C77">
        <w:rPr>
          <w:sz w:val="24"/>
          <w:szCs w:val="24"/>
        </w:rPr>
        <w:t xml:space="preserve"> J Agr Food Chem</w:t>
      </w:r>
      <w:r w:rsidR="00F35C77">
        <w:rPr>
          <w:sz w:val="24"/>
          <w:szCs w:val="24"/>
        </w:rPr>
        <w:tab/>
      </w:r>
      <w:r w:rsidR="00F35C77">
        <w:rPr>
          <w:sz w:val="24"/>
          <w:szCs w:val="24"/>
        </w:rPr>
        <w:tab/>
      </w:r>
      <w:r w:rsidRPr="00F35C77">
        <w:rPr>
          <w:sz w:val="24"/>
          <w:szCs w:val="24"/>
        </w:rPr>
        <w:t xml:space="preserve"> 35(1):85-88. </w:t>
      </w:r>
    </w:p>
    <w:p w:rsidR="00F35C77" w:rsidRPr="00F35C77" w:rsidRDefault="00F35C77" w:rsidP="0086157B">
      <w:pPr>
        <w:contextualSpacing/>
        <w:rPr>
          <w:sz w:val="24"/>
          <w:szCs w:val="24"/>
        </w:rPr>
      </w:pPr>
    </w:p>
    <w:p w:rsidR="0086157B" w:rsidRPr="00F35C77" w:rsidRDefault="0086157B" w:rsidP="0086157B">
      <w:pPr>
        <w:contextualSpacing/>
        <w:rPr>
          <w:sz w:val="24"/>
          <w:szCs w:val="24"/>
        </w:rPr>
      </w:pPr>
      <w:proofErr w:type="gramStart"/>
      <w:r w:rsidRPr="00F35C77">
        <w:rPr>
          <w:sz w:val="24"/>
          <w:szCs w:val="24"/>
        </w:rPr>
        <w:t>Ko</w:t>
      </w:r>
      <w:proofErr w:type="gramEnd"/>
      <w:r w:rsidRPr="00F35C77">
        <w:rPr>
          <w:sz w:val="24"/>
          <w:szCs w:val="24"/>
        </w:rPr>
        <w:t xml:space="preserve"> JA, Kim WY, Park HJ. 2012. Effects of microencapsulated allyl isothiocyanate (AITC) on </w:t>
      </w:r>
    </w:p>
    <w:p w:rsidR="0086157B" w:rsidRDefault="0086157B" w:rsidP="0086157B">
      <w:pPr>
        <w:contextualSpacing/>
        <w:rPr>
          <w:sz w:val="24"/>
          <w:szCs w:val="24"/>
        </w:rPr>
      </w:pPr>
      <w:r w:rsidRPr="00F35C77">
        <w:rPr>
          <w:sz w:val="24"/>
          <w:szCs w:val="24"/>
        </w:rPr>
        <w:tab/>
      </w:r>
      <w:proofErr w:type="gramStart"/>
      <w:r w:rsidRPr="00F35C77">
        <w:rPr>
          <w:sz w:val="24"/>
          <w:szCs w:val="24"/>
        </w:rPr>
        <w:t>the</w:t>
      </w:r>
      <w:proofErr w:type="gramEnd"/>
      <w:r w:rsidRPr="00F35C77">
        <w:rPr>
          <w:sz w:val="24"/>
          <w:szCs w:val="24"/>
        </w:rPr>
        <w:t xml:space="preserve"> extension of the shelf-life of kimchi. Int J Food Microbiol 153(1–2):92-98.</w:t>
      </w:r>
    </w:p>
    <w:p w:rsidR="00F35C77" w:rsidRPr="00F35C77" w:rsidRDefault="00F35C77" w:rsidP="0086157B">
      <w:pPr>
        <w:contextualSpacing/>
        <w:rPr>
          <w:sz w:val="24"/>
          <w:szCs w:val="24"/>
        </w:rPr>
      </w:pPr>
    </w:p>
    <w:p w:rsidR="0086157B" w:rsidRPr="00F35C77" w:rsidRDefault="0086157B" w:rsidP="0086157B">
      <w:pPr>
        <w:contextualSpacing/>
        <w:rPr>
          <w:sz w:val="24"/>
          <w:szCs w:val="24"/>
        </w:rPr>
      </w:pPr>
      <w:proofErr w:type="gramStart"/>
      <w:r w:rsidRPr="00F35C77">
        <w:rPr>
          <w:sz w:val="24"/>
          <w:szCs w:val="24"/>
        </w:rPr>
        <w:t>Kurtzman CP, Rogers R, Hesseltine CW. 1971.</w:t>
      </w:r>
      <w:proofErr w:type="gramEnd"/>
      <w:r w:rsidRPr="00F35C77">
        <w:rPr>
          <w:sz w:val="24"/>
          <w:szCs w:val="24"/>
        </w:rPr>
        <w:t xml:space="preserve"> Microbiological spoilage of mayonnaise and </w:t>
      </w:r>
    </w:p>
    <w:p w:rsidR="0086157B" w:rsidRDefault="0086157B" w:rsidP="0086157B">
      <w:pPr>
        <w:contextualSpacing/>
        <w:rPr>
          <w:sz w:val="24"/>
          <w:szCs w:val="24"/>
        </w:rPr>
      </w:pPr>
      <w:r w:rsidRPr="00F35C77">
        <w:rPr>
          <w:sz w:val="24"/>
          <w:szCs w:val="24"/>
        </w:rPr>
        <w:tab/>
      </w:r>
      <w:proofErr w:type="gramStart"/>
      <w:r w:rsidRPr="00F35C77">
        <w:rPr>
          <w:sz w:val="24"/>
          <w:szCs w:val="24"/>
        </w:rPr>
        <w:t>salad</w:t>
      </w:r>
      <w:proofErr w:type="gramEnd"/>
      <w:r w:rsidRPr="00F35C77">
        <w:rPr>
          <w:sz w:val="24"/>
          <w:szCs w:val="24"/>
        </w:rPr>
        <w:t xml:space="preserve"> dressings. Appl Mircobiol 21(5):870-874.</w:t>
      </w:r>
    </w:p>
    <w:p w:rsidR="00F35C77" w:rsidRPr="00F35C77" w:rsidRDefault="00F35C77" w:rsidP="0086157B">
      <w:pPr>
        <w:contextualSpacing/>
        <w:rPr>
          <w:sz w:val="24"/>
          <w:szCs w:val="24"/>
        </w:rPr>
      </w:pPr>
    </w:p>
    <w:p w:rsidR="0086157B" w:rsidRPr="00F35C77" w:rsidRDefault="0086157B" w:rsidP="0086157B">
      <w:pPr>
        <w:contextualSpacing/>
        <w:rPr>
          <w:sz w:val="24"/>
          <w:szCs w:val="24"/>
        </w:rPr>
      </w:pPr>
      <w:proofErr w:type="gramStart"/>
      <w:r w:rsidRPr="00F35C77">
        <w:rPr>
          <w:sz w:val="24"/>
          <w:szCs w:val="24"/>
        </w:rPr>
        <w:t>Kyung KH and Fleming HP. 1997.</w:t>
      </w:r>
      <w:proofErr w:type="gramEnd"/>
      <w:r w:rsidRPr="00F35C77">
        <w:rPr>
          <w:sz w:val="24"/>
          <w:szCs w:val="24"/>
        </w:rPr>
        <w:t xml:space="preserve"> Antimicrobial activity of sulfur compounds derived from </w:t>
      </w:r>
    </w:p>
    <w:p w:rsidR="0086157B" w:rsidRDefault="0086157B" w:rsidP="0086157B">
      <w:pPr>
        <w:contextualSpacing/>
        <w:rPr>
          <w:sz w:val="24"/>
          <w:szCs w:val="24"/>
        </w:rPr>
      </w:pPr>
      <w:r w:rsidRPr="00F35C77">
        <w:rPr>
          <w:sz w:val="24"/>
          <w:szCs w:val="24"/>
        </w:rPr>
        <w:tab/>
      </w:r>
      <w:proofErr w:type="gramStart"/>
      <w:r w:rsidRPr="00F35C77">
        <w:rPr>
          <w:sz w:val="24"/>
          <w:szCs w:val="24"/>
        </w:rPr>
        <w:t>cabbage</w:t>
      </w:r>
      <w:proofErr w:type="gramEnd"/>
      <w:r w:rsidRPr="00F35C77">
        <w:rPr>
          <w:sz w:val="24"/>
          <w:szCs w:val="24"/>
        </w:rPr>
        <w:t>. J Food Protect 60(1):67-71.</w:t>
      </w:r>
    </w:p>
    <w:p w:rsidR="00A20B9C" w:rsidRDefault="00A20B9C" w:rsidP="0086157B">
      <w:pPr>
        <w:contextualSpacing/>
        <w:rPr>
          <w:sz w:val="24"/>
          <w:szCs w:val="24"/>
        </w:rPr>
      </w:pPr>
    </w:p>
    <w:p w:rsidR="00A20B9C" w:rsidRDefault="00A20B9C" w:rsidP="0086157B">
      <w:pPr>
        <w:contextualSpacing/>
        <w:rPr>
          <w:sz w:val="24"/>
          <w:szCs w:val="24"/>
        </w:rPr>
      </w:pPr>
      <w:proofErr w:type="gramStart"/>
      <w:r>
        <w:rPr>
          <w:sz w:val="24"/>
          <w:szCs w:val="24"/>
        </w:rPr>
        <w:t>Lambert RJW, Skandamis PN, Coote PJ, Nychas G-JE.</w:t>
      </w:r>
      <w:proofErr w:type="gramEnd"/>
      <w:r>
        <w:rPr>
          <w:sz w:val="24"/>
          <w:szCs w:val="24"/>
        </w:rPr>
        <w:t xml:space="preserve"> 2001. A study of the minimum inhibitory</w:t>
      </w:r>
      <w:r>
        <w:rPr>
          <w:sz w:val="24"/>
          <w:szCs w:val="24"/>
        </w:rPr>
        <w:tab/>
      </w:r>
      <w:r>
        <w:rPr>
          <w:sz w:val="24"/>
          <w:szCs w:val="24"/>
        </w:rPr>
        <w:tab/>
        <w:t>concentration and mode of action of oregano essential oil, thymol and carvacrol. J Appl</w:t>
      </w:r>
      <w:r>
        <w:rPr>
          <w:sz w:val="24"/>
          <w:szCs w:val="24"/>
        </w:rPr>
        <w:tab/>
      </w:r>
      <w:r>
        <w:rPr>
          <w:sz w:val="24"/>
          <w:szCs w:val="24"/>
        </w:rPr>
        <w:tab/>
        <w:t>Microbiol 91:453-462.</w:t>
      </w:r>
    </w:p>
    <w:p w:rsidR="00F35C77" w:rsidRPr="00F35C77" w:rsidRDefault="00F35C77" w:rsidP="0086157B">
      <w:pPr>
        <w:contextualSpacing/>
        <w:rPr>
          <w:sz w:val="24"/>
          <w:szCs w:val="24"/>
        </w:rPr>
      </w:pPr>
    </w:p>
    <w:p w:rsidR="0086157B" w:rsidRPr="00F35C77" w:rsidRDefault="0086157B" w:rsidP="0086157B">
      <w:pPr>
        <w:contextualSpacing/>
        <w:rPr>
          <w:sz w:val="24"/>
          <w:szCs w:val="24"/>
        </w:rPr>
      </w:pPr>
      <w:proofErr w:type="gramStart"/>
      <w:r w:rsidRPr="00F35C77">
        <w:rPr>
          <w:sz w:val="24"/>
          <w:szCs w:val="24"/>
        </w:rPr>
        <w:t>Lin C-M, Preston JF, Wei C-I.</w:t>
      </w:r>
      <w:proofErr w:type="gramEnd"/>
      <w:r w:rsidRPr="00F35C77">
        <w:rPr>
          <w:sz w:val="24"/>
          <w:szCs w:val="24"/>
        </w:rPr>
        <w:t xml:space="preserve"> 2000. Antibacterial mechanism of allyl isothiocyanate. J Food </w:t>
      </w:r>
    </w:p>
    <w:p w:rsidR="0086157B" w:rsidRDefault="0086157B" w:rsidP="0086157B">
      <w:pPr>
        <w:contextualSpacing/>
        <w:rPr>
          <w:sz w:val="24"/>
          <w:szCs w:val="24"/>
        </w:rPr>
      </w:pPr>
      <w:r w:rsidRPr="00F35C77">
        <w:rPr>
          <w:sz w:val="24"/>
          <w:szCs w:val="24"/>
        </w:rPr>
        <w:tab/>
        <w:t>Protect 63(6):727-734.</w:t>
      </w:r>
    </w:p>
    <w:p w:rsidR="009373F0" w:rsidRDefault="009373F0" w:rsidP="0086157B">
      <w:pPr>
        <w:contextualSpacing/>
        <w:rPr>
          <w:sz w:val="24"/>
          <w:szCs w:val="24"/>
        </w:rPr>
      </w:pPr>
    </w:p>
    <w:p w:rsidR="009373F0" w:rsidRDefault="009373F0" w:rsidP="0086157B">
      <w:pPr>
        <w:rPr>
          <w:sz w:val="24"/>
          <w:szCs w:val="24"/>
        </w:rPr>
      </w:pPr>
      <w:r w:rsidRPr="003A6CE1">
        <w:rPr>
          <w:sz w:val="24"/>
          <w:szCs w:val="24"/>
        </w:rPr>
        <w:t xml:space="preserve">Lin J, Hunkapiller AA, Layton AC, Chang Y-J, Robbins KR. Response of intestinal microbiota to </w:t>
      </w:r>
      <w:r>
        <w:rPr>
          <w:sz w:val="24"/>
          <w:szCs w:val="24"/>
        </w:rPr>
        <w:tab/>
      </w:r>
      <w:r w:rsidRPr="003A6CE1">
        <w:rPr>
          <w:sz w:val="24"/>
          <w:szCs w:val="24"/>
        </w:rPr>
        <w:t>antibiotic growth promoters in chickens. Foodborne Pathog Dis 10(4):331-337.</w:t>
      </w:r>
      <w:r>
        <w:rPr>
          <w:sz w:val="24"/>
          <w:szCs w:val="24"/>
        </w:rPr>
        <w:tab/>
      </w:r>
      <w:r>
        <w:rPr>
          <w:sz w:val="24"/>
          <w:szCs w:val="24"/>
        </w:rPr>
        <w:tab/>
      </w:r>
      <w:r>
        <w:rPr>
          <w:sz w:val="24"/>
          <w:szCs w:val="24"/>
        </w:rPr>
        <w:tab/>
      </w:r>
      <w:r w:rsidRPr="003A6CE1">
        <w:rPr>
          <w:sz w:val="24"/>
          <w:szCs w:val="24"/>
        </w:rPr>
        <w:t xml:space="preserve"> </w:t>
      </w:r>
      <w:r w:rsidRPr="003A6CE1">
        <w:rPr>
          <w:rFonts w:eastAsia="Times New Roman" w:cs="Times New Roman"/>
          <w:sz w:val="24"/>
          <w:szCs w:val="24"/>
        </w:rPr>
        <w:t>doi:10.1089/fpd.2012.1348.</w:t>
      </w:r>
    </w:p>
    <w:p w:rsidR="00F35C77" w:rsidRPr="00F35C77" w:rsidRDefault="00F35C77" w:rsidP="0086157B">
      <w:pPr>
        <w:contextualSpacing/>
        <w:rPr>
          <w:sz w:val="24"/>
          <w:szCs w:val="24"/>
        </w:rPr>
      </w:pPr>
    </w:p>
    <w:p w:rsidR="0086157B" w:rsidRPr="00F35C77" w:rsidRDefault="0086157B" w:rsidP="0086157B">
      <w:pPr>
        <w:contextualSpacing/>
        <w:rPr>
          <w:sz w:val="24"/>
          <w:szCs w:val="24"/>
        </w:rPr>
      </w:pPr>
      <w:proofErr w:type="gramStart"/>
      <w:r w:rsidRPr="00F35C77">
        <w:rPr>
          <w:sz w:val="24"/>
          <w:szCs w:val="24"/>
        </w:rPr>
        <w:t>Luciano FB and Holley RA.</w:t>
      </w:r>
      <w:proofErr w:type="gramEnd"/>
      <w:r w:rsidRPr="00F35C77">
        <w:rPr>
          <w:sz w:val="24"/>
          <w:szCs w:val="24"/>
        </w:rPr>
        <w:t xml:space="preserve"> 2009. Enzymatic inhibition by allyl isothiocyanate and factors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affecting</w:t>
      </w:r>
      <w:proofErr w:type="gramEnd"/>
      <w:r w:rsidRPr="00F35C77">
        <w:rPr>
          <w:sz w:val="24"/>
          <w:szCs w:val="24"/>
        </w:rPr>
        <w:t xml:space="preserve"> its antimicrobial action against </w:t>
      </w:r>
      <w:r w:rsidRPr="001223A3">
        <w:rPr>
          <w:i/>
          <w:sz w:val="24"/>
          <w:szCs w:val="24"/>
        </w:rPr>
        <w:t>Escherichia coli</w:t>
      </w:r>
      <w:r w:rsidRPr="00F35C77">
        <w:rPr>
          <w:sz w:val="24"/>
          <w:szCs w:val="24"/>
        </w:rPr>
        <w:t xml:space="preserve"> O157:H7. Int J Food Microbiol </w:t>
      </w:r>
    </w:p>
    <w:p w:rsidR="0086157B" w:rsidRDefault="0086157B" w:rsidP="0086157B">
      <w:pPr>
        <w:contextualSpacing/>
        <w:rPr>
          <w:sz w:val="24"/>
          <w:szCs w:val="24"/>
        </w:rPr>
      </w:pPr>
      <w:r w:rsidRPr="00F35C77">
        <w:rPr>
          <w:sz w:val="24"/>
          <w:szCs w:val="24"/>
        </w:rPr>
        <w:tab/>
        <w:t>131(2–3):240-245.</w:t>
      </w:r>
    </w:p>
    <w:p w:rsidR="00F35C77" w:rsidRPr="00F35C77" w:rsidRDefault="00F35C77" w:rsidP="0086157B">
      <w:pPr>
        <w:contextualSpacing/>
        <w:rPr>
          <w:sz w:val="24"/>
          <w:szCs w:val="24"/>
        </w:rPr>
      </w:pPr>
    </w:p>
    <w:p w:rsidR="0086157B" w:rsidRPr="00F35C77" w:rsidRDefault="0086157B" w:rsidP="0086157B">
      <w:pPr>
        <w:contextualSpacing/>
        <w:rPr>
          <w:sz w:val="24"/>
          <w:szCs w:val="24"/>
        </w:rPr>
      </w:pPr>
      <w:r w:rsidRPr="00F35C77">
        <w:rPr>
          <w:sz w:val="24"/>
          <w:szCs w:val="24"/>
        </w:rPr>
        <w:t xml:space="preserve">Matan N, Rimkeeree H, Mawson AJ, Chompreeda P, Haruthaithanasan V, Parker M. 2006. </w:t>
      </w:r>
    </w:p>
    <w:p w:rsidR="0086157B" w:rsidRDefault="0086157B" w:rsidP="0086157B">
      <w:pPr>
        <w:contextualSpacing/>
        <w:rPr>
          <w:sz w:val="24"/>
          <w:szCs w:val="24"/>
        </w:rPr>
      </w:pPr>
      <w:r w:rsidRPr="00F35C77">
        <w:rPr>
          <w:sz w:val="24"/>
          <w:szCs w:val="24"/>
        </w:rPr>
        <w:tab/>
      </w:r>
      <w:proofErr w:type="gramStart"/>
      <w:r w:rsidRPr="00F35C77">
        <w:rPr>
          <w:sz w:val="24"/>
          <w:szCs w:val="24"/>
        </w:rPr>
        <w:t xml:space="preserve">Antimicrobial activity of cinnamon and clove oils under modified atmosphere </w:t>
      </w:r>
      <w:r w:rsidR="00F35C77">
        <w:rPr>
          <w:sz w:val="24"/>
          <w:szCs w:val="24"/>
        </w:rPr>
        <w:tab/>
      </w:r>
      <w:r w:rsidRPr="00F35C77">
        <w:rPr>
          <w:sz w:val="24"/>
          <w:szCs w:val="24"/>
        </w:rPr>
        <w:t>conditions.</w:t>
      </w:r>
      <w:proofErr w:type="gramEnd"/>
      <w:r w:rsidR="00F35C77">
        <w:rPr>
          <w:sz w:val="24"/>
          <w:szCs w:val="24"/>
        </w:rPr>
        <w:t xml:space="preserve"> </w:t>
      </w:r>
      <w:r w:rsidRPr="00F35C77">
        <w:rPr>
          <w:sz w:val="24"/>
          <w:szCs w:val="24"/>
        </w:rPr>
        <w:t xml:space="preserve">Int J Food Microbiol 107:180-185. </w:t>
      </w:r>
      <w:proofErr w:type="gramStart"/>
      <w:r w:rsidRPr="00F35C77">
        <w:rPr>
          <w:sz w:val="24"/>
          <w:szCs w:val="24"/>
        </w:rPr>
        <w:t>doi</w:t>
      </w:r>
      <w:proofErr w:type="gramEnd"/>
      <w:r w:rsidRPr="00F35C77">
        <w:rPr>
          <w:sz w:val="24"/>
          <w:szCs w:val="24"/>
        </w:rPr>
        <w:t>: 10.1016/j.ijfoodmicro.2005.07.007</w:t>
      </w:r>
    </w:p>
    <w:p w:rsidR="00F35C77" w:rsidRPr="00F35C77" w:rsidRDefault="00F35C77" w:rsidP="0086157B">
      <w:pPr>
        <w:contextualSpacing/>
        <w:rPr>
          <w:sz w:val="24"/>
          <w:szCs w:val="24"/>
        </w:rPr>
      </w:pPr>
    </w:p>
    <w:p w:rsidR="0086157B" w:rsidRDefault="0086157B" w:rsidP="00F35C77">
      <w:pPr>
        <w:contextualSpacing/>
        <w:rPr>
          <w:sz w:val="24"/>
          <w:szCs w:val="24"/>
        </w:rPr>
      </w:pPr>
      <w:r w:rsidRPr="00F35C77">
        <w:rPr>
          <w:sz w:val="24"/>
          <w:szCs w:val="24"/>
        </w:rPr>
        <w:t xml:space="preserve">Moleyar V and Narasimham P. 1992. </w:t>
      </w:r>
      <w:proofErr w:type="gramStart"/>
      <w:r w:rsidRPr="00F35C77">
        <w:rPr>
          <w:sz w:val="24"/>
          <w:szCs w:val="24"/>
        </w:rPr>
        <w:t>Antibacterial activity of essential oil components.</w:t>
      </w:r>
      <w:proofErr w:type="gramEnd"/>
      <w:r w:rsidRPr="00F35C77">
        <w:rPr>
          <w:sz w:val="24"/>
          <w:szCs w:val="24"/>
        </w:rPr>
        <w:t xml:space="preserve"> Int J</w:t>
      </w:r>
      <w:r w:rsidR="00F35C77">
        <w:rPr>
          <w:sz w:val="24"/>
          <w:szCs w:val="24"/>
        </w:rPr>
        <w:tab/>
      </w:r>
      <w:r w:rsidR="00F35C77">
        <w:rPr>
          <w:sz w:val="24"/>
          <w:szCs w:val="24"/>
        </w:rPr>
        <w:tab/>
      </w:r>
      <w:r w:rsidRPr="00F35C77">
        <w:rPr>
          <w:sz w:val="24"/>
          <w:szCs w:val="24"/>
        </w:rPr>
        <w:t>Food Microbiol 16:337-342.</w:t>
      </w:r>
    </w:p>
    <w:p w:rsidR="007535B6" w:rsidRPr="00F35C77" w:rsidRDefault="007535B6" w:rsidP="00F35C77">
      <w:pPr>
        <w:contextualSpacing/>
        <w:rPr>
          <w:sz w:val="24"/>
          <w:szCs w:val="24"/>
        </w:rPr>
      </w:pPr>
    </w:p>
    <w:p w:rsidR="0086157B" w:rsidRPr="001223A3" w:rsidRDefault="0086157B" w:rsidP="0086157B">
      <w:pPr>
        <w:contextualSpacing/>
        <w:rPr>
          <w:i/>
          <w:sz w:val="24"/>
          <w:szCs w:val="24"/>
        </w:rPr>
      </w:pPr>
      <w:r w:rsidRPr="00F35C77">
        <w:rPr>
          <w:sz w:val="24"/>
          <w:szCs w:val="24"/>
        </w:rPr>
        <w:t xml:space="preserve">Nes IF and SkjelkvÅle R. 1982. Effect of natural spices and oleoresins on </w:t>
      </w:r>
      <w:r w:rsidRPr="001223A3">
        <w:rPr>
          <w:i/>
          <w:sz w:val="24"/>
          <w:szCs w:val="24"/>
        </w:rPr>
        <w:t xml:space="preserve">Lactobacillus </w:t>
      </w:r>
    </w:p>
    <w:p w:rsidR="0086157B" w:rsidRDefault="0086157B" w:rsidP="0086157B">
      <w:pPr>
        <w:contextualSpacing/>
        <w:rPr>
          <w:sz w:val="24"/>
          <w:szCs w:val="24"/>
        </w:rPr>
      </w:pPr>
      <w:r w:rsidRPr="001223A3">
        <w:rPr>
          <w:i/>
          <w:sz w:val="24"/>
          <w:szCs w:val="24"/>
        </w:rPr>
        <w:tab/>
      </w:r>
      <w:proofErr w:type="gramStart"/>
      <w:r w:rsidRPr="001223A3">
        <w:rPr>
          <w:i/>
          <w:sz w:val="24"/>
          <w:szCs w:val="24"/>
        </w:rPr>
        <w:t>plantarum</w:t>
      </w:r>
      <w:proofErr w:type="gramEnd"/>
      <w:r w:rsidRPr="00F35C77">
        <w:rPr>
          <w:sz w:val="24"/>
          <w:szCs w:val="24"/>
        </w:rPr>
        <w:t xml:space="preserve"> in the fermentation of dry sausage. J Food Sci 47(5):1618-1621. </w:t>
      </w:r>
      <w:proofErr w:type="gramStart"/>
      <w:r w:rsidRPr="00F35C77">
        <w:rPr>
          <w:sz w:val="24"/>
          <w:szCs w:val="24"/>
        </w:rPr>
        <w:t>doi</w:t>
      </w:r>
      <w:proofErr w:type="gramEnd"/>
      <w:r w:rsidRPr="00F35C77">
        <w:rPr>
          <w:sz w:val="24"/>
          <w:szCs w:val="24"/>
        </w:rPr>
        <w:t xml:space="preserve">: </w:t>
      </w:r>
      <w:r w:rsidRPr="00F35C77">
        <w:rPr>
          <w:sz w:val="24"/>
          <w:szCs w:val="24"/>
        </w:rPr>
        <w:tab/>
        <w:t>10.1111/j.1365-2621.1982.tb04996.x</w:t>
      </w:r>
    </w:p>
    <w:p w:rsidR="007535B6" w:rsidRPr="00F35C77" w:rsidRDefault="007535B6" w:rsidP="0086157B">
      <w:pPr>
        <w:contextualSpacing/>
        <w:rPr>
          <w:sz w:val="24"/>
          <w:szCs w:val="24"/>
        </w:rPr>
      </w:pPr>
    </w:p>
    <w:p w:rsidR="0086157B" w:rsidRPr="00F35C77" w:rsidRDefault="0086157B" w:rsidP="0086157B">
      <w:pPr>
        <w:contextualSpacing/>
        <w:rPr>
          <w:sz w:val="24"/>
          <w:szCs w:val="24"/>
        </w:rPr>
      </w:pPr>
      <w:r w:rsidRPr="00F35C77">
        <w:rPr>
          <w:sz w:val="24"/>
          <w:szCs w:val="24"/>
        </w:rPr>
        <w:t xml:space="preserve">Nikaido H. 1994. Prevention of drug access to bacterial targets: Permeability barriers and active </w:t>
      </w:r>
    </w:p>
    <w:p w:rsidR="0086157B" w:rsidRDefault="0086157B" w:rsidP="0086157B">
      <w:pPr>
        <w:contextualSpacing/>
        <w:rPr>
          <w:sz w:val="24"/>
          <w:szCs w:val="24"/>
        </w:rPr>
      </w:pPr>
      <w:r w:rsidRPr="00F35C77">
        <w:rPr>
          <w:sz w:val="24"/>
          <w:szCs w:val="24"/>
        </w:rPr>
        <w:tab/>
      </w:r>
      <w:proofErr w:type="gramStart"/>
      <w:r w:rsidRPr="00F35C77">
        <w:rPr>
          <w:sz w:val="24"/>
          <w:szCs w:val="24"/>
        </w:rPr>
        <w:t>efflux</w:t>
      </w:r>
      <w:proofErr w:type="gramEnd"/>
      <w:r w:rsidRPr="00F35C77">
        <w:rPr>
          <w:sz w:val="24"/>
          <w:szCs w:val="24"/>
        </w:rPr>
        <w:t>. Science 264:382-388</w:t>
      </w:r>
    </w:p>
    <w:p w:rsidR="00A20B9C" w:rsidRDefault="00A20B9C" w:rsidP="0086157B">
      <w:pPr>
        <w:contextualSpacing/>
        <w:rPr>
          <w:sz w:val="24"/>
          <w:szCs w:val="24"/>
        </w:rPr>
      </w:pPr>
    </w:p>
    <w:p w:rsidR="002C1E5F" w:rsidRDefault="002C1E5F" w:rsidP="0086157B">
      <w:pPr>
        <w:contextualSpacing/>
        <w:rPr>
          <w:sz w:val="24"/>
          <w:szCs w:val="24"/>
        </w:rPr>
      </w:pPr>
      <w:r>
        <w:rPr>
          <w:sz w:val="24"/>
          <w:szCs w:val="24"/>
        </w:rPr>
        <w:t xml:space="preserve">Ouattara B, Simard RE, Holley RA, Piette GJ-P, </w:t>
      </w:r>
      <w:r w:rsidRPr="002C1E5F">
        <w:rPr>
          <w:sz w:val="24"/>
          <w:szCs w:val="24"/>
        </w:rPr>
        <w:t>Bégin A.</w:t>
      </w:r>
      <w:r>
        <w:rPr>
          <w:sz w:val="24"/>
          <w:szCs w:val="24"/>
        </w:rPr>
        <w:t xml:space="preserve"> 1997. </w:t>
      </w:r>
      <w:proofErr w:type="gramStart"/>
      <w:r>
        <w:rPr>
          <w:sz w:val="24"/>
          <w:szCs w:val="24"/>
        </w:rPr>
        <w:t xml:space="preserve">Antibacterial activity of selected </w:t>
      </w:r>
      <w:r>
        <w:rPr>
          <w:sz w:val="24"/>
          <w:szCs w:val="24"/>
        </w:rPr>
        <w:tab/>
      </w:r>
      <w:r>
        <w:rPr>
          <w:sz w:val="24"/>
          <w:szCs w:val="24"/>
        </w:rPr>
        <w:tab/>
        <w:t>fatty acids and essential oils against six meat spoilage organisms.</w:t>
      </w:r>
      <w:proofErr w:type="gramEnd"/>
      <w:r>
        <w:rPr>
          <w:sz w:val="24"/>
          <w:szCs w:val="24"/>
        </w:rPr>
        <w:t xml:space="preserve"> </w:t>
      </w:r>
      <w:proofErr w:type="gramStart"/>
      <w:r>
        <w:rPr>
          <w:sz w:val="24"/>
          <w:szCs w:val="24"/>
        </w:rPr>
        <w:t xml:space="preserve">Int J Food Microbiol </w:t>
      </w:r>
      <w:r w:rsidR="00A20B9C">
        <w:rPr>
          <w:sz w:val="24"/>
          <w:szCs w:val="24"/>
        </w:rPr>
        <w:tab/>
      </w:r>
      <w:r>
        <w:rPr>
          <w:sz w:val="24"/>
          <w:szCs w:val="24"/>
        </w:rPr>
        <w:t>37:</w:t>
      </w:r>
      <w:r w:rsidR="00A20B9C">
        <w:rPr>
          <w:sz w:val="24"/>
          <w:szCs w:val="24"/>
        </w:rPr>
        <w:t>155-162.</w:t>
      </w:r>
      <w:proofErr w:type="gramEnd"/>
    </w:p>
    <w:p w:rsidR="00A20B9C" w:rsidRPr="00F35C77" w:rsidRDefault="00A20B9C" w:rsidP="0086157B">
      <w:pPr>
        <w:contextualSpacing/>
        <w:rPr>
          <w:sz w:val="24"/>
          <w:szCs w:val="24"/>
        </w:rPr>
      </w:pPr>
    </w:p>
    <w:p w:rsidR="0086157B" w:rsidRPr="00F35C77" w:rsidRDefault="0086157B" w:rsidP="0086157B">
      <w:pPr>
        <w:contextualSpacing/>
        <w:rPr>
          <w:sz w:val="24"/>
          <w:szCs w:val="24"/>
        </w:rPr>
      </w:pPr>
      <w:r w:rsidRPr="00F35C77">
        <w:rPr>
          <w:sz w:val="24"/>
          <w:szCs w:val="24"/>
        </w:rPr>
        <w:t xml:space="preserve">Ouwehand A, Tiihonen K, Kettunen H, Peuranen S, Schulze H, Rautonen N. 2010. In vitro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effects</w:t>
      </w:r>
      <w:proofErr w:type="gramEnd"/>
      <w:r w:rsidRPr="00F35C77">
        <w:rPr>
          <w:sz w:val="24"/>
          <w:szCs w:val="24"/>
        </w:rPr>
        <w:t xml:space="preserve"> of essential oils on potential pathogens and beneficial members of the normal</w:t>
      </w:r>
    </w:p>
    <w:p w:rsidR="0086157B" w:rsidRDefault="0086157B" w:rsidP="0086157B">
      <w:pPr>
        <w:contextualSpacing/>
        <w:rPr>
          <w:sz w:val="24"/>
          <w:szCs w:val="24"/>
        </w:rPr>
      </w:pPr>
      <w:r w:rsidRPr="00F35C77">
        <w:rPr>
          <w:sz w:val="24"/>
          <w:szCs w:val="24"/>
        </w:rPr>
        <w:t xml:space="preserve">            </w:t>
      </w:r>
      <w:proofErr w:type="gramStart"/>
      <w:r w:rsidRPr="00F35C77">
        <w:rPr>
          <w:sz w:val="24"/>
          <w:szCs w:val="24"/>
        </w:rPr>
        <w:t>microbiota</w:t>
      </w:r>
      <w:proofErr w:type="gramEnd"/>
      <w:r w:rsidRPr="00F35C77">
        <w:rPr>
          <w:sz w:val="24"/>
          <w:szCs w:val="24"/>
        </w:rPr>
        <w:t>. Vet Med-Czech 55(12):71-78.</w:t>
      </w:r>
    </w:p>
    <w:p w:rsidR="007535B6" w:rsidRPr="00F35C77" w:rsidRDefault="007535B6" w:rsidP="0086157B">
      <w:pPr>
        <w:contextualSpacing/>
        <w:rPr>
          <w:sz w:val="24"/>
          <w:szCs w:val="24"/>
        </w:rPr>
      </w:pPr>
    </w:p>
    <w:p w:rsidR="0086157B" w:rsidRPr="00F35C77" w:rsidRDefault="0086157B" w:rsidP="0086157B">
      <w:pPr>
        <w:contextualSpacing/>
        <w:rPr>
          <w:sz w:val="24"/>
          <w:szCs w:val="24"/>
        </w:rPr>
      </w:pPr>
      <w:r w:rsidRPr="00F35C77">
        <w:rPr>
          <w:sz w:val="24"/>
          <w:szCs w:val="24"/>
        </w:rPr>
        <w:t xml:space="preserve">Pei R-S, Zhou F, Ji B-P, Xu J. Evaluation of combined antibacterial effects of eugenol,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cinnamaldehyde</w:t>
      </w:r>
      <w:proofErr w:type="gramEnd"/>
      <w:r w:rsidRPr="00F35C77">
        <w:rPr>
          <w:sz w:val="24"/>
          <w:szCs w:val="24"/>
        </w:rPr>
        <w:t xml:space="preserve">, thymol, and carvacrol against </w:t>
      </w:r>
      <w:r w:rsidRPr="001223A3">
        <w:rPr>
          <w:i/>
          <w:sz w:val="24"/>
          <w:szCs w:val="24"/>
        </w:rPr>
        <w:t>E. coli</w:t>
      </w:r>
      <w:r w:rsidRPr="00F35C77">
        <w:rPr>
          <w:sz w:val="24"/>
          <w:szCs w:val="24"/>
        </w:rPr>
        <w:t xml:space="preserve"> with an improved method. 2009. J </w:t>
      </w:r>
    </w:p>
    <w:p w:rsidR="0086157B" w:rsidRDefault="0086157B" w:rsidP="0086157B">
      <w:pPr>
        <w:contextualSpacing/>
        <w:rPr>
          <w:sz w:val="24"/>
          <w:szCs w:val="24"/>
        </w:rPr>
      </w:pPr>
      <w:r w:rsidRPr="00F35C77">
        <w:rPr>
          <w:sz w:val="24"/>
          <w:szCs w:val="24"/>
        </w:rPr>
        <w:tab/>
        <w:t>Food Sci 74(7</w:t>
      </w:r>
      <w:proofErr w:type="gramStart"/>
      <w:r w:rsidRPr="00F35C77">
        <w:rPr>
          <w:sz w:val="24"/>
          <w:szCs w:val="24"/>
        </w:rPr>
        <w:t>)M379</w:t>
      </w:r>
      <w:proofErr w:type="gramEnd"/>
      <w:r w:rsidRPr="00F35C77">
        <w:rPr>
          <w:sz w:val="24"/>
          <w:szCs w:val="24"/>
        </w:rPr>
        <w:t xml:space="preserve">-M383. </w:t>
      </w:r>
      <w:proofErr w:type="gramStart"/>
      <w:r w:rsidRPr="00F35C77">
        <w:rPr>
          <w:sz w:val="24"/>
          <w:szCs w:val="24"/>
        </w:rPr>
        <w:t>doi</w:t>
      </w:r>
      <w:proofErr w:type="gramEnd"/>
      <w:r w:rsidRPr="00F35C77">
        <w:rPr>
          <w:sz w:val="24"/>
          <w:szCs w:val="24"/>
        </w:rPr>
        <w:t>: 10.1111/j.1750-3841.2009.01287.x</w:t>
      </w:r>
    </w:p>
    <w:p w:rsidR="007535B6" w:rsidRPr="00F35C77" w:rsidRDefault="007535B6" w:rsidP="0086157B">
      <w:pPr>
        <w:contextualSpacing/>
        <w:rPr>
          <w:sz w:val="24"/>
          <w:szCs w:val="24"/>
        </w:rPr>
      </w:pPr>
    </w:p>
    <w:p w:rsidR="0086157B" w:rsidRPr="00F35C77" w:rsidRDefault="0086157B" w:rsidP="0086157B">
      <w:pPr>
        <w:contextualSpacing/>
        <w:rPr>
          <w:sz w:val="24"/>
          <w:szCs w:val="24"/>
        </w:rPr>
      </w:pPr>
      <w:r w:rsidRPr="00F35C77">
        <w:rPr>
          <w:sz w:val="24"/>
          <w:szCs w:val="24"/>
        </w:rPr>
        <w:t>Pino AJ, Marbot R, Agüero J, Fuentes V. 2001. Essential oil from buds and leaves of clove</w:t>
      </w:r>
    </w:p>
    <w:p w:rsidR="0086157B" w:rsidRPr="00F35C77" w:rsidRDefault="0086157B" w:rsidP="0086157B">
      <w:pPr>
        <w:contextualSpacing/>
        <w:rPr>
          <w:sz w:val="24"/>
          <w:szCs w:val="24"/>
        </w:rPr>
      </w:pPr>
      <w:r w:rsidRPr="00F35C77">
        <w:rPr>
          <w:sz w:val="24"/>
          <w:szCs w:val="24"/>
        </w:rPr>
        <w:tab/>
        <w:t xml:space="preserve"> (</w:t>
      </w:r>
      <w:r w:rsidRPr="001223A3">
        <w:rPr>
          <w:i/>
          <w:sz w:val="24"/>
          <w:szCs w:val="24"/>
        </w:rPr>
        <w:t>Syzygium aromaticum</w:t>
      </w:r>
      <w:r w:rsidRPr="00F35C77">
        <w:rPr>
          <w:sz w:val="24"/>
          <w:szCs w:val="24"/>
        </w:rPr>
        <w:t xml:space="preserve"> (L.) meer. </w:t>
      </w:r>
      <w:proofErr w:type="gramStart"/>
      <w:r w:rsidRPr="00F35C77">
        <w:rPr>
          <w:sz w:val="24"/>
          <w:szCs w:val="24"/>
        </w:rPr>
        <w:t>et</w:t>
      </w:r>
      <w:proofErr w:type="gramEnd"/>
      <w:r w:rsidRPr="00F35C77">
        <w:rPr>
          <w:sz w:val="24"/>
          <w:szCs w:val="24"/>
        </w:rPr>
        <w:t xml:space="preserve"> perry) grown in Cuba. J Essent Oil Res 13:278-</w:t>
      </w:r>
    </w:p>
    <w:p w:rsidR="0086157B" w:rsidRDefault="0086157B" w:rsidP="0086157B">
      <w:pPr>
        <w:contextualSpacing/>
        <w:rPr>
          <w:sz w:val="24"/>
          <w:szCs w:val="24"/>
        </w:rPr>
      </w:pPr>
      <w:r w:rsidRPr="00F35C77">
        <w:rPr>
          <w:sz w:val="24"/>
          <w:szCs w:val="24"/>
        </w:rPr>
        <w:tab/>
        <w:t>279.</w:t>
      </w:r>
    </w:p>
    <w:p w:rsidR="007535B6" w:rsidRPr="00F35C77" w:rsidRDefault="007535B6" w:rsidP="0086157B">
      <w:pPr>
        <w:contextualSpacing/>
        <w:rPr>
          <w:sz w:val="24"/>
          <w:szCs w:val="24"/>
        </w:rPr>
      </w:pPr>
    </w:p>
    <w:p w:rsidR="00824AB4" w:rsidRDefault="00824AB4" w:rsidP="0086157B">
      <w:pPr>
        <w:contextualSpacing/>
        <w:rPr>
          <w:sz w:val="24"/>
          <w:szCs w:val="24"/>
        </w:rPr>
      </w:pPr>
    </w:p>
    <w:p w:rsidR="0086157B" w:rsidRPr="00F35C77" w:rsidRDefault="0086157B" w:rsidP="0086157B">
      <w:pPr>
        <w:contextualSpacing/>
        <w:rPr>
          <w:sz w:val="24"/>
          <w:szCs w:val="24"/>
        </w:rPr>
      </w:pPr>
      <w:r w:rsidRPr="00F35C77">
        <w:rPr>
          <w:sz w:val="24"/>
          <w:szCs w:val="24"/>
        </w:rPr>
        <w:lastRenderedPageBreak/>
        <w:t>Pyrgotou N, Giatrakou V, Ntzimani A, Savvaidis IN.</w:t>
      </w:r>
      <w:r w:rsidR="002C1E5F">
        <w:rPr>
          <w:sz w:val="24"/>
          <w:szCs w:val="24"/>
        </w:rPr>
        <w:t xml:space="preserve"> 2010.</w:t>
      </w:r>
      <w:r w:rsidRPr="00F35C77">
        <w:rPr>
          <w:sz w:val="24"/>
          <w:szCs w:val="24"/>
        </w:rPr>
        <w:t xml:space="preserve"> Quality assessment of salted, modified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atmosphere</w:t>
      </w:r>
      <w:proofErr w:type="gramEnd"/>
      <w:r w:rsidRPr="00F35C77">
        <w:rPr>
          <w:sz w:val="24"/>
          <w:szCs w:val="24"/>
        </w:rPr>
        <w:t xml:space="preserve"> packaged rainbow trout under treatment with oregano essential oil. J Food </w:t>
      </w:r>
    </w:p>
    <w:p w:rsidR="0086157B" w:rsidRDefault="0086157B" w:rsidP="0086157B">
      <w:pPr>
        <w:contextualSpacing/>
        <w:rPr>
          <w:sz w:val="24"/>
          <w:szCs w:val="24"/>
        </w:rPr>
      </w:pPr>
      <w:r w:rsidRPr="00F35C77">
        <w:rPr>
          <w:sz w:val="24"/>
          <w:szCs w:val="24"/>
        </w:rPr>
        <w:tab/>
        <w:t xml:space="preserve">Sci 75(7):M406-M411. </w:t>
      </w:r>
      <w:proofErr w:type="gramStart"/>
      <w:r w:rsidRPr="00F35C77">
        <w:rPr>
          <w:sz w:val="24"/>
          <w:szCs w:val="24"/>
        </w:rPr>
        <w:t>doi</w:t>
      </w:r>
      <w:proofErr w:type="gramEnd"/>
      <w:r w:rsidRPr="00F35C77">
        <w:rPr>
          <w:sz w:val="24"/>
          <w:szCs w:val="24"/>
        </w:rPr>
        <w:t>: 10.1111/j.1750-3841.2010.01724.x</w:t>
      </w:r>
    </w:p>
    <w:p w:rsidR="007535B6" w:rsidRDefault="007535B6" w:rsidP="007535B6">
      <w:pPr>
        <w:contextualSpacing/>
        <w:rPr>
          <w:sz w:val="24"/>
          <w:szCs w:val="24"/>
        </w:rPr>
      </w:pPr>
    </w:p>
    <w:p w:rsidR="007535B6" w:rsidRDefault="007535B6" w:rsidP="007535B6">
      <w:pPr>
        <w:contextualSpacing/>
        <w:rPr>
          <w:sz w:val="24"/>
          <w:szCs w:val="24"/>
        </w:rPr>
      </w:pPr>
      <w:proofErr w:type="gramStart"/>
      <w:r>
        <w:rPr>
          <w:sz w:val="24"/>
          <w:szCs w:val="24"/>
        </w:rPr>
        <w:t>Quintavalla S and Vicini L. 2002.</w:t>
      </w:r>
      <w:proofErr w:type="gramEnd"/>
      <w:r>
        <w:rPr>
          <w:sz w:val="24"/>
          <w:szCs w:val="24"/>
        </w:rPr>
        <w:t xml:space="preserve"> </w:t>
      </w:r>
      <w:proofErr w:type="gramStart"/>
      <w:r>
        <w:rPr>
          <w:sz w:val="24"/>
          <w:szCs w:val="24"/>
        </w:rPr>
        <w:t>Antimicrobial food packaging in meat industry.</w:t>
      </w:r>
      <w:proofErr w:type="gramEnd"/>
      <w:r>
        <w:rPr>
          <w:sz w:val="24"/>
          <w:szCs w:val="24"/>
        </w:rPr>
        <w:t xml:space="preserve"> </w:t>
      </w:r>
      <w:proofErr w:type="gramStart"/>
      <w:r>
        <w:rPr>
          <w:sz w:val="24"/>
          <w:szCs w:val="24"/>
        </w:rPr>
        <w:t xml:space="preserve">Meat Sci </w:t>
      </w:r>
      <w:r>
        <w:rPr>
          <w:sz w:val="24"/>
          <w:szCs w:val="24"/>
        </w:rPr>
        <w:tab/>
        <w:t>62:373-380.</w:t>
      </w:r>
      <w:proofErr w:type="gramEnd"/>
    </w:p>
    <w:p w:rsidR="007535B6" w:rsidRDefault="007535B6" w:rsidP="007535B6">
      <w:pPr>
        <w:contextualSpacing/>
        <w:rPr>
          <w:sz w:val="24"/>
          <w:szCs w:val="24"/>
        </w:rPr>
      </w:pPr>
    </w:p>
    <w:p w:rsidR="0086157B" w:rsidRPr="00F35C77" w:rsidRDefault="0086157B" w:rsidP="0086157B">
      <w:pPr>
        <w:contextualSpacing/>
        <w:rPr>
          <w:sz w:val="24"/>
          <w:szCs w:val="24"/>
        </w:rPr>
      </w:pPr>
      <w:r w:rsidRPr="00F35C77">
        <w:rPr>
          <w:sz w:val="24"/>
          <w:szCs w:val="24"/>
        </w:rPr>
        <w:t xml:space="preserve">Radford SA, Tassou CC, Nychas GJE, Board RG. The influence of different oils on the death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rate</w:t>
      </w:r>
      <w:proofErr w:type="gramEnd"/>
      <w:r w:rsidRPr="00F35C77">
        <w:rPr>
          <w:sz w:val="24"/>
          <w:szCs w:val="24"/>
        </w:rPr>
        <w:t xml:space="preserve"> of </w:t>
      </w:r>
      <w:r w:rsidRPr="001223A3">
        <w:rPr>
          <w:i/>
          <w:sz w:val="24"/>
          <w:szCs w:val="24"/>
        </w:rPr>
        <w:t>Salmonella</w:t>
      </w:r>
      <w:r w:rsidRPr="00F35C77">
        <w:rPr>
          <w:sz w:val="24"/>
          <w:szCs w:val="24"/>
        </w:rPr>
        <w:t xml:space="preserve"> </w:t>
      </w:r>
      <w:r w:rsidR="001223A3">
        <w:rPr>
          <w:sz w:val="24"/>
          <w:szCs w:val="24"/>
        </w:rPr>
        <w:t>E</w:t>
      </w:r>
      <w:r w:rsidRPr="00F35C77">
        <w:rPr>
          <w:sz w:val="24"/>
          <w:szCs w:val="24"/>
        </w:rPr>
        <w:t>nteritidis in homemade mayonnaise. Lett Appl Microbiol 12:125-</w:t>
      </w:r>
    </w:p>
    <w:p w:rsidR="0086157B" w:rsidRDefault="0086157B" w:rsidP="0086157B">
      <w:pPr>
        <w:contextualSpacing/>
        <w:rPr>
          <w:sz w:val="24"/>
          <w:szCs w:val="24"/>
        </w:rPr>
      </w:pPr>
      <w:r w:rsidRPr="00F35C77">
        <w:rPr>
          <w:sz w:val="24"/>
          <w:szCs w:val="24"/>
        </w:rPr>
        <w:tab/>
        <w:t>128.</w:t>
      </w:r>
    </w:p>
    <w:p w:rsidR="007535B6" w:rsidRPr="00F35C77" w:rsidRDefault="007535B6" w:rsidP="0086157B">
      <w:pPr>
        <w:contextualSpacing/>
        <w:rPr>
          <w:sz w:val="24"/>
          <w:szCs w:val="24"/>
        </w:rPr>
      </w:pPr>
    </w:p>
    <w:p w:rsidR="0086157B" w:rsidRDefault="0086157B" w:rsidP="0086157B">
      <w:pPr>
        <w:contextualSpacing/>
        <w:rPr>
          <w:sz w:val="24"/>
          <w:szCs w:val="24"/>
        </w:rPr>
      </w:pPr>
      <w:r w:rsidRPr="00F35C77">
        <w:rPr>
          <w:sz w:val="24"/>
          <w:szCs w:val="24"/>
        </w:rPr>
        <w:t xml:space="preserve">Rodríguez H, Curiel JA, Landete JM, de las Rivas B, de Felipe FL, Gómez-Cordovés C, Mancheño </w:t>
      </w:r>
      <w:r w:rsidR="007535B6">
        <w:rPr>
          <w:sz w:val="24"/>
          <w:szCs w:val="24"/>
        </w:rPr>
        <w:tab/>
      </w:r>
      <w:r w:rsidRPr="00F35C77">
        <w:rPr>
          <w:sz w:val="24"/>
          <w:szCs w:val="24"/>
        </w:rPr>
        <w:t xml:space="preserve">JM, Muñoz R. 2009. </w:t>
      </w:r>
      <w:proofErr w:type="gramStart"/>
      <w:r w:rsidRPr="00F35C77">
        <w:rPr>
          <w:sz w:val="24"/>
          <w:szCs w:val="24"/>
        </w:rPr>
        <w:t>Food phenolics and lactic acid bacteria.</w:t>
      </w:r>
      <w:proofErr w:type="gramEnd"/>
      <w:r w:rsidRPr="00F35C77">
        <w:rPr>
          <w:sz w:val="24"/>
          <w:szCs w:val="24"/>
        </w:rPr>
        <w:t xml:space="preserve"> Int J Food Microbiol 132(2–</w:t>
      </w:r>
      <w:r w:rsidR="007535B6">
        <w:rPr>
          <w:sz w:val="24"/>
          <w:szCs w:val="24"/>
        </w:rPr>
        <w:tab/>
      </w:r>
      <w:r w:rsidRPr="00F35C77">
        <w:rPr>
          <w:sz w:val="24"/>
          <w:szCs w:val="24"/>
        </w:rPr>
        <w:t xml:space="preserve">3):79-90. </w:t>
      </w:r>
      <w:proofErr w:type="gramStart"/>
      <w:r w:rsidRPr="00F35C77">
        <w:rPr>
          <w:sz w:val="24"/>
          <w:szCs w:val="24"/>
        </w:rPr>
        <w:t>doi</w:t>
      </w:r>
      <w:proofErr w:type="gramEnd"/>
      <w:r w:rsidRPr="00F35C77">
        <w:rPr>
          <w:sz w:val="24"/>
          <w:szCs w:val="24"/>
        </w:rPr>
        <w:t>: 10.1016/j.ijfoodmicro.2009.03.025</w:t>
      </w:r>
    </w:p>
    <w:p w:rsidR="007535B6" w:rsidRPr="00F35C77" w:rsidRDefault="007535B6" w:rsidP="0086157B">
      <w:pPr>
        <w:contextualSpacing/>
        <w:rPr>
          <w:sz w:val="24"/>
          <w:szCs w:val="24"/>
        </w:rPr>
      </w:pPr>
    </w:p>
    <w:p w:rsidR="0086157B" w:rsidRPr="00F35C77" w:rsidRDefault="0086157B" w:rsidP="0086157B">
      <w:pPr>
        <w:contextualSpacing/>
        <w:rPr>
          <w:sz w:val="24"/>
          <w:szCs w:val="24"/>
        </w:rPr>
      </w:pPr>
      <w:r w:rsidRPr="00F35C77">
        <w:rPr>
          <w:sz w:val="24"/>
          <w:szCs w:val="24"/>
        </w:rPr>
        <w:t xml:space="preserve">Roller S and Seedhar P. Carvacrol and cinnamic acid inhibit microbial growth in fresh-cut melon </w:t>
      </w:r>
    </w:p>
    <w:p w:rsidR="0086157B" w:rsidRDefault="0086157B" w:rsidP="0086157B">
      <w:pPr>
        <w:contextualSpacing/>
        <w:rPr>
          <w:sz w:val="24"/>
          <w:szCs w:val="24"/>
        </w:rPr>
      </w:pPr>
      <w:r w:rsidRPr="00F35C77">
        <w:rPr>
          <w:sz w:val="24"/>
          <w:szCs w:val="24"/>
        </w:rPr>
        <w:tab/>
      </w:r>
      <w:proofErr w:type="gramStart"/>
      <w:r w:rsidRPr="00F35C77">
        <w:rPr>
          <w:sz w:val="24"/>
          <w:szCs w:val="24"/>
        </w:rPr>
        <w:t>and</w:t>
      </w:r>
      <w:proofErr w:type="gramEnd"/>
      <w:r w:rsidRPr="00F35C77">
        <w:rPr>
          <w:sz w:val="24"/>
          <w:szCs w:val="24"/>
        </w:rPr>
        <w:t xml:space="preserve"> kiwifruit at 4° and 8°C. Lett Appl Microbiol 35:390-394.</w:t>
      </w:r>
    </w:p>
    <w:p w:rsidR="007535B6" w:rsidRPr="00F35C77" w:rsidRDefault="007535B6" w:rsidP="0086157B">
      <w:pPr>
        <w:contextualSpacing/>
        <w:rPr>
          <w:sz w:val="24"/>
          <w:szCs w:val="24"/>
        </w:rPr>
      </w:pPr>
    </w:p>
    <w:p w:rsidR="0086157B" w:rsidRDefault="0086157B" w:rsidP="0086157B">
      <w:pPr>
        <w:contextualSpacing/>
        <w:rPr>
          <w:sz w:val="24"/>
          <w:szCs w:val="24"/>
        </w:rPr>
      </w:pPr>
      <w:r w:rsidRPr="00F35C77">
        <w:rPr>
          <w:sz w:val="24"/>
          <w:szCs w:val="24"/>
        </w:rPr>
        <w:t xml:space="preserve">Shelef, L. A. 1983. </w:t>
      </w:r>
      <w:proofErr w:type="gramStart"/>
      <w:r w:rsidRPr="00F35C77">
        <w:rPr>
          <w:sz w:val="24"/>
          <w:szCs w:val="24"/>
        </w:rPr>
        <w:t>Antimicrobial effects of spices.</w:t>
      </w:r>
      <w:proofErr w:type="gramEnd"/>
      <w:r w:rsidRPr="00F35C77">
        <w:rPr>
          <w:sz w:val="24"/>
          <w:szCs w:val="24"/>
        </w:rPr>
        <w:t xml:space="preserve"> </w:t>
      </w:r>
      <w:proofErr w:type="gramStart"/>
      <w:r w:rsidRPr="00F35C77">
        <w:rPr>
          <w:sz w:val="24"/>
          <w:szCs w:val="24"/>
        </w:rPr>
        <w:t>J Food Safety.</w:t>
      </w:r>
      <w:proofErr w:type="gramEnd"/>
      <w:r w:rsidRPr="00F35C77">
        <w:rPr>
          <w:sz w:val="24"/>
          <w:szCs w:val="24"/>
        </w:rPr>
        <w:t xml:space="preserve"> 6:29-44.</w:t>
      </w:r>
    </w:p>
    <w:p w:rsidR="007535B6" w:rsidRPr="00F35C77" w:rsidRDefault="007535B6" w:rsidP="0086157B">
      <w:pPr>
        <w:contextualSpacing/>
        <w:rPr>
          <w:sz w:val="24"/>
          <w:szCs w:val="24"/>
        </w:rPr>
      </w:pPr>
    </w:p>
    <w:p w:rsidR="0086157B" w:rsidRPr="00F35C77" w:rsidRDefault="0086157B" w:rsidP="0086157B">
      <w:pPr>
        <w:contextualSpacing/>
        <w:rPr>
          <w:sz w:val="24"/>
          <w:szCs w:val="24"/>
        </w:rPr>
      </w:pPr>
      <w:r w:rsidRPr="00F35C77">
        <w:rPr>
          <w:sz w:val="24"/>
          <w:szCs w:val="24"/>
        </w:rPr>
        <w:t xml:space="preserve">Skandamis P, Tsigarida E, Nychas G-JE. 2002. The effect of oregano essential oil on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survival/death</w:t>
      </w:r>
      <w:proofErr w:type="gramEnd"/>
      <w:r w:rsidRPr="00F35C77">
        <w:rPr>
          <w:sz w:val="24"/>
          <w:szCs w:val="24"/>
        </w:rPr>
        <w:t xml:space="preserve"> of </w:t>
      </w:r>
      <w:r w:rsidRPr="001223A3">
        <w:rPr>
          <w:i/>
          <w:sz w:val="24"/>
          <w:szCs w:val="24"/>
        </w:rPr>
        <w:t>Salmonella</w:t>
      </w:r>
      <w:r w:rsidR="001223A3">
        <w:rPr>
          <w:sz w:val="24"/>
          <w:szCs w:val="24"/>
        </w:rPr>
        <w:t xml:space="preserve"> T</w:t>
      </w:r>
      <w:r w:rsidRPr="00F35C77">
        <w:rPr>
          <w:sz w:val="24"/>
          <w:szCs w:val="24"/>
        </w:rPr>
        <w:t xml:space="preserve">yphimurium in meat stored at 5°C under aerobic, VP/MAP </w:t>
      </w:r>
    </w:p>
    <w:p w:rsidR="0086157B" w:rsidRDefault="0086157B" w:rsidP="0086157B">
      <w:pPr>
        <w:contextualSpacing/>
        <w:rPr>
          <w:sz w:val="24"/>
          <w:szCs w:val="24"/>
        </w:rPr>
      </w:pPr>
      <w:r w:rsidRPr="00F35C77">
        <w:rPr>
          <w:sz w:val="24"/>
          <w:szCs w:val="24"/>
        </w:rPr>
        <w:tab/>
      </w:r>
      <w:proofErr w:type="gramStart"/>
      <w:r w:rsidRPr="00F35C77">
        <w:rPr>
          <w:sz w:val="24"/>
          <w:szCs w:val="24"/>
        </w:rPr>
        <w:t>conditions</w:t>
      </w:r>
      <w:proofErr w:type="gramEnd"/>
      <w:r w:rsidRPr="00F35C77">
        <w:rPr>
          <w:sz w:val="24"/>
          <w:szCs w:val="24"/>
        </w:rPr>
        <w:t xml:space="preserve">. Food Micriobiol 19:97-103. </w:t>
      </w:r>
      <w:proofErr w:type="gramStart"/>
      <w:r w:rsidRPr="00F35C77">
        <w:rPr>
          <w:sz w:val="24"/>
          <w:szCs w:val="24"/>
        </w:rPr>
        <w:t>doi</w:t>
      </w:r>
      <w:proofErr w:type="gramEnd"/>
      <w:r w:rsidRPr="00F35C77">
        <w:rPr>
          <w:sz w:val="24"/>
          <w:szCs w:val="24"/>
        </w:rPr>
        <w:t>: 10.1006/fmic.2001.0447</w:t>
      </w:r>
    </w:p>
    <w:p w:rsidR="00870835" w:rsidRDefault="00870835" w:rsidP="0086157B">
      <w:pPr>
        <w:contextualSpacing/>
        <w:rPr>
          <w:sz w:val="24"/>
          <w:szCs w:val="24"/>
        </w:rPr>
      </w:pPr>
    </w:p>
    <w:p w:rsidR="00870835" w:rsidRPr="006A1812" w:rsidRDefault="00870835" w:rsidP="00870835">
      <w:pPr>
        <w:rPr>
          <w:sz w:val="24"/>
          <w:szCs w:val="24"/>
        </w:rPr>
      </w:pPr>
      <w:proofErr w:type="gramStart"/>
      <w:r>
        <w:rPr>
          <w:sz w:val="24"/>
          <w:szCs w:val="24"/>
        </w:rPr>
        <w:t>Smith D and Stratton JE.</w:t>
      </w:r>
      <w:proofErr w:type="gramEnd"/>
      <w:r>
        <w:rPr>
          <w:sz w:val="24"/>
          <w:szCs w:val="24"/>
        </w:rPr>
        <w:t xml:space="preserve"> 2006. Understanding GMPs for sauces and dressings. </w:t>
      </w:r>
      <w:proofErr w:type="gramStart"/>
      <w:r>
        <w:rPr>
          <w:sz w:val="24"/>
          <w:szCs w:val="24"/>
        </w:rPr>
        <w:t xml:space="preserve">University of </w:t>
      </w:r>
      <w:r>
        <w:rPr>
          <w:sz w:val="24"/>
          <w:szCs w:val="24"/>
        </w:rPr>
        <w:tab/>
        <w:t>Nebraska-Lincoln Extension.</w:t>
      </w:r>
      <w:proofErr w:type="gramEnd"/>
    </w:p>
    <w:p w:rsidR="0086157B" w:rsidRPr="00F35C77" w:rsidRDefault="0086157B" w:rsidP="0086157B">
      <w:pPr>
        <w:contextualSpacing/>
        <w:rPr>
          <w:sz w:val="24"/>
          <w:szCs w:val="24"/>
        </w:rPr>
      </w:pPr>
      <w:r w:rsidRPr="00F35C77">
        <w:rPr>
          <w:sz w:val="24"/>
          <w:szCs w:val="24"/>
        </w:rPr>
        <w:t xml:space="preserve">Smittle RB. 2000. Microbiological safety of mayonnaise, salad dressings, and sauces produced in </w:t>
      </w:r>
    </w:p>
    <w:p w:rsidR="0086157B" w:rsidRDefault="0086157B" w:rsidP="0086157B">
      <w:pPr>
        <w:contextualSpacing/>
        <w:rPr>
          <w:sz w:val="24"/>
          <w:szCs w:val="24"/>
        </w:rPr>
      </w:pPr>
      <w:r w:rsidRPr="00F35C77">
        <w:rPr>
          <w:sz w:val="24"/>
          <w:szCs w:val="24"/>
        </w:rPr>
        <w:tab/>
      </w:r>
      <w:proofErr w:type="gramStart"/>
      <w:r w:rsidRPr="00F35C77">
        <w:rPr>
          <w:sz w:val="24"/>
          <w:szCs w:val="24"/>
        </w:rPr>
        <w:t>the</w:t>
      </w:r>
      <w:proofErr w:type="gramEnd"/>
      <w:r w:rsidRPr="00F35C77">
        <w:rPr>
          <w:sz w:val="24"/>
          <w:szCs w:val="24"/>
        </w:rPr>
        <w:t xml:space="preserve"> United States: A review. J Food Protect 63(8)1144-1153.</w:t>
      </w:r>
    </w:p>
    <w:p w:rsidR="007535B6" w:rsidRPr="00F35C77" w:rsidRDefault="007535B6" w:rsidP="0086157B">
      <w:pPr>
        <w:contextualSpacing/>
        <w:rPr>
          <w:sz w:val="24"/>
          <w:szCs w:val="24"/>
        </w:rPr>
      </w:pPr>
    </w:p>
    <w:p w:rsidR="0086157B" w:rsidRPr="00F35C77" w:rsidRDefault="0086157B" w:rsidP="0086157B">
      <w:pPr>
        <w:contextualSpacing/>
        <w:rPr>
          <w:sz w:val="24"/>
          <w:szCs w:val="24"/>
        </w:rPr>
      </w:pPr>
      <w:proofErr w:type="gramStart"/>
      <w:r w:rsidRPr="00F35C77">
        <w:rPr>
          <w:sz w:val="24"/>
          <w:szCs w:val="24"/>
        </w:rPr>
        <w:t>Ultee, A., Bennik, M. H. J., &amp; Moezelaar, R. (2002).</w:t>
      </w:r>
      <w:proofErr w:type="gramEnd"/>
      <w:r w:rsidRPr="00F35C77">
        <w:rPr>
          <w:sz w:val="24"/>
          <w:szCs w:val="24"/>
        </w:rPr>
        <w:t xml:space="preserve"> The phenolic hydroxyl group of carvacrol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is</w:t>
      </w:r>
      <w:proofErr w:type="gramEnd"/>
      <w:r w:rsidRPr="00F35C77">
        <w:rPr>
          <w:sz w:val="24"/>
          <w:szCs w:val="24"/>
        </w:rPr>
        <w:t xml:space="preserve"> essential for action against the food-borne pathogen bacillus cereus. Appl Environ </w:t>
      </w:r>
    </w:p>
    <w:p w:rsidR="0086157B" w:rsidRDefault="0086157B" w:rsidP="0086157B">
      <w:pPr>
        <w:contextualSpacing/>
        <w:rPr>
          <w:sz w:val="24"/>
          <w:szCs w:val="24"/>
        </w:rPr>
      </w:pPr>
      <w:r w:rsidRPr="00F35C77">
        <w:rPr>
          <w:sz w:val="24"/>
          <w:szCs w:val="24"/>
        </w:rPr>
        <w:tab/>
        <w:t xml:space="preserve">Microb 68(4):1561-1568. </w:t>
      </w:r>
    </w:p>
    <w:p w:rsidR="007535B6" w:rsidRPr="00F35C77" w:rsidRDefault="007535B6" w:rsidP="0086157B">
      <w:pPr>
        <w:contextualSpacing/>
        <w:rPr>
          <w:sz w:val="24"/>
          <w:szCs w:val="24"/>
        </w:rPr>
      </w:pPr>
    </w:p>
    <w:p w:rsidR="0086157B" w:rsidRPr="00F35C77" w:rsidRDefault="0086157B" w:rsidP="0086157B">
      <w:pPr>
        <w:contextualSpacing/>
        <w:rPr>
          <w:sz w:val="24"/>
          <w:szCs w:val="24"/>
        </w:rPr>
      </w:pPr>
      <w:r w:rsidRPr="00F35C77">
        <w:rPr>
          <w:sz w:val="24"/>
          <w:szCs w:val="24"/>
        </w:rPr>
        <w:t xml:space="preserve">Waite JG, Jones JM, Yousef AE. 2009. Isolation and identification of spoilage microorganisms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using</w:t>
      </w:r>
      <w:proofErr w:type="gramEnd"/>
      <w:r w:rsidRPr="00F35C77">
        <w:rPr>
          <w:sz w:val="24"/>
          <w:szCs w:val="24"/>
        </w:rPr>
        <w:t xml:space="preserve"> food-based media combined with rDNA sequencing: Ranch dressing as a model </w:t>
      </w:r>
    </w:p>
    <w:p w:rsidR="0086157B" w:rsidRDefault="0086157B" w:rsidP="0086157B">
      <w:pPr>
        <w:contextualSpacing/>
        <w:rPr>
          <w:sz w:val="24"/>
          <w:szCs w:val="24"/>
        </w:rPr>
      </w:pPr>
      <w:r w:rsidRPr="00F35C77">
        <w:rPr>
          <w:sz w:val="24"/>
          <w:szCs w:val="24"/>
        </w:rPr>
        <w:tab/>
      </w:r>
      <w:proofErr w:type="gramStart"/>
      <w:r w:rsidRPr="00F35C77">
        <w:rPr>
          <w:sz w:val="24"/>
          <w:szCs w:val="24"/>
        </w:rPr>
        <w:t>food</w:t>
      </w:r>
      <w:proofErr w:type="gramEnd"/>
      <w:r w:rsidRPr="00F35C77">
        <w:rPr>
          <w:sz w:val="24"/>
          <w:szCs w:val="24"/>
        </w:rPr>
        <w:t xml:space="preserve">. Food Microbiol 26:235-239. </w:t>
      </w:r>
      <w:proofErr w:type="gramStart"/>
      <w:r w:rsidRPr="00F35C77">
        <w:rPr>
          <w:sz w:val="24"/>
          <w:szCs w:val="24"/>
        </w:rPr>
        <w:t>doi</w:t>
      </w:r>
      <w:proofErr w:type="gramEnd"/>
      <w:r w:rsidRPr="00F35C77">
        <w:rPr>
          <w:sz w:val="24"/>
          <w:szCs w:val="24"/>
        </w:rPr>
        <w:t>: 10.1016/j.fm.2009.01.001</w:t>
      </w:r>
    </w:p>
    <w:p w:rsidR="007535B6" w:rsidRPr="00F35C77" w:rsidRDefault="007535B6" w:rsidP="0086157B">
      <w:pPr>
        <w:contextualSpacing/>
        <w:rPr>
          <w:sz w:val="24"/>
          <w:szCs w:val="24"/>
        </w:rPr>
      </w:pPr>
    </w:p>
    <w:p w:rsidR="0086157B" w:rsidRDefault="0086157B" w:rsidP="0086157B">
      <w:pPr>
        <w:contextualSpacing/>
        <w:rPr>
          <w:sz w:val="24"/>
          <w:szCs w:val="24"/>
        </w:rPr>
      </w:pPr>
      <w:r w:rsidRPr="00F35C77">
        <w:rPr>
          <w:sz w:val="24"/>
          <w:szCs w:val="24"/>
        </w:rPr>
        <w:t xml:space="preserve">Ward SM, Delaquis PJ, Holley RA, Mazza G. 1998. </w:t>
      </w:r>
      <w:proofErr w:type="gramStart"/>
      <w:r w:rsidRPr="00F35C77">
        <w:rPr>
          <w:sz w:val="24"/>
          <w:szCs w:val="24"/>
        </w:rPr>
        <w:t xml:space="preserve">Inhibition of spoilage and pathogenic bacteria </w:t>
      </w:r>
      <w:r w:rsidR="007535B6">
        <w:rPr>
          <w:sz w:val="24"/>
          <w:szCs w:val="24"/>
        </w:rPr>
        <w:tab/>
      </w:r>
      <w:r w:rsidRPr="00F35C77">
        <w:rPr>
          <w:sz w:val="24"/>
          <w:szCs w:val="24"/>
        </w:rPr>
        <w:t>on agar and pre-cooked roast beef by volatile horseradish distillates.</w:t>
      </w:r>
      <w:proofErr w:type="gramEnd"/>
      <w:r w:rsidRPr="00F35C77">
        <w:rPr>
          <w:sz w:val="24"/>
          <w:szCs w:val="24"/>
        </w:rPr>
        <w:t xml:space="preserve"> Food Res Int </w:t>
      </w:r>
      <w:r w:rsidR="007535B6">
        <w:rPr>
          <w:sz w:val="24"/>
          <w:szCs w:val="24"/>
        </w:rPr>
        <w:tab/>
      </w:r>
      <w:r w:rsidRPr="00F35C77">
        <w:rPr>
          <w:sz w:val="24"/>
          <w:szCs w:val="24"/>
        </w:rPr>
        <w:t xml:space="preserve">31(1):19-26. </w:t>
      </w:r>
      <w:proofErr w:type="gramStart"/>
      <w:r w:rsidRPr="00F35C77">
        <w:rPr>
          <w:sz w:val="24"/>
          <w:szCs w:val="24"/>
        </w:rPr>
        <w:t>doi</w:t>
      </w:r>
      <w:proofErr w:type="gramEnd"/>
      <w:r w:rsidRPr="00F35C77">
        <w:rPr>
          <w:sz w:val="24"/>
          <w:szCs w:val="24"/>
        </w:rPr>
        <w:t>: 10.1016/S0963-9969(98)00054-4</w:t>
      </w:r>
    </w:p>
    <w:p w:rsidR="007535B6" w:rsidRPr="00F35C77" w:rsidRDefault="007535B6" w:rsidP="0086157B">
      <w:pPr>
        <w:contextualSpacing/>
        <w:rPr>
          <w:sz w:val="24"/>
          <w:szCs w:val="24"/>
        </w:rPr>
      </w:pPr>
    </w:p>
    <w:p w:rsidR="00824AB4" w:rsidRDefault="00824AB4" w:rsidP="0086157B">
      <w:pPr>
        <w:contextualSpacing/>
        <w:rPr>
          <w:sz w:val="24"/>
          <w:szCs w:val="24"/>
        </w:rPr>
      </w:pPr>
    </w:p>
    <w:p w:rsidR="00824AB4" w:rsidRDefault="00824AB4" w:rsidP="0086157B">
      <w:pPr>
        <w:contextualSpacing/>
        <w:rPr>
          <w:sz w:val="24"/>
          <w:szCs w:val="24"/>
        </w:rPr>
      </w:pPr>
    </w:p>
    <w:p w:rsidR="0086157B" w:rsidRPr="00F35C77" w:rsidRDefault="0086157B" w:rsidP="0086157B">
      <w:pPr>
        <w:contextualSpacing/>
        <w:rPr>
          <w:sz w:val="24"/>
          <w:szCs w:val="24"/>
        </w:rPr>
      </w:pPr>
      <w:proofErr w:type="gramStart"/>
      <w:r w:rsidRPr="00F35C77">
        <w:rPr>
          <w:sz w:val="24"/>
          <w:szCs w:val="24"/>
        </w:rPr>
        <w:lastRenderedPageBreak/>
        <w:t>Wendakoon CN and Sakaguchi M. 1993.</w:t>
      </w:r>
      <w:proofErr w:type="gramEnd"/>
      <w:r w:rsidRPr="00F35C77">
        <w:rPr>
          <w:sz w:val="24"/>
          <w:szCs w:val="24"/>
        </w:rPr>
        <w:t xml:space="preserve"> Combined effect of sodium chloride and clove on </w:t>
      </w:r>
    </w:p>
    <w:p w:rsidR="0086157B" w:rsidRPr="00F35C77" w:rsidRDefault="0086157B" w:rsidP="0086157B">
      <w:pPr>
        <w:contextualSpacing/>
        <w:rPr>
          <w:sz w:val="24"/>
          <w:szCs w:val="24"/>
        </w:rPr>
      </w:pPr>
      <w:r w:rsidRPr="00F35C77">
        <w:rPr>
          <w:sz w:val="24"/>
          <w:szCs w:val="24"/>
        </w:rPr>
        <w:tab/>
      </w:r>
      <w:proofErr w:type="gramStart"/>
      <w:r w:rsidRPr="00F35C77">
        <w:rPr>
          <w:sz w:val="24"/>
          <w:szCs w:val="24"/>
        </w:rPr>
        <w:t>growth</w:t>
      </w:r>
      <w:proofErr w:type="gramEnd"/>
      <w:r w:rsidRPr="00F35C77">
        <w:rPr>
          <w:sz w:val="24"/>
          <w:szCs w:val="24"/>
        </w:rPr>
        <w:t xml:space="preserve"> and biogenic amine formation of </w:t>
      </w:r>
      <w:r w:rsidRPr="00084DB8">
        <w:rPr>
          <w:i/>
          <w:sz w:val="24"/>
          <w:szCs w:val="24"/>
        </w:rPr>
        <w:t>Enterobacter aerogenes</w:t>
      </w:r>
      <w:r w:rsidRPr="00F35C77">
        <w:rPr>
          <w:sz w:val="24"/>
          <w:szCs w:val="24"/>
        </w:rPr>
        <w:t xml:space="preserve"> in mackerel muscle </w:t>
      </w:r>
    </w:p>
    <w:p w:rsidR="0086157B" w:rsidRDefault="0086157B" w:rsidP="0086157B">
      <w:pPr>
        <w:contextualSpacing/>
        <w:rPr>
          <w:sz w:val="24"/>
          <w:szCs w:val="24"/>
        </w:rPr>
      </w:pPr>
      <w:r w:rsidRPr="00F35C77">
        <w:rPr>
          <w:sz w:val="24"/>
          <w:szCs w:val="24"/>
        </w:rPr>
        <w:tab/>
      </w:r>
      <w:proofErr w:type="gramStart"/>
      <w:r w:rsidRPr="00F35C77">
        <w:rPr>
          <w:sz w:val="24"/>
          <w:szCs w:val="24"/>
        </w:rPr>
        <w:t>extract</w:t>
      </w:r>
      <w:proofErr w:type="gramEnd"/>
      <w:r w:rsidRPr="00F35C77">
        <w:rPr>
          <w:sz w:val="24"/>
          <w:szCs w:val="24"/>
        </w:rPr>
        <w:t>. J Food Prot 56(5):410-413.</w:t>
      </w:r>
    </w:p>
    <w:p w:rsidR="007535B6" w:rsidRPr="00F35C77" w:rsidRDefault="007535B6" w:rsidP="0086157B">
      <w:pPr>
        <w:contextualSpacing/>
        <w:rPr>
          <w:sz w:val="24"/>
          <w:szCs w:val="24"/>
        </w:rPr>
      </w:pPr>
    </w:p>
    <w:p w:rsidR="0086157B" w:rsidRPr="00F35C77" w:rsidRDefault="0086157B" w:rsidP="0086157B">
      <w:pPr>
        <w:contextualSpacing/>
        <w:rPr>
          <w:sz w:val="24"/>
          <w:szCs w:val="24"/>
        </w:rPr>
      </w:pPr>
      <w:proofErr w:type="gramStart"/>
      <w:r w:rsidRPr="00F35C77">
        <w:rPr>
          <w:sz w:val="24"/>
          <w:szCs w:val="24"/>
        </w:rPr>
        <w:t>Yang C-M, Luedecke LO, Swanson BG, Davidson PM. 2003.</w:t>
      </w:r>
      <w:proofErr w:type="gramEnd"/>
      <w:r w:rsidRPr="00F35C77">
        <w:rPr>
          <w:sz w:val="24"/>
          <w:szCs w:val="24"/>
        </w:rPr>
        <w:t xml:space="preserve"> Inhibition of microorganisms in </w:t>
      </w:r>
    </w:p>
    <w:p w:rsidR="0086157B" w:rsidRDefault="0086157B" w:rsidP="007535B6">
      <w:pPr>
        <w:ind w:firstLine="720"/>
        <w:contextualSpacing/>
        <w:rPr>
          <w:sz w:val="24"/>
          <w:szCs w:val="24"/>
        </w:rPr>
      </w:pPr>
      <w:proofErr w:type="gramStart"/>
      <w:r w:rsidRPr="00F35C77">
        <w:rPr>
          <w:sz w:val="24"/>
          <w:szCs w:val="24"/>
        </w:rPr>
        <w:t>salad</w:t>
      </w:r>
      <w:proofErr w:type="gramEnd"/>
      <w:r w:rsidRPr="00F35C77">
        <w:rPr>
          <w:sz w:val="24"/>
          <w:szCs w:val="24"/>
        </w:rPr>
        <w:t xml:space="preserve"> dressing by sucrose and methylglucose fatty acid monoesters. J Food </w:t>
      </w:r>
      <w:r w:rsidR="00084DB8">
        <w:rPr>
          <w:sz w:val="24"/>
          <w:szCs w:val="24"/>
        </w:rPr>
        <w:tab/>
      </w:r>
      <w:r w:rsidRPr="00F35C77">
        <w:rPr>
          <w:sz w:val="24"/>
          <w:szCs w:val="24"/>
        </w:rPr>
        <w:t>Process Pres27:285-298.</w:t>
      </w:r>
    </w:p>
    <w:p w:rsidR="00A20B9C" w:rsidRDefault="00A20B9C" w:rsidP="007535B6">
      <w:pPr>
        <w:ind w:firstLine="720"/>
        <w:contextualSpacing/>
        <w:rPr>
          <w:sz w:val="24"/>
          <w:szCs w:val="24"/>
        </w:rPr>
      </w:pPr>
    </w:p>
    <w:p w:rsidR="00A20B9C" w:rsidRDefault="00A20B9C" w:rsidP="00A20B9C">
      <w:pPr>
        <w:rPr>
          <w:sz w:val="24"/>
          <w:szCs w:val="24"/>
        </w:rPr>
      </w:pPr>
      <w:r>
        <w:rPr>
          <w:sz w:val="24"/>
          <w:szCs w:val="24"/>
        </w:rPr>
        <w:t xml:space="preserve">Zaika LL. 1988. Spices and herbs: Their antimicrobial activity and its determination. J Food </w:t>
      </w:r>
      <w:r>
        <w:rPr>
          <w:sz w:val="24"/>
          <w:szCs w:val="24"/>
        </w:rPr>
        <w:tab/>
        <w:t>Safety 9:97-118.</w:t>
      </w:r>
    </w:p>
    <w:p w:rsidR="0086157B" w:rsidRPr="00F35C77" w:rsidRDefault="0086157B" w:rsidP="0086157B">
      <w:pPr>
        <w:contextualSpacing/>
        <w:rPr>
          <w:sz w:val="24"/>
          <w:szCs w:val="24"/>
        </w:rPr>
      </w:pPr>
      <w:r w:rsidRPr="00F35C77">
        <w:rPr>
          <w:sz w:val="24"/>
          <w:szCs w:val="24"/>
        </w:rPr>
        <w:t xml:space="preserve">Zinoviadou KG, Koutsoumanis KP, Biliaderis CG. 2009. Physico-chemical properties of whey </w:t>
      </w:r>
    </w:p>
    <w:p w:rsidR="0086157B" w:rsidRDefault="0086157B" w:rsidP="00F44278">
      <w:pPr>
        <w:contextualSpacing/>
        <w:rPr>
          <w:sz w:val="24"/>
          <w:szCs w:val="24"/>
        </w:rPr>
      </w:pPr>
      <w:r w:rsidRPr="00F35C77">
        <w:rPr>
          <w:sz w:val="24"/>
          <w:szCs w:val="24"/>
        </w:rPr>
        <w:tab/>
      </w:r>
      <w:proofErr w:type="gramStart"/>
      <w:r w:rsidRPr="00F35C77">
        <w:rPr>
          <w:sz w:val="24"/>
          <w:szCs w:val="24"/>
        </w:rPr>
        <w:t>protein</w:t>
      </w:r>
      <w:proofErr w:type="gramEnd"/>
      <w:r w:rsidRPr="00F35C77">
        <w:rPr>
          <w:sz w:val="24"/>
          <w:szCs w:val="24"/>
        </w:rPr>
        <w:t xml:space="preserve"> isolate films containing oregano oil and their antimicrobial action against </w:t>
      </w:r>
      <w:r w:rsidR="007535B6">
        <w:rPr>
          <w:sz w:val="24"/>
          <w:szCs w:val="24"/>
        </w:rPr>
        <w:tab/>
      </w:r>
      <w:r w:rsidRPr="00F35C77">
        <w:rPr>
          <w:sz w:val="24"/>
          <w:szCs w:val="24"/>
        </w:rPr>
        <w:t>spoilage</w:t>
      </w:r>
      <w:r w:rsidR="007535B6">
        <w:rPr>
          <w:sz w:val="24"/>
          <w:szCs w:val="24"/>
        </w:rPr>
        <w:t xml:space="preserve"> </w:t>
      </w:r>
      <w:r w:rsidRPr="00F35C77">
        <w:rPr>
          <w:sz w:val="24"/>
          <w:szCs w:val="24"/>
        </w:rPr>
        <w:t xml:space="preserve">flora of fresh beef. Meat Sci 82:338-345. </w:t>
      </w:r>
      <w:proofErr w:type="gramStart"/>
      <w:r w:rsidRPr="00F35C77">
        <w:rPr>
          <w:sz w:val="24"/>
          <w:szCs w:val="24"/>
        </w:rPr>
        <w:t>doi</w:t>
      </w:r>
      <w:proofErr w:type="gramEnd"/>
      <w:r w:rsidRPr="00F35C77">
        <w:rPr>
          <w:sz w:val="24"/>
          <w:szCs w:val="24"/>
        </w:rPr>
        <w:t>: 10.1016/j.meatsci2009.02.004</w:t>
      </w:r>
    </w:p>
    <w:p w:rsidR="001223A3" w:rsidRDefault="001223A3" w:rsidP="00F44278">
      <w:pPr>
        <w:contextualSpacing/>
        <w:rPr>
          <w:sz w:val="28"/>
          <w:szCs w:val="28"/>
        </w:rPr>
      </w:pPr>
    </w:p>
    <w:p w:rsidR="00F44278" w:rsidRPr="00F44278" w:rsidRDefault="00F44278" w:rsidP="00F44278">
      <w:pPr>
        <w:contextualSpacing/>
        <w:rPr>
          <w:sz w:val="24"/>
          <w:szCs w:val="24"/>
        </w:rPr>
      </w:pPr>
      <w:r w:rsidRPr="00F44278">
        <w:rPr>
          <w:sz w:val="24"/>
          <w:szCs w:val="24"/>
        </w:rPr>
        <w:t>Zivanovic</w:t>
      </w:r>
      <w:r>
        <w:rPr>
          <w:sz w:val="24"/>
          <w:szCs w:val="24"/>
        </w:rPr>
        <w:t xml:space="preserve"> S, Chi S, Draughon A. 2005. Antimicrobial activity of chitosan films enriched with </w:t>
      </w:r>
      <w:r>
        <w:rPr>
          <w:sz w:val="24"/>
          <w:szCs w:val="24"/>
        </w:rPr>
        <w:tab/>
        <w:t>essential oils. J Food Sci</w:t>
      </w:r>
      <w:r w:rsidRPr="00F44278">
        <w:rPr>
          <w:b/>
          <w:sz w:val="28"/>
          <w:szCs w:val="28"/>
        </w:rPr>
        <w:t xml:space="preserve"> </w:t>
      </w:r>
      <w:r w:rsidRPr="00F44278">
        <w:rPr>
          <w:sz w:val="24"/>
          <w:szCs w:val="24"/>
        </w:rPr>
        <w:t xml:space="preserve">70(1):M145-151. </w:t>
      </w:r>
      <w:proofErr w:type="gramStart"/>
      <w:r>
        <w:rPr>
          <w:sz w:val="24"/>
          <w:szCs w:val="24"/>
        </w:rPr>
        <w:t>doi</w:t>
      </w:r>
      <w:proofErr w:type="gramEnd"/>
      <w:r w:rsidRPr="00F44278">
        <w:rPr>
          <w:sz w:val="24"/>
          <w:szCs w:val="24"/>
        </w:rPr>
        <w:t>: 10.1111/j.1365-2621.2005.tb09045.x</w:t>
      </w:r>
    </w:p>
    <w:p w:rsidR="00F44278" w:rsidRPr="00F44278" w:rsidRDefault="00F44278" w:rsidP="00F44278">
      <w:pPr>
        <w:spacing w:line="480" w:lineRule="auto"/>
        <w:contextualSpacing/>
        <w:rPr>
          <w:sz w:val="24"/>
          <w:szCs w:val="24"/>
        </w:rPr>
      </w:pPr>
    </w:p>
    <w:p w:rsidR="00F44278" w:rsidRPr="00F44278" w:rsidRDefault="00F44278" w:rsidP="00F44278">
      <w:pPr>
        <w:spacing w:line="480" w:lineRule="auto"/>
        <w:contextualSpacing/>
        <w:jc w:val="center"/>
        <w:rPr>
          <w:b/>
          <w:sz w:val="28"/>
          <w:szCs w:val="28"/>
        </w:rPr>
      </w:pPr>
    </w:p>
    <w:p w:rsidR="0086157B" w:rsidRPr="0086157B" w:rsidRDefault="0086157B" w:rsidP="0086157B">
      <w:pPr>
        <w:spacing w:line="480" w:lineRule="auto"/>
        <w:contextualSpacing/>
        <w:jc w:val="center"/>
        <w:rPr>
          <w:b/>
          <w:sz w:val="28"/>
          <w:szCs w:val="28"/>
        </w:rPr>
      </w:pPr>
    </w:p>
    <w:p w:rsidR="0086157B" w:rsidRPr="0086157B" w:rsidRDefault="0086157B" w:rsidP="0086157B">
      <w:pPr>
        <w:spacing w:line="480" w:lineRule="auto"/>
        <w:contextualSpacing/>
        <w:jc w:val="center"/>
        <w:rPr>
          <w:b/>
          <w:sz w:val="28"/>
          <w:szCs w:val="28"/>
        </w:rPr>
      </w:pPr>
    </w:p>
    <w:p w:rsidR="00605FC5" w:rsidRDefault="00605FC5" w:rsidP="00E95A92">
      <w:pPr>
        <w:spacing w:line="480" w:lineRule="auto"/>
        <w:contextualSpacing/>
        <w:jc w:val="center"/>
        <w:rPr>
          <w:b/>
          <w:sz w:val="28"/>
          <w:szCs w:val="28"/>
        </w:rPr>
      </w:pPr>
    </w:p>
    <w:p w:rsidR="00523D74" w:rsidRDefault="00523D74" w:rsidP="00E95A92">
      <w:pPr>
        <w:spacing w:line="480" w:lineRule="auto"/>
        <w:contextualSpacing/>
        <w:jc w:val="center"/>
        <w:rPr>
          <w:b/>
          <w:sz w:val="28"/>
          <w:szCs w:val="28"/>
        </w:rPr>
      </w:pPr>
    </w:p>
    <w:p w:rsidR="00523D74" w:rsidRDefault="00523D74" w:rsidP="00E95A92">
      <w:pPr>
        <w:spacing w:line="480" w:lineRule="auto"/>
        <w:contextualSpacing/>
        <w:jc w:val="center"/>
        <w:rPr>
          <w:b/>
          <w:sz w:val="28"/>
          <w:szCs w:val="28"/>
        </w:rPr>
      </w:pPr>
    </w:p>
    <w:p w:rsidR="00523D74" w:rsidRDefault="00523D74" w:rsidP="00E95A92">
      <w:pPr>
        <w:spacing w:line="480" w:lineRule="auto"/>
        <w:contextualSpacing/>
        <w:jc w:val="center"/>
        <w:rPr>
          <w:b/>
          <w:sz w:val="28"/>
          <w:szCs w:val="28"/>
        </w:rPr>
      </w:pPr>
    </w:p>
    <w:p w:rsidR="00523D74" w:rsidRDefault="00523D74" w:rsidP="00E95A92">
      <w:pPr>
        <w:spacing w:line="480" w:lineRule="auto"/>
        <w:contextualSpacing/>
        <w:jc w:val="center"/>
        <w:rPr>
          <w:b/>
          <w:sz w:val="28"/>
          <w:szCs w:val="28"/>
        </w:rPr>
      </w:pPr>
    </w:p>
    <w:p w:rsidR="00523D74" w:rsidRDefault="00523D74" w:rsidP="00E95A92">
      <w:pPr>
        <w:spacing w:line="480" w:lineRule="auto"/>
        <w:contextualSpacing/>
        <w:jc w:val="center"/>
        <w:rPr>
          <w:b/>
          <w:sz w:val="28"/>
          <w:szCs w:val="28"/>
        </w:rPr>
      </w:pPr>
    </w:p>
    <w:p w:rsidR="00523D74" w:rsidRDefault="00523D74" w:rsidP="00E95A92">
      <w:pPr>
        <w:spacing w:line="480" w:lineRule="auto"/>
        <w:contextualSpacing/>
        <w:jc w:val="center"/>
        <w:rPr>
          <w:b/>
          <w:sz w:val="28"/>
          <w:szCs w:val="28"/>
        </w:rPr>
      </w:pPr>
    </w:p>
    <w:p w:rsidR="00523D74" w:rsidRDefault="00523D74" w:rsidP="00E95A92">
      <w:pPr>
        <w:spacing w:line="480" w:lineRule="auto"/>
        <w:contextualSpacing/>
        <w:jc w:val="center"/>
        <w:rPr>
          <w:b/>
          <w:sz w:val="28"/>
          <w:szCs w:val="28"/>
        </w:rPr>
      </w:pPr>
    </w:p>
    <w:p w:rsidR="00D027CE" w:rsidRPr="00FE5B3A" w:rsidRDefault="00D027CE" w:rsidP="00E3793F">
      <w:pPr>
        <w:spacing w:line="480" w:lineRule="auto"/>
        <w:contextualSpacing/>
        <w:jc w:val="center"/>
        <w:rPr>
          <w:b/>
          <w:sz w:val="28"/>
          <w:szCs w:val="28"/>
        </w:rPr>
      </w:pPr>
      <w:r w:rsidRPr="00FE5B3A">
        <w:rPr>
          <w:b/>
          <w:sz w:val="28"/>
          <w:szCs w:val="28"/>
        </w:rPr>
        <w:lastRenderedPageBreak/>
        <w:t>Chapter 2</w:t>
      </w:r>
    </w:p>
    <w:p w:rsidR="00901018" w:rsidRPr="00FE5B3A" w:rsidRDefault="000A1FA6" w:rsidP="009D1D3F">
      <w:pPr>
        <w:pStyle w:val="Heading1"/>
        <w:jc w:val="center"/>
        <w:rPr>
          <w:rFonts w:asciiTheme="minorHAnsi" w:hAnsiTheme="minorHAnsi"/>
          <w:color w:val="auto"/>
        </w:rPr>
      </w:pPr>
      <w:bookmarkStart w:id="15" w:name="_Toc364366582"/>
      <w:r>
        <w:rPr>
          <w:rFonts w:asciiTheme="minorHAnsi" w:hAnsiTheme="minorHAnsi"/>
          <w:color w:val="auto"/>
        </w:rPr>
        <w:t>Minimum inhibitory concentrations of essential oils</w:t>
      </w:r>
      <w:bookmarkEnd w:id="15"/>
    </w:p>
    <w:p w:rsidR="009D1D3F" w:rsidRPr="00FE5B3A" w:rsidRDefault="009D1D3F" w:rsidP="009D1D3F">
      <w:pPr>
        <w:rPr>
          <w:sz w:val="24"/>
          <w:szCs w:val="24"/>
        </w:rPr>
      </w:pPr>
    </w:p>
    <w:p w:rsidR="009D1D3F" w:rsidRPr="00696044" w:rsidRDefault="00701057" w:rsidP="00701057">
      <w:pPr>
        <w:spacing w:line="480" w:lineRule="auto"/>
        <w:contextualSpacing/>
        <w:rPr>
          <w:sz w:val="24"/>
          <w:szCs w:val="24"/>
        </w:rPr>
      </w:pPr>
      <w:bookmarkStart w:id="16" w:name="_Toc364366583"/>
      <w:r w:rsidRPr="00696044">
        <w:rPr>
          <w:rStyle w:val="Heading2Char"/>
          <w:rFonts w:asciiTheme="minorHAnsi" w:hAnsiTheme="minorHAnsi"/>
          <w:color w:val="auto"/>
          <w:sz w:val="24"/>
          <w:szCs w:val="24"/>
        </w:rPr>
        <w:t>Abstract</w:t>
      </w:r>
      <w:bookmarkEnd w:id="16"/>
    </w:p>
    <w:p w:rsidR="00701057" w:rsidRPr="00FE5B3A" w:rsidRDefault="00701057" w:rsidP="009D1D3F">
      <w:pPr>
        <w:spacing w:line="480" w:lineRule="auto"/>
        <w:ind w:firstLine="720"/>
        <w:contextualSpacing/>
        <w:rPr>
          <w:sz w:val="24"/>
          <w:szCs w:val="24"/>
        </w:rPr>
      </w:pPr>
      <w:r w:rsidRPr="00FE5B3A">
        <w:rPr>
          <w:sz w:val="24"/>
          <w:szCs w:val="24"/>
        </w:rPr>
        <w:t>The essential oils of clove bud, cinnamon bark and thyme, as well as some of the individual compounds that comprise these essential oils, including allyl isot</w:t>
      </w:r>
      <w:r w:rsidR="00111C41">
        <w:rPr>
          <w:sz w:val="24"/>
          <w:szCs w:val="24"/>
        </w:rPr>
        <w:t>hiocyanate, carvacrol, cinnam</w:t>
      </w:r>
      <w:r w:rsidRPr="00FE5B3A">
        <w:rPr>
          <w:sz w:val="24"/>
          <w:szCs w:val="24"/>
        </w:rPr>
        <w:t xml:space="preserve">aldehyde, cinnamic acid, eugenol, and thymol were assessed for antimicrobial activity against nine lactic acid bacteria species. Carvacrol and thymol were the </w:t>
      </w:r>
      <w:proofErr w:type="gramStart"/>
      <w:r w:rsidRPr="00FE5B3A">
        <w:rPr>
          <w:sz w:val="24"/>
          <w:szCs w:val="24"/>
        </w:rPr>
        <w:t>most inhibitory</w:t>
      </w:r>
      <w:proofErr w:type="gramEnd"/>
      <w:r w:rsidRPr="00FE5B3A">
        <w:rPr>
          <w:sz w:val="24"/>
          <w:szCs w:val="24"/>
        </w:rPr>
        <w:t xml:space="preserve"> with MICs of 0.1%</w:t>
      </w:r>
      <w:r w:rsidR="00FD6738">
        <w:rPr>
          <w:sz w:val="24"/>
          <w:szCs w:val="24"/>
        </w:rPr>
        <w:t xml:space="preserve"> (v/v and w/v, respectively)</w:t>
      </w:r>
      <w:r w:rsidRPr="00FE5B3A">
        <w:rPr>
          <w:sz w:val="24"/>
          <w:szCs w:val="24"/>
        </w:rPr>
        <w:t xml:space="preserve">. </w:t>
      </w:r>
      <w:r w:rsidR="00111C41">
        <w:rPr>
          <w:sz w:val="24"/>
          <w:szCs w:val="24"/>
        </w:rPr>
        <w:t>Cinnamaldehyde</w:t>
      </w:r>
      <w:r w:rsidRPr="00FE5B3A">
        <w:rPr>
          <w:sz w:val="24"/>
          <w:szCs w:val="24"/>
        </w:rPr>
        <w:t>, cinnamon bark oil, clove bud oil, eugenol, and thyme oil were moderately inhibitive (MICs = 0.2%</w:t>
      </w:r>
      <w:r w:rsidR="00FD6738">
        <w:rPr>
          <w:sz w:val="24"/>
          <w:szCs w:val="24"/>
        </w:rPr>
        <w:t xml:space="preserve"> v/v</w:t>
      </w:r>
      <w:r w:rsidRPr="00FE5B3A">
        <w:rPr>
          <w:sz w:val="24"/>
          <w:szCs w:val="24"/>
        </w:rPr>
        <w:t xml:space="preserve">), while cinnamic acid </w:t>
      </w:r>
      <w:r w:rsidR="00FD6738">
        <w:rPr>
          <w:sz w:val="24"/>
          <w:szCs w:val="24"/>
        </w:rPr>
        <w:t xml:space="preserve">(w/v) </w:t>
      </w:r>
      <w:r w:rsidRPr="00FE5B3A">
        <w:rPr>
          <w:sz w:val="24"/>
          <w:szCs w:val="24"/>
        </w:rPr>
        <w:t xml:space="preserve">required a concentration of 0.5% to </w:t>
      </w:r>
      <w:r w:rsidR="00BC45C9">
        <w:rPr>
          <w:sz w:val="24"/>
          <w:szCs w:val="24"/>
        </w:rPr>
        <w:t>inhibit</w:t>
      </w:r>
      <w:r w:rsidR="00BC45C9" w:rsidRPr="00FE5B3A">
        <w:rPr>
          <w:sz w:val="24"/>
          <w:szCs w:val="24"/>
        </w:rPr>
        <w:t xml:space="preserve"> </w:t>
      </w:r>
      <w:r w:rsidRPr="00FE5B3A">
        <w:rPr>
          <w:sz w:val="24"/>
          <w:szCs w:val="24"/>
        </w:rPr>
        <w:t>microbial growth. The MIC for allyl isothiocyanate was not determined as the effective dose exceeded the concentration tested within this study</w:t>
      </w:r>
      <w:r w:rsidR="000F2A35">
        <w:rPr>
          <w:sz w:val="24"/>
          <w:szCs w:val="24"/>
        </w:rPr>
        <w:t xml:space="preserve"> (0.75%</w:t>
      </w:r>
      <w:r w:rsidR="00FD6738">
        <w:rPr>
          <w:sz w:val="24"/>
          <w:szCs w:val="24"/>
        </w:rPr>
        <w:t xml:space="preserve"> v/v</w:t>
      </w:r>
      <w:r w:rsidR="000F2A35">
        <w:rPr>
          <w:sz w:val="24"/>
          <w:szCs w:val="24"/>
        </w:rPr>
        <w:t>)</w:t>
      </w:r>
      <w:r w:rsidRPr="00FE5B3A">
        <w:rPr>
          <w:sz w:val="24"/>
          <w:szCs w:val="24"/>
        </w:rPr>
        <w:t xml:space="preserve">. </w:t>
      </w:r>
      <w:r w:rsidR="00BC45C9">
        <w:rPr>
          <w:sz w:val="24"/>
          <w:szCs w:val="24"/>
        </w:rPr>
        <w:t>R</w:t>
      </w:r>
      <w:r w:rsidRPr="00FE5B3A">
        <w:rPr>
          <w:sz w:val="24"/>
          <w:szCs w:val="24"/>
        </w:rPr>
        <w:t xml:space="preserve">esults indicate that individual essential oil components </w:t>
      </w:r>
      <w:r w:rsidR="00BC45C9">
        <w:rPr>
          <w:sz w:val="24"/>
          <w:szCs w:val="24"/>
        </w:rPr>
        <w:t xml:space="preserve">and </w:t>
      </w:r>
      <w:r w:rsidRPr="00FE5B3A">
        <w:rPr>
          <w:sz w:val="24"/>
          <w:szCs w:val="24"/>
        </w:rPr>
        <w:t xml:space="preserve">whole essential oils </w:t>
      </w:r>
      <w:r w:rsidR="00BC45C9">
        <w:rPr>
          <w:sz w:val="24"/>
          <w:szCs w:val="24"/>
        </w:rPr>
        <w:t xml:space="preserve">may be suitable </w:t>
      </w:r>
      <w:r w:rsidRPr="00FE5B3A">
        <w:rPr>
          <w:sz w:val="24"/>
          <w:szCs w:val="24"/>
        </w:rPr>
        <w:t>for their antimicrobial properties</w:t>
      </w:r>
      <w:r w:rsidR="00BC45C9">
        <w:rPr>
          <w:sz w:val="24"/>
          <w:szCs w:val="24"/>
        </w:rPr>
        <w:t xml:space="preserve"> in food. H</w:t>
      </w:r>
      <w:r w:rsidRPr="00FE5B3A">
        <w:rPr>
          <w:sz w:val="24"/>
          <w:szCs w:val="24"/>
        </w:rPr>
        <w:t xml:space="preserve">owever, </w:t>
      </w:r>
      <w:r w:rsidR="00BC45C9">
        <w:rPr>
          <w:sz w:val="24"/>
          <w:szCs w:val="24"/>
        </w:rPr>
        <w:t xml:space="preserve">the </w:t>
      </w:r>
      <w:r w:rsidRPr="00FE5B3A">
        <w:rPr>
          <w:sz w:val="24"/>
          <w:szCs w:val="24"/>
        </w:rPr>
        <w:t xml:space="preserve">concentrations required for inhibition </w:t>
      </w:r>
      <w:r w:rsidR="00BC45C9">
        <w:rPr>
          <w:sz w:val="24"/>
          <w:szCs w:val="24"/>
        </w:rPr>
        <w:t xml:space="preserve">will need to be evaluated for </w:t>
      </w:r>
      <w:r w:rsidRPr="00FE5B3A">
        <w:rPr>
          <w:sz w:val="24"/>
          <w:szCs w:val="24"/>
        </w:rPr>
        <w:t xml:space="preserve">incorporation </w:t>
      </w:r>
      <w:r w:rsidR="00BC45C9">
        <w:rPr>
          <w:sz w:val="24"/>
          <w:szCs w:val="24"/>
        </w:rPr>
        <w:t xml:space="preserve">as </w:t>
      </w:r>
      <w:r w:rsidRPr="00FE5B3A">
        <w:rPr>
          <w:sz w:val="24"/>
          <w:szCs w:val="24"/>
        </w:rPr>
        <w:t>food preservative</w:t>
      </w:r>
      <w:r w:rsidR="00BC45C9">
        <w:rPr>
          <w:sz w:val="24"/>
          <w:szCs w:val="24"/>
        </w:rPr>
        <w:t>s</w:t>
      </w:r>
      <w:r w:rsidRPr="00FE5B3A">
        <w:rPr>
          <w:sz w:val="24"/>
          <w:szCs w:val="24"/>
        </w:rPr>
        <w:t xml:space="preserve"> </w:t>
      </w:r>
      <w:r w:rsidR="00BC45C9">
        <w:rPr>
          <w:sz w:val="24"/>
          <w:szCs w:val="24"/>
        </w:rPr>
        <w:t xml:space="preserve">because of their </w:t>
      </w:r>
      <w:r w:rsidR="000F2A35">
        <w:rPr>
          <w:sz w:val="24"/>
          <w:szCs w:val="24"/>
        </w:rPr>
        <w:t>organoleptic impact</w:t>
      </w:r>
      <w:r w:rsidRPr="00FE5B3A">
        <w:rPr>
          <w:sz w:val="24"/>
          <w:szCs w:val="24"/>
        </w:rPr>
        <w:t>.</w:t>
      </w:r>
    </w:p>
    <w:p w:rsidR="00701057" w:rsidRPr="00FE5B3A" w:rsidRDefault="00701057" w:rsidP="00701057">
      <w:pPr>
        <w:spacing w:line="480" w:lineRule="auto"/>
        <w:contextualSpacing/>
        <w:rPr>
          <w:sz w:val="24"/>
          <w:szCs w:val="24"/>
        </w:rPr>
      </w:pPr>
    </w:p>
    <w:p w:rsidR="006778AD" w:rsidRDefault="006778AD" w:rsidP="00701057">
      <w:pPr>
        <w:spacing w:line="480" w:lineRule="auto"/>
        <w:contextualSpacing/>
        <w:rPr>
          <w:sz w:val="24"/>
          <w:szCs w:val="24"/>
        </w:rPr>
      </w:pPr>
    </w:p>
    <w:p w:rsidR="006778AD" w:rsidRDefault="006778AD" w:rsidP="00701057">
      <w:pPr>
        <w:spacing w:line="480" w:lineRule="auto"/>
        <w:contextualSpacing/>
        <w:rPr>
          <w:sz w:val="24"/>
          <w:szCs w:val="24"/>
        </w:rPr>
      </w:pPr>
    </w:p>
    <w:p w:rsidR="006778AD" w:rsidRDefault="006778AD" w:rsidP="00701057">
      <w:pPr>
        <w:spacing w:line="480" w:lineRule="auto"/>
        <w:contextualSpacing/>
        <w:rPr>
          <w:sz w:val="24"/>
          <w:szCs w:val="24"/>
        </w:rPr>
      </w:pPr>
    </w:p>
    <w:p w:rsidR="006778AD" w:rsidRDefault="006778AD" w:rsidP="00701057">
      <w:pPr>
        <w:spacing w:line="480" w:lineRule="auto"/>
        <w:contextualSpacing/>
        <w:rPr>
          <w:sz w:val="24"/>
          <w:szCs w:val="24"/>
        </w:rPr>
      </w:pPr>
    </w:p>
    <w:p w:rsidR="006778AD" w:rsidRDefault="006778AD" w:rsidP="00701057">
      <w:pPr>
        <w:spacing w:line="480" w:lineRule="auto"/>
        <w:contextualSpacing/>
        <w:rPr>
          <w:sz w:val="24"/>
          <w:szCs w:val="24"/>
        </w:rPr>
      </w:pPr>
    </w:p>
    <w:p w:rsidR="006778AD" w:rsidRDefault="006778AD" w:rsidP="00701057">
      <w:pPr>
        <w:spacing w:line="480" w:lineRule="auto"/>
        <w:contextualSpacing/>
        <w:rPr>
          <w:sz w:val="24"/>
          <w:szCs w:val="24"/>
        </w:rPr>
      </w:pPr>
    </w:p>
    <w:p w:rsidR="006778AD" w:rsidRDefault="006778AD" w:rsidP="00701057">
      <w:pPr>
        <w:spacing w:line="480" w:lineRule="auto"/>
        <w:contextualSpacing/>
        <w:rPr>
          <w:sz w:val="24"/>
          <w:szCs w:val="24"/>
        </w:rPr>
      </w:pPr>
    </w:p>
    <w:p w:rsidR="006778AD" w:rsidRDefault="006778AD" w:rsidP="00701057">
      <w:pPr>
        <w:spacing w:line="480" w:lineRule="auto"/>
        <w:contextualSpacing/>
        <w:rPr>
          <w:sz w:val="24"/>
          <w:szCs w:val="24"/>
        </w:rPr>
      </w:pPr>
    </w:p>
    <w:p w:rsidR="00701057" w:rsidRPr="00FC054F" w:rsidRDefault="00701057" w:rsidP="00701057">
      <w:pPr>
        <w:spacing w:line="480" w:lineRule="auto"/>
        <w:contextualSpacing/>
        <w:rPr>
          <w:i/>
          <w:sz w:val="24"/>
          <w:szCs w:val="24"/>
        </w:rPr>
      </w:pPr>
      <w:r w:rsidRPr="00FE5B3A">
        <w:rPr>
          <w:sz w:val="24"/>
          <w:szCs w:val="24"/>
        </w:rPr>
        <w:t>Keywords:</w:t>
      </w:r>
      <w:r w:rsidR="000F2A35">
        <w:rPr>
          <w:sz w:val="24"/>
          <w:szCs w:val="24"/>
        </w:rPr>
        <w:t xml:space="preserve"> </w:t>
      </w:r>
      <w:r w:rsidR="000F2A35" w:rsidRPr="00FC054F">
        <w:rPr>
          <w:i/>
          <w:sz w:val="24"/>
          <w:szCs w:val="24"/>
        </w:rPr>
        <w:t>Essential oils, minimum inhibitory concentration, lactic acid bacteria</w:t>
      </w:r>
    </w:p>
    <w:p w:rsidR="00701057" w:rsidRPr="00FE5B3A" w:rsidRDefault="00701057" w:rsidP="00701057">
      <w:pPr>
        <w:spacing w:line="480" w:lineRule="auto"/>
        <w:contextualSpacing/>
        <w:rPr>
          <w:sz w:val="24"/>
          <w:szCs w:val="24"/>
        </w:rPr>
      </w:pPr>
    </w:p>
    <w:p w:rsidR="00701057" w:rsidRPr="00FE5B3A" w:rsidRDefault="00701057" w:rsidP="00701057">
      <w:pPr>
        <w:spacing w:line="480" w:lineRule="auto"/>
        <w:contextualSpacing/>
        <w:rPr>
          <w:sz w:val="24"/>
          <w:szCs w:val="24"/>
        </w:rPr>
      </w:pPr>
      <w:r w:rsidRPr="00FE5B3A">
        <w:rPr>
          <w:sz w:val="24"/>
          <w:szCs w:val="24"/>
        </w:rPr>
        <w:t>Practical Application:</w:t>
      </w:r>
      <w:r w:rsidR="00C572B9">
        <w:rPr>
          <w:sz w:val="24"/>
          <w:szCs w:val="24"/>
        </w:rPr>
        <w:t xml:space="preserve"> </w:t>
      </w:r>
      <w:r w:rsidR="00906E55">
        <w:rPr>
          <w:sz w:val="24"/>
          <w:szCs w:val="24"/>
        </w:rPr>
        <w:t>Essential oils are plant derived compounds that consumers may view as more natural and safer alternatives to synthetic preservatives. These oils have been demonstrated to have antibacterial and antifungal activity within food systems, and may be ideal additives to food formulations in order to meet the growing consumer demand for organic and natural food products.</w:t>
      </w:r>
    </w:p>
    <w:p w:rsidR="00701057" w:rsidRPr="00FE5B3A" w:rsidRDefault="00701057" w:rsidP="007E1649">
      <w:pPr>
        <w:pStyle w:val="Heading2"/>
        <w:spacing w:line="480" w:lineRule="auto"/>
        <w:rPr>
          <w:rFonts w:asciiTheme="minorHAnsi" w:hAnsiTheme="minorHAnsi"/>
          <w:color w:val="auto"/>
        </w:rPr>
      </w:pPr>
      <w:bookmarkStart w:id="17" w:name="_Toc364366584"/>
      <w:r w:rsidRPr="00FE5B3A">
        <w:rPr>
          <w:rFonts w:asciiTheme="minorHAnsi" w:hAnsiTheme="minorHAnsi"/>
          <w:color w:val="auto"/>
        </w:rPr>
        <w:t>Introduction</w:t>
      </w:r>
      <w:bookmarkEnd w:id="17"/>
    </w:p>
    <w:p w:rsidR="00701057" w:rsidRPr="00FE5B3A" w:rsidRDefault="00701057" w:rsidP="007E1649">
      <w:pPr>
        <w:spacing w:line="480" w:lineRule="auto"/>
        <w:ind w:firstLine="720"/>
        <w:contextualSpacing/>
        <w:rPr>
          <w:sz w:val="24"/>
          <w:szCs w:val="24"/>
        </w:rPr>
      </w:pPr>
      <w:r w:rsidRPr="00FE5B3A">
        <w:rPr>
          <w:sz w:val="24"/>
          <w:szCs w:val="24"/>
        </w:rPr>
        <w:t>The antimicrobial activity of plants and their essentials oils has been recognized and exploited for thousands of years. Plants commonly incorporated as flavorings into cuisines worldwide, such as cinnamon, sage, and thyme have been and continue to be explored as potential food preservatives. Efficacy</w:t>
      </w:r>
      <w:r w:rsidR="00FD6738">
        <w:rPr>
          <w:sz w:val="24"/>
          <w:szCs w:val="24"/>
        </w:rPr>
        <w:t xml:space="preserve"> has been observed against Gram-</w:t>
      </w:r>
      <w:r w:rsidRPr="00FE5B3A">
        <w:rPr>
          <w:sz w:val="24"/>
          <w:szCs w:val="24"/>
        </w:rPr>
        <w:t>positive and negative bacteria as well as fungi (Shelef 1983</w:t>
      </w:r>
      <w:r w:rsidR="00E508C0">
        <w:rPr>
          <w:sz w:val="24"/>
          <w:szCs w:val="24"/>
        </w:rPr>
        <w:t xml:space="preserve">; </w:t>
      </w:r>
      <w:r w:rsidR="00450FFB">
        <w:rPr>
          <w:sz w:val="24"/>
          <w:szCs w:val="24"/>
        </w:rPr>
        <w:t>Zaika 1988</w:t>
      </w:r>
      <w:r w:rsidR="002923D2">
        <w:rPr>
          <w:sz w:val="24"/>
          <w:szCs w:val="24"/>
        </w:rPr>
        <w:t xml:space="preserve">; </w:t>
      </w:r>
      <w:r w:rsidR="00E508C0">
        <w:rPr>
          <w:sz w:val="24"/>
          <w:szCs w:val="24"/>
        </w:rPr>
        <w:t>Hammer and others 1999</w:t>
      </w:r>
      <w:r w:rsidRPr="00FE5B3A">
        <w:rPr>
          <w:sz w:val="24"/>
          <w:szCs w:val="24"/>
        </w:rPr>
        <w:t>). More recently, emphasis has been directed towards the extraction of essential oils from plant matter and even further to concentrated antimicrobial compone</w:t>
      </w:r>
      <w:r w:rsidR="0021556C">
        <w:rPr>
          <w:sz w:val="24"/>
          <w:szCs w:val="24"/>
        </w:rPr>
        <w:t xml:space="preserve">nts, namely phenolic compounds, for use as </w:t>
      </w:r>
      <w:r w:rsidR="00186F35">
        <w:rPr>
          <w:sz w:val="24"/>
          <w:szCs w:val="24"/>
        </w:rPr>
        <w:t xml:space="preserve">antimicrobial </w:t>
      </w:r>
      <w:r w:rsidR="0021556C">
        <w:rPr>
          <w:sz w:val="24"/>
          <w:szCs w:val="24"/>
        </w:rPr>
        <w:t>food preservatives (Davidson and others 2005).</w:t>
      </w:r>
    </w:p>
    <w:p w:rsidR="00701057" w:rsidRPr="00FE5B3A" w:rsidRDefault="00701057" w:rsidP="009D1D3F">
      <w:pPr>
        <w:spacing w:line="480" w:lineRule="auto"/>
        <w:ind w:firstLine="720"/>
        <w:contextualSpacing/>
        <w:rPr>
          <w:sz w:val="24"/>
          <w:szCs w:val="24"/>
        </w:rPr>
      </w:pPr>
      <w:r w:rsidRPr="00FE5B3A">
        <w:rPr>
          <w:sz w:val="24"/>
          <w:szCs w:val="24"/>
        </w:rPr>
        <w:t xml:space="preserve">Despite </w:t>
      </w:r>
      <w:r w:rsidR="00F77089">
        <w:rPr>
          <w:sz w:val="24"/>
          <w:szCs w:val="24"/>
        </w:rPr>
        <w:t xml:space="preserve">a long history of safe use in food products compounded along with </w:t>
      </w:r>
      <w:r w:rsidRPr="00FE5B3A">
        <w:rPr>
          <w:sz w:val="24"/>
          <w:szCs w:val="24"/>
        </w:rPr>
        <w:t xml:space="preserve">assurance from regulatory authorities regarding the safety of commercially employed synthetic preservatives, increasing consumer trend towards perceived natural additives is encouraging </w:t>
      </w:r>
      <w:r w:rsidRPr="00FE5B3A">
        <w:rPr>
          <w:sz w:val="24"/>
          <w:szCs w:val="24"/>
        </w:rPr>
        <w:lastRenderedPageBreak/>
        <w:t>food companies to consider alternative preservative methods and components.</w:t>
      </w:r>
      <w:r w:rsidR="000F2A35">
        <w:rPr>
          <w:sz w:val="24"/>
          <w:szCs w:val="24"/>
        </w:rPr>
        <w:t xml:space="preserve"> Plant</w:t>
      </w:r>
      <w:r w:rsidRPr="00FE5B3A">
        <w:rPr>
          <w:sz w:val="24"/>
          <w:szCs w:val="24"/>
        </w:rPr>
        <w:t xml:space="preserve"> sources are commonly examined as many species utilize antimicrobial agents and toxins to combat microbial invasion or consumption by invertebrate, avian, and mammalian predators (Ames and others 1990; Sofos and others 1998). </w:t>
      </w:r>
    </w:p>
    <w:p w:rsidR="00701057" w:rsidRPr="00FE5B3A" w:rsidRDefault="00701057" w:rsidP="009D1D3F">
      <w:pPr>
        <w:spacing w:line="480" w:lineRule="auto"/>
        <w:ind w:firstLine="720"/>
        <w:contextualSpacing/>
        <w:rPr>
          <w:sz w:val="24"/>
          <w:szCs w:val="24"/>
        </w:rPr>
      </w:pPr>
      <w:r w:rsidRPr="00FE5B3A">
        <w:rPr>
          <w:sz w:val="24"/>
          <w:szCs w:val="24"/>
        </w:rPr>
        <w:t xml:space="preserve">Applications of plant essential oils have been studied extensively against </w:t>
      </w:r>
      <w:r w:rsidR="00E640D5">
        <w:rPr>
          <w:sz w:val="24"/>
          <w:szCs w:val="24"/>
        </w:rPr>
        <w:t>foodborne</w:t>
      </w:r>
      <w:r w:rsidRPr="00FE5B3A">
        <w:rPr>
          <w:sz w:val="24"/>
          <w:szCs w:val="24"/>
        </w:rPr>
        <w:t xml:space="preserve"> pathogens, but a significant void exists in research with spoilage microorganisms. Gener</w:t>
      </w:r>
      <w:r w:rsidR="00FD6738">
        <w:rPr>
          <w:sz w:val="24"/>
          <w:szCs w:val="24"/>
        </w:rPr>
        <w:t>al consensus suggests that Gram-</w:t>
      </w:r>
      <w:r w:rsidRPr="00FE5B3A">
        <w:rPr>
          <w:sz w:val="24"/>
          <w:szCs w:val="24"/>
        </w:rPr>
        <w:t>positive organisms are typically more sensitive than Gram</w:t>
      </w:r>
      <w:r w:rsidR="00FD6738">
        <w:rPr>
          <w:sz w:val="24"/>
          <w:szCs w:val="24"/>
        </w:rPr>
        <w:t>-</w:t>
      </w:r>
      <w:r w:rsidRPr="00FE5B3A">
        <w:rPr>
          <w:sz w:val="24"/>
          <w:szCs w:val="24"/>
        </w:rPr>
        <w:t>negative organisms to essential oils, with some exceptions. Lactic acid bacteria</w:t>
      </w:r>
      <w:r w:rsidR="00E92E94">
        <w:rPr>
          <w:sz w:val="24"/>
          <w:szCs w:val="24"/>
        </w:rPr>
        <w:t xml:space="preserve"> (LAB)</w:t>
      </w:r>
      <w:r w:rsidRPr="00FE5B3A">
        <w:rPr>
          <w:sz w:val="24"/>
          <w:szCs w:val="24"/>
        </w:rPr>
        <w:t xml:space="preserve">, for example, seem less susceptible to the inhibitory action of essential oils than most bacteria, and in fact have been shown to have stimulated growth in the presence of some oils (Shelef 1983; Zaika and others 1983; Kıvanç and others 1991; Holley and Patel 2005; Angienda and Hill 2012). </w:t>
      </w:r>
    </w:p>
    <w:p w:rsidR="00701057" w:rsidRPr="00FE5B3A" w:rsidRDefault="00701057" w:rsidP="009D1D3F">
      <w:pPr>
        <w:spacing w:line="480" w:lineRule="auto"/>
        <w:ind w:firstLine="720"/>
        <w:contextualSpacing/>
        <w:rPr>
          <w:sz w:val="24"/>
          <w:szCs w:val="24"/>
        </w:rPr>
      </w:pPr>
      <w:r w:rsidRPr="00FE5B3A">
        <w:rPr>
          <w:sz w:val="24"/>
          <w:szCs w:val="24"/>
        </w:rPr>
        <w:t>The object of this study was to determine the minimum inhibitory concentrations</w:t>
      </w:r>
      <w:r w:rsidR="00E92E94">
        <w:rPr>
          <w:sz w:val="24"/>
          <w:szCs w:val="24"/>
        </w:rPr>
        <w:t xml:space="preserve"> (MIC)</w:t>
      </w:r>
      <w:r w:rsidRPr="00FE5B3A">
        <w:rPr>
          <w:sz w:val="24"/>
          <w:szCs w:val="24"/>
        </w:rPr>
        <w:t xml:space="preserve"> of the selected essential oils or essential oil components against a</w:t>
      </w:r>
      <w:r w:rsidR="00186F35">
        <w:rPr>
          <w:sz w:val="24"/>
          <w:szCs w:val="24"/>
        </w:rPr>
        <w:t xml:space="preserve"> </w:t>
      </w:r>
      <w:r w:rsidRPr="00FE5B3A">
        <w:rPr>
          <w:sz w:val="24"/>
          <w:szCs w:val="24"/>
        </w:rPr>
        <w:t xml:space="preserve">collection of lactic acid bacteria </w:t>
      </w:r>
      <w:r w:rsidR="000F2A35">
        <w:rPr>
          <w:sz w:val="24"/>
          <w:szCs w:val="24"/>
        </w:rPr>
        <w:t xml:space="preserve">that are commonly associated with spoilage of acid foods </w:t>
      </w:r>
      <w:r w:rsidR="00186F35">
        <w:rPr>
          <w:sz w:val="24"/>
          <w:szCs w:val="24"/>
        </w:rPr>
        <w:t xml:space="preserve">at </w:t>
      </w:r>
      <w:r w:rsidRPr="00FE5B3A">
        <w:rPr>
          <w:sz w:val="24"/>
          <w:szCs w:val="24"/>
        </w:rPr>
        <w:t xml:space="preserve">ambient temperature and atmospheric growth conditions. </w:t>
      </w:r>
    </w:p>
    <w:p w:rsidR="00701057" w:rsidRPr="00FE5B3A" w:rsidRDefault="00701057" w:rsidP="00652905">
      <w:pPr>
        <w:pStyle w:val="Heading2"/>
        <w:spacing w:line="480" w:lineRule="auto"/>
        <w:rPr>
          <w:rFonts w:asciiTheme="minorHAnsi" w:hAnsiTheme="minorHAnsi"/>
          <w:color w:val="auto"/>
        </w:rPr>
      </w:pPr>
      <w:bookmarkStart w:id="18" w:name="_Toc364366585"/>
      <w:r w:rsidRPr="00FE5B3A">
        <w:rPr>
          <w:rFonts w:asciiTheme="minorHAnsi" w:hAnsiTheme="minorHAnsi"/>
          <w:color w:val="auto"/>
        </w:rPr>
        <w:t>Materials and Methods</w:t>
      </w:r>
      <w:bookmarkEnd w:id="18"/>
    </w:p>
    <w:p w:rsidR="009C468F" w:rsidRPr="00652905" w:rsidRDefault="009C468F" w:rsidP="00652905">
      <w:pPr>
        <w:pStyle w:val="Heading3"/>
        <w:spacing w:line="480" w:lineRule="auto"/>
        <w:rPr>
          <w:rFonts w:asciiTheme="minorHAnsi" w:hAnsiTheme="minorHAnsi"/>
          <w:color w:val="auto"/>
          <w:sz w:val="24"/>
          <w:szCs w:val="24"/>
        </w:rPr>
      </w:pPr>
      <w:bookmarkStart w:id="19" w:name="_Toc364366586"/>
      <w:r w:rsidRPr="00652905">
        <w:rPr>
          <w:rFonts w:asciiTheme="minorHAnsi" w:hAnsiTheme="minorHAnsi"/>
          <w:color w:val="auto"/>
          <w:sz w:val="24"/>
          <w:szCs w:val="24"/>
        </w:rPr>
        <w:t xml:space="preserve">Agar </w:t>
      </w:r>
      <w:r w:rsidR="00C572B9" w:rsidRPr="00652905">
        <w:rPr>
          <w:rFonts w:asciiTheme="minorHAnsi" w:hAnsiTheme="minorHAnsi"/>
          <w:color w:val="auto"/>
          <w:sz w:val="24"/>
          <w:szCs w:val="24"/>
        </w:rPr>
        <w:t>preparation</w:t>
      </w:r>
      <w:bookmarkEnd w:id="19"/>
    </w:p>
    <w:p w:rsidR="00701057" w:rsidRPr="00FE5B3A" w:rsidRDefault="00FD6738" w:rsidP="00652905">
      <w:pPr>
        <w:spacing w:line="480" w:lineRule="auto"/>
        <w:ind w:firstLine="720"/>
        <w:contextualSpacing/>
        <w:rPr>
          <w:sz w:val="24"/>
          <w:szCs w:val="24"/>
        </w:rPr>
      </w:pPr>
      <w:r>
        <w:rPr>
          <w:sz w:val="24"/>
          <w:szCs w:val="24"/>
        </w:rPr>
        <w:t>D</w:t>
      </w:r>
      <w:r w:rsidR="000F2A35">
        <w:rPr>
          <w:sz w:val="24"/>
          <w:szCs w:val="24"/>
        </w:rPr>
        <w:t>e M</w:t>
      </w:r>
      <w:r w:rsidR="00701057" w:rsidRPr="00FE5B3A">
        <w:rPr>
          <w:sz w:val="24"/>
          <w:szCs w:val="24"/>
        </w:rPr>
        <w:t>an, Rogosa, Sharpe agar (</w:t>
      </w:r>
      <w:r w:rsidR="00186F35">
        <w:rPr>
          <w:sz w:val="24"/>
          <w:szCs w:val="24"/>
        </w:rPr>
        <w:t xml:space="preserve">MRS; </w:t>
      </w:r>
      <w:r w:rsidR="00701057" w:rsidRPr="00FE5B3A">
        <w:rPr>
          <w:sz w:val="24"/>
          <w:szCs w:val="24"/>
        </w:rPr>
        <w:t>Oxoid, Basingstoke, UK</w:t>
      </w:r>
      <w:r w:rsidR="00186F35">
        <w:rPr>
          <w:sz w:val="24"/>
          <w:szCs w:val="24"/>
        </w:rPr>
        <w:t xml:space="preserve"> or</w:t>
      </w:r>
      <w:r w:rsidR="00701057" w:rsidRPr="00FE5B3A">
        <w:rPr>
          <w:sz w:val="24"/>
          <w:szCs w:val="24"/>
        </w:rPr>
        <w:t xml:space="preserve"> Difco, Sparks, MD) was sterilized (121°C for 15 </w:t>
      </w:r>
      <w:r w:rsidR="00E640D5">
        <w:rPr>
          <w:sz w:val="24"/>
          <w:szCs w:val="24"/>
        </w:rPr>
        <w:t>min</w:t>
      </w:r>
      <w:r w:rsidR="00701057" w:rsidRPr="00FE5B3A">
        <w:rPr>
          <w:sz w:val="24"/>
          <w:szCs w:val="24"/>
        </w:rPr>
        <w:t>) and allowed to cool to approximately 60°C</w:t>
      </w:r>
      <w:r w:rsidR="00186F35">
        <w:rPr>
          <w:sz w:val="24"/>
          <w:szCs w:val="24"/>
        </w:rPr>
        <w:t>. Following cooling, a</w:t>
      </w:r>
      <w:r w:rsidR="00186F35" w:rsidRPr="00FE5B3A">
        <w:rPr>
          <w:sz w:val="24"/>
          <w:szCs w:val="24"/>
        </w:rPr>
        <w:t xml:space="preserve">llyl isothiocyanate, carvacrol, cinnamon bark oil, </w:t>
      </w:r>
      <w:r w:rsidR="00186F35">
        <w:rPr>
          <w:sz w:val="24"/>
          <w:szCs w:val="24"/>
        </w:rPr>
        <w:t>trans-cinnamaldehyde</w:t>
      </w:r>
      <w:r w:rsidR="00186F35" w:rsidRPr="00FE5B3A">
        <w:rPr>
          <w:sz w:val="24"/>
          <w:szCs w:val="24"/>
        </w:rPr>
        <w:t xml:space="preserve">, clove bud oil, eugenol, trans-cinnamic acid, thymol, and thyme oil (Sigma, St. Louis, MO) were incorporated </w:t>
      </w:r>
      <w:r w:rsidR="00186F35">
        <w:rPr>
          <w:sz w:val="24"/>
          <w:szCs w:val="24"/>
        </w:rPr>
        <w:t xml:space="preserve">into the </w:t>
      </w:r>
      <w:r w:rsidR="00186F35">
        <w:rPr>
          <w:sz w:val="24"/>
          <w:szCs w:val="24"/>
        </w:rPr>
        <w:lastRenderedPageBreak/>
        <w:t>medium</w:t>
      </w:r>
      <w:r w:rsidR="00701057" w:rsidRPr="00FE5B3A">
        <w:rPr>
          <w:sz w:val="24"/>
          <w:szCs w:val="24"/>
        </w:rPr>
        <w:t xml:space="preserve">. The mixture was stirred rapidly and poured into petri plates before separation of the oil could occur. </w:t>
      </w:r>
    </w:p>
    <w:p w:rsidR="009C468F" w:rsidRPr="00FE5B3A" w:rsidRDefault="009C468F" w:rsidP="00652905">
      <w:pPr>
        <w:pStyle w:val="Heading3"/>
        <w:spacing w:line="480" w:lineRule="auto"/>
        <w:rPr>
          <w:rFonts w:asciiTheme="minorHAnsi" w:hAnsiTheme="minorHAnsi"/>
          <w:color w:val="auto"/>
          <w:sz w:val="24"/>
          <w:szCs w:val="24"/>
        </w:rPr>
      </w:pPr>
      <w:bookmarkStart w:id="20" w:name="_Toc364366587"/>
      <w:r w:rsidRPr="00FE5B3A">
        <w:rPr>
          <w:rFonts w:asciiTheme="minorHAnsi" w:hAnsiTheme="minorHAnsi"/>
          <w:color w:val="auto"/>
          <w:sz w:val="24"/>
          <w:szCs w:val="24"/>
        </w:rPr>
        <w:t>Culture Inoculation</w:t>
      </w:r>
      <w:bookmarkEnd w:id="20"/>
      <w:r w:rsidRPr="00FE5B3A">
        <w:rPr>
          <w:rFonts w:asciiTheme="minorHAnsi" w:hAnsiTheme="minorHAnsi"/>
          <w:color w:val="auto"/>
          <w:sz w:val="24"/>
          <w:szCs w:val="24"/>
        </w:rPr>
        <w:t xml:space="preserve"> </w:t>
      </w:r>
    </w:p>
    <w:p w:rsidR="00701057" w:rsidRPr="00FE5B3A" w:rsidRDefault="00701057" w:rsidP="00652905">
      <w:pPr>
        <w:spacing w:line="480" w:lineRule="auto"/>
        <w:ind w:firstLine="720"/>
        <w:contextualSpacing/>
        <w:rPr>
          <w:sz w:val="24"/>
          <w:szCs w:val="24"/>
        </w:rPr>
      </w:pPr>
      <w:r w:rsidRPr="00FE5B3A">
        <w:rPr>
          <w:sz w:val="24"/>
          <w:szCs w:val="24"/>
        </w:rPr>
        <w:t xml:space="preserve">Cultures of the following lactic acid bacteria were grown in 10 mL tubes of MRS broth to </w:t>
      </w:r>
      <w:r w:rsidR="00FD6738">
        <w:rPr>
          <w:sz w:val="24"/>
          <w:szCs w:val="24"/>
        </w:rPr>
        <w:t>stationary phase (</w:t>
      </w:r>
      <w:r w:rsidRPr="00FE5B3A">
        <w:rPr>
          <w:sz w:val="24"/>
          <w:szCs w:val="24"/>
        </w:rPr>
        <w:t>approximately 10</w:t>
      </w:r>
      <w:r w:rsidR="008D73DF" w:rsidRPr="008D73DF">
        <w:rPr>
          <w:sz w:val="24"/>
          <w:szCs w:val="24"/>
          <w:vertAlign w:val="superscript"/>
        </w:rPr>
        <w:t>9</w:t>
      </w:r>
      <w:r w:rsidRPr="00FE5B3A">
        <w:rPr>
          <w:sz w:val="24"/>
          <w:szCs w:val="24"/>
        </w:rPr>
        <w:t xml:space="preserve"> or 10</w:t>
      </w:r>
      <w:r w:rsidR="008D73DF" w:rsidRPr="008D73DF">
        <w:rPr>
          <w:sz w:val="24"/>
          <w:szCs w:val="24"/>
          <w:vertAlign w:val="superscript"/>
        </w:rPr>
        <w:t>8</w:t>
      </w:r>
      <w:r w:rsidRPr="00FE5B3A">
        <w:rPr>
          <w:sz w:val="24"/>
          <w:szCs w:val="24"/>
        </w:rPr>
        <w:t xml:space="preserve"> </w:t>
      </w:r>
      <w:r w:rsidR="008F0026">
        <w:rPr>
          <w:sz w:val="24"/>
          <w:szCs w:val="24"/>
        </w:rPr>
        <w:t>CFU</w:t>
      </w:r>
      <w:r w:rsidRPr="00FE5B3A">
        <w:rPr>
          <w:sz w:val="24"/>
          <w:szCs w:val="24"/>
        </w:rPr>
        <w:t>/mL</w:t>
      </w:r>
      <w:r w:rsidR="00FD6738">
        <w:rPr>
          <w:sz w:val="24"/>
          <w:szCs w:val="24"/>
        </w:rPr>
        <w:t>)</w:t>
      </w:r>
      <w:r w:rsidRPr="00FE5B3A">
        <w:rPr>
          <w:sz w:val="24"/>
          <w:szCs w:val="24"/>
        </w:rPr>
        <w:t xml:space="preserve">: </w:t>
      </w:r>
      <w:r w:rsidR="00DB0605" w:rsidRPr="00DB0605">
        <w:rPr>
          <w:i/>
          <w:sz w:val="24"/>
          <w:szCs w:val="24"/>
        </w:rPr>
        <w:t xml:space="preserve">Pediococcus </w:t>
      </w:r>
      <w:r w:rsidR="006F4759">
        <w:rPr>
          <w:i/>
          <w:sz w:val="24"/>
          <w:szCs w:val="24"/>
        </w:rPr>
        <w:t>acidilactici</w:t>
      </w:r>
      <w:r w:rsidRPr="00FE5B3A">
        <w:rPr>
          <w:sz w:val="24"/>
          <w:szCs w:val="24"/>
        </w:rPr>
        <w:t xml:space="preserve"> ATCC 8042, </w:t>
      </w:r>
      <w:r w:rsidR="00DB0605" w:rsidRPr="00DB0605">
        <w:rPr>
          <w:i/>
          <w:sz w:val="24"/>
          <w:szCs w:val="24"/>
        </w:rPr>
        <w:t>Pediococcus damnosus</w:t>
      </w:r>
      <w:r w:rsidRPr="00FE5B3A">
        <w:rPr>
          <w:sz w:val="24"/>
          <w:szCs w:val="24"/>
        </w:rPr>
        <w:t xml:space="preserve"> ATCC 11308, </w:t>
      </w:r>
      <w:r w:rsidR="00FD3B94" w:rsidRPr="00FD3B94">
        <w:rPr>
          <w:i/>
          <w:sz w:val="24"/>
          <w:szCs w:val="24"/>
        </w:rPr>
        <w:t>Leuconostoc citrovorum</w:t>
      </w:r>
      <w:r w:rsidRPr="00FE5B3A">
        <w:rPr>
          <w:sz w:val="24"/>
          <w:szCs w:val="24"/>
        </w:rPr>
        <w:t xml:space="preserve"> ATCC 23065, </w:t>
      </w:r>
      <w:r w:rsidR="00FD3B94" w:rsidRPr="00FD3B94">
        <w:rPr>
          <w:i/>
          <w:sz w:val="24"/>
          <w:szCs w:val="24"/>
        </w:rPr>
        <w:t>Leuconostoc mesenteroides</w:t>
      </w:r>
      <w:r w:rsidRPr="00FE5B3A">
        <w:rPr>
          <w:sz w:val="24"/>
          <w:szCs w:val="24"/>
        </w:rPr>
        <w:t xml:space="preserve"> ATCC 8293, </w:t>
      </w:r>
      <w:r w:rsidR="00FD3B94" w:rsidRPr="00FD3B94">
        <w:rPr>
          <w:i/>
          <w:sz w:val="24"/>
          <w:szCs w:val="24"/>
        </w:rPr>
        <w:t>Lactobacillus buchneri</w:t>
      </w:r>
      <w:r w:rsidRPr="00FE5B3A">
        <w:rPr>
          <w:sz w:val="24"/>
          <w:szCs w:val="24"/>
        </w:rPr>
        <w:t xml:space="preserve"> ATCC 9460, </w:t>
      </w:r>
      <w:r w:rsidR="00FD3B94" w:rsidRPr="00FD3B94">
        <w:rPr>
          <w:i/>
          <w:sz w:val="24"/>
          <w:szCs w:val="24"/>
        </w:rPr>
        <w:t>Lactobacillus brevis</w:t>
      </w:r>
      <w:r w:rsidRPr="00FE5B3A">
        <w:rPr>
          <w:sz w:val="24"/>
          <w:szCs w:val="24"/>
        </w:rPr>
        <w:t xml:space="preserve"> ATCC 367, </w:t>
      </w:r>
      <w:r w:rsidR="00FD3B94" w:rsidRPr="00FD3B94">
        <w:rPr>
          <w:i/>
          <w:sz w:val="24"/>
          <w:szCs w:val="24"/>
        </w:rPr>
        <w:t>Lactobacillus fermentum</w:t>
      </w:r>
      <w:r w:rsidRPr="00FE5B3A">
        <w:rPr>
          <w:sz w:val="24"/>
          <w:szCs w:val="24"/>
        </w:rPr>
        <w:t xml:space="preserve"> ATCC 8289, </w:t>
      </w:r>
      <w:r w:rsidR="00FD3B94" w:rsidRPr="00FD3B94">
        <w:rPr>
          <w:i/>
          <w:sz w:val="24"/>
          <w:szCs w:val="24"/>
        </w:rPr>
        <w:t>Lactobacillus fructivorans</w:t>
      </w:r>
      <w:r w:rsidRPr="00FE5B3A">
        <w:rPr>
          <w:sz w:val="24"/>
          <w:szCs w:val="24"/>
        </w:rPr>
        <w:t xml:space="preserve"> ATCC 8288, and </w:t>
      </w:r>
      <w:r w:rsidR="00FD3B94" w:rsidRPr="00FD3B94">
        <w:rPr>
          <w:i/>
          <w:sz w:val="24"/>
          <w:szCs w:val="24"/>
        </w:rPr>
        <w:t>Lactobacillus plantarum</w:t>
      </w:r>
      <w:r w:rsidRPr="00FE5B3A">
        <w:rPr>
          <w:sz w:val="24"/>
          <w:szCs w:val="24"/>
        </w:rPr>
        <w:t xml:space="preserve"> ATCC 4008. </w:t>
      </w:r>
      <w:r w:rsidR="00186F35">
        <w:rPr>
          <w:sz w:val="24"/>
          <w:szCs w:val="24"/>
        </w:rPr>
        <w:t>Cultures were s</w:t>
      </w:r>
      <w:r w:rsidRPr="00FE5B3A">
        <w:rPr>
          <w:sz w:val="24"/>
          <w:szCs w:val="24"/>
        </w:rPr>
        <w:t>erial dilut</w:t>
      </w:r>
      <w:r w:rsidR="00186F35">
        <w:rPr>
          <w:sz w:val="24"/>
          <w:szCs w:val="24"/>
        </w:rPr>
        <w:t xml:space="preserve">ed </w:t>
      </w:r>
      <w:r w:rsidRPr="00FE5B3A">
        <w:rPr>
          <w:sz w:val="24"/>
          <w:szCs w:val="24"/>
        </w:rPr>
        <w:t>to 10</w:t>
      </w:r>
      <w:r w:rsidRPr="00DB0605">
        <w:rPr>
          <w:sz w:val="24"/>
          <w:szCs w:val="24"/>
          <w:vertAlign w:val="superscript"/>
        </w:rPr>
        <w:t>4</w:t>
      </w:r>
      <w:r w:rsidR="00FD3B94">
        <w:rPr>
          <w:sz w:val="24"/>
          <w:szCs w:val="24"/>
        </w:rPr>
        <w:t xml:space="preserve"> </w:t>
      </w:r>
      <w:r w:rsidR="008F0026">
        <w:rPr>
          <w:sz w:val="24"/>
          <w:szCs w:val="24"/>
        </w:rPr>
        <w:t xml:space="preserve">CFU/mL </w:t>
      </w:r>
      <w:r w:rsidRPr="00FE5B3A">
        <w:rPr>
          <w:sz w:val="24"/>
          <w:szCs w:val="24"/>
        </w:rPr>
        <w:t>in</w:t>
      </w:r>
      <w:r w:rsidR="00DB0605">
        <w:rPr>
          <w:sz w:val="24"/>
          <w:szCs w:val="24"/>
        </w:rPr>
        <w:t xml:space="preserve"> 0.</w:t>
      </w:r>
      <w:r w:rsidRPr="00FE5B3A">
        <w:rPr>
          <w:sz w:val="24"/>
          <w:szCs w:val="24"/>
        </w:rPr>
        <w:t>1% peptone water (</w:t>
      </w:r>
      <w:r w:rsidR="00DB0605">
        <w:rPr>
          <w:sz w:val="24"/>
          <w:szCs w:val="24"/>
        </w:rPr>
        <w:t>Acros Organics, Geel, Belgium</w:t>
      </w:r>
      <w:r w:rsidRPr="00FE5B3A">
        <w:rPr>
          <w:sz w:val="24"/>
          <w:szCs w:val="24"/>
        </w:rPr>
        <w:t xml:space="preserve">). </w:t>
      </w:r>
      <w:r w:rsidR="00186F35">
        <w:rPr>
          <w:sz w:val="24"/>
          <w:szCs w:val="24"/>
        </w:rPr>
        <w:t>MRS plates with a</w:t>
      </w:r>
      <w:r w:rsidRPr="00FE5B3A">
        <w:rPr>
          <w:sz w:val="24"/>
          <w:szCs w:val="24"/>
        </w:rPr>
        <w:t>ntimicrobial incorporated were divided into 3 segments, upon which 10 µL of diluted culture was spot inoculated. Plates w</w:t>
      </w:r>
      <w:r w:rsidR="00DB0605">
        <w:rPr>
          <w:sz w:val="24"/>
          <w:szCs w:val="24"/>
        </w:rPr>
        <w:t>ere incubated according to</w:t>
      </w:r>
      <w:r w:rsidRPr="00FE5B3A">
        <w:rPr>
          <w:sz w:val="24"/>
          <w:szCs w:val="24"/>
        </w:rPr>
        <w:t xml:space="preserve"> temperature and oxygen specifications required for each species</w:t>
      </w:r>
      <w:r w:rsidR="00E95A92">
        <w:rPr>
          <w:sz w:val="24"/>
          <w:szCs w:val="24"/>
        </w:rPr>
        <w:t xml:space="preserve"> according to ATCC </w:t>
      </w:r>
      <w:r w:rsidR="00FC054F">
        <w:rPr>
          <w:sz w:val="24"/>
          <w:szCs w:val="24"/>
        </w:rPr>
        <w:t xml:space="preserve">recommendations </w:t>
      </w:r>
      <w:r w:rsidR="00E95A92">
        <w:rPr>
          <w:sz w:val="24"/>
          <w:szCs w:val="24"/>
        </w:rPr>
        <w:t>(</w:t>
      </w:r>
      <w:r w:rsidR="00186F35">
        <w:rPr>
          <w:sz w:val="24"/>
          <w:szCs w:val="24"/>
        </w:rPr>
        <w:t>T</w:t>
      </w:r>
      <w:r w:rsidR="00E95A92">
        <w:rPr>
          <w:sz w:val="24"/>
          <w:szCs w:val="24"/>
        </w:rPr>
        <w:t>able 2.</w:t>
      </w:r>
      <w:r w:rsidR="00F77089">
        <w:rPr>
          <w:sz w:val="24"/>
          <w:szCs w:val="24"/>
        </w:rPr>
        <w:t>1</w:t>
      </w:r>
      <w:r w:rsidR="00E95A92">
        <w:rPr>
          <w:sz w:val="24"/>
          <w:szCs w:val="24"/>
        </w:rPr>
        <w:t>)</w:t>
      </w:r>
      <w:r w:rsidRPr="00FE5B3A">
        <w:rPr>
          <w:sz w:val="24"/>
          <w:szCs w:val="24"/>
        </w:rPr>
        <w:t>.</w:t>
      </w:r>
      <w:r w:rsidR="00E3793F">
        <w:rPr>
          <w:sz w:val="24"/>
          <w:szCs w:val="24"/>
        </w:rPr>
        <w:t xml:space="preserve"> Anaerobic conditions were achieved using anaerobe sachets </w:t>
      </w:r>
      <w:r w:rsidR="00E3793F" w:rsidRPr="00701057">
        <w:rPr>
          <w:sz w:val="24"/>
          <w:szCs w:val="24"/>
        </w:rPr>
        <w:t>(</w:t>
      </w:r>
      <w:r w:rsidR="00E3793F" w:rsidRPr="00FF400C">
        <w:rPr>
          <w:sz w:val="24"/>
          <w:szCs w:val="24"/>
        </w:rPr>
        <w:t>Becton, Dickinson and Company</w:t>
      </w:r>
      <w:r w:rsidR="00E3793F">
        <w:rPr>
          <w:sz w:val="24"/>
          <w:szCs w:val="24"/>
        </w:rPr>
        <w:t>, Sparks, Maryland).</w:t>
      </w:r>
      <w:r w:rsidRPr="00FE5B3A">
        <w:rPr>
          <w:sz w:val="24"/>
          <w:szCs w:val="24"/>
        </w:rPr>
        <w:t xml:space="preserve"> Inhibition was determined by lack of colony formation on agar surface</w:t>
      </w:r>
      <w:r w:rsidR="008F0026">
        <w:rPr>
          <w:sz w:val="24"/>
          <w:szCs w:val="24"/>
        </w:rPr>
        <w:t xml:space="preserve"> after </w:t>
      </w:r>
      <w:r w:rsidR="00E95A92" w:rsidRPr="00E95A92">
        <w:rPr>
          <w:sz w:val="24"/>
          <w:szCs w:val="24"/>
        </w:rPr>
        <w:t>96</w:t>
      </w:r>
      <w:r w:rsidR="008D73DF" w:rsidRPr="00E95A92">
        <w:rPr>
          <w:sz w:val="24"/>
          <w:szCs w:val="24"/>
        </w:rPr>
        <w:t xml:space="preserve"> h</w:t>
      </w:r>
      <w:r w:rsidRPr="00FE5B3A">
        <w:rPr>
          <w:sz w:val="24"/>
          <w:szCs w:val="24"/>
        </w:rPr>
        <w:t xml:space="preserve">, while growth indicated an insufficient antimicrobial concentration. </w:t>
      </w:r>
      <w:r w:rsidR="00FD3B94">
        <w:rPr>
          <w:sz w:val="24"/>
          <w:szCs w:val="24"/>
        </w:rPr>
        <w:t xml:space="preserve">Three </w:t>
      </w:r>
      <w:r w:rsidR="008F0026">
        <w:rPr>
          <w:sz w:val="24"/>
          <w:szCs w:val="24"/>
        </w:rPr>
        <w:t>s</w:t>
      </w:r>
      <w:r w:rsidR="00FD3B94">
        <w:rPr>
          <w:sz w:val="24"/>
          <w:szCs w:val="24"/>
        </w:rPr>
        <w:t>amples were evaluated per replicate and each experiment was replicated three times (n=9).</w:t>
      </w:r>
      <w:r w:rsidRPr="00FE5B3A">
        <w:rPr>
          <w:sz w:val="24"/>
          <w:szCs w:val="24"/>
        </w:rPr>
        <w:t xml:space="preserve"> </w:t>
      </w:r>
    </w:p>
    <w:p w:rsidR="00701057" w:rsidRPr="00FE5B3A" w:rsidRDefault="00701057" w:rsidP="00652905">
      <w:pPr>
        <w:pStyle w:val="Heading2"/>
        <w:spacing w:line="480" w:lineRule="auto"/>
        <w:rPr>
          <w:rFonts w:asciiTheme="minorHAnsi" w:hAnsiTheme="minorHAnsi"/>
          <w:color w:val="auto"/>
        </w:rPr>
      </w:pPr>
      <w:bookmarkStart w:id="21" w:name="_Toc364366588"/>
      <w:r w:rsidRPr="00FE5B3A">
        <w:rPr>
          <w:rFonts w:asciiTheme="minorHAnsi" w:hAnsiTheme="minorHAnsi"/>
          <w:color w:val="auto"/>
        </w:rPr>
        <w:t>Results</w:t>
      </w:r>
      <w:r w:rsidR="00A01793">
        <w:rPr>
          <w:rFonts w:asciiTheme="minorHAnsi" w:hAnsiTheme="minorHAnsi"/>
          <w:color w:val="auto"/>
        </w:rPr>
        <w:t xml:space="preserve"> and Discussion</w:t>
      </w:r>
      <w:bookmarkEnd w:id="21"/>
    </w:p>
    <w:p w:rsidR="00701057" w:rsidRPr="00FE5B3A" w:rsidRDefault="00701057" w:rsidP="00F74B21">
      <w:pPr>
        <w:spacing w:line="480" w:lineRule="auto"/>
        <w:ind w:firstLine="720"/>
        <w:contextualSpacing/>
        <w:rPr>
          <w:sz w:val="24"/>
          <w:szCs w:val="24"/>
        </w:rPr>
      </w:pPr>
      <w:r w:rsidRPr="00FE5B3A">
        <w:rPr>
          <w:sz w:val="24"/>
          <w:szCs w:val="24"/>
        </w:rPr>
        <w:t xml:space="preserve">Great variation </w:t>
      </w:r>
      <w:r w:rsidR="00186F35">
        <w:rPr>
          <w:sz w:val="24"/>
          <w:szCs w:val="24"/>
        </w:rPr>
        <w:t xml:space="preserve">in efficacy </w:t>
      </w:r>
      <w:r w:rsidRPr="00FE5B3A">
        <w:rPr>
          <w:sz w:val="24"/>
          <w:szCs w:val="24"/>
        </w:rPr>
        <w:t xml:space="preserve">existed among the </w:t>
      </w:r>
      <w:r w:rsidR="00652905">
        <w:rPr>
          <w:sz w:val="24"/>
          <w:szCs w:val="24"/>
        </w:rPr>
        <w:t>antimicrobials</w:t>
      </w:r>
      <w:r w:rsidR="00186F35">
        <w:rPr>
          <w:sz w:val="24"/>
          <w:szCs w:val="24"/>
        </w:rPr>
        <w:t xml:space="preserve"> </w:t>
      </w:r>
      <w:r w:rsidR="00186F35" w:rsidRPr="00FE5B3A">
        <w:rPr>
          <w:sz w:val="24"/>
          <w:szCs w:val="24"/>
        </w:rPr>
        <w:t>tes</w:t>
      </w:r>
      <w:r w:rsidR="00186F35">
        <w:rPr>
          <w:sz w:val="24"/>
          <w:szCs w:val="24"/>
        </w:rPr>
        <w:t>ted (Table 2.2)</w:t>
      </w:r>
      <w:r w:rsidR="00652905">
        <w:rPr>
          <w:sz w:val="24"/>
          <w:szCs w:val="24"/>
        </w:rPr>
        <w:t xml:space="preserve">. Thymol </w:t>
      </w:r>
      <w:r w:rsidR="00FD6738">
        <w:rPr>
          <w:sz w:val="24"/>
          <w:szCs w:val="24"/>
        </w:rPr>
        <w:t xml:space="preserve">(w/v) </w:t>
      </w:r>
      <w:r w:rsidR="00652905">
        <w:rPr>
          <w:sz w:val="24"/>
          <w:szCs w:val="24"/>
        </w:rPr>
        <w:t>and c</w:t>
      </w:r>
      <w:r w:rsidRPr="00FE5B3A">
        <w:rPr>
          <w:sz w:val="24"/>
          <w:szCs w:val="24"/>
        </w:rPr>
        <w:t>arvacrol</w:t>
      </w:r>
      <w:r w:rsidR="00FD6738">
        <w:rPr>
          <w:sz w:val="24"/>
          <w:szCs w:val="24"/>
        </w:rPr>
        <w:t xml:space="preserve"> (v/v)</w:t>
      </w:r>
      <w:r w:rsidRPr="00FE5B3A">
        <w:rPr>
          <w:sz w:val="24"/>
          <w:szCs w:val="24"/>
        </w:rPr>
        <w:t xml:space="preserve"> were the most inhibit</w:t>
      </w:r>
      <w:r w:rsidR="00186F35">
        <w:rPr>
          <w:sz w:val="24"/>
          <w:szCs w:val="24"/>
        </w:rPr>
        <w:t>ory</w:t>
      </w:r>
      <w:r w:rsidRPr="00FE5B3A">
        <w:rPr>
          <w:sz w:val="24"/>
          <w:szCs w:val="24"/>
        </w:rPr>
        <w:t xml:space="preserve"> oils with </w:t>
      </w:r>
      <w:r w:rsidR="00186F35">
        <w:rPr>
          <w:sz w:val="24"/>
          <w:szCs w:val="24"/>
        </w:rPr>
        <w:t>MICs</w:t>
      </w:r>
      <w:r w:rsidRPr="00FE5B3A">
        <w:rPr>
          <w:sz w:val="24"/>
          <w:szCs w:val="24"/>
        </w:rPr>
        <w:t xml:space="preserve"> of 0.05% against all LAB except </w:t>
      </w:r>
      <w:r w:rsidR="00FD3B94" w:rsidRPr="00FD3B94">
        <w:rPr>
          <w:i/>
          <w:sz w:val="24"/>
          <w:szCs w:val="24"/>
        </w:rPr>
        <w:t>L. plantarum</w:t>
      </w:r>
      <w:r w:rsidRPr="00FE5B3A">
        <w:rPr>
          <w:sz w:val="24"/>
          <w:szCs w:val="24"/>
        </w:rPr>
        <w:t xml:space="preserve"> (carvacrol) and </w:t>
      </w:r>
      <w:r w:rsidR="00FD3B94" w:rsidRPr="00FD3B94">
        <w:rPr>
          <w:i/>
          <w:sz w:val="24"/>
          <w:szCs w:val="24"/>
        </w:rPr>
        <w:t>L. buchneri</w:t>
      </w:r>
      <w:r w:rsidRPr="00FE5B3A">
        <w:rPr>
          <w:sz w:val="24"/>
          <w:szCs w:val="24"/>
        </w:rPr>
        <w:t xml:space="preserve"> (carvacrol and thymol), where the MIC </w:t>
      </w:r>
      <w:r w:rsidR="003C5F12">
        <w:rPr>
          <w:sz w:val="24"/>
          <w:szCs w:val="24"/>
        </w:rPr>
        <w:t>was 0.1%</w:t>
      </w:r>
      <w:r w:rsidR="00FD6738">
        <w:rPr>
          <w:sz w:val="24"/>
          <w:szCs w:val="24"/>
        </w:rPr>
        <w:t xml:space="preserve"> w/v or </w:t>
      </w:r>
      <w:r w:rsidR="00FD6738">
        <w:rPr>
          <w:sz w:val="24"/>
          <w:szCs w:val="24"/>
        </w:rPr>
        <w:lastRenderedPageBreak/>
        <w:t>v/</w:t>
      </w:r>
      <w:proofErr w:type="gramStart"/>
      <w:r w:rsidR="00FD6738">
        <w:rPr>
          <w:sz w:val="24"/>
          <w:szCs w:val="24"/>
        </w:rPr>
        <w:t>v  in</w:t>
      </w:r>
      <w:proofErr w:type="gramEnd"/>
      <w:r w:rsidR="00FD6738">
        <w:rPr>
          <w:sz w:val="24"/>
          <w:szCs w:val="24"/>
        </w:rPr>
        <w:t xml:space="preserve"> both instances</w:t>
      </w:r>
      <w:r w:rsidR="003C5F12">
        <w:rPr>
          <w:sz w:val="24"/>
          <w:szCs w:val="24"/>
        </w:rPr>
        <w:t>. Cinnam</w:t>
      </w:r>
      <w:r w:rsidRPr="00FE5B3A">
        <w:rPr>
          <w:sz w:val="24"/>
          <w:szCs w:val="24"/>
        </w:rPr>
        <w:t>aldehyde and cinnamon bark oil were the next most effective wit</w:t>
      </w:r>
      <w:r w:rsidR="002E2DAA">
        <w:rPr>
          <w:sz w:val="24"/>
          <w:szCs w:val="24"/>
        </w:rPr>
        <w:t xml:space="preserve">h </w:t>
      </w:r>
      <w:r w:rsidR="00186F35">
        <w:rPr>
          <w:sz w:val="24"/>
          <w:szCs w:val="24"/>
        </w:rPr>
        <w:t>MICs</w:t>
      </w:r>
      <w:r w:rsidR="002E2DAA">
        <w:rPr>
          <w:sz w:val="24"/>
          <w:szCs w:val="24"/>
        </w:rPr>
        <w:t xml:space="preserve"> of 0.2%</w:t>
      </w:r>
      <w:r w:rsidR="00FD6738">
        <w:rPr>
          <w:sz w:val="24"/>
          <w:szCs w:val="24"/>
        </w:rPr>
        <w:t xml:space="preserve"> v/v</w:t>
      </w:r>
      <w:r w:rsidR="003C5F12">
        <w:rPr>
          <w:sz w:val="24"/>
          <w:szCs w:val="24"/>
        </w:rPr>
        <w:t>, although the majority of species were inhibited by 0.1%</w:t>
      </w:r>
      <w:r w:rsidR="00FD6738">
        <w:rPr>
          <w:sz w:val="24"/>
          <w:szCs w:val="24"/>
        </w:rPr>
        <w:t xml:space="preserve"> v/v</w:t>
      </w:r>
      <w:r w:rsidR="003C5F12">
        <w:rPr>
          <w:sz w:val="24"/>
          <w:szCs w:val="24"/>
        </w:rPr>
        <w:t xml:space="preserve"> of each antimicrobial.</w:t>
      </w:r>
      <w:r w:rsidR="003C5F12" w:rsidRPr="003C5F12">
        <w:rPr>
          <w:i/>
          <w:sz w:val="24"/>
          <w:szCs w:val="24"/>
        </w:rPr>
        <w:t xml:space="preserve"> P. acidilactici </w:t>
      </w:r>
      <w:r w:rsidR="003C5F12">
        <w:rPr>
          <w:sz w:val="24"/>
          <w:szCs w:val="24"/>
        </w:rPr>
        <w:t xml:space="preserve">was </w:t>
      </w:r>
      <w:r w:rsidR="00A82726">
        <w:rPr>
          <w:sz w:val="24"/>
          <w:szCs w:val="24"/>
        </w:rPr>
        <w:t xml:space="preserve">the only species </w:t>
      </w:r>
      <w:r w:rsidR="003C5F12">
        <w:rPr>
          <w:sz w:val="24"/>
          <w:szCs w:val="24"/>
        </w:rPr>
        <w:t>no</w:t>
      </w:r>
      <w:r w:rsidR="00A82726">
        <w:rPr>
          <w:sz w:val="24"/>
          <w:szCs w:val="24"/>
        </w:rPr>
        <w:t>t</w:t>
      </w:r>
      <w:r w:rsidR="003C5F12">
        <w:rPr>
          <w:sz w:val="24"/>
          <w:szCs w:val="24"/>
        </w:rPr>
        <w:t xml:space="preserve"> inhibited by 0.1% </w:t>
      </w:r>
      <w:r w:rsidR="00FD6738">
        <w:rPr>
          <w:sz w:val="24"/>
          <w:szCs w:val="24"/>
        </w:rPr>
        <w:t xml:space="preserve">v/v </w:t>
      </w:r>
      <w:r w:rsidR="003C5F12">
        <w:rPr>
          <w:sz w:val="24"/>
          <w:szCs w:val="24"/>
        </w:rPr>
        <w:t>cinnamaldehyde</w:t>
      </w:r>
      <w:r w:rsidR="00186F35">
        <w:rPr>
          <w:sz w:val="24"/>
          <w:szCs w:val="24"/>
        </w:rPr>
        <w:t xml:space="preserve">. </w:t>
      </w:r>
      <w:r w:rsidR="00186F35">
        <w:rPr>
          <w:i/>
          <w:sz w:val="24"/>
          <w:szCs w:val="24"/>
        </w:rPr>
        <w:t xml:space="preserve">P. acidilactici </w:t>
      </w:r>
      <w:r w:rsidR="00186F35">
        <w:rPr>
          <w:sz w:val="24"/>
          <w:szCs w:val="24"/>
        </w:rPr>
        <w:t xml:space="preserve">and </w:t>
      </w:r>
      <w:r w:rsidR="003C5F12" w:rsidRPr="003C5F12">
        <w:rPr>
          <w:i/>
          <w:sz w:val="24"/>
          <w:szCs w:val="24"/>
        </w:rPr>
        <w:t>L. mesenteroides</w:t>
      </w:r>
      <w:r w:rsidR="003C5F12">
        <w:rPr>
          <w:sz w:val="24"/>
          <w:szCs w:val="24"/>
        </w:rPr>
        <w:t xml:space="preserve"> </w:t>
      </w:r>
      <w:r w:rsidR="00186F35">
        <w:rPr>
          <w:sz w:val="24"/>
          <w:szCs w:val="24"/>
        </w:rPr>
        <w:t xml:space="preserve">also </w:t>
      </w:r>
      <w:r w:rsidR="003C5F12">
        <w:rPr>
          <w:sz w:val="24"/>
          <w:szCs w:val="24"/>
        </w:rPr>
        <w:t xml:space="preserve">were the </w:t>
      </w:r>
      <w:r w:rsidR="001D0D8F">
        <w:rPr>
          <w:sz w:val="24"/>
          <w:szCs w:val="24"/>
        </w:rPr>
        <w:t>not</w:t>
      </w:r>
      <w:r w:rsidR="003C5F12">
        <w:rPr>
          <w:sz w:val="24"/>
          <w:szCs w:val="24"/>
        </w:rPr>
        <w:t xml:space="preserve"> inhibited by cinnamon bark oil concentrations </w:t>
      </w:r>
      <w:r w:rsidR="00186F35">
        <w:rPr>
          <w:sz w:val="24"/>
          <w:szCs w:val="24"/>
        </w:rPr>
        <w:t xml:space="preserve">&lt; </w:t>
      </w:r>
      <w:r w:rsidR="003C5F12">
        <w:rPr>
          <w:sz w:val="24"/>
          <w:szCs w:val="24"/>
        </w:rPr>
        <w:t>0.2%</w:t>
      </w:r>
      <w:r w:rsidR="00F74B21">
        <w:rPr>
          <w:sz w:val="24"/>
          <w:szCs w:val="24"/>
        </w:rPr>
        <w:t xml:space="preserve"> v/v</w:t>
      </w:r>
      <w:r w:rsidR="00A82726">
        <w:rPr>
          <w:sz w:val="24"/>
          <w:szCs w:val="24"/>
        </w:rPr>
        <w:t>.</w:t>
      </w:r>
      <w:r w:rsidRPr="00FE5B3A">
        <w:rPr>
          <w:sz w:val="24"/>
          <w:szCs w:val="24"/>
        </w:rPr>
        <w:t xml:space="preserve"> Clove bud oil, eugenol and thyme o</w:t>
      </w:r>
      <w:r w:rsidR="005104B0">
        <w:rPr>
          <w:sz w:val="24"/>
          <w:szCs w:val="24"/>
        </w:rPr>
        <w:t xml:space="preserve">il </w:t>
      </w:r>
      <w:r w:rsidR="003C5F12">
        <w:rPr>
          <w:sz w:val="24"/>
          <w:szCs w:val="24"/>
        </w:rPr>
        <w:t xml:space="preserve">also had </w:t>
      </w:r>
      <w:r w:rsidR="00186F35">
        <w:rPr>
          <w:sz w:val="24"/>
          <w:szCs w:val="24"/>
        </w:rPr>
        <w:t>MICs</w:t>
      </w:r>
      <w:r w:rsidR="003C5F12">
        <w:rPr>
          <w:sz w:val="24"/>
          <w:szCs w:val="24"/>
        </w:rPr>
        <w:t xml:space="preserve"> of 0.2%</w:t>
      </w:r>
      <w:r w:rsidR="00F74B21">
        <w:rPr>
          <w:sz w:val="24"/>
          <w:szCs w:val="24"/>
        </w:rPr>
        <w:t xml:space="preserve"> v/v</w:t>
      </w:r>
      <w:r w:rsidR="00C06615">
        <w:rPr>
          <w:sz w:val="24"/>
          <w:szCs w:val="24"/>
        </w:rPr>
        <w:t>.</w:t>
      </w:r>
      <w:r w:rsidR="00194CBC">
        <w:rPr>
          <w:sz w:val="24"/>
          <w:szCs w:val="24"/>
        </w:rPr>
        <w:t xml:space="preserve"> The results of our study are consistent with the available literature reporting that LAB are inherently more resistant to essential oils than most Gr</w:t>
      </w:r>
      <w:r w:rsidR="00F74B21">
        <w:rPr>
          <w:sz w:val="24"/>
          <w:szCs w:val="24"/>
        </w:rPr>
        <w:t>am-negative and Gram-</w:t>
      </w:r>
      <w:r w:rsidR="00194CBC">
        <w:rPr>
          <w:sz w:val="24"/>
          <w:szCs w:val="24"/>
        </w:rPr>
        <w:t xml:space="preserve">positive species. One group reported that concentrations of 0.12% (v/v) clove oil and 0.03% thyme oil were sufficient to inhibit </w:t>
      </w:r>
      <w:r w:rsidR="00194CBC" w:rsidRPr="00ED70DD">
        <w:rPr>
          <w:i/>
          <w:sz w:val="24"/>
          <w:szCs w:val="24"/>
        </w:rPr>
        <w:t>S. aureus</w:t>
      </w:r>
      <w:r w:rsidR="00194CBC">
        <w:rPr>
          <w:sz w:val="24"/>
          <w:szCs w:val="24"/>
        </w:rPr>
        <w:t xml:space="preserve"> and </w:t>
      </w:r>
      <w:r w:rsidR="00194CBC" w:rsidRPr="00ED70DD">
        <w:rPr>
          <w:i/>
          <w:sz w:val="24"/>
          <w:szCs w:val="24"/>
        </w:rPr>
        <w:t>E. coli</w:t>
      </w:r>
      <w:r w:rsidR="00194CBC">
        <w:rPr>
          <w:sz w:val="24"/>
          <w:szCs w:val="24"/>
        </w:rPr>
        <w:t xml:space="preserve"> (Hammer and others 1999). The LAB we examined, however, necessitated MICs of 0.2% for both thyme and clove oils. </w:t>
      </w:r>
      <w:r w:rsidRPr="00FE5B3A">
        <w:rPr>
          <w:sz w:val="24"/>
          <w:szCs w:val="24"/>
        </w:rPr>
        <w:t xml:space="preserve">Cinnamic acid </w:t>
      </w:r>
      <w:r w:rsidR="00430BF5">
        <w:rPr>
          <w:sz w:val="24"/>
          <w:szCs w:val="24"/>
        </w:rPr>
        <w:t xml:space="preserve">required higher concentrations of </w:t>
      </w:r>
      <w:r w:rsidRPr="00FE5B3A">
        <w:rPr>
          <w:sz w:val="24"/>
          <w:szCs w:val="24"/>
        </w:rPr>
        <w:t>0.5%</w:t>
      </w:r>
      <w:r w:rsidR="00F74B21">
        <w:rPr>
          <w:sz w:val="24"/>
          <w:szCs w:val="24"/>
        </w:rPr>
        <w:t xml:space="preserve"> w/v</w:t>
      </w:r>
      <w:r w:rsidRPr="00FE5B3A">
        <w:rPr>
          <w:sz w:val="24"/>
          <w:szCs w:val="24"/>
        </w:rPr>
        <w:t xml:space="preserve"> to inhibit six </w:t>
      </w:r>
      <w:proofErr w:type="gramStart"/>
      <w:r w:rsidRPr="00FE5B3A">
        <w:rPr>
          <w:sz w:val="24"/>
          <w:szCs w:val="24"/>
        </w:rPr>
        <w:t>LAB</w:t>
      </w:r>
      <w:proofErr w:type="gramEnd"/>
      <w:r w:rsidRPr="00FE5B3A">
        <w:rPr>
          <w:sz w:val="24"/>
          <w:szCs w:val="24"/>
        </w:rPr>
        <w:t xml:space="preserve"> and 0.2% to inhibit the remaining three. By far the least effective antimicrobial was allyl isothiocyanate (AI</w:t>
      </w:r>
      <w:r w:rsidR="00F46147">
        <w:rPr>
          <w:sz w:val="24"/>
          <w:szCs w:val="24"/>
        </w:rPr>
        <w:t>T</w:t>
      </w:r>
      <w:r w:rsidRPr="00FE5B3A">
        <w:rPr>
          <w:sz w:val="24"/>
          <w:szCs w:val="24"/>
        </w:rPr>
        <w:t xml:space="preserve">), which demonstrated no or minimal inhibition against seven </w:t>
      </w:r>
      <w:proofErr w:type="gramStart"/>
      <w:r w:rsidRPr="00FE5B3A">
        <w:rPr>
          <w:sz w:val="24"/>
          <w:szCs w:val="24"/>
        </w:rPr>
        <w:t>LAB</w:t>
      </w:r>
      <w:proofErr w:type="gramEnd"/>
      <w:r w:rsidRPr="00FE5B3A">
        <w:rPr>
          <w:sz w:val="24"/>
          <w:szCs w:val="24"/>
        </w:rPr>
        <w:t xml:space="preserve"> at the concentrations tested. </w:t>
      </w:r>
      <w:r w:rsidR="00FD3B94" w:rsidRPr="00FD3B94">
        <w:rPr>
          <w:i/>
          <w:sz w:val="24"/>
          <w:szCs w:val="24"/>
        </w:rPr>
        <w:t>L. buchneri</w:t>
      </w:r>
      <w:r w:rsidRPr="00FE5B3A">
        <w:rPr>
          <w:sz w:val="24"/>
          <w:szCs w:val="24"/>
        </w:rPr>
        <w:t xml:space="preserve"> and </w:t>
      </w:r>
      <w:r w:rsidR="00FD3B94" w:rsidRPr="00FD3B94">
        <w:rPr>
          <w:i/>
          <w:sz w:val="24"/>
          <w:szCs w:val="24"/>
        </w:rPr>
        <w:t>L. fructivorans</w:t>
      </w:r>
      <w:r w:rsidRPr="00FE5B3A">
        <w:rPr>
          <w:sz w:val="24"/>
          <w:szCs w:val="24"/>
        </w:rPr>
        <w:t xml:space="preserve"> were the only two organisms </w:t>
      </w:r>
      <w:r w:rsidR="003C12EA" w:rsidRPr="00FE5B3A">
        <w:rPr>
          <w:sz w:val="24"/>
          <w:szCs w:val="24"/>
        </w:rPr>
        <w:t>inhibited</w:t>
      </w:r>
      <w:r w:rsidRPr="00FE5B3A">
        <w:rPr>
          <w:sz w:val="24"/>
          <w:szCs w:val="24"/>
        </w:rPr>
        <w:t xml:space="preserve"> each requiring doses of 0.5% </w:t>
      </w:r>
      <w:r w:rsidR="00F74B21">
        <w:rPr>
          <w:sz w:val="24"/>
          <w:szCs w:val="24"/>
        </w:rPr>
        <w:t xml:space="preserve">v/v </w:t>
      </w:r>
      <w:r w:rsidRPr="00FE5B3A">
        <w:rPr>
          <w:sz w:val="24"/>
          <w:szCs w:val="24"/>
        </w:rPr>
        <w:t>AI</w:t>
      </w:r>
      <w:r w:rsidR="00F46147">
        <w:rPr>
          <w:sz w:val="24"/>
          <w:szCs w:val="24"/>
        </w:rPr>
        <w:t>T</w:t>
      </w:r>
      <w:r w:rsidRPr="00FE5B3A">
        <w:rPr>
          <w:sz w:val="24"/>
          <w:szCs w:val="24"/>
        </w:rPr>
        <w:t>.</w:t>
      </w:r>
    </w:p>
    <w:p w:rsidR="00701057" w:rsidRPr="00FE5B3A" w:rsidRDefault="00701057" w:rsidP="00652905">
      <w:pPr>
        <w:spacing w:line="480" w:lineRule="auto"/>
        <w:ind w:firstLine="720"/>
        <w:contextualSpacing/>
        <w:rPr>
          <w:sz w:val="24"/>
          <w:szCs w:val="24"/>
        </w:rPr>
      </w:pPr>
      <w:r w:rsidRPr="00FE5B3A">
        <w:rPr>
          <w:sz w:val="24"/>
          <w:szCs w:val="24"/>
        </w:rPr>
        <w:t>It is widely held that the antimicrobial properties of herbs stem from the essential oil fraction of the plants (Zaika and othe</w:t>
      </w:r>
      <w:r w:rsidR="003C12EA">
        <w:rPr>
          <w:sz w:val="24"/>
          <w:szCs w:val="24"/>
        </w:rPr>
        <w:t>rs 1983; Paster and others 1990</w:t>
      </w:r>
      <w:r w:rsidRPr="00FE5B3A">
        <w:rPr>
          <w:sz w:val="24"/>
          <w:szCs w:val="24"/>
        </w:rPr>
        <w:t>;</w:t>
      </w:r>
      <w:r w:rsidR="003C12EA">
        <w:rPr>
          <w:sz w:val="24"/>
          <w:szCs w:val="24"/>
        </w:rPr>
        <w:t xml:space="preserve"> Hyldgaard and others 2012</w:t>
      </w:r>
      <w:r w:rsidRPr="00FE5B3A">
        <w:rPr>
          <w:sz w:val="24"/>
          <w:szCs w:val="24"/>
        </w:rPr>
        <w:t>). Wheth</w:t>
      </w:r>
      <w:r w:rsidR="00A82726">
        <w:rPr>
          <w:sz w:val="24"/>
          <w:szCs w:val="24"/>
        </w:rPr>
        <w:t>er individual components (i.e. thymol</w:t>
      </w:r>
      <w:r w:rsidRPr="00FE5B3A">
        <w:rPr>
          <w:sz w:val="24"/>
          <w:szCs w:val="24"/>
        </w:rPr>
        <w:t>) are more effective than</w:t>
      </w:r>
      <w:r w:rsidR="00A82726">
        <w:rPr>
          <w:sz w:val="24"/>
          <w:szCs w:val="24"/>
        </w:rPr>
        <w:t xml:space="preserve"> whole oils</w:t>
      </w:r>
      <w:r w:rsidRPr="00FE5B3A">
        <w:rPr>
          <w:sz w:val="24"/>
          <w:szCs w:val="24"/>
        </w:rPr>
        <w:t xml:space="preserve"> (i.e. thyme oil) is much debated. For example, p-cymene, a precursor to carvacrol, is thought to play a supporting role in the antimicrobial efficacy of carvacrol in oregano oils. While</w:t>
      </w:r>
      <w:r w:rsidR="00E67A0C">
        <w:rPr>
          <w:sz w:val="24"/>
          <w:szCs w:val="24"/>
        </w:rPr>
        <w:t xml:space="preserve"> insufficient to initiate a noticeable</w:t>
      </w:r>
      <w:r w:rsidRPr="00FE5B3A">
        <w:rPr>
          <w:sz w:val="24"/>
          <w:szCs w:val="24"/>
        </w:rPr>
        <w:t xml:space="preserve"> antimicrobial response independently, p-cymene is thought to mediate to the destructive action of carvacrol by inserting into the membrane, which also serves as the antimicrobial target of carvacrol, causing greater membrane expansion than carvacrol alone </w:t>
      </w:r>
      <w:r w:rsidRPr="00FE5B3A">
        <w:rPr>
          <w:sz w:val="24"/>
          <w:szCs w:val="24"/>
        </w:rPr>
        <w:lastRenderedPageBreak/>
        <w:t xml:space="preserve">could. This may allow more complete penetration into the membrane and as a result, enhanced </w:t>
      </w:r>
      <w:r w:rsidR="00186F35" w:rsidRPr="00FE5B3A">
        <w:rPr>
          <w:sz w:val="24"/>
          <w:szCs w:val="24"/>
        </w:rPr>
        <w:t>bactericidal</w:t>
      </w:r>
      <w:r w:rsidRPr="00FE5B3A">
        <w:rPr>
          <w:sz w:val="24"/>
          <w:szCs w:val="24"/>
        </w:rPr>
        <w:t xml:space="preserve"> action (Ultee and others 2002; Hyldgaard and others 2012). </w:t>
      </w:r>
      <w:r w:rsidR="00A82726">
        <w:rPr>
          <w:sz w:val="24"/>
          <w:szCs w:val="24"/>
        </w:rPr>
        <w:t xml:space="preserve">All </w:t>
      </w:r>
      <w:r w:rsidRPr="00FE5B3A">
        <w:rPr>
          <w:sz w:val="24"/>
          <w:szCs w:val="24"/>
        </w:rPr>
        <w:t xml:space="preserve">volatile oils contain multiple antimicrobial compounds which may exert different but complimentary mechanisms of action against bacterial cells. </w:t>
      </w:r>
    </w:p>
    <w:p w:rsidR="00701057" w:rsidRDefault="00701057" w:rsidP="00FE5B3A">
      <w:pPr>
        <w:spacing w:line="480" w:lineRule="auto"/>
        <w:ind w:firstLine="720"/>
        <w:contextualSpacing/>
        <w:rPr>
          <w:sz w:val="24"/>
          <w:szCs w:val="24"/>
        </w:rPr>
      </w:pPr>
      <w:r w:rsidRPr="00FE5B3A">
        <w:rPr>
          <w:sz w:val="24"/>
          <w:szCs w:val="24"/>
        </w:rPr>
        <w:t>Despite the multitude of essential oils and compounds scrutinized for potential food preservative application, those derived from cloves, cinnamon, thyme and oregano dominate available literature as they frequently appear to be the most efficacious against the realm of food related bacteria. Carvacrol, cinnamaldehyde and thymol, compounds from oregano, cinnamon and</w:t>
      </w:r>
      <w:r w:rsidR="00E67A0C">
        <w:rPr>
          <w:sz w:val="24"/>
          <w:szCs w:val="24"/>
        </w:rPr>
        <w:t xml:space="preserve"> thyme, respectively, were determined to be</w:t>
      </w:r>
      <w:r w:rsidRPr="00FE5B3A">
        <w:rPr>
          <w:sz w:val="24"/>
          <w:szCs w:val="24"/>
        </w:rPr>
        <w:t xml:space="preserve"> the most effective against a host of </w:t>
      </w:r>
      <w:r w:rsidR="00F74B21">
        <w:rPr>
          <w:sz w:val="24"/>
          <w:szCs w:val="24"/>
        </w:rPr>
        <w:t>pathogenic and beneficial Gram-</w:t>
      </w:r>
      <w:r w:rsidRPr="00FE5B3A">
        <w:rPr>
          <w:sz w:val="24"/>
          <w:szCs w:val="24"/>
        </w:rPr>
        <w:t>positive and Gram</w:t>
      </w:r>
      <w:r w:rsidR="00F74B21">
        <w:rPr>
          <w:sz w:val="24"/>
          <w:szCs w:val="24"/>
        </w:rPr>
        <w:t>-</w:t>
      </w:r>
      <w:r w:rsidRPr="00FE5B3A">
        <w:rPr>
          <w:sz w:val="24"/>
          <w:szCs w:val="24"/>
        </w:rPr>
        <w:t xml:space="preserve">negative bacteria when compared to compounds such as citral, benzaldehyde, cresol, limonene or rosemary oil (Ouwehand and others 2010). Barbosa and colleagues found clove to be the most effective oil against foodborne pathogens and spoilage microbiota alike, with thyme also </w:t>
      </w:r>
      <w:r w:rsidR="00C06615">
        <w:rPr>
          <w:sz w:val="24"/>
          <w:szCs w:val="24"/>
        </w:rPr>
        <w:t>exhibiting strong antimicrobial activity (</w:t>
      </w:r>
      <w:r w:rsidRPr="00FE5B3A">
        <w:rPr>
          <w:sz w:val="24"/>
          <w:szCs w:val="24"/>
        </w:rPr>
        <w:t xml:space="preserve">Barbosa and others 2009). When tested on fish muscle extract, clove and thyme oils were the </w:t>
      </w:r>
      <w:proofErr w:type="gramStart"/>
      <w:r w:rsidRPr="00FE5B3A">
        <w:rPr>
          <w:sz w:val="24"/>
          <w:szCs w:val="24"/>
        </w:rPr>
        <w:t>most inhibitory</w:t>
      </w:r>
      <w:proofErr w:type="gramEnd"/>
      <w:r w:rsidRPr="00FE5B3A">
        <w:rPr>
          <w:sz w:val="24"/>
          <w:szCs w:val="24"/>
        </w:rPr>
        <w:t xml:space="preserve"> </w:t>
      </w:r>
      <w:r w:rsidR="00430BF5">
        <w:rPr>
          <w:sz w:val="24"/>
          <w:szCs w:val="24"/>
        </w:rPr>
        <w:t xml:space="preserve">compared to </w:t>
      </w:r>
      <w:r w:rsidRPr="00FE5B3A">
        <w:rPr>
          <w:sz w:val="24"/>
          <w:szCs w:val="24"/>
        </w:rPr>
        <w:t xml:space="preserve">fennel, </w:t>
      </w:r>
      <w:r w:rsidR="00186F35" w:rsidRPr="00FE5B3A">
        <w:rPr>
          <w:sz w:val="24"/>
          <w:szCs w:val="24"/>
        </w:rPr>
        <w:t>Cyprus</w:t>
      </w:r>
      <w:r w:rsidRPr="00FE5B3A">
        <w:rPr>
          <w:sz w:val="24"/>
          <w:szCs w:val="24"/>
        </w:rPr>
        <w:t>, lavender, herb-of-the-cross, pine and rosemary (Gómez-Estaca and others 2010).</w:t>
      </w:r>
      <w:r w:rsidR="00A82726">
        <w:rPr>
          <w:sz w:val="24"/>
          <w:szCs w:val="24"/>
        </w:rPr>
        <w:t xml:space="preserve"> Our results indicated that clove bud and thyme oils </w:t>
      </w:r>
      <w:r w:rsidR="00430BF5">
        <w:rPr>
          <w:sz w:val="24"/>
          <w:szCs w:val="24"/>
        </w:rPr>
        <w:t xml:space="preserve">have </w:t>
      </w:r>
      <w:r w:rsidR="00A82726">
        <w:rPr>
          <w:sz w:val="24"/>
          <w:szCs w:val="24"/>
        </w:rPr>
        <w:t xml:space="preserve">comparable antimicrobial </w:t>
      </w:r>
      <w:r w:rsidR="00430BF5">
        <w:rPr>
          <w:sz w:val="24"/>
          <w:szCs w:val="24"/>
        </w:rPr>
        <w:t>efficacy,</w:t>
      </w:r>
      <w:r w:rsidR="0083589B">
        <w:rPr>
          <w:sz w:val="24"/>
          <w:szCs w:val="24"/>
        </w:rPr>
        <w:t xml:space="preserve"> both having </w:t>
      </w:r>
      <w:r w:rsidR="00186F35">
        <w:rPr>
          <w:sz w:val="24"/>
          <w:szCs w:val="24"/>
        </w:rPr>
        <w:t>MICs</w:t>
      </w:r>
      <w:r w:rsidR="0083589B">
        <w:rPr>
          <w:sz w:val="24"/>
          <w:szCs w:val="24"/>
        </w:rPr>
        <w:t xml:space="preserve"> of 0.2%</w:t>
      </w:r>
      <w:r w:rsidR="00F74B21">
        <w:rPr>
          <w:sz w:val="24"/>
          <w:szCs w:val="24"/>
        </w:rPr>
        <w:t xml:space="preserve"> v/v</w:t>
      </w:r>
      <w:r w:rsidR="00A82726">
        <w:rPr>
          <w:sz w:val="24"/>
          <w:szCs w:val="24"/>
        </w:rPr>
        <w:t xml:space="preserve">. However, the major component of thyme oil, thymol, </w:t>
      </w:r>
      <w:r w:rsidR="0083589B">
        <w:rPr>
          <w:sz w:val="24"/>
          <w:szCs w:val="24"/>
        </w:rPr>
        <w:t xml:space="preserve">worked more effectively as an </w:t>
      </w:r>
      <w:r w:rsidR="00430BF5">
        <w:rPr>
          <w:sz w:val="24"/>
          <w:szCs w:val="24"/>
        </w:rPr>
        <w:t xml:space="preserve">isolated </w:t>
      </w:r>
      <w:r w:rsidR="0083589B">
        <w:rPr>
          <w:sz w:val="24"/>
          <w:szCs w:val="24"/>
        </w:rPr>
        <w:t xml:space="preserve">compound than eugenol, the primary antimicrobial compound in clove bud oil. Eugenol may </w:t>
      </w:r>
      <w:r w:rsidR="0072499E">
        <w:rPr>
          <w:sz w:val="24"/>
          <w:szCs w:val="24"/>
        </w:rPr>
        <w:t>contribute most of its activity</w:t>
      </w:r>
      <w:r w:rsidR="00E67A0C">
        <w:rPr>
          <w:sz w:val="24"/>
          <w:szCs w:val="24"/>
        </w:rPr>
        <w:t xml:space="preserve"> while in an essential oil</w:t>
      </w:r>
      <w:r w:rsidR="0072499E">
        <w:rPr>
          <w:sz w:val="24"/>
          <w:szCs w:val="24"/>
        </w:rPr>
        <w:t xml:space="preserve"> to synergism</w:t>
      </w:r>
      <w:r w:rsidR="0083589B">
        <w:rPr>
          <w:sz w:val="24"/>
          <w:szCs w:val="24"/>
        </w:rPr>
        <w:t xml:space="preserve"> with other components </w:t>
      </w:r>
      <w:r w:rsidR="00E67A0C">
        <w:rPr>
          <w:sz w:val="24"/>
          <w:szCs w:val="24"/>
        </w:rPr>
        <w:t>withi</w:t>
      </w:r>
      <w:r w:rsidR="0083589B">
        <w:rPr>
          <w:sz w:val="24"/>
          <w:szCs w:val="24"/>
        </w:rPr>
        <w:t>n</w:t>
      </w:r>
      <w:r w:rsidR="00E67A0C">
        <w:rPr>
          <w:sz w:val="24"/>
          <w:szCs w:val="24"/>
        </w:rPr>
        <w:t xml:space="preserve"> the</w:t>
      </w:r>
      <w:r w:rsidR="0083589B">
        <w:rPr>
          <w:sz w:val="24"/>
          <w:szCs w:val="24"/>
        </w:rPr>
        <w:t xml:space="preserve"> clove bud oil, which might explain why it was less </w:t>
      </w:r>
      <w:r w:rsidR="00430BF5">
        <w:rPr>
          <w:sz w:val="24"/>
          <w:szCs w:val="24"/>
        </w:rPr>
        <w:t xml:space="preserve">effective </w:t>
      </w:r>
      <w:r w:rsidR="0083589B">
        <w:rPr>
          <w:sz w:val="24"/>
          <w:szCs w:val="24"/>
        </w:rPr>
        <w:t xml:space="preserve">than thymol as an </w:t>
      </w:r>
      <w:r w:rsidR="00430BF5">
        <w:rPr>
          <w:sz w:val="24"/>
          <w:szCs w:val="24"/>
        </w:rPr>
        <w:t xml:space="preserve">isolated </w:t>
      </w:r>
      <w:r w:rsidR="0083589B">
        <w:rPr>
          <w:sz w:val="24"/>
          <w:szCs w:val="24"/>
        </w:rPr>
        <w:t xml:space="preserve">antimicrobial. </w:t>
      </w:r>
      <w:r w:rsidR="00F74B21">
        <w:rPr>
          <w:sz w:val="24"/>
          <w:szCs w:val="24"/>
        </w:rPr>
        <w:t>This interaction should be further investigated in future studies.</w:t>
      </w:r>
    </w:p>
    <w:p w:rsidR="0072499E" w:rsidRPr="00701057" w:rsidRDefault="0072499E" w:rsidP="0072499E">
      <w:pPr>
        <w:spacing w:line="480" w:lineRule="auto"/>
        <w:ind w:firstLine="720"/>
        <w:contextualSpacing/>
        <w:rPr>
          <w:sz w:val="24"/>
          <w:szCs w:val="24"/>
        </w:rPr>
      </w:pPr>
      <w:r>
        <w:rPr>
          <w:sz w:val="24"/>
          <w:szCs w:val="24"/>
        </w:rPr>
        <w:lastRenderedPageBreak/>
        <w:t>Structural differences in chemical compounds result in variances in mechanisms of action against bacterial species. Synergism has been speculated to occur among compounds when they are added to a formulation simultaneously, such as occurs with whole oils or blends of compounds (</w:t>
      </w:r>
      <w:r w:rsidRPr="00B37B5C">
        <w:rPr>
          <w:sz w:val="24"/>
          <w:szCs w:val="24"/>
        </w:rPr>
        <w:t>Bassolé</w:t>
      </w:r>
      <w:r>
        <w:rPr>
          <w:sz w:val="24"/>
          <w:szCs w:val="24"/>
        </w:rPr>
        <w:t xml:space="preserve"> and Juliani 2012). However, our results did not indicate any such advantage due to </w:t>
      </w:r>
      <w:r w:rsidR="00430BF5">
        <w:rPr>
          <w:sz w:val="24"/>
          <w:szCs w:val="24"/>
        </w:rPr>
        <w:t xml:space="preserve">natural </w:t>
      </w:r>
      <w:r>
        <w:rPr>
          <w:sz w:val="24"/>
          <w:szCs w:val="24"/>
        </w:rPr>
        <w:t xml:space="preserve">synergism, as the independent compounds thymol and carvacrol were </w:t>
      </w:r>
      <w:r w:rsidR="00E67A0C">
        <w:rPr>
          <w:sz w:val="24"/>
          <w:szCs w:val="24"/>
        </w:rPr>
        <w:t>more</w:t>
      </w:r>
      <w:r>
        <w:rPr>
          <w:sz w:val="24"/>
          <w:szCs w:val="24"/>
        </w:rPr>
        <w:t xml:space="preserve"> efficacious antimicrobials than the whole essential oils. It has been </w:t>
      </w:r>
      <w:r w:rsidR="00E67A0C">
        <w:rPr>
          <w:sz w:val="24"/>
          <w:szCs w:val="24"/>
        </w:rPr>
        <w:t>mentioned, however,</w:t>
      </w:r>
      <w:r>
        <w:rPr>
          <w:sz w:val="24"/>
          <w:szCs w:val="24"/>
        </w:rPr>
        <w:t xml:space="preserve"> that combinations or whole oils may be beneficial as a means of preventing the development of microbial resistance</w:t>
      </w:r>
      <w:r w:rsidR="00C20EE3">
        <w:rPr>
          <w:sz w:val="24"/>
          <w:szCs w:val="24"/>
        </w:rPr>
        <w:t xml:space="preserve"> (</w:t>
      </w:r>
      <w:r w:rsidR="00C20EE3" w:rsidRPr="00B37B5C">
        <w:rPr>
          <w:sz w:val="24"/>
          <w:szCs w:val="24"/>
        </w:rPr>
        <w:t>Bassolé</w:t>
      </w:r>
      <w:r w:rsidR="00C20EE3">
        <w:rPr>
          <w:sz w:val="24"/>
          <w:szCs w:val="24"/>
        </w:rPr>
        <w:t xml:space="preserve"> and Juliani 2012).</w:t>
      </w:r>
      <w:r>
        <w:rPr>
          <w:sz w:val="24"/>
          <w:szCs w:val="24"/>
        </w:rPr>
        <w:t xml:space="preserve"> The previously mentioned variances in action may be crucial in circumventing the development of microbial resistance. </w:t>
      </w:r>
      <w:r w:rsidR="00C20EE3">
        <w:rPr>
          <w:sz w:val="24"/>
          <w:szCs w:val="24"/>
        </w:rPr>
        <w:t>Application of more than one compound would facilitate inhibition</w:t>
      </w:r>
      <w:r>
        <w:rPr>
          <w:sz w:val="24"/>
          <w:szCs w:val="24"/>
        </w:rPr>
        <w:t xml:space="preserve"> through multiple pathways, making </w:t>
      </w:r>
      <w:r w:rsidR="00194CBC">
        <w:rPr>
          <w:sz w:val="24"/>
          <w:szCs w:val="24"/>
        </w:rPr>
        <w:t>target organisms</w:t>
      </w:r>
      <w:r>
        <w:rPr>
          <w:sz w:val="24"/>
          <w:szCs w:val="24"/>
        </w:rPr>
        <w:t xml:space="preserve"> less likely to adapt to any one individual agent. </w:t>
      </w:r>
      <w:r w:rsidR="009023B0" w:rsidRPr="00194CBC">
        <w:rPr>
          <w:sz w:val="24"/>
          <w:szCs w:val="24"/>
        </w:rPr>
        <w:t xml:space="preserve">While our work indicated that </w:t>
      </w:r>
      <w:r w:rsidR="00194CBC" w:rsidRPr="00194CBC">
        <w:rPr>
          <w:sz w:val="24"/>
          <w:szCs w:val="24"/>
        </w:rPr>
        <w:t>whole</w:t>
      </w:r>
      <w:r w:rsidR="009023B0" w:rsidRPr="00194CBC">
        <w:rPr>
          <w:sz w:val="24"/>
          <w:szCs w:val="24"/>
        </w:rPr>
        <w:t xml:space="preserve"> essential oils required higher concentrations for inhibition, they should still be considered for application </w:t>
      </w:r>
      <w:r w:rsidR="00194CBC" w:rsidRPr="00194CBC">
        <w:rPr>
          <w:sz w:val="24"/>
          <w:szCs w:val="24"/>
        </w:rPr>
        <w:t>in foods</w:t>
      </w:r>
      <w:r w:rsidR="00194CBC">
        <w:rPr>
          <w:sz w:val="24"/>
          <w:szCs w:val="24"/>
        </w:rPr>
        <w:t>.</w:t>
      </w:r>
      <w:r>
        <w:rPr>
          <w:sz w:val="24"/>
          <w:szCs w:val="24"/>
        </w:rPr>
        <w:t xml:space="preserve"> Man</w:t>
      </w:r>
      <w:r w:rsidR="00430BF5">
        <w:rPr>
          <w:sz w:val="24"/>
          <w:szCs w:val="24"/>
        </w:rPr>
        <w:t>-</w:t>
      </w:r>
      <w:r>
        <w:rPr>
          <w:sz w:val="24"/>
          <w:szCs w:val="24"/>
        </w:rPr>
        <w:t xml:space="preserve">made blends of oil compounds also have potential for preservative application. </w:t>
      </w:r>
      <w:r w:rsidRPr="00701057">
        <w:rPr>
          <w:sz w:val="24"/>
          <w:szCs w:val="24"/>
        </w:rPr>
        <w:t xml:space="preserve">Future work examining these particular compounds and understanding their modes of bactericidal action may lead to essential oil cocktails that require </w:t>
      </w:r>
      <w:r>
        <w:rPr>
          <w:sz w:val="24"/>
          <w:szCs w:val="24"/>
        </w:rPr>
        <w:t xml:space="preserve">even </w:t>
      </w:r>
      <w:r w:rsidRPr="00701057">
        <w:rPr>
          <w:sz w:val="24"/>
          <w:szCs w:val="24"/>
        </w:rPr>
        <w:t>lower concentrations within a food formulation, resulting in diminished cost and lessened</w:t>
      </w:r>
      <w:r>
        <w:rPr>
          <w:sz w:val="24"/>
          <w:szCs w:val="24"/>
        </w:rPr>
        <w:t xml:space="preserve"> impact on flavor</w:t>
      </w:r>
      <w:r w:rsidRPr="00701057">
        <w:rPr>
          <w:sz w:val="24"/>
          <w:szCs w:val="24"/>
        </w:rPr>
        <w:t xml:space="preserve">. </w:t>
      </w:r>
    </w:p>
    <w:p w:rsidR="00701057" w:rsidRPr="00FE5B3A" w:rsidRDefault="00701057" w:rsidP="00FE5B3A">
      <w:pPr>
        <w:spacing w:line="480" w:lineRule="auto"/>
        <w:ind w:firstLine="720"/>
        <w:contextualSpacing/>
        <w:rPr>
          <w:sz w:val="24"/>
          <w:szCs w:val="24"/>
        </w:rPr>
      </w:pPr>
      <w:r w:rsidRPr="00FE5B3A">
        <w:rPr>
          <w:sz w:val="24"/>
          <w:szCs w:val="24"/>
        </w:rPr>
        <w:t>While studies involving herbaceous matter against pathogens abound, less work evaluating the effects of herbs and essential oils against lactic acid bacteria exists. Some of the earliest studies utilized herbs and spices in heavily seasoned foods that require LAB for production, such as sausages. Za</w:t>
      </w:r>
      <w:r w:rsidR="00430BF5">
        <w:rPr>
          <w:sz w:val="24"/>
          <w:szCs w:val="24"/>
        </w:rPr>
        <w:t>i</w:t>
      </w:r>
      <w:r w:rsidRPr="00FE5B3A">
        <w:rPr>
          <w:sz w:val="24"/>
          <w:szCs w:val="24"/>
        </w:rPr>
        <w:t>ka and others</w:t>
      </w:r>
      <w:r w:rsidR="00430BF5">
        <w:rPr>
          <w:sz w:val="24"/>
          <w:szCs w:val="24"/>
        </w:rPr>
        <w:t xml:space="preserve"> </w:t>
      </w:r>
      <w:r w:rsidR="00430BF5" w:rsidRPr="00FE5B3A">
        <w:rPr>
          <w:sz w:val="24"/>
          <w:szCs w:val="24"/>
        </w:rPr>
        <w:t xml:space="preserve">(1983) </w:t>
      </w:r>
      <w:r w:rsidRPr="00FE5B3A">
        <w:rPr>
          <w:sz w:val="24"/>
          <w:szCs w:val="24"/>
        </w:rPr>
        <w:t>found that acid production from LAB in liquid medium and at concentrations used to produce a Leban</w:t>
      </w:r>
      <w:r w:rsidR="00430BF5">
        <w:rPr>
          <w:sz w:val="24"/>
          <w:szCs w:val="24"/>
        </w:rPr>
        <w:t>on</w:t>
      </w:r>
      <w:r w:rsidRPr="00FE5B3A">
        <w:rPr>
          <w:sz w:val="24"/>
          <w:szCs w:val="24"/>
        </w:rPr>
        <w:t xml:space="preserve"> style bologna (</w:t>
      </w:r>
      <w:r w:rsidR="00430BF5" w:rsidRPr="00FE5B3A">
        <w:rPr>
          <w:sz w:val="24"/>
          <w:szCs w:val="24"/>
        </w:rPr>
        <w:t>Za</w:t>
      </w:r>
      <w:r w:rsidR="00430BF5">
        <w:rPr>
          <w:sz w:val="24"/>
          <w:szCs w:val="24"/>
        </w:rPr>
        <w:t>i</w:t>
      </w:r>
      <w:r w:rsidR="00430BF5" w:rsidRPr="00FE5B3A">
        <w:rPr>
          <w:sz w:val="24"/>
          <w:szCs w:val="24"/>
        </w:rPr>
        <w:t xml:space="preserve">ka and </w:t>
      </w:r>
      <w:r w:rsidR="00430BF5" w:rsidRPr="00FE5B3A">
        <w:rPr>
          <w:sz w:val="24"/>
          <w:szCs w:val="24"/>
        </w:rPr>
        <w:lastRenderedPageBreak/>
        <w:t>others</w:t>
      </w:r>
      <w:r w:rsidR="00430BF5">
        <w:rPr>
          <w:sz w:val="24"/>
          <w:szCs w:val="24"/>
        </w:rPr>
        <w:t xml:space="preserve">, </w:t>
      </w:r>
      <w:r w:rsidRPr="00FE5B3A">
        <w:rPr>
          <w:sz w:val="24"/>
          <w:szCs w:val="24"/>
        </w:rPr>
        <w:t xml:space="preserve">1979) was stimulated in the presence of spice blends once resistance to initial bacteriostatic activity developed. Nes and Skjelkvåle </w:t>
      </w:r>
      <w:r w:rsidR="0083589B">
        <w:rPr>
          <w:sz w:val="24"/>
          <w:szCs w:val="24"/>
        </w:rPr>
        <w:t xml:space="preserve">(1982) </w:t>
      </w:r>
      <w:r w:rsidRPr="00FE5B3A">
        <w:rPr>
          <w:sz w:val="24"/>
          <w:szCs w:val="24"/>
        </w:rPr>
        <w:t>demonstrated the effects of both natural spices and oleoresins against starter cultures of LAB commonly used in dry sausages. The</w:t>
      </w:r>
      <w:r w:rsidR="00430BF5">
        <w:rPr>
          <w:sz w:val="24"/>
          <w:szCs w:val="24"/>
        </w:rPr>
        <w:t xml:space="preserve">y </w:t>
      </w:r>
      <w:r w:rsidRPr="00FE5B3A">
        <w:rPr>
          <w:sz w:val="24"/>
          <w:szCs w:val="24"/>
        </w:rPr>
        <w:t>concluded that while the oleoresins have no inhibit</w:t>
      </w:r>
      <w:r w:rsidR="00430BF5">
        <w:rPr>
          <w:sz w:val="24"/>
          <w:szCs w:val="24"/>
        </w:rPr>
        <w:t xml:space="preserve">ory </w:t>
      </w:r>
      <w:r w:rsidRPr="00FE5B3A">
        <w:rPr>
          <w:sz w:val="24"/>
          <w:szCs w:val="24"/>
        </w:rPr>
        <w:t xml:space="preserve">effect on the LAB, </w:t>
      </w:r>
      <w:r w:rsidR="00430BF5">
        <w:rPr>
          <w:sz w:val="24"/>
          <w:szCs w:val="24"/>
        </w:rPr>
        <w:t>a</w:t>
      </w:r>
      <w:r w:rsidRPr="00FE5B3A">
        <w:rPr>
          <w:sz w:val="24"/>
          <w:szCs w:val="24"/>
        </w:rPr>
        <w:t xml:space="preserve"> natural spice blend </w:t>
      </w:r>
      <w:r w:rsidR="0050271A">
        <w:rPr>
          <w:sz w:val="24"/>
          <w:szCs w:val="24"/>
        </w:rPr>
        <w:t xml:space="preserve">at 0.0025%, 0.005%, and 0.01% </w:t>
      </w:r>
      <w:r w:rsidRPr="00FE5B3A">
        <w:rPr>
          <w:sz w:val="24"/>
          <w:szCs w:val="24"/>
        </w:rPr>
        <w:t>stimulated acid producti</w:t>
      </w:r>
      <w:r w:rsidR="0083589B">
        <w:rPr>
          <w:sz w:val="24"/>
          <w:szCs w:val="24"/>
        </w:rPr>
        <w:t>on and cell proliferation</w:t>
      </w:r>
      <w:r w:rsidR="0050271A">
        <w:rPr>
          <w:sz w:val="24"/>
          <w:szCs w:val="24"/>
        </w:rPr>
        <w:t xml:space="preserve"> within the sausage. </w:t>
      </w:r>
    </w:p>
    <w:p w:rsidR="00701057" w:rsidRPr="00FE5B3A" w:rsidRDefault="00701057" w:rsidP="00FE5B3A">
      <w:pPr>
        <w:spacing w:line="480" w:lineRule="auto"/>
        <w:ind w:firstLine="720"/>
        <w:contextualSpacing/>
        <w:rPr>
          <w:sz w:val="24"/>
          <w:szCs w:val="24"/>
        </w:rPr>
      </w:pPr>
      <w:r w:rsidRPr="00FE5B3A">
        <w:rPr>
          <w:sz w:val="24"/>
          <w:szCs w:val="24"/>
        </w:rPr>
        <w:t xml:space="preserve">Stimulated growth is not only a result of whole spices </w:t>
      </w:r>
      <w:r w:rsidR="00430BF5">
        <w:rPr>
          <w:sz w:val="24"/>
          <w:szCs w:val="24"/>
        </w:rPr>
        <w:t xml:space="preserve">but also </w:t>
      </w:r>
      <w:r w:rsidRPr="00FE5B3A">
        <w:rPr>
          <w:sz w:val="24"/>
          <w:szCs w:val="24"/>
        </w:rPr>
        <w:t xml:space="preserve">essential oils.  </w:t>
      </w:r>
      <w:r w:rsidR="00FD3B94" w:rsidRPr="00FD3B94">
        <w:rPr>
          <w:i/>
          <w:sz w:val="24"/>
          <w:szCs w:val="24"/>
        </w:rPr>
        <w:t>L. fermentum</w:t>
      </w:r>
      <w:r w:rsidRPr="00FE5B3A">
        <w:rPr>
          <w:sz w:val="24"/>
          <w:szCs w:val="24"/>
        </w:rPr>
        <w:t xml:space="preserve"> exhibited</w:t>
      </w:r>
      <w:r w:rsidR="00430BF5">
        <w:rPr>
          <w:sz w:val="24"/>
          <w:szCs w:val="24"/>
        </w:rPr>
        <w:t xml:space="preserve"> sensitivity </w:t>
      </w:r>
      <w:r w:rsidRPr="00FE5B3A">
        <w:rPr>
          <w:sz w:val="24"/>
          <w:szCs w:val="24"/>
        </w:rPr>
        <w:t xml:space="preserve">to several of the oils </w:t>
      </w:r>
      <w:r w:rsidR="00430BF5">
        <w:rPr>
          <w:sz w:val="24"/>
          <w:szCs w:val="24"/>
        </w:rPr>
        <w:t xml:space="preserve">evaluated </w:t>
      </w:r>
      <w:r w:rsidRPr="00FE5B3A">
        <w:rPr>
          <w:sz w:val="24"/>
          <w:szCs w:val="24"/>
        </w:rPr>
        <w:t xml:space="preserve">in a liquid medium, but </w:t>
      </w:r>
      <w:r w:rsidR="00430BF5">
        <w:rPr>
          <w:sz w:val="24"/>
          <w:szCs w:val="24"/>
        </w:rPr>
        <w:t xml:space="preserve">had </w:t>
      </w:r>
      <w:r w:rsidRPr="00FE5B3A">
        <w:rPr>
          <w:sz w:val="24"/>
          <w:szCs w:val="24"/>
        </w:rPr>
        <w:t>increased growth when exposed to carvacrol, cinnamaldehyde, oregano oil, thymol</w:t>
      </w:r>
      <w:r w:rsidR="003C12EA">
        <w:rPr>
          <w:sz w:val="24"/>
          <w:szCs w:val="24"/>
        </w:rPr>
        <w:t>,</w:t>
      </w:r>
      <w:r w:rsidRPr="00FE5B3A">
        <w:rPr>
          <w:sz w:val="24"/>
          <w:szCs w:val="24"/>
        </w:rPr>
        <w:t xml:space="preserve"> and thyme oil.</w:t>
      </w:r>
      <w:r w:rsidR="00430BF5">
        <w:rPr>
          <w:sz w:val="24"/>
          <w:szCs w:val="24"/>
        </w:rPr>
        <w:t xml:space="preserve"> In addition,</w:t>
      </w:r>
      <w:r w:rsidRPr="00FE5B3A">
        <w:rPr>
          <w:sz w:val="24"/>
          <w:szCs w:val="24"/>
        </w:rPr>
        <w:t xml:space="preserve"> </w:t>
      </w:r>
      <w:r w:rsidRPr="0072499E">
        <w:rPr>
          <w:i/>
          <w:sz w:val="24"/>
          <w:szCs w:val="24"/>
        </w:rPr>
        <w:t>Lactobacillus reuteri</w:t>
      </w:r>
      <w:r w:rsidRPr="00FE5B3A">
        <w:rPr>
          <w:sz w:val="24"/>
          <w:szCs w:val="24"/>
        </w:rPr>
        <w:t xml:space="preserve"> also was unaffected by essential oil exposure u</w:t>
      </w:r>
      <w:r w:rsidR="00430BF5">
        <w:rPr>
          <w:sz w:val="24"/>
          <w:szCs w:val="24"/>
        </w:rPr>
        <w:t xml:space="preserve">p to </w:t>
      </w:r>
      <w:r w:rsidRPr="00FE5B3A">
        <w:rPr>
          <w:sz w:val="24"/>
          <w:szCs w:val="24"/>
        </w:rPr>
        <w:t xml:space="preserve">500 mg/l carvacrol </w:t>
      </w:r>
      <w:r w:rsidR="00430BF5">
        <w:rPr>
          <w:sz w:val="24"/>
          <w:szCs w:val="24"/>
        </w:rPr>
        <w:t>or</w:t>
      </w:r>
      <w:r w:rsidRPr="00FE5B3A">
        <w:rPr>
          <w:sz w:val="24"/>
          <w:szCs w:val="24"/>
        </w:rPr>
        <w:t xml:space="preserve"> thymol (Ouwehand and others 2010).</w:t>
      </w:r>
      <w:r w:rsidR="0050271A" w:rsidRPr="0050271A">
        <w:rPr>
          <w:sz w:val="24"/>
          <w:szCs w:val="24"/>
        </w:rPr>
        <w:t xml:space="preserve"> </w:t>
      </w:r>
      <w:r w:rsidR="00430BF5">
        <w:rPr>
          <w:sz w:val="24"/>
          <w:szCs w:val="24"/>
        </w:rPr>
        <w:t xml:space="preserve">Addition of </w:t>
      </w:r>
      <w:r w:rsidR="007E2172">
        <w:rPr>
          <w:sz w:val="24"/>
          <w:szCs w:val="24"/>
        </w:rPr>
        <w:t xml:space="preserve">the </w:t>
      </w:r>
      <w:r w:rsidR="00186F35">
        <w:rPr>
          <w:sz w:val="24"/>
          <w:szCs w:val="24"/>
        </w:rPr>
        <w:t>MICs</w:t>
      </w:r>
      <w:r w:rsidR="007E2172">
        <w:rPr>
          <w:sz w:val="24"/>
          <w:szCs w:val="24"/>
        </w:rPr>
        <w:t xml:space="preserve"> of</w:t>
      </w:r>
      <w:r w:rsidR="0050271A">
        <w:rPr>
          <w:sz w:val="24"/>
          <w:szCs w:val="24"/>
        </w:rPr>
        <w:t xml:space="preserve"> spices or oils is esse</w:t>
      </w:r>
      <w:r w:rsidR="0030302C">
        <w:rPr>
          <w:sz w:val="24"/>
          <w:szCs w:val="24"/>
        </w:rPr>
        <w:t>ntial so inhibition</w:t>
      </w:r>
      <w:r w:rsidR="0050271A">
        <w:rPr>
          <w:sz w:val="24"/>
          <w:szCs w:val="24"/>
        </w:rPr>
        <w:t xml:space="preserve"> is achieved against spoilage L</w:t>
      </w:r>
      <w:r w:rsidR="0030302C">
        <w:rPr>
          <w:sz w:val="24"/>
          <w:szCs w:val="24"/>
        </w:rPr>
        <w:t>AB as lower concentrations appear</w:t>
      </w:r>
      <w:r w:rsidR="0050271A">
        <w:rPr>
          <w:sz w:val="24"/>
          <w:szCs w:val="24"/>
        </w:rPr>
        <w:t xml:space="preserve"> to enhance the fermentative capabilities of </w:t>
      </w:r>
      <w:r w:rsidR="0030302C">
        <w:rPr>
          <w:sz w:val="24"/>
          <w:szCs w:val="24"/>
        </w:rPr>
        <w:t xml:space="preserve">some of </w:t>
      </w:r>
      <w:r w:rsidR="0050271A">
        <w:rPr>
          <w:sz w:val="24"/>
          <w:szCs w:val="24"/>
        </w:rPr>
        <w:t>these bacteria.</w:t>
      </w:r>
    </w:p>
    <w:p w:rsidR="00701057" w:rsidRDefault="0083707B" w:rsidP="002649AF">
      <w:pPr>
        <w:spacing w:line="480" w:lineRule="auto"/>
        <w:ind w:firstLine="720"/>
        <w:contextualSpacing/>
        <w:rPr>
          <w:sz w:val="24"/>
          <w:szCs w:val="24"/>
        </w:rPr>
      </w:pPr>
      <w:r>
        <w:rPr>
          <w:sz w:val="24"/>
          <w:szCs w:val="24"/>
        </w:rPr>
        <w:t>The poor</w:t>
      </w:r>
      <w:r w:rsidR="00701057" w:rsidRPr="00FE5B3A">
        <w:rPr>
          <w:sz w:val="24"/>
          <w:szCs w:val="24"/>
        </w:rPr>
        <w:t xml:space="preserve"> performance of allyl isothiocyanate in this report is consistent with previous studies. The activity of AIT appears to be greatest when in a </w:t>
      </w:r>
      <w:r w:rsidR="00996BEC">
        <w:rPr>
          <w:sz w:val="24"/>
          <w:szCs w:val="24"/>
        </w:rPr>
        <w:t xml:space="preserve">gaseous </w:t>
      </w:r>
      <w:r w:rsidR="00701057" w:rsidRPr="00FE5B3A">
        <w:rPr>
          <w:sz w:val="24"/>
          <w:szCs w:val="24"/>
        </w:rPr>
        <w:t xml:space="preserve">form, although there have been successes with the use of AIT as a liquid additive. However, exposure to an aqueous matrix tends to cause severe degradation to AIT, such that its antimicrobial activity is significantly diminished requiring </w:t>
      </w:r>
      <w:r w:rsidR="00996BEC">
        <w:rPr>
          <w:sz w:val="24"/>
          <w:szCs w:val="24"/>
        </w:rPr>
        <w:t xml:space="preserve">high concentrations </w:t>
      </w:r>
      <w:r w:rsidR="00701057" w:rsidRPr="00FE5B3A">
        <w:rPr>
          <w:sz w:val="24"/>
          <w:szCs w:val="24"/>
        </w:rPr>
        <w:t xml:space="preserve">for inhibition (Kawakishi and Kaneko 1987; Luciano and Holley 2009). Use of AIT is inhibited by its strong </w:t>
      </w:r>
      <w:r w:rsidR="00186F35" w:rsidRPr="00FE5B3A">
        <w:rPr>
          <w:sz w:val="24"/>
          <w:szCs w:val="24"/>
        </w:rPr>
        <w:t>organoleptic</w:t>
      </w:r>
      <w:r w:rsidR="00701057" w:rsidRPr="00FE5B3A">
        <w:rPr>
          <w:sz w:val="24"/>
          <w:szCs w:val="24"/>
        </w:rPr>
        <w:t xml:space="preserve"> characteristics and water insolubility, further encouraging use of the volatile compound in its </w:t>
      </w:r>
      <w:r w:rsidR="00996BEC">
        <w:rPr>
          <w:sz w:val="24"/>
          <w:szCs w:val="24"/>
        </w:rPr>
        <w:t>gaseous</w:t>
      </w:r>
      <w:r w:rsidR="00701057" w:rsidRPr="00FE5B3A">
        <w:rPr>
          <w:sz w:val="24"/>
          <w:szCs w:val="24"/>
        </w:rPr>
        <w:t xml:space="preserve"> state (Lin and others 2000; Delaquis and Sholberg 1997; Ko and others 2012). </w:t>
      </w:r>
    </w:p>
    <w:p w:rsidR="00631669" w:rsidRDefault="00A1314A" w:rsidP="002649AF">
      <w:pPr>
        <w:spacing w:line="480" w:lineRule="auto"/>
        <w:ind w:firstLine="720"/>
        <w:contextualSpacing/>
        <w:rPr>
          <w:sz w:val="24"/>
          <w:szCs w:val="24"/>
        </w:rPr>
      </w:pPr>
      <w:r>
        <w:rPr>
          <w:sz w:val="24"/>
          <w:szCs w:val="24"/>
        </w:rPr>
        <w:lastRenderedPageBreak/>
        <w:t>The majority of species examined in this study were heterofermentative, with the exception of the two</w:t>
      </w:r>
      <w:r w:rsidRPr="00A1314A">
        <w:rPr>
          <w:i/>
          <w:sz w:val="24"/>
          <w:szCs w:val="24"/>
        </w:rPr>
        <w:t xml:space="preserve"> </w:t>
      </w:r>
      <w:r>
        <w:rPr>
          <w:i/>
          <w:sz w:val="24"/>
          <w:szCs w:val="24"/>
        </w:rPr>
        <w:t>P</w:t>
      </w:r>
      <w:r w:rsidRPr="00A1314A">
        <w:rPr>
          <w:i/>
          <w:sz w:val="24"/>
          <w:szCs w:val="24"/>
        </w:rPr>
        <w:t>ediococci</w:t>
      </w:r>
      <w:r>
        <w:rPr>
          <w:sz w:val="24"/>
          <w:szCs w:val="24"/>
        </w:rPr>
        <w:t xml:space="preserve">. There appears to be little difference in behavior between the homo- and heterofermentative species when exposed to the essential oils. </w:t>
      </w:r>
      <w:r w:rsidRPr="000C06F5">
        <w:rPr>
          <w:i/>
          <w:sz w:val="24"/>
          <w:szCs w:val="24"/>
        </w:rPr>
        <w:t>P. damnosus</w:t>
      </w:r>
      <w:r>
        <w:rPr>
          <w:sz w:val="24"/>
          <w:szCs w:val="24"/>
        </w:rPr>
        <w:t xml:space="preserve"> </w:t>
      </w:r>
      <w:r w:rsidR="00996BEC">
        <w:rPr>
          <w:sz w:val="24"/>
          <w:szCs w:val="24"/>
        </w:rPr>
        <w:t>had similar sensitivity</w:t>
      </w:r>
      <w:r>
        <w:rPr>
          <w:sz w:val="24"/>
          <w:szCs w:val="24"/>
        </w:rPr>
        <w:t xml:space="preserve"> to several of the </w:t>
      </w:r>
      <w:r w:rsidR="00AD0B96" w:rsidRPr="00761D12">
        <w:rPr>
          <w:i/>
          <w:sz w:val="24"/>
          <w:szCs w:val="24"/>
        </w:rPr>
        <w:t>Lactobacilli</w:t>
      </w:r>
      <w:r>
        <w:rPr>
          <w:sz w:val="24"/>
          <w:szCs w:val="24"/>
        </w:rPr>
        <w:t xml:space="preserve"> in terms of inhibition.</w:t>
      </w:r>
      <w:r w:rsidR="000C06F5">
        <w:rPr>
          <w:sz w:val="24"/>
          <w:szCs w:val="24"/>
        </w:rPr>
        <w:t xml:space="preserve"> </w:t>
      </w:r>
      <w:r w:rsidR="00E7628B" w:rsidRPr="001D0D8F">
        <w:rPr>
          <w:i/>
          <w:sz w:val="24"/>
          <w:szCs w:val="24"/>
        </w:rPr>
        <w:t>P. acidilactici</w:t>
      </w:r>
      <w:r w:rsidR="000C06F5" w:rsidRPr="001D0D8F">
        <w:rPr>
          <w:i/>
          <w:sz w:val="24"/>
          <w:szCs w:val="24"/>
        </w:rPr>
        <w:t xml:space="preserve"> </w:t>
      </w:r>
      <w:r w:rsidR="000C06F5">
        <w:rPr>
          <w:sz w:val="24"/>
          <w:szCs w:val="24"/>
        </w:rPr>
        <w:t xml:space="preserve">was the most resistant species examined, but the next most resistant organism, </w:t>
      </w:r>
      <w:r w:rsidR="00761D12">
        <w:rPr>
          <w:sz w:val="24"/>
          <w:szCs w:val="24"/>
        </w:rPr>
        <w:t xml:space="preserve">the heterofermentative </w:t>
      </w:r>
      <w:r w:rsidR="000C06F5" w:rsidRPr="000C06F5">
        <w:rPr>
          <w:i/>
          <w:sz w:val="24"/>
          <w:szCs w:val="24"/>
        </w:rPr>
        <w:t>L. plantarum</w:t>
      </w:r>
      <w:r w:rsidR="00761D12">
        <w:rPr>
          <w:i/>
          <w:sz w:val="24"/>
          <w:szCs w:val="24"/>
        </w:rPr>
        <w:t>,</w:t>
      </w:r>
      <w:r w:rsidR="000C06F5">
        <w:rPr>
          <w:sz w:val="24"/>
          <w:szCs w:val="24"/>
        </w:rPr>
        <w:t xml:space="preserve"> did not </w:t>
      </w:r>
      <w:r w:rsidR="00996BEC">
        <w:rPr>
          <w:sz w:val="24"/>
          <w:szCs w:val="24"/>
        </w:rPr>
        <w:t>h</w:t>
      </w:r>
      <w:r w:rsidR="000C06F5">
        <w:rPr>
          <w:sz w:val="24"/>
          <w:szCs w:val="24"/>
        </w:rPr>
        <w:t xml:space="preserve">ave substantially </w:t>
      </w:r>
      <w:r w:rsidR="00996BEC">
        <w:rPr>
          <w:sz w:val="24"/>
          <w:szCs w:val="24"/>
        </w:rPr>
        <w:t>higher MICs</w:t>
      </w:r>
      <w:r w:rsidR="000C06F5">
        <w:rPr>
          <w:sz w:val="24"/>
          <w:szCs w:val="24"/>
        </w:rPr>
        <w:t>. While it appears no metabolic pathway provides a distinct advantage, a larger pool of organisms including more homofermentative species needs to be analyzed before a conclusion should be made.</w:t>
      </w:r>
    </w:p>
    <w:p w:rsidR="0083707B" w:rsidRDefault="0083707B" w:rsidP="00E91453">
      <w:pPr>
        <w:spacing w:line="480" w:lineRule="auto"/>
        <w:ind w:firstLine="720"/>
        <w:contextualSpacing/>
        <w:rPr>
          <w:sz w:val="24"/>
          <w:szCs w:val="24"/>
        </w:rPr>
      </w:pPr>
      <w:r>
        <w:rPr>
          <w:sz w:val="24"/>
          <w:szCs w:val="24"/>
        </w:rPr>
        <w:t xml:space="preserve">Our study examined the antimicrobial efficacy of essential oils when dispersed throughout an agar model. This serves as part of a foundation working towards application within food products, but results should not be </w:t>
      </w:r>
      <w:r w:rsidR="00273F0F">
        <w:rPr>
          <w:sz w:val="24"/>
          <w:szCs w:val="24"/>
        </w:rPr>
        <w:t>directly extrapolated into a food model without additional examination. Ingredients</w:t>
      </w:r>
      <w:r w:rsidR="005907EF">
        <w:rPr>
          <w:sz w:val="24"/>
          <w:szCs w:val="24"/>
        </w:rPr>
        <w:t xml:space="preserve"> and other factors</w:t>
      </w:r>
      <w:r w:rsidR="00273F0F">
        <w:rPr>
          <w:sz w:val="24"/>
          <w:szCs w:val="24"/>
        </w:rPr>
        <w:t xml:space="preserve"> within food systems</w:t>
      </w:r>
      <w:r w:rsidR="005907EF">
        <w:rPr>
          <w:sz w:val="24"/>
          <w:szCs w:val="24"/>
        </w:rPr>
        <w:t>, including lipids, proteins, pH, and water activity</w:t>
      </w:r>
      <w:r w:rsidR="00273F0F">
        <w:rPr>
          <w:sz w:val="24"/>
          <w:szCs w:val="24"/>
        </w:rPr>
        <w:t xml:space="preserve"> frequently interfere with the antimicrobial action of essential oils, necessitating larger concentrations for inhibition (Zaika 1988</w:t>
      </w:r>
      <w:r w:rsidR="005907EF">
        <w:rPr>
          <w:sz w:val="24"/>
          <w:szCs w:val="24"/>
        </w:rPr>
        <w:t xml:space="preserve">; </w:t>
      </w:r>
      <w:r w:rsidR="005907EF" w:rsidRPr="005907EF">
        <w:rPr>
          <w:sz w:val="24"/>
          <w:szCs w:val="24"/>
        </w:rPr>
        <w:t>Nychas and Tasso</w:t>
      </w:r>
      <w:r w:rsidR="00B914C4">
        <w:rPr>
          <w:sz w:val="24"/>
          <w:szCs w:val="24"/>
        </w:rPr>
        <w:t>u 2000</w:t>
      </w:r>
      <w:r w:rsidR="005907EF">
        <w:rPr>
          <w:sz w:val="24"/>
          <w:szCs w:val="24"/>
        </w:rPr>
        <w:t xml:space="preserve">). Also, as mentioned previously, </w:t>
      </w:r>
      <w:r w:rsidR="00186F35">
        <w:rPr>
          <w:sz w:val="24"/>
          <w:szCs w:val="24"/>
        </w:rPr>
        <w:t>MICs</w:t>
      </w:r>
      <w:r w:rsidR="005907EF">
        <w:rPr>
          <w:sz w:val="24"/>
          <w:szCs w:val="24"/>
        </w:rPr>
        <w:t xml:space="preserve"> do not indicate lethality; however, they do provide a </w:t>
      </w:r>
      <w:r w:rsidR="000C672C">
        <w:rPr>
          <w:sz w:val="24"/>
          <w:szCs w:val="24"/>
        </w:rPr>
        <w:t>starting point from which</w:t>
      </w:r>
      <w:r w:rsidR="005907EF">
        <w:rPr>
          <w:sz w:val="24"/>
          <w:szCs w:val="24"/>
        </w:rPr>
        <w:t xml:space="preserve"> to better understand microbial resistance to essential oils</w:t>
      </w:r>
      <w:r w:rsidR="000C672C">
        <w:rPr>
          <w:sz w:val="24"/>
          <w:szCs w:val="24"/>
        </w:rPr>
        <w:t xml:space="preserve">. They </w:t>
      </w:r>
      <w:r w:rsidR="005907EF">
        <w:rPr>
          <w:sz w:val="24"/>
          <w:szCs w:val="24"/>
        </w:rPr>
        <w:t xml:space="preserve">direct us towards determining </w:t>
      </w:r>
      <w:r w:rsidR="003C12EA">
        <w:rPr>
          <w:sz w:val="24"/>
          <w:szCs w:val="24"/>
        </w:rPr>
        <w:t xml:space="preserve">what essential oil </w:t>
      </w:r>
      <w:r w:rsidR="005907EF">
        <w:rPr>
          <w:sz w:val="24"/>
          <w:szCs w:val="24"/>
        </w:rPr>
        <w:t>concentrations will be sufficient for food preservation</w:t>
      </w:r>
      <w:r w:rsidR="000C672C">
        <w:rPr>
          <w:sz w:val="24"/>
          <w:szCs w:val="24"/>
        </w:rPr>
        <w:t>, and</w:t>
      </w:r>
      <w:r w:rsidR="003C12EA">
        <w:rPr>
          <w:sz w:val="24"/>
          <w:szCs w:val="24"/>
        </w:rPr>
        <w:t xml:space="preserve"> if</w:t>
      </w:r>
      <w:r w:rsidR="000C672C">
        <w:rPr>
          <w:sz w:val="24"/>
          <w:szCs w:val="24"/>
        </w:rPr>
        <w:t xml:space="preserve"> it is determined that </w:t>
      </w:r>
      <w:r w:rsidR="003C12EA">
        <w:rPr>
          <w:sz w:val="24"/>
          <w:szCs w:val="24"/>
        </w:rPr>
        <w:t>these cannot work independently</w:t>
      </w:r>
      <w:r w:rsidR="000C672C">
        <w:rPr>
          <w:sz w:val="24"/>
          <w:szCs w:val="24"/>
        </w:rPr>
        <w:t>, the</w:t>
      </w:r>
      <w:r w:rsidR="003C12EA">
        <w:rPr>
          <w:sz w:val="24"/>
          <w:szCs w:val="24"/>
        </w:rPr>
        <w:t xml:space="preserve">n </w:t>
      </w:r>
      <w:r w:rsidR="000C672C">
        <w:rPr>
          <w:sz w:val="24"/>
          <w:szCs w:val="24"/>
        </w:rPr>
        <w:t xml:space="preserve">it may provide framework to </w:t>
      </w:r>
      <w:r w:rsidR="003C12EA">
        <w:rPr>
          <w:sz w:val="24"/>
          <w:szCs w:val="24"/>
        </w:rPr>
        <w:t>how essential oils may fit within a preservative hurdle technique. Future work will need to determine bactericidal concentrations of these oils against LAB before turning attention towards application within a food model.</w:t>
      </w:r>
    </w:p>
    <w:p w:rsidR="00A01793" w:rsidRPr="00605FC5" w:rsidRDefault="00A01793" w:rsidP="00605FC5">
      <w:pPr>
        <w:pStyle w:val="Heading2"/>
        <w:spacing w:line="480" w:lineRule="auto"/>
        <w:contextualSpacing/>
        <w:rPr>
          <w:rFonts w:asciiTheme="minorHAnsi" w:hAnsiTheme="minorHAnsi"/>
          <w:color w:val="auto"/>
          <w:sz w:val="24"/>
          <w:szCs w:val="24"/>
        </w:rPr>
      </w:pPr>
      <w:bookmarkStart w:id="22" w:name="_Toc364366589"/>
      <w:r w:rsidRPr="00605FC5">
        <w:rPr>
          <w:rFonts w:asciiTheme="minorHAnsi" w:hAnsiTheme="minorHAnsi"/>
          <w:color w:val="auto"/>
          <w:sz w:val="24"/>
          <w:szCs w:val="24"/>
        </w:rPr>
        <w:lastRenderedPageBreak/>
        <w:t>Conclusions</w:t>
      </w:r>
      <w:bookmarkEnd w:id="22"/>
    </w:p>
    <w:p w:rsidR="00493A4B" w:rsidRDefault="00493A4B" w:rsidP="00605FC5">
      <w:pPr>
        <w:spacing w:line="480" w:lineRule="auto"/>
        <w:contextualSpacing/>
        <w:rPr>
          <w:sz w:val="24"/>
          <w:szCs w:val="24"/>
        </w:rPr>
      </w:pPr>
      <w:r>
        <w:rPr>
          <w:b/>
          <w:sz w:val="24"/>
          <w:szCs w:val="24"/>
        </w:rPr>
        <w:tab/>
      </w:r>
      <w:r>
        <w:rPr>
          <w:sz w:val="24"/>
          <w:szCs w:val="24"/>
        </w:rPr>
        <w:t xml:space="preserve">The most promising information gleaned from this study is the efficacy of the essential oil components carvacrol and thymol. These agents have by far best potential for application within a food system as they have lowest </w:t>
      </w:r>
      <w:r w:rsidR="00186F35">
        <w:rPr>
          <w:sz w:val="24"/>
          <w:szCs w:val="24"/>
        </w:rPr>
        <w:t>MICs</w:t>
      </w:r>
      <w:r>
        <w:rPr>
          <w:sz w:val="24"/>
          <w:szCs w:val="24"/>
        </w:rPr>
        <w:t xml:space="preserve"> of 0.1% </w:t>
      </w:r>
      <w:r w:rsidR="00F74B21">
        <w:rPr>
          <w:sz w:val="24"/>
          <w:szCs w:val="24"/>
        </w:rPr>
        <w:t xml:space="preserve">(v/v and w/v, respectively) </w:t>
      </w:r>
      <w:r>
        <w:rPr>
          <w:sz w:val="24"/>
          <w:szCs w:val="24"/>
        </w:rPr>
        <w:t xml:space="preserve">against all nine </w:t>
      </w:r>
      <w:proofErr w:type="gramStart"/>
      <w:r>
        <w:rPr>
          <w:sz w:val="24"/>
          <w:szCs w:val="24"/>
        </w:rPr>
        <w:t>LAB</w:t>
      </w:r>
      <w:proofErr w:type="gramEnd"/>
      <w:r>
        <w:rPr>
          <w:sz w:val="24"/>
          <w:szCs w:val="24"/>
        </w:rPr>
        <w:t xml:space="preserve"> examined.  </w:t>
      </w:r>
      <w:proofErr w:type="gramStart"/>
      <w:r>
        <w:rPr>
          <w:sz w:val="24"/>
          <w:szCs w:val="24"/>
        </w:rPr>
        <w:t xml:space="preserve">Lower MIC values of these strongly scented and flavored compounds increases likelihood of preservative application without detriment to </w:t>
      </w:r>
      <w:r w:rsidR="00F74B21">
        <w:rPr>
          <w:sz w:val="24"/>
          <w:szCs w:val="24"/>
        </w:rPr>
        <w:t>organoleptic properties</w:t>
      </w:r>
      <w:r>
        <w:rPr>
          <w:sz w:val="24"/>
          <w:szCs w:val="24"/>
        </w:rPr>
        <w:t xml:space="preserve"> of a food.</w:t>
      </w:r>
      <w:proofErr w:type="gramEnd"/>
      <w:r>
        <w:rPr>
          <w:sz w:val="24"/>
          <w:szCs w:val="24"/>
        </w:rPr>
        <w:t xml:space="preserve"> However, cinnamaldehyde, cinnamon bark oil, clove bud oil, thyme oil, and eugenol are also promising prospects with </w:t>
      </w:r>
      <w:r w:rsidR="00186F35">
        <w:rPr>
          <w:sz w:val="24"/>
          <w:szCs w:val="24"/>
        </w:rPr>
        <w:t>MICs</w:t>
      </w:r>
      <w:r>
        <w:rPr>
          <w:sz w:val="24"/>
          <w:szCs w:val="24"/>
        </w:rPr>
        <w:t xml:space="preserve"> of 0.2%</w:t>
      </w:r>
      <w:r w:rsidR="00F74B21">
        <w:rPr>
          <w:sz w:val="24"/>
          <w:szCs w:val="24"/>
        </w:rPr>
        <w:t xml:space="preserve"> v/v</w:t>
      </w:r>
      <w:r>
        <w:rPr>
          <w:sz w:val="24"/>
          <w:szCs w:val="24"/>
        </w:rPr>
        <w:t xml:space="preserve"> and should not</w:t>
      </w:r>
      <w:r w:rsidR="00330333">
        <w:rPr>
          <w:sz w:val="24"/>
          <w:szCs w:val="24"/>
        </w:rPr>
        <w:t xml:space="preserve"> yet</w:t>
      </w:r>
      <w:r>
        <w:rPr>
          <w:sz w:val="24"/>
          <w:szCs w:val="24"/>
        </w:rPr>
        <w:t xml:space="preserve"> be discounted </w:t>
      </w:r>
      <w:r w:rsidR="00330333">
        <w:rPr>
          <w:sz w:val="24"/>
          <w:szCs w:val="24"/>
        </w:rPr>
        <w:t xml:space="preserve">as ineffectual </w:t>
      </w:r>
      <w:r>
        <w:rPr>
          <w:sz w:val="24"/>
          <w:szCs w:val="24"/>
        </w:rPr>
        <w:t xml:space="preserve">by the food industry. </w:t>
      </w:r>
    </w:p>
    <w:p w:rsidR="00761D12" w:rsidRDefault="00761D12" w:rsidP="00605FC5">
      <w:pPr>
        <w:spacing w:line="480" w:lineRule="auto"/>
        <w:contextualSpacing/>
        <w:rPr>
          <w:sz w:val="24"/>
          <w:szCs w:val="24"/>
        </w:rPr>
      </w:pPr>
    </w:p>
    <w:p w:rsidR="00761D12" w:rsidRDefault="00761D12" w:rsidP="00605FC5">
      <w:pPr>
        <w:spacing w:line="480" w:lineRule="auto"/>
        <w:contextualSpacing/>
        <w:rPr>
          <w:sz w:val="24"/>
          <w:szCs w:val="24"/>
        </w:rPr>
      </w:pPr>
    </w:p>
    <w:p w:rsidR="00824AB4" w:rsidRDefault="00824AB4" w:rsidP="00194CBC">
      <w:pPr>
        <w:spacing w:line="480" w:lineRule="auto"/>
        <w:contextualSpacing/>
        <w:jc w:val="center"/>
        <w:rPr>
          <w:b/>
          <w:sz w:val="28"/>
          <w:szCs w:val="28"/>
        </w:rPr>
      </w:pPr>
    </w:p>
    <w:p w:rsidR="006778AD" w:rsidRDefault="006778AD" w:rsidP="00194CBC">
      <w:pPr>
        <w:spacing w:line="480" w:lineRule="auto"/>
        <w:contextualSpacing/>
        <w:jc w:val="center"/>
        <w:rPr>
          <w:b/>
          <w:sz w:val="28"/>
          <w:szCs w:val="28"/>
        </w:rPr>
      </w:pPr>
    </w:p>
    <w:p w:rsidR="006778AD" w:rsidRDefault="006778AD" w:rsidP="00194CBC">
      <w:pPr>
        <w:spacing w:line="480" w:lineRule="auto"/>
        <w:contextualSpacing/>
        <w:jc w:val="center"/>
        <w:rPr>
          <w:b/>
          <w:sz w:val="28"/>
          <w:szCs w:val="28"/>
        </w:rPr>
      </w:pPr>
    </w:p>
    <w:p w:rsidR="006778AD" w:rsidRDefault="006778AD" w:rsidP="00194CBC">
      <w:pPr>
        <w:spacing w:line="480" w:lineRule="auto"/>
        <w:contextualSpacing/>
        <w:jc w:val="center"/>
        <w:rPr>
          <w:b/>
          <w:sz w:val="28"/>
          <w:szCs w:val="28"/>
        </w:rPr>
      </w:pPr>
    </w:p>
    <w:p w:rsidR="006778AD" w:rsidRDefault="006778AD" w:rsidP="00194CBC">
      <w:pPr>
        <w:spacing w:line="480" w:lineRule="auto"/>
        <w:contextualSpacing/>
        <w:jc w:val="center"/>
        <w:rPr>
          <w:b/>
          <w:sz w:val="28"/>
          <w:szCs w:val="28"/>
        </w:rPr>
      </w:pPr>
    </w:p>
    <w:p w:rsidR="006778AD" w:rsidRDefault="006778AD" w:rsidP="00194CBC">
      <w:pPr>
        <w:spacing w:line="480" w:lineRule="auto"/>
        <w:contextualSpacing/>
        <w:jc w:val="center"/>
        <w:rPr>
          <w:b/>
          <w:sz w:val="28"/>
          <w:szCs w:val="28"/>
        </w:rPr>
      </w:pPr>
    </w:p>
    <w:p w:rsidR="006778AD" w:rsidRDefault="006778AD" w:rsidP="00194CBC">
      <w:pPr>
        <w:spacing w:line="480" w:lineRule="auto"/>
        <w:contextualSpacing/>
        <w:jc w:val="center"/>
        <w:rPr>
          <w:b/>
          <w:sz w:val="28"/>
          <w:szCs w:val="28"/>
        </w:rPr>
      </w:pPr>
    </w:p>
    <w:p w:rsidR="006778AD" w:rsidRDefault="006778AD" w:rsidP="00194CBC">
      <w:pPr>
        <w:spacing w:line="480" w:lineRule="auto"/>
        <w:contextualSpacing/>
        <w:jc w:val="center"/>
        <w:rPr>
          <w:b/>
          <w:sz w:val="28"/>
          <w:szCs w:val="28"/>
        </w:rPr>
      </w:pPr>
    </w:p>
    <w:p w:rsidR="006778AD" w:rsidRDefault="006778AD" w:rsidP="00194CBC">
      <w:pPr>
        <w:spacing w:line="480" w:lineRule="auto"/>
        <w:contextualSpacing/>
        <w:jc w:val="center"/>
        <w:rPr>
          <w:b/>
          <w:sz w:val="28"/>
          <w:szCs w:val="28"/>
        </w:rPr>
      </w:pPr>
    </w:p>
    <w:p w:rsidR="006778AD" w:rsidRDefault="006778AD" w:rsidP="00194CBC">
      <w:pPr>
        <w:spacing w:line="480" w:lineRule="auto"/>
        <w:contextualSpacing/>
        <w:jc w:val="center"/>
        <w:rPr>
          <w:b/>
          <w:sz w:val="28"/>
          <w:szCs w:val="28"/>
        </w:rPr>
      </w:pPr>
    </w:p>
    <w:p w:rsidR="00761D12" w:rsidRDefault="00761D12" w:rsidP="00194CBC">
      <w:pPr>
        <w:spacing w:line="480" w:lineRule="auto"/>
        <w:contextualSpacing/>
        <w:jc w:val="center"/>
        <w:rPr>
          <w:b/>
          <w:sz w:val="28"/>
          <w:szCs w:val="28"/>
        </w:rPr>
      </w:pPr>
      <w:r w:rsidRPr="00761D12">
        <w:rPr>
          <w:b/>
          <w:sz w:val="28"/>
          <w:szCs w:val="28"/>
        </w:rPr>
        <w:lastRenderedPageBreak/>
        <w:t>Tables</w:t>
      </w: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761D12" w:rsidRDefault="00761D12" w:rsidP="00761D12">
      <w:pPr>
        <w:spacing w:line="480" w:lineRule="auto"/>
        <w:contextualSpacing/>
        <w:jc w:val="center"/>
        <w:rPr>
          <w:b/>
          <w:sz w:val="28"/>
          <w:szCs w:val="28"/>
        </w:rPr>
      </w:pPr>
    </w:p>
    <w:p w:rsidR="00623F87" w:rsidRPr="00696044" w:rsidRDefault="00623F87" w:rsidP="00F74B21">
      <w:pPr>
        <w:spacing w:line="480" w:lineRule="auto"/>
        <w:contextualSpacing/>
        <w:rPr>
          <w:sz w:val="24"/>
          <w:szCs w:val="24"/>
        </w:rPr>
      </w:pPr>
      <w:proofErr w:type="gramStart"/>
      <w:r w:rsidRPr="001E0F5E">
        <w:rPr>
          <w:sz w:val="24"/>
          <w:szCs w:val="24"/>
        </w:rPr>
        <w:t>Table 2.</w:t>
      </w:r>
      <w:r w:rsidR="00194CBC">
        <w:rPr>
          <w:sz w:val="24"/>
          <w:szCs w:val="24"/>
        </w:rPr>
        <w:t>1</w:t>
      </w:r>
      <w:r>
        <w:rPr>
          <w:sz w:val="24"/>
          <w:szCs w:val="24"/>
        </w:rPr>
        <w:t>.</w:t>
      </w:r>
      <w:proofErr w:type="gramEnd"/>
      <w:r>
        <w:rPr>
          <w:sz w:val="24"/>
          <w:szCs w:val="24"/>
        </w:rPr>
        <w:t xml:space="preserve"> </w:t>
      </w:r>
      <w:proofErr w:type="gramStart"/>
      <w:r w:rsidRPr="00696044">
        <w:rPr>
          <w:sz w:val="24"/>
          <w:szCs w:val="24"/>
        </w:rPr>
        <w:t>Incubation temperatures and atmospheres for lactic acid bacteria.</w:t>
      </w:r>
      <w:proofErr w:type="gramEnd"/>
    </w:p>
    <w:tbl>
      <w:tblPr>
        <w:tblW w:w="6695" w:type="dxa"/>
        <w:tblInd w:w="1336" w:type="dxa"/>
        <w:tblLook w:val="04A0"/>
      </w:tblPr>
      <w:tblGrid>
        <w:gridCol w:w="2956"/>
        <w:gridCol w:w="1020"/>
        <w:gridCol w:w="1450"/>
        <w:gridCol w:w="1269"/>
      </w:tblGrid>
      <w:tr w:rsidR="00623F87" w:rsidRPr="00800042" w:rsidTr="00F74B21">
        <w:trPr>
          <w:trHeight w:val="324"/>
        </w:trPr>
        <w:tc>
          <w:tcPr>
            <w:tcW w:w="2956" w:type="dxa"/>
            <w:tcBorders>
              <w:top w:val="single" w:sz="4" w:space="0" w:color="auto"/>
              <w:left w:val="nil"/>
              <w:bottom w:val="single" w:sz="8" w:space="0" w:color="auto"/>
              <w:right w:val="nil"/>
            </w:tcBorders>
            <w:shd w:val="clear" w:color="auto" w:fill="auto"/>
            <w:noWrap/>
            <w:vAlign w:val="bottom"/>
            <w:hideMark/>
          </w:tcPr>
          <w:p w:rsidR="00623F87" w:rsidRPr="002B0BA9" w:rsidRDefault="00623F87" w:rsidP="00623F87">
            <w:pPr>
              <w:spacing w:after="0"/>
              <w:jc w:val="center"/>
              <w:rPr>
                <w:rFonts w:ascii="Calibri" w:eastAsia="Times New Roman" w:hAnsi="Calibri" w:cs="Times New Roman"/>
                <w:b/>
                <w:color w:val="000000"/>
                <w:sz w:val="24"/>
                <w:szCs w:val="24"/>
              </w:rPr>
            </w:pPr>
            <w:r w:rsidRPr="002B0BA9">
              <w:rPr>
                <w:rFonts w:ascii="Calibri" w:eastAsia="Times New Roman" w:hAnsi="Calibri" w:cs="Times New Roman"/>
                <w:b/>
                <w:color w:val="000000"/>
                <w:sz w:val="24"/>
                <w:szCs w:val="24"/>
              </w:rPr>
              <w:t>Organism</w:t>
            </w:r>
          </w:p>
        </w:tc>
        <w:tc>
          <w:tcPr>
            <w:tcW w:w="1020" w:type="dxa"/>
            <w:tcBorders>
              <w:top w:val="single" w:sz="4" w:space="0" w:color="auto"/>
              <w:left w:val="nil"/>
              <w:bottom w:val="single" w:sz="8" w:space="0" w:color="auto"/>
              <w:right w:val="nil"/>
            </w:tcBorders>
            <w:shd w:val="clear" w:color="auto" w:fill="auto"/>
            <w:noWrap/>
            <w:vAlign w:val="bottom"/>
            <w:hideMark/>
          </w:tcPr>
          <w:p w:rsidR="00623F87" w:rsidRPr="002B0BA9" w:rsidRDefault="00623F87" w:rsidP="00623F87">
            <w:pPr>
              <w:spacing w:after="0"/>
              <w:jc w:val="center"/>
              <w:rPr>
                <w:rFonts w:ascii="Calibri" w:eastAsia="Times New Roman" w:hAnsi="Calibri" w:cs="Times New Roman"/>
                <w:b/>
                <w:color w:val="000000"/>
                <w:sz w:val="24"/>
                <w:szCs w:val="24"/>
              </w:rPr>
            </w:pPr>
            <w:r w:rsidRPr="002B0BA9">
              <w:rPr>
                <w:rFonts w:ascii="Calibri" w:eastAsia="Times New Roman" w:hAnsi="Calibri" w:cs="Times New Roman"/>
                <w:b/>
                <w:color w:val="000000"/>
                <w:sz w:val="24"/>
                <w:szCs w:val="24"/>
              </w:rPr>
              <w:t>ATCC #</w:t>
            </w:r>
          </w:p>
        </w:tc>
        <w:tc>
          <w:tcPr>
            <w:tcW w:w="1450" w:type="dxa"/>
            <w:tcBorders>
              <w:top w:val="single" w:sz="4" w:space="0" w:color="auto"/>
              <w:left w:val="nil"/>
              <w:bottom w:val="single" w:sz="8" w:space="0" w:color="auto"/>
              <w:right w:val="nil"/>
            </w:tcBorders>
            <w:shd w:val="clear" w:color="auto" w:fill="auto"/>
            <w:noWrap/>
            <w:vAlign w:val="bottom"/>
            <w:hideMark/>
          </w:tcPr>
          <w:p w:rsidR="00623F87" w:rsidRPr="002B0BA9" w:rsidRDefault="00623F87" w:rsidP="00623F87">
            <w:pPr>
              <w:spacing w:after="0"/>
              <w:jc w:val="center"/>
              <w:rPr>
                <w:rFonts w:ascii="Calibri" w:eastAsia="Times New Roman" w:hAnsi="Calibri" w:cs="Times New Roman"/>
                <w:b/>
                <w:color w:val="000000"/>
                <w:sz w:val="24"/>
                <w:szCs w:val="24"/>
              </w:rPr>
            </w:pPr>
            <w:r w:rsidRPr="002B0BA9">
              <w:rPr>
                <w:rFonts w:ascii="Calibri" w:eastAsia="Times New Roman" w:hAnsi="Calibri" w:cs="Times New Roman"/>
                <w:b/>
                <w:color w:val="000000"/>
                <w:sz w:val="24"/>
                <w:szCs w:val="24"/>
              </w:rPr>
              <w:t>Atmosphere</w:t>
            </w:r>
          </w:p>
        </w:tc>
        <w:tc>
          <w:tcPr>
            <w:tcW w:w="1269" w:type="dxa"/>
            <w:tcBorders>
              <w:top w:val="single" w:sz="4" w:space="0" w:color="auto"/>
              <w:left w:val="nil"/>
              <w:bottom w:val="single" w:sz="8" w:space="0" w:color="auto"/>
              <w:right w:val="nil"/>
            </w:tcBorders>
            <w:shd w:val="clear" w:color="auto" w:fill="auto"/>
            <w:noWrap/>
            <w:vAlign w:val="bottom"/>
            <w:hideMark/>
          </w:tcPr>
          <w:p w:rsidR="00623F87" w:rsidRPr="002B0BA9" w:rsidRDefault="00623F87" w:rsidP="00623F87">
            <w:pPr>
              <w:spacing w:after="0"/>
              <w:jc w:val="center"/>
              <w:rPr>
                <w:rFonts w:ascii="Calibri" w:eastAsia="Times New Roman" w:hAnsi="Calibri" w:cs="Times New Roman"/>
                <w:b/>
                <w:color w:val="000000"/>
                <w:sz w:val="24"/>
                <w:szCs w:val="24"/>
              </w:rPr>
            </w:pPr>
            <w:r w:rsidRPr="002B0BA9">
              <w:rPr>
                <w:rFonts w:ascii="Calibri" w:eastAsia="Times New Roman" w:hAnsi="Calibri" w:cs="Times New Roman"/>
                <w:b/>
                <w:color w:val="000000"/>
                <w:sz w:val="24"/>
                <w:szCs w:val="24"/>
              </w:rPr>
              <w:t>Temp (°C)</w:t>
            </w:r>
          </w:p>
        </w:tc>
      </w:tr>
      <w:tr w:rsidR="00623F87" w:rsidRPr="00800042" w:rsidTr="00F74B21">
        <w:trPr>
          <w:trHeight w:val="324"/>
        </w:trPr>
        <w:tc>
          <w:tcPr>
            <w:tcW w:w="2956" w:type="dxa"/>
            <w:tcBorders>
              <w:top w:val="nil"/>
              <w:left w:val="nil"/>
              <w:bottom w:val="nil"/>
              <w:right w:val="nil"/>
            </w:tcBorders>
            <w:shd w:val="clear" w:color="auto" w:fill="auto"/>
            <w:noWrap/>
            <w:vAlign w:val="bottom"/>
            <w:hideMark/>
          </w:tcPr>
          <w:p w:rsidR="00623F87" w:rsidRPr="00800042" w:rsidRDefault="00F74B21" w:rsidP="00623F87">
            <w:pPr>
              <w:spacing w:after="0"/>
              <w:jc w:val="center"/>
              <w:rPr>
                <w:rFonts w:ascii="Calibri" w:eastAsia="Times New Roman" w:hAnsi="Calibri" w:cs="Times New Roman"/>
                <w:i/>
                <w:iCs/>
                <w:color w:val="000000"/>
                <w:sz w:val="24"/>
                <w:szCs w:val="24"/>
              </w:rPr>
            </w:pPr>
            <w:r>
              <w:rPr>
                <w:rFonts w:ascii="Calibri" w:eastAsia="Times New Roman" w:hAnsi="Calibri" w:cs="Times New Roman"/>
                <w:i/>
                <w:iCs/>
                <w:color w:val="000000"/>
                <w:sz w:val="24"/>
                <w:szCs w:val="24"/>
              </w:rPr>
              <w:t>Pediococcus</w:t>
            </w:r>
            <w:r w:rsidR="00623F87" w:rsidRPr="00800042">
              <w:rPr>
                <w:rFonts w:ascii="Calibri" w:eastAsia="Times New Roman" w:hAnsi="Calibri" w:cs="Times New Roman"/>
                <w:i/>
                <w:iCs/>
                <w:color w:val="000000"/>
                <w:sz w:val="24"/>
                <w:szCs w:val="24"/>
              </w:rPr>
              <w:t xml:space="preserve"> acidilactici</w:t>
            </w:r>
          </w:p>
        </w:tc>
        <w:tc>
          <w:tcPr>
            <w:tcW w:w="102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8042</w:t>
            </w:r>
          </w:p>
        </w:tc>
        <w:tc>
          <w:tcPr>
            <w:tcW w:w="145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anaerobic</w:t>
            </w:r>
          </w:p>
        </w:tc>
        <w:tc>
          <w:tcPr>
            <w:tcW w:w="1269"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37</w:t>
            </w:r>
          </w:p>
        </w:tc>
      </w:tr>
      <w:tr w:rsidR="00623F87" w:rsidRPr="00800042" w:rsidTr="00F74B21">
        <w:trPr>
          <w:trHeight w:val="324"/>
        </w:trPr>
        <w:tc>
          <w:tcPr>
            <w:tcW w:w="2956" w:type="dxa"/>
            <w:tcBorders>
              <w:top w:val="nil"/>
              <w:left w:val="nil"/>
              <w:bottom w:val="nil"/>
              <w:right w:val="nil"/>
            </w:tcBorders>
            <w:shd w:val="clear" w:color="auto" w:fill="auto"/>
            <w:noWrap/>
            <w:vAlign w:val="bottom"/>
            <w:hideMark/>
          </w:tcPr>
          <w:p w:rsidR="00623F87" w:rsidRPr="00800042" w:rsidRDefault="00F74B21" w:rsidP="00623F87">
            <w:pPr>
              <w:spacing w:after="0"/>
              <w:jc w:val="center"/>
              <w:rPr>
                <w:rFonts w:ascii="Calibri" w:eastAsia="Times New Roman" w:hAnsi="Calibri" w:cs="Times New Roman"/>
                <w:i/>
                <w:iCs/>
                <w:color w:val="000000"/>
                <w:sz w:val="24"/>
                <w:szCs w:val="24"/>
              </w:rPr>
            </w:pPr>
            <w:r>
              <w:rPr>
                <w:rFonts w:ascii="Calibri" w:eastAsia="Times New Roman" w:hAnsi="Calibri" w:cs="Times New Roman"/>
                <w:i/>
                <w:iCs/>
                <w:color w:val="000000"/>
                <w:sz w:val="24"/>
                <w:szCs w:val="24"/>
              </w:rPr>
              <w:t>Pediococcus</w:t>
            </w:r>
            <w:r w:rsidR="00623F87" w:rsidRPr="00800042">
              <w:rPr>
                <w:rFonts w:ascii="Calibri" w:eastAsia="Times New Roman" w:hAnsi="Calibri" w:cs="Times New Roman"/>
                <w:i/>
                <w:iCs/>
                <w:color w:val="000000"/>
                <w:sz w:val="24"/>
                <w:szCs w:val="24"/>
              </w:rPr>
              <w:t xml:space="preserve"> damnosus</w:t>
            </w:r>
          </w:p>
        </w:tc>
        <w:tc>
          <w:tcPr>
            <w:tcW w:w="102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11308</w:t>
            </w:r>
          </w:p>
        </w:tc>
        <w:tc>
          <w:tcPr>
            <w:tcW w:w="145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anaerobic</w:t>
            </w:r>
          </w:p>
        </w:tc>
        <w:tc>
          <w:tcPr>
            <w:tcW w:w="1269"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30</w:t>
            </w:r>
          </w:p>
        </w:tc>
      </w:tr>
      <w:tr w:rsidR="00623F87" w:rsidRPr="00800042" w:rsidTr="00F74B21">
        <w:trPr>
          <w:trHeight w:val="312"/>
        </w:trPr>
        <w:tc>
          <w:tcPr>
            <w:tcW w:w="2956" w:type="dxa"/>
            <w:tcBorders>
              <w:top w:val="nil"/>
              <w:left w:val="nil"/>
              <w:bottom w:val="nil"/>
              <w:right w:val="nil"/>
            </w:tcBorders>
            <w:shd w:val="clear" w:color="auto" w:fill="auto"/>
            <w:noWrap/>
            <w:vAlign w:val="bottom"/>
            <w:hideMark/>
          </w:tcPr>
          <w:p w:rsidR="00623F87" w:rsidRPr="00800042" w:rsidRDefault="00F74B21" w:rsidP="00623F87">
            <w:pPr>
              <w:spacing w:after="0"/>
              <w:jc w:val="center"/>
              <w:rPr>
                <w:rFonts w:ascii="Calibri" w:eastAsia="Times New Roman" w:hAnsi="Calibri" w:cs="Times New Roman"/>
                <w:i/>
                <w:iCs/>
                <w:color w:val="000000"/>
                <w:sz w:val="24"/>
                <w:szCs w:val="24"/>
              </w:rPr>
            </w:pPr>
            <w:r>
              <w:rPr>
                <w:rFonts w:ascii="Calibri" w:eastAsia="Times New Roman" w:hAnsi="Calibri" w:cs="Times New Roman"/>
                <w:i/>
                <w:iCs/>
                <w:color w:val="000000"/>
                <w:sz w:val="24"/>
                <w:szCs w:val="24"/>
              </w:rPr>
              <w:t xml:space="preserve">Leuconostoc </w:t>
            </w:r>
            <w:r w:rsidR="00623F87" w:rsidRPr="00800042">
              <w:rPr>
                <w:rFonts w:ascii="Calibri" w:eastAsia="Times New Roman" w:hAnsi="Calibri" w:cs="Times New Roman"/>
                <w:i/>
                <w:iCs/>
                <w:color w:val="000000"/>
                <w:sz w:val="24"/>
                <w:szCs w:val="24"/>
              </w:rPr>
              <w:t xml:space="preserve">citrovorum </w:t>
            </w:r>
          </w:p>
        </w:tc>
        <w:tc>
          <w:tcPr>
            <w:tcW w:w="102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23065</w:t>
            </w:r>
          </w:p>
        </w:tc>
        <w:tc>
          <w:tcPr>
            <w:tcW w:w="145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aerobic</w:t>
            </w:r>
          </w:p>
        </w:tc>
        <w:tc>
          <w:tcPr>
            <w:tcW w:w="1269"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30</w:t>
            </w:r>
          </w:p>
        </w:tc>
      </w:tr>
      <w:tr w:rsidR="00623F87" w:rsidRPr="00800042" w:rsidTr="00F74B21">
        <w:trPr>
          <w:trHeight w:val="312"/>
        </w:trPr>
        <w:tc>
          <w:tcPr>
            <w:tcW w:w="2956" w:type="dxa"/>
            <w:tcBorders>
              <w:top w:val="nil"/>
              <w:left w:val="nil"/>
              <w:bottom w:val="nil"/>
              <w:right w:val="nil"/>
            </w:tcBorders>
            <w:shd w:val="clear" w:color="auto" w:fill="auto"/>
            <w:noWrap/>
            <w:vAlign w:val="bottom"/>
            <w:hideMark/>
          </w:tcPr>
          <w:p w:rsidR="00623F87" w:rsidRPr="00800042" w:rsidRDefault="00F74B21" w:rsidP="00623F87">
            <w:pPr>
              <w:spacing w:after="0"/>
              <w:jc w:val="center"/>
              <w:rPr>
                <w:rFonts w:ascii="Calibri" w:eastAsia="Times New Roman" w:hAnsi="Calibri" w:cs="Times New Roman"/>
                <w:i/>
                <w:iCs/>
                <w:color w:val="000000"/>
                <w:sz w:val="24"/>
                <w:szCs w:val="24"/>
              </w:rPr>
            </w:pPr>
            <w:r>
              <w:rPr>
                <w:rFonts w:ascii="Calibri" w:eastAsia="Times New Roman" w:hAnsi="Calibri" w:cs="Times New Roman"/>
                <w:i/>
                <w:iCs/>
                <w:color w:val="000000"/>
                <w:sz w:val="24"/>
                <w:szCs w:val="24"/>
              </w:rPr>
              <w:lastRenderedPageBreak/>
              <w:t>Leuconostoc</w:t>
            </w:r>
            <w:r w:rsidR="00623F87" w:rsidRPr="00800042">
              <w:rPr>
                <w:rFonts w:ascii="Calibri" w:eastAsia="Times New Roman" w:hAnsi="Calibri" w:cs="Times New Roman"/>
                <w:i/>
                <w:iCs/>
                <w:color w:val="000000"/>
                <w:sz w:val="24"/>
                <w:szCs w:val="24"/>
              </w:rPr>
              <w:t xml:space="preserve"> mesenteroides </w:t>
            </w:r>
          </w:p>
        </w:tc>
        <w:tc>
          <w:tcPr>
            <w:tcW w:w="102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8293</w:t>
            </w:r>
          </w:p>
        </w:tc>
        <w:tc>
          <w:tcPr>
            <w:tcW w:w="145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aerobic</w:t>
            </w:r>
          </w:p>
        </w:tc>
        <w:tc>
          <w:tcPr>
            <w:tcW w:w="1269"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26</w:t>
            </w:r>
          </w:p>
        </w:tc>
      </w:tr>
      <w:tr w:rsidR="00623F87" w:rsidRPr="00800042" w:rsidTr="00F74B21">
        <w:trPr>
          <w:trHeight w:val="312"/>
        </w:trPr>
        <w:tc>
          <w:tcPr>
            <w:tcW w:w="2956" w:type="dxa"/>
            <w:tcBorders>
              <w:top w:val="nil"/>
              <w:left w:val="nil"/>
              <w:bottom w:val="nil"/>
              <w:right w:val="nil"/>
            </w:tcBorders>
            <w:shd w:val="clear" w:color="auto" w:fill="auto"/>
            <w:noWrap/>
            <w:vAlign w:val="bottom"/>
            <w:hideMark/>
          </w:tcPr>
          <w:p w:rsidR="00623F87" w:rsidRPr="00800042" w:rsidRDefault="00F74B21" w:rsidP="00623F87">
            <w:pPr>
              <w:spacing w:after="0"/>
              <w:jc w:val="center"/>
              <w:rPr>
                <w:rFonts w:ascii="Calibri" w:eastAsia="Times New Roman" w:hAnsi="Calibri" w:cs="Times New Roman"/>
                <w:i/>
                <w:iCs/>
                <w:color w:val="000000"/>
                <w:sz w:val="24"/>
                <w:szCs w:val="24"/>
              </w:rPr>
            </w:pPr>
            <w:r>
              <w:rPr>
                <w:rFonts w:ascii="Calibri" w:eastAsia="Times New Roman" w:hAnsi="Calibri" w:cs="Times New Roman"/>
                <w:i/>
                <w:iCs/>
                <w:color w:val="000000"/>
                <w:sz w:val="24"/>
                <w:szCs w:val="24"/>
              </w:rPr>
              <w:t>Lactobacillus</w:t>
            </w:r>
            <w:r w:rsidR="00623F87" w:rsidRPr="00800042">
              <w:rPr>
                <w:rFonts w:ascii="Calibri" w:eastAsia="Times New Roman" w:hAnsi="Calibri" w:cs="Times New Roman"/>
                <w:i/>
                <w:iCs/>
                <w:color w:val="000000"/>
                <w:sz w:val="24"/>
                <w:szCs w:val="24"/>
              </w:rPr>
              <w:t xml:space="preserve"> buchneri  </w:t>
            </w:r>
          </w:p>
        </w:tc>
        <w:tc>
          <w:tcPr>
            <w:tcW w:w="102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9460</w:t>
            </w:r>
          </w:p>
        </w:tc>
        <w:tc>
          <w:tcPr>
            <w:tcW w:w="145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anaerobic</w:t>
            </w:r>
          </w:p>
        </w:tc>
        <w:tc>
          <w:tcPr>
            <w:tcW w:w="1269"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37</w:t>
            </w:r>
          </w:p>
        </w:tc>
      </w:tr>
      <w:tr w:rsidR="00623F87" w:rsidRPr="00800042" w:rsidTr="00F74B21">
        <w:trPr>
          <w:trHeight w:val="312"/>
        </w:trPr>
        <w:tc>
          <w:tcPr>
            <w:tcW w:w="2956" w:type="dxa"/>
            <w:tcBorders>
              <w:top w:val="nil"/>
              <w:left w:val="nil"/>
              <w:bottom w:val="nil"/>
              <w:right w:val="nil"/>
            </w:tcBorders>
            <w:shd w:val="clear" w:color="auto" w:fill="auto"/>
            <w:noWrap/>
            <w:vAlign w:val="bottom"/>
            <w:hideMark/>
          </w:tcPr>
          <w:p w:rsidR="00623F87" w:rsidRPr="00800042" w:rsidRDefault="00F74B21" w:rsidP="00623F87">
            <w:pPr>
              <w:spacing w:after="0"/>
              <w:jc w:val="center"/>
              <w:rPr>
                <w:rFonts w:ascii="Calibri" w:eastAsia="Times New Roman" w:hAnsi="Calibri" w:cs="Times New Roman"/>
                <w:i/>
                <w:iCs/>
                <w:color w:val="000000"/>
                <w:sz w:val="24"/>
                <w:szCs w:val="24"/>
              </w:rPr>
            </w:pPr>
            <w:r>
              <w:rPr>
                <w:rFonts w:ascii="Calibri" w:eastAsia="Times New Roman" w:hAnsi="Calibri" w:cs="Times New Roman"/>
                <w:i/>
                <w:iCs/>
                <w:color w:val="000000"/>
                <w:sz w:val="24"/>
                <w:szCs w:val="24"/>
              </w:rPr>
              <w:t>Lactobacillus</w:t>
            </w:r>
            <w:r w:rsidR="00623F87" w:rsidRPr="00800042">
              <w:rPr>
                <w:rFonts w:ascii="Calibri" w:eastAsia="Times New Roman" w:hAnsi="Calibri" w:cs="Times New Roman"/>
                <w:i/>
                <w:iCs/>
                <w:color w:val="000000"/>
                <w:sz w:val="24"/>
                <w:szCs w:val="24"/>
              </w:rPr>
              <w:t xml:space="preserve"> brevis  </w:t>
            </w:r>
          </w:p>
        </w:tc>
        <w:tc>
          <w:tcPr>
            <w:tcW w:w="102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367</w:t>
            </w:r>
          </w:p>
        </w:tc>
        <w:tc>
          <w:tcPr>
            <w:tcW w:w="145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aerobic</w:t>
            </w:r>
          </w:p>
        </w:tc>
        <w:tc>
          <w:tcPr>
            <w:tcW w:w="1269"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30</w:t>
            </w:r>
          </w:p>
        </w:tc>
      </w:tr>
      <w:tr w:rsidR="00623F87" w:rsidRPr="00800042" w:rsidTr="00F74B21">
        <w:trPr>
          <w:trHeight w:val="312"/>
        </w:trPr>
        <w:tc>
          <w:tcPr>
            <w:tcW w:w="2956" w:type="dxa"/>
            <w:tcBorders>
              <w:top w:val="nil"/>
              <w:left w:val="nil"/>
              <w:bottom w:val="nil"/>
              <w:right w:val="nil"/>
            </w:tcBorders>
            <w:shd w:val="clear" w:color="auto" w:fill="auto"/>
            <w:noWrap/>
            <w:vAlign w:val="bottom"/>
            <w:hideMark/>
          </w:tcPr>
          <w:p w:rsidR="00623F87" w:rsidRPr="00800042" w:rsidRDefault="00F74B21" w:rsidP="00623F87">
            <w:pPr>
              <w:spacing w:after="0"/>
              <w:jc w:val="center"/>
              <w:rPr>
                <w:rFonts w:ascii="Calibri" w:eastAsia="Times New Roman" w:hAnsi="Calibri" w:cs="Times New Roman"/>
                <w:i/>
                <w:iCs/>
                <w:color w:val="000000"/>
                <w:sz w:val="24"/>
                <w:szCs w:val="24"/>
              </w:rPr>
            </w:pPr>
            <w:r>
              <w:rPr>
                <w:rFonts w:ascii="Calibri" w:eastAsia="Times New Roman" w:hAnsi="Calibri" w:cs="Times New Roman"/>
                <w:i/>
                <w:iCs/>
                <w:color w:val="000000"/>
                <w:sz w:val="24"/>
                <w:szCs w:val="24"/>
              </w:rPr>
              <w:t>Lactobacillus</w:t>
            </w:r>
            <w:r w:rsidR="00623F87" w:rsidRPr="00800042">
              <w:rPr>
                <w:rFonts w:ascii="Calibri" w:eastAsia="Times New Roman" w:hAnsi="Calibri" w:cs="Times New Roman"/>
                <w:i/>
                <w:iCs/>
                <w:color w:val="000000"/>
                <w:sz w:val="24"/>
                <w:szCs w:val="24"/>
              </w:rPr>
              <w:t xml:space="preserve"> fermentum  </w:t>
            </w:r>
          </w:p>
        </w:tc>
        <w:tc>
          <w:tcPr>
            <w:tcW w:w="102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8289</w:t>
            </w:r>
          </w:p>
        </w:tc>
        <w:tc>
          <w:tcPr>
            <w:tcW w:w="145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aerobic</w:t>
            </w:r>
          </w:p>
        </w:tc>
        <w:tc>
          <w:tcPr>
            <w:tcW w:w="1269"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37</w:t>
            </w:r>
          </w:p>
        </w:tc>
      </w:tr>
      <w:tr w:rsidR="00623F87" w:rsidRPr="00800042" w:rsidTr="00F74B21">
        <w:trPr>
          <w:trHeight w:val="312"/>
        </w:trPr>
        <w:tc>
          <w:tcPr>
            <w:tcW w:w="2956" w:type="dxa"/>
            <w:tcBorders>
              <w:top w:val="nil"/>
              <w:left w:val="nil"/>
              <w:bottom w:val="nil"/>
              <w:right w:val="nil"/>
            </w:tcBorders>
            <w:shd w:val="clear" w:color="auto" w:fill="auto"/>
            <w:noWrap/>
            <w:vAlign w:val="bottom"/>
            <w:hideMark/>
          </w:tcPr>
          <w:p w:rsidR="00623F87" w:rsidRPr="00800042" w:rsidRDefault="00F74B21" w:rsidP="00623F87">
            <w:pPr>
              <w:spacing w:after="0"/>
              <w:jc w:val="center"/>
              <w:rPr>
                <w:rFonts w:ascii="Calibri" w:eastAsia="Times New Roman" w:hAnsi="Calibri" w:cs="Times New Roman"/>
                <w:i/>
                <w:iCs/>
                <w:color w:val="000000"/>
                <w:sz w:val="24"/>
                <w:szCs w:val="24"/>
              </w:rPr>
            </w:pPr>
            <w:r>
              <w:rPr>
                <w:rFonts w:ascii="Calibri" w:eastAsia="Times New Roman" w:hAnsi="Calibri" w:cs="Times New Roman"/>
                <w:i/>
                <w:iCs/>
                <w:color w:val="000000"/>
                <w:sz w:val="24"/>
                <w:szCs w:val="24"/>
              </w:rPr>
              <w:t>Lactobacillus</w:t>
            </w:r>
            <w:r w:rsidR="00623F87" w:rsidRPr="00800042">
              <w:rPr>
                <w:rFonts w:ascii="Calibri" w:eastAsia="Times New Roman" w:hAnsi="Calibri" w:cs="Times New Roman"/>
                <w:i/>
                <w:iCs/>
                <w:color w:val="000000"/>
                <w:sz w:val="24"/>
                <w:szCs w:val="24"/>
              </w:rPr>
              <w:t xml:space="preserve"> fructivorans  </w:t>
            </w:r>
          </w:p>
        </w:tc>
        <w:tc>
          <w:tcPr>
            <w:tcW w:w="102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8288</w:t>
            </w:r>
          </w:p>
        </w:tc>
        <w:tc>
          <w:tcPr>
            <w:tcW w:w="1450"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aerobic</w:t>
            </w:r>
          </w:p>
        </w:tc>
        <w:tc>
          <w:tcPr>
            <w:tcW w:w="1269" w:type="dxa"/>
            <w:tcBorders>
              <w:top w:val="nil"/>
              <w:left w:val="nil"/>
              <w:bottom w:val="nil"/>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30</w:t>
            </w:r>
          </w:p>
        </w:tc>
      </w:tr>
      <w:tr w:rsidR="00623F87" w:rsidRPr="00800042" w:rsidTr="00F74B21">
        <w:trPr>
          <w:trHeight w:val="324"/>
        </w:trPr>
        <w:tc>
          <w:tcPr>
            <w:tcW w:w="2956" w:type="dxa"/>
            <w:tcBorders>
              <w:top w:val="nil"/>
              <w:left w:val="nil"/>
              <w:bottom w:val="single" w:sz="8" w:space="0" w:color="auto"/>
              <w:right w:val="nil"/>
            </w:tcBorders>
            <w:shd w:val="clear" w:color="auto" w:fill="auto"/>
            <w:noWrap/>
            <w:vAlign w:val="bottom"/>
            <w:hideMark/>
          </w:tcPr>
          <w:p w:rsidR="00623F87" w:rsidRPr="00800042" w:rsidRDefault="00623F87" w:rsidP="00F74B21">
            <w:pPr>
              <w:spacing w:after="0"/>
              <w:jc w:val="center"/>
              <w:rPr>
                <w:rFonts w:ascii="Calibri" w:eastAsia="Times New Roman" w:hAnsi="Calibri" w:cs="Times New Roman"/>
                <w:i/>
                <w:iCs/>
                <w:color w:val="000000"/>
                <w:sz w:val="24"/>
                <w:szCs w:val="24"/>
              </w:rPr>
            </w:pPr>
            <w:r w:rsidRPr="00800042">
              <w:rPr>
                <w:rFonts w:ascii="Calibri" w:eastAsia="Times New Roman" w:hAnsi="Calibri" w:cs="Times New Roman"/>
                <w:i/>
                <w:iCs/>
                <w:color w:val="000000"/>
                <w:sz w:val="24"/>
                <w:szCs w:val="24"/>
              </w:rPr>
              <w:t>L</w:t>
            </w:r>
            <w:r w:rsidR="00F74B21">
              <w:rPr>
                <w:rFonts w:ascii="Calibri" w:eastAsia="Times New Roman" w:hAnsi="Calibri" w:cs="Times New Roman"/>
                <w:i/>
                <w:iCs/>
                <w:color w:val="000000"/>
                <w:sz w:val="24"/>
                <w:szCs w:val="24"/>
              </w:rPr>
              <w:t>actobacillus</w:t>
            </w:r>
            <w:r w:rsidRPr="00800042">
              <w:rPr>
                <w:rFonts w:ascii="Calibri" w:eastAsia="Times New Roman" w:hAnsi="Calibri" w:cs="Times New Roman"/>
                <w:i/>
                <w:iCs/>
                <w:color w:val="000000"/>
                <w:sz w:val="24"/>
                <w:szCs w:val="24"/>
              </w:rPr>
              <w:t xml:space="preserve"> plantarum</w:t>
            </w:r>
          </w:p>
        </w:tc>
        <w:tc>
          <w:tcPr>
            <w:tcW w:w="1020" w:type="dxa"/>
            <w:tcBorders>
              <w:top w:val="nil"/>
              <w:left w:val="nil"/>
              <w:bottom w:val="single" w:sz="8" w:space="0" w:color="auto"/>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4008</w:t>
            </w:r>
          </w:p>
        </w:tc>
        <w:tc>
          <w:tcPr>
            <w:tcW w:w="1450" w:type="dxa"/>
            <w:tcBorders>
              <w:top w:val="nil"/>
              <w:left w:val="nil"/>
              <w:bottom w:val="single" w:sz="8" w:space="0" w:color="auto"/>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aerobic</w:t>
            </w:r>
          </w:p>
        </w:tc>
        <w:tc>
          <w:tcPr>
            <w:tcW w:w="1269" w:type="dxa"/>
            <w:tcBorders>
              <w:top w:val="nil"/>
              <w:left w:val="nil"/>
              <w:bottom w:val="single" w:sz="8" w:space="0" w:color="auto"/>
              <w:right w:val="nil"/>
            </w:tcBorders>
            <w:shd w:val="clear" w:color="auto" w:fill="auto"/>
            <w:noWrap/>
            <w:vAlign w:val="bottom"/>
            <w:hideMark/>
          </w:tcPr>
          <w:p w:rsidR="00623F87" w:rsidRPr="00800042" w:rsidRDefault="00623F87" w:rsidP="00623F87">
            <w:pPr>
              <w:spacing w:after="0"/>
              <w:jc w:val="center"/>
              <w:rPr>
                <w:rFonts w:ascii="Calibri" w:eastAsia="Times New Roman" w:hAnsi="Calibri" w:cs="Times New Roman"/>
                <w:color w:val="000000"/>
                <w:sz w:val="24"/>
                <w:szCs w:val="24"/>
              </w:rPr>
            </w:pPr>
            <w:r w:rsidRPr="00800042">
              <w:rPr>
                <w:rFonts w:ascii="Calibri" w:eastAsia="Times New Roman" w:hAnsi="Calibri" w:cs="Times New Roman"/>
                <w:color w:val="000000"/>
                <w:sz w:val="24"/>
                <w:szCs w:val="24"/>
              </w:rPr>
              <w:t>37</w:t>
            </w:r>
          </w:p>
        </w:tc>
      </w:tr>
    </w:tbl>
    <w:p w:rsidR="00623F87" w:rsidRDefault="00623F87" w:rsidP="00623F87">
      <w:pPr>
        <w:spacing w:line="480" w:lineRule="auto"/>
        <w:contextualSpacing/>
        <w:jc w:val="center"/>
        <w:rPr>
          <w:b/>
          <w:sz w:val="28"/>
          <w:szCs w:val="28"/>
        </w:rPr>
      </w:pPr>
    </w:p>
    <w:p w:rsidR="00623F87" w:rsidRDefault="00623F87" w:rsidP="002649AF">
      <w:pPr>
        <w:spacing w:line="480" w:lineRule="auto"/>
        <w:contextualSpacing/>
        <w:jc w:val="center"/>
        <w:rPr>
          <w:b/>
          <w:sz w:val="28"/>
          <w:szCs w:val="28"/>
        </w:rPr>
      </w:pPr>
    </w:p>
    <w:p w:rsidR="00455A7B" w:rsidRDefault="00455A7B" w:rsidP="002649AF">
      <w:pPr>
        <w:spacing w:line="480" w:lineRule="auto"/>
        <w:contextualSpacing/>
        <w:jc w:val="center"/>
        <w:rPr>
          <w:b/>
          <w:sz w:val="28"/>
          <w:szCs w:val="28"/>
        </w:rPr>
        <w:sectPr w:rsidR="00455A7B" w:rsidSect="00C44521">
          <w:pgSz w:w="12240" w:h="15840"/>
          <w:pgMar w:top="1440" w:right="1440" w:bottom="1440" w:left="1440" w:header="720" w:footer="720" w:gutter="0"/>
          <w:cols w:space="720"/>
          <w:docGrid w:linePitch="360"/>
        </w:sectPr>
      </w:pPr>
    </w:p>
    <w:tbl>
      <w:tblPr>
        <w:tblW w:w="14918" w:type="dxa"/>
        <w:tblInd w:w="-506" w:type="dxa"/>
        <w:tblLook w:val="04A0"/>
      </w:tblPr>
      <w:tblGrid>
        <w:gridCol w:w="1718"/>
        <w:gridCol w:w="1380"/>
        <w:gridCol w:w="1440"/>
        <w:gridCol w:w="1400"/>
        <w:gridCol w:w="1420"/>
        <w:gridCol w:w="1480"/>
        <w:gridCol w:w="1260"/>
        <w:gridCol w:w="1600"/>
        <w:gridCol w:w="1780"/>
        <w:gridCol w:w="1440"/>
      </w:tblGrid>
      <w:tr w:rsidR="00455A7B" w:rsidRPr="00C57757" w:rsidTr="00455A7B">
        <w:trPr>
          <w:trHeight w:val="300"/>
        </w:trPr>
        <w:tc>
          <w:tcPr>
            <w:tcW w:w="11698" w:type="dxa"/>
            <w:gridSpan w:val="8"/>
            <w:tcBorders>
              <w:top w:val="nil"/>
              <w:left w:val="nil"/>
              <w:bottom w:val="single" w:sz="8" w:space="0" w:color="auto"/>
              <w:right w:val="nil"/>
            </w:tcBorders>
            <w:shd w:val="clear" w:color="auto" w:fill="auto"/>
            <w:noWrap/>
            <w:vAlign w:val="bottom"/>
            <w:hideMark/>
          </w:tcPr>
          <w:p w:rsidR="00455A7B" w:rsidRDefault="00455A7B" w:rsidP="00455A7B">
            <w:pPr>
              <w:spacing w:after="0"/>
              <w:rPr>
                <w:rFonts w:eastAsia="Times New Roman" w:cs="Times New Roman"/>
                <w:color w:val="000000"/>
              </w:rPr>
            </w:pPr>
          </w:p>
          <w:p w:rsidR="00455A7B" w:rsidRPr="00C57757" w:rsidRDefault="00455A7B" w:rsidP="00455A7B">
            <w:pPr>
              <w:spacing w:after="0"/>
              <w:rPr>
                <w:rFonts w:eastAsia="Times New Roman" w:cs="Times New Roman"/>
                <w:color w:val="000000"/>
              </w:rPr>
            </w:pPr>
            <w:r>
              <w:rPr>
                <w:rFonts w:eastAsia="Times New Roman" w:cs="Times New Roman"/>
                <w:color w:val="000000"/>
              </w:rPr>
              <w:t>Table 2.</w:t>
            </w:r>
            <w:r w:rsidR="00194CBC">
              <w:rPr>
                <w:rFonts w:eastAsia="Times New Roman" w:cs="Times New Roman"/>
                <w:color w:val="000000"/>
              </w:rPr>
              <w:t>2</w:t>
            </w:r>
            <w:r w:rsidRPr="00C57757">
              <w:rPr>
                <w:rFonts w:eastAsia="Times New Roman" w:cs="Times New Roman"/>
                <w:color w:val="000000"/>
              </w:rPr>
              <w:t xml:space="preserve">. </w:t>
            </w:r>
            <w:r w:rsidRPr="00696044">
              <w:rPr>
                <w:rFonts w:eastAsia="Times New Roman" w:cs="Times New Roman"/>
                <w:iCs/>
                <w:color w:val="000000"/>
              </w:rPr>
              <w:t>Minimum inhibitory concentrations of essential oils incorporated into MRS agar against lactic acid bacteria.</w:t>
            </w:r>
          </w:p>
        </w:tc>
        <w:tc>
          <w:tcPr>
            <w:tcW w:w="1780" w:type="dxa"/>
            <w:tcBorders>
              <w:top w:val="nil"/>
              <w:left w:val="nil"/>
              <w:bottom w:val="single" w:sz="8" w:space="0" w:color="auto"/>
              <w:right w:val="nil"/>
            </w:tcBorders>
            <w:shd w:val="clear" w:color="auto" w:fill="auto"/>
            <w:noWrap/>
            <w:vAlign w:val="bottom"/>
            <w:hideMark/>
          </w:tcPr>
          <w:p w:rsidR="00455A7B" w:rsidRPr="00C57757" w:rsidRDefault="00455A7B" w:rsidP="00455A7B">
            <w:pPr>
              <w:spacing w:after="0"/>
              <w:rPr>
                <w:rFonts w:eastAsia="Times New Roman" w:cs="Times New Roman"/>
                <w:color w:val="000000"/>
              </w:rPr>
            </w:pPr>
            <w:r w:rsidRPr="00C57757">
              <w:rPr>
                <w:rFonts w:eastAsia="Times New Roman" w:cs="Times New Roman"/>
                <w:color w:val="000000"/>
              </w:rPr>
              <w:t> </w:t>
            </w:r>
          </w:p>
        </w:tc>
        <w:tc>
          <w:tcPr>
            <w:tcW w:w="1440" w:type="dxa"/>
            <w:tcBorders>
              <w:top w:val="nil"/>
              <w:left w:val="nil"/>
              <w:bottom w:val="single" w:sz="8" w:space="0" w:color="auto"/>
              <w:right w:val="nil"/>
            </w:tcBorders>
            <w:shd w:val="clear" w:color="auto" w:fill="auto"/>
            <w:noWrap/>
            <w:vAlign w:val="bottom"/>
            <w:hideMark/>
          </w:tcPr>
          <w:p w:rsidR="00455A7B" w:rsidRPr="00C57757" w:rsidRDefault="00455A7B" w:rsidP="00455A7B">
            <w:pPr>
              <w:spacing w:after="0"/>
              <w:rPr>
                <w:rFonts w:eastAsia="Times New Roman" w:cs="Times New Roman"/>
                <w:color w:val="000000"/>
              </w:rPr>
            </w:pPr>
            <w:r w:rsidRPr="00C57757">
              <w:rPr>
                <w:rFonts w:eastAsia="Times New Roman" w:cs="Times New Roman"/>
                <w:color w:val="000000"/>
              </w:rPr>
              <w:t> </w:t>
            </w:r>
          </w:p>
        </w:tc>
      </w:tr>
      <w:tr w:rsidR="00455A7B" w:rsidRPr="00C57757" w:rsidTr="00455A7B">
        <w:trPr>
          <w:trHeight w:val="396"/>
        </w:trPr>
        <w:tc>
          <w:tcPr>
            <w:tcW w:w="1718" w:type="dxa"/>
            <w:tcBorders>
              <w:top w:val="nil"/>
              <w:left w:val="nil"/>
              <w:bottom w:val="nil"/>
              <w:right w:val="nil"/>
            </w:tcBorders>
            <w:shd w:val="clear" w:color="auto" w:fill="auto"/>
            <w:noWrap/>
            <w:vAlign w:val="center"/>
            <w:hideMark/>
          </w:tcPr>
          <w:p w:rsidR="00455A7B" w:rsidRPr="002B0BA9" w:rsidRDefault="00455A7B" w:rsidP="00455A7B">
            <w:pPr>
              <w:spacing w:after="0"/>
              <w:jc w:val="center"/>
              <w:rPr>
                <w:rFonts w:eastAsia="Times New Roman" w:cs="Times New Roman"/>
                <w:b/>
                <w:color w:val="000000"/>
              </w:rPr>
            </w:pPr>
            <w:r w:rsidRPr="002B0BA9">
              <w:rPr>
                <w:rFonts w:eastAsia="Times New Roman" w:cs="Times New Roman"/>
                <w:b/>
                <w:color w:val="000000"/>
              </w:rPr>
              <w:t>Antimicrobial</w:t>
            </w:r>
          </w:p>
        </w:tc>
        <w:tc>
          <w:tcPr>
            <w:tcW w:w="13200" w:type="dxa"/>
            <w:gridSpan w:val="9"/>
            <w:tcBorders>
              <w:top w:val="single" w:sz="8" w:space="0" w:color="auto"/>
              <w:left w:val="nil"/>
              <w:bottom w:val="single" w:sz="8" w:space="0" w:color="auto"/>
              <w:right w:val="nil"/>
            </w:tcBorders>
            <w:shd w:val="clear" w:color="auto" w:fill="auto"/>
            <w:noWrap/>
            <w:vAlign w:val="center"/>
            <w:hideMark/>
          </w:tcPr>
          <w:p w:rsidR="00455A7B" w:rsidRPr="002B0BA9" w:rsidRDefault="00455A7B" w:rsidP="00455A7B">
            <w:pPr>
              <w:spacing w:after="0"/>
              <w:jc w:val="center"/>
              <w:rPr>
                <w:rFonts w:eastAsia="Times New Roman" w:cs="Times New Roman"/>
                <w:b/>
                <w:color w:val="000000"/>
              </w:rPr>
            </w:pPr>
            <w:r w:rsidRPr="002B0BA9">
              <w:rPr>
                <w:rFonts w:eastAsia="Times New Roman" w:cs="Times New Roman"/>
                <w:b/>
                <w:color w:val="000000"/>
              </w:rPr>
              <w:t>MIC (%)</w:t>
            </w:r>
            <w:r w:rsidR="00F74B21">
              <w:rPr>
                <w:rFonts w:eastAsia="Times New Roman" w:cs="Times New Roman"/>
                <w:b/>
                <w:color w:val="000000"/>
              </w:rPr>
              <w:t>*</w:t>
            </w:r>
          </w:p>
        </w:tc>
      </w:tr>
      <w:tr w:rsidR="00455A7B" w:rsidRPr="00C57757" w:rsidTr="00455A7B">
        <w:trPr>
          <w:trHeight w:val="576"/>
        </w:trPr>
        <w:tc>
          <w:tcPr>
            <w:tcW w:w="1718" w:type="dxa"/>
            <w:tcBorders>
              <w:top w:val="nil"/>
              <w:left w:val="nil"/>
              <w:bottom w:val="single" w:sz="8" w:space="0" w:color="auto"/>
              <w:right w:val="nil"/>
            </w:tcBorders>
            <w:shd w:val="clear" w:color="auto" w:fill="auto"/>
            <w:noWrap/>
            <w:vAlign w:val="bottom"/>
            <w:hideMark/>
          </w:tcPr>
          <w:p w:rsidR="00455A7B" w:rsidRPr="00C57757" w:rsidRDefault="00455A7B" w:rsidP="00455A7B">
            <w:pPr>
              <w:spacing w:after="0"/>
              <w:rPr>
                <w:rFonts w:eastAsia="Times New Roman" w:cs="Times New Roman"/>
                <w:color w:val="000000"/>
              </w:rPr>
            </w:pPr>
            <w:r w:rsidRPr="00C57757">
              <w:rPr>
                <w:rFonts w:eastAsia="Times New Roman" w:cs="Times New Roman"/>
                <w:color w:val="000000"/>
              </w:rPr>
              <w:t> </w:t>
            </w:r>
          </w:p>
        </w:tc>
        <w:tc>
          <w:tcPr>
            <w:tcW w:w="1380" w:type="dxa"/>
            <w:tcBorders>
              <w:top w:val="nil"/>
              <w:left w:val="nil"/>
              <w:bottom w:val="single" w:sz="8" w:space="0" w:color="auto"/>
              <w:right w:val="nil"/>
            </w:tcBorders>
            <w:shd w:val="clear" w:color="auto" w:fill="auto"/>
            <w:vAlign w:val="center"/>
            <w:hideMark/>
          </w:tcPr>
          <w:p w:rsidR="00455A7B" w:rsidRPr="00C57757" w:rsidRDefault="00455A7B" w:rsidP="00C853DE">
            <w:pPr>
              <w:spacing w:after="0"/>
              <w:jc w:val="center"/>
              <w:rPr>
                <w:rFonts w:eastAsia="Times New Roman" w:cs="Times New Roman"/>
                <w:i/>
                <w:iCs/>
                <w:color w:val="000000"/>
              </w:rPr>
            </w:pPr>
            <w:r w:rsidRPr="00C57757">
              <w:rPr>
                <w:rFonts w:eastAsia="Times New Roman" w:cs="Times New Roman"/>
                <w:i/>
                <w:iCs/>
                <w:color w:val="000000"/>
              </w:rPr>
              <w:t xml:space="preserve">P. acidilactici </w:t>
            </w:r>
            <w:r w:rsidRPr="00C57757">
              <w:rPr>
                <w:rFonts w:eastAsia="Times New Roman" w:cs="Times New Roman"/>
                <w:color w:val="000000"/>
              </w:rPr>
              <w:t>ATCC 8042</w:t>
            </w:r>
          </w:p>
        </w:tc>
        <w:tc>
          <w:tcPr>
            <w:tcW w:w="1440" w:type="dxa"/>
            <w:tcBorders>
              <w:top w:val="nil"/>
              <w:left w:val="nil"/>
              <w:bottom w:val="single" w:sz="8" w:space="0" w:color="auto"/>
              <w:right w:val="nil"/>
            </w:tcBorders>
            <w:shd w:val="clear" w:color="auto" w:fill="auto"/>
            <w:vAlign w:val="center"/>
            <w:hideMark/>
          </w:tcPr>
          <w:p w:rsidR="00455A7B" w:rsidRPr="00C57757" w:rsidRDefault="00455A7B" w:rsidP="00C853DE">
            <w:pPr>
              <w:spacing w:after="0"/>
              <w:jc w:val="center"/>
              <w:rPr>
                <w:rFonts w:eastAsia="Times New Roman" w:cs="Times New Roman"/>
                <w:i/>
                <w:iCs/>
                <w:color w:val="000000"/>
              </w:rPr>
            </w:pPr>
            <w:r w:rsidRPr="00C57757">
              <w:rPr>
                <w:rFonts w:eastAsia="Times New Roman" w:cs="Times New Roman"/>
                <w:i/>
                <w:iCs/>
                <w:color w:val="000000"/>
              </w:rPr>
              <w:t>P. damnosus</w:t>
            </w:r>
            <w:r w:rsidRPr="00C57757">
              <w:rPr>
                <w:rFonts w:eastAsia="Times New Roman" w:cs="Times New Roman"/>
                <w:color w:val="000000"/>
              </w:rPr>
              <w:t xml:space="preserve"> ATCC 11308</w:t>
            </w:r>
          </w:p>
        </w:tc>
        <w:tc>
          <w:tcPr>
            <w:tcW w:w="1400" w:type="dxa"/>
            <w:tcBorders>
              <w:top w:val="nil"/>
              <w:left w:val="nil"/>
              <w:bottom w:val="single" w:sz="8" w:space="0" w:color="auto"/>
              <w:right w:val="nil"/>
            </w:tcBorders>
            <w:shd w:val="clear" w:color="auto" w:fill="auto"/>
            <w:vAlign w:val="center"/>
            <w:hideMark/>
          </w:tcPr>
          <w:p w:rsidR="00455A7B" w:rsidRPr="00C57757" w:rsidRDefault="00455A7B" w:rsidP="00C853DE">
            <w:pPr>
              <w:spacing w:after="0"/>
              <w:jc w:val="center"/>
              <w:rPr>
                <w:rFonts w:eastAsia="Times New Roman" w:cs="Times New Roman"/>
                <w:i/>
                <w:iCs/>
                <w:color w:val="000000"/>
              </w:rPr>
            </w:pPr>
            <w:r w:rsidRPr="00C57757">
              <w:rPr>
                <w:rFonts w:eastAsia="Times New Roman" w:cs="Times New Roman"/>
                <w:i/>
                <w:iCs/>
                <w:color w:val="000000"/>
              </w:rPr>
              <w:t xml:space="preserve">L. plantarum </w:t>
            </w:r>
            <w:r w:rsidRPr="00C57757">
              <w:rPr>
                <w:rFonts w:eastAsia="Times New Roman" w:cs="Times New Roman"/>
                <w:color w:val="000000"/>
              </w:rPr>
              <w:t>ATCC 4008</w:t>
            </w:r>
          </w:p>
        </w:tc>
        <w:tc>
          <w:tcPr>
            <w:tcW w:w="1420" w:type="dxa"/>
            <w:tcBorders>
              <w:top w:val="nil"/>
              <w:left w:val="nil"/>
              <w:bottom w:val="single" w:sz="8" w:space="0" w:color="auto"/>
              <w:right w:val="nil"/>
            </w:tcBorders>
            <w:shd w:val="clear" w:color="auto" w:fill="auto"/>
            <w:vAlign w:val="center"/>
            <w:hideMark/>
          </w:tcPr>
          <w:p w:rsidR="00455A7B" w:rsidRPr="00C57757" w:rsidRDefault="00455A7B" w:rsidP="00C853DE">
            <w:pPr>
              <w:spacing w:after="0"/>
              <w:jc w:val="center"/>
              <w:rPr>
                <w:rFonts w:eastAsia="Times New Roman" w:cs="Times New Roman"/>
                <w:i/>
                <w:iCs/>
                <w:color w:val="000000"/>
              </w:rPr>
            </w:pPr>
            <w:r w:rsidRPr="00C57757">
              <w:rPr>
                <w:rFonts w:eastAsia="Times New Roman" w:cs="Times New Roman"/>
                <w:i/>
                <w:iCs/>
                <w:color w:val="000000"/>
              </w:rPr>
              <w:t xml:space="preserve">L. buchneri </w:t>
            </w:r>
            <w:r w:rsidRPr="00C57757">
              <w:rPr>
                <w:rFonts w:eastAsia="Times New Roman" w:cs="Times New Roman"/>
                <w:color w:val="000000"/>
              </w:rPr>
              <w:t>ATCC 9460</w:t>
            </w:r>
          </w:p>
        </w:tc>
        <w:tc>
          <w:tcPr>
            <w:tcW w:w="1480" w:type="dxa"/>
            <w:tcBorders>
              <w:top w:val="nil"/>
              <w:left w:val="nil"/>
              <w:bottom w:val="single" w:sz="8" w:space="0" w:color="auto"/>
              <w:right w:val="nil"/>
            </w:tcBorders>
            <w:shd w:val="clear" w:color="auto" w:fill="auto"/>
            <w:vAlign w:val="center"/>
            <w:hideMark/>
          </w:tcPr>
          <w:p w:rsidR="00455A7B" w:rsidRPr="00C57757" w:rsidRDefault="00455A7B" w:rsidP="00C853DE">
            <w:pPr>
              <w:spacing w:after="0"/>
              <w:jc w:val="center"/>
              <w:rPr>
                <w:rFonts w:eastAsia="Times New Roman" w:cs="Times New Roman"/>
                <w:i/>
                <w:iCs/>
                <w:color w:val="000000"/>
              </w:rPr>
            </w:pPr>
            <w:r w:rsidRPr="00C57757">
              <w:rPr>
                <w:rFonts w:eastAsia="Times New Roman" w:cs="Times New Roman"/>
                <w:i/>
                <w:iCs/>
                <w:color w:val="000000"/>
              </w:rPr>
              <w:t xml:space="preserve">L. fermentum </w:t>
            </w:r>
            <w:r w:rsidRPr="00C57757">
              <w:rPr>
                <w:rFonts w:eastAsia="Times New Roman" w:cs="Times New Roman"/>
                <w:color w:val="000000"/>
              </w:rPr>
              <w:t>ATCC 8289</w:t>
            </w:r>
          </w:p>
        </w:tc>
        <w:tc>
          <w:tcPr>
            <w:tcW w:w="1260" w:type="dxa"/>
            <w:tcBorders>
              <w:top w:val="nil"/>
              <w:left w:val="nil"/>
              <w:bottom w:val="single" w:sz="8" w:space="0" w:color="auto"/>
              <w:right w:val="nil"/>
            </w:tcBorders>
            <w:shd w:val="clear" w:color="auto" w:fill="auto"/>
            <w:vAlign w:val="center"/>
            <w:hideMark/>
          </w:tcPr>
          <w:p w:rsidR="00455A7B" w:rsidRPr="00C57757" w:rsidRDefault="00455A7B" w:rsidP="00C853DE">
            <w:pPr>
              <w:spacing w:after="0"/>
              <w:jc w:val="center"/>
              <w:rPr>
                <w:rFonts w:eastAsia="Times New Roman" w:cs="Times New Roman"/>
                <w:i/>
                <w:iCs/>
                <w:color w:val="000000"/>
              </w:rPr>
            </w:pPr>
            <w:r w:rsidRPr="00C57757">
              <w:rPr>
                <w:rFonts w:eastAsia="Times New Roman" w:cs="Times New Roman"/>
                <w:i/>
                <w:iCs/>
                <w:color w:val="000000"/>
              </w:rPr>
              <w:t>L. brevis</w:t>
            </w:r>
            <w:r w:rsidRPr="00C57757">
              <w:rPr>
                <w:rFonts w:eastAsia="Times New Roman" w:cs="Times New Roman"/>
                <w:color w:val="000000"/>
              </w:rPr>
              <w:t xml:space="preserve"> ATCC 367</w:t>
            </w:r>
          </w:p>
        </w:tc>
        <w:tc>
          <w:tcPr>
            <w:tcW w:w="1600" w:type="dxa"/>
            <w:tcBorders>
              <w:top w:val="nil"/>
              <w:left w:val="nil"/>
              <w:bottom w:val="single" w:sz="8" w:space="0" w:color="auto"/>
              <w:right w:val="nil"/>
            </w:tcBorders>
            <w:shd w:val="clear" w:color="auto" w:fill="auto"/>
            <w:vAlign w:val="center"/>
            <w:hideMark/>
          </w:tcPr>
          <w:p w:rsidR="00455A7B" w:rsidRPr="00C57757" w:rsidRDefault="00455A7B" w:rsidP="00C853DE">
            <w:pPr>
              <w:spacing w:after="0"/>
              <w:jc w:val="center"/>
              <w:rPr>
                <w:rFonts w:eastAsia="Times New Roman" w:cs="Times New Roman"/>
                <w:i/>
                <w:iCs/>
                <w:color w:val="000000"/>
              </w:rPr>
            </w:pPr>
            <w:r w:rsidRPr="00C57757">
              <w:rPr>
                <w:rFonts w:eastAsia="Times New Roman" w:cs="Times New Roman"/>
                <w:i/>
                <w:iCs/>
                <w:color w:val="000000"/>
              </w:rPr>
              <w:t>L. fructivorans</w:t>
            </w:r>
            <w:r w:rsidRPr="00C57757">
              <w:rPr>
                <w:rFonts w:eastAsia="Times New Roman" w:cs="Times New Roman"/>
                <w:color w:val="000000"/>
              </w:rPr>
              <w:t xml:space="preserve"> ATCC 8288</w:t>
            </w:r>
          </w:p>
        </w:tc>
        <w:tc>
          <w:tcPr>
            <w:tcW w:w="1780" w:type="dxa"/>
            <w:tcBorders>
              <w:top w:val="nil"/>
              <w:left w:val="nil"/>
              <w:bottom w:val="single" w:sz="8" w:space="0" w:color="auto"/>
              <w:right w:val="nil"/>
            </w:tcBorders>
            <w:shd w:val="clear" w:color="auto" w:fill="auto"/>
            <w:vAlign w:val="center"/>
            <w:hideMark/>
          </w:tcPr>
          <w:p w:rsidR="00455A7B" w:rsidRPr="00C57757" w:rsidRDefault="00455A7B" w:rsidP="00C853DE">
            <w:pPr>
              <w:spacing w:after="0"/>
              <w:jc w:val="center"/>
              <w:rPr>
                <w:rFonts w:eastAsia="Times New Roman" w:cs="Times New Roman"/>
                <w:i/>
                <w:iCs/>
                <w:color w:val="000000"/>
              </w:rPr>
            </w:pPr>
            <w:r w:rsidRPr="00C57757">
              <w:rPr>
                <w:rFonts w:eastAsia="Times New Roman" w:cs="Times New Roman"/>
                <w:i/>
                <w:iCs/>
                <w:color w:val="000000"/>
              </w:rPr>
              <w:t>L. mesenteroides</w:t>
            </w:r>
            <w:r w:rsidRPr="00C57757">
              <w:rPr>
                <w:rFonts w:eastAsia="Times New Roman" w:cs="Times New Roman"/>
                <w:color w:val="000000"/>
              </w:rPr>
              <w:t xml:space="preserve"> ATCC 8293</w:t>
            </w:r>
          </w:p>
        </w:tc>
        <w:tc>
          <w:tcPr>
            <w:tcW w:w="1440" w:type="dxa"/>
            <w:tcBorders>
              <w:top w:val="nil"/>
              <w:left w:val="nil"/>
              <w:bottom w:val="single" w:sz="8" w:space="0" w:color="auto"/>
              <w:right w:val="nil"/>
            </w:tcBorders>
            <w:shd w:val="clear" w:color="auto" w:fill="auto"/>
            <w:vAlign w:val="center"/>
            <w:hideMark/>
          </w:tcPr>
          <w:p w:rsidR="00455A7B" w:rsidRPr="00C57757" w:rsidRDefault="00455A7B" w:rsidP="002B1EFB">
            <w:pPr>
              <w:spacing w:after="0"/>
              <w:jc w:val="center"/>
              <w:rPr>
                <w:rFonts w:eastAsia="Times New Roman" w:cs="Times New Roman"/>
                <w:i/>
                <w:iCs/>
                <w:color w:val="000000"/>
              </w:rPr>
            </w:pPr>
            <w:r w:rsidRPr="00C57757">
              <w:rPr>
                <w:rFonts w:eastAsia="Times New Roman" w:cs="Times New Roman"/>
                <w:i/>
                <w:iCs/>
                <w:color w:val="000000"/>
              </w:rPr>
              <w:t>L. citrovorum</w:t>
            </w:r>
            <w:r w:rsidRPr="00C57757">
              <w:rPr>
                <w:rFonts w:eastAsia="Times New Roman" w:cs="Times New Roman"/>
                <w:color w:val="000000"/>
              </w:rPr>
              <w:t xml:space="preserve"> ATC 23065</w:t>
            </w:r>
          </w:p>
        </w:tc>
      </w:tr>
      <w:tr w:rsidR="00455A7B" w:rsidRPr="00C57757" w:rsidTr="00455A7B">
        <w:trPr>
          <w:trHeight w:val="576"/>
        </w:trPr>
        <w:tc>
          <w:tcPr>
            <w:tcW w:w="1718" w:type="dxa"/>
            <w:tcBorders>
              <w:top w:val="nil"/>
              <w:left w:val="nil"/>
              <w:bottom w:val="nil"/>
              <w:right w:val="nil"/>
            </w:tcBorders>
            <w:shd w:val="clear" w:color="auto" w:fill="auto"/>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Allyl Isothiocyanate</w:t>
            </w:r>
          </w:p>
        </w:tc>
        <w:tc>
          <w:tcPr>
            <w:tcW w:w="13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&gt;0.75</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&gt;0.75</w:t>
            </w:r>
          </w:p>
        </w:tc>
        <w:tc>
          <w:tcPr>
            <w:tcW w:w="14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&gt;0.75</w:t>
            </w:r>
          </w:p>
        </w:tc>
        <w:tc>
          <w:tcPr>
            <w:tcW w:w="142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0.5</w:t>
            </w:r>
          </w:p>
        </w:tc>
        <w:tc>
          <w:tcPr>
            <w:tcW w:w="14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&gt;0.75</w:t>
            </w:r>
          </w:p>
        </w:tc>
        <w:tc>
          <w:tcPr>
            <w:tcW w:w="126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&gt;0.75</w:t>
            </w:r>
          </w:p>
        </w:tc>
        <w:tc>
          <w:tcPr>
            <w:tcW w:w="16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0.5</w:t>
            </w:r>
          </w:p>
        </w:tc>
        <w:tc>
          <w:tcPr>
            <w:tcW w:w="17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&gt;0.75</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&gt;0.75</w:t>
            </w:r>
          </w:p>
        </w:tc>
      </w:tr>
      <w:tr w:rsidR="00455A7B" w:rsidRPr="00C57757" w:rsidTr="00455A7B">
        <w:trPr>
          <w:trHeight w:val="576"/>
        </w:trPr>
        <w:tc>
          <w:tcPr>
            <w:tcW w:w="1718" w:type="dxa"/>
            <w:tcBorders>
              <w:top w:val="nil"/>
              <w:left w:val="nil"/>
              <w:bottom w:val="nil"/>
              <w:right w:val="nil"/>
            </w:tcBorders>
            <w:shd w:val="clear" w:color="auto" w:fill="auto"/>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Carvacrol</w:t>
            </w:r>
          </w:p>
        </w:tc>
        <w:tc>
          <w:tcPr>
            <w:tcW w:w="13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42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4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26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6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7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r>
      <w:tr w:rsidR="00455A7B" w:rsidRPr="00C57757" w:rsidTr="00455A7B">
        <w:trPr>
          <w:trHeight w:val="576"/>
        </w:trPr>
        <w:tc>
          <w:tcPr>
            <w:tcW w:w="1718" w:type="dxa"/>
            <w:tcBorders>
              <w:top w:val="nil"/>
              <w:left w:val="nil"/>
              <w:bottom w:val="nil"/>
              <w:right w:val="nil"/>
            </w:tcBorders>
            <w:shd w:val="clear" w:color="auto" w:fill="auto"/>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Cinnamaldehyde</w:t>
            </w:r>
          </w:p>
        </w:tc>
        <w:tc>
          <w:tcPr>
            <w:tcW w:w="13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42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26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6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7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r>
      <w:tr w:rsidR="00455A7B" w:rsidRPr="00C57757" w:rsidTr="00455A7B">
        <w:trPr>
          <w:trHeight w:val="576"/>
        </w:trPr>
        <w:tc>
          <w:tcPr>
            <w:tcW w:w="1718" w:type="dxa"/>
            <w:tcBorders>
              <w:top w:val="nil"/>
              <w:left w:val="nil"/>
              <w:bottom w:val="nil"/>
              <w:right w:val="nil"/>
            </w:tcBorders>
            <w:shd w:val="clear" w:color="auto" w:fill="auto"/>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Cinnamic acid</w:t>
            </w:r>
          </w:p>
        </w:tc>
        <w:tc>
          <w:tcPr>
            <w:tcW w:w="13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0.5</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0.5</w:t>
            </w:r>
          </w:p>
        </w:tc>
        <w:tc>
          <w:tcPr>
            <w:tcW w:w="14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2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0.5</w:t>
            </w:r>
          </w:p>
        </w:tc>
        <w:tc>
          <w:tcPr>
            <w:tcW w:w="14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0.5</w:t>
            </w:r>
          </w:p>
        </w:tc>
        <w:tc>
          <w:tcPr>
            <w:tcW w:w="126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0.5</w:t>
            </w:r>
          </w:p>
        </w:tc>
        <w:tc>
          <w:tcPr>
            <w:tcW w:w="16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0.5</w:t>
            </w:r>
          </w:p>
        </w:tc>
        <w:tc>
          <w:tcPr>
            <w:tcW w:w="17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r>
      <w:tr w:rsidR="00455A7B" w:rsidRPr="00C57757" w:rsidTr="00455A7B">
        <w:trPr>
          <w:trHeight w:val="576"/>
        </w:trPr>
        <w:tc>
          <w:tcPr>
            <w:tcW w:w="1718" w:type="dxa"/>
            <w:tcBorders>
              <w:top w:val="nil"/>
              <w:left w:val="nil"/>
              <w:bottom w:val="nil"/>
              <w:right w:val="nil"/>
            </w:tcBorders>
            <w:shd w:val="clear" w:color="auto" w:fill="auto"/>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Cinnamon bark oil</w:t>
            </w:r>
          </w:p>
        </w:tc>
        <w:tc>
          <w:tcPr>
            <w:tcW w:w="13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42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26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6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7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r>
      <w:tr w:rsidR="00455A7B" w:rsidRPr="00C57757" w:rsidTr="00455A7B">
        <w:trPr>
          <w:trHeight w:val="576"/>
        </w:trPr>
        <w:tc>
          <w:tcPr>
            <w:tcW w:w="1718" w:type="dxa"/>
            <w:tcBorders>
              <w:top w:val="nil"/>
              <w:left w:val="nil"/>
              <w:bottom w:val="nil"/>
              <w:right w:val="nil"/>
            </w:tcBorders>
            <w:shd w:val="clear" w:color="auto" w:fill="auto"/>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Clove bud oil</w:t>
            </w:r>
          </w:p>
        </w:tc>
        <w:tc>
          <w:tcPr>
            <w:tcW w:w="13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2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26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6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7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r>
      <w:tr w:rsidR="00455A7B" w:rsidRPr="00C57757" w:rsidTr="00455A7B">
        <w:trPr>
          <w:trHeight w:val="576"/>
        </w:trPr>
        <w:tc>
          <w:tcPr>
            <w:tcW w:w="1718" w:type="dxa"/>
            <w:tcBorders>
              <w:top w:val="nil"/>
              <w:left w:val="nil"/>
              <w:bottom w:val="nil"/>
              <w:right w:val="nil"/>
            </w:tcBorders>
            <w:shd w:val="clear" w:color="auto" w:fill="auto"/>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Eugenol</w:t>
            </w:r>
          </w:p>
        </w:tc>
        <w:tc>
          <w:tcPr>
            <w:tcW w:w="13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2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26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6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7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r>
      <w:tr w:rsidR="00455A7B" w:rsidRPr="00C57757" w:rsidTr="00455A7B">
        <w:trPr>
          <w:trHeight w:val="576"/>
        </w:trPr>
        <w:tc>
          <w:tcPr>
            <w:tcW w:w="1718" w:type="dxa"/>
            <w:tcBorders>
              <w:top w:val="nil"/>
              <w:left w:val="nil"/>
              <w:bottom w:val="nil"/>
              <w:right w:val="nil"/>
            </w:tcBorders>
            <w:shd w:val="clear" w:color="auto" w:fill="auto"/>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Thyme oil</w:t>
            </w:r>
          </w:p>
        </w:tc>
        <w:tc>
          <w:tcPr>
            <w:tcW w:w="13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2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4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26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0.2</w:t>
            </w:r>
          </w:p>
        </w:tc>
        <w:tc>
          <w:tcPr>
            <w:tcW w:w="160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78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440" w:type="dxa"/>
            <w:tcBorders>
              <w:top w:val="nil"/>
              <w:left w:val="nil"/>
              <w:bottom w:val="nil"/>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r>
      <w:tr w:rsidR="00455A7B" w:rsidRPr="00C57757" w:rsidTr="00455A7B">
        <w:trPr>
          <w:trHeight w:val="576"/>
        </w:trPr>
        <w:tc>
          <w:tcPr>
            <w:tcW w:w="1718" w:type="dxa"/>
            <w:tcBorders>
              <w:top w:val="nil"/>
              <w:left w:val="nil"/>
              <w:bottom w:val="single" w:sz="8" w:space="0" w:color="auto"/>
              <w:right w:val="nil"/>
            </w:tcBorders>
            <w:shd w:val="clear" w:color="auto" w:fill="auto"/>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Thymol</w:t>
            </w:r>
          </w:p>
        </w:tc>
        <w:tc>
          <w:tcPr>
            <w:tcW w:w="1380" w:type="dxa"/>
            <w:tcBorders>
              <w:top w:val="nil"/>
              <w:left w:val="nil"/>
              <w:bottom w:val="single" w:sz="8" w:space="0" w:color="auto"/>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40" w:type="dxa"/>
            <w:tcBorders>
              <w:top w:val="nil"/>
              <w:left w:val="nil"/>
              <w:bottom w:val="single" w:sz="8" w:space="0" w:color="auto"/>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00" w:type="dxa"/>
            <w:tcBorders>
              <w:top w:val="nil"/>
              <w:left w:val="nil"/>
              <w:bottom w:val="single" w:sz="8" w:space="0" w:color="auto"/>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20" w:type="dxa"/>
            <w:tcBorders>
              <w:top w:val="nil"/>
              <w:left w:val="nil"/>
              <w:bottom w:val="single" w:sz="8" w:space="0" w:color="auto"/>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0.1</w:t>
            </w:r>
          </w:p>
        </w:tc>
        <w:tc>
          <w:tcPr>
            <w:tcW w:w="1480" w:type="dxa"/>
            <w:tcBorders>
              <w:top w:val="nil"/>
              <w:left w:val="nil"/>
              <w:bottom w:val="single" w:sz="8" w:space="0" w:color="auto"/>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260" w:type="dxa"/>
            <w:tcBorders>
              <w:top w:val="nil"/>
              <w:left w:val="nil"/>
              <w:bottom w:val="single" w:sz="8" w:space="0" w:color="auto"/>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600" w:type="dxa"/>
            <w:tcBorders>
              <w:top w:val="nil"/>
              <w:left w:val="nil"/>
              <w:bottom w:val="single" w:sz="8" w:space="0" w:color="auto"/>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780" w:type="dxa"/>
            <w:tcBorders>
              <w:top w:val="nil"/>
              <w:left w:val="nil"/>
              <w:bottom w:val="single" w:sz="8" w:space="0" w:color="auto"/>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c>
          <w:tcPr>
            <w:tcW w:w="1440" w:type="dxa"/>
            <w:tcBorders>
              <w:top w:val="nil"/>
              <w:left w:val="nil"/>
              <w:bottom w:val="single" w:sz="8" w:space="0" w:color="auto"/>
              <w:right w:val="nil"/>
            </w:tcBorders>
            <w:shd w:val="clear" w:color="auto" w:fill="auto"/>
            <w:noWrap/>
            <w:vAlign w:val="center"/>
            <w:hideMark/>
          </w:tcPr>
          <w:p w:rsidR="00455A7B" w:rsidRPr="00C57757" w:rsidRDefault="00455A7B" w:rsidP="00455A7B">
            <w:pPr>
              <w:spacing w:after="0"/>
              <w:jc w:val="center"/>
              <w:rPr>
                <w:rFonts w:eastAsia="Times New Roman" w:cs="Times New Roman"/>
                <w:color w:val="000000"/>
              </w:rPr>
            </w:pPr>
            <w:r w:rsidRPr="00C57757">
              <w:rPr>
                <w:rFonts w:eastAsia="Times New Roman" w:cs="Times New Roman"/>
                <w:color w:val="000000"/>
              </w:rPr>
              <w:t>0.05</w:t>
            </w:r>
          </w:p>
        </w:tc>
      </w:tr>
    </w:tbl>
    <w:p w:rsidR="00F74B21" w:rsidRPr="00F74B21" w:rsidRDefault="00F74B21" w:rsidP="00F74B21">
      <w:pPr>
        <w:tabs>
          <w:tab w:val="left" w:pos="240"/>
          <w:tab w:val="center" w:pos="8640"/>
        </w:tabs>
        <w:spacing w:line="480" w:lineRule="auto"/>
        <w:contextualSpacing/>
      </w:pPr>
      <w:r w:rsidRPr="00F74B21">
        <w:tab/>
        <w:t>*Percent w/v thymol and cinnamic acid or percent v/v allyl isothiocyanate, carvacrol, cinnamaldehyde, cinnamon bark oil, clove bud oil, eugenol, and thyme oil</w:t>
      </w:r>
      <w:r w:rsidRPr="00F74B21">
        <w:tab/>
      </w:r>
    </w:p>
    <w:p w:rsidR="00F74B21" w:rsidRDefault="00F74B21" w:rsidP="00F74B21">
      <w:pPr>
        <w:spacing w:line="480" w:lineRule="auto"/>
        <w:contextualSpacing/>
        <w:jc w:val="both"/>
        <w:rPr>
          <w:b/>
          <w:sz w:val="24"/>
          <w:szCs w:val="24"/>
        </w:rPr>
        <w:sectPr w:rsidR="00F74B21" w:rsidSect="00FC054F">
          <w:pgSz w:w="20160" w:h="12240" w:orient="landscape"/>
          <w:pgMar w:top="1440" w:right="1440" w:bottom="1440" w:left="1440" w:header="720" w:footer="720" w:gutter="0"/>
          <w:cols w:space="720"/>
          <w:docGrid w:linePitch="360"/>
        </w:sectPr>
      </w:pPr>
    </w:p>
    <w:p w:rsidR="001E0F5E" w:rsidRPr="00696044" w:rsidRDefault="00084DB8" w:rsidP="002B0BA9">
      <w:pPr>
        <w:pStyle w:val="Heading2"/>
        <w:jc w:val="center"/>
        <w:rPr>
          <w:rFonts w:asciiTheme="minorHAnsi" w:hAnsiTheme="minorHAnsi"/>
          <w:color w:val="auto"/>
          <w:sz w:val="28"/>
          <w:szCs w:val="28"/>
        </w:rPr>
      </w:pPr>
      <w:bookmarkStart w:id="23" w:name="_Toc364366590"/>
      <w:r w:rsidRPr="00696044">
        <w:rPr>
          <w:rFonts w:asciiTheme="minorHAnsi" w:hAnsiTheme="minorHAnsi"/>
          <w:color w:val="auto"/>
          <w:sz w:val="28"/>
          <w:szCs w:val="28"/>
        </w:rPr>
        <w:lastRenderedPageBreak/>
        <w:t>List of References</w:t>
      </w:r>
      <w:bookmarkEnd w:id="23"/>
    </w:p>
    <w:p w:rsidR="00084DB8" w:rsidRDefault="00084DB8" w:rsidP="002649AF">
      <w:pPr>
        <w:spacing w:line="480" w:lineRule="auto"/>
        <w:contextualSpacing/>
        <w:jc w:val="center"/>
        <w:rPr>
          <w:b/>
          <w:sz w:val="28"/>
          <w:szCs w:val="28"/>
        </w:rPr>
      </w:pPr>
    </w:p>
    <w:p w:rsidR="00084DB8" w:rsidRDefault="00084DB8" w:rsidP="002649AF">
      <w:pPr>
        <w:spacing w:line="480" w:lineRule="auto"/>
        <w:contextualSpacing/>
        <w:jc w:val="center"/>
        <w:rPr>
          <w:b/>
          <w:sz w:val="28"/>
          <w:szCs w:val="28"/>
        </w:rPr>
      </w:pPr>
    </w:p>
    <w:p w:rsidR="00084DB8" w:rsidRDefault="00084DB8" w:rsidP="002649AF">
      <w:pPr>
        <w:spacing w:line="480" w:lineRule="auto"/>
        <w:contextualSpacing/>
        <w:jc w:val="center"/>
        <w:rPr>
          <w:b/>
          <w:sz w:val="28"/>
          <w:szCs w:val="28"/>
        </w:rPr>
      </w:pPr>
    </w:p>
    <w:p w:rsidR="00084DB8" w:rsidRDefault="00084DB8" w:rsidP="002649AF">
      <w:pPr>
        <w:spacing w:line="480" w:lineRule="auto"/>
        <w:contextualSpacing/>
        <w:jc w:val="center"/>
        <w:rPr>
          <w:b/>
          <w:sz w:val="28"/>
          <w:szCs w:val="28"/>
        </w:rPr>
      </w:pPr>
    </w:p>
    <w:p w:rsidR="00084DB8" w:rsidRDefault="00084DB8" w:rsidP="002649AF">
      <w:pPr>
        <w:spacing w:line="480" w:lineRule="auto"/>
        <w:contextualSpacing/>
        <w:jc w:val="center"/>
        <w:rPr>
          <w:b/>
          <w:sz w:val="28"/>
          <w:szCs w:val="28"/>
        </w:rPr>
      </w:pPr>
    </w:p>
    <w:p w:rsidR="00084DB8" w:rsidRDefault="00084DB8" w:rsidP="002649AF">
      <w:pPr>
        <w:spacing w:line="480" w:lineRule="auto"/>
        <w:contextualSpacing/>
        <w:jc w:val="center"/>
        <w:rPr>
          <w:b/>
          <w:sz w:val="28"/>
          <w:szCs w:val="28"/>
        </w:rPr>
      </w:pPr>
    </w:p>
    <w:p w:rsidR="00084DB8" w:rsidRDefault="00084DB8" w:rsidP="002649AF">
      <w:pPr>
        <w:spacing w:line="480" w:lineRule="auto"/>
        <w:contextualSpacing/>
        <w:jc w:val="center"/>
        <w:rPr>
          <w:b/>
          <w:sz w:val="28"/>
          <w:szCs w:val="28"/>
        </w:rPr>
      </w:pPr>
    </w:p>
    <w:p w:rsidR="00084DB8" w:rsidRDefault="00084DB8" w:rsidP="00084DB8">
      <w:pPr>
        <w:spacing w:after="0" w:line="480" w:lineRule="auto"/>
        <w:ind w:left="720" w:hanging="720"/>
        <w:contextualSpacing/>
        <w:rPr>
          <w:rFonts w:ascii="Times New Roman" w:hAnsi="Times New Roman" w:cs="Times New Roman"/>
          <w:sz w:val="24"/>
          <w:szCs w:val="24"/>
        </w:rPr>
      </w:pPr>
    </w:p>
    <w:p w:rsidR="00084DB8" w:rsidRDefault="00084DB8" w:rsidP="00084DB8">
      <w:pPr>
        <w:spacing w:after="0" w:line="480" w:lineRule="auto"/>
        <w:ind w:left="720" w:hanging="720"/>
        <w:contextualSpacing/>
        <w:rPr>
          <w:rFonts w:ascii="Times New Roman" w:hAnsi="Times New Roman" w:cs="Times New Roman"/>
          <w:sz w:val="24"/>
          <w:szCs w:val="24"/>
        </w:rPr>
      </w:pPr>
    </w:p>
    <w:p w:rsidR="00084DB8" w:rsidRDefault="00084DB8" w:rsidP="00084DB8">
      <w:pPr>
        <w:spacing w:after="0" w:line="480" w:lineRule="auto"/>
        <w:ind w:left="720" w:hanging="720"/>
        <w:contextualSpacing/>
        <w:rPr>
          <w:rFonts w:ascii="Times New Roman" w:hAnsi="Times New Roman" w:cs="Times New Roman"/>
          <w:sz w:val="24"/>
          <w:szCs w:val="24"/>
        </w:rPr>
      </w:pPr>
    </w:p>
    <w:p w:rsidR="00084DB8" w:rsidRDefault="00084DB8" w:rsidP="00084DB8">
      <w:pPr>
        <w:spacing w:after="0" w:line="480" w:lineRule="auto"/>
        <w:ind w:left="720" w:hanging="720"/>
        <w:contextualSpacing/>
        <w:rPr>
          <w:rFonts w:ascii="Times New Roman" w:hAnsi="Times New Roman" w:cs="Times New Roman"/>
          <w:sz w:val="24"/>
          <w:szCs w:val="24"/>
        </w:rPr>
      </w:pPr>
    </w:p>
    <w:p w:rsidR="00084DB8" w:rsidRDefault="00084DB8" w:rsidP="00084DB8">
      <w:pPr>
        <w:spacing w:after="0" w:line="480" w:lineRule="auto"/>
        <w:ind w:left="720" w:hanging="720"/>
        <w:contextualSpacing/>
        <w:rPr>
          <w:rFonts w:ascii="Times New Roman" w:hAnsi="Times New Roman" w:cs="Times New Roman"/>
          <w:sz w:val="24"/>
          <w:szCs w:val="24"/>
        </w:rPr>
      </w:pPr>
    </w:p>
    <w:p w:rsidR="00084DB8" w:rsidRDefault="00084DB8" w:rsidP="00084DB8">
      <w:pPr>
        <w:spacing w:after="0" w:line="480" w:lineRule="auto"/>
        <w:ind w:left="720" w:hanging="720"/>
        <w:contextualSpacing/>
        <w:rPr>
          <w:rFonts w:ascii="Times New Roman" w:hAnsi="Times New Roman" w:cs="Times New Roman"/>
          <w:sz w:val="24"/>
          <w:szCs w:val="24"/>
        </w:rPr>
      </w:pPr>
    </w:p>
    <w:p w:rsidR="00084DB8" w:rsidRDefault="00084DB8" w:rsidP="00084DB8">
      <w:pPr>
        <w:spacing w:after="0" w:line="480" w:lineRule="auto"/>
        <w:ind w:left="720" w:hanging="720"/>
        <w:contextualSpacing/>
        <w:rPr>
          <w:rFonts w:ascii="Times New Roman" w:hAnsi="Times New Roman" w:cs="Times New Roman"/>
          <w:sz w:val="24"/>
          <w:szCs w:val="24"/>
        </w:rPr>
      </w:pPr>
    </w:p>
    <w:p w:rsidR="00084DB8" w:rsidRDefault="00084DB8" w:rsidP="00084DB8">
      <w:pPr>
        <w:spacing w:after="0" w:line="480" w:lineRule="auto"/>
        <w:ind w:left="720" w:hanging="720"/>
        <w:contextualSpacing/>
        <w:rPr>
          <w:rFonts w:ascii="Times New Roman" w:hAnsi="Times New Roman" w:cs="Times New Roman"/>
          <w:sz w:val="24"/>
          <w:szCs w:val="24"/>
        </w:rPr>
      </w:pPr>
    </w:p>
    <w:p w:rsidR="00330333" w:rsidRDefault="00330333" w:rsidP="00084DB8">
      <w:pPr>
        <w:spacing w:after="0" w:line="480" w:lineRule="auto"/>
        <w:ind w:left="720" w:hanging="720"/>
        <w:contextualSpacing/>
        <w:rPr>
          <w:rFonts w:ascii="Times New Roman" w:hAnsi="Times New Roman" w:cs="Times New Roman"/>
          <w:sz w:val="24"/>
          <w:szCs w:val="24"/>
        </w:rPr>
      </w:pPr>
    </w:p>
    <w:p w:rsidR="00330333" w:rsidRDefault="00330333" w:rsidP="00084DB8">
      <w:pPr>
        <w:spacing w:after="0" w:line="480" w:lineRule="auto"/>
        <w:ind w:left="720" w:hanging="720"/>
        <w:contextualSpacing/>
        <w:rPr>
          <w:rFonts w:ascii="Times New Roman" w:hAnsi="Times New Roman" w:cs="Times New Roman"/>
          <w:sz w:val="24"/>
          <w:szCs w:val="24"/>
        </w:rPr>
      </w:pPr>
    </w:p>
    <w:p w:rsidR="00330333" w:rsidRDefault="00330333" w:rsidP="00084DB8">
      <w:pPr>
        <w:spacing w:after="0" w:line="480" w:lineRule="auto"/>
        <w:ind w:left="720" w:hanging="720"/>
        <w:contextualSpacing/>
        <w:rPr>
          <w:rFonts w:ascii="Times New Roman" w:hAnsi="Times New Roman" w:cs="Times New Roman"/>
          <w:sz w:val="24"/>
          <w:szCs w:val="24"/>
        </w:rPr>
      </w:pPr>
    </w:p>
    <w:p w:rsidR="00330333" w:rsidRDefault="00330333" w:rsidP="00084DB8">
      <w:pPr>
        <w:spacing w:after="0" w:line="480" w:lineRule="auto"/>
        <w:ind w:left="720" w:hanging="720"/>
        <w:contextualSpacing/>
        <w:rPr>
          <w:rFonts w:ascii="Times New Roman" w:hAnsi="Times New Roman" w:cs="Times New Roman"/>
          <w:sz w:val="24"/>
          <w:szCs w:val="24"/>
        </w:rPr>
      </w:pPr>
    </w:p>
    <w:p w:rsidR="00330333" w:rsidRDefault="00330333" w:rsidP="00084DB8">
      <w:pPr>
        <w:spacing w:after="0" w:line="480" w:lineRule="auto"/>
        <w:ind w:left="720" w:hanging="720"/>
        <w:contextualSpacing/>
        <w:rPr>
          <w:rFonts w:ascii="Times New Roman" w:hAnsi="Times New Roman" w:cs="Times New Roman"/>
          <w:sz w:val="24"/>
          <w:szCs w:val="24"/>
        </w:rPr>
      </w:pPr>
    </w:p>
    <w:p w:rsidR="00084DB8" w:rsidRDefault="00084DB8" w:rsidP="00084DB8">
      <w:pPr>
        <w:spacing w:after="0" w:line="480" w:lineRule="auto"/>
        <w:ind w:left="720" w:hanging="720"/>
        <w:contextualSpacing/>
        <w:rPr>
          <w:rFonts w:ascii="Times New Roman" w:hAnsi="Times New Roman" w:cs="Times New Roman"/>
          <w:sz w:val="24"/>
          <w:szCs w:val="24"/>
        </w:rPr>
      </w:pPr>
    </w:p>
    <w:p w:rsidR="00084DB8" w:rsidRDefault="00084DB8" w:rsidP="00084DB8">
      <w:pPr>
        <w:contextualSpacing/>
        <w:rPr>
          <w:sz w:val="24"/>
          <w:szCs w:val="24"/>
        </w:rPr>
      </w:pPr>
      <w:proofErr w:type="gramStart"/>
      <w:r w:rsidRPr="00084DB8">
        <w:rPr>
          <w:sz w:val="24"/>
          <w:szCs w:val="24"/>
        </w:rPr>
        <w:lastRenderedPageBreak/>
        <w:t>Ames BN, Profet M, Gold LS.</w:t>
      </w:r>
      <w:proofErr w:type="gramEnd"/>
      <w:r w:rsidRPr="00084DB8">
        <w:rPr>
          <w:sz w:val="24"/>
          <w:szCs w:val="24"/>
        </w:rPr>
        <w:t xml:space="preserve"> 1990. Dietary pesticides (99.99% all natural). Proc </w:t>
      </w:r>
      <w:proofErr w:type="gramStart"/>
      <w:r w:rsidRPr="00084DB8">
        <w:rPr>
          <w:sz w:val="24"/>
          <w:szCs w:val="24"/>
        </w:rPr>
        <w:t>Nad</w:t>
      </w:r>
      <w:proofErr w:type="gramEnd"/>
      <w:r w:rsidRPr="00084DB8">
        <w:rPr>
          <w:sz w:val="24"/>
          <w:szCs w:val="24"/>
        </w:rPr>
        <w:t xml:space="preserve"> Acad Sci </w:t>
      </w:r>
      <w:r>
        <w:rPr>
          <w:sz w:val="24"/>
          <w:szCs w:val="24"/>
        </w:rPr>
        <w:tab/>
      </w:r>
    </w:p>
    <w:p w:rsidR="00084DB8" w:rsidRDefault="00084DB8" w:rsidP="00084DB8">
      <w:pPr>
        <w:contextualSpacing/>
        <w:rPr>
          <w:sz w:val="24"/>
          <w:szCs w:val="24"/>
        </w:rPr>
      </w:pPr>
      <w:r>
        <w:rPr>
          <w:sz w:val="24"/>
          <w:szCs w:val="24"/>
        </w:rPr>
        <w:tab/>
      </w:r>
      <w:r w:rsidRPr="00084DB8">
        <w:rPr>
          <w:sz w:val="24"/>
          <w:szCs w:val="24"/>
        </w:rPr>
        <w:t>USA. 87:7777-7781.</w:t>
      </w:r>
    </w:p>
    <w:p w:rsidR="00084DB8" w:rsidRPr="00084DB8" w:rsidRDefault="00084DB8" w:rsidP="00084DB8">
      <w:pPr>
        <w:contextualSpacing/>
        <w:rPr>
          <w:sz w:val="24"/>
          <w:szCs w:val="24"/>
        </w:rPr>
      </w:pPr>
    </w:p>
    <w:p w:rsidR="00084DB8" w:rsidRDefault="00084DB8" w:rsidP="00084DB8">
      <w:pPr>
        <w:contextualSpacing/>
        <w:rPr>
          <w:sz w:val="24"/>
          <w:szCs w:val="24"/>
        </w:rPr>
      </w:pPr>
      <w:r w:rsidRPr="00084DB8">
        <w:rPr>
          <w:sz w:val="24"/>
          <w:szCs w:val="24"/>
        </w:rPr>
        <w:t xml:space="preserve">Angienda PO and Hill DJ. 2012. The effect of sodium chloride and pH on the antimicrobial </w:t>
      </w:r>
      <w:r>
        <w:rPr>
          <w:sz w:val="24"/>
          <w:szCs w:val="24"/>
        </w:rPr>
        <w:tab/>
      </w:r>
      <w:r w:rsidRPr="00084DB8">
        <w:rPr>
          <w:sz w:val="24"/>
          <w:szCs w:val="24"/>
        </w:rPr>
        <w:t xml:space="preserve">effectiveness of essential oils against pathogenic and food spoilage bacteria: </w:t>
      </w:r>
      <w:r>
        <w:rPr>
          <w:sz w:val="24"/>
          <w:szCs w:val="24"/>
        </w:rPr>
        <w:tab/>
      </w:r>
      <w:r w:rsidRPr="00084DB8">
        <w:rPr>
          <w:sz w:val="24"/>
          <w:szCs w:val="24"/>
        </w:rPr>
        <w:t>Implications in food safety. Int J Biol Life Sci 8:222–2227.</w:t>
      </w:r>
    </w:p>
    <w:p w:rsidR="00084DB8" w:rsidRPr="00084DB8" w:rsidRDefault="00084DB8" w:rsidP="00084DB8">
      <w:pPr>
        <w:contextualSpacing/>
        <w:rPr>
          <w:sz w:val="24"/>
          <w:szCs w:val="24"/>
        </w:rPr>
      </w:pPr>
    </w:p>
    <w:p w:rsidR="00084DB8" w:rsidRPr="00084DB8" w:rsidRDefault="00084DB8" w:rsidP="00084DB8">
      <w:pPr>
        <w:contextualSpacing/>
        <w:rPr>
          <w:sz w:val="24"/>
          <w:szCs w:val="24"/>
        </w:rPr>
      </w:pPr>
      <w:r w:rsidRPr="00084DB8">
        <w:rPr>
          <w:sz w:val="24"/>
          <w:szCs w:val="24"/>
        </w:rPr>
        <w:t>Barbosa LN, Rall VLM, Fernandes AAH, Ushimaru PI, Probst IdS, Fernandes Jr. A. 2009.</w:t>
      </w:r>
    </w:p>
    <w:p w:rsidR="00084DB8" w:rsidRPr="00084DB8" w:rsidRDefault="00084DB8" w:rsidP="00084DB8">
      <w:pPr>
        <w:contextualSpacing/>
        <w:rPr>
          <w:sz w:val="24"/>
          <w:szCs w:val="24"/>
        </w:rPr>
      </w:pPr>
      <w:r>
        <w:rPr>
          <w:sz w:val="24"/>
          <w:szCs w:val="24"/>
        </w:rPr>
        <w:tab/>
      </w:r>
      <w:proofErr w:type="gramStart"/>
      <w:r w:rsidRPr="00084DB8">
        <w:rPr>
          <w:sz w:val="24"/>
          <w:szCs w:val="24"/>
        </w:rPr>
        <w:t>Essential oils against foodborne pathogens and spoilage bacteria in minced meat.</w:t>
      </w:r>
      <w:proofErr w:type="gramEnd"/>
      <w:r w:rsidRPr="00084DB8">
        <w:rPr>
          <w:sz w:val="24"/>
          <w:szCs w:val="24"/>
        </w:rPr>
        <w:t xml:space="preserve"> </w:t>
      </w:r>
    </w:p>
    <w:p w:rsidR="00084DB8" w:rsidRDefault="00084DB8" w:rsidP="00084DB8">
      <w:pPr>
        <w:contextualSpacing/>
        <w:rPr>
          <w:sz w:val="24"/>
          <w:szCs w:val="24"/>
        </w:rPr>
      </w:pPr>
      <w:r w:rsidRPr="00084DB8">
        <w:rPr>
          <w:sz w:val="24"/>
          <w:szCs w:val="24"/>
        </w:rPr>
        <w:tab/>
        <w:t>Foodborne Pathog Dis 6(6):725-728.</w:t>
      </w:r>
      <w:r w:rsidRPr="00084DB8">
        <w:rPr>
          <w:sz w:val="24"/>
          <w:szCs w:val="24"/>
        </w:rPr>
        <w:tab/>
      </w:r>
    </w:p>
    <w:p w:rsidR="00AD2B48" w:rsidRDefault="00AD2B48" w:rsidP="00084DB8">
      <w:pPr>
        <w:contextualSpacing/>
        <w:rPr>
          <w:sz w:val="24"/>
          <w:szCs w:val="24"/>
        </w:rPr>
      </w:pPr>
    </w:p>
    <w:p w:rsidR="00AD2B48" w:rsidRPr="006A1812" w:rsidRDefault="00E443CC" w:rsidP="00AD2B48">
      <w:pPr>
        <w:rPr>
          <w:sz w:val="24"/>
          <w:szCs w:val="24"/>
        </w:rPr>
      </w:pPr>
      <w:hyperlink r:id="rId9" w:history="1">
        <w:proofErr w:type="gramStart"/>
        <w:r w:rsidR="00AD2B48" w:rsidRPr="00B37B5C">
          <w:rPr>
            <w:rStyle w:val="Hyperlink"/>
            <w:color w:val="auto"/>
            <w:sz w:val="24"/>
            <w:szCs w:val="24"/>
            <w:u w:val="none"/>
          </w:rPr>
          <w:t>Bassolé</w:t>
        </w:r>
      </w:hyperlink>
      <w:r w:rsidR="00AD2B48">
        <w:rPr>
          <w:sz w:val="24"/>
          <w:szCs w:val="24"/>
        </w:rPr>
        <w:t xml:space="preserve"> IHN and Juliani HR. 2012.</w:t>
      </w:r>
      <w:proofErr w:type="gramEnd"/>
      <w:r w:rsidR="00AD2B48">
        <w:rPr>
          <w:sz w:val="24"/>
          <w:szCs w:val="24"/>
        </w:rPr>
        <w:t xml:space="preserve"> </w:t>
      </w:r>
      <w:proofErr w:type="gramStart"/>
      <w:r w:rsidR="00AD2B48">
        <w:rPr>
          <w:sz w:val="24"/>
          <w:szCs w:val="24"/>
        </w:rPr>
        <w:t xml:space="preserve">Essential oils in combinations and their antimicrobial </w:t>
      </w:r>
      <w:r w:rsidR="00AD2B48">
        <w:rPr>
          <w:sz w:val="24"/>
          <w:szCs w:val="24"/>
        </w:rPr>
        <w:tab/>
        <w:t>properties.</w:t>
      </w:r>
      <w:proofErr w:type="gramEnd"/>
      <w:r w:rsidR="00AD2B48">
        <w:rPr>
          <w:sz w:val="24"/>
          <w:szCs w:val="24"/>
        </w:rPr>
        <w:t xml:space="preserve"> Molecules 17:3989-4006. </w:t>
      </w:r>
      <w:proofErr w:type="gramStart"/>
      <w:r w:rsidR="00AD2B48">
        <w:rPr>
          <w:sz w:val="24"/>
          <w:szCs w:val="24"/>
        </w:rPr>
        <w:t>doi</w:t>
      </w:r>
      <w:proofErr w:type="gramEnd"/>
      <w:r w:rsidR="00AD2B48">
        <w:rPr>
          <w:sz w:val="24"/>
          <w:szCs w:val="24"/>
        </w:rPr>
        <w:t>: 10.3390/molecules17043989</w:t>
      </w:r>
    </w:p>
    <w:p w:rsidR="00AD2B48" w:rsidRDefault="00AD2B48" w:rsidP="00084DB8">
      <w:pPr>
        <w:contextualSpacing/>
        <w:rPr>
          <w:sz w:val="24"/>
          <w:szCs w:val="24"/>
        </w:rPr>
      </w:pPr>
      <w:r>
        <w:rPr>
          <w:sz w:val="24"/>
          <w:szCs w:val="24"/>
        </w:rPr>
        <w:t xml:space="preserve">Davidson PM, Sofos JN, Branen AL. 2005. </w:t>
      </w:r>
      <w:proofErr w:type="gramStart"/>
      <w:r>
        <w:rPr>
          <w:sz w:val="24"/>
          <w:szCs w:val="24"/>
        </w:rPr>
        <w:t>Antimicrobials in foods.</w:t>
      </w:r>
      <w:proofErr w:type="gramEnd"/>
      <w:r>
        <w:rPr>
          <w:sz w:val="24"/>
          <w:szCs w:val="24"/>
        </w:rPr>
        <w:t xml:space="preserve"> 3</w:t>
      </w:r>
      <w:r w:rsidRPr="00AD2B48">
        <w:rPr>
          <w:sz w:val="24"/>
          <w:szCs w:val="24"/>
          <w:vertAlign w:val="superscript"/>
        </w:rPr>
        <w:t>rd</w:t>
      </w:r>
      <w:r>
        <w:rPr>
          <w:sz w:val="24"/>
          <w:szCs w:val="24"/>
        </w:rPr>
        <w:t xml:space="preserve"> ed. Boca Raton, Florida: </w:t>
      </w:r>
      <w:r>
        <w:rPr>
          <w:sz w:val="24"/>
          <w:szCs w:val="24"/>
        </w:rPr>
        <w:tab/>
        <w:t xml:space="preserve">CRC/Taylor &amp; Francis. </w:t>
      </w:r>
      <w:proofErr w:type="gramStart"/>
      <w:r>
        <w:rPr>
          <w:sz w:val="24"/>
          <w:szCs w:val="24"/>
        </w:rPr>
        <w:t>706 p.</w:t>
      </w:r>
      <w:proofErr w:type="gramEnd"/>
    </w:p>
    <w:p w:rsidR="00AD2B48" w:rsidRPr="00084DB8" w:rsidRDefault="00AD2B48" w:rsidP="00084DB8">
      <w:pPr>
        <w:contextualSpacing/>
        <w:rPr>
          <w:sz w:val="24"/>
          <w:szCs w:val="24"/>
        </w:rPr>
      </w:pPr>
    </w:p>
    <w:p w:rsidR="00084DB8" w:rsidRPr="00084DB8" w:rsidRDefault="00084DB8" w:rsidP="00084DB8">
      <w:pPr>
        <w:contextualSpacing/>
        <w:rPr>
          <w:sz w:val="24"/>
          <w:szCs w:val="24"/>
        </w:rPr>
      </w:pPr>
      <w:proofErr w:type="gramStart"/>
      <w:r w:rsidRPr="00084DB8">
        <w:rPr>
          <w:sz w:val="24"/>
          <w:szCs w:val="24"/>
        </w:rPr>
        <w:t>Delaquis PJ and Sholberg PL. 1997.</w:t>
      </w:r>
      <w:proofErr w:type="gramEnd"/>
      <w:r w:rsidRPr="00084DB8">
        <w:rPr>
          <w:sz w:val="24"/>
          <w:szCs w:val="24"/>
        </w:rPr>
        <w:t xml:space="preserve"> </w:t>
      </w:r>
      <w:proofErr w:type="gramStart"/>
      <w:r w:rsidRPr="00084DB8">
        <w:rPr>
          <w:sz w:val="24"/>
          <w:szCs w:val="24"/>
        </w:rPr>
        <w:t>Antimicrobial activity of gaseous allyl sothiocyanate.</w:t>
      </w:r>
      <w:proofErr w:type="gramEnd"/>
      <w:r w:rsidRPr="00084DB8">
        <w:rPr>
          <w:sz w:val="24"/>
          <w:szCs w:val="24"/>
        </w:rPr>
        <w:t xml:space="preserve"> J </w:t>
      </w:r>
    </w:p>
    <w:p w:rsidR="00084DB8" w:rsidRDefault="00084DB8" w:rsidP="00084DB8">
      <w:pPr>
        <w:contextualSpacing/>
        <w:rPr>
          <w:sz w:val="24"/>
          <w:szCs w:val="24"/>
        </w:rPr>
      </w:pPr>
      <w:r w:rsidRPr="00084DB8">
        <w:rPr>
          <w:sz w:val="24"/>
          <w:szCs w:val="24"/>
        </w:rPr>
        <w:tab/>
        <w:t xml:space="preserve">Food </w:t>
      </w:r>
      <w:proofErr w:type="gramStart"/>
      <w:r w:rsidRPr="00084DB8">
        <w:rPr>
          <w:sz w:val="24"/>
          <w:szCs w:val="24"/>
        </w:rPr>
        <w:t>Protect  60</w:t>
      </w:r>
      <w:proofErr w:type="gramEnd"/>
      <w:r w:rsidRPr="00084DB8">
        <w:rPr>
          <w:sz w:val="24"/>
          <w:szCs w:val="24"/>
        </w:rPr>
        <w:t>(8):943-947.</w:t>
      </w:r>
    </w:p>
    <w:p w:rsidR="00084DB8" w:rsidRPr="00084DB8" w:rsidRDefault="00084DB8" w:rsidP="00084DB8">
      <w:pPr>
        <w:contextualSpacing/>
        <w:rPr>
          <w:sz w:val="24"/>
          <w:szCs w:val="24"/>
        </w:rPr>
      </w:pPr>
    </w:p>
    <w:p w:rsidR="00084DB8" w:rsidRDefault="00084DB8" w:rsidP="00084DB8">
      <w:pPr>
        <w:contextualSpacing/>
        <w:rPr>
          <w:sz w:val="24"/>
          <w:szCs w:val="24"/>
        </w:rPr>
      </w:pPr>
      <w:r w:rsidRPr="00084DB8">
        <w:rPr>
          <w:sz w:val="24"/>
          <w:szCs w:val="24"/>
        </w:rPr>
        <w:t xml:space="preserve">Gómez-Estaca J, López de Lacey A, López-Caballero ME, Gómez-Guillén MC, Montero P. 2010. </w:t>
      </w:r>
      <w:r>
        <w:rPr>
          <w:sz w:val="24"/>
          <w:szCs w:val="24"/>
        </w:rPr>
        <w:tab/>
      </w:r>
      <w:r w:rsidRPr="00084DB8">
        <w:rPr>
          <w:sz w:val="24"/>
          <w:szCs w:val="24"/>
        </w:rPr>
        <w:t xml:space="preserve">Biodegradable gelatin–chitosan films incorporated with essential oils as antimicrobial </w:t>
      </w:r>
      <w:r>
        <w:rPr>
          <w:sz w:val="24"/>
          <w:szCs w:val="24"/>
        </w:rPr>
        <w:tab/>
      </w:r>
      <w:r w:rsidRPr="00084DB8">
        <w:rPr>
          <w:sz w:val="24"/>
          <w:szCs w:val="24"/>
        </w:rPr>
        <w:t>agents for fish preservation. Food Microbiol 27(7):889-896.</w:t>
      </w:r>
    </w:p>
    <w:p w:rsidR="00AD2B48" w:rsidRDefault="00AD2B48" w:rsidP="00084DB8">
      <w:pPr>
        <w:contextualSpacing/>
        <w:rPr>
          <w:sz w:val="24"/>
          <w:szCs w:val="24"/>
        </w:rPr>
      </w:pPr>
    </w:p>
    <w:p w:rsidR="00AD2B48" w:rsidRDefault="00AD2B48" w:rsidP="00084DB8">
      <w:pPr>
        <w:contextualSpacing/>
        <w:rPr>
          <w:sz w:val="24"/>
          <w:szCs w:val="24"/>
        </w:rPr>
      </w:pPr>
      <w:r>
        <w:rPr>
          <w:sz w:val="24"/>
          <w:szCs w:val="24"/>
        </w:rPr>
        <w:t xml:space="preserve">Hammer KA, Carson CF, Riley TV. 1999. Antimicrobial activity of essential oils and other plant </w:t>
      </w:r>
      <w:r>
        <w:rPr>
          <w:sz w:val="24"/>
          <w:szCs w:val="24"/>
        </w:rPr>
        <w:tab/>
        <w:t>extracts. J Appl Microbiol 86:985-990.</w:t>
      </w:r>
    </w:p>
    <w:p w:rsidR="00084DB8" w:rsidRPr="00084DB8" w:rsidRDefault="00084DB8" w:rsidP="00084DB8">
      <w:pPr>
        <w:contextualSpacing/>
        <w:rPr>
          <w:sz w:val="24"/>
          <w:szCs w:val="24"/>
        </w:rPr>
      </w:pPr>
    </w:p>
    <w:p w:rsidR="00084DB8" w:rsidRDefault="00084DB8" w:rsidP="00084DB8">
      <w:pPr>
        <w:contextualSpacing/>
        <w:rPr>
          <w:sz w:val="24"/>
          <w:szCs w:val="24"/>
        </w:rPr>
      </w:pPr>
      <w:proofErr w:type="gramStart"/>
      <w:r w:rsidRPr="00084DB8">
        <w:rPr>
          <w:sz w:val="24"/>
          <w:szCs w:val="24"/>
        </w:rPr>
        <w:t>Holley RA and Patel D. 2005.</w:t>
      </w:r>
      <w:proofErr w:type="gramEnd"/>
      <w:r w:rsidRPr="00084DB8">
        <w:rPr>
          <w:sz w:val="24"/>
          <w:szCs w:val="24"/>
        </w:rPr>
        <w:t xml:space="preserve"> </w:t>
      </w:r>
      <w:proofErr w:type="gramStart"/>
      <w:r w:rsidRPr="00084DB8">
        <w:rPr>
          <w:sz w:val="24"/>
          <w:szCs w:val="24"/>
        </w:rPr>
        <w:t xml:space="preserve">Improvement in shelf-life and safety of perishable foods by plant </w:t>
      </w:r>
      <w:r>
        <w:rPr>
          <w:sz w:val="24"/>
          <w:szCs w:val="24"/>
        </w:rPr>
        <w:tab/>
      </w:r>
      <w:r w:rsidRPr="00084DB8">
        <w:rPr>
          <w:sz w:val="24"/>
          <w:szCs w:val="24"/>
        </w:rPr>
        <w:t>essential oils and smoke antimicrobials.</w:t>
      </w:r>
      <w:proofErr w:type="gramEnd"/>
      <w:r w:rsidRPr="00084DB8">
        <w:rPr>
          <w:sz w:val="24"/>
          <w:szCs w:val="24"/>
        </w:rPr>
        <w:t xml:space="preserve"> Food Microbiol 22(4):273-292.</w:t>
      </w:r>
    </w:p>
    <w:p w:rsidR="00084DB8" w:rsidRPr="00084DB8" w:rsidRDefault="00084DB8" w:rsidP="00084DB8">
      <w:pPr>
        <w:contextualSpacing/>
        <w:rPr>
          <w:sz w:val="24"/>
          <w:szCs w:val="24"/>
        </w:rPr>
      </w:pPr>
    </w:p>
    <w:p w:rsidR="00084DB8" w:rsidRDefault="00084DB8" w:rsidP="00084DB8">
      <w:pPr>
        <w:contextualSpacing/>
        <w:rPr>
          <w:sz w:val="24"/>
          <w:szCs w:val="24"/>
        </w:rPr>
      </w:pPr>
      <w:r w:rsidRPr="00084DB8">
        <w:rPr>
          <w:sz w:val="24"/>
          <w:szCs w:val="24"/>
        </w:rPr>
        <w:t>Hyldgaard M, Mygind T, Meyer RL. 2012. Essential oils in food preservation: mode of action,</w:t>
      </w:r>
      <w:r>
        <w:rPr>
          <w:sz w:val="24"/>
          <w:szCs w:val="24"/>
        </w:rPr>
        <w:tab/>
      </w:r>
      <w:r>
        <w:rPr>
          <w:sz w:val="24"/>
          <w:szCs w:val="24"/>
        </w:rPr>
        <w:tab/>
      </w:r>
      <w:r w:rsidRPr="00084DB8">
        <w:rPr>
          <w:sz w:val="24"/>
          <w:szCs w:val="24"/>
        </w:rPr>
        <w:t xml:space="preserve">synergies, and interactions with food matrix components. Front Microbiol 3. </w:t>
      </w:r>
      <w:proofErr w:type="gramStart"/>
      <w:r w:rsidRPr="00084DB8">
        <w:rPr>
          <w:sz w:val="24"/>
          <w:szCs w:val="24"/>
        </w:rPr>
        <w:t>doi</w:t>
      </w:r>
      <w:proofErr w:type="gramEnd"/>
      <w:r w:rsidRPr="00084DB8">
        <w:rPr>
          <w:sz w:val="24"/>
          <w:szCs w:val="24"/>
        </w:rPr>
        <w:t xml:space="preserve">: </w:t>
      </w:r>
      <w:r>
        <w:rPr>
          <w:sz w:val="24"/>
          <w:szCs w:val="24"/>
        </w:rPr>
        <w:tab/>
      </w:r>
      <w:r w:rsidRPr="00084DB8">
        <w:rPr>
          <w:sz w:val="24"/>
          <w:szCs w:val="24"/>
        </w:rPr>
        <w:t>10.3389/fmicb.2012.00012</w:t>
      </w:r>
    </w:p>
    <w:p w:rsidR="00084DB8" w:rsidRPr="00084DB8" w:rsidRDefault="00084DB8" w:rsidP="00084DB8">
      <w:pPr>
        <w:contextualSpacing/>
        <w:rPr>
          <w:sz w:val="24"/>
          <w:szCs w:val="24"/>
        </w:rPr>
      </w:pPr>
    </w:p>
    <w:p w:rsidR="00084DB8" w:rsidRDefault="00084DB8" w:rsidP="00084DB8">
      <w:pPr>
        <w:contextualSpacing/>
        <w:rPr>
          <w:sz w:val="24"/>
          <w:szCs w:val="24"/>
        </w:rPr>
      </w:pPr>
      <w:proofErr w:type="gramStart"/>
      <w:r w:rsidRPr="00084DB8">
        <w:rPr>
          <w:sz w:val="24"/>
          <w:szCs w:val="24"/>
        </w:rPr>
        <w:t>Kawakishi S and Kaneko T. 1987.</w:t>
      </w:r>
      <w:proofErr w:type="gramEnd"/>
      <w:r w:rsidRPr="00084DB8">
        <w:rPr>
          <w:sz w:val="24"/>
          <w:szCs w:val="24"/>
        </w:rPr>
        <w:t xml:space="preserve"> </w:t>
      </w:r>
      <w:proofErr w:type="gramStart"/>
      <w:r w:rsidRPr="00084DB8">
        <w:rPr>
          <w:sz w:val="24"/>
          <w:szCs w:val="24"/>
        </w:rPr>
        <w:t>Interaction of proteins with allyl isothiocyanate.</w:t>
      </w:r>
      <w:proofErr w:type="gramEnd"/>
      <w:r w:rsidRPr="00084DB8">
        <w:rPr>
          <w:sz w:val="24"/>
          <w:szCs w:val="24"/>
        </w:rPr>
        <w:t xml:space="preserve"> J Agr Food</w:t>
      </w:r>
      <w:r>
        <w:rPr>
          <w:sz w:val="24"/>
          <w:szCs w:val="24"/>
        </w:rPr>
        <w:tab/>
      </w:r>
      <w:r>
        <w:rPr>
          <w:sz w:val="24"/>
          <w:szCs w:val="24"/>
        </w:rPr>
        <w:tab/>
      </w:r>
      <w:r w:rsidRPr="00084DB8">
        <w:rPr>
          <w:sz w:val="24"/>
          <w:szCs w:val="24"/>
        </w:rPr>
        <w:t xml:space="preserve"> Chem 35(1):85-88.</w:t>
      </w:r>
    </w:p>
    <w:p w:rsidR="00084DB8" w:rsidRPr="00084DB8" w:rsidRDefault="00084DB8" w:rsidP="00084DB8">
      <w:pPr>
        <w:contextualSpacing/>
        <w:rPr>
          <w:sz w:val="24"/>
          <w:szCs w:val="24"/>
        </w:rPr>
      </w:pPr>
    </w:p>
    <w:p w:rsidR="00084DB8" w:rsidRPr="00084DB8" w:rsidRDefault="00084DB8" w:rsidP="00084DB8">
      <w:pPr>
        <w:contextualSpacing/>
        <w:rPr>
          <w:sz w:val="24"/>
          <w:szCs w:val="24"/>
        </w:rPr>
      </w:pPr>
      <w:r w:rsidRPr="00084DB8">
        <w:rPr>
          <w:sz w:val="24"/>
          <w:szCs w:val="24"/>
        </w:rPr>
        <w:t xml:space="preserve">Kivanç M, Akgül A, Doǧan A. 1991. Inhibitory and stimulatory effects of cumin, </w:t>
      </w:r>
    </w:p>
    <w:p w:rsidR="00084DB8" w:rsidRPr="00084DB8" w:rsidRDefault="00084DB8" w:rsidP="00084DB8">
      <w:pPr>
        <w:contextualSpacing/>
        <w:rPr>
          <w:sz w:val="24"/>
          <w:szCs w:val="24"/>
        </w:rPr>
      </w:pPr>
      <w:r w:rsidRPr="00084DB8">
        <w:rPr>
          <w:sz w:val="24"/>
          <w:szCs w:val="24"/>
        </w:rPr>
        <w:tab/>
      </w:r>
      <w:proofErr w:type="gramStart"/>
      <w:r w:rsidRPr="00084DB8">
        <w:rPr>
          <w:sz w:val="24"/>
          <w:szCs w:val="24"/>
        </w:rPr>
        <w:t>oregano</w:t>
      </w:r>
      <w:proofErr w:type="gramEnd"/>
      <w:r w:rsidRPr="00084DB8">
        <w:rPr>
          <w:sz w:val="24"/>
          <w:szCs w:val="24"/>
        </w:rPr>
        <w:t xml:space="preserve"> and their essential oils on growth and acid production of </w:t>
      </w:r>
      <w:r w:rsidRPr="00084DB8">
        <w:rPr>
          <w:i/>
          <w:sz w:val="24"/>
          <w:szCs w:val="24"/>
        </w:rPr>
        <w:t>Lactobacillus</w:t>
      </w:r>
      <w:r w:rsidRPr="00084DB8">
        <w:rPr>
          <w:sz w:val="24"/>
          <w:szCs w:val="24"/>
        </w:rPr>
        <w:t xml:space="preserve"> </w:t>
      </w:r>
    </w:p>
    <w:p w:rsidR="00084DB8" w:rsidRDefault="00084DB8" w:rsidP="00084DB8">
      <w:pPr>
        <w:contextualSpacing/>
        <w:rPr>
          <w:sz w:val="24"/>
          <w:szCs w:val="24"/>
        </w:rPr>
      </w:pPr>
      <w:r w:rsidRPr="00084DB8">
        <w:rPr>
          <w:sz w:val="24"/>
          <w:szCs w:val="24"/>
        </w:rPr>
        <w:tab/>
      </w:r>
      <w:proofErr w:type="gramStart"/>
      <w:r w:rsidRPr="00084DB8">
        <w:rPr>
          <w:i/>
          <w:sz w:val="24"/>
          <w:szCs w:val="24"/>
        </w:rPr>
        <w:t>plantarum</w:t>
      </w:r>
      <w:proofErr w:type="gramEnd"/>
      <w:r w:rsidRPr="00084DB8">
        <w:rPr>
          <w:sz w:val="24"/>
          <w:szCs w:val="24"/>
        </w:rPr>
        <w:t xml:space="preserve"> and </w:t>
      </w:r>
      <w:r w:rsidRPr="00084DB8">
        <w:rPr>
          <w:i/>
          <w:sz w:val="24"/>
          <w:szCs w:val="24"/>
        </w:rPr>
        <w:t>Leuconostoc mesenteroides</w:t>
      </w:r>
      <w:r w:rsidRPr="00084DB8">
        <w:rPr>
          <w:sz w:val="24"/>
          <w:szCs w:val="24"/>
        </w:rPr>
        <w:t>. Int J Food Microbiol 13(1):81-85.</w:t>
      </w:r>
    </w:p>
    <w:p w:rsidR="00C23E53" w:rsidRPr="00084DB8" w:rsidRDefault="00C23E53" w:rsidP="00084DB8">
      <w:pPr>
        <w:contextualSpacing/>
        <w:rPr>
          <w:sz w:val="24"/>
          <w:szCs w:val="24"/>
        </w:rPr>
      </w:pPr>
    </w:p>
    <w:p w:rsidR="00084DB8" w:rsidRPr="00084DB8" w:rsidRDefault="00084DB8" w:rsidP="00084DB8">
      <w:pPr>
        <w:contextualSpacing/>
        <w:rPr>
          <w:sz w:val="24"/>
          <w:szCs w:val="24"/>
        </w:rPr>
      </w:pPr>
      <w:proofErr w:type="gramStart"/>
      <w:r w:rsidRPr="00084DB8">
        <w:rPr>
          <w:sz w:val="24"/>
          <w:szCs w:val="24"/>
        </w:rPr>
        <w:t>Ko</w:t>
      </w:r>
      <w:proofErr w:type="gramEnd"/>
      <w:r w:rsidRPr="00084DB8">
        <w:rPr>
          <w:sz w:val="24"/>
          <w:szCs w:val="24"/>
        </w:rPr>
        <w:t xml:space="preserve"> JA, Kim WY, Park HJ. 2012. Effects of microencapsulated allyl isothiocyanate </w:t>
      </w:r>
    </w:p>
    <w:p w:rsidR="00084DB8" w:rsidRPr="00084DB8" w:rsidRDefault="00084DB8" w:rsidP="00084DB8">
      <w:pPr>
        <w:contextualSpacing/>
        <w:rPr>
          <w:sz w:val="24"/>
          <w:szCs w:val="24"/>
        </w:rPr>
      </w:pPr>
      <w:r w:rsidRPr="00084DB8">
        <w:rPr>
          <w:sz w:val="24"/>
          <w:szCs w:val="24"/>
        </w:rPr>
        <w:tab/>
      </w:r>
      <w:proofErr w:type="gramStart"/>
      <w:r w:rsidRPr="00084DB8">
        <w:rPr>
          <w:sz w:val="24"/>
          <w:szCs w:val="24"/>
        </w:rPr>
        <w:t>(AITC) on the extension of the shelf-life of kimchi.</w:t>
      </w:r>
      <w:proofErr w:type="gramEnd"/>
      <w:r w:rsidRPr="00084DB8">
        <w:rPr>
          <w:sz w:val="24"/>
          <w:szCs w:val="24"/>
        </w:rPr>
        <w:t xml:space="preserve"> Int J Food Microbiol 153(1–2):92-</w:t>
      </w:r>
    </w:p>
    <w:p w:rsidR="00084DB8" w:rsidRDefault="00084DB8" w:rsidP="00084DB8">
      <w:pPr>
        <w:contextualSpacing/>
        <w:rPr>
          <w:sz w:val="24"/>
          <w:szCs w:val="24"/>
        </w:rPr>
      </w:pPr>
      <w:r w:rsidRPr="00084DB8">
        <w:rPr>
          <w:sz w:val="24"/>
          <w:szCs w:val="24"/>
        </w:rPr>
        <w:tab/>
        <w:t>98.</w:t>
      </w:r>
    </w:p>
    <w:p w:rsidR="00084DB8" w:rsidRPr="00084DB8" w:rsidRDefault="00084DB8" w:rsidP="00084DB8">
      <w:pPr>
        <w:contextualSpacing/>
        <w:rPr>
          <w:sz w:val="24"/>
          <w:szCs w:val="24"/>
        </w:rPr>
      </w:pPr>
      <w:proofErr w:type="gramStart"/>
      <w:r w:rsidRPr="00084DB8">
        <w:rPr>
          <w:sz w:val="24"/>
          <w:szCs w:val="24"/>
        </w:rPr>
        <w:lastRenderedPageBreak/>
        <w:t>Lin C-M, Preston JF, Wei C-I.</w:t>
      </w:r>
      <w:proofErr w:type="gramEnd"/>
      <w:r w:rsidRPr="00084DB8">
        <w:rPr>
          <w:sz w:val="24"/>
          <w:szCs w:val="24"/>
        </w:rPr>
        <w:t xml:space="preserve"> 2000. Antibacterial mechanism of allyl isothiocyanate. J </w:t>
      </w:r>
    </w:p>
    <w:p w:rsidR="00084DB8" w:rsidRDefault="00084DB8" w:rsidP="00084DB8">
      <w:pPr>
        <w:contextualSpacing/>
        <w:rPr>
          <w:sz w:val="24"/>
          <w:szCs w:val="24"/>
        </w:rPr>
      </w:pPr>
      <w:r w:rsidRPr="00084DB8">
        <w:rPr>
          <w:sz w:val="24"/>
          <w:szCs w:val="24"/>
        </w:rPr>
        <w:tab/>
        <w:t>Food Protect 63(6):727-734.</w:t>
      </w:r>
    </w:p>
    <w:p w:rsidR="00084DB8" w:rsidRPr="00084DB8" w:rsidRDefault="00084DB8" w:rsidP="00084DB8">
      <w:pPr>
        <w:contextualSpacing/>
        <w:rPr>
          <w:sz w:val="24"/>
          <w:szCs w:val="24"/>
        </w:rPr>
      </w:pPr>
    </w:p>
    <w:p w:rsidR="00084DB8" w:rsidRPr="00084DB8" w:rsidRDefault="00084DB8" w:rsidP="00084DB8">
      <w:pPr>
        <w:contextualSpacing/>
        <w:rPr>
          <w:sz w:val="24"/>
          <w:szCs w:val="24"/>
        </w:rPr>
      </w:pPr>
      <w:proofErr w:type="gramStart"/>
      <w:r w:rsidRPr="00084DB8">
        <w:rPr>
          <w:sz w:val="24"/>
          <w:szCs w:val="24"/>
        </w:rPr>
        <w:t>Luciano, F. B., &amp; Holley, R. A. (2009).</w:t>
      </w:r>
      <w:proofErr w:type="gramEnd"/>
      <w:r w:rsidRPr="00084DB8">
        <w:rPr>
          <w:sz w:val="24"/>
          <w:szCs w:val="24"/>
        </w:rPr>
        <w:t xml:space="preserve"> Enzymatic inhibition by allyl isothiocyanate and factors </w:t>
      </w:r>
    </w:p>
    <w:p w:rsidR="00084DB8" w:rsidRPr="00084DB8" w:rsidRDefault="00084DB8" w:rsidP="00084DB8">
      <w:pPr>
        <w:contextualSpacing/>
        <w:rPr>
          <w:sz w:val="24"/>
          <w:szCs w:val="24"/>
        </w:rPr>
      </w:pPr>
      <w:r w:rsidRPr="00084DB8">
        <w:rPr>
          <w:sz w:val="24"/>
          <w:szCs w:val="24"/>
        </w:rPr>
        <w:tab/>
      </w:r>
      <w:proofErr w:type="gramStart"/>
      <w:r w:rsidRPr="00084DB8">
        <w:rPr>
          <w:sz w:val="24"/>
          <w:szCs w:val="24"/>
        </w:rPr>
        <w:t>affecting</w:t>
      </w:r>
      <w:proofErr w:type="gramEnd"/>
      <w:r w:rsidRPr="00084DB8">
        <w:rPr>
          <w:sz w:val="24"/>
          <w:szCs w:val="24"/>
        </w:rPr>
        <w:t xml:space="preserve"> its antimicrobial action against </w:t>
      </w:r>
      <w:r w:rsidRPr="00084DB8">
        <w:rPr>
          <w:i/>
          <w:sz w:val="24"/>
          <w:szCs w:val="24"/>
        </w:rPr>
        <w:t>Escherichia coli</w:t>
      </w:r>
      <w:r w:rsidRPr="00084DB8">
        <w:rPr>
          <w:sz w:val="24"/>
          <w:szCs w:val="24"/>
        </w:rPr>
        <w:t xml:space="preserve"> O157:H7. Int J Food Microbiol </w:t>
      </w:r>
    </w:p>
    <w:p w:rsidR="00084DB8" w:rsidRDefault="00084DB8" w:rsidP="00084DB8">
      <w:pPr>
        <w:contextualSpacing/>
        <w:rPr>
          <w:sz w:val="24"/>
          <w:szCs w:val="24"/>
        </w:rPr>
      </w:pPr>
      <w:r w:rsidRPr="00084DB8">
        <w:rPr>
          <w:sz w:val="24"/>
          <w:szCs w:val="24"/>
        </w:rPr>
        <w:tab/>
        <w:t>131(2–3):240-245.</w:t>
      </w:r>
    </w:p>
    <w:p w:rsidR="00084DB8" w:rsidRPr="00084DB8" w:rsidRDefault="00084DB8" w:rsidP="00084DB8">
      <w:pPr>
        <w:contextualSpacing/>
        <w:rPr>
          <w:sz w:val="24"/>
          <w:szCs w:val="24"/>
        </w:rPr>
      </w:pPr>
    </w:p>
    <w:p w:rsidR="00084DB8" w:rsidRPr="00084DB8" w:rsidRDefault="00084DB8" w:rsidP="00084DB8">
      <w:pPr>
        <w:contextualSpacing/>
        <w:rPr>
          <w:i/>
          <w:sz w:val="24"/>
          <w:szCs w:val="24"/>
        </w:rPr>
      </w:pPr>
      <w:r w:rsidRPr="00084DB8">
        <w:rPr>
          <w:sz w:val="24"/>
          <w:szCs w:val="24"/>
        </w:rPr>
        <w:t xml:space="preserve">Nes IF and SkjelkvÅle R. 1982. Effect of natural spices and oleoresins on </w:t>
      </w:r>
      <w:r w:rsidRPr="00084DB8">
        <w:rPr>
          <w:i/>
          <w:sz w:val="24"/>
          <w:szCs w:val="24"/>
        </w:rPr>
        <w:t xml:space="preserve">Lactobacillus </w:t>
      </w:r>
    </w:p>
    <w:p w:rsidR="00084DB8" w:rsidRDefault="00084DB8" w:rsidP="00084DB8">
      <w:pPr>
        <w:contextualSpacing/>
        <w:rPr>
          <w:sz w:val="24"/>
          <w:szCs w:val="24"/>
        </w:rPr>
      </w:pPr>
      <w:r w:rsidRPr="00084DB8">
        <w:rPr>
          <w:i/>
          <w:sz w:val="24"/>
          <w:szCs w:val="24"/>
        </w:rPr>
        <w:tab/>
      </w:r>
      <w:proofErr w:type="gramStart"/>
      <w:r w:rsidRPr="00084DB8">
        <w:rPr>
          <w:i/>
          <w:sz w:val="24"/>
          <w:szCs w:val="24"/>
        </w:rPr>
        <w:t>plantarum</w:t>
      </w:r>
      <w:proofErr w:type="gramEnd"/>
      <w:r w:rsidRPr="00084DB8">
        <w:rPr>
          <w:sz w:val="24"/>
          <w:szCs w:val="24"/>
        </w:rPr>
        <w:t xml:space="preserve"> in the fermentation of dry sausage. J Food Sci 47(5):1618-1621. </w:t>
      </w:r>
      <w:proofErr w:type="gramStart"/>
      <w:r w:rsidRPr="00084DB8">
        <w:rPr>
          <w:sz w:val="24"/>
          <w:szCs w:val="24"/>
        </w:rPr>
        <w:t>doi</w:t>
      </w:r>
      <w:proofErr w:type="gramEnd"/>
      <w:r w:rsidRPr="00084DB8">
        <w:rPr>
          <w:sz w:val="24"/>
          <w:szCs w:val="24"/>
        </w:rPr>
        <w:t xml:space="preserve">: </w:t>
      </w:r>
      <w:r w:rsidRPr="00084DB8">
        <w:rPr>
          <w:sz w:val="24"/>
          <w:szCs w:val="24"/>
        </w:rPr>
        <w:tab/>
        <w:t>10.1111/j.1365-2621.1982.tb04996.x</w:t>
      </w:r>
    </w:p>
    <w:p w:rsidR="00AD2B48" w:rsidRDefault="00AD2B48" w:rsidP="00084DB8">
      <w:pPr>
        <w:contextualSpacing/>
        <w:rPr>
          <w:sz w:val="24"/>
          <w:szCs w:val="24"/>
        </w:rPr>
      </w:pPr>
    </w:p>
    <w:p w:rsidR="00B914C4" w:rsidRDefault="00B914C4" w:rsidP="00084DB8">
      <w:pPr>
        <w:contextualSpacing/>
        <w:rPr>
          <w:sz w:val="24"/>
          <w:szCs w:val="24"/>
        </w:rPr>
      </w:pPr>
      <w:proofErr w:type="gramStart"/>
      <w:r>
        <w:rPr>
          <w:sz w:val="24"/>
          <w:szCs w:val="24"/>
        </w:rPr>
        <w:t>Nychas GJE and Tassou CC. 2000.</w:t>
      </w:r>
      <w:proofErr w:type="gramEnd"/>
      <w:r>
        <w:rPr>
          <w:sz w:val="24"/>
          <w:szCs w:val="24"/>
        </w:rPr>
        <w:t xml:space="preserve"> Preservatives: Traditional preservatives- oils and spices. In: </w:t>
      </w:r>
      <w:r>
        <w:rPr>
          <w:sz w:val="24"/>
          <w:szCs w:val="24"/>
        </w:rPr>
        <w:tab/>
        <w:t xml:space="preserve">Robisnson R, Batt C, Patel P, editors. </w:t>
      </w:r>
      <w:proofErr w:type="gramStart"/>
      <w:r>
        <w:rPr>
          <w:sz w:val="24"/>
          <w:szCs w:val="24"/>
        </w:rPr>
        <w:t>Encyclopedia of Food Microbiology.</w:t>
      </w:r>
      <w:proofErr w:type="gramEnd"/>
      <w:r>
        <w:rPr>
          <w:sz w:val="24"/>
          <w:szCs w:val="24"/>
        </w:rPr>
        <w:t xml:space="preserve"> London:</w:t>
      </w:r>
      <w:r>
        <w:rPr>
          <w:sz w:val="24"/>
          <w:szCs w:val="24"/>
        </w:rPr>
        <w:tab/>
      </w:r>
      <w:r>
        <w:rPr>
          <w:sz w:val="24"/>
          <w:szCs w:val="24"/>
        </w:rPr>
        <w:tab/>
      </w:r>
      <w:r>
        <w:rPr>
          <w:sz w:val="24"/>
          <w:szCs w:val="24"/>
        </w:rPr>
        <w:tab/>
        <w:t xml:space="preserve">Academic Press. </w:t>
      </w:r>
      <w:proofErr w:type="gramStart"/>
      <w:r>
        <w:rPr>
          <w:sz w:val="24"/>
          <w:szCs w:val="24"/>
        </w:rPr>
        <w:t>p</w:t>
      </w:r>
      <w:proofErr w:type="gramEnd"/>
      <w:r>
        <w:rPr>
          <w:sz w:val="24"/>
          <w:szCs w:val="24"/>
        </w:rPr>
        <w:t xml:space="preserve"> 1717-1722.</w:t>
      </w:r>
    </w:p>
    <w:p w:rsidR="00AD2B48" w:rsidRPr="00084DB8" w:rsidRDefault="00AD2B48" w:rsidP="00084DB8">
      <w:pPr>
        <w:contextualSpacing/>
        <w:rPr>
          <w:sz w:val="24"/>
          <w:szCs w:val="24"/>
        </w:rPr>
      </w:pPr>
    </w:p>
    <w:p w:rsidR="00084DB8" w:rsidRPr="00084DB8" w:rsidRDefault="00084DB8" w:rsidP="00084DB8">
      <w:pPr>
        <w:contextualSpacing/>
        <w:rPr>
          <w:sz w:val="24"/>
          <w:szCs w:val="24"/>
        </w:rPr>
      </w:pPr>
      <w:r w:rsidRPr="00084DB8">
        <w:rPr>
          <w:sz w:val="24"/>
          <w:szCs w:val="24"/>
        </w:rPr>
        <w:t>Ouwehand, A., Tiihonen, K., Kettunen, H., Peuranen, S., Schulze, H., &amp; Rautonen, N. (2010). In</w:t>
      </w:r>
      <w:r>
        <w:rPr>
          <w:sz w:val="24"/>
          <w:szCs w:val="24"/>
        </w:rPr>
        <w:tab/>
      </w:r>
      <w:r w:rsidRPr="00084DB8">
        <w:rPr>
          <w:sz w:val="24"/>
          <w:szCs w:val="24"/>
        </w:rPr>
        <w:t xml:space="preserve"> </w:t>
      </w:r>
    </w:p>
    <w:p w:rsidR="00084DB8" w:rsidRDefault="00084DB8" w:rsidP="00084DB8">
      <w:pPr>
        <w:ind w:left="720"/>
        <w:contextualSpacing/>
        <w:rPr>
          <w:sz w:val="24"/>
          <w:szCs w:val="24"/>
        </w:rPr>
      </w:pPr>
      <w:proofErr w:type="gramStart"/>
      <w:r w:rsidRPr="00084DB8">
        <w:rPr>
          <w:sz w:val="24"/>
          <w:szCs w:val="24"/>
        </w:rPr>
        <w:t>vitro</w:t>
      </w:r>
      <w:proofErr w:type="gramEnd"/>
      <w:r w:rsidRPr="00084DB8">
        <w:rPr>
          <w:sz w:val="24"/>
          <w:szCs w:val="24"/>
        </w:rPr>
        <w:t xml:space="preserve"> effects of essential oils on potential pathogens and beneficial members of the normal microbiota. Vet Med-Czech 55(12):71-78.</w:t>
      </w:r>
    </w:p>
    <w:p w:rsidR="00084DB8" w:rsidRPr="00084DB8" w:rsidRDefault="00084DB8" w:rsidP="00084DB8">
      <w:pPr>
        <w:contextualSpacing/>
        <w:rPr>
          <w:sz w:val="24"/>
          <w:szCs w:val="24"/>
        </w:rPr>
      </w:pPr>
    </w:p>
    <w:p w:rsidR="00084DB8" w:rsidRPr="00084DB8" w:rsidRDefault="00084DB8" w:rsidP="00084DB8">
      <w:pPr>
        <w:contextualSpacing/>
        <w:rPr>
          <w:sz w:val="24"/>
          <w:szCs w:val="24"/>
        </w:rPr>
      </w:pPr>
      <w:r w:rsidRPr="00084DB8">
        <w:rPr>
          <w:sz w:val="24"/>
          <w:szCs w:val="24"/>
        </w:rPr>
        <w:t xml:space="preserve">Paster N, Juven BJ, Shaaya E, Menasherov M, Nitzan R, Weisslowicz H, Ravid U. 1990. </w:t>
      </w:r>
    </w:p>
    <w:p w:rsidR="00084DB8" w:rsidRPr="00084DB8" w:rsidRDefault="00084DB8" w:rsidP="00084DB8">
      <w:pPr>
        <w:contextualSpacing/>
        <w:rPr>
          <w:sz w:val="24"/>
          <w:szCs w:val="24"/>
        </w:rPr>
      </w:pPr>
      <w:r w:rsidRPr="00084DB8">
        <w:rPr>
          <w:sz w:val="24"/>
          <w:szCs w:val="24"/>
        </w:rPr>
        <w:tab/>
      </w:r>
      <w:proofErr w:type="gramStart"/>
      <w:r w:rsidRPr="00084DB8">
        <w:rPr>
          <w:sz w:val="24"/>
          <w:szCs w:val="24"/>
        </w:rPr>
        <w:t>Inhibitory effect of oregano and thyme essential oils on moulds and foodborne bacteria.</w:t>
      </w:r>
      <w:proofErr w:type="gramEnd"/>
      <w:r w:rsidRPr="00084DB8">
        <w:rPr>
          <w:sz w:val="24"/>
          <w:szCs w:val="24"/>
        </w:rPr>
        <w:t xml:space="preserve"> </w:t>
      </w:r>
    </w:p>
    <w:p w:rsidR="00084DB8" w:rsidRDefault="00084DB8" w:rsidP="00084DB8">
      <w:pPr>
        <w:contextualSpacing/>
        <w:rPr>
          <w:sz w:val="24"/>
          <w:szCs w:val="24"/>
        </w:rPr>
      </w:pPr>
      <w:r w:rsidRPr="00084DB8">
        <w:rPr>
          <w:sz w:val="24"/>
          <w:szCs w:val="24"/>
        </w:rPr>
        <w:tab/>
        <w:t xml:space="preserve">Lett Appl Microbiol 11:33-37. </w:t>
      </w:r>
    </w:p>
    <w:p w:rsidR="00084DB8" w:rsidRPr="00084DB8" w:rsidRDefault="00084DB8" w:rsidP="00084DB8">
      <w:pPr>
        <w:contextualSpacing/>
        <w:rPr>
          <w:sz w:val="24"/>
          <w:szCs w:val="24"/>
        </w:rPr>
      </w:pPr>
    </w:p>
    <w:p w:rsidR="00084DB8" w:rsidRDefault="00084DB8" w:rsidP="00084DB8">
      <w:pPr>
        <w:contextualSpacing/>
        <w:rPr>
          <w:sz w:val="24"/>
          <w:szCs w:val="24"/>
        </w:rPr>
      </w:pPr>
      <w:r w:rsidRPr="00084DB8">
        <w:rPr>
          <w:sz w:val="24"/>
          <w:szCs w:val="24"/>
        </w:rPr>
        <w:t xml:space="preserve">Shelef, L. A. 1983. </w:t>
      </w:r>
      <w:proofErr w:type="gramStart"/>
      <w:r w:rsidRPr="00084DB8">
        <w:rPr>
          <w:sz w:val="24"/>
          <w:szCs w:val="24"/>
        </w:rPr>
        <w:t>Antimicrobial effects of spices.</w:t>
      </w:r>
      <w:proofErr w:type="gramEnd"/>
      <w:r w:rsidRPr="00084DB8">
        <w:rPr>
          <w:sz w:val="24"/>
          <w:szCs w:val="24"/>
        </w:rPr>
        <w:t xml:space="preserve"> </w:t>
      </w:r>
      <w:proofErr w:type="gramStart"/>
      <w:r w:rsidRPr="00084DB8">
        <w:rPr>
          <w:sz w:val="24"/>
          <w:szCs w:val="24"/>
        </w:rPr>
        <w:t>J Food Safety.</w:t>
      </w:r>
      <w:proofErr w:type="gramEnd"/>
      <w:r w:rsidRPr="00084DB8">
        <w:rPr>
          <w:sz w:val="24"/>
          <w:szCs w:val="24"/>
        </w:rPr>
        <w:t xml:space="preserve"> 6:29-44.</w:t>
      </w:r>
    </w:p>
    <w:p w:rsidR="00084DB8" w:rsidRDefault="00084DB8" w:rsidP="00084DB8">
      <w:pPr>
        <w:contextualSpacing/>
        <w:rPr>
          <w:sz w:val="24"/>
          <w:szCs w:val="24"/>
        </w:rPr>
      </w:pPr>
    </w:p>
    <w:p w:rsidR="00AD2B48" w:rsidRDefault="00AD2B48" w:rsidP="00084DB8">
      <w:pPr>
        <w:contextualSpacing/>
        <w:rPr>
          <w:sz w:val="24"/>
          <w:szCs w:val="24"/>
        </w:rPr>
      </w:pPr>
      <w:r>
        <w:rPr>
          <w:sz w:val="24"/>
          <w:szCs w:val="24"/>
        </w:rPr>
        <w:t xml:space="preserve">Sofos JN, Beuchat LR, Davidson PM, Johnson EA. 1998. </w:t>
      </w:r>
      <w:proofErr w:type="gramStart"/>
      <w:r>
        <w:rPr>
          <w:sz w:val="24"/>
          <w:szCs w:val="24"/>
        </w:rPr>
        <w:t xml:space="preserve">Naturally occurring antimicrobials in </w:t>
      </w:r>
      <w:r>
        <w:rPr>
          <w:sz w:val="24"/>
          <w:szCs w:val="24"/>
        </w:rPr>
        <w:tab/>
        <w:t>food.</w:t>
      </w:r>
      <w:proofErr w:type="gramEnd"/>
      <w:r>
        <w:rPr>
          <w:sz w:val="24"/>
          <w:szCs w:val="24"/>
        </w:rPr>
        <w:t xml:space="preserve"> Regul Toxicol Pharm 28:71-71.</w:t>
      </w:r>
    </w:p>
    <w:p w:rsidR="00AD2B48" w:rsidRPr="00084DB8" w:rsidRDefault="00AD2B48" w:rsidP="00084DB8">
      <w:pPr>
        <w:contextualSpacing/>
        <w:rPr>
          <w:sz w:val="24"/>
          <w:szCs w:val="24"/>
        </w:rPr>
      </w:pPr>
    </w:p>
    <w:p w:rsidR="00084DB8" w:rsidRPr="00084DB8" w:rsidRDefault="00084DB8" w:rsidP="00084DB8">
      <w:pPr>
        <w:contextualSpacing/>
        <w:rPr>
          <w:sz w:val="24"/>
          <w:szCs w:val="24"/>
        </w:rPr>
      </w:pPr>
      <w:proofErr w:type="gramStart"/>
      <w:r w:rsidRPr="00084DB8">
        <w:rPr>
          <w:sz w:val="24"/>
          <w:szCs w:val="24"/>
        </w:rPr>
        <w:t>Ultee, A., Ben</w:t>
      </w:r>
      <w:r w:rsidR="00AD2B48">
        <w:rPr>
          <w:sz w:val="24"/>
          <w:szCs w:val="24"/>
        </w:rPr>
        <w:t xml:space="preserve">nik, M. H. J., &amp; Moezelaar, R. </w:t>
      </w:r>
      <w:r w:rsidRPr="00084DB8">
        <w:rPr>
          <w:sz w:val="24"/>
          <w:szCs w:val="24"/>
        </w:rPr>
        <w:t>2002.</w:t>
      </w:r>
      <w:proofErr w:type="gramEnd"/>
      <w:r w:rsidRPr="00084DB8">
        <w:rPr>
          <w:sz w:val="24"/>
          <w:szCs w:val="24"/>
        </w:rPr>
        <w:t xml:space="preserve"> The phenolic hydroxyl group of carvacrol </w:t>
      </w:r>
    </w:p>
    <w:p w:rsidR="00084DB8" w:rsidRPr="00084DB8" w:rsidRDefault="00084DB8" w:rsidP="00084DB8">
      <w:pPr>
        <w:contextualSpacing/>
        <w:rPr>
          <w:sz w:val="24"/>
          <w:szCs w:val="24"/>
        </w:rPr>
      </w:pPr>
      <w:r w:rsidRPr="00084DB8">
        <w:rPr>
          <w:sz w:val="24"/>
          <w:szCs w:val="24"/>
        </w:rPr>
        <w:tab/>
      </w:r>
      <w:proofErr w:type="gramStart"/>
      <w:r w:rsidRPr="00084DB8">
        <w:rPr>
          <w:sz w:val="24"/>
          <w:szCs w:val="24"/>
        </w:rPr>
        <w:t>is</w:t>
      </w:r>
      <w:proofErr w:type="gramEnd"/>
      <w:r w:rsidRPr="00084DB8">
        <w:rPr>
          <w:sz w:val="24"/>
          <w:szCs w:val="24"/>
        </w:rPr>
        <w:t xml:space="preserve"> essential for action a</w:t>
      </w:r>
      <w:r>
        <w:rPr>
          <w:sz w:val="24"/>
          <w:szCs w:val="24"/>
        </w:rPr>
        <w:t xml:space="preserve">gainst the food-borne pathogen </w:t>
      </w:r>
      <w:r w:rsidRPr="00084DB8">
        <w:rPr>
          <w:i/>
          <w:sz w:val="24"/>
          <w:szCs w:val="24"/>
        </w:rPr>
        <w:t>Bacillus cereus</w:t>
      </w:r>
      <w:r w:rsidRPr="00084DB8">
        <w:rPr>
          <w:sz w:val="24"/>
          <w:szCs w:val="24"/>
        </w:rPr>
        <w:t xml:space="preserve">. Appl Environ </w:t>
      </w:r>
    </w:p>
    <w:p w:rsidR="00084DB8" w:rsidRDefault="00084DB8" w:rsidP="00084DB8">
      <w:pPr>
        <w:contextualSpacing/>
        <w:rPr>
          <w:sz w:val="24"/>
          <w:szCs w:val="24"/>
        </w:rPr>
      </w:pPr>
      <w:r w:rsidRPr="00084DB8">
        <w:rPr>
          <w:sz w:val="24"/>
          <w:szCs w:val="24"/>
        </w:rPr>
        <w:tab/>
        <w:t xml:space="preserve">Microb 68(4):1561-1568. </w:t>
      </w:r>
    </w:p>
    <w:p w:rsidR="00084DB8" w:rsidRPr="00084DB8" w:rsidRDefault="00084DB8" w:rsidP="00084DB8">
      <w:pPr>
        <w:contextualSpacing/>
        <w:rPr>
          <w:sz w:val="24"/>
          <w:szCs w:val="24"/>
        </w:rPr>
      </w:pPr>
    </w:p>
    <w:p w:rsidR="00AD2B48" w:rsidRDefault="00AD2B48" w:rsidP="00AD2B48">
      <w:pPr>
        <w:rPr>
          <w:sz w:val="24"/>
          <w:szCs w:val="24"/>
        </w:rPr>
      </w:pPr>
      <w:r>
        <w:rPr>
          <w:sz w:val="24"/>
          <w:szCs w:val="24"/>
        </w:rPr>
        <w:t xml:space="preserve">Zaika LL. 1988. Spices and herbs: Their antimicrobial activity and its determination. J Food </w:t>
      </w:r>
      <w:r>
        <w:rPr>
          <w:sz w:val="24"/>
          <w:szCs w:val="24"/>
        </w:rPr>
        <w:tab/>
        <w:t>Safety 9:97-118.</w:t>
      </w:r>
    </w:p>
    <w:p w:rsidR="00084DB8" w:rsidRDefault="00084DB8" w:rsidP="00084DB8">
      <w:pPr>
        <w:contextualSpacing/>
        <w:rPr>
          <w:sz w:val="24"/>
          <w:szCs w:val="24"/>
        </w:rPr>
      </w:pPr>
      <w:proofErr w:type="gramStart"/>
      <w:r w:rsidRPr="00084DB8">
        <w:rPr>
          <w:sz w:val="24"/>
          <w:szCs w:val="24"/>
        </w:rPr>
        <w:t>Zaika LL and Kissinger JC.</w:t>
      </w:r>
      <w:proofErr w:type="gramEnd"/>
      <w:r w:rsidRPr="00084DB8">
        <w:rPr>
          <w:sz w:val="24"/>
          <w:szCs w:val="24"/>
        </w:rPr>
        <w:t xml:space="preserve"> 1979. Effects of some spices on acid production by starter cultures. J </w:t>
      </w:r>
      <w:r>
        <w:rPr>
          <w:sz w:val="24"/>
          <w:szCs w:val="24"/>
        </w:rPr>
        <w:tab/>
      </w:r>
      <w:r w:rsidRPr="00084DB8">
        <w:rPr>
          <w:sz w:val="24"/>
          <w:szCs w:val="24"/>
        </w:rPr>
        <w:t>Food Prot 42:572-576.</w:t>
      </w:r>
    </w:p>
    <w:p w:rsidR="00084DB8" w:rsidRPr="00084DB8" w:rsidRDefault="00084DB8" w:rsidP="00084DB8">
      <w:pPr>
        <w:contextualSpacing/>
        <w:rPr>
          <w:sz w:val="24"/>
          <w:szCs w:val="24"/>
        </w:rPr>
      </w:pPr>
    </w:p>
    <w:p w:rsidR="00084DB8" w:rsidRPr="00084DB8" w:rsidRDefault="00084DB8" w:rsidP="00084DB8">
      <w:pPr>
        <w:contextualSpacing/>
        <w:rPr>
          <w:sz w:val="24"/>
          <w:szCs w:val="24"/>
        </w:rPr>
      </w:pPr>
      <w:r w:rsidRPr="00084DB8">
        <w:rPr>
          <w:sz w:val="24"/>
          <w:szCs w:val="24"/>
        </w:rPr>
        <w:t>Zaika LL, Kissinger JC, Wasserman AE. 1983. Inhibition of Lactic Acid Bacteria by Herbs. J Food</w:t>
      </w:r>
      <w:r>
        <w:rPr>
          <w:sz w:val="24"/>
          <w:szCs w:val="24"/>
        </w:rPr>
        <w:tab/>
      </w:r>
      <w:r>
        <w:rPr>
          <w:sz w:val="24"/>
          <w:szCs w:val="24"/>
        </w:rPr>
        <w:tab/>
      </w:r>
      <w:r w:rsidRPr="00084DB8">
        <w:rPr>
          <w:sz w:val="24"/>
          <w:szCs w:val="24"/>
        </w:rPr>
        <w:t xml:space="preserve"> Sci 48(5):1455-1459.</w:t>
      </w:r>
    </w:p>
    <w:p w:rsidR="00084DB8" w:rsidRPr="00084DB8" w:rsidRDefault="00084DB8" w:rsidP="00084DB8">
      <w:pPr>
        <w:spacing w:line="480" w:lineRule="auto"/>
        <w:contextualSpacing/>
        <w:jc w:val="center"/>
        <w:rPr>
          <w:b/>
          <w:sz w:val="28"/>
          <w:szCs w:val="28"/>
        </w:rPr>
      </w:pPr>
    </w:p>
    <w:p w:rsidR="00084DB8" w:rsidRDefault="00084DB8" w:rsidP="002649AF">
      <w:pPr>
        <w:spacing w:line="480" w:lineRule="auto"/>
        <w:contextualSpacing/>
        <w:jc w:val="center"/>
        <w:rPr>
          <w:b/>
          <w:sz w:val="28"/>
          <w:szCs w:val="28"/>
        </w:rPr>
      </w:pPr>
    </w:p>
    <w:p w:rsidR="009C468F" w:rsidRPr="00FE5B3A" w:rsidRDefault="009C468F" w:rsidP="002649AF">
      <w:pPr>
        <w:spacing w:line="480" w:lineRule="auto"/>
        <w:contextualSpacing/>
        <w:jc w:val="center"/>
        <w:rPr>
          <w:b/>
          <w:sz w:val="28"/>
          <w:szCs w:val="28"/>
        </w:rPr>
      </w:pPr>
      <w:r w:rsidRPr="00FE5B3A">
        <w:rPr>
          <w:b/>
          <w:sz w:val="28"/>
          <w:szCs w:val="28"/>
        </w:rPr>
        <w:lastRenderedPageBreak/>
        <w:t>Chapter 3</w:t>
      </w:r>
    </w:p>
    <w:p w:rsidR="009C468F" w:rsidRDefault="009C468F" w:rsidP="00FE5B3A">
      <w:pPr>
        <w:pStyle w:val="Heading1"/>
        <w:jc w:val="center"/>
        <w:rPr>
          <w:rFonts w:asciiTheme="minorHAnsi" w:hAnsiTheme="minorHAnsi"/>
          <w:color w:val="auto"/>
        </w:rPr>
      </w:pPr>
      <w:bookmarkStart w:id="24" w:name="_Toc364366591"/>
      <w:r w:rsidRPr="00FE5B3A">
        <w:rPr>
          <w:rFonts w:asciiTheme="minorHAnsi" w:hAnsiTheme="minorHAnsi"/>
          <w:color w:val="auto"/>
        </w:rPr>
        <w:t>Minimum lethal concentrations of essential oils</w:t>
      </w:r>
      <w:bookmarkEnd w:id="24"/>
    </w:p>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Default="002B5627" w:rsidP="002B5627"/>
    <w:p w:rsidR="002B5627" w:rsidRPr="002B5627" w:rsidRDefault="002B5627" w:rsidP="002B5627"/>
    <w:p w:rsidR="00701057" w:rsidRPr="000A1FA6" w:rsidRDefault="00701057" w:rsidP="00BF51F5">
      <w:pPr>
        <w:pStyle w:val="Heading2"/>
        <w:spacing w:line="480" w:lineRule="auto"/>
        <w:rPr>
          <w:rFonts w:asciiTheme="minorHAnsi" w:hAnsiTheme="minorHAnsi"/>
          <w:color w:val="auto"/>
          <w:sz w:val="24"/>
          <w:szCs w:val="24"/>
        </w:rPr>
      </w:pPr>
      <w:bookmarkStart w:id="25" w:name="_Toc364366592"/>
      <w:r w:rsidRPr="000A1FA6">
        <w:rPr>
          <w:rFonts w:asciiTheme="minorHAnsi" w:hAnsiTheme="minorHAnsi"/>
          <w:color w:val="auto"/>
          <w:sz w:val="24"/>
          <w:szCs w:val="24"/>
        </w:rPr>
        <w:lastRenderedPageBreak/>
        <w:t>Abstract</w:t>
      </w:r>
      <w:bookmarkEnd w:id="25"/>
    </w:p>
    <w:p w:rsidR="002B5627" w:rsidRDefault="00701057" w:rsidP="002B5627">
      <w:pPr>
        <w:spacing w:line="480" w:lineRule="auto"/>
        <w:ind w:firstLine="720"/>
        <w:contextualSpacing/>
        <w:rPr>
          <w:sz w:val="24"/>
          <w:szCs w:val="24"/>
        </w:rPr>
      </w:pPr>
      <w:r w:rsidRPr="00FE5B3A">
        <w:rPr>
          <w:sz w:val="24"/>
          <w:szCs w:val="24"/>
        </w:rPr>
        <w:t xml:space="preserve">The bactericidal capability of the essential oil components carvacrol, cinnamaldehyde, eugenol, and thymol was evaluated against </w:t>
      </w:r>
      <w:r w:rsidR="004D2AB1">
        <w:rPr>
          <w:sz w:val="24"/>
          <w:szCs w:val="24"/>
        </w:rPr>
        <w:t>three</w:t>
      </w:r>
      <w:r w:rsidR="004D2AB1" w:rsidRPr="00FE5B3A">
        <w:rPr>
          <w:sz w:val="24"/>
          <w:szCs w:val="24"/>
        </w:rPr>
        <w:t xml:space="preserve"> </w:t>
      </w:r>
      <w:r w:rsidRPr="00FE5B3A">
        <w:rPr>
          <w:sz w:val="24"/>
          <w:szCs w:val="24"/>
        </w:rPr>
        <w:t xml:space="preserve">lactic acid bacteria species: </w:t>
      </w:r>
      <w:r w:rsidR="00DB0605" w:rsidRPr="00DB0605">
        <w:rPr>
          <w:i/>
          <w:sz w:val="24"/>
          <w:szCs w:val="24"/>
        </w:rPr>
        <w:t xml:space="preserve">Pediococcus </w:t>
      </w:r>
      <w:r w:rsidR="006F4759">
        <w:rPr>
          <w:i/>
          <w:sz w:val="24"/>
          <w:szCs w:val="24"/>
        </w:rPr>
        <w:t>acidilactici</w:t>
      </w:r>
      <w:r w:rsidRPr="00FE5B3A">
        <w:rPr>
          <w:sz w:val="24"/>
          <w:szCs w:val="24"/>
        </w:rPr>
        <w:t xml:space="preserve">, </w:t>
      </w:r>
      <w:r w:rsidR="00FD3B94" w:rsidRPr="00FD3B94">
        <w:rPr>
          <w:i/>
          <w:sz w:val="24"/>
          <w:szCs w:val="24"/>
        </w:rPr>
        <w:t>Lactobacillus buchneri</w:t>
      </w:r>
      <w:r w:rsidRPr="00FE5B3A">
        <w:rPr>
          <w:sz w:val="24"/>
          <w:szCs w:val="24"/>
        </w:rPr>
        <w:t xml:space="preserve">, and </w:t>
      </w:r>
      <w:r w:rsidR="00FD3B94" w:rsidRPr="00FD3B94">
        <w:rPr>
          <w:i/>
          <w:sz w:val="24"/>
          <w:szCs w:val="24"/>
        </w:rPr>
        <w:t>Leuconostoc citrovorum</w:t>
      </w:r>
      <w:r w:rsidRPr="00FE5B3A">
        <w:rPr>
          <w:sz w:val="24"/>
          <w:szCs w:val="24"/>
        </w:rPr>
        <w:t xml:space="preserve">. Thymol at 0.1% (w/v) was bactericidal against </w:t>
      </w:r>
      <w:r w:rsidR="00FD3B94" w:rsidRPr="00FD3B94">
        <w:rPr>
          <w:i/>
          <w:sz w:val="24"/>
          <w:szCs w:val="24"/>
        </w:rPr>
        <w:t>L. citrovorum</w:t>
      </w:r>
      <w:r w:rsidR="00EE5B91">
        <w:rPr>
          <w:i/>
          <w:sz w:val="24"/>
          <w:szCs w:val="24"/>
        </w:rPr>
        <w:t xml:space="preserve"> </w:t>
      </w:r>
      <w:r w:rsidR="00EE5B91">
        <w:rPr>
          <w:sz w:val="24"/>
          <w:szCs w:val="24"/>
        </w:rPr>
        <w:t>(&gt; 4-log reduction), but resulted in</w:t>
      </w:r>
      <w:r w:rsidR="00A12FEA">
        <w:rPr>
          <w:sz w:val="24"/>
          <w:szCs w:val="24"/>
        </w:rPr>
        <w:t xml:space="preserve"> a &gt; 2-</w:t>
      </w:r>
      <w:r w:rsidRPr="00FE5B3A">
        <w:rPr>
          <w:sz w:val="24"/>
          <w:szCs w:val="24"/>
        </w:rPr>
        <w:t xml:space="preserve">log CFU/mL reduction against </w:t>
      </w:r>
      <w:r w:rsidR="00FD3B94" w:rsidRPr="00FD3B94">
        <w:rPr>
          <w:i/>
          <w:sz w:val="24"/>
          <w:szCs w:val="24"/>
        </w:rPr>
        <w:t>L. buchneri</w:t>
      </w:r>
      <w:r w:rsidR="00A12FEA">
        <w:rPr>
          <w:sz w:val="24"/>
          <w:szCs w:val="24"/>
        </w:rPr>
        <w:t xml:space="preserve"> and 2-log reduction</w:t>
      </w:r>
      <w:r w:rsidRPr="00FE5B3A">
        <w:rPr>
          <w:sz w:val="24"/>
          <w:szCs w:val="24"/>
        </w:rPr>
        <w:t xml:space="preserve"> in </w:t>
      </w:r>
      <w:r w:rsidR="00DB0605" w:rsidRPr="00DB0605">
        <w:rPr>
          <w:i/>
          <w:sz w:val="24"/>
          <w:szCs w:val="24"/>
        </w:rPr>
        <w:t xml:space="preserve">P. </w:t>
      </w:r>
      <w:r w:rsidR="006F4759">
        <w:rPr>
          <w:i/>
          <w:sz w:val="24"/>
          <w:szCs w:val="24"/>
        </w:rPr>
        <w:t>acidilactici</w:t>
      </w:r>
      <w:r w:rsidRPr="00FE5B3A">
        <w:rPr>
          <w:sz w:val="24"/>
          <w:szCs w:val="24"/>
        </w:rPr>
        <w:t xml:space="preserve">. Cinnamaldehyde at 0.2% </w:t>
      </w:r>
      <w:r w:rsidR="00A12FEA">
        <w:rPr>
          <w:sz w:val="24"/>
          <w:szCs w:val="24"/>
        </w:rPr>
        <w:t>to</w:t>
      </w:r>
      <w:r w:rsidRPr="00FE5B3A">
        <w:rPr>
          <w:sz w:val="24"/>
          <w:szCs w:val="24"/>
        </w:rPr>
        <w:t xml:space="preserve"> 0.25% (v/v) was effective against </w:t>
      </w:r>
      <w:r w:rsidR="00FD3B94" w:rsidRPr="00FD3B94">
        <w:rPr>
          <w:i/>
          <w:sz w:val="24"/>
          <w:szCs w:val="24"/>
        </w:rPr>
        <w:t>L. citrovorum</w:t>
      </w:r>
      <w:r w:rsidR="00A12FEA">
        <w:rPr>
          <w:sz w:val="24"/>
          <w:szCs w:val="24"/>
        </w:rPr>
        <w:t xml:space="preserve">, </w:t>
      </w:r>
      <w:r w:rsidR="00A12FEA" w:rsidRPr="00A12FEA">
        <w:rPr>
          <w:i/>
          <w:sz w:val="24"/>
          <w:szCs w:val="24"/>
        </w:rPr>
        <w:t>L. buchneri</w:t>
      </w:r>
      <w:r w:rsidR="00A12FEA">
        <w:rPr>
          <w:sz w:val="24"/>
          <w:szCs w:val="24"/>
        </w:rPr>
        <w:t xml:space="preserve">, </w:t>
      </w:r>
      <w:r w:rsidRPr="00FE5B3A">
        <w:rPr>
          <w:sz w:val="24"/>
          <w:szCs w:val="24"/>
        </w:rPr>
        <w:t xml:space="preserve">and </w:t>
      </w:r>
      <w:r w:rsidR="00DB0605" w:rsidRPr="00DB0605">
        <w:rPr>
          <w:i/>
          <w:sz w:val="24"/>
          <w:szCs w:val="24"/>
        </w:rPr>
        <w:t xml:space="preserve">P. </w:t>
      </w:r>
      <w:r w:rsidR="006F4759">
        <w:rPr>
          <w:i/>
          <w:sz w:val="24"/>
          <w:szCs w:val="24"/>
        </w:rPr>
        <w:t>acidilactici</w:t>
      </w:r>
      <w:r w:rsidR="00A12FEA">
        <w:rPr>
          <w:sz w:val="24"/>
          <w:szCs w:val="24"/>
        </w:rPr>
        <w:t>,</w:t>
      </w:r>
      <w:r w:rsidRPr="00FE5B3A">
        <w:rPr>
          <w:sz w:val="24"/>
          <w:szCs w:val="24"/>
        </w:rPr>
        <w:t xml:space="preserve"> after 48 </w:t>
      </w:r>
      <w:r w:rsidR="00806BB4">
        <w:rPr>
          <w:sz w:val="24"/>
          <w:szCs w:val="24"/>
        </w:rPr>
        <w:t>h</w:t>
      </w:r>
      <w:r w:rsidR="008552D4">
        <w:rPr>
          <w:sz w:val="24"/>
          <w:szCs w:val="24"/>
        </w:rPr>
        <w:t xml:space="preserve"> resulting in a &gt; 2-log redution</w:t>
      </w:r>
      <w:r w:rsidRPr="00FE5B3A">
        <w:rPr>
          <w:sz w:val="24"/>
          <w:szCs w:val="24"/>
        </w:rPr>
        <w:t xml:space="preserve">. All three organisms were susceptible to 0.2% carvacrol </w:t>
      </w:r>
      <w:r w:rsidR="008552D4">
        <w:rPr>
          <w:sz w:val="24"/>
          <w:szCs w:val="24"/>
        </w:rPr>
        <w:t>with &gt; 3-log reduction observed after exposure for 6 h.</w:t>
      </w:r>
      <w:r w:rsidRPr="00FE5B3A">
        <w:rPr>
          <w:sz w:val="24"/>
          <w:szCs w:val="24"/>
        </w:rPr>
        <w:t xml:space="preserve"> Eugenol was the least effective of the antimicrobials. </w:t>
      </w:r>
      <w:r w:rsidR="008552D4">
        <w:rPr>
          <w:sz w:val="24"/>
          <w:szCs w:val="24"/>
        </w:rPr>
        <w:t xml:space="preserve">Concentrations of 0.2 and 0.25% (v/v) were needed to achieve an initial reduction in population, &gt; 3-log CFU/mL after 6 h exposure. However, at 0.2%, </w:t>
      </w:r>
      <w:r w:rsidR="008552D4" w:rsidRPr="008552D4">
        <w:rPr>
          <w:i/>
          <w:sz w:val="24"/>
          <w:szCs w:val="24"/>
        </w:rPr>
        <w:t>P. acidilactici</w:t>
      </w:r>
      <w:r w:rsidR="008552D4">
        <w:rPr>
          <w:sz w:val="24"/>
          <w:szCs w:val="24"/>
        </w:rPr>
        <w:t xml:space="preserve"> and </w:t>
      </w:r>
      <w:r w:rsidR="008552D4" w:rsidRPr="008552D4">
        <w:rPr>
          <w:i/>
          <w:sz w:val="24"/>
          <w:szCs w:val="24"/>
        </w:rPr>
        <w:t>L. buchneri</w:t>
      </w:r>
      <w:r w:rsidR="008552D4">
        <w:rPr>
          <w:sz w:val="24"/>
          <w:szCs w:val="24"/>
        </w:rPr>
        <w:t xml:space="preserve"> recovered to initial populations in 48-72 h. </w:t>
      </w:r>
      <w:proofErr w:type="gramStart"/>
      <w:r w:rsidR="008552D4">
        <w:rPr>
          <w:sz w:val="24"/>
          <w:szCs w:val="24"/>
        </w:rPr>
        <w:t>Increasing</w:t>
      </w:r>
      <w:proofErr w:type="gramEnd"/>
      <w:r w:rsidR="008552D4">
        <w:rPr>
          <w:sz w:val="24"/>
          <w:szCs w:val="24"/>
        </w:rPr>
        <w:t xml:space="preserve"> the concentration to 0.3% caused a &gt; 3-log reduction of </w:t>
      </w:r>
      <w:r w:rsidR="008552D4" w:rsidRPr="008552D4">
        <w:rPr>
          <w:i/>
          <w:sz w:val="24"/>
          <w:szCs w:val="24"/>
        </w:rPr>
        <w:t>P. acidilactici</w:t>
      </w:r>
      <w:r w:rsidR="008552D4">
        <w:rPr>
          <w:sz w:val="24"/>
          <w:szCs w:val="24"/>
        </w:rPr>
        <w:t xml:space="preserve"> during the course of the study, but </w:t>
      </w:r>
      <w:r w:rsidR="008552D4" w:rsidRPr="008552D4">
        <w:rPr>
          <w:i/>
          <w:sz w:val="24"/>
          <w:szCs w:val="24"/>
        </w:rPr>
        <w:t>L. buchneri</w:t>
      </w:r>
      <w:r w:rsidR="008552D4">
        <w:rPr>
          <w:sz w:val="24"/>
          <w:szCs w:val="24"/>
        </w:rPr>
        <w:t xml:space="preserve"> re-grew to initial populations. </w:t>
      </w:r>
    </w:p>
    <w:p w:rsidR="002B5627" w:rsidRDefault="002B5627" w:rsidP="004D2AB1">
      <w:pPr>
        <w:spacing w:line="480" w:lineRule="auto"/>
        <w:contextualSpacing/>
        <w:rPr>
          <w:sz w:val="24"/>
          <w:szCs w:val="24"/>
        </w:rPr>
      </w:pPr>
    </w:p>
    <w:p w:rsidR="004D2AB1" w:rsidRDefault="004D2AB1" w:rsidP="004D2AB1">
      <w:pPr>
        <w:spacing w:line="480" w:lineRule="auto"/>
        <w:contextualSpacing/>
        <w:rPr>
          <w:i/>
          <w:sz w:val="24"/>
          <w:szCs w:val="24"/>
        </w:rPr>
      </w:pPr>
      <w:r>
        <w:rPr>
          <w:sz w:val="24"/>
          <w:szCs w:val="24"/>
        </w:rPr>
        <w:t>Keywords</w:t>
      </w:r>
      <w:r w:rsidR="001D0D8F">
        <w:rPr>
          <w:sz w:val="24"/>
          <w:szCs w:val="24"/>
        </w:rPr>
        <w:t xml:space="preserve">: </w:t>
      </w:r>
      <w:r w:rsidR="001D0D8F" w:rsidRPr="00FC054F">
        <w:rPr>
          <w:i/>
          <w:sz w:val="24"/>
          <w:szCs w:val="24"/>
        </w:rPr>
        <w:t>Essential oils, lactic acid bacteria, minimum lethal concentrations</w:t>
      </w:r>
    </w:p>
    <w:p w:rsidR="00800042" w:rsidRPr="00FC054F" w:rsidRDefault="00800042" w:rsidP="004D2AB1">
      <w:pPr>
        <w:spacing w:line="480" w:lineRule="auto"/>
        <w:contextualSpacing/>
        <w:rPr>
          <w:i/>
          <w:sz w:val="24"/>
          <w:szCs w:val="24"/>
        </w:rPr>
      </w:pPr>
    </w:p>
    <w:p w:rsidR="004D2AB1" w:rsidRPr="00FE5B3A" w:rsidRDefault="004D2AB1" w:rsidP="004D2AB1">
      <w:pPr>
        <w:spacing w:line="480" w:lineRule="auto"/>
        <w:contextualSpacing/>
        <w:rPr>
          <w:sz w:val="24"/>
          <w:szCs w:val="24"/>
        </w:rPr>
      </w:pPr>
      <w:r>
        <w:rPr>
          <w:sz w:val="24"/>
          <w:szCs w:val="24"/>
        </w:rPr>
        <w:t>Practical application</w:t>
      </w:r>
      <w:r w:rsidR="001D0D8F">
        <w:rPr>
          <w:sz w:val="24"/>
          <w:szCs w:val="24"/>
        </w:rPr>
        <w:t xml:space="preserve">: </w:t>
      </w:r>
      <w:r w:rsidR="001E0F5E">
        <w:rPr>
          <w:sz w:val="24"/>
          <w:szCs w:val="24"/>
        </w:rPr>
        <w:t xml:space="preserve">Food manufacturers are subject to increased consumer pressure to remove synthetic preservatives and additives from food labels and replace them with </w:t>
      </w:r>
      <w:r w:rsidR="00FC054F">
        <w:rPr>
          <w:sz w:val="24"/>
          <w:szCs w:val="24"/>
        </w:rPr>
        <w:t xml:space="preserve">natural additives. These demands are increasing the interest of application of essential oils to any potential facet of the food </w:t>
      </w:r>
      <w:r w:rsidR="008552D4">
        <w:rPr>
          <w:sz w:val="24"/>
          <w:szCs w:val="24"/>
        </w:rPr>
        <w:t>industry. However, despite the Generally Recognized as Safe</w:t>
      </w:r>
      <w:r w:rsidR="00FC054F">
        <w:rPr>
          <w:sz w:val="24"/>
          <w:szCs w:val="24"/>
        </w:rPr>
        <w:t xml:space="preserve"> (GRAS) status these essential oils have been des</w:t>
      </w:r>
      <w:r w:rsidR="008552D4">
        <w:rPr>
          <w:sz w:val="24"/>
          <w:szCs w:val="24"/>
        </w:rPr>
        <w:t>ignated, research is still necessary</w:t>
      </w:r>
      <w:r w:rsidR="00FC054F">
        <w:rPr>
          <w:sz w:val="24"/>
          <w:szCs w:val="24"/>
        </w:rPr>
        <w:t xml:space="preserve"> to overcome several </w:t>
      </w:r>
      <w:r w:rsidR="00FC054F">
        <w:rPr>
          <w:sz w:val="24"/>
          <w:szCs w:val="24"/>
        </w:rPr>
        <w:lastRenderedPageBreak/>
        <w:t>issues that utilization of these oils present, including achievement of uniform dispersion throughout a food matrix, prevention of negative flavor or odor qualities, and determination of effective concentrations for microbial inhibition</w:t>
      </w:r>
      <w:r w:rsidR="00F46147">
        <w:rPr>
          <w:sz w:val="24"/>
          <w:szCs w:val="24"/>
        </w:rPr>
        <w:t xml:space="preserve"> or inactivation</w:t>
      </w:r>
      <w:r w:rsidR="00FC054F">
        <w:rPr>
          <w:sz w:val="24"/>
          <w:szCs w:val="24"/>
        </w:rPr>
        <w:t>.</w:t>
      </w:r>
    </w:p>
    <w:p w:rsidR="00701057" w:rsidRPr="000A1FA6" w:rsidRDefault="00701057" w:rsidP="00C3534E">
      <w:pPr>
        <w:pStyle w:val="Heading2"/>
        <w:spacing w:line="480" w:lineRule="auto"/>
        <w:rPr>
          <w:rFonts w:asciiTheme="minorHAnsi" w:hAnsiTheme="minorHAnsi"/>
          <w:color w:val="auto"/>
          <w:sz w:val="24"/>
          <w:szCs w:val="24"/>
        </w:rPr>
      </w:pPr>
      <w:bookmarkStart w:id="26" w:name="_Toc364366593"/>
      <w:r w:rsidRPr="000A1FA6">
        <w:rPr>
          <w:rFonts w:asciiTheme="minorHAnsi" w:hAnsiTheme="minorHAnsi"/>
          <w:color w:val="auto"/>
          <w:sz w:val="24"/>
          <w:szCs w:val="24"/>
        </w:rPr>
        <w:t>Introduction</w:t>
      </w:r>
      <w:bookmarkEnd w:id="26"/>
    </w:p>
    <w:p w:rsidR="00701057" w:rsidRPr="00FE5B3A" w:rsidRDefault="00701057" w:rsidP="00C3534E">
      <w:pPr>
        <w:spacing w:line="480" w:lineRule="auto"/>
        <w:ind w:firstLine="720"/>
        <w:contextualSpacing/>
        <w:rPr>
          <w:sz w:val="24"/>
          <w:szCs w:val="24"/>
        </w:rPr>
      </w:pPr>
      <w:r w:rsidRPr="00FE5B3A">
        <w:rPr>
          <w:sz w:val="24"/>
          <w:szCs w:val="24"/>
        </w:rPr>
        <w:t>Essential, or volatile, oils are rapidly gaining popularity as food preservatives as consumer enthusiasm for organic and minimally processed foods continues to escalate (Baratta and others 1998). These plant</w:t>
      </w:r>
      <w:r w:rsidR="004D2AB1">
        <w:rPr>
          <w:sz w:val="24"/>
          <w:szCs w:val="24"/>
        </w:rPr>
        <w:t>-</w:t>
      </w:r>
      <w:r w:rsidRPr="00FE5B3A">
        <w:rPr>
          <w:sz w:val="24"/>
          <w:szCs w:val="24"/>
        </w:rPr>
        <w:t xml:space="preserve">derived oils, which play an integral in plant defense, are demonstrated antimicrobial activity against </w:t>
      </w:r>
      <w:r w:rsidR="00203888">
        <w:rPr>
          <w:sz w:val="24"/>
          <w:szCs w:val="24"/>
        </w:rPr>
        <w:t>Gram-positive</w:t>
      </w:r>
      <w:r w:rsidRPr="00FE5B3A">
        <w:rPr>
          <w:sz w:val="24"/>
          <w:szCs w:val="24"/>
        </w:rPr>
        <w:t xml:space="preserve"> and negative bacteria, as well as fungal species (Shelef 1983; Ames and others 1990; Sofos and others 1998).  </w:t>
      </w:r>
    </w:p>
    <w:p w:rsidR="00701057" w:rsidRPr="00FE5B3A" w:rsidRDefault="00701057" w:rsidP="00820072">
      <w:pPr>
        <w:spacing w:line="480" w:lineRule="auto"/>
        <w:ind w:firstLine="720"/>
        <w:contextualSpacing/>
        <w:rPr>
          <w:sz w:val="24"/>
          <w:szCs w:val="24"/>
        </w:rPr>
      </w:pPr>
      <w:r w:rsidRPr="00FE5B3A">
        <w:rPr>
          <w:sz w:val="24"/>
          <w:szCs w:val="24"/>
        </w:rPr>
        <w:t>Producers of salad dressings and mayonnaise products are frequently plagued by spoilage of their finished product, which typically</w:t>
      </w:r>
      <w:r w:rsidR="00A13657">
        <w:rPr>
          <w:sz w:val="24"/>
          <w:szCs w:val="24"/>
        </w:rPr>
        <w:t xml:space="preserve"> can</w:t>
      </w:r>
      <w:r w:rsidRPr="00FE5B3A">
        <w:rPr>
          <w:sz w:val="24"/>
          <w:szCs w:val="24"/>
        </w:rPr>
        <w:t xml:space="preserve"> receive no heat treatment to eliminate bacterial and fungal spoilage species</w:t>
      </w:r>
      <w:r w:rsidR="00A13657">
        <w:rPr>
          <w:sz w:val="24"/>
          <w:szCs w:val="24"/>
        </w:rPr>
        <w:t xml:space="preserve"> due temperature induced alterations to the dressing’s consistency. Product pH is often sufficient to inhibit the majority of microbial growth</w:t>
      </w:r>
      <w:r w:rsidR="00251118">
        <w:rPr>
          <w:sz w:val="24"/>
          <w:szCs w:val="24"/>
        </w:rPr>
        <w:t xml:space="preserve"> </w:t>
      </w:r>
      <w:r w:rsidRPr="00FE5B3A">
        <w:rPr>
          <w:sz w:val="24"/>
          <w:szCs w:val="24"/>
        </w:rPr>
        <w:t>(</w:t>
      </w:r>
      <w:r w:rsidR="006C3283">
        <w:rPr>
          <w:sz w:val="24"/>
          <w:szCs w:val="24"/>
        </w:rPr>
        <w:t>Smith and Stratton 2006</w:t>
      </w:r>
      <w:r w:rsidRPr="00FE5B3A">
        <w:rPr>
          <w:sz w:val="24"/>
          <w:szCs w:val="24"/>
        </w:rPr>
        <w:t>)</w:t>
      </w:r>
      <w:r w:rsidR="00A13657">
        <w:rPr>
          <w:sz w:val="24"/>
          <w:szCs w:val="24"/>
        </w:rPr>
        <w:t xml:space="preserve">, but growth and spoilage of dressings due to acid tolerant species is still an all too common occurrence. The </w:t>
      </w:r>
      <w:r w:rsidR="00251118">
        <w:rPr>
          <w:sz w:val="24"/>
          <w:szCs w:val="24"/>
        </w:rPr>
        <w:t>utilization</w:t>
      </w:r>
      <w:r w:rsidR="00A13657">
        <w:rPr>
          <w:sz w:val="24"/>
          <w:szCs w:val="24"/>
        </w:rPr>
        <w:t xml:space="preserve"> of </w:t>
      </w:r>
      <w:r w:rsidR="00251118">
        <w:rPr>
          <w:sz w:val="24"/>
          <w:szCs w:val="24"/>
        </w:rPr>
        <w:t>natural</w:t>
      </w:r>
      <w:r w:rsidR="00A13657">
        <w:rPr>
          <w:sz w:val="24"/>
          <w:szCs w:val="24"/>
        </w:rPr>
        <w:t xml:space="preserve"> processing hurdles, </w:t>
      </w:r>
      <w:r w:rsidR="00251118">
        <w:rPr>
          <w:sz w:val="24"/>
          <w:szCs w:val="24"/>
        </w:rPr>
        <w:t>especially</w:t>
      </w:r>
      <w:r w:rsidR="00A13657">
        <w:rPr>
          <w:sz w:val="24"/>
          <w:szCs w:val="24"/>
        </w:rPr>
        <w:t xml:space="preserve"> the incorporation of essential oils into product formulations or packaging material</w:t>
      </w:r>
      <w:r w:rsidR="00251118">
        <w:rPr>
          <w:sz w:val="24"/>
          <w:szCs w:val="24"/>
        </w:rPr>
        <w:t>s, is an exciting prospect in the realm of food preservation, an area that is receiving increased consumer criticism for its use of synthetic preservative agents.</w:t>
      </w:r>
      <w:r w:rsidRPr="00FE5B3A">
        <w:rPr>
          <w:sz w:val="24"/>
          <w:szCs w:val="24"/>
        </w:rPr>
        <w:t xml:space="preserve"> </w:t>
      </w:r>
    </w:p>
    <w:p w:rsidR="00701057" w:rsidRDefault="00820072" w:rsidP="00820072">
      <w:pPr>
        <w:spacing w:line="480" w:lineRule="auto"/>
        <w:ind w:firstLine="720"/>
        <w:contextualSpacing/>
        <w:rPr>
          <w:sz w:val="24"/>
          <w:szCs w:val="24"/>
        </w:rPr>
      </w:pPr>
      <w:r>
        <w:rPr>
          <w:sz w:val="24"/>
          <w:szCs w:val="24"/>
        </w:rPr>
        <w:t>Phenols</w:t>
      </w:r>
      <w:r w:rsidR="00701057" w:rsidRPr="00FE5B3A">
        <w:rPr>
          <w:sz w:val="24"/>
          <w:szCs w:val="24"/>
        </w:rPr>
        <w:t xml:space="preserve"> appear to be predominantly responsible for the antimicrobial activity of essential oils (Bassolé and Juliani 2012). Cinnamaldehyde confers the majority of activity to cinnamon oils. Thyme and oregano are bactericidal due to high concentrations of thymol and carvacrol, and eugenol is attributed with the </w:t>
      </w:r>
      <w:r w:rsidR="000C06F5">
        <w:rPr>
          <w:sz w:val="24"/>
          <w:szCs w:val="24"/>
        </w:rPr>
        <w:t>antimicrobial</w:t>
      </w:r>
      <w:r w:rsidR="00701057" w:rsidRPr="00FE5B3A">
        <w:rPr>
          <w:sz w:val="24"/>
          <w:szCs w:val="24"/>
        </w:rPr>
        <w:t xml:space="preserve"> activity in clove oils (Martínez-Tomé </w:t>
      </w:r>
      <w:r w:rsidR="00701057" w:rsidRPr="00FE5B3A">
        <w:rPr>
          <w:sz w:val="24"/>
          <w:szCs w:val="24"/>
        </w:rPr>
        <w:lastRenderedPageBreak/>
        <w:t>and others 2001; Alma and others 2007).</w:t>
      </w:r>
      <w:r w:rsidR="004D2AB1">
        <w:rPr>
          <w:sz w:val="24"/>
          <w:szCs w:val="24"/>
        </w:rPr>
        <w:t xml:space="preserve"> </w:t>
      </w:r>
      <w:r w:rsidR="00701057" w:rsidRPr="00FE5B3A">
        <w:rPr>
          <w:sz w:val="24"/>
          <w:szCs w:val="24"/>
        </w:rPr>
        <w:t>The utilization of individual volatile oil components has the distinct advantage of uniformity over the whole essential oils. Oil composition varies according to a myriad of factors, including harvest season, geographic location and extraction method. For instance, clove bud oil harvested in Cuba contained 69.8% eugenol, while eugenyl acetate and β-caryophyllene comprised 16.1% and 13.0% of the essential oil, respectively (Pino and others 2001). Turkish clove bud oil contained similar quantities of eugenyl acetate and β-caryophyllene with 15% and</w:t>
      </w:r>
      <w:r w:rsidR="00701057" w:rsidRPr="00701057">
        <w:rPr>
          <w:sz w:val="24"/>
          <w:szCs w:val="24"/>
        </w:rPr>
        <w:t xml:space="preserve"> 5-12%, respectively, but anywhere from 80-90% eugenol (Alma and others 2007). Incorporating essential oil components as a supplementary hurdle within a series of food preservative techniques allows for greater control and uniformity in antimicrobial efficacy when juxtaposed to whole oils. </w:t>
      </w:r>
    </w:p>
    <w:p w:rsidR="00A5496F" w:rsidRDefault="00A5496F" w:rsidP="00820072">
      <w:pPr>
        <w:spacing w:line="480" w:lineRule="auto"/>
        <w:ind w:firstLine="720"/>
        <w:contextualSpacing/>
        <w:rPr>
          <w:sz w:val="24"/>
          <w:szCs w:val="24"/>
        </w:rPr>
      </w:pPr>
      <w:r>
        <w:rPr>
          <w:sz w:val="24"/>
          <w:szCs w:val="24"/>
        </w:rPr>
        <w:t>The objective of this work was to</w:t>
      </w:r>
      <w:r w:rsidR="00721273">
        <w:rPr>
          <w:sz w:val="24"/>
          <w:szCs w:val="24"/>
        </w:rPr>
        <w:t xml:space="preserve"> determine the Minimum Lethal</w:t>
      </w:r>
      <w:r>
        <w:rPr>
          <w:sz w:val="24"/>
          <w:szCs w:val="24"/>
        </w:rPr>
        <w:t xml:space="preserve"> Concentrations (MLCs) for select lactic acid bacteria when exposed to carvacrol, cinnamaldehyde, eugenol, and thymol in a broth system over 72 h.  This information will help food </w:t>
      </w:r>
      <w:r w:rsidR="004E30B1">
        <w:rPr>
          <w:sz w:val="24"/>
          <w:szCs w:val="24"/>
        </w:rPr>
        <w:t xml:space="preserve">processors </w:t>
      </w:r>
      <w:r>
        <w:rPr>
          <w:sz w:val="24"/>
          <w:szCs w:val="24"/>
        </w:rPr>
        <w:t xml:space="preserve">assess what concentrations may be needed to inactivate these organisms in a food system. </w:t>
      </w:r>
    </w:p>
    <w:p w:rsidR="000A1FA6" w:rsidRPr="000A1FA6" w:rsidRDefault="000A1FA6" w:rsidP="00251118">
      <w:pPr>
        <w:pStyle w:val="Heading2"/>
        <w:spacing w:line="480" w:lineRule="auto"/>
        <w:rPr>
          <w:rFonts w:asciiTheme="minorHAnsi" w:hAnsiTheme="minorHAnsi"/>
          <w:color w:val="auto"/>
          <w:sz w:val="24"/>
          <w:szCs w:val="24"/>
        </w:rPr>
      </w:pPr>
      <w:bookmarkStart w:id="27" w:name="_Toc364366594"/>
      <w:r w:rsidRPr="000A1FA6">
        <w:rPr>
          <w:rFonts w:asciiTheme="minorHAnsi" w:hAnsiTheme="minorHAnsi"/>
          <w:color w:val="auto"/>
          <w:sz w:val="24"/>
          <w:szCs w:val="24"/>
        </w:rPr>
        <w:t>Materials and Methods</w:t>
      </w:r>
      <w:bookmarkEnd w:id="27"/>
    </w:p>
    <w:p w:rsidR="00701057" w:rsidRPr="00701057" w:rsidRDefault="00E7628B" w:rsidP="00251118">
      <w:pPr>
        <w:spacing w:line="480" w:lineRule="auto"/>
        <w:ind w:firstLine="720"/>
        <w:contextualSpacing/>
        <w:rPr>
          <w:sz w:val="24"/>
          <w:szCs w:val="24"/>
        </w:rPr>
      </w:pPr>
      <w:r w:rsidRPr="00E7628B">
        <w:rPr>
          <w:i/>
          <w:sz w:val="24"/>
          <w:szCs w:val="24"/>
        </w:rPr>
        <w:t xml:space="preserve">In vitro </w:t>
      </w:r>
      <w:r w:rsidR="00701057" w:rsidRPr="00701057">
        <w:rPr>
          <w:sz w:val="24"/>
          <w:szCs w:val="24"/>
        </w:rPr>
        <w:t>examination of the bactericidal effects of carvacrol, cinnamaldehyde, eugenol and thymol (Sigma, St. Louis, MO) occurred against three genus of lactic acid bacteria</w:t>
      </w:r>
      <w:r w:rsidR="00193625">
        <w:rPr>
          <w:sz w:val="24"/>
          <w:szCs w:val="24"/>
        </w:rPr>
        <w:t xml:space="preserve"> (LAB)</w:t>
      </w:r>
      <w:r w:rsidR="00701057" w:rsidRPr="00701057">
        <w:rPr>
          <w:sz w:val="24"/>
          <w:szCs w:val="24"/>
        </w:rPr>
        <w:t xml:space="preserve">; </w:t>
      </w:r>
      <w:r w:rsidR="00DB0605" w:rsidRPr="00DB0605">
        <w:rPr>
          <w:i/>
          <w:sz w:val="24"/>
          <w:szCs w:val="24"/>
        </w:rPr>
        <w:t xml:space="preserve">Pediococcus </w:t>
      </w:r>
      <w:r w:rsidR="006F4759">
        <w:rPr>
          <w:i/>
          <w:sz w:val="24"/>
          <w:szCs w:val="24"/>
        </w:rPr>
        <w:t>acidilactici</w:t>
      </w:r>
      <w:r w:rsidR="00701057" w:rsidRPr="00701057">
        <w:rPr>
          <w:sz w:val="24"/>
          <w:szCs w:val="24"/>
        </w:rPr>
        <w:t xml:space="preserve"> ATCC 8042, </w:t>
      </w:r>
      <w:r w:rsidR="00FD3B94" w:rsidRPr="00FD3B94">
        <w:rPr>
          <w:i/>
          <w:sz w:val="24"/>
          <w:szCs w:val="24"/>
        </w:rPr>
        <w:t>Lactobacillus buchneri</w:t>
      </w:r>
      <w:r w:rsidR="00701057" w:rsidRPr="00701057">
        <w:rPr>
          <w:sz w:val="24"/>
          <w:szCs w:val="24"/>
        </w:rPr>
        <w:t xml:space="preserve"> ATCC 9460 and </w:t>
      </w:r>
      <w:r w:rsidR="00FD3B94" w:rsidRPr="00FD3B94">
        <w:rPr>
          <w:i/>
          <w:sz w:val="24"/>
          <w:szCs w:val="24"/>
        </w:rPr>
        <w:t>Leuconostoc citrovorum</w:t>
      </w:r>
      <w:r w:rsidR="00701057" w:rsidRPr="00701057">
        <w:rPr>
          <w:sz w:val="24"/>
          <w:szCs w:val="24"/>
        </w:rPr>
        <w:t xml:space="preserve"> ATCC 23065. Antimicrobials were dissolved into 95% ethanol to create stock solutions at 50% initial co</w:t>
      </w:r>
      <w:r w:rsidR="001A3E6B">
        <w:rPr>
          <w:sz w:val="24"/>
          <w:szCs w:val="24"/>
        </w:rPr>
        <w:t xml:space="preserve">ncentration (v/v; w/v thymol). </w:t>
      </w:r>
      <w:proofErr w:type="gramStart"/>
      <w:r w:rsidR="001A3E6B">
        <w:rPr>
          <w:sz w:val="24"/>
          <w:szCs w:val="24"/>
        </w:rPr>
        <w:t>d</w:t>
      </w:r>
      <w:r w:rsidR="00701057" w:rsidRPr="00701057">
        <w:rPr>
          <w:sz w:val="24"/>
          <w:szCs w:val="24"/>
        </w:rPr>
        <w:t>e</w:t>
      </w:r>
      <w:proofErr w:type="gramEnd"/>
      <w:r w:rsidR="00701057" w:rsidRPr="00701057">
        <w:rPr>
          <w:sz w:val="24"/>
          <w:szCs w:val="24"/>
        </w:rPr>
        <w:t xml:space="preserve"> </w:t>
      </w:r>
      <w:r w:rsidR="004D2AB1">
        <w:rPr>
          <w:sz w:val="24"/>
          <w:szCs w:val="24"/>
        </w:rPr>
        <w:t>M</w:t>
      </w:r>
      <w:r w:rsidR="00701057" w:rsidRPr="00701057">
        <w:rPr>
          <w:sz w:val="24"/>
          <w:szCs w:val="24"/>
        </w:rPr>
        <w:t xml:space="preserve">an, Rogosa, Sharpe (MRS) broth (Oxoid, Basingstoke, UK) was combined with stock solution to desired essential oil concentration; 500 µL of 6 log </w:t>
      </w:r>
      <w:r w:rsidR="004E30B1">
        <w:rPr>
          <w:sz w:val="24"/>
          <w:szCs w:val="24"/>
        </w:rPr>
        <w:t>CF</w:t>
      </w:r>
      <w:r w:rsidR="00866C1D">
        <w:rPr>
          <w:sz w:val="24"/>
          <w:szCs w:val="24"/>
        </w:rPr>
        <w:t>U</w:t>
      </w:r>
      <w:r w:rsidR="00701057" w:rsidRPr="00701057">
        <w:rPr>
          <w:sz w:val="24"/>
          <w:szCs w:val="24"/>
        </w:rPr>
        <w:t xml:space="preserve">/mL culture was inoculated into 49.5 mL MRS + essential oil </w:t>
      </w:r>
      <w:r w:rsidR="00701057" w:rsidRPr="00701057">
        <w:rPr>
          <w:sz w:val="24"/>
          <w:szCs w:val="24"/>
        </w:rPr>
        <w:lastRenderedPageBreak/>
        <w:t xml:space="preserve">solution to achieve a final inoculum of 4 log </w:t>
      </w:r>
      <w:r w:rsidR="004D2AB1">
        <w:rPr>
          <w:sz w:val="24"/>
          <w:szCs w:val="24"/>
        </w:rPr>
        <w:t>CFU</w:t>
      </w:r>
      <w:r w:rsidR="00701057" w:rsidRPr="00701057">
        <w:rPr>
          <w:sz w:val="24"/>
          <w:szCs w:val="24"/>
        </w:rPr>
        <w:t>/mL</w:t>
      </w:r>
      <w:r w:rsidR="009023B0" w:rsidRPr="008F7469">
        <w:rPr>
          <w:sz w:val="24"/>
          <w:szCs w:val="24"/>
        </w:rPr>
        <w:t xml:space="preserve">. Concentrations of each antimicrobial examined in this study were determined based on minimum inhibitory concentrations from previous work and are shown in </w:t>
      </w:r>
      <w:r w:rsidR="00866C1D" w:rsidRPr="00EA783F">
        <w:rPr>
          <w:sz w:val="24"/>
          <w:szCs w:val="24"/>
        </w:rPr>
        <w:t>T</w:t>
      </w:r>
      <w:r w:rsidR="009023B0" w:rsidRPr="008F7469">
        <w:rPr>
          <w:sz w:val="24"/>
          <w:szCs w:val="24"/>
        </w:rPr>
        <w:t>able 3.1.</w:t>
      </w:r>
      <w:r w:rsidR="00701057" w:rsidRPr="00701057">
        <w:rPr>
          <w:sz w:val="24"/>
          <w:szCs w:val="24"/>
        </w:rPr>
        <w:t xml:space="preserve"> </w:t>
      </w:r>
    </w:p>
    <w:p w:rsidR="00701057" w:rsidRPr="00701057" w:rsidRDefault="00701057" w:rsidP="00820072">
      <w:pPr>
        <w:spacing w:line="480" w:lineRule="auto"/>
        <w:ind w:firstLine="720"/>
        <w:contextualSpacing/>
        <w:rPr>
          <w:sz w:val="24"/>
          <w:szCs w:val="24"/>
        </w:rPr>
      </w:pPr>
      <w:r w:rsidRPr="00701057">
        <w:rPr>
          <w:sz w:val="24"/>
          <w:szCs w:val="24"/>
        </w:rPr>
        <w:t>Broth w</w:t>
      </w:r>
      <w:r w:rsidR="00866C1D">
        <w:rPr>
          <w:sz w:val="24"/>
          <w:szCs w:val="24"/>
        </w:rPr>
        <w:t>as</w:t>
      </w:r>
      <w:r w:rsidRPr="00701057">
        <w:rPr>
          <w:sz w:val="24"/>
          <w:szCs w:val="24"/>
        </w:rPr>
        <w:t xml:space="preserve"> incubated at 37°C (</w:t>
      </w:r>
      <w:r w:rsidR="00DB0605" w:rsidRPr="00DB0605">
        <w:rPr>
          <w:i/>
          <w:sz w:val="24"/>
          <w:szCs w:val="24"/>
        </w:rPr>
        <w:t xml:space="preserve">P. </w:t>
      </w:r>
      <w:r w:rsidR="006F4759">
        <w:rPr>
          <w:i/>
          <w:sz w:val="24"/>
          <w:szCs w:val="24"/>
        </w:rPr>
        <w:t>acidilactici</w:t>
      </w:r>
      <w:r w:rsidRPr="00701057">
        <w:rPr>
          <w:sz w:val="24"/>
          <w:szCs w:val="24"/>
        </w:rPr>
        <w:t xml:space="preserve"> and </w:t>
      </w:r>
      <w:r w:rsidR="00FD3B94" w:rsidRPr="00FD3B94">
        <w:rPr>
          <w:i/>
          <w:sz w:val="24"/>
          <w:szCs w:val="24"/>
        </w:rPr>
        <w:t>L. buchneri</w:t>
      </w:r>
      <w:r w:rsidRPr="00701057">
        <w:rPr>
          <w:sz w:val="24"/>
          <w:szCs w:val="24"/>
        </w:rPr>
        <w:t>) or 30°C (</w:t>
      </w:r>
      <w:r w:rsidR="00FD3B94" w:rsidRPr="00FD3B94">
        <w:rPr>
          <w:i/>
          <w:sz w:val="24"/>
          <w:szCs w:val="24"/>
        </w:rPr>
        <w:t>L. citrovorum</w:t>
      </w:r>
      <w:r w:rsidRPr="00701057">
        <w:rPr>
          <w:sz w:val="24"/>
          <w:szCs w:val="24"/>
        </w:rPr>
        <w:t>)</w:t>
      </w:r>
      <w:r w:rsidR="004D2AB1">
        <w:rPr>
          <w:sz w:val="24"/>
          <w:szCs w:val="24"/>
        </w:rPr>
        <w:t xml:space="preserve"> according to recommended culture conditions</w:t>
      </w:r>
      <w:r w:rsidR="00EA783F">
        <w:rPr>
          <w:sz w:val="24"/>
          <w:szCs w:val="24"/>
        </w:rPr>
        <w:t xml:space="preserve"> (ATCC 2012)</w:t>
      </w:r>
      <w:r w:rsidRPr="00701057">
        <w:rPr>
          <w:sz w:val="24"/>
          <w:szCs w:val="24"/>
        </w:rPr>
        <w:t xml:space="preserve">. </w:t>
      </w:r>
      <w:r w:rsidR="00193625">
        <w:rPr>
          <w:sz w:val="24"/>
          <w:szCs w:val="24"/>
        </w:rPr>
        <w:t>At 0 (immediately after exposure), 6, 12, 24, 48, and 72 h populations of each LAB were determined.  Ten-fold d</w:t>
      </w:r>
      <w:r w:rsidRPr="00701057">
        <w:rPr>
          <w:sz w:val="24"/>
          <w:szCs w:val="24"/>
        </w:rPr>
        <w:t>ilutions occurred in buffered peptone water (</w:t>
      </w:r>
      <w:r w:rsidR="00FF400C">
        <w:rPr>
          <w:sz w:val="24"/>
          <w:szCs w:val="24"/>
        </w:rPr>
        <w:t>Oxoid, Basingstoke, UK</w:t>
      </w:r>
      <w:r w:rsidRPr="00701057">
        <w:rPr>
          <w:sz w:val="24"/>
          <w:szCs w:val="24"/>
        </w:rPr>
        <w:t>) and spiral plated</w:t>
      </w:r>
      <w:r w:rsidR="00193625">
        <w:rPr>
          <w:sz w:val="24"/>
          <w:szCs w:val="24"/>
        </w:rPr>
        <w:t xml:space="preserve"> (WASP; Don Whitley Scientific, West Yorkshire, UK) on MRS agar in duplicate</w:t>
      </w:r>
      <w:r w:rsidRPr="00701057">
        <w:rPr>
          <w:sz w:val="24"/>
          <w:szCs w:val="24"/>
        </w:rPr>
        <w:t xml:space="preserve">. Anaerobic incubation </w:t>
      </w:r>
      <w:r w:rsidR="00866C1D">
        <w:rPr>
          <w:sz w:val="24"/>
          <w:szCs w:val="24"/>
        </w:rPr>
        <w:t>was achieved</w:t>
      </w:r>
      <w:r w:rsidR="00866C1D" w:rsidRPr="00701057">
        <w:rPr>
          <w:sz w:val="24"/>
          <w:szCs w:val="24"/>
        </w:rPr>
        <w:t xml:space="preserve"> </w:t>
      </w:r>
      <w:r w:rsidRPr="00701057">
        <w:rPr>
          <w:sz w:val="24"/>
          <w:szCs w:val="24"/>
        </w:rPr>
        <w:t xml:space="preserve">using </w:t>
      </w:r>
      <w:r w:rsidR="00FF400C">
        <w:rPr>
          <w:sz w:val="24"/>
          <w:szCs w:val="24"/>
        </w:rPr>
        <w:t>anaerobe sachets</w:t>
      </w:r>
      <w:r w:rsidRPr="00701057">
        <w:rPr>
          <w:sz w:val="24"/>
          <w:szCs w:val="24"/>
        </w:rPr>
        <w:t xml:space="preserve"> (</w:t>
      </w:r>
      <w:r w:rsidR="00FF400C" w:rsidRPr="00FF400C">
        <w:rPr>
          <w:sz w:val="24"/>
          <w:szCs w:val="24"/>
        </w:rPr>
        <w:t>Becton, Dickinson and Company</w:t>
      </w:r>
      <w:r w:rsidR="00FF400C">
        <w:rPr>
          <w:sz w:val="24"/>
          <w:szCs w:val="24"/>
        </w:rPr>
        <w:t>, Sparks, Maryland</w:t>
      </w:r>
      <w:r w:rsidRPr="00701057">
        <w:rPr>
          <w:sz w:val="24"/>
          <w:szCs w:val="24"/>
        </w:rPr>
        <w:t>)</w:t>
      </w:r>
      <w:r w:rsidR="00193625">
        <w:rPr>
          <w:sz w:val="24"/>
          <w:szCs w:val="24"/>
        </w:rPr>
        <w:t xml:space="preserve"> </w:t>
      </w:r>
      <w:r w:rsidRPr="00701057">
        <w:rPr>
          <w:sz w:val="24"/>
          <w:szCs w:val="24"/>
        </w:rPr>
        <w:t xml:space="preserve">for </w:t>
      </w:r>
      <w:r w:rsidR="00DB0605" w:rsidRPr="00DB0605">
        <w:rPr>
          <w:i/>
          <w:sz w:val="24"/>
          <w:szCs w:val="24"/>
        </w:rPr>
        <w:t xml:space="preserve">P. </w:t>
      </w:r>
      <w:r w:rsidR="006F4759">
        <w:rPr>
          <w:i/>
          <w:sz w:val="24"/>
          <w:szCs w:val="24"/>
        </w:rPr>
        <w:t>acidilactici</w:t>
      </w:r>
      <w:r w:rsidRPr="00701057">
        <w:rPr>
          <w:sz w:val="24"/>
          <w:szCs w:val="24"/>
        </w:rPr>
        <w:t xml:space="preserve"> and </w:t>
      </w:r>
      <w:r w:rsidR="00FD3B94" w:rsidRPr="00FD3B94">
        <w:rPr>
          <w:i/>
          <w:sz w:val="24"/>
          <w:szCs w:val="24"/>
        </w:rPr>
        <w:t>L. buchneri</w:t>
      </w:r>
      <w:r w:rsidR="00866C1D">
        <w:rPr>
          <w:sz w:val="24"/>
          <w:szCs w:val="24"/>
        </w:rPr>
        <w:t xml:space="preserve">. </w:t>
      </w:r>
      <w:r w:rsidR="00FD3B94" w:rsidRPr="00FD3B94">
        <w:rPr>
          <w:i/>
          <w:sz w:val="24"/>
          <w:szCs w:val="24"/>
        </w:rPr>
        <w:t>L. citrovorum</w:t>
      </w:r>
      <w:r w:rsidR="00866C1D">
        <w:rPr>
          <w:sz w:val="24"/>
          <w:szCs w:val="24"/>
        </w:rPr>
        <w:t xml:space="preserve"> was incubated aerobically</w:t>
      </w:r>
      <w:r w:rsidRPr="00701057">
        <w:rPr>
          <w:sz w:val="24"/>
          <w:szCs w:val="24"/>
        </w:rPr>
        <w:t>. Plate</w:t>
      </w:r>
      <w:r w:rsidR="00455A7B">
        <w:rPr>
          <w:sz w:val="24"/>
          <w:szCs w:val="24"/>
        </w:rPr>
        <w:t xml:space="preserve">s were incubated for </w:t>
      </w:r>
      <w:r w:rsidRPr="00701057">
        <w:rPr>
          <w:sz w:val="24"/>
          <w:szCs w:val="24"/>
        </w:rPr>
        <w:t xml:space="preserve">24 </w:t>
      </w:r>
      <w:r w:rsidR="00866C1D">
        <w:rPr>
          <w:sz w:val="24"/>
          <w:szCs w:val="24"/>
        </w:rPr>
        <w:t>h</w:t>
      </w:r>
      <w:r w:rsidR="00455A7B" w:rsidRPr="00701057">
        <w:rPr>
          <w:sz w:val="24"/>
          <w:szCs w:val="24"/>
        </w:rPr>
        <w:t xml:space="preserve"> </w:t>
      </w:r>
      <w:r w:rsidRPr="00701057">
        <w:rPr>
          <w:sz w:val="24"/>
          <w:szCs w:val="24"/>
        </w:rPr>
        <w:t xml:space="preserve">for </w:t>
      </w:r>
      <w:r w:rsidR="00DB0605" w:rsidRPr="00DB0605">
        <w:rPr>
          <w:i/>
          <w:sz w:val="24"/>
          <w:szCs w:val="24"/>
        </w:rPr>
        <w:t xml:space="preserve">P. </w:t>
      </w:r>
      <w:r w:rsidR="006F4759">
        <w:rPr>
          <w:i/>
          <w:sz w:val="24"/>
          <w:szCs w:val="24"/>
        </w:rPr>
        <w:t>acidilactici</w:t>
      </w:r>
      <w:r w:rsidRPr="00701057">
        <w:rPr>
          <w:sz w:val="24"/>
          <w:szCs w:val="24"/>
        </w:rPr>
        <w:t xml:space="preserve"> and </w:t>
      </w:r>
      <w:r w:rsidR="00FD3B94" w:rsidRPr="00FD3B94">
        <w:rPr>
          <w:i/>
          <w:sz w:val="24"/>
          <w:szCs w:val="24"/>
        </w:rPr>
        <w:t>L. citrovorum</w:t>
      </w:r>
      <w:r w:rsidRPr="00701057">
        <w:rPr>
          <w:sz w:val="24"/>
          <w:szCs w:val="24"/>
        </w:rPr>
        <w:t xml:space="preserve"> and while </w:t>
      </w:r>
      <w:r w:rsidR="00FD3B94" w:rsidRPr="00FD3B94">
        <w:rPr>
          <w:i/>
          <w:sz w:val="24"/>
          <w:szCs w:val="24"/>
        </w:rPr>
        <w:t>L. buchneri</w:t>
      </w:r>
      <w:r w:rsidRPr="00701057">
        <w:rPr>
          <w:sz w:val="24"/>
          <w:szCs w:val="24"/>
        </w:rPr>
        <w:t xml:space="preserve"> required a 48 </w:t>
      </w:r>
      <w:r w:rsidR="00866C1D">
        <w:rPr>
          <w:sz w:val="24"/>
          <w:szCs w:val="24"/>
        </w:rPr>
        <w:t>h</w:t>
      </w:r>
      <w:r w:rsidR="00455A7B" w:rsidRPr="00701057">
        <w:rPr>
          <w:sz w:val="24"/>
          <w:szCs w:val="24"/>
        </w:rPr>
        <w:t xml:space="preserve"> </w:t>
      </w:r>
      <w:r w:rsidRPr="00701057">
        <w:rPr>
          <w:sz w:val="24"/>
          <w:szCs w:val="24"/>
        </w:rPr>
        <w:t>incubation.</w:t>
      </w:r>
    </w:p>
    <w:p w:rsidR="00701057" w:rsidRPr="00701057" w:rsidRDefault="0059461D" w:rsidP="0059461D">
      <w:pPr>
        <w:spacing w:line="480" w:lineRule="auto"/>
        <w:ind w:firstLine="720"/>
        <w:contextualSpacing/>
        <w:rPr>
          <w:sz w:val="24"/>
          <w:szCs w:val="24"/>
        </w:rPr>
      </w:pPr>
      <w:r>
        <w:rPr>
          <w:sz w:val="24"/>
          <w:szCs w:val="24"/>
        </w:rPr>
        <w:t xml:space="preserve">Analysis of variance was used to determine statistical differences among species within each examined antimicrobial concentration. </w:t>
      </w:r>
      <w:r w:rsidR="00701057" w:rsidRPr="00701057">
        <w:rPr>
          <w:sz w:val="24"/>
          <w:szCs w:val="24"/>
        </w:rPr>
        <w:t>Statistical analysis was accomplished</w:t>
      </w:r>
      <w:r w:rsidR="008004FD">
        <w:rPr>
          <w:sz w:val="24"/>
          <w:szCs w:val="24"/>
        </w:rPr>
        <w:t xml:space="preserve"> with the mixed models procedure (PROC MIXED)</w:t>
      </w:r>
      <w:r w:rsidR="00701057" w:rsidRPr="00701057">
        <w:rPr>
          <w:sz w:val="24"/>
          <w:szCs w:val="24"/>
        </w:rPr>
        <w:t xml:space="preserve"> using SAS 9.3</w:t>
      </w:r>
      <w:r w:rsidR="008004FD">
        <w:rPr>
          <w:sz w:val="24"/>
          <w:szCs w:val="24"/>
        </w:rPr>
        <w:t xml:space="preserve"> (SAS Institute Inc</w:t>
      </w:r>
      <w:r>
        <w:rPr>
          <w:sz w:val="24"/>
          <w:szCs w:val="24"/>
        </w:rPr>
        <w:t>; Cary, NC) with significance set at p&lt;0.05.</w:t>
      </w:r>
      <w:r w:rsidR="008F2970">
        <w:rPr>
          <w:sz w:val="24"/>
          <w:szCs w:val="24"/>
        </w:rPr>
        <w:t xml:space="preserve"> </w:t>
      </w:r>
      <w:r w:rsidR="00BC6815">
        <w:rPr>
          <w:sz w:val="24"/>
          <w:szCs w:val="24"/>
        </w:rPr>
        <w:t xml:space="preserve">Three replicates </w:t>
      </w:r>
      <w:r>
        <w:rPr>
          <w:sz w:val="24"/>
          <w:szCs w:val="24"/>
        </w:rPr>
        <w:t xml:space="preserve">of each species against each antimicrobial concentration </w:t>
      </w:r>
      <w:r w:rsidR="00BC6815">
        <w:rPr>
          <w:sz w:val="24"/>
          <w:szCs w:val="24"/>
        </w:rPr>
        <w:t xml:space="preserve">were </w:t>
      </w:r>
      <w:r>
        <w:rPr>
          <w:sz w:val="24"/>
          <w:szCs w:val="24"/>
        </w:rPr>
        <w:t>analyzed with</w:t>
      </w:r>
      <w:r w:rsidR="00BC6815">
        <w:rPr>
          <w:sz w:val="24"/>
          <w:szCs w:val="24"/>
        </w:rPr>
        <w:t xml:space="preserve"> sampling occurring in triplicate (n=9).</w:t>
      </w:r>
    </w:p>
    <w:p w:rsidR="00701057" w:rsidRPr="000A1FA6" w:rsidRDefault="00701057" w:rsidP="00A13657">
      <w:pPr>
        <w:pStyle w:val="Heading2"/>
        <w:spacing w:line="480" w:lineRule="auto"/>
        <w:rPr>
          <w:rFonts w:asciiTheme="minorHAnsi" w:hAnsiTheme="minorHAnsi"/>
          <w:color w:val="auto"/>
          <w:sz w:val="24"/>
          <w:szCs w:val="24"/>
        </w:rPr>
      </w:pPr>
      <w:bookmarkStart w:id="28" w:name="_Toc364366595"/>
      <w:r w:rsidRPr="000A1FA6">
        <w:rPr>
          <w:rFonts w:asciiTheme="minorHAnsi" w:hAnsiTheme="minorHAnsi"/>
          <w:color w:val="auto"/>
          <w:sz w:val="24"/>
          <w:szCs w:val="24"/>
        </w:rPr>
        <w:t>Results</w:t>
      </w:r>
      <w:r w:rsidR="00A01793">
        <w:rPr>
          <w:rFonts w:asciiTheme="minorHAnsi" w:hAnsiTheme="minorHAnsi"/>
          <w:color w:val="auto"/>
          <w:sz w:val="24"/>
          <w:szCs w:val="24"/>
        </w:rPr>
        <w:t xml:space="preserve"> and Discussion</w:t>
      </w:r>
      <w:bookmarkEnd w:id="28"/>
    </w:p>
    <w:p w:rsidR="00701057" w:rsidRPr="00701057" w:rsidRDefault="00701057" w:rsidP="00A13657">
      <w:pPr>
        <w:spacing w:line="480" w:lineRule="auto"/>
        <w:ind w:firstLine="720"/>
        <w:contextualSpacing/>
        <w:rPr>
          <w:sz w:val="24"/>
          <w:szCs w:val="24"/>
        </w:rPr>
      </w:pPr>
      <w:r w:rsidRPr="00701057">
        <w:rPr>
          <w:sz w:val="24"/>
          <w:szCs w:val="24"/>
        </w:rPr>
        <w:t xml:space="preserve">As would be expected, the three LAB species examined varied in their sensitivity to essential oil exposure. </w:t>
      </w:r>
      <w:r w:rsidR="00463A64" w:rsidRPr="00463A64">
        <w:rPr>
          <w:i/>
          <w:sz w:val="24"/>
          <w:szCs w:val="24"/>
        </w:rPr>
        <w:t>L. citrovorum</w:t>
      </w:r>
      <w:r w:rsidR="00463A64">
        <w:rPr>
          <w:sz w:val="24"/>
          <w:szCs w:val="24"/>
        </w:rPr>
        <w:t xml:space="preserve"> and </w:t>
      </w:r>
      <w:r w:rsidR="00463A64" w:rsidRPr="00463A64">
        <w:rPr>
          <w:i/>
          <w:sz w:val="24"/>
          <w:szCs w:val="24"/>
        </w:rPr>
        <w:t>P. acidilactici</w:t>
      </w:r>
      <w:r w:rsidR="00463A64">
        <w:rPr>
          <w:sz w:val="24"/>
          <w:szCs w:val="24"/>
        </w:rPr>
        <w:t xml:space="preserve"> were initially inhibited by 0.5%</w:t>
      </w:r>
      <w:r w:rsidR="008552D4">
        <w:rPr>
          <w:sz w:val="24"/>
          <w:szCs w:val="24"/>
        </w:rPr>
        <w:t xml:space="preserve"> (w/v)</w:t>
      </w:r>
      <w:r w:rsidR="00463A64">
        <w:rPr>
          <w:sz w:val="24"/>
          <w:szCs w:val="24"/>
        </w:rPr>
        <w:t xml:space="preserve"> thymol, but had recovered to approximately 5 and 6 log CFU/mL by 72</w:t>
      </w:r>
      <w:r w:rsidR="008552D4">
        <w:rPr>
          <w:sz w:val="24"/>
          <w:szCs w:val="24"/>
        </w:rPr>
        <w:t xml:space="preserve"> hours, respectively (Figure 3.1a and b</w:t>
      </w:r>
      <w:r w:rsidR="00463A64">
        <w:rPr>
          <w:sz w:val="24"/>
          <w:szCs w:val="24"/>
        </w:rPr>
        <w:t xml:space="preserve">) </w:t>
      </w:r>
      <w:r w:rsidR="00BC6815">
        <w:rPr>
          <w:sz w:val="24"/>
          <w:szCs w:val="24"/>
        </w:rPr>
        <w:t xml:space="preserve">All three species behaved statistically differently at a concentration of 0.1% thymol after exposure for 72 </w:t>
      </w:r>
      <w:r w:rsidR="00866C1D">
        <w:rPr>
          <w:sz w:val="24"/>
          <w:szCs w:val="24"/>
        </w:rPr>
        <w:t>h</w:t>
      </w:r>
      <w:r w:rsidR="00BC6815">
        <w:rPr>
          <w:sz w:val="24"/>
          <w:szCs w:val="24"/>
        </w:rPr>
        <w:t xml:space="preserve"> (p&lt;0.05).</w:t>
      </w:r>
      <w:r w:rsidRPr="00701057">
        <w:rPr>
          <w:sz w:val="24"/>
          <w:szCs w:val="24"/>
        </w:rPr>
        <w:t xml:space="preserve"> </w:t>
      </w:r>
      <w:r w:rsidR="00AF2BEA">
        <w:rPr>
          <w:sz w:val="24"/>
          <w:szCs w:val="24"/>
        </w:rPr>
        <w:t xml:space="preserve">As can be seen in </w:t>
      </w:r>
      <w:r w:rsidR="004103BF">
        <w:rPr>
          <w:sz w:val="24"/>
          <w:szCs w:val="24"/>
        </w:rPr>
        <w:t>F</w:t>
      </w:r>
      <w:r w:rsidR="00AF2BEA">
        <w:rPr>
          <w:sz w:val="24"/>
          <w:szCs w:val="24"/>
        </w:rPr>
        <w:t>igure 3.</w:t>
      </w:r>
      <w:r w:rsidR="005C4FA0">
        <w:rPr>
          <w:sz w:val="24"/>
          <w:szCs w:val="24"/>
        </w:rPr>
        <w:t>1</w:t>
      </w:r>
      <w:r w:rsidR="00AF2BEA">
        <w:rPr>
          <w:sz w:val="24"/>
          <w:szCs w:val="24"/>
        </w:rPr>
        <w:t xml:space="preserve">, </w:t>
      </w:r>
      <w:r w:rsidR="00FD3B94" w:rsidRPr="00FD3B94">
        <w:rPr>
          <w:i/>
          <w:sz w:val="24"/>
          <w:szCs w:val="24"/>
        </w:rPr>
        <w:t>L. citrovorum</w:t>
      </w:r>
      <w:r w:rsidRPr="00701057">
        <w:rPr>
          <w:sz w:val="24"/>
          <w:szCs w:val="24"/>
        </w:rPr>
        <w:t xml:space="preserve"> </w:t>
      </w:r>
      <w:r w:rsidR="00455A7B">
        <w:rPr>
          <w:sz w:val="24"/>
          <w:szCs w:val="24"/>
        </w:rPr>
        <w:t xml:space="preserve">populations </w:t>
      </w:r>
      <w:r w:rsidR="00455A7B">
        <w:rPr>
          <w:sz w:val="24"/>
          <w:szCs w:val="24"/>
        </w:rPr>
        <w:lastRenderedPageBreak/>
        <w:t>were below the limit of detection (</w:t>
      </w:r>
      <w:r w:rsidR="00463A64">
        <w:rPr>
          <w:sz w:val="24"/>
          <w:szCs w:val="24"/>
        </w:rPr>
        <w:t>0.95</w:t>
      </w:r>
      <w:r w:rsidR="00455A7B">
        <w:rPr>
          <w:sz w:val="24"/>
          <w:szCs w:val="24"/>
        </w:rPr>
        <w:t xml:space="preserve"> </w:t>
      </w:r>
      <w:proofErr w:type="gramStart"/>
      <w:r w:rsidR="00455A7B">
        <w:rPr>
          <w:sz w:val="24"/>
          <w:szCs w:val="24"/>
        </w:rPr>
        <w:t>log</w:t>
      </w:r>
      <w:proofErr w:type="gramEnd"/>
      <w:r w:rsidR="00455A7B">
        <w:rPr>
          <w:sz w:val="24"/>
          <w:szCs w:val="24"/>
        </w:rPr>
        <w:t xml:space="preserve"> CFU/mL) </w:t>
      </w:r>
      <w:r w:rsidRPr="00701057">
        <w:rPr>
          <w:sz w:val="24"/>
          <w:szCs w:val="24"/>
        </w:rPr>
        <w:t xml:space="preserve">after exposure for 72 </w:t>
      </w:r>
      <w:r w:rsidR="00866C1D">
        <w:rPr>
          <w:sz w:val="24"/>
          <w:szCs w:val="24"/>
        </w:rPr>
        <w:t>h</w:t>
      </w:r>
      <w:r w:rsidR="00BC6815">
        <w:rPr>
          <w:sz w:val="24"/>
          <w:szCs w:val="24"/>
        </w:rPr>
        <w:t>, while</w:t>
      </w:r>
      <w:r w:rsidRPr="00701057">
        <w:rPr>
          <w:sz w:val="24"/>
          <w:szCs w:val="24"/>
        </w:rPr>
        <w:t xml:space="preserve"> </w:t>
      </w:r>
      <w:r w:rsidR="00DB0605" w:rsidRPr="00DB0605">
        <w:rPr>
          <w:i/>
          <w:sz w:val="24"/>
          <w:szCs w:val="24"/>
        </w:rPr>
        <w:t>P. acidilactic</w:t>
      </w:r>
      <w:r w:rsidR="008D73DF" w:rsidRPr="008D73DF">
        <w:rPr>
          <w:i/>
          <w:sz w:val="24"/>
          <w:szCs w:val="24"/>
        </w:rPr>
        <w:t>i</w:t>
      </w:r>
      <w:r w:rsidRPr="00701057">
        <w:rPr>
          <w:sz w:val="24"/>
          <w:szCs w:val="24"/>
        </w:rPr>
        <w:t xml:space="preserve"> </w:t>
      </w:r>
      <w:r w:rsidR="00BC6815">
        <w:rPr>
          <w:sz w:val="24"/>
          <w:szCs w:val="24"/>
        </w:rPr>
        <w:t xml:space="preserve">initially </w:t>
      </w:r>
      <w:r w:rsidRPr="00701057">
        <w:rPr>
          <w:sz w:val="24"/>
          <w:szCs w:val="24"/>
        </w:rPr>
        <w:t xml:space="preserve">experienced a 3 log CFU/mL reduction starting at hour 6 </w:t>
      </w:r>
      <w:r w:rsidR="00BC6815">
        <w:rPr>
          <w:sz w:val="24"/>
          <w:szCs w:val="24"/>
        </w:rPr>
        <w:t>but had recovered by hour</w:t>
      </w:r>
      <w:r w:rsidRPr="00701057">
        <w:rPr>
          <w:sz w:val="24"/>
          <w:szCs w:val="24"/>
        </w:rPr>
        <w:t xml:space="preserve"> 72</w:t>
      </w:r>
      <w:r w:rsidR="00BC6815">
        <w:rPr>
          <w:sz w:val="24"/>
          <w:szCs w:val="24"/>
        </w:rPr>
        <w:t xml:space="preserve"> to the initial inoculum level </w:t>
      </w:r>
      <w:r w:rsidRPr="00701057">
        <w:rPr>
          <w:sz w:val="24"/>
          <w:szCs w:val="24"/>
        </w:rPr>
        <w:t xml:space="preserve">of 4 log CFU/mL. A 2 log CFU/mL reduction was evident for </w:t>
      </w:r>
      <w:r w:rsidR="00FD3B94" w:rsidRPr="00FD3B94">
        <w:rPr>
          <w:i/>
          <w:sz w:val="24"/>
          <w:szCs w:val="24"/>
        </w:rPr>
        <w:t>L. buchneri</w:t>
      </w:r>
      <w:r w:rsidRPr="00701057">
        <w:rPr>
          <w:sz w:val="24"/>
          <w:szCs w:val="24"/>
        </w:rPr>
        <w:t xml:space="preserve"> after 24 </w:t>
      </w:r>
      <w:r w:rsidR="00806BB4">
        <w:rPr>
          <w:sz w:val="24"/>
          <w:szCs w:val="24"/>
        </w:rPr>
        <w:t>h</w:t>
      </w:r>
      <w:r w:rsidRPr="00701057">
        <w:rPr>
          <w:sz w:val="24"/>
          <w:szCs w:val="24"/>
        </w:rPr>
        <w:t xml:space="preserve"> and continu</w:t>
      </w:r>
      <w:r w:rsidR="00AF2BEA">
        <w:rPr>
          <w:sz w:val="24"/>
          <w:szCs w:val="24"/>
        </w:rPr>
        <w:t>ed</w:t>
      </w:r>
      <w:r w:rsidR="00DD547B">
        <w:rPr>
          <w:sz w:val="24"/>
          <w:szCs w:val="24"/>
        </w:rPr>
        <w:t xml:space="preserve"> through 72 h</w:t>
      </w:r>
      <w:r w:rsidRPr="00701057">
        <w:rPr>
          <w:sz w:val="24"/>
          <w:szCs w:val="24"/>
        </w:rPr>
        <w:t xml:space="preserve"> sampling</w:t>
      </w:r>
      <w:r w:rsidR="00AF2BEA">
        <w:rPr>
          <w:sz w:val="24"/>
          <w:szCs w:val="24"/>
        </w:rPr>
        <w:t xml:space="preserve"> at 0.1% thymol (</w:t>
      </w:r>
      <w:r w:rsidR="00DD547B">
        <w:rPr>
          <w:sz w:val="24"/>
          <w:szCs w:val="24"/>
        </w:rPr>
        <w:t>Figure 3.1c</w:t>
      </w:r>
      <w:r w:rsidR="00AF2BEA">
        <w:rPr>
          <w:sz w:val="24"/>
          <w:szCs w:val="24"/>
        </w:rPr>
        <w:t>)</w:t>
      </w:r>
      <w:r w:rsidRPr="00701057">
        <w:rPr>
          <w:sz w:val="24"/>
          <w:szCs w:val="24"/>
        </w:rPr>
        <w:t xml:space="preserve">. </w:t>
      </w:r>
      <w:r w:rsidR="00FD3B94" w:rsidRPr="00FD3B94">
        <w:rPr>
          <w:i/>
          <w:sz w:val="24"/>
          <w:szCs w:val="24"/>
        </w:rPr>
        <w:t>L. buchneri</w:t>
      </w:r>
      <w:r w:rsidRPr="00701057">
        <w:rPr>
          <w:sz w:val="24"/>
          <w:szCs w:val="24"/>
        </w:rPr>
        <w:t xml:space="preserve"> was </w:t>
      </w:r>
      <w:r w:rsidR="00AF2BEA">
        <w:rPr>
          <w:sz w:val="24"/>
          <w:szCs w:val="24"/>
        </w:rPr>
        <w:t xml:space="preserve">additionally </w:t>
      </w:r>
      <w:r w:rsidRPr="00701057">
        <w:rPr>
          <w:sz w:val="24"/>
          <w:szCs w:val="24"/>
        </w:rPr>
        <w:t>exposed to 0.2% (w/v) thymol, which resulted in almost instantaneous lethality as no viable colonies were recovered immediately after inoculation</w:t>
      </w:r>
      <w:r w:rsidR="00AF2BEA">
        <w:rPr>
          <w:sz w:val="24"/>
          <w:szCs w:val="24"/>
        </w:rPr>
        <w:t xml:space="preserve"> </w:t>
      </w:r>
      <w:r w:rsidR="00DD547B">
        <w:rPr>
          <w:sz w:val="24"/>
          <w:szCs w:val="24"/>
        </w:rPr>
        <w:t xml:space="preserve">and throughout the remainder of the study </w:t>
      </w:r>
      <w:r w:rsidR="00AF2BEA">
        <w:rPr>
          <w:sz w:val="24"/>
          <w:szCs w:val="24"/>
        </w:rPr>
        <w:t>(</w:t>
      </w:r>
      <w:r w:rsidR="00463A64">
        <w:rPr>
          <w:sz w:val="24"/>
          <w:szCs w:val="24"/>
        </w:rPr>
        <w:t>F</w:t>
      </w:r>
      <w:r w:rsidR="00AF2BEA">
        <w:rPr>
          <w:sz w:val="24"/>
          <w:szCs w:val="24"/>
        </w:rPr>
        <w:t>igure 3.</w:t>
      </w:r>
      <w:r w:rsidR="00DD547B">
        <w:rPr>
          <w:sz w:val="24"/>
          <w:szCs w:val="24"/>
        </w:rPr>
        <w:t>1c</w:t>
      </w:r>
      <w:r w:rsidR="00AF2BEA">
        <w:rPr>
          <w:sz w:val="24"/>
          <w:szCs w:val="24"/>
        </w:rPr>
        <w:t>)</w:t>
      </w:r>
      <w:r w:rsidRPr="00701057">
        <w:rPr>
          <w:sz w:val="24"/>
          <w:szCs w:val="24"/>
        </w:rPr>
        <w:t xml:space="preserve">. </w:t>
      </w:r>
    </w:p>
    <w:p w:rsidR="00701057" w:rsidRPr="00701057" w:rsidRDefault="00701057" w:rsidP="00820072">
      <w:pPr>
        <w:spacing w:line="480" w:lineRule="auto"/>
        <w:ind w:firstLine="720"/>
        <w:contextualSpacing/>
        <w:rPr>
          <w:sz w:val="24"/>
          <w:szCs w:val="24"/>
        </w:rPr>
      </w:pPr>
      <w:r w:rsidRPr="00701057">
        <w:rPr>
          <w:sz w:val="24"/>
          <w:szCs w:val="24"/>
        </w:rPr>
        <w:t xml:space="preserve">At 0.2% (v/v) </w:t>
      </w:r>
      <w:r w:rsidR="00E67F69">
        <w:rPr>
          <w:sz w:val="24"/>
          <w:szCs w:val="24"/>
        </w:rPr>
        <w:t>cinnamaldehyde,</w:t>
      </w:r>
      <w:r w:rsidRPr="00701057">
        <w:rPr>
          <w:sz w:val="24"/>
          <w:szCs w:val="24"/>
        </w:rPr>
        <w:t xml:space="preserve"> </w:t>
      </w:r>
      <w:r w:rsidR="00FD3B94" w:rsidRPr="00FD3B94">
        <w:rPr>
          <w:i/>
          <w:sz w:val="24"/>
          <w:szCs w:val="24"/>
        </w:rPr>
        <w:t>L. citrovorum</w:t>
      </w:r>
      <w:r w:rsidRPr="00701057">
        <w:rPr>
          <w:sz w:val="24"/>
          <w:szCs w:val="24"/>
        </w:rPr>
        <w:t xml:space="preserve"> </w:t>
      </w:r>
      <w:r w:rsidR="00AF2BEA">
        <w:rPr>
          <w:sz w:val="24"/>
          <w:szCs w:val="24"/>
        </w:rPr>
        <w:t>(</w:t>
      </w:r>
      <w:r w:rsidR="004103BF">
        <w:rPr>
          <w:sz w:val="24"/>
          <w:szCs w:val="24"/>
        </w:rPr>
        <w:t>F</w:t>
      </w:r>
      <w:r w:rsidR="00AF2BEA">
        <w:rPr>
          <w:sz w:val="24"/>
          <w:szCs w:val="24"/>
        </w:rPr>
        <w:t>igure 3.</w:t>
      </w:r>
      <w:r w:rsidR="00DD547B">
        <w:rPr>
          <w:sz w:val="24"/>
          <w:szCs w:val="24"/>
        </w:rPr>
        <w:t>2a</w:t>
      </w:r>
      <w:r w:rsidR="00AF2BEA">
        <w:rPr>
          <w:sz w:val="24"/>
          <w:szCs w:val="24"/>
        </w:rPr>
        <w:t xml:space="preserve">) </w:t>
      </w:r>
      <w:r w:rsidR="00B93040">
        <w:rPr>
          <w:sz w:val="24"/>
          <w:szCs w:val="24"/>
        </w:rPr>
        <w:t xml:space="preserve">and </w:t>
      </w:r>
      <w:r w:rsidR="00B93040" w:rsidRPr="00AF2BEA">
        <w:rPr>
          <w:i/>
          <w:sz w:val="24"/>
          <w:szCs w:val="24"/>
        </w:rPr>
        <w:t>L. buchneri</w:t>
      </w:r>
      <w:r w:rsidR="00B93040">
        <w:rPr>
          <w:sz w:val="24"/>
          <w:szCs w:val="24"/>
        </w:rPr>
        <w:t xml:space="preserve"> </w:t>
      </w:r>
      <w:r w:rsidR="00AF2BEA">
        <w:rPr>
          <w:sz w:val="24"/>
          <w:szCs w:val="24"/>
        </w:rPr>
        <w:t>(</w:t>
      </w:r>
      <w:r w:rsidR="004103BF">
        <w:rPr>
          <w:sz w:val="24"/>
          <w:szCs w:val="24"/>
        </w:rPr>
        <w:t>F</w:t>
      </w:r>
      <w:r w:rsidR="00AF2BEA">
        <w:rPr>
          <w:sz w:val="24"/>
          <w:szCs w:val="24"/>
        </w:rPr>
        <w:t>igure 3.</w:t>
      </w:r>
      <w:r w:rsidR="00DD547B">
        <w:rPr>
          <w:sz w:val="24"/>
          <w:szCs w:val="24"/>
        </w:rPr>
        <w:t>2c</w:t>
      </w:r>
      <w:r w:rsidR="00AF2BEA">
        <w:rPr>
          <w:sz w:val="24"/>
          <w:szCs w:val="24"/>
        </w:rPr>
        <w:t xml:space="preserve">) </w:t>
      </w:r>
      <w:r w:rsidR="00B93040">
        <w:rPr>
          <w:sz w:val="24"/>
          <w:szCs w:val="24"/>
        </w:rPr>
        <w:t xml:space="preserve">were statistically similar with </w:t>
      </w:r>
      <w:r w:rsidR="00DD547B">
        <w:rPr>
          <w:sz w:val="24"/>
          <w:szCs w:val="24"/>
        </w:rPr>
        <w:t>a &gt; 3-log reduction after 72</w:t>
      </w:r>
      <w:r w:rsidR="00B93040">
        <w:rPr>
          <w:sz w:val="24"/>
          <w:szCs w:val="24"/>
        </w:rPr>
        <w:t xml:space="preserve"> </w:t>
      </w:r>
      <w:r w:rsidR="00806BB4">
        <w:rPr>
          <w:sz w:val="24"/>
          <w:szCs w:val="24"/>
        </w:rPr>
        <w:t>h</w:t>
      </w:r>
      <w:r w:rsidR="00DD547B">
        <w:rPr>
          <w:sz w:val="24"/>
          <w:szCs w:val="24"/>
        </w:rPr>
        <w:t xml:space="preserve"> of exposure (p&gt;</w:t>
      </w:r>
      <w:r w:rsidR="00AF2BEA">
        <w:rPr>
          <w:sz w:val="24"/>
          <w:szCs w:val="24"/>
        </w:rPr>
        <w:t>0</w:t>
      </w:r>
      <w:r w:rsidR="00B93040">
        <w:rPr>
          <w:sz w:val="24"/>
          <w:szCs w:val="24"/>
        </w:rPr>
        <w:t>.05). This concentration resulted in a</w:t>
      </w:r>
      <w:r w:rsidR="00DD547B">
        <w:rPr>
          <w:sz w:val="24"/>
          <w:szCs w:val="24"/>
        </w:rPr>
        <w:t xml:space="preserve"> &gt;2-</w:t>
      </w:r>
      <w:r w:rsidRPr="00701057">
        <w:rPr>
          <w:sz w:val="24"/>
          <w:szCs w:val="24"/>
        </w:rPr>
        <w:t xml:space="preserve">log </w:t>
      </w:r>
      <w:r w:rsidR="00A01793">
        <w:rPr>
          <w:sz w:val="24"/>
          <w:szCs w:val="24"/>
        </w:rPr>
        <w:t xml:space="preserve">CFU/mL </w:t>
      </w:r>
      <w:r w:rsidRPr="00701057">
        <w:rPr>
          <w:sz w:val="24"/>
          <w:szCs w:val="24"/>
        </w:rPr>
        <w:t xml:space="preserve">reduction of </w:t>
      </w:r>
      <w:r w:rsidR="00DB0605" w:rsidRPr="00DB0605">
        <w:rPr>
          <w:i/>
          <w:sz w:val="24"/>
          <w:szCs w:val="24"/>
        </w:rPr>
        <w:t>P. acidilactici</w:t>
      </w:r>
      <w:r w:rsidR="00B93040">
        <w:rPr>
          <w:sz w:val="24"/>
          <w:szCs w:val="24"/>
        </w:rPr>
        <w:t xml:space="preserve"> after 72 </w:t>
      </w:r>
      <w:r w:rsidR="00806BB4">
        <w:rPr>
          <w:sz w:val="24"/>
          <w:szCs w:val="24"/>
        </w:rPr>
        <w:t>h</w:t>
      </w:r>
      <w:r w:rsidR="00DD547B">
        <w:rPr>
          <w:sz w:val="24"/>
          <w:szCs w:val="24"/>
        </w:rPr>
        <w:t xml:space="preserve"> (Figure 3.2b</w:t>
      </w:r>
      <w:r w:rsidR="00AF2BEA">
        <w:rPr>
          <w:sz w:val="24"/>
          <w:szCs w:val="24"/>
        </w:rPr>
        <w:t>)</w:t>
      </w:r>
      <w:r w:rsidR="00B93040">
        <w:rPr>
          <w:sz w:val="24"/>
          <w:szCs w:val="24"/>
        </w:rPr>
        <w:t xml:space="preserve">, </w:t>
      </w:r>
      <w:r w:rsidR="008B16DD">
        <w:rPr>
          <w:sz w:val="24"/>
          <w:szCs w:val="24"/>
        </w:rPr>
        <w:t>but</w:t>
      </w:r>
      <w:r w:rsidR="00B93040">
        <w:rPr>
          <w:sz w:val="24"/>
          <w:szCs w:val="24"/>
        </w:rPr>
        <w:t xml:space="preserve"> the organism</w:t>
      </w:r>
      <w:r w:rsidRPr="00701057">
        <w:rPr>
          <w:sz w:val="24"/>
          <w:szCs w:val="24"/>
        </w:rPr>
        <w:t xml:space="preserve"> required a concentration of 0.25% to</w:t>
      </w:r>
      <w:r w:rsidR="00A01793">
        <w:rPr>
          <w:sz w:val="24"/>
          <w:szCs w:val="24"/>
        </w:rPr>
        <w:t xml:space="preserve"> be reduced to a non-detectable level</w:t>
      </w:r>
      <w:r w:rsidRPr="00701057">
        <w:rPr>
          <w:sz w:val="24"/>
          <w:szCs w:val="24"/>
        </w:rPr>
        <w:t xml:space="preserve"> after exposure for 48 </w:t>
      </w:r>
      <w:r w:rsidR="00806BB4">
        <w:rPr>
          <w:sz w:val="24"/>
          <w:szCs w:val="24"/>
        </w:rPr>
        <w:t>h</w:t>
      </w:r>
      <w:r w:rsidRPr="00701057">
        <w:rPr>
          <w:sz w:val="24"/>
          <w:szCs w:val="24"/>
        </w:rPr>
        <w:t>.</w:t>
      </w:r>
    </w:p>
    <w:p w:rsidR="00463A64" w:rsidRDefault="00E1618F" w:rsidP="002923D2">
      <w:pPr>
        <w:spacing w:line="480" w:lineRule="auto"/>
        <w:ind w:firstLine="720"/>
        <w:contextualSpacing/>
        <w:rPr>
          <w:sz w:val="24"/>
          <w:szCs w:val="24"/>
        </w:rPr>
      </w:pPr>
      <w:r>
        <w:rPr>
          <w:sz w:val="24"/>
          <w:szCs w:val="24"/>
        </w:rPr>
        <w:t>Carvacrol at 0.2% (v/v)</w:t>
      </w:r>
      <w:r w:rsidR="00701057" w:rsidRPr="00701057">
        <w:rPr>
          <w:sz w:val="24"/>
          <w:szCs w:val="24"/>
        </w:rPr>
        <w:t xml:space="preserve"> </w:t>
      </w:r>
      <w:r w:rsidR="00E17A7E">
        <w:rPr>
          <w:sz w:val="24"/>
          <w:szCs w:val="24"/>
        </w:rPr>
        <w:t xml:space="preserve">rapidly inactivated </w:t>
      </w:r>
      <w:r w:rsidR="00701057" w:rsidRPr="00701057">
        <w:rPr>
          <w:sz w:val="24"/>
          <w:szCs w:val="24"/>
        </w:rPr>
        <w:t>all three organisms</w:t>
      </w:r>
      <w:r w:rsidR="00E17A7E">
        <w:rPr>
          <w:sz w:val="24"/>
          <w:szCs w:val="24"/>
        </w:rPr>
        <w:t xml:space="preserve"> below the level of detection (&gt; 3-log CFU/mL reduction)</w:t>
      </w:r>
      <w:r w:rsidR="00701057" w:rsidRPr="00701057">
        <w:rPr>
          <w:sz w:val="24"/>
          <w:szCs w:val="24"/>
        </w:rPr>
        <w:t xml:space="preserve"> after 6 </w:t>
      </w:r>
      <w:r w:rsidR="00806BB4">
        <w:rPr>
          <w:sz w:val="24"/>
          <w:szCs w:val="24"/>
        </w:rPr>
        <w:t>h</w:t>
      </w:r>
      <w:r w:rsidR="00701057" w:rsidRPr="00701057">
        <w:rPr>
          <w:sz w:val="24"/>
          <w:szCs w:val="24"/>
        </w:rPr>
        <w:t xml:space="preserve"> of exposure</w:t>
      </w:r>
      <w:r w:rsidR="00AF2BEA">
        <w:rPr>
          <w:sz w:val="24"/>
          <w:szCs w:val="24"/>
        </w:rPr>
        <w:t xml:space="preserve"> (</w:t>
      </w:r>
      <w:r w:rsidR="004103BF">
        <w:rPr>
          <w:sz w:val="24"/>
          <w:szCs w:val="24"/>
        </w:rPr>
        <w:t>F</w:t>
      </w:r>
      <w:r w:rsidR="00E17A7E">
        <w:rPr>
          <w:sz w:val="24"/>
          <w:szCs w:val="24"/>
        </w:rPr>
        <w:t xml:space="preserve">igures </w:t>
      </w:r>
      <w:r w:rsidR="00AF2BEA">
        <w:rPr>
          <w:sz w:val="24"/>
          <w:szCs w:val="24"/>
        </w:rPr>
        <w:t>3.3)</w:t>
      </w:r>
      <w:r w:rsidR="00701057" w:rsidRPr="00701057">
        <w:rPr>
          <w:sz w:val="24"/>
          <w:szCs w:val="24"/>
        </w:rPr>
        <w:t xml:space="preserve">. </w:t>
      </w:r>
      <w:r w:rsidR="008914AA">
        <w:rPr>
          <w:sz w:val="24"/>
          <w:szCs w:val="24"/>
        </w:rPr>
        <w:t xml:space="preserve">When the carvacrol concentration was reduced to 0.1%, </w:t>
      </w:r>
      <w:r w:rsidR="00DB0605" w:rsidRPr="00DB0605">
        <w:rPr>
          <w:i/>
          <w:sz w:val="24"/>
          <w:szCs w:val="24"/>
        </w:rPr>
        <w:t>P. acidilactici</w:t>
      </w:r>
      <w:r w:rsidR="00701057" w:rsidRPr="00701057">
        <w:rPr>
          <w:sz w:val="24"/>
          <w:szCs w:val="24"/>
        </w:rPr>
        <w:t xml:space="preserve"> and </w:t>
      </w:r>
      <w:r w:rsidR="00FD3B94" w:rsidRPr="00FD3B94">
        <w:rPr>
          <w:i/>
          <w:sz w:val="24"/>
          <w:szCs w:val="24"/>
        </w:rPr>
        <w:t>L. citrovorum</w:t>
      </w:r>
      <w:r w:rsidR="00701057" w:rsidRPr="00701057">
        <w:rPr>
          <w:sz w:val="24"/>
          <w:szCs w:val="24"/>
        </w:rPr>
        <w:t xml:space="preserve"> had statisticall</w:t>
      </w:r>
      <w:r w:rsidR="00463A64">
        <w:rPr>
          <w:sz w:val="24"/>
          <w:szCs w:val="24"/>
        </w:rPr>
        <w:t xml:space="preserve">y similar reductions of approximately 3 </w:t>
      </w:r>
      <w:proofErr w:type="gramStart"/>
      <w:r w:rsidR="00463A64">
        <w:rPr>
          <w:sz w:val="24"/>
          <w:szCs w:val="24"/>
        </w:rPr>
        <w:t>log</w:t>
      </w:r>
      <w:proofErr w:type="gramEnd"/>
      <w:r w:rsidR="00463A64">
        <w:rPr>
          <w:sz w:val="24"/>
          <w:szCs w:val="24"/>
        </w:rPr>
        <w:t xml:space="preserve"> CFU/mL </w:t>
      </w:r>
      <w:r w:rsidR="00701057" w:rsidRPr="00701057">
        <w:rPr>
          <w:sz w:val="24"/>
          <w:szCs w:val="24"/>
        </w:rPr>
        <w:t xml:space="preserve">from 24-72 </w:t>
      </w:r>
      <w:r w:rsidR="00806BB4">
        <w:rPr>
          <w:sz w:val="24"/>
          <w:szCs w:val="24"/>
        </w:rPr>
        <w:t>h</w:t>
      </w:r>
      <w:r w:rsidR="00463A64">
        <w:rPr>
          <w:sz w:val="24"/>
          <w:szCs w:val="24"/>
        </w:rPr>
        <w:t xml:space="preserve"> (Figure</w:t>
      </w:r>
      <w:r w:rsidR="00E17A7E">
        <w:rPr>
          <w:sz w:val="24"/>
          <w:szCs w:val="24"/>
        </w:rPr>
        <w:t xml:space="preserve"> 3.3a and b</w:t>
      </w:r>
      <w:r w:rsidR="00463A64">
        <w:rPr>
          <w:sz w:val="24"/>
          <w:szCs w:val="24"/>
        </w:rPr>
        <w:t>)</w:t>
      </w:r>
      <w:r w:rsidR="00701057" w:rsidRPr="00701057">
        <w:rPr>
          <w:sz w:val="24"/>
          <w:szCs w:val="24"/>
        </w:rPr>
        <w:t xml:space="preserve">. At 48 </w:t>
      </w:r>
      <w:r w:rsidR="00806BB4">
        <w:rPr>
          <w:sz w:val="24"/>
          <w:szCs w:val="24"/>
        </w:rPr>
        <w:t>h</w:t>
      </w:r>
      <w:r w:rsidR="00701057" w:rsidRPr="00701057">
        <w:rPr>
          <w:sz w:val="24"/>
          <w:szCs w:val="24"/>
        </w:rPr>
        <w:t xml:space="preserve">, neither </w:t>
      </w:r>
      <w:proofErr w:type="gramStart"/>
      <w:r w:rsidR="00701057" w:rsidRPr="00701057">
        <w:rPr>
          <w:sz w:val="24"/>
          <w:szCs w:val="24"/>
        </w:rPr>
        <w:t>species</w:t>
      </w:r>
      <w:proofErr w:type="gramEnd"/>
      <w:r w:rsidR="00701057" w:rsidRPr="00701057">
        <w:rPr>
          <w:sz w:val="24"/>
          <w:szCs w:val="24"/>
        </w:rPr>
        <w:t xml:space="preserve"> had recoverable colonies, but by 72 </w:t>
      </w:r>
      <w:r w:rsidR="00806BB4">
        <w:rPr>
          <w:sz w:val="24"/>
          <w:szCs w:val="24"/>
        </w:rPr>
        <w:t>h</w:t>
      </w:r>
      <w:r w:rsidR="00701057" w:rsidRPr="00701057">
        <w:rPr>
          <w:sz w:val="24"/>
          <w:szCs w:val="24"/>
        </w:rPr>
        <w:t xml:space="preserve">, both had similarly recovered to </w:t>
      </w:r>
      <w:r w:rsidR="00E17A7E">
        <w:rPr>
          <w:sz w:val="24"/>
          <w:szCs w:val="24"/>
        </w:rPr>
        <w:t>approximately 1.5 log CFU/mL (p&gt;</w:t>
      </w:r>
      <w:r w:rsidR="00AA24BB">
        <w:rPr>
          <w:sz w:val="24"/>
          <w:szCs w:val="24"/>
        </w:rPr>
        <w:t>0</w:t>
      </w:r>
      <w:r w:rsidR="00701057" w:rsidRPr="00701057">
        <w:rPr>
          <w:sz w:val="24"/>
          <w:szCs w:val="24"/>
        </w:rPr>
        <w:t>.05</w:t>
      </w:r>
      <w:r w:rsidR="00E17A7E">
        <w:rPr>
          <w:sz w:val="24"/>
          <w:szCs w:val="24"/>
        </w:rPr>
        <w:t>)</w:t>
      </w:r>
      <w:r w:rsidR="00701057" w:rsidRPr="00701057">
        <w:rPr>
          <w:sz w:val="24"/>
          <w:szCs w:val="24"/>
        </w:rPr>
        <w:t xml:space="preserve">. Meanwhile, at 0.1% carvacrol </w:t>
      </w:r>
      <w:r w:rsidR="00FD3B94" w:rsidRPr="00FD3B94">
        <w:rPr>
          <w:i/>
          <w:sz w:val="24"/>
          <w:szCs w:val="24"/>
        </w:rPr>
        <w:t>L. buchneri</w:t>
      </w:r>
      <w:r w:rsidR="00701057" w:rsidRPr="00701057">
        <w:rPr>
          <w:sz w:val="24"/>
          <w:szCs w:val="24"/>
        </w:rPr>
        <w:t xml:space="preserve"> only decreased 1 log CFU/mL after 24 </w:t>
      </w:r>
      <w:r w:rsidR="00866C1D">
        <w:rPr>
          <w:sz w:val="24"/>
          <w:szCs w:val="24"/>
        </w:rPr>
        <w:t>h</w:t>
      </w:r>
      <w:r w:rsidR="00A01793" w:rsidRPr="00701057">
        <w:rPr>
          <w:sz w:val="24"/>
          <w:szCs w:val="24"/>
        </w:rPr>
        <w:t xml:space="preserve"> </w:t>
      </w:r>
      <w:r w:rsidR="00701057" w:rsidRPr="00701057">
        <w:rPr>
          <w:sz w:val="24"/>
          <w:szCs w:val="24"/>
        </w:rPr>
        <w:t xml:space="preserve">and </w:t>
      </w:r>
      <w:r w:rsidR="008914AA">
        <w:rPr>
          <w:sz w:val="24"/>
          <w:szCs w:val="24"/>
        </w:rPr>
        <w:t>experienced</w:t>
      </w:r>
      <w:r w:rsidR="00A01793" w:rsidRPr="00701057">
        <w:rPr>
          <w:sz w:val="24"/>
          <w:szCs w:val="24"/>
        </w:rPr>
        <w:t xml:space="preserve"> </w:t>
      </w:r>
      <w:r w:rsidR="00701057" w:rsidRPr="00701057">
        <w:rPr>
          <w:sz w:val="24"/>
          <w:szCs w:val="24"/>
        </w:rPr>
        <w:t xml:space="preserve">a 2 log reduction after 72 </w:t>
      </w:r>
      <w:r w:rsidR="00866C1D">
        <w:rPr>
          <w:sz w:val="24"/>
          <w:szCs w:val="24"/>
        </w:rPr>
        <w:t>h</w:t>
      </w:r>
      <w:r w:rsidR="00A01793">
        <w:rPr>
          <w:sz w:val="24"/>
          <w:szCs w:val="24"/>
        </w:rPr>
        <w:t xml:space="preserve"> </w:t>
      </w:r>
      <w:r w:rsidR="00701057" w:rsidRPr="00701057">
        <w:rPr>
          <w:sz w:val="24"/>
          <w:szCs w:val="24"/>
        </w:rPr>
        <w:t>of exposure</w:t>
      </w:r>
      <w:r w:rsidR="00E17A7E">
        <w:rPr>
          <w:sz w:val="24"/>
          <w:szCs w:val="24"/>
        </w:rPr>
        <w:t xml:space="preserve"> (Figure 3.3c</w:t>
      </w:r>
      <w:r w:rsidR="008914AA">
        <w:rPr>
          <w:sz w:val="24"/>
          <w:szCs w:val="24"/>
        </w:rPr>
        <w:t>)</w:t>
      </w:r>
      <w:r w:rsidR="00701057" w:rsidRPr="00701057">
        <w:rPr>
          <w:sz w:val="24"/>
          <w:szCs w:val="24"/>
        </w:rPr>
        <w:t>.</w:t>
      </w:r>
      <w:r w:rsidR="00463A64" w:rsidRPr="00463A64">
        <w:rPr>
          <w:sz w:val="24"/>
          <w:szCs w:val="24"/>
        </w:rPr>
        <w:t xml:space="preserve"> </w:t>
      </w:r>
    </w:p>
    <w:p w:rsidR="00701057" w:rsidRPr="00701057" w:rsidRDefault="00701057" w:rsidP="00E1618F">
      <w:pPr>
        <w:spacing w:line="480" w:lineRule="auto"/>
        <w:ind w:firstLine="720"/>
        <w:contextualSpacing/>
        <w:rPr>
          <w:sz w:val="24"/>
          <w:szCs w:val="24"/>
        </w:rPr>
      </w:pPr>
      <w:r w:rsidRPr="00701057">
        <w:rPr>
          <w:sz w:val="24"/>
          <w:szCs w:val="24"/>
        </w:rPr>
        <w:t xml:space="preserve">All three organisms </w:t>
      </w:r>
      <w:r w:rsidR="00E17A7E">
        <w:rPr>
          <w:sz w:val="24"/>
          <w:szCs w:val="24"/>
        </w:rPr>
        <w:t>were inhibited</w:t>
      </w:r>
      <w:r w:rsidRPr="00701057">
        <w:rPr>
          <w:sz w:val="24"/>
          <w:szCs w:val="24"/>
        </w:rPr>
        <w:t xml:space="preserve"> by eugenol at 0.25% (v/v) for some time. </w:t>
      </w:r>
      <w:r w:rsidR="00FD3B94" w:rsidRPr="00FD3B94">
        <w:rPr>
          <w:i/>
          <w:sz w:val="24"/>
          <w:szCs w:val="24"/>
        </w:rPr>
        <w:t>L. citrovorum</w:t>
      </w:r>
      <w:r w:rsidRPr="00701057">
        <w:rPr>
          <w:sz w:val="24"/>
          <w:szCs w:val="24"/>
        </w:rPr>
        <w:t xml:space="preserve"> and </w:t>
      </w:r>
      <w:r w:rsidR="00FD3B94" w:rsidRPr="00FD3B94">
        <w:rPr>
          <w:i/>
          <w:sz w:val="24"/>
          <w:szCs w:val="24"/>
        </w:rPr>
        <w:t>L. buchneri</w:t>
      </w:r>
      <w:r w:rsidRPr="00701057">
        <w:rPr>
          <w:sz w:val="24"/>
          <w:szCs w:val="24"/>
        </w:rPr>
        <w:t xml:space="preserve"> recovered statistically similarly to around 2 log CFU/mL by 72 </w:t>
      </w:r>
      <w:r w:rsidR="00806BB4">
        <w:rPr>
          <w:sz w:val="24"/>
          <w:szCs w:val="24"/>
        </w:rPr>
        <w:t>h</w:t>
      </w:r>
      <w:r w:rsidRPr="00701057">
        <w:rPr>
          <w:sz w:val="24"/>
          <w:szCs w:val="24"/>
        </w:rPr>
        <w:t xml:space="preserve"> after little to no recoverable grow</w:t>
      </w:r>
      <w:r w:rsidR="00E17A7E">
        <w:rPr>
          <w:sz w:val="24"/>
          <w:szCs w:val="24"/>
        </w:rPr>
        <w:t>th through much of the study (p&gt;</w:t>
      </w:r>
      <w:r w:rsidR="00AA24BB">
        <w:rPr>
          <w:sz w:val="24"/>
          <w:szCs w:val="24"/>
        </w:rPr>
        <w:t>0</w:t>
      </w:r>
      <w:r w:rsidRPr="00701057">
        <w:rPr>
          <w:sz w:val="24"/>
          <w:szCs w:val="24"/>
        </w:rPr>
        <w:t>.05</w:t>
      </w:r>
      <w:r w:rsidR="00E17A7E">
        <w:rPr>
          <w:sz w:val="24"/>
          <w:szCs w:val="24"/>
        </w:rPr>
        <w:t xml:space="preserve">; Figure 3.4a and </w:t>
      </w:r>
      <w:proofErr w:type="gramStart"/>
      <w:r w:rsidR="00E17A7E">
        <w:rPr>
          <w:sz w:val="24"/>
          <w:szCs w:val="24"/>
        </w:rPr>
        <w:t xml:space="preserve">c </w:t>
      </w:r>
      <w:r w:rsidRPr="00701057">
        <w:rPr>
          <w:sz w:val="24"/>
          <w:szCs w:val="24"/>
        </w:rPr>
        <w:t>)</w:t>
      </w:r>
      <w:proofErr w:type="gramEnd"/>
      <w:r w:rsidR="008914AA">
        <w:rPr>
          <w:sz w:val="24"/>
          <w:szCs w:val="24"/>
        </w:rPr>
        <w:t>.</w:t>
      </w:r>
      <w:r w:rsidRPr="00701057">
        <w:rPr>
          <w:sz w:val="24"/>
          <w:szCs w:val="24"/>
        </w:rPr>
        <w:t xml:space="preserve"> </w:t>
      </w:r>
      <w:r w:rsidR="008914AA">
        <w:rPr>
          <w:sz w:val="24"/>
          <w:szCs w:val="24"/>
        </w:rPr>
        <w:t>A</w:t>
      </w:r>
      <w:r w:rsidRPr="00701057">
        <w:rPr>
          <w:sz w:val="24"/>
          <w:szCs w:val="24"/>
        </w:rPr>
        <w:t xml:space="preserve">fter </w:t>
      </w:r>
      <w:r w:rsidR="008914AA">
        <w:rPr>
          <w:sz w:val="24"/>
          <w:szCs w:val="24"/>
        </w:rPr>
        <w:lastRenderedPageBreak/>
        <w:t>having no recoverable</w:t>
      </w:r>
      <w:r w:rsidRPr="00701057">
        <w:rPr>
          <w:sz w:val="24"/>
          <w:szCs w:val="24"/>
        </w:rPr>
        <w:t xml:space="preserve"> colonies</w:t>
      </w:r>
      <w:r w:rsidR="00E17A7E">
        <w:rPr>
          <w:sz w:val="24"/>
          <w:szCs w:val="24"/>
        </w:rPr>
        <w:t xml:space="preserve"> (&gt; 3 log-reduction)</w:t>
      </w:r>
      <w:r w:rsidRPr="00701057">
        <w:rPr>
          <w:sz w:val="24"/>
          <w:szCs w:val="24"/>
        </w:rPr>
        <w:t xml:space="preserve"> at 6 and 12 </w:t>
      </w:r>
      <w:r w:rsidR="00806BB4">
        <w:rPr>
          <w:sz w:val="24"/>
          <w:szCs w:val="24"/>
        </w:rPr>
        <w:t>h</w:t>
      </w:r>
      <w:r w:rsidRPr="00701057">
        <w:rPr>
          <w:sz w:val="24"/>
          <w:szCs w:val="24"/>
        </w:rPr>
        <w:t xml:space="preserve">, </w:t>
      </w:r>
      <w:r w:rsidR="00DB0605" w:rsidRPr="00DB0605">
        <w:rPr>
          <w:i/>
          <w:sz w:val="24"/>
          <w:szCs w:val="24"/>
        </w:rPr>
        <w:t xml:space="preserve">P. </w:t>
      </w:r>
      <w:r w:rsidR="006F4759">
        <w:rPr>
          <w:i/>
          <w:sz w:val="24"/>
          <w:szCs w:val="24"/>
        </w:rPr>
        <w:t>acidilactici</w:t>
      </w:r>
      <w:r w:rsidRPr="00701057">
        <w:rPr>
          <w:sz w:val="24"/>
          <w:szCs w:val="24"/>
        </w:rPr>
        <w:t xml:space="preserve"> recovered to 3 </w:t>
      </w:r>
      <w:proofErr w:type="gramStart"/>
      <w:r w:rsidRPr="00701057">
        <w:rPr>
          <w:sz w:val="24"/>
          <w:szCs w:val="24"/>
        </w:rPr>
        <w:t>log</w:t>
      </w:r>
      <w:proofErr w:type="gramEnd"/>
      <w:r w:rsidRPr="00701057">
        <w:rPr>
          <w:sz w:val="24"/>
          <w:szCs w:val="24"/>
        </w:rPr>
        <w:t xml:space="preserve"> CFU/mL by 24 </w:t>
      </w:r>
      <w:r w:rsidR="00806BB4">
        <w:rPr>
          <w:sz w:val="24"/>
          <w:szCs w:val="24"/>
        </w:rPr>
        <w:t>h</w:t>
      </w:r>
      <w:r w:rsidRPr="00701057">
        <w:rPr>
          <w:sz w:val="24"/>
          <w:szCs w:val="24"/>
        </w:rPr>
        <w:t xml:space="preserve"> and 4 log CFU/mL by 72 </w:t>
      </w:r>
      <w:r w:rsidR="00806BB4">
        <w:rPr>
          <w:sz w:val="24"/>
          <w:szCs w:val="24"/>
        </w:rPr>
        <w:t>h</w:t>
      </w:r>
      <w:r w:rsidR="008914AA">
        <w:rPr>
          <w:sz w:val="24"/>
          <w:szCs w:val="24"/>
        </w:rPr>
        <w:t xml:space="preserve"> (</w:t>
      </w:r>
      <w:r w:rsidR="00E17A7E">
        <w:rPr>
          <w:sz w:val="24"/>
          <w:szCs w:val="24"/>
        </w:rPr>
        <w:t>Figure 3.4b</w:t>
      </w:r>
      <w:r w:rsidR="008914AA">
        <w:rPr>
          <w:sz w:val="24"/>
          <w:szCs w:val="24"/>
        </w:rPr>
        <w:t>)</w:t>
      </w:r>
      <w:r w:rsidRPr="00701057">
        <w:rPr>
          <w:sz w:val="24"/>
          <w:szCs w:val="24"/>
        </w:rPr>
        <w:t xml:space="preserve">. </w:t>
      </w:r>
      <w:r w:rsidR="00FD3B94" w:rsidRPr="00FD3B94">
        <w:rPr>
          <w:i/>
          <w:sz w:val="24"/>
          <w:szCs w:val="24"/>
        </w:rPr>
        <w:t>L. buchneri</w:t>
      </w:r>
      <w:r w:rsidRPr="00701057">
        <w:rPr>
          <w:sz w:val="24"/>
          <w:szCs w:val="24"/>
        </w:rPr>
        <w:t xml:space="preserve"> was finally inhibited at a concentration of 0.3%</w:t>
      </w:r>
      <w:r w:rsidR="008914AA">
        <w:rPr>
          <w:sz w:val="24"/>
          <w:szCs w:val="24"/>
        </w:rPr>
        <w:t xml:space="preserve"> (</w:t>
      </w:r>
      <w:r w:rsidR="00FB001E">
        <w:rPr>
          <w:sz w:val="24"/>
          <w:szCs w:val="24"/>
        </w:rPr>
        <w:t>F</w:t>
      </w:r>
      <w:r w:rsidR="008914AA">
        <w:rPr>
          <w:sz w:val="24"/>
          <w:szCs w:val="24"/>
        </w:rPr>
        <w:t>igure 3.</w:t>
      </w:r>
      <w:r w:rsidR="00E17A7E">
        <w:rPr>
          <w:sz w:val="24"/>
          <w:szCs w:val="24"/>
        </w:rPr>
        <w:t>4c</w:t>
      </w:r>
      <w:r w:rsidR="008914AA">
        <w:rPr>
          <w:sz w:val="24"/>
          <w:szCs w:val="24"/>
        </w:rPr>
        <w:t>)</w:t>
      </w:r>
      <w:r w:rsidRPr="00701057">
        <w:rPr>
          <w:sz w:val="24"/>
          <w:szCs w:val="24"/>
        </w:rPr>
        <w:t xml:space="preserve">, but </w:t>
      </w:r>
      <w:r w:rsidR="00DB0605" w:rsidRPr="00DB0605">
        <w:rPr>
          <w:i/>
          <w:sz w:val="24"/>
          <w:szCs w:val="24"/>
        </w:rPr>
        <w:t xml:space="preserve">P. </w:t>
      </w:r>
      <w:r w:rsidR="006F4759">
        <w:rPr>
          <w:i/>
          <w:sz w:val="24"/>
          <w:szCs w:val="24"/>
        </w:rPr>
        <w:t>acidilactici</w:t>
      </w:r>
      <w:r w:rsidRPr="00701057">
        <w:rPr>
          <w:sz w:val="24"/>
          <w:szCs w:val="24"/>
        </w:rPr>
        <w:t xml:space="preserve"> had statistically similar recovery at 0.3% </w:t>
      </w:r>
      <w:r w:rsidR="008914AA">
        <w:rPr>
          <w:sz w:val="24"/>
          <w:szCs w:val="24"/>
        </w:rPr>
        <w:t>to what it had at</w:t>
      </w:r>
      <w:r w:rsidRPr="00701057">
        <w:rPr>
          <w:sz w:val="24"/>
          <w:szCs w:val="24"/>
        </w:rPr>
        <w:t xml:space="preserve"> 0.25%, recovering to 4 log CFU/mL after 72 </w:t>
      </w:r>
      <w:r w:rsidR="00806BB4">
        <w:rPr>
          <w:sz w:val="24"/>
          <w:szCs w:val="24"/>
        </w:rPr>
        <w:t>h</w:t>
      </w:r>
      <w:r w:rsidR="00E17A7E">
        <w:rPr>
          <w:sz w:val="24"/>
          <w:szCs w:val="24"/>
        </w:rPr>
        <w:t xml:space="preserve"> of exposure (p&gt;</w:t>
      </w:r>
      <w:r w:rsidR="00AA24BB">
        <w:rPr>
          <w:sz w:val="24"/>
          <w:szCs w:val="24"/>
        </w:rPr>
        <w:t>0</w:t>
      </w:r>
      <w:r w:rsidRPr="00701057">
        <w:rPr>
          <w:sz w:val="24"/>
          <w:szCs w:val="24"/>
        </w:rPr>
        <w:t>.05</w:t>
      </w:r>
      <w:r w:rsidR="008914AA">
        <w:rPr>
          <w:sz w:val="24"/>
          <w:szCs w:val="24"/>
        </w:rPr>
        <w:t xml:space="preserve">; </w:t>
      </w:r>
      <w:r w:rsidR="00FB001E">
        <w:rPr>
          <w:sz w:val="24"/>
          <w:szCs w:val="24"/>
        </w:rPr>
        <w:t>F</w:t>
      </w:r>
      <w:r w:rsidR="008914AA">
        <w:rPr>
          <w:sz w:val="24"/>
          <w:szCs w:val="24"/>
        </w:rPr>
        <w:t>igure 3.</w:t>
      </w:r>
      <w:r w:rsidR="00E17A7E">
        <w:rPr>
          <w:sz w:val="24"/>
          <w:szCs w:val="24"/>
        </w:rPr>
        <w:t>4b</w:t>
      </w:r>
      <w:r w:rsidRPr="00701057">
        <w:rPr>
          <w:sz w:val="24"/>
          <w:szCs w:val="24"/>
        </w:rPr>
        <w:t>).</w:t>
      </w:r>
    </w:p>
    <w:p w:rsidR="00587BC8" w:rsidRDefault="0067752E" w:rsidP="00587BC8">
      <w:pPr>
        <w:spacing w:line="480" w:lineRule="auto"/>
        <w:ind w:firstLine="720"/>
        <w:contextualSpacing/>
        <w:rPr>
          <w:sz w:val="24"/>
          <w:szCs w:val="24"/>
        </w:rPr>
      </w:pPr>
      <w:r>
        <w:rPr>
          <w:sz w:val="24"/>
          <w:szCs w:val="24"/>
        </w:rPr>
        <w:t>The appreciation for the antimicrobial, preservative, and medicinal properties of plant products is by no means a novel sentiment</w:t>
      </w:r>
      <w:r w:rsidR="00624A84">
        <w:rPr>
          <w:sz w:val="24"/>
          <w:szCs w:val="24"/>
        </w:rPr>
        <w:t xml:space="preserve"> (Hammer and others 1999; Prabuseenivasan and others 2006)</w:t>
      </w:r>
      <w:r>
        <w:rPr>
          <w:sz w:val="24"/>
          <w:szCs w:val="24"/>
        </w:rPr>
        <w:t>.</w:t>
      </w:r>
      <w:r w:rsidR="00624A84">
        <w:rPr>
          <w:sz w:val="24"/>
          <w:szCs w:val="24"/>
        </w:rPr>
        <w:t xml:space="preserve"> However, they are decreasingly being viewed as simply “traditional” remedies as their application in mainstream medicine is becoming increasingly practical. </w:t>
      </w:r>
      <w:r w:rsidR="00C90DDA">
        <w:rPr>
          <w:sz w:val="24"/>
          <w:szCs w:val="24"/>
        </w:rPr>
        <w:t>While a c</w:t>
      </w:r>
      <w:r w:rsidR="00624A84">
        <w:rPr>
          <w:sz w:val="24"/>
          <w:szCs w:val="24"/>
        </w:rPr>
        <w:t xml:space="preserve">innamon oil </w:t>
      </w:r>
      <w:r w:rsidR="00C90DDA">
        <w:rPr>
          <w:sz w:val="24"/>
          <w:szCs w:val="24"/>
        </w:rPr>
        <w:t>product</w:t>
      </w:r>
      <w:r w:rsidR="00624A84">
        <w:rPr>
          <w:sz w:val="24"/>
          <w:szCs w:val="24"/>
        </w:rPr>
        <w:t xml:space="preserve"> </w:t>
      </w:r>
      <w:r w:rsidR="00AA24BB">
        <w:rPr>
          <w:sz w:val="24"/>
          <w:szCs w:val="24"/>
        </w:rPr>
        <w:t xml:space="preserve">has </w:t>
      </w:r>
      <w:r w:rsidR="00624A84">
        <w:rPr>
          <w:sz w:val="24"/>
          <w:szCs w:val="24"/>
        </w:rPr>
        <w:t>bee</w:t>
      </w:r>
      <w:r w:rsidR="00C90DDA">
        <w:rPr>
          <w:sz w:val="24"/>
          <w:szCs w:val="24"/>
        </w:rPr>
        <w:t>n shown to be effective</w:t>
      </w:r>
      <w:r w:rsidR="00624A84">
        <w:rPr>
          <w:sz w:val="24"/>
          <w:szCs w:val="24"/>
        </w:rPr>
        <w:t xml:space="preserve"> as a treatment for oral candidiasis in patients with HIV</w:t>
      </w:r>
      <w:r w:rsidR="00C90DDA">
        <w:rPr>
          <w:sz w:val="24"/>
          <w:szCs w:val="24"/>
        </w:rPr>
        <w:t xml:space="preserve"> (Quale and others 1996)</w:t>
      </w:r>
      <w:r w:rsidR="00624A84">
        <w:rPr>
          <w:sz w:val="24"/>
          <w:szCs w:val="24"/>
        </w:rPr>
        <w:t xml:space="preserve">, </w:t>
      </w:r>
      <w:r w:rsidR="00C90DDA">
        <w:rPr>
          <w:sz w:val="24"/>
          <w:szCs w:val="24"/>
        </w:rPr>
        <w:t>eugenol and cinnamaldehyde have</w:t>
      </w:r>
      <w:r w:rsidR="00624A84">
        <w:rPr>
          <w:sz w:val="24"/>
          <w:szCs w:val="24"/>
        </w:rPr>
        <w:t xml:space="preserve"> been shown to inhibit growth of the stomach ulcer causing agent </w:t>
      </w:r>
      <w:r w:rsidR="00624A84" w:rsidRPr="00C90DDA">
        <w:rPr>
          <w:i/>
          <w:sz w:val="24"/>
          <w:szCs w:val="24"/>
        </w:rPr>
        <w:t>Helicobacter pylori</w:t>
      </w:r>
      <w:r w:rsidR="00C90DDA">
        <w:rPr>
          <w:sz w:val="24"/>
          <w:szCs w:val="24"/>
        </w:rPr>
        <w:t>, without the development of microbial resistance to these agents</w:t>
      </w:r>
      <w:r w:rsidR="00C90DDA">
        <w:rPr>
          <w:i/>
          <w:sz w:val="24"/>
          <w:szCs w:val="24"/>
        </w:rPr>
        <w:t xml:space="preserve"> </w:t>
      </w:r>
      <w:r w:rsidR="00C90DDA" w:rsidRPr="00C90DDA">
        <w:rPr>
          <w:sz w:val="24"/>
          <w:szCs w:val="24"/>
        </w:rPr>
        <w:t>(</w:t>
      </w:r>
      <w:r w:rsidR="00A726E1">
        <w:rPr>
          <w:sz w:val="24"/>
          <w:szCs w:val="24"/>
        </w:rPr>
        <w:t xml:space="preserve">Ali and others 2005; </w:t>
      </w:r>
      <w:r w:rsidR="00C90DDA">
        <w:rPr>
          <w:sz w:val="24"/>
          <w:szCs w:val="24"/>
        </w:rPr>
        <w:t>Prabuseenivasan and others 2006</w:t>
      </w:r>
      <w:r w:rsidR="00A726E1">
        <w:rPr>
          <w:sz w:val="24"/>
          <w:szCs w:val="24"/>
        </w:rPr>
        <w:t>).</w:t>
      </w:r>
      <w:r w:rsidR="00394813">
        <w:rPr>
          <w:sz w:val="24"/>
          <w:szCs w:val="24"/>
        </w:rPr>
        <w:t xml:space="preserve"> As popular as these components are becoming within the medical community, exploitation of essential oils is perhaps even more applicable to the food industry, where consumers are clamoring for what they perceive as “natural” preservatives and additives. Fortunately for these consumers, essential oils fit the bill as both naturally derived and already stamped with the FDA’s Generally Recognized as Safe (GRAS) status.</w:t>
      </w:r>
    </w:p>
    <w:p w:rsidR="0074103A" w:rsidRDefault="0074103A" w:rsidP="0074103A">
      <w:pPr>
        <w:autoSpaceDE w:val="0"/>
        <w:autoSpaceDN w:val="0"/>
        <w:adjustRightInd w:val="0"/>
        <w:spacing w:after="0"/>
        <w:rPr>
          <w:sz w:val="24"/>
          <w:szCs w:val="24"/>
        </w:rPr>
      </w:pPr>
    </w:p>
    <w:p w:rsidR="00701057" w:rsidRDefault="00EF4397" w:rsidP="00E1618F">
      <w:pPr>
        <w:spacing w:line="480" w:lineRule="auto"/>
        <w:ind w:firstLine="720"/>
        <w:contextualSpacing/>
        <w:rPr>
          <w:sz w:val="24"/>
          <w:szCs w:val="24"/>
        </w:rPr>
      </w:pPr>
      <w:r>
        <w:rPr>
          <w:sz w:val="24"/>
          <w:szCs w:val="24"/>
        </w:rPr>
        <w:t xml:space="preserve">Due to the fact that essential oils intrinsically exhibit strong flavor and odor characteristics, strong antimicrobial potency of these oils and their compounds is imperative so only minimal concentrations are required. </w:t>
      </w:r>
      <w:r w:rsidR="00B93040">
        <w:rPr>
          <w:sz w:val="24"/>
          <w:szCs w:val="24"/>
        </w:rPr>
        <w:t>Essential</w:t>
      </w:r>
      <w:r w:rsidR="00394813">
        <w:rPr>
          <w:sz w:val="24"/>
          <w:szCs w:val="24"/>
        </w:rPr>
        <w:t xml:space="preserve"> oils that contain</w:t>
      </w:r>
      <w:r w:rsidR="00B93040">
        <w:rPr>
          <w:sz w:val="24"/>
          <w:szCs w:val="24"/>
        </w:rPr>
        <w:t xml:space="preserve"> phenols and terpenes generally have the highest antimicrobial activity, while oils containing fewer phenols but </w:t>
      </w:r>
      <w:r w:rsidR="00B93040">
        <w:rPr>
          <w:sz w:val="24"/>
          <w:szCs w:val="24"/>
        </w:rPr>
        <w:lastRenderedPageBreak/>
        <w:t>greater quantities of other compounds such as ketones, esters, acids, and others are typically less efficacious as antimicrobials.</w:t>
      </w:r>
      <w:r w:rsidR="00701057" w:rsidRPr="00701057">
        <w:rPr>
          <w:sz w:val="24"/>
          <w:szCs w:val="24"/>
        </w:rPr>
        <w:t xml:space="preserve"> </w:t>
      </w:r>
      <w:r w:rsidR="00213EEA">
        <w:rPr>
          <w:sz w:val="24"/>
          <w:szCs w:val="24"/>
        </w:rPr>
        <w:t xml:space="preserve">For example, thymol and carvacrol are the major antimicrobial components of the essential oil of oregano, and have been shown to have an additive effect when combined. Against </w:t>
      </w:r>
      <w:r w:rsidR="00213EEA" w:rsidRPr="00213EEA">
        <w:rPr>
          <w:i/>
          <w:sz w:val="24"/>
          <w:szCs w:val="24"/>
        </w:rPr>
        <w:t>Pseudomonas aeruginosa</w:t>
      </w:r>
      <w:r w:rsidR="00213EEA">
        <w:rPr>
          <w:sz w:val="24"/>
          <w:szCs w:val="24"/>
        </w:rPr>
        <w:t>, these two components were identified as responsible for 96% of the inhibitory action exerted by oregano oil</w:t>
      </w:r>
      <w:r w:rsidR="000971FC">
        <w:rPr>
          <w:sz w:val="24"/>
          <w:szCs w:val="24"/>
        </w:rPr>
        <w:t xml:space="preserve"> (Lambert and others 2001)</w:t>
      </w:r>
      <w:r w:rsidR="00213EEA">
        <w:rPr>
          <w:sz w:val="24"/>
          <w:szCs w:val="24"/>
        </w:rPr>
        <w:t xml:space="preserve">. </w:t>
      </w:r>
      <w:r w:rsidR="000971FC">
        <w:rPr>
          <w:sz w:val="24"/>
          <w:szCs w:val="24"/>
        </w:rPr>
        <w:t xml:space="preserve">Utilizing these </w:t>
      </w:r>
      <w:r w:rsidR="007E1649">
        <w:rPr>
          <w:sz w:val="24"/>
          <w:szCs w:val="24"/>
        </w:rPr>
        <w:t xml:space="preserve">individual </w:t>
      </w:r>
      <w:r w:rsidR="000971FC">
        <w:rPr>
          <w:sz w:val="24"/>
          <w:szCs w:val="24"/>
        </w:rPr>
        <w:t xml:space="preserve">compounds rather than the entire essential oil allows more concise and concentrated application of antimicrobial agents </w:t>
      </w:r>
      <w:r w:rsidR="007E1649">
        <w:rPr>
          <w:sz w:val="24"/>
          <w:szCs w:val="24"/>
        </w:rPr>
        <w:t>in order to</w:t>
      </w:r>
      <w:r w:rsidR="000971FC">
        <w:rPr>
          <w:sz w:val="24"/>
          <w:szCs w:val="24"/>
        </w:rPr>
        <w:t xml:space="preserve"> exert the greatest amount of activity</w:t>
      </w:r>
      <w:r w:rsidR="00F327C5">
        <w:rPr>
          <w:sz w:val="24"/>
          <w:szCs w:val="24"/>
        </w:rPr>
        <w:t xml:space="preserve"> possible</w:t>
      </w:r>
      <w:r w:rsidR="000971FC">
        <w:rPr>
          <w:sz w:val="24"/>
          <w:szCs w:val="24"/>
        </w:rPr>
        <w:t xml:space="preserve">. </w:t>
      </w:r>
    </w:p>
    <w:p w:rsidR="000971FC" w:rsidRDefault="005D2E01" w:rsidP="000971FC">
      <w:pPr>
        <w:spacing w:line="480" w:lineRule="auto"/>
        <w:ind w:firstLine="720"/>
        <w:contextualSpacing/>
        <w:rPr>
          <w:sz w:val="24"/>
          <w:szCs w:val="24"/>
        </w:rPr>
      </w:pPr>
      <w:r>
        <w:rPr>
          <w:sz w:val="24"/>
          <w:szCs w:val="24"/>
        </w:rPr>
        <w:t>Using individual components of essential oils instea</w:t>
      </w:r>
      <w:r w:rsidR="000971FC">
        <w:rPr>
          <w:sz w:val="24"/>
          <w:szCs w:val="24"/>
        </w:rPr>
        <w:t>d of whole oils provides other</w:t>
      </w:r>
      <w:r>
        <w:rPr>
          <w:sz w:val="24"/>
          <w:szCs w:val="24"/>
        </w:rPr>
        <w:t xml:space="preserve"> distinct advantages. Oil uniformity varies greatly depending on time of harvest, climate, oil extraction method, and a multitude of other factors. </w:t>
      </w:r>
      <w:r w:rsidR="002923D2">
        <w:rPr>
          <w:sz w:val="24"/>
          <w:szCs w:val="24"/>
        </w:rPr>
        <w:t>Disruption in supply chain or a poor harvest year could impact the oil composition</w:t>
      </w:r>
      <w:r w:rsidR="00ED70DD">
        <w:rPr>
          <w:sz w:val="24"/>
          <w:szCs w:val="24"/>
        </w:rPr>
        <w:t xml:space="preserve"> and potentially distort the preservative capacity within a food formulation. </w:t>
      </w:r>
      <w:r>
        <w:rPr>
          <w:sz w:val="24"/>
          <w:szCs w:val="24"/>
        </w:rPr>
        <w:t xml:space="preserve">Difficulty </w:t>
      </w:r>
      <w:r w:rsidR="00ED70DD">
        <w:rPr>
          <w:sz w:val="24"/>
          <w:szCs w:val="24"/>
        </w:rPr>
        <w:t xml:space="preserve">also </w:t>
      </w:r>
      <w:r>
        <w:rPr>
          <w:sz w:val="24"/>
          <w:szCs w:val="24"/>
        </w:rPr>
        <w:t xml:space="preserve">arises in comparing results obtained from essential oil testing when not only variation exists among oils from study to study, but common names of oils also </w:t>
      </w:r>
      <w:r w:rsidR="00ED70DD">
        <w:rPr>
          <w:sz w:val="24"/>
          <w:szCs w:val="24"/>
        </w:rPr>
        <w:t xml:space="preserve">can </w:t>
      </w:r>
      <w:r>
        <w:rPr>
          <w:sz w:val="24"/>
          <w:szCs w:val="24"/>
        </w:rPr>
        <w:t>encompass a number of different species and subspecies of plants (Hammer and others 1999;</w:t>
      </w:r>
      <w:r w:rsidR="002923D2">
        <w:rPr>
          <w:sz w:val="24"/>
          <w:szCs w:val="24"/>
        </w:rPr>
        <w:t xml:space="preserve"> </w:t>
      </w:r>
      <w:r w:rsidR="008E3F58">
        <w:rPr>
          <w:sz w:val="24"/>
          <w:szCs w:val="24"/>
        </w:rPr>
        <w:t xml:space="preserve">Chang and others 2001; </w:t>
      </w:r>
      <w:r w:rsidR="00820072" w:rsidRPr="006A1812">
        <w:rPr>
          <w:sz w:val="24"/>
          <w:szCs w:val="24"/>
        </w:rPr>
        <w:t>Gómez-Estaca</w:t>
      </w:r>
      <w:r w:rsidR="00820072">
        <w:rPr>
          <w:sz w:val="24"/>
          <w:szCs w:val="24"/>
        </w:rPr>
        <w:t xml:space="preserve"> and others 2010)</w:t>
      </w:r>
      <w:r>
        <w:rPr>
          <w:sz w:val="24"/>
          <w:szCs w:val="24"/>
        </w:rPr>
        <w:t>.</w:t>
      </w:r>
      <w:r w:rsidR="002923D2">
        <w:rPr>
          <w:sz w:val="24"/>
          <w:szCs w:val="24"/>
        </w:rPr>
        <w:t xml:space="preserve"> Using an oil constituent eliminates the likelihood of variability associated with whole oils.</w:t>
      </w:r>
      <w:r w:rsidR="000971FC">
        <w:rPr>
          <w:sz w:val="24"/>
          <w:szCs w:val="24"/>
        </w:rPr>
        <w:t xml:space="preserve"> This study focused on essential oil components rather than the whole oils as an attempt to determine if using constituents provided the hypothesized benefit of concentrated antimicrobial action. </w:t>
      </w:r>
    </w:p>
    <w:p w:rsidR="00625C66" w:rsidRDefault="00625C66" w:rsidP="00E1618F">
      <w:pPr>
        <w:spacing w:line="480" w:lineRule="auto"/>
        <w:ind w:firstLine="720"/>
        <w:contextualSpacing/>
        <w:rPr>
          <w:sz w:val="24"/>
          <w:szCs w:val="24"/>
        </w:rPr>
      </w:pPr>
      <w:r>
        <w:rPr>
          <w:sz w:val="24"/>
          <w:szCs w:val="24"/>
        </w:rPr>
        <w:t xml:space="preserve">Of particular </w:t>
      </w:r>
      <w:r w:rsidR="00F327C5">
        <w:rPr>
          <w:sz w:val="24"/>
          <w:szCs w:val="24"/>
        </w:rPr>
        <w:t>concern</w:t>
      </w:r>
      <w:r>
        <w:rPr>
          <w:sz w:val="24"/>
          <w:szCs w:val="24"/>
        </w:rPr>
        <w:t xml:space="preserve"> are the concentrations at which, after initial inhibition and what appeared to be bactericidal activity, bacteria recovered and rebounded to initial inoculum levels. This is apparent with </w:t>
      </w:r>
      <w:r w:rsidRPr="00625C66">
        <w:rPr>
          <w:i/>
          <w:sz w:val="24"/>
          <w:szCs w:val="24"/>
        </w:rPr>
        <w:t>P. acidilactici</w:t>
      </w:r>
      <w:r>
        <w:rPr>
          <w:sz w:val="24"/>
          <w:szCs w:val="24"/>
        </w:rPr>
        <w:t xml:space="preserve"> at concentrations of 0.3% eugenol and 0.1% thymol, </w:t>
      </w:r>
      <w:r>
        <w:rPr>
          <w:sz w:val="24"/>
          <w:szCs w:val="24"/>
        </w:rPr>
        <w:lastRenderedPageBreak/>
        <w:t xml:space="preserve">as well as </w:t>
      </w:r>
      <w:r w:rsidRPr="00625C66">
        <w:rPr>
          <w:i/>
          <w:sz w:val="24"/>
          <w:szCs w:val="24"/>
        </w:rPr>
        <w:t>L. citrovorum</w:t>
      </w:r>
      <w:r>
        <w:rPr>
          <w:sz w:val="24"/>
          <w:szCs w:val="24"/>
        </w:rPr>
        <w:t xml:space="preserve"> at 0.25% eugenol. The same occurrence </w:t>
      </w:r>
      <w:r w:rsidR="00040BB5">
        <w:rPr>
          <w:sz w:val="24"/>
          <w:szCs w:val="24"/>
        </w:rPr>
        <w:t>has been reported</w:t>
      </w:r>
      <w:r>
        <w:rPr>
          <w:sz w:val="24"/>
          <w:szCs w:val="24"/>
        </w:rPr>
        <w:t xml:space="preserve"> with eugenol and carvacrol against </w:t>
      </w:r>
      <w:r w:rsidR="00040BB5" w:rsidRPr="00040BB5">
        <w:rPr>
          <w:i/>
          <w:sz w:val="24"/>
          <w:szCs w:val="24"/>
        </w:rPr>
        <w:t>E. coli</w:t>
      </w:r>
      <w:r w:rsidR="00040BB5">
        <w:rPr>
          <w:sz w:val="24"/>
          <w:szCs w:val="24"/>
        </w:rPr>
        <w:t xml:space="preserve"> O157:H7</w:t>
      </w:r>
      <w:r w:rsidR="00273FD0">
        <w:rPr>
          <w:sz w:val="24"/>
          <w:szCs w:val="24"/>
        </w:rPr>
        <w:t xml:space="preserve"> and with cumin essential oil against </w:t>
      </w:r>
      <w:r w:rsidR="00273FD0" w:rsidRPr="00273FD0">
        <w:rPr>
          <w:i/>
          <w:sz w:val="24"/>
          <w:szCs w:val="24"/>
        </w:rPr>
        <w:t>L. mesenteroides</w:t>
      </w:r>
      <w:r w:rsidR="00273FD0">
        <w:rPr>
          <w:i/>
          <w:sz w:val="24"/>
          <w:szCs w:val="24"/>
        </w:rPr>
        <w:t xml:space="preserve"> </w:t>
      </w:r>
      <w:r w:rsidR="00273FD0">
        <w:rPr>
          <w:sz w:val="24"/>
          <w:szCs w:val="24"/>
        </w:rPr>
        <w:t>at concentrations of 0.015%, 0.03%, and 0.06% (</w:t>
      </w:r>
      <w:r w:rsidR="00273FD0" w:rsidRPr="006A1812">
        <w:rPr>
          <w:sz w:val="24"/>
          <w:szCs w:val="24"/>
        </w:rPr>
        <w:t>Kivanç</w:t>
      </w:r>
      <w:r w:rsidR="00273FD0">
        <w:rPr>
          <w:sz w:val="24"/>
          <w:szCs w:val="24"/>
        </w:rPr>
        <w:t xml:space="preserve"> and others 1991; Kim and others 1995). This tendency of bacteria to overcome inhibition due to essential oils is disconcerting, as preservative effects of essential oils may be overcome prior to the expiration of</w:t>
      </w:r>
      <w:r w:rsidR="0053066E">
        <w:rPr>
          <w:sz w:val="24"/>
          <w:szCs w:val="24"/>
        </w:rPr>
        <w:t xml:space="preserve"> a product’s shelf-life, resulting in premature spoilage of a food item. Because of this</w:t>
      </w:r>
      <w:r w:rsidR="008B16DD">
        <w:rPr>
          <w:sz w:val="24"/>
          <w:szCs w:val="24"/>
        </w:rPr>
        <w:t>,</w:t>
      </w:r>
      <w:r w:rsidR="0053066E">
        <w:rPr>
          <w:sz w:val="24"/>
          <w:szCs w:val="24"/>
        </w:rPr>
        <w:t xml:space="preserve"> it is crucial that accurate MLC’s are determined and </w:t>
      </w:r>
      <w:r w:rsidR="00820072">
        <w:rPr>
          <w:sz w:val="24"/>
          <w:szCs w:val="24"/>
        </w:rPr>
        <w:t>proven effective in media and food matrixes</w:t>
      </w:r>
      <w:r w:rsidR="00752E0F">
        <w:rPr>
          <w:sz w:val="24"/>
          <w:szCs w:val="24"/>
        </w:rPr>
        <w:t xml:space="preserve"> or utilized with other hurdles if this pattern is observed</w:t>
      </w:r>
      <w:r w:rsidR="00820072">
        <w:rPr>
          <w:sz w:val="24"/>
          <w:szCs w:val="24"/>
        </w:rPr>
        <w:t xml:space="preserve">. </w:t>
      </w:r>
      <w:r w:rsidR="000971FC">
        <w:rPr>
          <w:sz w:val="24"/>
          <w:szCs w:val="24"/>
        </w:rPr>
        <w:tab/>
      </w:r>
    </w:p>
    <w:p w:rsidR="0025326B" w:rsidRDefault="00752E0F" w:rsidP="00E1618F">
      <w:pPr>
        <w:spacing w:line="480" w:lineRule="auto"/>
        <w:ind w:firstLine="720"/>
        <w:contextualSpacing/>
        <w:rPr>
          <w:sz w:val="24"/>
          <w:szCs w:val="24"/>
        </w:rPr>
      </w:pPr>
      <w:r>
        <w:rPr>
          <w:sz w:val="24"/>
          <w:szCs w:val="24"/>
        </w:rPr>
        <w:t>Our previous studies revealed</w:t>
      </w:r>
      <w:r w:rsidR="000971FC">
        <w:rPr>
          <w:sz w:val="24"/>
          <w:szCs w:val="24"/>
        </w:rPr>
        <w:t xml:space="preserve"> that thymol and carvacrol were the </w:t>
      </w:r>
      <w:proofErr w:type="gramStart"/>
      <w:r w:rsidR="000971FC">
        <w:rPr>
          <w:sz w:val="24"/>
          <w:szCs w:val="24"/>
        </w:rPr>
        <w:t>most inhibitory</w:t>
      </w:r>
      <w:proofErr w:type="gramEnd"/>
      <w:r w:rsidR="000971FC">
        <w:rPr>
          <w:sz w:val="24"/>
          <w:szCs w:val="24"/>
        </w:rPr>
        <w:t xml:space="preserve"> components analyzed against LAB. </w:t>
      </w:r>
      <w:r w:rsidR="003A61C6">
        <w:rPr>
          <w:sz w:val="24"/>
          <w:szCs w:val="24"/>
        </w:rPr>
        <w:t>The cur</w:t>
      </w:r>
      <w:r>
        <w:rPr>
          <w:sz w:val="24"/>
          <w:szCs w:val="24"/>
        </w:rPr>
        <w:t>rent study indicated that at 0.1</w:t>
      </w:r>
      <w:r w:rsidR="003A61C6">
        <w:rPr>
          <w:sz w:val="24"/>
          <w:szCs w:val="24"/>
        </w:rPr>
        <w:t>%</w:t>
      </w:r>
      <w:r>
        <w:rPr>
          <w:sz w:val="24"/>
          <w:szCs w:val="24"/>
        </w:rPr>
        <w:t xml:space="preserve"> (v/v)</w:t>
      </w:r>
      <w:r w:rsidR="003A61C6">
        <w:rPr>
          <w:sz w:val="24"/>
          <w:szCs w:val="24"/>
        </w:rPr>
        <w:t xml:space="preserve"> carvacrol, all species were inhibited</w:t>
      </w:r>
      <w:r>
        <w:rPr>
          <w:sz w:val="24"/>
          <w:szCs w:val="24"/>
        </w:rPr>
        <w:t>, and at 0.2% all species were inactivated &gt; 3-log CFU/mL after 6h</w:t>
      </w:r>
      <w:r w:rsidR="003A61C6">
        <w:rPr>
          <w:sz w:val="24"/>
          <w:szCs w:val="24"/>
        </w:rPr>
        <w:t xml:space="preserve">. While 0.1% </w:t>
      </w:r>
      <w:r>
        <w:rPr>
          <w:sz w:val="24"/>
          <w:szCs w:val="24"/>
        </w:rPr>
        <w:t xml:space="preserve">(w/v) </w:t>
      </w:r>
      <w:r w:rsidR="003A61C6">
        <w:rPr>
          <w:sz w:val="24"/>
          <w:szCs w:val="24"/>
        </w:rPr>
        <w:t xml:space="preserve">thymol was </w:t>
      </w:r>
      <w:r>
        <w:rPr>
          <w:sz w:val="24"/>
          <w:szCs w:val="24"/>
        </w:rPr>
        <w:t>initially lethal to all species (&gt; 2-log CFU/mL reduction),</w:t>
      </w:r>
      <w:r w:rsidR="003A61C6">
        <w:rPr>
          <w:sz w:val="24"/>
          <w:szCs w:val="24"/>
        </w:rPr>
        <w:t xml:space="preserve"> </w:t>
      </w:r>
      <w:r w:rsidR="003A61C6" w:rsidRPr="001A3E6B">
        <w:rPr>
          <w:i/>
          <w:sz w:val="24"/>
          <w:szCs w:val="24"/>
        </w:rPr>
        <w:t>P. acidilactici</w:t>
      </w:r>
      <w:r>
        <w:rPr>
          <w:sz w:val="24"/>
          <w:szCs w:val="24"/>
        </w:rPr>
        <w:t xml:space="preserve"> recovered after 48 h and re-grew to initial populations by 72 h.</w:t>
      </w:r>
      <w:r w:rsidR="00B62671">
        <w:rPr>
          <w:sz w:val="24"/>
          <w:szCs w:val="24"/>
        </w:rPr>
        <w:t xml:space="preserve"> </w:t>
      </w:r>
      <w:r w:rsidR="00631669">
        <w:rPr>
          <w:sz w:val="24"/>
          <w:szCs w:val="24"/>
        </w:rPr>
        <w:t>The results of this study also indicate that cinnamaldehyde is comparably effective</w:t>
      </w:r>
      <w:r w:rsidR="00F327C5">
        <w:rPr>
          <w:sz w:val="24"/>
          <w:szCs w:val="24"/>
        </w:rPr>
        <w:t xml:space="preserve"> to thymol and carvacrol</w:t>
      </w:r>
      <w:r w:rsidR="00631669">
        <w:rPr>
          <w:sz w:val="24"/>
          <w:szCs w:val="24"/>
        </w:rPr>
        <w:t xml:space="preserve"> as a bactericidal agent. The compound </w:t>
      </w:r>
      <w:r>
        <w:rPr>
          <w:sz w:val="24"/>
          <w:szCs w:val="24"/>
        </w:rPr>
        <w:t xml:space="preserve">was lethal to </w:t>
      </w:r>
      <w:r w:rsidRPr="00752E0F">
        <w:rPr>
          <w:i/>
          <w:sz w:val="24"/>
          <w:szCs w:val="24"/>
        </w:rPr>
        <w:t>L. citrovorum</w:t>
      </w:r>
      <w:r>
        <w:rPr>
          <w:sz w:val="24"/>
          <w:szCs w:val="24"/>
        </w:rPr>
        <w:t xml:space="preserve"> and </w:t>
      </w:r>
      <w:r w:rsidRPr="00752E0F">
        <w:rPr>
          <w:i/>
          <w:sz w:val="24"/>
          <w:szCs w:val="24"/>
        </w:rPr>
        <w:t>L. buchneri</w:t>
      </w:r>
      <w:r>
        <w:rPr>
          <w:sz w:val="24"/>
          <w:szCs w:val="24"/>
        </w:rPr>
        <w:t xml:space="preserve"> with a &gt; 3-log reduction after 48 and 72 h, respectively.</w:t>
      </w:r>
      <w:r w:rsidR="00ED72ED">
        <w:rPr>
          <w:sz w:val="24"/>
          <w:szCs w:val="24"/>
        </w:rPr>
        <w:t xml:space="preserve"> </w:t>
      </w:r>
      <w:r w:rsidR="00ED72ED" w:rsidRPr="00ED72ED">
        <w:rPr>
          <w:i/>
          <w:sz w:val="24"/>
          <w:szCs w:val="24"/>
        </w:rPr>
        <w:t>P. acidilactici</w:t>
      </w:r>
      <w:r w:rsidR="00ED72ED">
        <w:rPr>
          <w:sz w:val="24"/>
          <w:szCs w:val="24"/>
        </w:rPr>
        <w:t xml:space="preserve"> suffered a 2 log reduction at 0.2%</w:t>
      </w:r>
      <w:r>
        <w:rPr>
          <w:sz w:val="24"/>
          <w:szCs w:val="24"/>
        </w:rPr>
        <w:t xml:space="preserve"> (v/v)</w:t>
      </w:r>
      <w:r w:rsidR="00ED72ED">
        <w:rPr>
          <w:sz w:val="24"/>
          <w:szCs w:val="24"/>
        </w:rPr>
        <w:t xml:space="preserve"> after 72 </w:t>
      </w:r>
      <w:r w:rsidR="00806BB4">
        <w:rPr>
          <w:sz w:val="24"/>
          <w:szCs w:val="24"/>
        </w:rPr>
        <w:t>h</w:t>
      </w:r>
      <w:r w:rsidR="00ED72ED">
        <w:rPr>
          <w:sz w:val="24"/>
          <w:szCs w:val="24"/>
        </w:rPr>
        <w:t xml:space="preserve">, but 0.25% </w:t>
      </w:r>
      <w:r>
        <w:rPr>
          <w:sz w:val="24"/>
          <w:szCs w:val="24"/>
        </w:rPr>
        <w:t>resulted in undetectable populations</w:t>
      </w:r>
      <w:r w:rsidR="00ED72ED">
        <w:rPr>
          <w:sz w:val="24"/>
          <w:szCs w:val="24"/>
        </w:rPr>
        <w:t>.</w:t>
      </w:r>
      <w:r w:rsidR="00631669">
        <w:rPr>
          <w:sz w:val="24"/>
          <w:szCs w:val="24"/>
        </w:rPr>
        <w:t xml:space="preserve"> Cinnamon or cinnamon compounds are often used as the predominant flavoring agents in many food products, and with bactericidal capabilities evidenced from the cinnamon derived component cinnamaldehyde, application to food formulations can serve a two-fold purpose. </w:t>
      </w:r>
    </w:p>
    <w:p w:rsidR="000971FC" w:rsidRDefault="00ED72ED" w:rsidP="00E1618F">
      <w:pPr>
        <w:spacing w:line="480" w:lineRule="auto"/>
        <w:ind w:firstLine="720"/>
        <w:contextualSpacing/>
        <w:rPr>
          <w:sz w:val="24"/>
          <w:szCs w:val="24"/>
        </w:rPr>
      </w:pPr>
      <w:r>
        <w:rPr>
          <w:sz w:val="24"/>
          <w:szCs w:val="24"/>
        </w:rPr>
        <w:t xml:space="preserve"> E</w:t>
      </w:r>
      <w:r w:rsidR="003A61C6">
        <w:rPr>
          <w:sz w:val="24"/>
          <w:szCs w:val="24"/>
        </w:rPr>
        <w:t>ugenol required the largest bactericidal concentration</w:t>
      </w:r>
      <w:r w:rsidR="0025326B">
        <w:rPr>
          <w:sz w:val="24"/>
          <w:szCs w:val="24"/>
        </w:rPr>
        <w:t>. At 0.25%</w:t>
      </w:r>
      <w:r w:rsidR="004B0992">
        <w:rPr>
          <w:sz w:val="24"/>
          <w:szCs w:val="24"/>
        </w:rPr>
        <w:t xml:space="preserve"> (v/v)</w:t>
      </w:r>
      <w:r w:rsidR="0025326B">
        <w:rPr>
          <w:sz w:val="24"/>
          <w:szCs w:val="24"/>
        </w:rPr>
        <w:t xml:space="preserve">, the </w:t>
      </w:r>
      <w:r w:rsidR="004B0992">
        <w:rPr>
          <w:sz w:val="24"/>
          <w:szCs w:val="24"/>
        </w:rPr>
        <w:t>population</w:t>
      </w:r>
      <w:r w:rsidR="0025326B">
        <w:rPr>
          <w:sz w:val="24"/>
          <w:szCs w:val="24"/>
        </w:rPr>
        <w:t xml:space="preserve"> of </w:t>
      </w:r>
      <w:r w:rsidR="0025326B" w:rsidRPr="0025326B">
        <w:rPr>
          <w:i/>
          <w:sz w:val="24"/>
          <w:szCs w:val="24"/>
        </w:rPr>
        <w:t>P. acidilactici</w:t>
      </w:r>
      <w:r w:rsidR="004B0992">
        <w:rPr>
          <w:sz w:val="24"/>
          <w:szCs w:val="24"/>
        </w:rPr>
        <w:t xml:space="preserve"> </w:t>
      </w:r>
      <w:r w:rsidR="0025326B">
        <w:rPr>
          <w:sz w:val="24"/>
          <w:szCs w:val="24"/>
        </w:rPr>
        <w:t xml:space="preserve">after 72 </w:t>
      </w:r>
      <w:r w:rsidR="00806BB4">
        <w:rPr>
          <w:sz w:val="24"/>
          <w:szCs w:val="24"/>
        </w:rPr>
        <w:t>h</w:t>
      </w:r>
      <w:r w:rsidR="0025326B">
        <w:rPr>
          <w:sz w:val="24"/>
          <w:szCs w:val="24"/>
        </w:rPr>
        <w:t xml:space="preserve"> was statistically similar to the initial inoculum level</w:t>
      </w:r>
      <w:r>
        <w:rPr>
          <w:sz w:val="24"/>
          <w:szCs w:val="24"/>
        </w:rPr>
        <w:t xml:space="preserve">, while </w:t>
      </w:r>
      <w:r w:rsidRPr="000C06F5">
        <w:rPr>
          <w:i/>
          <w:sz w:val="24"/>
          <w:szCs w:val="24"/>
        </w:rPr>
        <w:t>L. buchneri</w:t>
      </w:r>
      <w:r>
        <w:rPr>
          <w:sz w:val="24"/>
          <w:szCs w:val="24"/>
        </w:rPr>
        <w:t xml:space="preserve"> </w:t>
      </w:r>
      <w:r>
        <w:rPr>
          <w:sz w:val="24"/>
          <w:szCs w:val="24"/>
        </w:rPr>
        <w:lastRenderedPageBreak/>
        <w:t xml:space="preserve">and </w:t>
      </w:r>
      <w:r w:rsidR="000C06F5" w:rsidRPr="0078742B">
        <w:rPr>
          <w:i/>
          <w:sz w:val="24"/>
          <w:szCs w:val="24"/>
        </w:rPr>
        <w:t xml:space="preserve">L. </w:t>
      </w:r>
      <w:r w:rsidRPr="0078742B">
        <w:rPr>
          <w:i/>
          <w:sz w:val="24"/>
          <w:szCs w:val="24"/>
        </w:rPr>
        <w:t>citrovorum</w:t>
      </w:r>
      <w:r>
        <w:rPr>
          <w:sz w:val="24"/>
          <w:szCs w:val="24"/>
        </w:rPr>
        <w:t xml:space="preserve"> only experienced 2 log reductions</w:t>
      </w:r>
      <w:r w:rsidR="0025326B">
        <w:rPr>
          <w:sz w:val="24"/>
          <w:szCs w:val="24"/>
        </w:rPr>
        <w:t xml:space="preserve">.  </w:t>
      </w:r>
      <w:r>
        <w:rPr>
          <w:sz w:val="24"/>
          <w:szCs w:val="24"/>
        </w:rPr>
        <w:t xml:space="preserve">Even at 0.3%, viable </w:t>
      </w:r>
      <w:r w:rsidRPr="0078742B">
        <w:rPr>
          <w:i/>
          <w:sz w:val="24"/>
          <w:szCs w:val="24"/>
        </w:rPr>
        <w:t xml:space="preserve">P. acidilactici </w:t>
      </w:r>
      <w:r w:rsidR="004B0992">
        <w:rPr>
          <w:sz w:val="24"/>
          <w:szCs w:val="24"/>
        </w:rPr>
        <w:t>colonies re</w:t>
      </w:r>
      <w:r w:rsidR="004D607E">
        <w:rPr>
          <w:sz w:val="24"/>
          <w:szCs w:val="24"/>
        </w:rPr>
        <w:t>-</w:t>
      </w:r>
      <w:r w:rsidR="004B0992">
        <w:rPr>
          <w:sz w:val="24"/>
          <w:szCs w:val="24"/>
        </w:rPr>
        <w:t>grew to initial populations</w:t>
      </w:r>
      <w:r>
        <w:rPr>
          <w:sz w:val="24"/>
          <w:szCs w:val="24"/>
        </w:rPr>
        <w:t>, making the compound an unlikely candidate for application with</w:t>
      </w:r>
      <w:r w:rsidR="004D607E">
        <w:rPr>
          <w:sz w:val="24"/>
          <w:szCs w:val="24"/>
        </w:rPr>
        <w:t>in</w:t>
      </w:r>
      <w:r>
        <w:rPr>
          <w:sz w:val="24"/>
          <w:szCs w:val="24"/>
        </w:rPr>
        <w:t xml:space="preserve"> a food model</w:t>
      </w:r>
      <w:r w:rsidR="004D607E">
        <w:rPr>
          <w:sz w:val="24"/>
          <w:szCs w:val="24"/>
        </w:rPr>
        <w:t xml:space="preserve"> as the only antimicrobial agent or control</w:t>
      </w:r>
      <w:r>
        <w:rPr>
          <w:sz w:val="24"/>
          <w:szCs w:val="24"/>
        </w:rPr>
        <w:t>. It has been noted that much larger quantities of these components are required in a food matrix to exert the same lethality evident</w:t>
      </w:r>
      <w:r w:rsidR="00C5632D">
        <w:rPr>
          <w:sz w:val="24"/>
          <w:szCs w:val="24"/>
        </w:rPr>
        <w:t xml:space="preserve"> in a broth dilution (Zaika 1988</w:t>
      </w:r>
      <w:r>
        <w:rPr>
          <w:sz w:val="24"/>
          <w:szCs w:val="24"/>
        </w:rPr>
        <w:t xml:space="preserve">). The already large quantities of eugenol required for lethality in broth medium indicate the necessity of bactericidal concentrations </w:t>
      </w:r>
      <w:r w:rsidR="008B16DD">
        <w:rPr>
          <w:sz w:val="24"/>
          <w:szCs w:val="24"/>
        </w:rPr>
        <w:t>may make it difficult to apply to foods at levels required for inhibition without significantly altering the flavor profiles of these products</w:t>
      </w:r>
      <w:r w:rsidR="00F327C5">
        <w:rPr>
          <w:sz w:val="24"/>
          <w:szCs w:val="24"/>
        </w:rPr>
        <w:t>.</w:t>
      </w:r>
    </w:p>
    <w:p w:rsidR="00F327C5" w:rsidRPr="00605FC5" w:rsidRDefault="00A01793" w:rsidP="00605FC5">
      <w:pPr>
        <w:pStyle w:val="Heading2"/>
        <w:spacing w:line="480" w:lineRule="auto"/>
        <w:contextualSpacing/>
        <w:rPr>
          <w:rFonts w:asciiTheme="minorHAnsi" w:hAnsiTheme="minorHAnsi"/>
          <w:color w:val="auto"/>
          <w:sz w:val="24"/>
          <w:szCs w:val="24"/>
        </w:rPr>
      </w:pPr>
      <w:bookmarkStart w:id="29" w:name="_Toc364366596"/>
      <w:r w:rsidRPr="00605FC5">
        <w:rPr>
          <w:rFonts w:asciiTheme="minorHAnsi" w:hAnsiTheme="minorHAnsi"/>
          <w:color w:val="auto"/>
          <w:sz w:val="24"/>
          <w:szCs w:val="24"/>
        </w:rPr>
        <w:t>Conclusions</w:t>
      </w:r>
      <w:bookmarkEnd w:id="29"/>
    </w:p>
    <w:p w:rsidR="009D647B" w:rsidRDefault="00330333" w:rsidP="00605FC5">
      <w:pPr>
        <w:spacing w:line="480" w:lineRule="auto"/>
        <w:ind w:firstLine="720"/>
        <w:contextualSpacing/>
        <w:rPr>
          <w:sz w:val="24"/>
          <w:szCs w:val="24"/>
        </w:rPr>
      </w:pPr>
      <w:r>
        <w:rPr>
          <w:sz w:val="24"/>
          <w:szCs w:val="24"/>
        </w:rPr>
        <w:t xml:space="preserve">The MLC for carvacrol was 0.2% (v/v), and 0.2% thymol (w/v) was sufficient to </w:t>
      </w:r>
      <w:proofErr w:type="gramStart"/>
      <w:r w:rsidR="009D647B">
        <w:rPr>
          <w:sz w:val="24"/>
          <w:szCs w:val="24"/>
        </w:rPr>
        <w:t xml:space="preserve">inactivate </w:t>
      </w:r>
      <w:r>
        <w:rPr>
          <w:sz w:val="24"/>
          <w:szCs w:val="24"/>
        </w:rPr>
        <w:t xml:space="preserve"> two</w:t>
      </w:r>
      <w:proofErr w:type="gramEnd"/>
      <w:r>
        <w:rPr>
          <w:sz w:val="24"/>
          <w:szCs w:val="24"/>
        </w:rPr>
        <w:t xml:space="preserve"> </w:t>
      </w:r>
      <w:r w:rsidR="00054124">
        <w:rPr>
          <w:sz w:val="24"/>
          <w:szCs w:val="24"/>
        </w:rPr>
        <w:t xml:space="preserve">of the </w:t>
      </w:r>
      <w:r>
        <w:rPr>
          <w:sz w:val="24"/>
          <w:szCs w:val="24"/>
        </w:rPr>
        <w:t>examined LAB species</w:t>
      </w:r>
      <w:r w:rsidR="009D647B">
        <w:rPr>
          <w:sz w:val="24"/>
          <w:szCs w:val="24"/>
        </w:rPr>
        <w:t xml:space="preserve"> below the limit of detection</w:t>
      </w:r>
      <w:r>
        <w:rPr>
          <w:sz w:val="24"/>
          <w:szCs w:val="24"/>
        </w:rPr>
        <w:t xml:space="preserve">. </w:t>
      </w:r>
      <w:r w:rsidR="004D607E">
        <w:rPr>
          <w:sz w:val="24"/>
          <w:szCs w:val="24"/>
        </w:rPr>
        <w:t>A 3-log reduction</w:t>
      </w:r>
      <w:r>
        <w:rPr>
          <w:sz w:val="24"/>
          <w:szCs w:val="24"/>
        </w:rPr>
        <w:t xml:space="preserve"> was evident against two LAB species at 0.2% cinnamaldehyde (v/v), while one required 0.25% before </w:t>
      </w:r>
      <w:r w:rsidR="004D607E">
        <w:rPr>
          <w:sz w:val="24"/>
          <w:szCs w:val="24"/>
        </w:rPr>
        <w:t xml:space="preserve">the MLC </w:t>
      </w:r>
      <w:r>
        <w:rPr>
          <w:sz w:val="24"/>
          <w:szCs w:val="24"/>
        </w:rPr>
        <w:t xml:space="preserve"> was attained</w:t>
      </w:r>
      <w:r w:rsidR="00D6120B">
        <w:rPr>
          <w:sz w:val="24"/>
          <w:szCs w:val="24"/>
        </w:rPr>
        <w:t xml:space="preserve"> over 72 h</w:t>
      </w:r>
      <w:r>
        <w:rPr>
          <w:sz w:val="24"/>
          <w:szCs w:val="24"/>
        </w:rPr>
        <w:t>.</w:t>
      </w:r>
      <w:r w:rsidR="00D6120B">
        <w:rPr>
          <w:sz w:val="24"/>
          <w:szCs w:val="24"/>
        </w:rPr>
        <w:t xml:space="preserve"> Up to 24 h,</w:t>
      </w:r>
      <w:r>
        <w:rPr>
          <w:sz w:val="24"/>
          <w:szCs w:val="24"/>
        </w:rPr>
        <w:t xml:space="preserve"> </w:t>
      </w:r>
      <w:r w:rsidRPr="00054124">
        <w:rPr>
          <w:i/>
          <w:sz w:val="24"/>
          <w:szCs w:val="24"/>
        </w:rPr>
        <w:t>P. acidilactici</w:t>
      </w:r>
      <w:r w:rsidR="00D6120B">
        <w:rPr>
          <w:sz w:val="24"/>
          <w:szCs w:val="24"/>
        </w:rPr>
        <w:t xml:space="preserve"> was not recovered</w:t>
      </w:r>
      <w:r w:rsidR="00054124">
        <w:rPr>
          <w:sz w:val="24"/>
          <w:szCs w:val="24"/>
        </w:rPr>
        <w:t xml:space="preserve"> by the highest concentration o</w:t>
      </w:r>
      <w:r w:rsidR="00D6120B">
        <w:rPr>
          <w:sz w:val="24"/>
          <w:szCs w:val="24"/>
        </w:rPr>
        <w:t>f eugenol examined, 0.3% (v/v), but recovered to initial populations by 72 h</w:t>
      </w:r>
      <w:r w:rsidR="00054124">
        <w:rPr>
          <w:sz w:val="24"/>
          <w:szCs w:val="24"/>
        </w:rPr>
        <w:t>. Carvacrol, thymol, and cinnamaldehyde are likely candidates for use as food preservative agents; eugenol may require concentrations too high to provide sufficient protection against spoilage</w:t>
      </w:r>
      <w:r w:rsidR="009D647B">
        <w:rPr>
          <w:sz w:val="24"/>
          <w:szCs w:val="24"/>
        </w:rPr>
        <w:t xml:space="preserve"> unless utilized in a system where it can also serve as a compatible flavoring compound</w:t>
      </w:r>
      <w:r w:rsidR="00054124">
        <w:rPr>
          <w:sz w:val="24"/>
          <w:szCs w:val="24"/>
        </w:rPr>
        <w:t>.</w:t>
      </w:r>
    </w:p>
    <w:p w:rsidR="009D647B" w:rsidRDefault="009D647B">
      <w:pPr>
        <w:rPr>
          <w:sz w:val="24"/>
          <w:szCs w:val="24"/>
        </w:rPr>
      </w:pPr>
      <w:r>
        <w:rPr>
          <w:sz w:val="24"/>
          <w:szCs w:val="24"/>
        </w:rPr>
        <w:br w:type="page"/>
      </w:r>
    </w:p>
    <w:p w:rsidR="00D95293" w:rsidRDefault="007812F8">
      <w:pPr>
        <w:jc w:val="center"/>
        <w:rPr>
          <w:rFonts w:eastAsia="Times New Roman"/>
          <w:sz w:val="28"/>
          <w:szCs w:val="28"/>
        </w:rPr>
      </w:pPr>
      <w:r w:rsidRPr="007812F8">
        <w:rPr>
          <w:rFonts w:eastAsia="Times New Roman"/>
          <w:b/>
          <w:sz w:val="28"/>
          <w:szCs w:val="28"/>
        </w:rPr>
        <w:lastRenderedPageBreak/>
        <w:t>Table</w:t>
      </w: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605FC5" w:rsidRDefault="00605FC5" w:rsidP="00390DB0">
      <w:pPr>
        <w:spacing w:after="0"/>
        <w:rPr>
          <w:rFonts w:ascii="Calibri" w:eastAsia="Times New Roman" w:hAnsi="Calibri" w:cs="Times New Roman"/>
          <w:color w:val="000000"/>
        </w:rPr>
      </w:pPr>
    </w:p>
    <w:p w:rsidR="00A5496F" w:rsidRPr="006F4759" w:rsidRDefault="00A5496F" w:rsidP="00A5496F">
      <w:pPr>
        <w:spacing w:after="0"/>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lastRenderedPageBreak/>
        <w:t xml:space="preserve">Table 3.1 Concentrations of carvacrol, cinnamaldehyde, eugenol and thymol examined against </w:t>
      </w:r>
      <w:r w:rsidRPr="006F4759">
        <w:rPr>
          <w:rFonts w:ascii="Calibri" w:eastAsia="Times New Roman" w:hAnsi="Calibri" w:cs="Times New Roman"/>
          <w:i/>
          <w:color w:val="000000"/>
          <w:sz w:val="24"/>
          <w:szCs w:val="24"/>
        </w:rPr>
        <w:t>P. acidilactici</w:t>
      </w:r>
      <w:r w:rsidRPr="006F4759">
        <w:rPr>
          <w:rFonts w:ascii="Calibri" w:eastAsia="Times New Roman" w:hAnsi="Calibri" w:cs="Times New Roman"/>
          <w:color w:val="000000"/>
          <w:sz w:val="24"/>
          <w:szCs w:val="24"/>
        </w:rPr>
        <w:t xml:space="preserve">, </w:t>
      </w:r>
      <w:r w:rsidRPr="006F4759">
        <w:rPr>
          <w:rFonts w:ascii="Calibri" w:eastAsia="Times New Roman" w:hAnsi="Calibri" w:cs="Times New Roman"/>
          <w:i/>
          <w:color w:val="000000"/>
          <w:sz w:val="24"/>
          <w:szCs w:val="24"/>
        </w:rPr>
        <w:t>L. buchneri</w:t>
      </w:r>
      <w:r w:rsidRPr="006F4759">
        <w:rPr>
          <w:rFonts w:ascii="Calibri" w:eastAsia="Times New Roman" w:hAnsi="Calibri" w:cs="Times New Roman"/>
          <w:color w:val="000000"/>
          <w:sz w:val="24"/>
          <w:szCs w:val="24"/>
        </w:rPr>
        <w:t xml:space="preserve">, and </w:t>
      </w:r>
      <w:r w:rsidRPr="006F4759">
        <w:rPr>
          <w:rFonts w:ascii="Calibri" w:eastAsia="Times New Roman" w:hAnsi="Calibri" w:cs="Times New Roman"/>
          <w:i/>
          <w:color w:val="000000"/>
          <w:sz w:val="24"/>
          <w:szCs w:val="24"/>
        </w:rPr>
        <w:t>L. citrovorum</w:t>
      </w:r>
      <w:r w:rsidRPr="006F4759">
        <w:rPr>
          <w:rFonts w:ascii="Calibri" w:eastAsia="Times New Roman" w:hAnsi="Calibri" w:cs="Times New Roman"/>
          <w:color w:val="000000"/>
          <w:sz w:val="24"/>
          <w:szCs w:val="24"/>
        </w:rPr>
        <w:t>. Values are v/v except thymol (w/v).</w:t>
      </w:r>
    </w:p>
    <w:p w:rsidR="00605FC5" w:rsidRDefault="00605FC5" w:rsidP="00605FC5">
      <w:pPr>
        <w:spacing w:after="0"/>
        <w:jc w:val="center"/>
        <w:rPr>
          <w:rFonts w:ascii="Calibri" w:eastAsia="Times New Roman" w:hAnsi="Calibri" w:cs="Times New Roman"/>
          <w:color w:val="000000"/>
        </w:rPr>
      </w:pPr>
    </w:p>
    <w:tbl>
      <w:tblPr>
        <w:tblW w:w="7825" w:type="dxa"/>
        <w:tblInd w:w="774" w:type="dxa"/>
        <w:tblLook w:val="04A0"/>
      </w:tblPr>
      <w:tblGrid>
        <w:gridCol w:w="1854"/>
        <w:gridCol w:w="1611"/>
        <w:gridCol w:w="1505"/>
        <w:gridCol w:w="1298"/>
        <w:gridCol w:w="1557"/>
      </w:tblGrid>
      <w:tr w:rsidR="006F4759" w:rsidRPr="006F4759" w:rsidTr="00605FC5">
        <w:trPr>
          <w:trHeight w:val="324"/>
        </w:trPr>
        <w:tc>
          <w:tcPr>
            <w:tcW w:w="1854" w:type="dxa"/>
            <w:tcBorders>
              <w:top w:val="single" w:sz="8" w:space="0" w:color="auto"/>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Antimicrobial</w:t>
            </w:r>
          </w:p>
        </w:tc>
        <w:tc>
          <w:tcPr>
            <w:tcW w:w="1611" w:type="dxa"/>
            <w:tcBorders>
              <w:top w:val="single" w:sz="8" w:space="0" w:color="auto"/>
              <w:left w:val="nil"/>
              <w:bottom w:val="nil"/>
              <w:right w:val="nil"/>
            </w:tcBorders>
            <w:shd w:val="clear" w:color="auto" w:fill="auto"/>
            <w:noWrap/>
            <w:vAlign w:val="bottom"/>
            <w:hideMark/>
          </w:tcPr>
          <w:p w:rsidR="006F4759" w:rsidRPr="006F4759" w:rsidRDefault="006F4759" w:rsidP="006F4759">
            <w:pPr>
              <w:spacing w:after="0"/>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Concentration</w:t>
            </w:r>
          </w:p>
        </w:tc>
        <w:tc>
          <w:tcPr>
            <w:tcW w:w="4360" w:type="dxa"/>
            <w:gridSpan w:val="3"/>
            <w:tcBorders>
              <w:top w:val="single" w:sz="8" w:space="0" w:color="auto"/>
              <w:left w:val="nil"/>
              <w:bottom w:val="single" w:sz="8" w:space="0" w:color="auto"/>
              <w:right w:val="nil"/>
            </w:tcBorders>
            <w:shd w:val="clear" w:color="auto" w:fill="auto"/>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Species</w:t>
            </w:r>
          </w:p>
        </w:tc>
      </w:tr>
      <w:tr w:rsidR="006F4759" w:rsidRPr="006F4759" w:rsidTr="00605FC5">
        <w:trPr>
          <w:trHeight w:val="324"/>
        </w:trPr>
        <w:tc>
          <w:tcPr>
            <w:tcW w:w="1854" w:type="dxa"/>
            <w:tcBorders>
              <w:top w:val="nil"/>
              <w:left w:val="nil"/>
              <w:bottom w:val="single" w:sz="8" w:space="0" w:color="auto"/>
              <w:right w:val="nil"/>
            </w:tcBorders>
            <w:shd w:val="clear" w:color="auto" w:fill="auto"/>
            <w:noWrap/>
            <w:vAlign w:val="bottom"/>
            <w:hideMark/>
          </w:tcPr>
          <w:p w:rsidR="006F4759" w:rsidRPr="006F4759" w:rsidRDefault="006F4759" w:rsidP="006F4759">
            <w:pPr>
              <w:spacing w:after="0"/>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 </w:t>
            </w:r>
          </w:p>
        </w:tc>
        <w:tc>
          <w:tcPr>
            <w:tcW w:w="1611" w:type="dxa"/>
            <w:tcBorders>
              <w:top w:val="nil"/>
              <w:left w:val="nil"/>
              <w:bottom w:val="single" w:sz="8" w:space="0" w:color="auto"/>
              <w:right w:val="nil"/>
            </w:tcBorders>
            <w:shd w:val="clear" w:color="auto" w:fill="auto"/>
            <w:noWrap/>
            <w:vAlign w:val="bottom"/>
            <w:hideMark/>
          </w:tcPr>
          <w:p w:rsidR="006F4759" w:rsidRPr="006F4759" w:rsidRDefault="006F4759" w:rsidP="006F4759">
            <w:pPr>
              <w:spacing w:after="0"/>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 </w:t>
            </w:r>
          </w:p>
        </w:tc>
        <w:tc>
          <w:tcPr>
            <w:tcW w:w="1505" w:type="dxa"/>
            <w:tcBorders>
              <w:top w:val="nil"/>
              <w:left w:val="nil"/>
              <w:bottom w:val="single" w:sz="8" w:space="0" w:color="auto"/>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i/>
                <w:color w:val="000000"/>
                <w:sz w:val="24"/>
                <w:szCs w:val="24"/>
              </w:rPr>
            </w:pPr>
            <w:r w:rsidRPr="006F4759">
              <w:rPr>
                <w:rFonts w:ascii="Calibri" w:eastAsia="Times New Roman" w:hAnsi="Calibri" w:cs="Times New Roman"/>
                <w:i/>
                <w:color w:val="000000"/>
                <w:sz w:val="24"/>
                <w:szCs w:val="24"/>
              </w:rPr>
              <w:t>P. acidilactici</w:t>
            </w:r>
          </w:p>
        </w:tc>
        <w:tc>
          <w:tcPr>
            <w:tcW w:w="1298" w:type="dxa"/>
            <w:tcBorders>
              <w:top w:val="nil"/>
              <w:left w:val="nil"/>
              <w:bottom w:val="single" w:sz="8" w:space="0" w:color="auto"/>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i/>
                <w:color w:val="000000"/>
                <w:sz w:val="24"/>
                <w:szCs w:val="24"/>
              </w:rPr>
            </w:pPr>
            <w:r w:rsidRPr="006F4759">
              <w:rPr>
                <w:rFonts w:ascii="Calibri" w:eastAsia="Times New Roman" w:hAnsi="Calibri" w:cs="Times New Roman"/>
                <w:i/>
                <w:color w:val="000000"/>
                <w:sz w:val="24"/>
                <w:szCs w:val="24"/>
              </w:rPr>
              <w:t>L. buchneri</w:t>
            </w:r>
          </w:p>
        </w:tc>
        <w:tc>
          <w:tcPr>
            <w:tcW w:w="1557" w:type="dxa"/>
            <w:tcBorders>
              <w:top w:val="nil"/>
              <w:left w:val="nil"/>
              <w:bottom w:val="single" w:sz="8" w:space="0" w:color="auto"/>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i/>
                <w:color w:val="000000"/>
                <w:sz w:val="24"/>
                <w:szCs w:val="24"/>
              </w:rPr>
            </w:pPr>
            <w:r w:rsidRPr="006F4759">
              <w:rPr>
                <w:rFonts w:ascii="Calibri" w:eastAsia="Times New Roman" w:hAnsi="Calibri" w:cs="Times New Roman"/>
                <w:i/>
                <w:color w:val="000000"/>
                <w:sz w:val="24"/>
                <w:szCs w:val="24"/>
              </w:rPr>
              <w:t>L. citrovorum</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Carvacrol</w:t>
            </w: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0.025%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0.038%</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0.075%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0.1%</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0.2%</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24"/>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Cinnamaldehyde</w:t>
            </w: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0.025%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0.075%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0.1%</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0.175%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0.2%</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0.25%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Eugenol</w:t>
            </w: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0.075%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0.1%</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0.175%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0.2%</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0.25%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0.3%</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Thymol</w:t>
            </w: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0.038%</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0.075%</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12"/>
        </w:trPr>
        <w:tc>
          <w:tcPr>
            <w:tcW w:w="1854"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p>
        </w:tc>
        <w:tc>
          <w:tcPr>
            <w:tcW w:w="1611" w:type="dxa"/>
            <w:tcBorders>
              <w:top w:val="nil"/>
              <w:left w:val="nil"/>
              <w:bottom w:val="nil"/>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0.1%</w:t>
            </w:r>
          </w:p>
        </w:tc>
        <w:tc>
          <w:tcPr>
            <w:tcW w:w="1505"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298"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nil"/>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r>
      <w:tr w:rsidR="006F4759" w:rsidRPr="006F4759" w:rsidTr="00605FC5">
        <w:trPr>
          <w:trHeight w:val="324"/>
        </w:trPr>
        <w:tc>
          <w:tcPr>
            <w:tcW w:w="1854" w:type="dxa"/>
            <w:tcBorders>
              <w:top w:val="nil"/>
              <w:left w:val="nil"/>
              <w:bottom w:val="single" w:sz="8" w:space="0" w:color="auto"/>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 </w:t>
            </w:r>
          </w:p>
        </w:tc>
        <w:tc>
          <w:tcPr>
            <w:tcW w:w="1611" w:type="dxa"/>
            <w:tcBorders>
              <w:top w:val="nil"/>
              <w:left w:val="nil"/>
              <w:bottom w:val="single" w:sz="8" w:space="0" w:color="auto"/>
              <w:right w:val="nil"/>
            </w:tcBorders>
            <w:shd w:val="clear" w:color="auto" w:fill="auto"/>
            <w:noWrap/>
            <w:vAlign w:val="bottom"/>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0.2%</w:t>
            </w:r>
          </w:p>
        </w:tc>
        <w:tc>
          <w:tcPr>
            <w:tcW w:w="1505" w:type="dxa"/>
            <w:tcBorders>
              <w:top w:val="nil"/>
              <w:left w:val="nil"/>
              <w:bottom w:val="single" w:sz="8" w:space="0" w:color="auto"/>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 </w:t>
            </w:r>
          </w:p>
        </w:tc>
        <w:tc>
          <w:tcPr>
            <w:tcW w:w="1298" w:type="dxa"/>
            <w:tcBorders>
              <w:top w:val="nil"/>
              <w:left w:val="nil"/>
              <w:bottom w:val="single" w:sz="8" w:space="0" w:color="auto"/>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x</w:t>
            </w:r>
          </w:p>
        </w:tc>
        <w:tc>
          <w:tcPr>
            <w:tcW w:w="1557" w:type="dxa"/>
            <w:tcBorders>
              <w:top w:val="nil"/>
              <w:left w:val="nil"/>
              <w:bottom w:val="single" w:sz="8" w:space="0" w:color="auto"/>
              <w:right w:val="nil"/>
            </w:tcBorders>
            <w:shd w:val="clear" w:color="auto" w:fill="auto"/>
            <w:noWrap/>
            <w:vAlign w:val="center"/>
            <w:hideMark/>
          </w:tcPr>
          <w:p w:rsidR="006F4759" w:rsidRPr="006F4759" w:rsidRDefault="006F4759" w:rsidP="006F4759">
            <w:pPr>
              <w:spacing w:after="0"/>
              <w:jc w:val="center"/>
              <w:rPr>
                <w:rFonts w:ascii="Calibri" w:eastAsia="Times New Roman" w:hAnsi="Calibri" w:cs="Times New Roman"/>
                <w:color w:val="000000"/>
                <w:sz w:val="24"/>
                <w:szCs w:val="24"/>
              </w:rPr>
            </w:pPr>
            <w:r w:rsidRPr="006F4759">
              <w:rPr>
                <w:rFonts w:ascii="Calibri" w:eastAsia="Times New Roman" w:hAnsi="Calibri" w:cs="Times New Roman"/>
                <w:color w:val="000000"/>
                <w:sz w:val="24"/>
                <w:szCs w:val="24"/>
              </w:rPr>
              <w:t> </w:t>
            </w:r>
          </w:p>
        </w:tc>
      </w:tr>
    </w:tbl>
    <w:p w:rsidR="00390DB0" w:rsidRDefault="00390DB0" w:rsidP="00390DB0">
      <w:pPr>
        <w:spacing w:after="0"/>
        <w:rPr>
          <w:rFonts w:ascii="Calibri" w:eastAsia="Times New Roman" w:hAnsi="Calibri" w:cs="Times New Roman"/>
          <w:color w:val="000000"/>
        </w:rPr>
      </w:pPr>
    </w:p>
    <w:p w:rsidR="00390DB0" w:rsidRDefault="00390DB0" w:rsidP="00390DB0">
      <w:pPr>
        <w:spacing w:after="0"/>
        <w:rPr>
          <w:rFonts w:ascii="Calibri" w:eastAsia="Times New Roman" w:hAnsi="Calibri" w:cs="Times New Roman"/>
          <w:color w:val="000000"/>
        </w:rPr>
      </w:pPr>
    </w:p>
    <w:p w:rsidR="00390DB0" w:rsidRDefault="00390DB0" w:rsidP="00701057">
      <w:pPr>
        <w:jc w:val="center"/>
        <w:rPr>
          <w:sz w:val="24"/>
          <w:szCs w:val="24"/>
        </w:rPr>
      </w:pPr>
    </w:p>
    <w:p w:rsidR="00390DB0" w:rsidRDefault="00390DB0" w:rsidP="00701057">
      <w:pPr>
        <w:jc w:val="center"/>
        <w:rPr>
          <w:sz w:val="24"/>
          <w:szCs w:val="24"/>
        </w:rPr>
      </w:pPr>
    </w:p>
    <w:p w:rsidR="00390DB0" w:rsidRDefault="00390DB0" w:rsidP="00701057">
      <w:pPr>
        <w:jc w:val="center"/>
        <w:rPr>
          <w:sz w:val="24"/>
          <w:szCs w:val="24"/>
        </w:rPr>
      </w:pPr>
    </w:p>
    <w:p w:rsidR="00390DB0" w:rsidRDefault="00390DB0" w:rsidP="00701057">
      <w:pPr>
        <w:jc w:val="center"/>
        <w:rPr>
          <w:sz w:val="24"/>
          <w:szCs w:val="24"/>
        </w:rPr>
      </w:pPr>
    </w:p>
    <w:p w:rsidR="00390DB0" w:rsidRDefault="00390DB0" w:rsidP="00701057">
      <w:pPr>
        <w:jc w:val="center"/>
        <w:rPr>
          <w:sz w:val="24"/>
          <w:szCs w:val="24"/>
        </w:rPr>
      </w:pPr>
    </w:p>
    <w:p w:rsidR="00390DB0" w:rsidRDefault="00390DB0" w:rsidP="00701057">
      <w:pPr>
        <w:jc w:val="center"/>
        <w:rPr>
          <w:sz w:val="24"/>
          <w:szCs w:val="24"/>
        </w:rPr>
      </w:pPr>
    </w:p>
    <w:p w:rsidR="00390DB0" w:rsidRDefault="00390DB0" w:rsidP="00701057">
      <w:pPr>
        <w:jc w:val="center"/>
        <w:rPr>
          <w:sz w:val="24"/>
          <w:szCs w:val="24"/>
        </w:rPr>
      </w:pPr>
    </w:p>
    <w:p w:rsidR="00A5496F" w:rsidRDefault="00605FC5" w:rsidP="00696044">
      <w:pPr>
        <w:pStyle w:val="Heading2"/>
        <w:jc w:val="center"/>
        <w:rPr>
          <w:rFonts w:asciiTheme="minorHAnsi" w:hAnsiTheme="minorHAnsi"/>
          <w:color w:val="auto"/>
          <w:sz w:val="28"/>
          <w:szCs w:val="28"/>
        </w:rPr>
      </w:pPr>
      <w:bookmarkStart w:id="30" w:name="_Toc364366597"/>
      <w:r w:rsidRPr="00696044">
        <w:rPr>
          <w:rFonts w:asciiTheme="minorHAnsi" w:hAnsiTheme="minorHAnsi"/>
          <w:color w:val="auto"/>
          <w:sz w:val="28"/>
          <w:szCs w:val="28"/>
        </w:rPr>
        <w:lastRenderedPageBreak/>
        <w:t>Figures</w:t>
      </w:r>
      <w:bookmarkEnd w:id="30"/>
    </w:p>
    <w:p w:rsidR="00866C1D" w:rsidRDefault="00866C1D" w:rsidP="00A5496F"/>
    <w:p w:rsidR="00D6120B" w:rsidRDefault="00A5496F" w:rsidP="00A5496F">
      <w:r>
        <w:br w:type="page"/>
      </w:r>
    </w:p>
    <w:p w:rsidR="00D6120B" w:rsidRDefault="00D6120B" w:rsidP="00D6120B">
      <w:pPr>
        <w:sectPr w:rsidR="00D6120B" w:rsidSect="00F46612">
          <w:footerReference w:type="default" r:id="rId10"/>
          <w:pgSz w:w="12240" w:h="15840"/>
          <w:pgMar w:top="1440" w:right="1440" w:bottom="1440" w:left="1440" w:header="720" w:footer="720" w:gutter="0"/>
          <w:cols w:space="720"/>
          <w:docGrid w:linePitch="360"/>
        </w:sectPr>
      </w:pPr>
    </w:p>
    <w:p w:rsidR="00D6120B" w:rsidRDefault="00D6120B" w:rsidP="00D6120B">
      <w:r>
        <w:lastRenderedPageBreak/>
        <w:t>a)</w:t>
      </w:r>
    </w:p>
    <w:p w:rsidR="00D6120B" w:rsidRDefault="00D6120B" w:rsidP="00D6120B">
      <w:r w:rsidRPr="008A17C1">
        <w:rPr>
          <w:noProof/>
        </w:rPr>
        <w:drawing>
          <wp:inline distT="0" distB="0" distL="0" distR="0">
            <wp:extent cx="4114800" cy="2468880"/>
            <wp:effectExtent l="0" t="0" r="0" b="0"/>
            <wp:docPr id="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6120B" w:rsidRDefault="00D6120B" w:rsidP="00D6120B">
      <w:r>
        <w:t>b)</w:t>
      </w:r>
    </w:p>
    <w:p w:rsidR="00D6120B" w:rsidRDefault="00D6120B" w:rsidP="00D6120B">
      <w:r w:rsidRPr="008A17C1">
        <w:rPr>
          <w:noProof/>
        </w:rPr>
        <w:drawing>
          <wp:inline distT="0" distB="0" distL="0" distR="0">
            <wp:extent cx="4114800" cy="2468880"/>
            <wp:effectExtent l="0" t="0" r="0" b="0"/>
            <wp:docPr id="2"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6120B" w:rsidRDefault="00D6120B" w:rsidP="00D6120B">
      <w:r>
        <w:lastRenderedPageBreak/>
        <w:t>c)</w:t>
      </w:r>
    </w:p>
    <w:p w:rsidR="00D6120B" w:rsidRDefault="00D6120B" w:rsidP="00D6120B">
      <w:r w:rsidRPr="008A17C1">
        <w:rPr>
          <w:noProof/>
        </w:rPr>
        <w:drawing>
          <wp:inline distT="0" distB="0" distL="0" distR="0">
            <wp:extent cx="4114800" cy="2468880"/>
            <wp:effectExtent l="0" t="0" r="0" b="0"/>
            <wp:docPr id="3"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6120B" w:rsidRDefault="00D6120B" w:rsidP="00D6120B"/>
    <w:p w:rsidR="00D6120B" w:rsidRDefault="00D6120B" w:rsidP="00D6120B">
      <w:r>
        <w:t xml:space="preserve">Figure 3.1 Response </w:t>
      </w:r>
      <w:r w:rsidRPr="00C05D22">
        <w:t xml:space="preserve">of a) </w:t>
      </w:r>
      <w:r>
        <w:rPr>
          <w:i/>
          <w:iCs/>
        </w:rPr>
        <w:t>L. citrovorum</w:t>
      </w:r>
      <w:r w:rsidRPr="00C05D22">
        <w:rPr>
          <w:i/>
          <w:iCs/>
        </w:rPr>
        <w:t xml:space="preserve">, </w:t>
      </w:r>
      <w:r w:rsidRPr="00C05D22">
        <w:t xml:space="preserve">b) </w:t>
      </w:r>
      <w:r>
        <w:rPr>
          <w:i/>
          <w:iCs/>
        </w:rPr>
        <w:t>P. acidilactici</w:t>
      </w:r>
      <w:r w:rsidRPr="00C05D22">
        <w:rPr>
          <w:i/>
          <w:iCs/>
        </w:rPr>
        <w:t xml:space="preserve">, </w:t>
      </w:r>
      <w:r w:rsidRPr="00C05D22">
        <w:t xml:space="preserve">and c) </w:t>
      </w:r>
      <w:r>
        <w:rPr>
          <w:i/>
          <w:iCs/>
        </w:rPr>
        <w:t>L. buchneri</w:t>
      </w:r>
      <w:r w:rsidRPr="00C05D22">
        <w:rPr>
          <w:i/>
          <w:iCs/>
        </w:rPr>
        <w:t xml:space="preserve"> </w:t>
      </w:r>
      <w:r>
        <w:t>in MRS broth with varying % (w/v) thymol over</w:t>
      </w:r>
      <w:r w:rsidRPr="00C05D22">
        <w:t xml:space="preserve"> 72 </w:t>
      </w:r>
      <w:r>
        <w:t>h</w:t>
      </w:r>
    </w:p>
    <w:p w:rsidR="00D6120B" w:rsidRDefault="00D6120B" w:rsidP="00D6120B"/>
    <w:p w:rsidR="00D6120B" w:rsidRDefault="00D6120B"/>
    <w:p w:rsidR="00A5496F" w:rsidRDefault="00A5496F" w:rsidP="00A5496F">
      <w:pPr>
        <w:rPr>
          <w:rFonts w:eastAsiaTheme="majorEastAsia" w:cstheme="majorBidi"/>
        </w:rPr>
      </w:pPr>
    </w:p>
    <w:p w:rsidR="00E23F60" w:rsidRDefault="00E23F60" w:rsidP="00E23F60"/>
    <w:p w:rsidR="00E23F60" w:rsidRDefault="00E23F60" w:rsidP="00E23F60"/>
    <w:p w:rsidR="00E23F60" w:rsidRDefault="00E23F60" w:rsidP="00E23F60"/>
    <w:p w:rsidR="00E23F60" w:rsidRDefault="00E23F60" w:rsidP="00E23F60"/>
    <w:p w:rsidR="00E23F60" w:rsidRDefault="00E23F60" w:rsidP="00E23F60"/>
    <w:p w:rsidR="00E23F60" w:rsidRDefault="00E23F60" w:rsidP="00E23F60">
      <w:r>
        <w:lastRenderedPageBreak/>
        <w:t>a)</w:t>
      </w:r>
    </w:p>
    <w:p w:rsidR="00E23F60" w:rsidRDefault="00E23F60" w:rsidP="00E23F60">
      <w:r w:rsidRPr="00D14008">
        <w:rPr>
          <w:noProof/>
        </w:rPr>
        <w:drawing>
          <wp:inline distT="0" distB="0" distL="0" distR="0">
            <wp:extent cx="4114800" cy="2468880"/>
            <wp:effectExtent l="0" t="0" r="0" b="0"/>
            <wp:docPr id="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3F60" w:rsidRDefault="00E23F60" w:rsidP="00E23F60">
      <w:r>
        <w:t>b)</w:t>
      </w:r>
    </w:p>
    <w:p w:rsidR="00E23F60" w:rsidRDefault="00E23F60" w:rsidP="00E23F60">
      <w:r w:rsidRPr="00D14008">
        <w:rPr>
          <w:noProof/>
        </w:rPr>
        <w:drawing>
          <wp:inline distT="0" distB="0" distL="0" distR="0">
            <wp:extent cx="4114800" cy="2468880"/>
            <wp:effectExtent l="0" t="0" r="0" b="0"/>
            <wp:docPr id="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3F60" w:rsidRDefault="00E23F60" w:rsidP="00E23F60">
      <w:r>
        <w:lastRenderedPageBreak/>
        <w:t>c)</w:t>
      </w:r>
    </w:p>
    <w:p w:rsidR="00E23F60" w:rsidRDefault="00E23F60" w:rsidP="00E23F60">
      <w:r w:rsidRPr="00D14008">
        <w:rPr>
          <w:noProof/>
        </w:rPr>
        <w:drawing>
          <wp:inline distT="0" distB="0" distL="0" distR="0">
            <wp:extent cx="4114800" cy="2468880"/>
            <wp:effectExtent l="0" t="0" r="0" b="0"/>
            <wp:docPr id="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3F60" w:rsidRDefault="00E23F60" w:rsidP="00E23F60"/>
    <w:p w:rsidR="00E23F60" w:rsidRDefault="00E23F60" w:rsidP="00E23F60">
      <w:r>
        <w:t xml:space="preserve">Figure 3.2 Response </w:t>
      </w:r>
      <w:r w:rsidRPr="00C05D22">
        <w:t xml:space="preserve">of </w:t>
      </w:r>
      <w:r>
        <w:t>a)</w:t>
      </w:r>
      <w:r w:rsidRPr="00C05D22">
        <w:t xml:space="preserve"> </w:t>
      </w:r>
      <w:r>
        <w:rPr>
          <w:i/>
          <w:iCs/>
        </w:rPr>
        <w:t>L. citrovorum</w:t>
      </w:r>
      <w:r w:rsidRPr="00C05D22">
        <w:rPr>
          <w:i/>
          <w:iCs/>
        </w:rPr>
        <w:t xml:space="preserve">, </w:t>
      </w:r>
      <w:r w:rsidRPr="00C05D22">
        <w:t xml:space="preserve">b) </w:t>
      </w:r>
      <w:r>
        <w:rPr>
          <w:i/>
          <w:iCs/>
        </w:rPr>
        <w:t>P. acidilactici</w:t>
      </w:r>
      <w:r w:rsidRPr="00C05D22">
        <w:rPr>
          <w:i/>
          <w:iCs/>
        </w:rPr>
        <w:t xml:space="preserve">, </w:t>
      </w:r>
      <w:r w:rsidRPr="00C05D22">
        <w:t xml:space="preserve">and c) </w:t>
      </w:r>
      <w:r>
        <w:rPr>
          <w:i/>
          <w:iCs/>
        </w:rPr>
        <w:t>L. buchneri</w:t>
      </w:r>
      <w:r w:rsidRPr="00C05D22">
        <w:t xml:space="preserve"> </w:t>
      </w:r>
      <w:r w:rsidR="00C23E53">
        <w:t xml:space="preserve">in MRS broth with varying </w:t>
      </w:r>
      <w:r>
        <w:t>% (v/v) cinnamaldehyde over 72 h</w:t>
      </w:r>
    </w:p>
    <w:p w:rsidR="00E23F60" w:rsidRDefault="00E23F60" w:rsidP="00E23F60"/>
    <w:p w:rsidR="002528E6" w:rsidRDefault="002528E6" w:rsidP="002528E6"/>
    <w:p w:rsidR="002528E6" w:rsidRDefault="002528E6" w:rsidP="002528E6"/>
    <w:p w:rsidR="002528E6" w:rsidRDefault="002528E6" w:rsidP="002528E6"/>
    <w:p w:rsidR="002528E6" w:rsidRDefault="002528E6" w:rsidP="002528E6"/>
    <w:p w:rsidR="002528E6" w:rsidRDefault="002528E6" w:rsidP="002528E6"/>
    <w:p w:rsidR="002528E6" w:rsidRDefault="002528E6" w:rsidP="002528E6"/>
    <w:p w:rsidR="002528E6" w:rsidRDefault="002528E6" w:rsidP="002528E6">
      <w:r>
        <w:lastRenderedPageBreak/>
        <w:t>a)</w:t>
      </w:r>
      <w:r>
        <w:tab/>
      </w:r>
      <w:r>
        <w:tab/>
      </w:r>
      <w:r>
        <w:tab/>
      </w:r>
      <w:r>
        <w:tab/>
      </w:r>
      <w:r>
        <w:tab/>
      </w:r>
      <w:r>
        <w:tab/>
      </w:r>
      <w:r>
        <w:tab/>
      </w:r>
    </w:p>
    <w:p w:rsidR="002528E6" w:rsidRDefault="002528E6" w:rsidP="002528E6">
      <w:r w:rsidRPr="00A87893">
        <w:rPr>
          <w:noProof/>
        </w:rPr>
        <w:drawing>
          <wp:inline distT="0" distB="0" distL="0" distR="0">
            <wp:extent cx="4114800" cy="2468880"/>
            <wp:effectExtent l="0" t="0" r="0" b="0"/>
            <wp:docPr id="7"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528E6" w:rsidRDefault="002528E6" w:rsidP="002528E6">
      <w:r>
        <w:t>b)</w:t>
      </w:r>
    </w:p>
    <w:p w:rsidR="002528E6" w:rsidRDefault="002528E6" w:rsidP="002528E6">
      <w:r w:rsidRPr="00A87893">
        <w:rPr>
          <w:noProof/>
        </w:rPr>
        <w:drawing>
          <wp:inline distT="0" distB="0" distL="0" distR="0">
            <wp:extent cx="4114800" cy="2468880"/>
            <wp:effectExtent l="0" t="0" r="0" b="0"/>
            <wp:docPr id="8"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528E6" w:rsidRDefault="002528E6" w:rsidP="002528E6">
      <w:r>
        <w:lastRenderedPageBreak/>
        <w:t>c)</w:t>
      </w:r>
    </w:p>
    <w:p w:rsidR="002528E6" w:rsidRDefault="002528E6" w:rsidP="002528E6">
      <w:r w:rsidRPr="00C05D22">
        <w:rPr>
          <w:noProof/>
        </w:rPr>
        <w:drawing>
          <wp:inline distT="0" distB="0" distL="0" distR="0">
            <wp:extent cx="4156710" cy="246888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528E6" w:rsidRDefault="002528E6" w:rsidP="002528E6"/>
    <w:p w:rsidR="002528E6" w:rsidRPr="00C05D22" w:rsidRDefault="002528E6" w:rsidP="002528E6">
      <w:r w:rsidRPr="00C05D22">
        <w:t xml:space="preserve">Figure </w:t>
      </w:r>
      <w:r>
        <w:t>3.3 Response</w:t>
      </w:r>
      <w:r w:rsidRPr="00C05D22">
        <w:t xml:space="preserve"> of </w:t>
      </w:r>
      <w:r>
        <w:t>a)</w:t>
      </w:r>
      <w:r w:rsidRPr="00C05D22">
        <w:t xml:space="preserve"> </w:t>
      </w:r>
      <w:r>
        <w:rPr>
          <w:i/>
          <w:iCs/>
        </w:rPr>
        <w:t>L. citrovorum</w:t>
      </w:r>
      <w:r w:rsidRPr="00C05D22">
        <w:rPr>
          <w:i/>
          <w:iCs/>
        </w:rPr>
        <w:t xml:space="preserve">, </w:t>
      </w:r>
      <w:r w:rsidRPr="00C05D22">
        <w:t xml:space="preserve">b) </w:t>
      </w:r>
      <w:r>
        <w:rPr>
          <w:i/>
          <w:iCs/>
        </w:rPr>
        <w:t>P. acidilactici</w:t>
      </w:r>
      <w:r w:rsidRPr="00C05D22">
        <w:rPr>
          <w:i/>
          <w:iCs/>
        </w:rPr>
        <w:t xml:space="preserve">, </w:t>
      </w:r>
      <w:r w:rsidRPr="00C05D22">
        <w:t xml:space="preserve">and c) </w:t>
      </w:r>
      <w:r>
        <w:rPr>
          <w:i/>
          <w:iCs/>
        </w:rPr>
        <w:t>L. buchneri</w:t>
      </w:r>
      <w:r w:rsidRPr="00C05D22">
        <w:t xml:space="preserve"> in MRS broth with</w:t>
      </w:r>
      <w:r>
        <w:t xml:space="preserve"> varying % (v/v)</w:t>
      </w:r>
      <w:r w:rsidRPr="00C05D22">
        <w:t xml:space="preserve"> carvac</w:t>
      </w:r>
      <w:r>
        <w:t>rol over</w:t>
      </w:r>
      <w:r w:rsidRPr="00C05D22">
        <w:t xml:space="preserve"> 72 </w:t>
      </w:r>
      <w:r>
        <w:t>h</w:t>
      </w:r>
      <w:r w:rsidRPr="00C05D22">
        <w:t xml:space="preserve"> </w:t>
      </w:r>
    </w:p>
    <w:p w:rsidR="002528E6" w:rsidRDefault="002528E6" w:rsidP="002528E6"/>
    <w:p w:rsidR="00102A26" w:rsidRDefault="00102A26" w:rsidP="00102A26"/>
    <w:p w:rsidR="00102A26" w:rsidRDefault="00102A26" w:rsidP="00102A26"/>
    <w:p w:rsidR="00102A26" w:rsidRDefault="00102A26" w:rsidP="00102A26"/>
    <w:p w:rsidR="00102A26" w:rsidRDefault="00102A26" w:rsidP="00102A26"/>
    <w:p w:rsidR="00102A26" w:rsidRDefault="00102A26" w:rsidP="00102A26"/>
    <w:p w:rsidR="00102A26" w:rsidRDefault="00102A26" w:rsidP="00102A26"/>
    <w:p w:rsidR="00102A26" w:rsidRDefault="00102A26" w:rsidP="00102A26"/>
    <w:p w:rsidR="00102A26" w:rsidRDefault="00102A26" w:rsidP="00102A26">
      <w:r>
        <w:lastRenderedPageBreak/>
        <w:t>a)</w:t>
      </w:r>
    </w:p>
    <w:p w:rsidR="00102A26" w:rsidRDefault="00102A26" w:rsidP="00102A26">
      <w:r w:rsidRPr="00D14008">
        <w:rPr>
          <w:noProof/>
        </w:rPr>
        <w:drawing>
          <wp:inline distT="0" distB="0" distL="0" distR="0">
            <wp:extent cx="4114800" cy="2468880"/>
            <wp:effectExtent l="0" t="0" r="0" b="0"/>
            <wp:docPr id="10"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02A26" w:rsidRDefault="00102A26" w:rsidP="00102A26">
      <w:r>
        <w:t>b)</w:t>
      </w:r>
    </w:p>
    <w:p w:rsidR="00102A26" w:rsidRDefault="00102A26" w:rsidP="00102A26">
      <w:r w:rsidRPr="00D14008">
        <w:rPr>
          <w:noProof/>
        </w:rPr>
        <w:drawing>
          <wp:inline distT="0" distB="0" distL="0" distR="0">
            <wp:extent cx="4114800" cy="2468880"/>
            <wp:effectExtent l="0" t="0" r="0" b="0"/>
            <wp:docPr id="11"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02A26" w:rsidRDefault="00102A26" w:rsidP="00102A26">
      <w:r>
        <w:lastRenderedPageBreak/>
        <w:t>c)</w:t>
      </w:r>
    </w:p>
    <w:p w:rsidR="00102A26" w:rsidRDefault="00102A26" w:rsidP="00102A26">
      <w:r w:rsidRPr="00D14008">
        <w:rPr>
          <w:noProof/>
        </w:rPr>
        <w:drawing>
          <wp:inline distT="0" distB="0" distL="0" distR="0">
            <wp:extent cx="4114800" cy="2468880"/>
            <wp:effectExtent l="0" t="0" r="0" b="0"/>
            <wp:docPr id="12"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02A26" w:rsidRDefault="00102A26" w:rsidP="00102A26"/>
    <w:p w:rsidR="00102A26" w:rsidRDefault="00102A26" w:rsidP="00102A26">
      <w:pPr>
        <w:sectPr w:rsidR="00102A26" w:rsidSect="00D6120B">
          <w:pgSz w:w="15840" w:h="12240" w:orient="landscape"/>
          <w:pgMar w:top="1440" w:right="1440" w:bottom="1440" w:left="1440" w:header="720" w:footer="720" w:gutter="0"/>
          <w:cols w:num="2" w:space="720"/>
          <w:docGrid w:linePitch="360"/>
        </w:sectPr>
      </w:pPr>
      <w:r>
        <w:t xml:space="preserve">Figure 3.4 Response </w:t>
      </w:r>
      <w:r w:rsidRPr="00C05D22">
        <w:t>of</w:t>
      </w:r>
      <w:r>
        <w:t xml:space="preserve"> a)</w:t>
      </w:r>
      <w:r w:rsidRPr="00C05D22">
        <w:t xml:space="preserve"> </w:t>
      </w:r>
      <w:r>
        <w:rPr>
          <w:i/>
          <w:iCs/>
        </w:rPr>
        <w:t>L. citrovorum</w:t>
      </w:r>
      <w:r w:rsidRPr="00C05D22">
        <w:rPr>
          <w:i/>
          <w:iCs/>
        </w:rPr>
        <w:t xml:space="preserve">, </w:t>
      </w:r>
      <w:r w:rsidRPr="00C05D22">
        <w:t xml:space="preserve">b) </w:t>
      </w:r>
      <w:r>
        <w:rPr>
          <w:i/>
          <w:iCs/>
        </w:rPr>
        <w:t>P. acidilactici</w:t>
      </w:r>
      <w:r w:rsidRPr="00C05D22">
        <w:rPr>
          <w:i/>
          <w:iCs/>
        </w:rPr>
        <w:t xml:space="preserve">, </w:t>
      </w:r>
      <w:r w:rsidRPr="00C05D22">
        <w:t xml:space="preserve">and c) </w:t>
      </w:r>
      <w:r>
        <w:rPr>
          <w:i/>
          <w:iCs/>
        </w:rPr>
        <w:t>L. buchneri</w:t>
      </w:r>
      <w:r w:rsidRPr="00C05D22">
        <w:t xml:space="preserve"> </w:t>
      </w:r>
      <w:r>
        <w:t>in MRS broth w</w:t>
      </w:r>
      <w:r w:rsidR="004F3083">
        <w:t xml:space="preserve">ith varying % (v/v) eugenol </w:t>
      </w:r>
      <w:r>
        <w:t>over</w:t>
      </w:r>
      <w:r w:rsidRPr="00C05D22">
        <w:t xml:space="preserve"> </w:t>
      </w:r>
      <w:r w:rsidR="004F3083">
        <w:t xml:space="preserve">72 </w:t>
      </w:r>
      <w:r>
        <w:t>h</w:t>
      </w:r>
    </w:p>
    <w:p w:rsidR="006F4759" w:rsidRPr="00696044" w:rsidRDefault="00605FC5" w:rsidP="00D6120B">
      <w:pPr>
        <w:pStyle w:val="Heading2"/>
        <w:contextualSpacing/>
        <w:jc w:val="center"/>
        <w:rPr>
          <w:rFonts w:asciiTheme="minorHAnsi" w:hAnsiTheme="minorHAnsi"/>
          <w:color w:val="auto"/>
          <w:sz w:val="28"/>
          <w:szCs w:val="28"/>
        </w:rPr>
      </w:pPr>
      <w:bookmarkStart w:id="31" w:name="_Toc364366598"/>
      <w:r w:rsidRPr="00696044">
        <w:rPr>
          <w:rFonts w:asciiTheme="minorHAnsi" w:hAnsiTheme="minorHAnsi"/>
          <w:color w:val="auto"/>
          <w:sz w:val="28"/>
          <w:szCs w:val="28"/>
        </w:rPr>
        <w:lastRenderedPageBreak/>
        <w:t>List of References</w:t>
      </w:r>
      <w:bookmarkEnd w:id="31"/>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F4759" w:rsidRDefault="006F4759" w:rsidP="006F4759">
      <w:pPr>
        <w:contextualSpacing/>
        <w:rPr>
          <w:sz w:val="24"/>
          <w:szCs w:val="24"/>
        </w:rPr>
      </w:pPr>
    </w:p>
    <w:p w:rsidR="00605FC5" w:rsidRDefault="00605FC5" w:rsidP="006F4759">
      <w:pPr>
        <w:contextualSpacing/>
        <w:rPr>
          <w:sz w:val="24"/>
          <w:szCs w:val="24"/>
        </w:rPr>
      </w:pPr>
    </w:p>
    <w:p w:rsidR="00605FC5" w:rsidRDefault="00605FC5" w:rsidP="006F4759">
      <w:pPr>
        <w:contextualSpacing/>
        <w:rPr>
          <w:sz w:val="24"/>
          <w:szCs w:val="24"/>
        </w:rPr>
      </w:pPr>
    </w:p>
    <w:p w:rsidR="00605FC5" w:rsidRDefault="00605FC5" w:rsidP="006F4759">
      <w:pPr>
        <w:contextualSpacing/>
        <w:rPr>
          <w:sz w:val="24"/>
          <w:szCs w:val="24"/>
        </w:rPr>
      </w:pPr>
    </w:p>
    <w:p w:rsidR="00605FC5" w:rsidRDefault="00605FC5" w:rsidP="006F4759">
      <w:pPr>
        <w:contextualSpacing/>
        <w:rPr>
          <w:sz w:val="24"/>
          <w:szCs w:val="24"/>
        </w:rPr>
      </w:pPr>
    </w:p>
    <w:p w:rsidR="00605FC5" w:rsidRDefault="00605FC5" w:rsidP="006F4759">
      <w:pPr>
        <w:contextualSpacing/>
        <w:rPr>
          <w:sz w:val="24"/>
          <w:szCs w:val="24"/>
        </w:rPr>
      </w:pPr>
    </w:p>
    <w:p w:rsidR="00605FC5" w:rsidRDefault="00605FC5" w:rsidP="006F4759">
      <w:pPr>
        <w:contextualSpacing/>
        <w:rPr>
          <w:sz w:val="24"/>
          <w:szCs w:val="24"/>
        </w:rPr>
      </w:pPr>
    </w:p>
    <w:p w:rsidR="00605FC5" w:rsidRDefault="00605FC5" w:rsidP="006F4759">
      <w:pPr>
        <w:contextualSpacing/>
        <w:rPr>
          <w:sz w:val="24"/>
          <w:szCs w:val="24"/>
        </w:rPr>
      </w:pPr>
    </w:p>
    <w:p w:rsidR="00605FC5" w:rsidRDefault="00605FC5" w:rsidP="006F4759">
      <w:pPr>
        <w:contextualSpacing/>
        <w:rPr>
          <w:sz w:val="24"/>
          <w:szCs w:val="24"/>
        </w:rPr>
      </w:pPr>
    </w:p>
    <w:p w:rsidR="00605FC5" w:rsidRDefault="00605FC5" w:rsidP="006F4759">
      <w:pPr>
        <w:contextualSpacing/>
        <w:rPr>
          <w:sz w:val="24"/>
          <w:szCs w:val="24"/>
        </w:rPr>
      </w:pPr>
    </w:p>
    <w:p w:rsidR="00605FC5" w:rsidRDefault="00605FC5" w:rsidP="006F4759">
      <w:pPr>
        <w:contextualSpacing/>
        <w:rPr>
          <w:sz w:val="24"/>
          <w:szCs w:val="24"/>
        </w:rPr>
      </w:pPr>
    </w:p>
    <w:p w:rsidR="00605FC5" w:rsidRDefault="00605FC5" w:rsidP="006F4759">
      <w:pPr>
        <w:contextualSpacing/>
        <w:rPr>
          <w:sz w:val="24"/>
          <w:szCs w:val="24"/>
        </w:rPr>
      </w:pPr>
    </w:p>
    <w:p w:rsidR="006F4759" w:rsidRDefault="006F4759" w:rsidP="006F4759">
      <w:pPr>
        <w:contextualSpacing/>
        <w:rPr>
          <w:sz w:val="24"/>
          <w:szCs w:val="24"/>
        </w:rPr>
      </w:pPr>
      <w:proofErr w:type="gramStart"/>
      <w:r>
        <w:rPr>
          <w:sz w:val="24"/>
          <w:szCs w:val="24"/>
        </w:rPr>
        <w:lastRenderedPageBreak/>
        <w:t xml:space="preserve">Ali SM, Khan AA, Ahmed I, Musaddiq M, Ahmed KS, Polasa H, </w:t>
      </w:r>
      <w:r w:rsidRPr="00A726E1">
        <w:rPr>
          <w:sz w:val="24"/>
          <w:szCs w:val="24"/>
        </w:rPr>
        <w:t>Venkateswar</w:t>
      </w:r>
      <w:r>
        <w:rPr>
          <w:sz w:val="24"/>
          <w:szCs w:val="24"/>
        </w:rPr>
        <w:t xml:space="preserve"> Rao L, Habibullah</w:t>
      </w:r>
      <w:r>
        <w:rPr>
          <w:sz w:val="24"/>
          <w:szCs w:val="24"/>
        </w:rPr>
        <w:tab/>
      </w:r>
      <w:r>
        <w:rPr>
          <w:sz w:val="24"/>
          <w:szCs w:val="24"/>
        </w:rPr>
        <w:tab/>
        <w:t>CM, Sechi LA, Ahmed N. 2005.</w:t>
      </w:r>
      <w:proofErr w:type="gramEnd"/>
      <w:r>
        <w:rPr>
          <w:sz w:val="24"/>
          <w:szCs w:val="24"/>
        </w:rPr>
        <w:t xml:space="preserve"> Antimicrobial activities of eugenol and c</w:t>
      </w:r>
      <w:r w:rsidRPr="00A726E1">
        <w:rPr>
          <w:sz w:val="24"/>
          <w:szCs w:val="24"/>
        </w:rPr>
        <w:t>innamaldehyde</w:t>
      </w:r>
    </w:p>
    <w:p w:rsidR="006F4759" w:rsidRDefault="006F4759" w:rsidP="006F4759">
      <w:pPr>
        <w:ind w:firstLine="720"/>
        <w:contextualSpacing/>
        <w:rPr>
          <w:sz w:val="24"/>
          <w:szCs w:val="24"/>
        </w:rPr>
      </w:pPr>
      <w:r w:rsidRPr="00A726E1">
        <w:rPr>
          <w:sz w:val="24"/>
          <w:szCs w:val="24"/>
        </w:rPr>
        <w:t xml:space="preserve"> </w:t>
      </w:r>
      <w:proofErr w:type="gramStart"/>
      <w:r w:rsidRPr="00A726E1">
        <w:rPr>
          <w:sz w:val="24"/>
          <w:szCs w:val="24"/>
        </w:rPr>
        <w:t>against</w:t>
      </w:r>
      <w:proofErr w:type="gramEnd"/>
      <w:r w:rsidRPr="00A726E1">
        <w:rPr>
          <w:sz w:val="24"/>
          <w:szCs w:val="24"/>
        </w:rPr>
        <w:t xml:space="preserve"> the human gastric pathogen </w:t>
      </w:r>
      <w:r w:rsidRPr="00A726E1">
        <w:rPr>
          <w:i/>
          <w:sz w:val="24"/>
          <w:szCs w:val="24"/>
        </w:rPr>
        <w:t>Helicobacter pylori</w:t>
      </w:r>
      <w:r>
        <w:rPr>
          <w:sz w:val="24"/>
          <w:szCs w:val="24"/>
        </w:rPr>
        <w:t xml:space="preserve">. </w:t>
      </w:r>
      <w:r w:rsidRPr="00A726E1">
        <w:rPr>
          <w:sz w:val="24"/>
          <w:szCs w:val="24"/>
        </w:rPr>
        <w:t>Ann Clin Microbiol Antimicrob</w:t>
      </w:r>
    </w:p>
    <w:p w:rsidR="006F4759" w:rsidRDefault="006F4759" w:rsidP="00C23E53">
      <w:pPr>
        <w:ind w:left="720"/>
        <w:contextualSpacing/>
        <w:rPr>
          <w:sz w:val="24"/>
          <w:szCs w:val="24"/>
        </w:rPr>
      </w:pPr>
      <w:r>
        <w:rPr>
          <w:sz w:val="24"/>
          <w:szCs w:val="24"/>
        </w:rPr>
        <w:t xml:space="preserve"> 4:20. </w:t>
      </w:r>
      <w:r w:rsidRPr="00A726E1">
        <w:rPr>
          <w:sz w:val="24"/>
          <w:szCs w:val="24"/>
        </w:rPr>
        <w:t>doi</w:t>
      </w:r>
      <w:proofErr w:type="gramStart"/>
      <w:r w:rsidRPr="00A726E1">
        <w:rPr>
          <w:sz w:val="24"/>
          <w:szCs w:val="24"/>
        </w:rPr>
        <w:t>:10.1186</w:t>
      </w:r>
      <w:proofErr w:type="gramEnd"/>
      <w:r w:rsidRPr="00A726E1">
        <w:rPr>
          <w:sz w:val="24"/>
          <w:szCs w:val="24"/>
        </w:rPr>
        <w:t>/1476-0711-4-20</w:t>
      </w:r>
    </w:p>
    <w:p w:rsidR="00C23E53" w:rsidRDefault="00C23E53" w:rsidP="00C23E53">
      <w:pPr>
        <w:ind w:left="720"/>
        <w:contextualSpacing/>
        <w:rPr>
          <w:sz w:val="24"/>
          <w:szCs w:val="24"/>
        </w:rPr>
      </w:pPr>
    </w:p>
    <w:p w:rsidR="006F4759" w:rsidRDefault="006F4759" w:rsidP="006F4759">
      <w:pPr>
        <w:rPr>
          <w:sz w:val="24"/>
          <w:szCs w:val="24"/>
        </w:rPr>
      </w:pPr>
      <w:proofErr w:type="gramStart"/>
      <w:r w:rsidRPr="006A1812">
        <w:rPr>
          <w:sz w:val="24"/>
          <w:szCs w:val="24"/>
        </w:rPr>
        <w:t>Alma MH, Ertas M, Nitz S, Kollmannsberger H. 2007.</w:t>
      </w:r>
      <w:proofErr w:type="gramEnd"/>
      <w:r w:rsidRPr="006A1812">
        <w:rPr>
          <w:sz w:val="24"/>
          <w:szCs w:val="24"/>
        </w:rPr>
        <w:t xml:space="preserve"> Chemical composition and content of </w:t>
      </w:r>
      <w:r>
        <w:rPr>
          <w:sz w:val="24"/>
          <w:szCs w:val="24"/>
        </w:rPr>
        <w:tab/>
      </w:r>
      <w:r w:rsidRPr="006A1812">
        <w:rPr>
          <w:sz w:val="24"/>
          <w:szCs w:val="24"/>
        </w:rPr>
        <w:t>essential oil from the bud of cultivated Turkish clove (</w:t>
      </w:r>
      <w:r w:rsidRPr="00605FC5">
        <w:rPr>
          <w:i/>
          <w:sz w:val="24"/>
          <w:szCs w:val="24"/>
        </w:rPr>
        <w:t>Syzygium aromaticum</w:t>
      </w:r>
      <w:r w:rsidRPr="006A1812">
        <w:rPr>
          <w:sz w:val="24"/>
          <w:szCs w:val="24"/>
        </w:rPr>
        <w:t xml:space="preserve"> L.). BioRes </w:t>
      </w:r>
      <w:r>
        <w:rPr>
          <w:sz w:val="24"/>
          <w:szCs w:val="24"/>
        </w:rPr>
        <w:tab/>
      </w:r>
      <w:r w:rsidRPr="006A1812">
        <w:rPr>
          <w:sz w:val="24"/>
          <w:szCs w:val="24"/>
        </w:rPr>
        <w:t>2(2):265-269.</w:t>
      </w:r>
    </w:p>
    <w:p w:rsidR="006F4759" w:rsidRDefault="006F4759" w:rsidP="006F4759">
      <w:pPr>
        <w:rPr>
          <w:sz w:val="24"/>
          <w:szCs w:val="24"/>
        </w:rPr>
      </w:pPr>
      <w:proofErr w:type="gramStart"/>
      <w:r w:rsidRPr="006A1812">
        <w:rPr>
          <w:sz w:val="24"/>
          <w:szCs w:val="24"/>
        </w:rPr>
        <w:t>Ames BN, Profet M, Gold LS.</w:t>
      </w:r>
      <w:proofErr w:type="gramEnd"/>
      <w:r w:rsidRPr="006A1812">
        <w:rPr>
          <w:sz w:val="24"/>
          <w:szCs w:val="24"/>
        </w:rPr>
        <w:t xml:space="preserve"> 1990. Dietary pesticides (99.99% all natural). Proc </w:t>
      </w:r>
      <w:proofErr w:type="gramStart"/>
      <w:r w:rsidRPr="006A1812">
        <w:rPr>
          <w:sz w:val="24"/>
          <w:szCs w:val="24"/>
        </w:rPr>
        <w:t>Nad</w:t>
      </w:r>
      <w:proofErr w:type="gramEnd"/>
      <w:r w:rsidRPr="006A1812">
        <w:rPr>
          <w:sz w:val="24"/>
          <w:szCs w:val="24"/>
        </w:rPr>
        <w:t xml:space="preserve"> Acad Sci </w:t>
      </w:r>
      <w:r>
        <w:rPr>
          <w:sz w:val="24"/>
          <w:szCs w:val="24"/>
        </w:rPr>
        <w:tab/>
      </w:r>
      <w:r w:rsidRPr="006A1812">
        <w:rPr>
          <w:sz w:val="24"/>
          <w:szCs w:val="24"/>
        </w:rPr>
        <w:t>USA. 87:7777-7781.</w:t>
      </w:r>
    </w:p>
    <w:p w:rsidR="003F4851" w:rsidRDefault="003F4851" w:rsidP="006F4759">
      <w:pPr>
        <w:rPr>
          <w:sz w:val="24"/>
          <w:szCs w:val="24"/>
        </w:rPr>
      </w:pPr>
      <w:r w:rsidRPr="00693404">
        <w:rPr>
          <w:sz w:val="24"/>
          <w:szCs w:val="24"/>
        </w:rPr>
        <w:t>ATCC [Internet]. Manassas, VA: American Type Culture Collection;</w:t>
      </w:r>
      <w:r w:rsidR="00C23E53">
        <w:rPr>
          <w:sz w:val="24"/>
          <w:szCs w:val="24"/>
        </w:rPr>
        <w:t xml:space="preserve"> c2012 [Accessed 2013 May 9]</w:t>
      </w:r>
      <w:r w:rsidR="00C23E53">
        <w:rPr>
          <w:sz w:val="24"/>
          <w:szCs w:val="24"/>
        </w:rPr>
        <w:tab/>
      </w:r>
      <w:r w:rsidR="00C23E53">
        <w:rPr>
          <w:sz w:val="24"/>
          <w:szCs w:val="24"/>
        </w:rPr>
        <w:tab/>
      </w:r>
      <w:r w:rsidRPr="00693404">
        <w:rPr>
          <w:sz w:val="24"/>
          <w:szCs w:val="24"/>
        </w:rPr>
        <w:t xml:space="preserve">Available from: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693404">
        <w:rPr>
          <w:sz w:val="24"/>
          <w:szCs w:val="24"/>
        </w:rPr>
        <w:t>http://www.atcc.org/en/Products/Cells_and_Microorganisms/Bacteria.aspx</w:t>
      </w:r>
    </w:p>
    <w:p w:rsidR="003F4201" w:rsidRDefault="003F4201" w:rsidP="003F4201">
      <w:pPr>
        <w:rPr>
          <w:sz w:val="24"/>
          <w:szCs w:val="24"/>
        </w:rPr>
      </w:pPr>
      <w:r>
        <w:rPr>
          <w:sz w:val="24"/>
          <w:szCs w:val="24"/>
        </w:rPr>
        <w:t>Baratta</w:t>
      </w:r>
      <w:r w:rsidRPr="003F4201">
        <w:rPr>
          <w:sz w:val="24"/>
          <w:szCs w:val="24"/>
        </w:rPr>
        <w:t xml:space="preserve"> MT, Dorman HJD, Deans SG</w:t>
      </w:r>
      <w:r>
        <w:rPr>
          <w:sz w:val="24"/>
          <w:szCs w:val="24"/>
        </w:rPr>
        <w:t xml:space="preserve">, Figueiredo </w:t>
      </w:r>
      <w:r w:rsidRPr="003F4201">
        <w:rPr>
          <w:sz w:val="24"/>
          <w:szCs w:val="24"/>
        </w:rPr>
        <w:t>AC, Barroso JG</w:t>
      </w:r>
      <w:r>
        <w:rPr>
          <w:sz w:val="24"/>
          <w:szCs w:val="24"/>
        </w:rPr>
        <w:t xml:space="preserve">, Ruberto G. </w:t>
      </w:r>
      <w:r w:rsidRPr="003F4201">
        <w:rPr>
          <w:sz w:val="24"/>
          <w:szCs w:val="24"/>
        </w:rPr>
        <w:t>1998</w:t>
      </w:r>
      <w:r>
        <w:rPr>
          <w:sz w:val="24"/>
          <w:szCs w:val="24"/>
        </w:rPr>
        <w:t>.</w:t>
      </w:r>
      <w:r w:rsidRPr="003F4201">
        <w:rPr>
          <w:sz w:val="24"/>
          <w:szCs w:val="24"/>
        </w:rPr>
        <w:t xml:space="preserve"> </w:t>
      </w:r>
      <w:proofErr w:type="gramStart"/>
      <w:r w:rsidRPr="003F4201">
        <w:rPr>
          <w:sz w:val="24"/>
          <w:szCs w:val="24"/>
        </w:rPr>
        <w:t>Antimicrobial</w:t>
      </w:r>
      <w:r>
        <w:rPr>
          <w:sz w:val="24"/>
          <w:szCs w:val="24"/>
        </w:rPr>
        <w:t xml:space="preserve"> </w:t>
      </w:r>
      <w:r>
        <w:rPr>
          <w:sz w:val="24"/>
          <w:szCs w:val="24"/>
        </w:rPr>
        <w:tab/>
      </w:r>
      <w:r>
        <w:rPr>
          <w:sz w:val="24"/>
          <w:szCs w:val="24"/>
        </w:rPr>
        <w:tab/>
        <w:t>and antioxidant properties of some commercial essential oils.</w:t>
      </w:r>
      <w:proofErr w:type="gramEnd"/>
      <w:r>
        <w:rPr>
          <w:sz w:val="24"/>
          <w:szCs w:val="24"/>
        </w:rPr>
        <w:t xml:space="preserve"> Flavour Frag J 13:235-244.</w:t>
      </w:r>
      <w:r>
        <w:rPr>
          <w:sz w:val="24"/>
          <w:szCs w:val="24"/>
        </w:rPr>
        <w:tab/>
      </w:r>
    </w:p>
    <w:p w:rsidR="006F4759" w:rsidRPr="006A1812" w:rsidRDefault="00E443CC" w:rsidP="006F4759">
      <w:pPr>
        <w:rPr>
          <w:sz w:val="24"/>
          <w:szCs w:val="24"/>
        </w:rPr>
      </w:pPr>
      <w:hyperlink r:id="rId23" w:history="1">
        <w:proofErr w:type="gramStart"/>
        <w:r w:rsidR="006F4759" w:rsidRPr="00B37B5C">
          <w:rPr>
            <w:rStyle w:val="Hyperlink"/>
            <w:color w:val="auto"/>
            <w:sz w:val="24"/>
            <w:szCs w:val="24"/>
            <w:u w:val="none"/>
          </w:rPr>
          <w:t>Bassolé</w:t>
        </w:r>
      </w:hyperlink>
      <w:r w:rsidR="006F4759">
        <w:rPr>
          <w:sz w:val="24"/>
          <w:szCs w:val="24"/>
        </w:rPr>
        <w:t xml:space="preserve"> IHN and Juliani HR. 2012.</w:t>
      </w:r>
      <w:proofErr w:type="gramEnd"/>
      <w:r w:rsidR="006F4759">
        <w:rPr>
          <w:sz w:val="24"/>
          <w:szCs w:val="24"/>
        </w:rPr>
        <w:t xml:space="preserve"> </w:t>
      </w:r>
      <w:proofErr w:type="gramStart"/>
      <w:r w:rsidR="006F4759">
        <w:rPr>
          <w:sz w:val="24"/>
          <w:szCs w:val="24"/>
        </w:rPr>
        <w:t xml:space="preserve">Essential oils in combinations and their antimicrobial </w:t>
      </w:r>
      <w:r w:rsidR="006F4759">
        <w:rPr>
          <w:sz w:val="24"/>
          <w:szCs w:val="24"/>
        </w:rPr>
        <w:tab/>
        <w:t>properties.</w:t>
      </w:r>
      <w:proofErr w:type="gramEnd"/>
      <w:r w:rsidR="006F4759">
        <w:rPr>
          <w:sz w:val="24"/>
          <w:szCs w:val="24"/>
        </w:rPr>
        <w:t xml:space="preserve"> Molecules 17:3989-4006. </w:t>
      </w:r>
      <w:proofErr w:type="gramStart"/>
      <w:r w:rsidR="006F4759">
        <w:rPr>
          <w:sz w:val="24"/>
          <w:szCs w:val="24"/>
        </w:rPr>
        <w:t>doi</w:t>
      </w:r>
      <w:proofErr w:type="gramEnd"/>
      <w:r w:rsidR="006F4759">
        <w:rPr>
          <w:sz w:val="24"/>
          <w:szCs w:val="24"/>
        </w:rPr>
        <w:t>: 10.3390/molecules17043989</w:t>
      </w:r>
    </w:p>
    <w:p w:rsidR="006F4759" w:rsidRDefault="006F4759" w:rsidP="006F4759">
      <w:pPr>
        <w:rPr>
          <w:sz w:val="24"/>
          <w:szCs w:val="24"/>
        </w:rPr>
      </w:pPr>
      <w:proofErr w:type="gramStart"/>
      <w:r>
        <w:rPr>
          <w:sz w:val="24"/>
          <w:szCs w:val="24"/>
        </w:rPr>
        <w:t>Chang S-T, Chen P-F, Chang S-C.</w:t>
      </w:r>
      <w:proofErr w:type="gramEnd"/>
      <w:r>
        <w:rPr>
          <w:sz w:val="24"/>
          <w:szCs w:val="24"/>
        </w:rPr>
        <w:t xml:space="preserve"> 2001. Antibacteiral activity of leaf essential oils and their </w:t>
      </w:r>
      <w:r>
        <w:rPr>
          <w:sz w:val="24"/>
          <w:szCs w:val="24"/>
        </w:rPr>
        <w:tab/>
        <w:t xml:space="preserve">constituents from </w:t>
      </w:r>
      <w:r w:rsidRPr="0098709A">
        <w:rPr>
          <w:i/>
          <w:sz w:val="24"/>
          <w:szCs w:val="24"/>
        </w:rPr>
        <w:t>Cinnamomum osmophloeum</w:t>
      </w:r>
      <w:r>
        <w:rPr>
          <w:sz w:val="24"/>
          <w:szCs w:val="24"/>
        </w:rPr>
        <w:t>. J Ethnopharmacol 77:123-127.</w:t>
      </w:r>
    </w:p>
    <w:p w:rsidR="006F4759" w:rsidRDefault="006F4759" w:rsidP="006F4759">
      <w:pPr>
        <w:rPr>
          <w:sz w:val="24"/>
          <w:szCs w:val="24"/>
        </w:rPr>
      </w:pPr>
      <w:r w:rsidRPr="006A1812">
        <w:rPr>
          <w:sz w:val="24"/>
          <w:szCs w:val="24"/>
        </w:rPr>
        <w:t xml:space="preserve">Gómez-Estaca J, López de Lacey A, López-Caballero ME, Gómez-Guillén MC, Montero P. 2010. </w:t>
      </w:r>
      <w:r>
        <w:rPr>
          <w:sz w:val="24"/>
          <w:szCs w:val="24"/>
        </w:rPr>
        <w:tab/>
      </w:r>
      <w:r w:rsidRPr="006A1812">
        <w:rPr>
          <w:sz w:val="24"/>
          <w:szCs w:val="24"/>
        </w:rPr>
        <w:t xml:space="preserve">Biodegradable gelatin–chitosan films incorporated with essential oils as antimicrobial </w:t>
      </w:r>
      <w:r>
        <w:rPr>
          <w:sz w:val="24"/>
          <w:szCs w:val="24"/>
        </w:rPr>
        <w:tab/>
      </w:r>
      <w:r w:rsidRPr="006A1812">
        <w:rPr>
          <w:sz w:val="24"/>
          <w:szCs w:val="24"/>
        </w:rPr>
        <w:t xml:space="preserve">agents for fish preservation. Food Microbiol 27(7):889-896. </w:t>
      </w:r>
      <w:proofErr w:type="gramStart"/>
      <w:r w:rsidRPr="006A1812">
        <w:rPr>
          <w:sz w:val="24"/>
          <w:szCs w:val="24"/>
        </w:rPr>
        <w:t>doi</w:t>
      </w:r>
      <w:proofErr w:type="gramEnd"/>
      <w:r w:rsidRPr="006A1812">
        <w:rPr>
          <w:sz w:val="24"/>
          <w:szCs w:val="24"/>
        </w:rPr>
        <w:t xml:space="preserve">: </w:t>
      </w:r>
      <w:r>
        <w:rPr>
          <w:sz w:val="24"/>
          <w:szCs w:val="24"/>
        </w:rPr>
        <w:tab/>
      </w:r>
      <w:r w:rsidRPr="006A1812">
        <w:rPr>
          <w:sz w:val="24"/>
          <w:szCs w:val="24"/>
        </w:rPr>
        <w:t>10.106/j.fm.2010.05.012</w:t>
      </w:r>
    </w:p>
    <w:p w:rsidR="006F4759" w:rsidRPr="006A1812" w:rsidRDefault="006F4759" w:rsidP="006F4759">
      <w:pPr>
        <w:rPr>
          <w:sz w:val="24"/>
          <w:szCs w:val="24"/>
        </w:rPr>
      </w:pPr>
      <w:r>
        <w:rPr>
          <w:sz w:val="24"/>
          <w:szCs w:val="24"/>
        </w:rPr>
        <w:t xml:space="preserve">Hammer KA, Carson CF, Riley TV. 1999. Antimicrobial activity of essential oils and other plant </w:t>
      </w:r>
      <w:r>
        <w:rPr>
          <w:sz w:val="24"/>
          <w:szCs w:val="24"/>
        </w:rPr>
        <w:tab/>
        <w:t xml:space="preserve">extracts. </w:t>
      </w:r>
      <w:r w:rsidRPr="00E508C0">
        <w:rPr>
          <w:sz w:val="24"/>
          <w:szCs w:val="24"/>
        </w:rPr>
        <w:t xml:space="preserve">J </w:t>
      </w:r>
      <w:r>
        <w:rPr>
          <w:sz w:val="24"/>
          <w:szCs w:val="24"/>
        </w:rPr>
        <w:t>Appl Microbiol 86:985-990.</w:t>
      </w:r>
    </w:p>
    <w:p w:rsidR="006F4759" w:rsidRDefault="006F4759" w:rsidP="006F4759">
      <w:pPr>
        <w:contextualSpacing/>
        <w:rPr>
          <w:sz w:val="24"/>
          <w:szCs w:val="24"/>
        </w:rPr>
      </w:pPr>
      <w:r>
        <w:rPr>
          <w:sz w:val="24"/>
          <w:szCs w:val="24"/>
        </w:rPr>
        <w:t xml:space="preserve">Kim J, Marshall MR, Wei C. 1995. Antibacterial activity of some essential oil components against </w:t>
      </w:r>
    </w:p>
    <w:p w:rsidR="006F4759" w:rsidRDefault="006F4759" w:rsidP="006F4759">
      <w:pPr>
        <w:contextualSpacing/>
        <w:rPr>
          <w:sz w:val="24"/>
          <w:szCs w:val="24"/>
        </w:rPr>
      </w:pPr>
      <w:r>
        <w:rPr>
          <w:sz w:val="24"/>
          <w:szCs w:val="24"/>
        </w:rPr>
        <w:tab/>
      </w:r>
      <w:proofErr w:type="gramStart"/>
      <w:r>
        <w:rPr>
          <w:sz w:val="24"/>
          <w:szCs w:val="24"/>
        </w:rPr>
        <w:t>five</w:t>
      </w:r>
      <w:proofErr w:type="gramEnd"/>
      <w:r>
        <w:rPr>
          <w:sz w:val="24"/>
          <w:szCs w:val="24"/>
        </w:rPr>
        <w:t xml:space="preserve"> foodborne pathogens. J Agric Food Chem 43:2839-2845.</w:t>
      </w:r>
    </w:p>
    <w:p w:rsidR="006F4759" w:rsidRDefault="006F4759" w:rsidP="006F4759">
      <w:pPr>
        <w:contextualSpacing/>
        <w:rPr>
          <w:sz w:val="24"/>
          <w:szCs w:val="24"/>
        </w:rPr>
      </w:pPr>
    </w:p>
    <w:p w:rsidR="006F4759" w:rsidRPr="006A1812" w:rsidRDefault="006F4759" w:rsidP="006F4759">
      <w:pPr>
        <w:rPr>
          <w:sz w:val="24"/>
          <w:szCs w:val="24"/>
        </w:rPr>
      </w:pPr>
      <w:r w:rsidRPr="006A1812">
        <w:rPr>
          <w:sz w:val="24"/>
          <w:szCs w:val="24"/>
        </w:rPr>
        <w:t xml:space="preserve">Kivanç M, Akgül A, Doǧan A. 1991. </w:t>
      </w:r>
      <w:proofErr w:type="gramStart"/>
      <w:r w:rsidRPr="006A1812">
        <w:rPr>
          <w:sz w:val="24"/>
          <w:szCs w:val="24"/>
        </w:rPr>
        <w:t xml:space="preserve">Inhibitory and stimulatory effects of cumin, oregano and </w:t>
      </w:r>
      <w:r>
        <w:rPr>
          <w:sz w:val="24"/>
          <w:szCs w:val="24"/>
        </w:rPr>
        <w:tab/>
      </w:r>
      <w:r w:rsidRPr="006A1812">
        <w:rPr>
          <w:sz w:val="24"/>
          <w:szCs w:val="24"/>
        </w:rPr>
        <w:t xml:space="preserve">their essential oils on growth and acid production of </w:t>
      </w:r>
      <w:r w:rsidRPr="00FD3B94">
        <w:rPr>
          <w:i/>
          <w:sz w:val="24"/>
          <w:szCs w:val="24"/>
        </w:rPr>
        <w:t>Lactobacillus plantarum</w:t>
      </w:r>
      <w:r w:rsidRPr="006A1812">
        <w:rPr>
          <w:sz w:val="24"/>
          <w:szCs w:val="24"/>
        </w:rPr>
        <w:t xml:space="preserve"> and </w:t>
      </w:r>
      <w:r>
        <w:rPr>
          <w:sz w:val="24"/>
          <w:szCs w:val="24"/>
        </w:rPr>
        <w:tab/>
      </w:r>
      <w:r w:rsidRPr="00FD3B94">
        <w:rPr>
          <w:i/>
          <w:sz w:val="24"/>
          <w:szCs w:val="24"/>
        </w:rPr>
        <w:t>Leuconostoc mesenteroides</w:t>
      </w:r>
      <w:r w:rsidRPr="006A1812">
        <w:rPr>
          <w:sz w:val="24"/>
          <w:szCs w:val="24"/>
        </w:rPr>
        <w:t>.</w:t>
      </w:r>
      <w:proofErr w:type="gramEnd"/>
      <w:r w:rsidRPr="006A1812">
        <w:rPr>
          <w:sz w:val="24"/>
          <w:szCs w:val="24"/>
        </w:rPr>
        <w:t xml:space="preserve"> Int J Food Microbiol 13(1):81-85.</w:t>
      </w:r>
    </w:p>
    <w:p w:rsidR="006F4759" w:rsidRDefault="006F4759" w:rsidP="006F4759">
      <w:pPr>
        <w:contextualSpacing/>
        <w:rPr>
          <w:sz w:val="24"/>
          <w:szCs w:val="24"/>
        </w:rPr>
      </w:pPr>
      <w:proofErr w:type="gramStart"/>
      <w:r>
        <w:rPr>
          <w:sz w:val="24"/>
          <w:szCs w:val="24"/>
        </w:rPr>
        <w:t>Lambert RJW, Skandamis PN, Coote PJ, Nychas G-JE.</w:t>
      </w:r>
      <w:proofErr w:type="gramEnd"/>
      <w:r>
        <w:rPr>
          <w:sz w:val="24"/>
          <w:szCs w:val="24"/>
        </w:rPr>
        <w:t xml:space="preserve"> 2001. A study of the minimum inhibitory </w:t>
      </w:r>
      <w:r>
        <w:rPr>
          <w:sz w:val="24"/>
          <w:szCs w:val="24"/>
        </w:rPr>
        <w:tab/>
        <w:t>concentration and mode of action of oregano essential oil, thymol and carvacrol. J Appl</w:t>
      </w:r>
    </w:p>
    <w:p w:rsidR="006F4759" w:rsidRDefault="006F4759" w:rsidP="006F4759">
      <w:pPr>
        <w:contextualSpacing/>
        <w:rPr>
          <w:sz w:val="24"/>
          <w:szCs w:val="24"/>
        </w:rPr>
      </w:pPr>
      <w:r>
        <w:rPr>
          <w:sz w:val="24"/>
          <w:szCs w:val="24"/>
        </w:rPr>
        <w:tab/>
        <w:t>Microbiol 91:453-462.</w:t>
      </w:r>
    </w:p>
    <w:p w:rsidR="006F4759" w:rsidRPr="006A1812" w:rsidRDefault="006F4759" w:rsidP="006F4759">
      <w:pPr>
        <w:contextualSpacing/>
        <w:rPr>
          <w:sz w:val="24"/>
          <w:szCs w:val="24"/>
        </w:rPr>
      </w:pPr>
    </w:p>
    <w:p w:rsidR="006F4759" w:rsidRDefault="006F4759" w:rsidP="006F4759">
      <w:pPr>
        <w:rPr>
          <w:sz w:val="24"/>
          <w:szCs w:val="24"/>
        </w:rPr>
      </w:pPr>
      <w:r w:rsidRPr="006A1812">
        <w:rPr>
          <w:sz w:val="24"/>
          <w:szCs w:val="24"/>
        </w:rPr>
        <w:t xml:space="preserve">Martínez-Tomé M, Jiménez AM, Ruggieri S, Frega N, Strabbioli R, Murcia MA. 2001. </w:t>
      </w:r>
      <w:r w:rsidRPr="006A1812">
        <w:rPr>
          <w:sz w:val="24"/>
          <w:szCs w:val="24"/>
        </w:rPr>
        <w:tab/>
        <w:t xml:space="preserve">Antioxidant properties of Mediterranean spices compared with common food additives. </w:t>
      </w:r>
      <w:r>
        <w:rPr>
          <w:sz w:val="24"/>
          <w:szCs w:val="24"/>
        </w:rPr>
        <w:tab/>
      </w:r>
      <w:r w:rsidRPr="006A1812">
        <w:rPr>
          <w:sz w:val="24"/>
          <w:szCs w:val="24"/>
        </w:rPr>
        <w:t>J Food Protect 64(9):1412-1419.</w:t>
      </w:r>
    </w:p>
    <w:p w:rsidR="006F4759" w:rsidRDefault="006F4759" w:rsidP="006F4759">
      <w:pPr>
        <w:rPr>
          <w:sz w:val="24"/>
          <w:szCs w:val="24"/>
        </w:rPr>
      </w:pPr>
      <w:r w:rsidRPr="006A1812">
        <w:rPr>
          <w:sz w:val="24"/>
          <w:szCs w:val="24"/>
        </w:rPr>
        <w:lastRenderedPageBreak/>
        <w:t>Pino AJ, Marbot R, Agüero J, Fuentes V. 2001. Essential oil from buds and leaves of clove</w:t>
      </w:r>
      <w:r>
        <w:rPr>
          <w:sz w:val="24"/>
          <w:szCs w:val="24"/>
        </w:rPr>
        <w:tab/>
      </w:r>
      <w:r>
        <w:rPr>
          <w:sz w:val="24"/>
          <w:szCs w:val="24"/>
        </w:rPr>
        <w:tab/>
      </w:r>
      <w:r w:rsidR="0004721C">
        <w:rPr>
          <w:sz w:val="24"/>
          <w:szCs w:val="24"/>
        </w:rPr>
        <w:tab/>
      </w:r>
      <w:r w:rsidRPr="006A1812">
        <w:rPr>
          <w:sz w:val="24"/>
          <w:szCs w:val="24"/>
        </w:rPr>
        <w:t>(</w:t>
      </w:r>
      <w:r w:rsidRPr="0098709A">
        <w:rPr>
          <w:i/>
          <w:sz w:val="24"/>
          <w:szCs w:val="24"/>
        </w:rPr>
        <w:t>Syzygium aromaticum</w:t>
      </w:r>
      <w:r w:rsidRPr="006A1812">
        <w:rPr>
          <w:sz w:val="24"/>
          <w:szCs w:val="24"/>
        </w:rPr>
        <w:t xml:space="preserve"> (L.) meer. </w:t>
      </w:r>
      <w:proofErr w:type="gramStart"/>
      <w:r w:rsidRPr="006A1812">
        <w:rPr>
          <w:sz w:val="24"/>
          <w:szCs w:val="24"/>
        </w:rPr>
        <w:t>et</w:t>
      </w:r>
      <w:proofErr w:type="gramEnd"/>
      <w:r w:rsidRPr="006A1812">
        <w:rPr>
          <w:sz w:val="24"/>
          <w:szCs w:val="24"/>
        </w:rPr>
        <w:t xml:space="preserve"> perry) grown in Cuba. </w:t>
      </w:r>
      <w:proofErr w:type="gramStart"/>
      <w:r w:rsidRPr="006A1812">
        <w:rPr>
          <w:sz w:val="24"/>
          <w:szCs w:val="24"/>
        </w:rPr>
        <w:t>J Essent Oil Res 13:278-</w:t>
      </w:r>
      <w:r w:rsidRPr="006A1812">
        <w:rPr>
          <w:sz w:val="24"/>
          <w:szCs w:val="24"/>
        </w:rPr>
        <w:tab/>
        <w:t>279.</w:t>
      </w:r>
      <w:proofErr w:type="gramEnd"/>
    </w:p>
    <w:p w:rsidR="006F4759" w:rsidRPr="006A1812" w:rsidRDefault="006F4759" w:rsidP="006F4759">
      <w:pPr>
        <w:rPr>
          <w:sz w:val="24"/>
          <w:szCs w:val="24"/>
        </w:rPr>
      </w:pPr>
      <w:r>
        <w:rPr>
          <w:sz w:val="24"/>
          <w:szCs w:val="24"/>
        </w:rPr>
        <w:t xml:space="preserve">Prabuseenivasan S, Jayakumar M, Ignacimuthu S. 2006. </w:t>
      </w:r>
      <w:proofErr w:type="gramStart"/>
      <w:r w:rsidRPr="0098709A">
        <w:rPr>
          <w:i/>
          <w:sz w:val="24"/>
          <w:szCs w:val="24"/>
        </w:rPr>
        <w:t>In vitro</w:t>
      </w:r>
      <w:r>
        <w:rPr>
          <w:sz w:val="24"/>
          <w:szCs w:val="24"/>
        </w:rPr>
        <w:t xml:space="preserve"> antibacterial activity of some </w:t>
      </w:r>
      <w:r>
        <w:rPr>
          <w:sz w:val="24"/>
          <w:szCs w:val="24"/>
        </w:rPr>
        <w:tab/>
        <w:t>plant essential oils.</w:t>
      </w:r>
      <w:proofErr w:type="gramEnd"/>
      <w:r>
        <w:rPr>
          <w:sz w:val="24"/>
          <w:szCs w:val="24"/>
        </w:rPr>
        <w:t xml:space="preserve"> BMC Complem Altern M 6:39. </w:t>
      </w:r>
      <w:proofErr w:type="gramStart"/>
      <w:r>
        <w:rPr>
          <w:sz w:val="24"/>
          <w:szCs w:val="24"/>
        </w:rPr>
        <w:t>doi</w:t>
      </w:r>
      <w:proofErr w:type="gramEnd"/>
      <w:r>
        <w:rPr>
          <w:sz w:val="24"/>
          <w:szCs w:val="24"/>
        </w:rPr>
        <w:t>: 10.1186/1472-6882-6-39</w:t>
      </w:r>
    </w:p>
    <w:p w:rsidR="006F4759" w:rsidRPr="006A1812" w:rsidRDefault="006F4759" w:rsidP="006F4759">
      <w:pPr>
        <w:rPr>
          <w:sz w:val="24"/>
          <w:szCs w:val="24"/>
        </w:rPr>
      </w:pPr>
      <w:r>
        <w:rPr>
          <w:sz w:val="24"/>
          <w:szCs w:val="24"/>
        </w:rPr>
        <w:t>Quale JM,</w:t>
      </w:r>
      <w:r w:rsidRPr="00C90DDA">
        <w:t xml:space="preserve"> </w:t>
      </w:r>
      <w:r w:rsidRPr="00C90DDA">
        <w:rPr>
          <w:sz w:val="24"/>
          <w:szCs w:val="24"/>
        </w:rPr>
        <w:t>Landman</w:t>
      </w:r>
      <w:r>
        <w:rPr>
          <w:sz w:val="24"/>
          <w:szCs w:val="24"/>
        </w:rPr>
        <w:t xml:space="preserve"> D, Zaman MM, Bumey S, Sathe SS. 1996. In vitro a</w:t>
      </w:r>
      <w:r w:rsidRPr="00C90DDA">
        <w:rPr>
          <w:sz w:val="24"/>
          <w:szCs w:val="24"/>
        </w:rPr>
        <w:t xml:space="preserve">ctivity of </w:t>
      </w:r>
      <w:r w:rsidRPr="00C90DDA">
        <w:rPr>
          <w:i/>
          <w:sz w:val="24"/>
          <w:szCs w:val="24"/>
        </w:rPr>
        <w:t>Cinnamomum</w:t>
      </w:r>
      <w:r w:rsidRPr="00C90DDA">
        <w:rPr>
          <w:sz w:val="24"/>
          <w:szCs w:val="24"/>
        </w:rPr>
        <w:t xml:space="preserve"> </w:t>
      </w:r>
      <w:r>
        <w:rPr>
          <w:sz w:val="24"/>
          <w:szCs w:val="24"/>
        </w:rPr>
        <w:tab/>
      </w:r>
      <w:r w:rsidRPr="00C90DDA">
        <w:rPr>
          <w:i/>
          <w:sz w:val="24"/>
          <w:szCs w:val="24"/>
        </w:rPr>
        <w:t>zeylanicum</w:t>
      </w:r>
      <w:r w:rsidRPr="00C90DDA">
        <w:rPr>
          <w:sz w:val="24"/>
          <w:szCs w:val="24"/>
        </w:rPr>
        <w:t xml:space="preserve"> </w:t>
      </w:r>
      <w:r>
        <w:rPr>
          <w:sz w:val="24"/>
          <w:szCs w:val="24"/>
        </w:rPr>
        <w:t>against a</w:t>
      </w:r>
      <w:r w:rsidRPr="00C90DDA">
        <w:rPr>
          <w:sz w:val="24"/>
          <w:szCs w:val="24"/>
        </w:rPr>
        <w:t xml:space="preserve">zole </w:t>
      </w:r>
      <w:r>
        <w:rPr>
          <w:sz w:val="24"/>
          <w:szCs w:val="24"/>
        </w:rPr>
        <w:t>r</w:t>
      </w:r>
      <w:r w:rsidRPr="00C90DDA">
        <w:rPr>
          <w:sz w:val="24"/>
          <w:szCs w:val="24"/>
        </w:rPr>
        <w:t xml:space="preserve">esistant and </w:t>
      </w:r>
      <w:r>
        <w:rPr>
          <w:sz w:val="24"/>
          <w:szCs w:val="24"/>
        </w:rPr>
        <w:t>s</w:t>
      </w:r>
      <w:r w:rsidRPr="00C90DDA">
        <w:rPr>
          <w:sz w:val="24"/>
          <w:szCs w:val="24"/>
        </w:rPr>
        <w:t xml:space="preserve">ensitive </w:t>
      </w:r>
      <w:r>
        <w:rPr>
          <w:sz w:val="24"/>
          <w:szCs w:val="24"/>
        </w:rPr>
        <w:t>c</w:t>
      </w:r>
      <w:r w:rsidRPr="00C90DDA">
        <w:rPr>
          <w:sz w:val="24"/>
          <w:szCs w:val="24"/>
        </w:rPr>
        <w:t xml:space="preserve">andida </w:t>
      </w:r>
      <w:r>
        <w:rPr>
          <w:sz w:val="24"/>
          <w:szCs w:val="24"/>
        </w:rPr>
        <w:t>s</w:t>
      </w:r>
      <w:r w:rsidRPr="00C90DDA">
        <w:rPr>
          <w:sz w:val="24"/>
          <w:szCs w:val="24"/>
        </w:rPr>
        <w:t xml:space="preserve">pecies and a </w:t>
      </w:r>
      <w:r>
        <w:rPr>
          <w:sz w:val="24"/>
          <w:szCs w:val="24"/>
        </w:rPr>
        <w:t>p</w:t>
      </w:r>
      <w:r w:rsidRPr="00C90DDA">
        <w:rPr>
          <w:sz w:val="24"/>
          <w:szCs w:val="24"/>
        </w:rPr>
        <w:t xml:space="preserve">ilot </w:t>
      </w:r>
      <w:r>
        <w:rPr>
          <w:sz w:val="24"/>
          <w:szCs w:val="24"/>
        </w:rPr>
        <w:t>s</w:t>
      </w:r>
      <w:r w:rsidRPr="00C90DDA">
        <w:rPr>
          <w:sz w:val="24"/>
          <w:szCs w:val="24"/>
        </w:rPr>
        <w:t xml:space="preserve">tudy of </w:t>
      </w:r>
      <w:r>
        <w:rPr>
          <w:sz w:val="24"/>
          <w:szCs w:val="24"/>
        </w:rPr>
        <w:tab/>
        <w:t>c</w:t>
      </w:r>
      <w:r w:rsidRPr="00C90DDA">
        <w:rPr>
          <w:sz w:val="24"/>
          <w:szCs w:val="24"/>
        </w:rPr>
        <w:t xml:space="preserve">innamon for </w:t>
      </w:r>
      <w:r>
        <w:rPr>
          <w:sz w:val="24"/>
          <w:szCs w:val="24"/>
        </w:rPr>
        <w:t>o</w:t>
      </w:r>
      <w:r w:rsidRPr="00C90DDA">
        <w:rPr>
          <w:sz w:val="24"/>
          <w:szCs w:val="24"/>
        </w:rPr>
        <w:t xml:space="preserve">ral </w:t>
      </w:r>
      <w:r>
        <w:rPr>
          <w:sz w:val="24"/>
          <w:szCs w:val="24"/>
        </w:rPr>
        <w:t>c</w:t>
      </w:r>
      <w:r w:rsidRPr="00C90DDA">
        <w:rPr>
          <w:sz w:val="24"/>
          <w:szCs w:val="24"/>
        </w:rPr>
        <w:t>andidiasis</w:t>
      </w:r>
      <w:r>
        <w:rPr>
          <w:sz w:val="24"/>
          <w:szCs w:val="24"/>
        </w:rPr>
        <w:t xml:space="preserve">. </w:t>
      </w:r>
      <w:proofErr w:type="gramStart"/>
      <w:r>
        <w:rPr>
          <w:sz w:val="24"/>
          <w:szCs w:val="24"/>
        </w:rPr>
        <w:t>Am</w:t>
      </w:r>
      <w:proofErr w:type="gramEnd"/>
      <w:r>
        <w:rPr>
          <w:sz w:val="24"/>
          <w:szCs w:val="24"/>
        </w:rPr>
        <w:t xml:space="preserve"> J Chin Med 24:103-109.</w:t>
      </w:r>
      <w:r w:rsidRPr="00C90DDA">
        <w:rPr>
          <w:sz w:val="24"/>
          <w:szCs w:val="24"/>
        </w:rPr>
        <w:t xml:space="preserve"> </w:t>
      </w:r>
      <w:proofErr w:type="gramStart"/>
      <w:r>
        <w:rPr>
          <w:sz w:val="24"/>
          <w:szCs w:val="24"/>
        </w:rPr>
        <w:t>doi</w:t>
      </w:r>
      <w:proofErr w:type="gramEnd"/>
      <w:r w:rsidRPr="00C90DDA">
        <w:rPr>
          <w:sz w:val="24"/>
          <w:szCs w:val="24"/>
        </w:rPr>
        <w:t xml:space="preserve">: </w:t>
      </w:r>
      <w:r>
        <w:rPr>
          <w:sz w:val="24"/>
          <w:szCs w:val="24"/>
        </w:rPr>
        <w:tab/>
      </w:r>
      <w:r w:rsidRPr="00C90DDA">
        <w:rPr>
          <w:sz w:val="24"/>
          <w:szCs w:val="24"/>
        </w:rPr>
        <w:t>10.1142/S0192415X96000153</w:t>
      </w:r>
    </w:p>
    <w:p w:rsidR="006F4759" w:rsidRPr="006A1812" w:rsidRDefault="006F4759" w:rsidP="006F4759">
      <w:pPr>
        <w:rPr>
          <w:sz w:val="24"/>
          <w:szCs w:val="24"/>
        </w:rPr>
      </w:pPr>
      <w:r w:rsidRPr="006A1812">
        <w:rPr>
          <w:sz w:val="24"/>
          <w:szCs w:val="24"/>
        </w:rPr>
        <w:t xml:space="preserve">Shelef, L. A. 1983. </w:t>
      </w:r>
      <w:proofErr w:type="gramStart"/>
      <w:r w:rsidRPr="006A1812">
        <w:rPr>
          <w:sz w:val="24"/>
          <w:szCs w:val="24"/>
        </w:rPr>
        <w:t>Antimicrobial effects of spices.</w:t>
      </w:r>
      <w:proofErr w:type="gramEnd"/>
      <w:r w:rsidRPr="006A1812">
        <w:rPr>
          <w:sz w:val="24"/>
          <w:szCs w:val="24"/>
        </w:rPr>
        <w:t xml:space="preserve"> </w:t>
      </w:r>
      <w:proofErr w:type="gramStart"/>
      <w:r w:rsidRPr="006A1812">
        <w:rPr>
          <w:sz w:val="24"/>
          <w:szCs w:val="24"/>
        </w:rPr>
        <w:t>J Food Safety.</w:t>
      </w:r>
      <w:proofErr w:type="gramEnd"/>
      <w:r w:rsidRPr="006A1812">
        <w:rPr>
          <w:sz w:val="24"/>
          <w:szCs w:val="24"/>
        </w:rPr>
        <w:t xml:space="preserve"> 6:29-44.</w:t>
      </w:r>
    </w:p>
    <w:p w:rsidR="006F4759" w:rsidRPr="006A1812" w:rsidRDefault="006F4759" w:rsidP="006F4759">
      <w:pPr>
        <w:rPr>
          <w:sz w:val="24"/>
          <w:szCs w:val="24"/>
        </w:rPr>
      </w:pPr>
      <w:proofErr w:type="gramStart"/>
      <w:r>
        <w:rPr>
          <w:sz w:val="24"/>
          <w:szCs w:val="24"/>
        </w:rPr>
        <w:t>Smith D and Stratton JE.</w:t>
      </w:r>
      <w:proofErr w:type="gramEnd"/>
      <w:r>
        <w:rPr>
          <w:sz w:val="24"/>
          <w:szCs w:val="24"/>
        </w:rPr>
        <w:t xml:space="preserve"> 2006. Understanding GMPs for sauces and dressings. </w:t>
      </w:r>
      <w:proofErr w:type="gramStart"/>
      <w:r>
        <w:rPr>
          <w:sz w:val="24"/>
          <w:szCs w:val="24"/>
        </w:rPr>
        <w:t xml:space="preserve">University of </w:t>
      </w:r>
      <w:r>
        <w:rPr>
          <w:sz w:val="24"/>
          <w:szCs w:val="24"/>
        </w:rPr>
        <w:tab/>
        <w:t>Nebraska-Lincoln Extension.</w:t>
      </w:r>
      <w:proofErr w:type="gramEnd"/>
    </w:p>
    <w:p w:rsidR="006F4759" w:rsidRPr="006A1812" w:rsidRDefault="006F4759" w:rsidP="006F4759">
      <w:pPr>
        <w:rPr>
          <w:sz w:val="24"/>
          <w:szCs w:val="24"/>
        </w:rPr>
      </w:pPr>
      <w:r w:rsidRPr="006A1812">
        <w:rPr>
          <w:sz w:val="24"/>
          <w:szCs w:val="24"/>
        </w:rPr>
        <w:t xml:space="preserve">Sofos JN, Beuchat LR, Davidson PM, Johnson EA. 1998. </w:t>
      </w:r>
      <w:proofErr w:type="gramStart"/>
      <w:r w:rsidRPr="006A1812">
        <w:rPr>
          <w:sz w:val="24"/>
          <w:szCs w:val="24"/>
        </w:rPr>
        <w:t xml:space="preserve">Naturally occurring antimicrobials in </w:t>
      </w:r>
      <w:r w:rsidRPr="006A1812">
        <w:rPr>
          <w:sz w:val="24"/>
          <w:szCs w:val="24"/>
        </w:rPr>
        <w:tab/>
        <w:t>food.</w:t>
      </w:r>
      <w:proofErr w:type="gramEnd"/>
      <w:r w:rsidRPr="006A1812">
        <w:rPr>
          <w:sz w:val="24"/>
          <w:szCs w:val="24"/>
        </w:rPr>
        <w:t xml:space="preserve"> Regul Toxicol Pharm 28:71-72. </w:t>
      </w:r>
    </w:p>
    <w:p w:rsidR="003F4201" w:rsidRDefault="006F4759" w:rsidP="006D2064">
      <w:r>
        <w:rPr>
          <w:sz w:val="24"/>
          <w:szCs w:val="24"/>
        </w:rPr>
        <w:t xml:space="preserve">Zaika LL. 1988. Spices and herbs: Their antimicrobial activity and its determination. J Food </w:t>
      </w:r>
      <w:r>
        <w:rPr>
          <w:sz w:val="24"/>
          <w:szCs w:val="24"/>
        </w:rPr>
        <w:tab/>
        <w:t>Safety 9:97-118.</w:t>
      </w:r>
    </w:p>
    <w:p w:rsidR="006D2064" w:rsidRDefault="006D2064" w:rsidP="003F4201">
      <w:pPr>
        <w:pStyle w:val="Heading1"/>
        <w:spacing w:line="480" w:lineRule="auto"/>
        <w:contextualSpacing/>
        <w:jc w:val="center"/>
        <w:rPr>
          <w:rFonts w:asciiTheme="minorHAnsi" w:hAnsiTheme="minorHAnsi"/>
          <w:color w:val="auto"/>
        </w:rPr>
      </w:pPr>
    </w:p>
    <w:p w:rsidR="006D2064" w:rsidRDefault="006D2064" w:rsidP="003F4201">
      <w:pPr>
        <w:pStyle w:val="Heading1"/>
        <w:spacing w:line="480" w:lineRule="auto"/>
        <w:contextualSpacing/>
        <w:jc w:val="center"/>
        <w:rPr>
          <w:rFonts w:asciiTheme="minorHAnsi" w:hAnsiTheme="minorHAnsi"/>
          <w:color w:val="auto"/>
        </w:rPr>
      </w:pPr>
    </w:p>
    <w:p w:rsidR="006D2064" w:rsidRDefault="006D2064" w:rsidP="006D2064"/>
    <w:p w:rsidR="00FB001E" w:rsidRDefault="00FB001E" w:rsidP="00FB001E">
      <w:pPr>
        <w:rPr>
          <w:sz w:val="24"/>
          <w:szCs w:val="24"/>
        </w:rPr>
      </w:pPr>
    </w:p>
    <w:p w:rsidR="00FB001E" w:rsidRDefault="00FB001E" w:rsidP="00FB001E">
      <w:pPr>
        <w:rPr>
          <w:sz w:val="24"/>
          <w:szCs w:val="24"/>
        </w:rPr>
      </w:pPr>
    </w:p>
    <w:p w:rsidR="00FB001E" w:rsidRDefault="00FB001E" w:rsidP="00FB001E">
      <w:pPr>
        <w:rPr>
          <w:sz w:val="24"/>
          <w:szCs w:val="24"/>
        </w:rPr>
      </w:pPr>
    </w:p>
    <w:p w:rsidR="00FB001E" w:rsidRDefault="00FB001E" w:rsidP="00FB001E">
      <w:pPr>
        <w:rPr>
          <w:sz w:val="24"/>
          <w:szCs w:val="24"/>
        </w:rPr>
      </w:pPr>
    </w:p>
    <w:p w:rsidR="00FB001E" w:rsidRDefault="00FB001E" w:rsidP="00FB001E">
      <w:pPr>
        <w:rPr>
          <w:sz w:val="24"/>
          <w:szCs w:val="24"/>
        </w:rPr>
      </w:pPr>
    </w:p>
    <w:p w:rsidR="00FB001E" w:rsidRDefault="00FB001E" w:rsidP="00FB001E">
      <w:pPr>
        <w:rPr>
          <w:sz w:val="24"/>
          <w:szCs w:val="24"/>
        </w:rPr>
      </w:pPr>
    </w:p>
    <w:p w:rsidR="00FB001E" w:rsidRDefault="00FB001E" w:rsidP="00FB001E">
      <w:pPr>
        <w:rPr>
          <w:sz w:val="24"/>
          <w:szCs w:val="24"/>
        </w:rPr>
      </w:pPr>
    </w:p>
    <w:p w:rsidR="00FB001E" w:rsidRPr="00FB001E" w:rsidRDefault="00FB001E" w:rsidP="00FB001E">
      <w:pPr>
        <w:pStyle w:val="Heading1"/>
        <w:spacing w:line="480" w:lineRule="auto"/>
        <w:contextualSpacing/>
        <w:jc w:val="center"/>
        <w:rPr>
          <w:rFonts w:asciiTheme="minorHAnsi" w:hAnsiTheme="minorHAnsi"/>
          <w:color w:val="auto"/>
        </w:rPr>
      </w:pPr>
      <w:bookmarkStart w:id="32" w:name="_Toc364366599"/>
      <w:r w:rsidRPr="00FB001E">
        <w:rPr>
          <w:rFonts w:asciiTheme="minorHAnsi" w:hAnsiTheme="minorHAnsi"/>
          <w:color w:val="auto"/>
        </w:rPr>
        <w:lastRenderedPageBreak/>
        <w:t>Conclusion</w:t>
      </w:r>
      <w:bookmarkEnd w:id="32"/>
    </w:p>
    <w:p w:rsidR="006D2064" w:rsidRDefault="00FB001E" w:rsidP="00FB001E">
      <w:pPr>
        <w:spacing w:line="480" w:lineRule="auto"/>
        <w:contextualSpacing/>
      </w:pPr>
      <w:r>
        <w:rPr>
          <w:sz w:val="24"/>
          <w:szCs w:val="24"/>
        </w:rPr>
        <w:tab/>
        <w:t xml:space="preserve">The substitution of essential oils for traditional food preservatives is promising. Given the abundant literature regarding essential oils against foodborne pathogens, it is evident that enthusiasm exists for essential oils as effective food additives. However, as research exploring their potential against spoilage species is limited, much work is still to be done before these can be applied effectively to foods.     </w:t>
      </w:r>
    </w:p>
    <w:p w:rsidR="00FB001E" w:rsidRPr="00FB001E" w:rsidRDefault="00FB001E" w:rsidP="00FB001E">
      <w:pPr>
        <w:rPr>
          <w:b/>
          <w:sz w:val="24"/>
          <w:szCs w:val="24"/>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824AB4" w:rsidRDefault="00824AB4" w:rsidP="00FB001E">
      <w:pPr>
        <w:jc w:val="center"/>
        <w:rPr>
          <w:b/>
          <w:sz w:val="28"/>
          <w:szCs w:val="28"/>
        </w:rPr>
      </w:pPr>
    </w:p>
    <w:p w:rsidR="00FB001E" w:rsidRDefault="00C23E53" w:rsidP="00824AB4">
      <w:pPr>
        <w:pStyle w:val="Heading2"/>
        <w:spacing w:line="480" w:lineRule="auto"/>
        <w:jc w:val="center"/>
        <w:rPr>
          <w:rFonts w:asciiTheme="minorHAnsi" w:hAnsiTheme="minorHAnsi"/>
          <w:color w:val="auto"/>
          <w:sz w:val="28"/>
          <w:szCs w:val="28"/>
        </w:rPr>
      </w:pPr>
      <w:bookmarkStart w:id="33" w:name="_Toc364366600"/>
      <w:r>
        <w:rPr>
          <w:rFonts w:asciiTheme="minorHAnsi" w:hAnsiTheme="minorHAnsi"/>
          <w:color w:val="auto"/>
          <w:sz w:val="28"/>
          <w:szCs w:val="28"/>
        </w:rPr>
        <w:lastRenderedPageBreak/>
        <w:t xml:space="preserve">List of </w:t>
      </w:r>
      <w:r w:rsidR="00FB001E" w:rsidRPr="00824AB4">
        <w:rPr>
          <w:rFonts w:asciiTheme="minorHAnsi" w:hAnsiTheme="minorHAnsi"/>
          <w:color w:val="auto"/>
          <w:sz w:val="28"/>
          <w:szCs w:val="28"/>
        </w:rPr>
        <w:t>References</w:t>
      </w:r>
      <w:bookmarkEnd w:id="33"/>
    </w:p>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C23E53" w:rsidRDefault="00C23E53" w:rsidP="00C23E53"/>
    <w:p w:rsidR="00FB001E" w:rsidRDefault="00E443CC" w:rsidP="00824AB4">
      <w:pPr>
        <w:rPr>
          <w:sz w:val="24"/>
          <w:szCs w:val="24"/>
        </w:rPr>
      </w:pPr>
      <w:hyperlink r:id="rId24" w:history="1">
        <w:proofErr w:type="gramStart"/>
        <w:r w:rsidR="00FB001E" w:rsidRPr="00B37B5C">
          <w:rPr>
            <w:rStyle w:val="Hyperlink"/>
            <w:color w:val="auto"/>
            <w:sz w:val="24"/>
            <w:szCs w:val="24"/>
            <w:u w:val="none"/>
          </w:rPr>
          <w:t>Bassolé</w:t>
        </w:r>
      </w:hyperlink>
      <w:r w:rsidR="00FB001E">
        <w:rPr>
          <w:sz w:val="24"/>
          <w:szCs w:val="24"/>
        </w:rPr>
        <w:t xml:space="preserve"> IHN and Juliani HR. 2012.</w:t>
      </w:r>
      <w:proofErr w:type="gramEnd"/>
      <w:r w:rsidR="00FB001E">
        <w:rPr>
          <w:sz w:val="24"/>
          <w:szCs w:val="24"/>
        </w:rPr>
        <w:t xml:space="preserve"> </w:t>
      </w:r>
      <w:proofErr w:type="gramStart"/>
      <w:r w:rsidR="00FB001E">
        <w:rPr>
          <w:sz w:val="24"/>
          <w:szCs w:val="24"/>
        </w:rPr>
        <w:t xml:space="preserve">Essential oils in combinations and their antimicrobial </w:t>
      </w:r>
      <w:r w:rsidR="00FB001E">
        <w:rPr>
          <w:sz w:val="24"/>
          <w:szCs w:val="24"/>
        </w:rPr>
        <w:tab/>
        <w:t>properties.</w:t>
      </w:r>
      <w:proofErr w:type="gramEnd"/>
      <w:r w:rsidR="00FB001E">
        <w:rPr>
          <w:sz w:val="24"/>
          <w:szCs w:val="24"/>
        </w:rPr>
        <w:t xml:space="preserve"> Molecules 17:3989-4006. </w:t>
      </w:r>
      <w:proofErr w:type="gramStart"/>
      <w:r w:rsidR="00FB001E">
        <w:rPr>
          <w:sz w:val="24"/>
          <w:szCs w:val="24"/>
        </w:rPr>
        <w:t>doi</w:t>
      </w:r>
      <w:proofErr w:type="gramEnd"/>
      <w:r w:rsidR="00FB001E">
        <w:rPr>
          <w:sz w:val="24"/>
          <w:szCs w:val="24"/>
        </w:rPr>
        <w:t>: 10.3390/molecules17043989</w:t>
      </w:r>
    </w:p>
    <w:p w:rsidR="006D2064" w:rsidRDefault="00FB001E" w:rsidP="006D2064">
      <w:pPr>
        <w:contextualSpacing/>
        <w:rPr>
          <w:sz w:val="24"/>
          <w:szCs w:val="24"/>
        </w:rPr>
      </w:pPr>
      <w:r>
        <w:rPr>
          <w:sz w:val="24"/>
          <w:szCs w:val="24"/>
        </w:rPr>
        <w:t xml:space="preserve">Davidson PM, Sofos JN, Branen AL. 2005. </w:t>
      </w:r>
      <w:proofErr w:type="gramStart"/>
      <w:r>
        <w:rPr>
          <w:sz w:val="24"/>
          <w:szCs w:val="24"/>
        </w:rPr>
        <w:t>Antimicrobials in foods.</w:t>
      </w:r>
      <w:proofErr w:type="gramEnd"/>
      <w:r>
        <w:rPr>
          <w:sz w:val="24"/>
          <w:szCs w:val="24"/>
        </w:rPr>
        <w:t xml:space="preserve"> 3</w:t>
      </w:r>
      <w:r w:rsidRPr="00AD2B48">
        <w:rPr>
          <w:sz w:val="24"/>
          <w:szCs w:val="24"/>
          <w:vertAlign w:val="superscript"/>
        </w:rPr>
        <w:t>rd</w:t>
      </w:r>
      <w:r>
        <w:rPr>
          <w:sz w:val="24"/>
          <w:szCs w:val="24"/>
        </w:rPr>
        <w:t xml:space="preserve"> ed. Boca Raton, Florida: </w:t>
      </w:r>
      <w:r>
        <w:rPr>
          <w:sz w:val="24"/>
          <w:szCs w:val="24"/>
        </w:rPr>
        <w:tab/>
        <w:t xml:space="preserve">CRC/Taylor &amp; Francis. </w:t>
      </w:r>
      <w:proofErr w:type="gramStart"/>
      <w:r>
        <w:rPr>
          <w:sz w:val="24"/>
          <w:szCs w:val="24"/>
        </w:rPr>
        <w:t>706 p.</w:t>
      </w:r>
      <w:proofErr w:type="gramEnd"/>
    </w:p>
    <w:p w:rsidR="00FB001E" w:rsidRDefault="00FB001E" w:rsidP="006D2064">
      <w:pPr>
        <w:contextualSpacing/>
      </w:pPr>
    </w:p>
    <w:p w:rsidR="00FB001E" w:rsidRPr="006A1812" w:rsidRDefault="00FB001E" w:rsidP="00FB001E">
      <w:pPr>
        <w:rPr>
          <w:sz w:val="24"/>
          <w:szCs w:val="24"/>
        </w:rPr>
      </w:pPr>
      <w:r w:rsidRPr="006A1812">
        <w:rPr>
          <w:sz w:val="24"/>
          <w:szCs w:val="24"/>
        </w:rPr>
        <w:t xml:space="preserve">Shelef, L. A. 1983. </w:t>
      </w:r>
      <w:proofErr w:type="gramStart"/>
      <w:r w:rsidRPr="006A1812">
        <w:rPr>
          <w:sz w:val="24"/>
          <w:szCs w:val="24"/>
        </w:rPr>
        <w:t>Antimicrobial effects of spices.</w:t>
      </w:r>
      <w:proofErr w:type="gramEnd"/>
      <w:r w:rsidRPr="006A1812">
        <w:rPr>
          <w:sz w:val="24"/>
          <w:szCs w:val="24"/>
        </w:rPr>
        <w:t xml:space="preserve"> </w:t>
      </w:r>
      <w:proofErr w:type="gramStart"/>
      <w:r w:rsidRPr="006A1812">
        <w:rPr>
          <w:sz w:val="24"/>
          <w:szCs w:val="24"/>
        </w:rPr>
        <w:t>J Food Safety.</w:t>
      </w:r>
      <w:proofErr w:type="gramEnd"/>
      <w:r w:rsidRPr="006A1812">
        <w:rPr>
          <w:sz w:val="24"/>
          <w:szCs w:val="24"/>
        </w:rPr>
        <w:t xml:space="preserve"> 6:29-44.</w:t>
      </w:r>
    </w:p>
    <w:p w:rsidR="006D2064" w:rsidRDefault="006D2064" w:rsidP="006D2064"/>
    <w:p w:rsidR="006D2064" w:rsidRDefault="006D2064" w:rsidP="006D2064"/>
    <w:p w:rsidR="006D2064" w:rsidRDefault="006D2064" w:rsidP="006D2064"/>
    <w:p w:rsidR="006D2064" w:rsidRDefault="006D2064" w:rsidP="006D2064"/>
    <w:p w:rsidR="006D2064" w:rsidRDefault="006D2064" w:rsidP="006D2064"/>
    <w:p w:rsidR="00506847" w:rsidRDefault="00506847" w:rsidP="006D2064">
      <w:pPr>
        <w:sectPr w:rsidR="00506847" w:rsidSect="00102A26">
          <w:pgSz w:w="12240" w:h="15840"/>
          <w:pgMar w:top="1440" w:right="1440" w:bottom="1440" w:left="1440" w:header="720" w:footer="720" w:gutter="0"/>
          <w:cols w:space="720"/>
          <w:docGrid w:linePitch="360"/>
        </w:sectPr>
      </w:pPr>
    </w:p>
    <w:p w:rsidR="0098709A" w:rsidRPr="00696044" w:rsidRDefault="0098709A" w:rsidP="00C23E53">
      <w:pPr>
        <w:pStyle w:val="Heading1"/>
        <w:spacing w:line="480" w:lineRule="auto"/>
        <w:contextualSpacing/>
        <w:jc w:val="center"/>
        <w:rPr>
          <w:rFonts w:asciiTheme="minorHAnsi" w:hAnsiTheme="minorHAnsi"/>
          <w:color w:val="auto"/>
        </w:rPr>
      </w:pPr>
      <w:bookmarkStart w:id="34" w:name="_Toc364366601"/>
      <w:r w:rsidRPr="00696044">
        <w:rPr>
          <w:rFonts w:asciiTheme="minorHAnsi" w:hAnsiTheme="minorHAnsi"/>
          <w:color w:val="auto"/>
        </w:rPr>
        <w:lastRenderedPageBreak/>
        <w:t>Vita</w:t>
      </w:r>
      <w:bookmarkEnd w:id="34"/>
    </w:p>
    <w:p w:rsidR="0098709A" w:rsidRPr="0098709A" w:rsidRDefault="00DC03CD" w:rsidP="00DC03CD">
      <w:pPr>
        <w:spacing w:line="480" w:lineRule="auto"/>
        <w:contextualSpacing/>
        <w:rPr>
          <w:sz w:val="24"/>
          <w:szCs w:val="24"/>
        </w:rPr>
      </w:pPr>
      <w:r>
        <w:rPr>
          <w:sz w:val="24"/>
          <w:szCs w:val="24"/>
        </w:rPr>
        <w:tab/>
        <w:t xml:space="preserve">Laurel </w:t>
      </w:r>
      <w:r w:rsidR="008004FD">
        <w:rPr>
          <w:sz w:val="24"/>
          <w:szCs w:val="24"/>
        </w:rPr>
        <w:t>(Dunn) Gann</w:t>
      </w:r>
      <w:r>
        <w:rPr>
          <w:sz w:val="24"/>
          <w:szCs w:val="24"/>
        </w:rPr>
        <w:t xml:space="preserve">, </w:t>
      </w:r>
      <w:r w:rsidR="003E5BB5">
        <w:rPr>
          <w:sz w:val="24"/>
          <w:szCs w:val="24"/>
        </w:rPr>
        <w:t>the daughter of Lewis and Jean Dunn</w:t>
      </w:r>
      <w:r>
        <w:rPr>
          <w:sz w:val="24"/>
          <w:szCs w:val="24"/>
        </w:rPr>
        <w:t>, was born</w:t>
      </w:r>
      <w:r w:rsidR="003E5BB5">
        <w:rPr>
          <w:sz w:val="24"/>
          <w:szCs w:val="24"/>
        </w:rPr>
        <w:t xml:space="preserve"> on November 3, 1987 in Gretna, Louisiana. After a series of cross-country moves, her family finally settled in Cleveland, TN, where Laurel spent the majority of her school-aged years. Upon graduation from Cleveland High School in 2006, Laurel followed her two older brothers, Matthew and Gregory, to study at the University of Tennessee, where she graduated with a Bachelor’s degree in Food Science and Technology in 2009. Laurel later returned to UT and completed her Master’s degree in Food Science with a focus in Food Microbiology. </w:t>
      </w:r>
      <w:r w:rsidR="00824AB4">
        <w:rPr>
          <w:sz w:val="24"/>
          <w:szCs w:val="24"/>
        </w:rPr>
        <w:t xml:space="preserve">She plans to </w:t>
      </w:r>
      <w:r w:rsidR="003E5BB5">
        <w:rPr>
          <w:sz w:val="24"/>
          <w:szCs w:val="24"/>
        </w:rPr>
        <w:t>pursue her doctorate in Food Microbiology at the University of Tennessee.</w:t>
      </w:r>
    </w:p>
    <w:sectPr w:rsidR="0098709A" w:rsidRPr="0098709A" w:rsidSect="00BF682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EAB" w:rsidRDefault="00344EAB" w:rsidP="00701057">
      <w:pPr>
        <w:spacing w:after="0"/>
      </w:pPr>
      <w:r>
        <w:separator/>
      </w:r>
    </w:p>
  </w:endnote>
  <w:endnote w:type="continuationSeparator" w:id="0">
    <w:p w:rsidR="00344EAB" w:rsidRDefault="00344EAB" w:rsidP="0070105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topia">
    <w:altName w:val="Utopia"/>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8156"/>
      <w:docPartObj>
        <w:docPartGallery w:val="Page Numbers (Bottom of Page)"/>
        <w:docPartUnique/>
      </w:docPartObj>
    </w:sdtPr>
    <w:sdtContent>
      <w:p w:rsidR="00102A26" w:rsidRDefault="00102A26">
        <w:pPr>
          <w:pStyle w:val="Footer"/>
          <w:jc w:val="center"/>
        </w:pPr>
        <w:fldSimple w:instr=" PAGE   \* MERGEFORMAT ">
          <w:r w:rsidR="002B4E22">
            <w:rPr>
              <w:noProof/>
            </w:rPr>
            <w:t>iv</w:t>
          </w:r>
        </w:fldSimple>
      </w:p>
    </w:sdtContent>
  </w:sdt>
  <w:p w:rsidR="00102A26" w:rsidRDefault="00102A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54599"/>
      <w:docPartObj>
        <w:docPartGallery w:val="Page Numbers (Bottom of Page)"/>
        <w:docPartUnique/>
      </w:docPartObj>
    </w:sdtPr>
    <w:sdtContent>
      <w:p w:rsidR="00102A26" w:rsidRDefault="00102A26">
        <w:pPr>
          <w:pStyle w:val="Footer"/>
          <w:jc w:val="center"/>
        </w:pPr>
        <w:fldSimple w:instr=" PAGE   \* MERGEFORMAT ">
          <w:r w:rsidR="004E2965">
            <w:rPr>
              <w:noProof/>
            </w:rPr>
            <w:t>44</w:t>
          </w:r>
        </w:fldSimple>
      </w:p>
    </w:sdtContent>
  </w:sdt>
  <w:p w:rsidR="00102A26" w:rsidRDefault="00102A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275307"/>
      <w:docPartObj>
        <w:docPartGallery w:val="Page Numbers (Bottom of Page)"/>
        <w:docPartUnique/>
      </w:docPartObj>
    </w:sdtPr>
    <w:sdtContent>
      <w:p w:rsidR="00102A26" w:rsidRDefault="00102A26">
        <w:pPr>
          <w:pStyle w:val="Footer"/>
          <w:jc w:val="center"/>
        </w:pPr>
        <w:fldSimple w:instr=" PAGE   \* MERGEFORMAT ">
          <w:r w:rsidR="004E2965">
            <w:rPr>
              <w:noProof/>
            </w:rPr>
            <w:t>71</w:t>
          </w:r>
        </w:fldSimple>
      </w:p>
    </w:sdtContent>
  </w:sdt>
  <w:p w:rsidR="00102A26" w:rsidRDefault="00102A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EAB" w:rsidRDefault="00344EAB" w:rsidP="00701057">
      <w:pPr>
        <w:spacing w:after="0"/>
      </w:pPr>
      <w:r>
        <w:separator/>
      </w:r>
    </w:p>
  </w:footnote>
  <w:footnote w:type="continuationSeparator" w:id="0">
    <w:p w:rsidR="00344EAB" w:rsidRDefault="00344EAB" w:rsidP="0070105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A26" w:rsidRDefault="00102A2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hdrShapeDefaults>
    <o:shapedefaults v:ext="edit" spidmax="31746"/>
  </w:hdrShapeDefaults>
  <w:footnotePr>
    <w:footnote w:id="-1"/>
    <w:footnote w:id="0"/>
  </w:footnotePr>
  <w:endnotePr>
    <w:endnote w:id="-1"/>
    <w:endnote w:id="0"/>
  </w:endnotePr>
  <w:compat/>
  <w:rsids>
    <w:rsidRoot w:val="00701057"/>
    <w:rsid w:val="000046C4"/>
    <w:rsid w:val="00004DA6"/>
    <w:rsid w:val="00007EEA"/>
    <w:rsid w:val="00007FB9"/>
    <w:rsid w:val="00014888"/>
    <w:rsid w:val="00017460"/>
    <w:rsid w:val="00040BB5"/>
    <w:rsid w:val="0004721C"/>
    <w:rsid w:val="00052CE4"/>
    <w:rsid w:val="00054124"/>
    <w:rsid w:val="000643D1"/>
    <w:rsid w:val="00084DB8"/>
    <w:rsid w:val="000971FC"/>
    <w:rsid w:val="000A15E7"/>
    <w:rsid w:val="000A1FA6"/>
    <w:rsid w:val="000C06F5"/>
    <w:rsid w:val="000C4958"/>
    <w:rsid w:val="000C672C"/>
    <w:rsid w:val="000C6811"/>
    <w:rsid w:val="000D0A95"/>
    <w:rsid w:val="000F1798"/>
    <w:rsid w:val="000F2A35"/>
    <w:rsid w:val="001018B2"/>
    <w:rsid w:val="00102A26"/>
    <w:rsid w:val="0010736C"/>
    <w:rsid w:val="00111C41"/>
    <w:rsid w:val="00121D91"/>
    <w:rsid w:val="001223A3"/>
    <w:rsid w:val="001321AB"/>
    <w:rsid w:val="00132B53"/>
    <w:rsid w:val="00146FC4"/>
    <w:rsid w:val="001613BC"/>
    <w:rsid w:val="00161D57"/>
    <w:rsid w:val="00163505"/>
    <w:rsid w:val="001810D1"/>
    <w:rsid w:val="00186F35"/>
    <w:rsid w:val="00187236"/>
    <w:rsid w:val="00193625"/>
    <w:rsid w:val="00194CBC"/>
    <w:rsid w:val="001A130D"/>
    <w:rsid w:val="001A167B"/>
    <w:rsid w:val="001A3E6B"/>
    <w:rsid w:val="001D0D8F"/>
    <w:rsid w:val="001D272F"/>
    <w:rsid w:val="001D62E8"/>
    <w:rsid w:val="001D6AA9"/>
    <w:rsid w:val="001E0F5E"/>
    <w:rsid w:val="001E6B0B"/>
    <w:rsid w:val="00203888"/>
    <w:rsid w:val="00204E31"/>
    <w:rsid w:val="00213313"/>
    <w:rsid w:val="00213EEA"/>
    <w:rsid w:val="0021556C"/>
    <w:rsid w:val="00216D62"/>
    <w:rsid w:val="00251118"/>
    <w:rsid w:val="0025175D"/>
    <w:rsid w:val="002528E6"/>
    <w:rsid w:val="0025320F"/>
    <w:rsid w:val="0025326B"/>
    <w:rsid w:val="002649AF"/>
    <w:rsid w:val="00264E5A"/>
    <w:rsid w:val="002673E4"/>
    <w:rsid w:val="002725A6"/>
    <w:rsid w:val="00273F0F"/>
    <w:rsid w:val="00273FD0"/>
    <w:rsid w:val="00287378"/>
    <w:rsid w:val="002902E9"/>
    <w:rsid w:val="002913D9"/>
    <w:rsid w:val="002923D2"/>
    <w:rsid w:val="00297551"/>
    <w:rsid w:val="002A43E1"/>
    <w:rsid w:val="002B0BA9"/>
    <w:rsid w:val="002B1EFB"/>
    <w:rsid w:val="002B4E22"/>
    <w:rsid w:val="002B5627"/>
    <w:rsid w:val="002C1E5F"/>
    <w:rsid w:val="002D54BF"/>
    <w:rsid w:val="002D7384"/>
    <w:rsid w:val="002E2DAA"/>
    <w:rsid w:val="002E4263"/>
    <w:rsid w:val="002F7D65"/>
    <w:rsid w:val="0030302C"/>
    <w:rsid w:val="003115FB"/>
    <w:rsid w:val="00330333"/>
    <w:rsid w:val="00344EAB"/>
    <w:rsid w:val="00346F01"/>
    <w:rsid w:val="00353C5C"/>
    <w:rsid w:val="0036201C"/>
    <w:rsid w:val="003773C4"/>
    <w:rsid w:val="00387F55"/>
    <w:rsid w:val="00390DB0"/>
    <w:rsid w:val="00394813"/>
    <w:rsid w:val="00396F22"/>
    <w:rsid w:val="003A61C6"/>
    <w:rsid w:val="003C12EA"/>
    <w:rsid w:val="003C5F12"/>
    <w:rsid w:val="003D4718"/>
    <w:rsid w:val="003E1893"/>
    <w:rsid w:val="003E20AB"/>
    <w:rsid w:val="003E5BB5"/>
    <w:rsid w:val="003F4201"/>
    <w:rsid w:val="003F4851"/>
    <w:rsid w:val="004103BF"/>
    <w:rsid w:val="004219CF"/>
    <w:rsid w:val="00430BF5"/>
    <w:rsid w:val="00450FFB"/>
    <w:rsid w:val="00451ED1"/>
    <w:rsid w:val="00455A7B"/>
    <w:rsid w:val="004602D6"/>
    <w:rsid w:val="00463A64"/>
    <w:rsid w:val="00464F11"/>
    <w:rsid w:val="00466EB1"/>
    <w:rsid w:val="00472005"/>
    <w:rsid w:val="00493A4B"/>
    <w:rsid w:val="00494059"/>
    <w:rsid w:val="00495506"/>
    <w:rsid w:val="004A6E08"/>
    <w:rsid w:val="004B0992"/>
    <w:rsid w:val="004C5BE8"/>
    <w:rsid w:val="004D12A7"/>
    <w:rsid w:val="004D269B"/>
    <w:rsid w:val="004D2AB1"/>
    <w:rsid w:val="004D43B4"/>
    <w:rsid w:val="004D607E"/>
    <w:rsid w:val="004D6872"/>
    <w:rsid w:val="004E2965"/>
    <w:rsid w:val="004E30B1"/>
    <w:rsid w:val="004F3083"/>
    <w:rsid w:val="0050271A"/>
    <w:rsid w:val="00506847"/>
    <w:rsid w:val="005104B0"/>
    <w:rsid w:val="005112FB"/>
    <w:rsid w:val="0051624C"/>
    <w:rsid w:val="00523D74"/>
    <w:rsid w:val="0053066E"/>
    <w:rsid w:val="00587BC8"/>
    <w:rsid w:val="005907EF"/>
    <w:rsid w:val="0059461D"/>
    <w:rsid w:val="00597631"/>
    <w:rsid w:val="005B7056"/>
    <w:rsid w:val="005C4FA0"/>
    <w:rsid w:val="005D2E01"/>
    <w:rsid w:val="005E00B9"/>
    <w:rsid w:val="005F1F77"/>
    <w:rsid w:val="005F32F9"/>
    <w:rsid w:val="005F6D49"/>
    <w:rsid w:val="00605FC5"/>
    <w:rsid w:val="0060731C"/>
    <w:rsid w:val="00612AE2"/>
    <w:rsid w:val="00613DB4"/>
    <w:rsid w:val="0061465E"/>
    <w:rsid w:val="00622E85"/>
    <w:rsid w:val="00623F87"/>
    <w:rsid w:val="00624A84"/>
    <w:rsid w:val="00625C66"/>
    <w:rsid w:val="006279FD"/>
    <w:rsid w:val="00631669"/>
    <w:rsid w:val="00643241"/>
    <w:rsid w:val="00652905"/>
    <w:rsid w:val="0067752E"/>
    <w:rsid w:val="006778AD"/>
    <w:rsid w:val="00690416"/>
    <w:rsid w:val="00696044"/>
    <w:rsid w:val="006A1812"/>
    <w:rsid w:val="006B07D8"/>
    <w:rsid w:val="006C3283"/>
    <w:rsid w:val="006C4E68"/>
    <w:rsid w:val="006D2064"/>
    <w:rsid w:val="006D22D9"/>
    <w:rsid w:val="006D3A52"/>
    <w:rsid w:val="006F4759"/>
    <w:rsid w:val="00701057"/>
    <w:rsid w:val="00717433"/>
    <w:rsid w:val="00721273"/>
    <w:rsid w:val="00723288"/>
    <w:rsid w:val="0072499E"/>
    <w:rsid w:val="00726B0D"/>
    <w:rsid w:val="0073522D"/>
    <w:rsid w:val="0074049B"/>
    <w:rsid w:val="00740B42"/>
    <w:rsid w:val="0074103A"/>
    <w:rsid w:val="00752E0F"/>
    <w:rsid w:val="007535B6"/>
    <w:rsid w:val="00754078"/>
    <w:rsid w:val="00755725"/>
    <w:rsid w:val="0076090C"/>
    <w:rsid w:val="00761D12"/>
    <w:rsid w:val="007812F8"/>
    <w:rsid w:val="0078742B"/>
    <w:rsid w:val="007A0635"/>
    <w:rsid w:val="007A5EC7"/>
    <w:rsid w:val="007B6F39"/>
    <w:rsid w:val="007C74F2"/>
    <w:rsid w:val="007D27D9"/>
    <w:rsid w:val="007D4185"/>
    <w:rsid w:val="007E1649"/>
    <w:rsid w:val="007E2172"/>
    <w:rsid w:val="007E3424"/>
    <w:rsid w:val="007F0262"/>
    <w:rsid w:val="00800042"/>
    <w:rsid w:val="008004FD"/>
    <w:rsid w:val="00806BB4"/>
    <w:rsid w:val="00820072"/>
    <w:rsid w:val="008238CA"/>
    <w:rsid w:val="00824AB4"/>
    <w:rsid w:val="00826600"/>
    <w:rsid w:val="0083589B"/>
    <w:rsid w:val="00836E55"/>
    <w:rsid w:val="0083707B"/>
    <w:rsid w:val="00847D9F"/>
    <w:rsid w:val="008552D4"/>
    <w:rsid w:val="0086157B"/>
    <w:rsid w:val="00866C1D"/>
    <w:rsid w:val="00870835"/>
    <w:rsid w:val="00874E87"/>
    <w:rsid w:val="008914AA"/>
    <w:rsid w:val="008B16DD"/>
    <w:rsid w:val="008C52F5"/>
    <w:rsid w:val="008C561F"/>
    <w:rsid w:val="008D73DF"/>
    <w:rsid w:val="008E3F58"/>
    <w:rsid w:val="008F0026"/>
    <w:rsid w:val="008F22F0"/>
    <w:rsid w:val="008F2970"/>
    <w:rsid w:val="008F7469"/>
    <w:rsid w:val="00901018"/>
    <w:rsid w:val="009023B0"/>
    <w:rsid w:val="00906E55"/>
    <w:rsid w:val="009166D3"/>
    <w:rsid w:val="00916C24"/>
    <w:rsid w:val="009232E4"/>
    <w:rsid w:val="009373F0"/>
    <w:rsid w:val="00971E66"/>
    <w:rsid w:val="00975E6A"/>
    <w:rsid w:val="0098709A"/>
    <w:rsid w:val="00996BEC"/>
    <w:rsid w:val="009B0004"/>
    <w:rsid w:val="009B19D4"/>
    <w:rsid w:val="009C468F"/>
    <w:rsid w:val="009D1D3F"/>
    <w:rsid w:val="009D3CE7"/>
    <w:rsid w:val="009D647B"/>
    <w:rsid w:val="009D6C5F"/>
    <w:rsid w:val="009D785E"/>
    <w:rsid w:val="009F0731"/>
    <w:rsid w:val="00A01793"/>
    <w:rsid w:val="00A12274"/>
    <w:rsid w:val="00A12FEA"/>
    <w:rsid w:val="00A1314A"/>
    <w:rsid w:val="00A13657"/>
    <w:rsid w:val="00A20B9C"/>
    <w:rsid w:val="00A24C82"/>
    <w:rsid w:val="00A53315"/>
    <w:rsid w:val="00A5496F"/>
    <w:rsid w:val="00A726E1"/>
    <w:rsid w:val="00A75EAB"/>
    <w:rsid w:val="00A81379"/>
    <w:rsid w:val="00A82726"/>
    <w:rsid w:val="00AA24BB"/>
    <w:rsid w:val="00AB5696"/>
    <w:rsid w:val="00AB7C4E"/>
    <w:rsid w:val="00AC1303"/>
    <w:rsid w:val="00AD0B96"/>
    <w:rsid w:val="00AD0C57"/>
    <w:rsid w:val="00AD1967"/>
    <w:rsid w:val="00AD2B48"/>
    <w:rsid w:val="00AF2BEA"/>
    <w:rsid w:val="00B02A51"/>
    <w:rsid w:val="00B37B5C"/>
    <w:rsid w:val="00B55C1B"/>
    <w:rsid w:val="00B571BC"/>
    <w:rsid w:val="00B62671"/>
    <w:rsid w:val="00B643DE"/>
    <w:rsid w:val="00B724AB"/>
    <w:rsid w:val="00B73D5C"/>
    <w:rsid w:val="00B75A85"/>
    <w:rsid w:val="00B914C4"/>
    <w:rsid w:val="00B93040"/>
    <w:rsid w:val="00BC45C9"/>
    <w:rsid w:val="00BC6815"/>
    <w:rsid w:val="00BD3FFF"/>
    <w:rsid w:val="00BD648B"/>
    <w:rsid w:val="00BE0C30"/>
    <w:rsid w:val="00BE14A6"/>
    <w:rsid w:val="00BF1D9B"/>
    <w:rsid w:val="00BF51F5"/>
    <w:rsid w:val="00BF57AF"/>
    <w:rsid w:val="00BF6824"/>
    <w:rsid w:val="00C03B46"/>
    <w:rsid w:val="00C06615"/>
    <w:rsid w:val="00C0714C"/>
    <w:rsid w:val="00C07C58"/>
    <w:rsid w:val="00C20EE3"/>
    <w:rsid w:val="00C23E53"/>
    <w:rsid w:val="00C3534E"/>
    <w:rsid w:val="00C44521"/>
    <w:rsid w:val="00C5632D"/>
    <w:rsid w:val="00C572B9"/>
    <w:rsid w:val="00C72307"/>
    <w:rsid w:val="00C853DE"/>
    <w:rsid w:val="00C90DDA"/>
    <w:rsid w:val="00C95C8C"/>
    <w:rsid w:val="00CA4FBE"/>
    <w:rsid w:val="00CB5B01"/>
    <w:rsid w:val="00CE0C9D"/>
    <w:rsid w:val="00CF0291"/>
    <w:rsid w:val="00CF30E6"/>
    <w:rsid w:val="00D027CE"/>
    <w:rsid w:val="00D10253"/>
    <w:rsid w:val="00D23069"/>
    <w:rsid w:val="00D36C8B"/>
    <w:rsid w:val="00D546EC"/>
    <w:rsid w:val="00D56DD4"/>
    <w:rsid w:val="00D6120B"/>
    <w:rsid w:val="00D73ACA"/>
    <w:rsid w:val="00D8373B"/>
    <w:rsid w:val="00D83810"/>
    <w:rsid w:val="00D84C6B"/>
    <w:rsid w:val="00D872B2"/>
    <w:rsid w:val="00D9301C"/>
    <w:rsid w:val="00D95293"/>
    <w:rsid w:val="00DB0605"/>
    <w:rsid w:val="00DC03CD"/>
    <w:rsid w:val="00DD1774"/>
    <w:rsid w:val="00DD547B"/>
    <w:rsid w:val="00E1618F"/>
    <w:rsid w:val="00E17A7E"/>
    <w:rsid w:val="00E23F60"/>
    <w:rsid w:val="00E33F02"/>
    <w:rsid w:val="00E3793F"/>
    <w:rsid w:val="00E41886"/>
    <w:rsid w:val="00E443CC"/>
    <w:rsid w:val="00E508C0"/>
    <w:rsid w:val="00E52A6F"/>
    <w:rsid w:val="00E640D5"/>
    <w:rsid w:val="00E67A0C"/>
    <w:rsid w:val="00E67F69"/>
    <w:rsid w:val="00E705F2"/>
    <w:rsid w:val="00E73A8C"/>
    <w:rsid w:val="00E74305"/>
    <w:rsid w:val="00E7628B"/>
    <w:rsid w:val="00E76910"/>
    <w:rsid w:val="00E84E0D"/>
    <w:rsid w:val="00E91453"/>
    <w:rsid w:val="00E92E94"/>
    <w:rsid w:val="00E940BD"/>
    <w:rsid w:val="00E95A92"/>
    <w:rsid w:val="00EA011B"/>
    <w:rsid w:val="00EA135C"/>
    <w:rsid w:val="00EA478F"/>
    <w:rsid w:val="00EA783F"/>
    <w:rsid w:val="00EC3974"/>
    <w:rsid w:val="00ED70DD"/>
    <w:rsid w:val="00ED72ED"/>
    <w:rsid w:val="00ED7E88"/>
    <w:rsid w:val="00EE5B91"/>
    <w:rsid w:val="00EE67A2"/>
    <w:rsid w:val="00EF128C"/>
    <w:rsid w:val="00EF1F51"/>
    <w:rsid w:val="00EF4397"/>
    <w:rsid w:val="00EF688F"/>
    <w:rsid w:val="00EF6C2B"/>
    <w:rsid w:val="00EF7111"/>
    <w:rsid w:val="00F023BF"/>
    <w:rsid w:val="00F051AE"/>
    <w:rsid w:val="00F1119A"/>
    <w:rsid w:val="00F274C7"/>
    <w:rsid w:val="00F327C5"/>
    <w:rsid w:val="00F35C77"/>
    <w:rsid w:val="00F424A0"/>
    <w:rsid w:val="00F44278"/>
    <w:rsid w:val="00F46147"/>
    <w:rsid w:val="00F46612"/>
    <w:rsid w:val="00F55CE8"/>
    <w:rsid w:val="00F74B21"/>
    <w:rsid w:val="00F77089"/>
    <w:rsid w:val="00F77810"/>
    <w:rsid w:val="00FB001E"/>
    <w:rsid w:val="00FB12FF"/>
    <w:rsid w:val="00FB19F2"/>
    <w:rsid w:val="00FC054F"/>
    <w:rsid w:val="00FD3B94"/>
    <w:rsid w:val="00FD6738"/>
    <w:rsid w:val="00FE340F"/>
    <w:rsid w:val="00FE5B3A"/>
    <w:rsid w:val="00FF40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7AF"/>
  </w:style>
  <w:style w:type="paragraph" w:styleId="Heading1">
    <w:name w:val="heading 1"/>
    <w:basedOn w:val="Normal"/>
    <w:next w:val="Normal"/>
    <w:link w:val="Heading1Char"/>
    <w:uiPriority w:val="9"/>
    <w:qFormat/>
    <w:rsid w:val="005112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112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C46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1057"/>
    <w:pPr>
      <w:tabs>
        <w:tab w:val="center" w:pos="4680"/>
        <w:tab w:val="right" w:pos="9360"/>
      </w:tabs>
      <w:spacing w:after="0"/>
    </w:pPr>
  </w:style>
  <w:style w:type="character" w:customStyle="1" w:styleId="HeaderChar">
    <w:name w:val="Header Char"/>
    <w:basedOn w:val="DefaultParagraphFont"/>
    <w:link w:val="Header"/>
    <w:uiPriority w:val="99"/>
    <w:rsid w:val="00701057"/>
  </w:style>
  <w:style w:type="paragraph" w:styleId="Footer">
    <w:name w:val="footer"/>
    <w:basedOn w:val="Normal"/>
    <w:link w:val="FooterChar"/>
    <w:uiPriority w:val="99"/>
    <w:unhideWhenUsed/>
    <w:rsid w:val="00701057"/>
    <w:pPr>
      <w:tabs>
        <w:tab w:val="center" w:pos="4680"/>
        <w:tab w:val="right" w:pos="9360"/>
      </w:tabs>
      <w:spacing w:after="0"/>
    </w:pPr>
  </w:style>
  <w:style w:type="character" w:customStyle="1" w:styleId="FooterChar">
    <w:name w:val="Footer Char"/>
    <w:basedOn w:val="DefaultParagraphFont"/>
    <w:link w:val="Footer"/>
    <w:uiPriority w:val="99"/>
    <w:rsid w:val="00701057"/>
  </w:style>
  <w:style w:type="character" w:styleId="HTMLCite">
    <w:name w:val="HTML Cite"/>
    <w:basedOn w:val="DefaultParagraphFont"/>
    <w:uiPriority w:val="99"/>
    <w:semiHidden/>
    <w:unhideWhenUsed/>
    <w:rsid w:val="00701057"/>
    <w:rPr>
      <w:i/>
      <w:iCs/>
    </w:rPr>
  </w:style>
  <w:style w:type="character" w:customStyle="1" w:styleId="author">
    <w:name w:val="author"/>
    <w:basedOn w:val="DefaultParagraphFont"/>
    <w:rsid w:val="00701057"/>
  </w:style>
  <w:style w:type="character" w:customStyle="1" w:styleId="pubyear">
    <w:name w:val="pubyear"/>
    <w:basedOn w:val="DefaultParagraphFont"/>
    <w:rsid w:val="00701057"/>
  </w:style>
  <w:style w:type="character" w:customStyle="1" w:styleId="articletitle">
    <w:name w:val="articletitle"/>
    <w:basedOn w:val="DefaultParagraphFont"/>
    <w:rsid w:val="00701057"/>
  </w:style>
  <w:style w:type="character" w:customStyle="1" w:styleId="journaltitle">
    <w:name w:val="journaltitle"/>
    <w:basedOn w:val="DefaultParagraphFont"/>
    <w:rsid w:val="00701057"/>
  </w:style>
  <w:style w:type="character" w:customStyle="1" w:styleId="vol">
    <w:name w:val="vol"/>
    <w:basedOn w:val="DefaultParagraphFont"/>
    <w:rsid w:val="00701057"/>
  </w:style>
  <w:style w:type="character" w:customStyle="1" w:styleId="pagefirst">
    <w:name w:val="pagefirst"/>
    <w:basedOn w:val="DefaultParagraphFont"/>
    <w:rsid w:val="00701057"/>
  </w:style>
  <w:style w:type="character" w:customStyle="1" w:styleId="pagelast">
    <w:name w:val="pagelast"/>
    <w:basedOn w:val="DefaultParagraphFont"/>
    <w:rsid w:val="00701057"/>
  </w:style>
  <w:style w:type="paragraph" w:styleId="HTMLPreformatted">
    <w:name w:val="HTML Preformatted"/>
    <w:basedOn w:val="Normal"/>
    <w:link w:val="HTMLPreformattedChar"/>
    <w:uiPriority w:val="99"/>
    <w:unhideWhenUsed/>
    <w:rsid w:val="00701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01057"/>
    <w:rPr>
      <w:rFonts w:ascii="Courier New" w:eastAsia="Times New Roman" w:hAnsi="Courier New" w:cs="Courier New"/>
      <w:sz w:val="20"/>
      <w:szCs w:val="20"/>
    </w:rPr>
  </w:style>
  <w:style w:type="paragraph" w:styleId="TOC1">
    <w:name w:val="toc 1"/>
    <w:basedOn w:val="Normal"/>
    <w:next w:val="Normal"/>
    <w:autoRedefine/>
    <w:uiPriority w:val="39"/>
    <w:unhideWhenUsed/>
    <w:qFormat/>
    <w:rsid w:val="004E2965"/>
    <w:pPr>
      <w:tabs>
        <w:tab w:val="right" w:leader="dot" w:pos="9350"/>
      </w:tabs>
      <w:spacing w:before="240" w:after="120"/>
    </w:pPr>
    <w:rPr>
      <w:bCs/>
      <w:noProof/>
      <w:sz w:val="24"/>
      <w:szCs w:val="24"/>
    </w:rPr>
  </w:style>
  <w:style w:type="paragraph" w:styleId="TOC2">
    <w:name w:val="toc 2"/>
    <w:basedOn w:val="Normal"/>
    <w:next w:val="Normal"/>
    <w:autoRedefine/>
    <w:uiPriority w:val="39"/>
    <w:unhideWhenUsed/>
    <w:qFormat/>
    <w:rsid w:val="005112FB"/>
    <w:pPr>
      <w:spacing w:before="120" w:after="0"/>
      <w:ind w:left="220"/>
    </w:pPr>
    <w:rPr>
      <w:i/>
      <w:iCs/>
      <w:sz w:val="20"/>
      <w:szCs w:val="20"/>
    </w:rPr>
  </w:style>
  <w:style w:type="paragraph" w:styleId="TOC3">
    <w:name w:val="toc 3"/>
    <w:basedOn w:val="Normal"/>
    <w:next w:val="Normal"/>
    <w:autoRedefine/>
    <w:uiPriority w:val="39"/>
    <w:unhideWhenUsed/>
    <w:qFormat/>
    <w:rsid w:val="005112FB"/>
    <w:pPr>
      <w:spacing w:after="0"/>
      <w:ind w:left="440"/>
    </w:pPr>
    <w:rPr>
      <w:sz w:val="20"/>
      <w:szCs w:val="20"/>
    </w:rPr>
  </w:style>
  <w:style w:type="paragraph" w:styleId="TOC4">
    <w:name w:val="toc 4"/>
    <w:basedOn w:val="Normal"/>
    <w:next w:val="Normal"/>
    <w:autoRedefine/>
    <w:uiPriority w:val="39"/>
    <w:unhideWhenUsed/>
    <w:rsid w:val="005112FB"/>
    <w:pPr>
      <w:spacing w:after="0"/>
      <w:ind w:left="660"/>
    </w:pPr>
    <w:rPr>
      <w:sz w:val="20"/>
      <w:szCs w:val="20"/>
    </w:rPr>
  </w:style>
  <w:style w:type="paragraph" w:styleId="TOC5">
    <w:name w:val="toc 5"/>
    <w:basedOn w:val="Normal"/>
    <w:next w:val="Normal"/>
    <w:autoRedefine/>
    <w:uiPriority w:val="39"/>
    <w:unhideWhenUsed/>
    <w:rsid w:val="005112FB"/>
    <w:pPr>
      <w:spacing w:after="0"/>
      <w:ind w:left="880"/>
    </w:pPr>
    <w:rPr>
      <w:sz w:val="20"/>
      <w:szCs w:val="20"/>
    </w:rPr>
  </w:style>
  <w:style w:type="paragraph" w:styleId="TOC6">
    <w:name w:val="toc 6"/>
    <w:basedOn w:val="Normal"/>
    <w:next w:val="Normal"/>
    <w:autoRedefine/>
    <w:uiPriority w:val="39"/>
    <w:unhideWhenUsed/>
    <w:rsid w:val="005112FB"/>
    <w:pPr>
      <w:spacing w:after="0"/>
      <w:ind w:left="1100"/>
    </w:pPr>
    <w:rPr>
      <w:sz w:val="20"/>
      <w:szCs w:val="20"/>
    </w:rPr>
  </w:style>
  <w:style w:type="paragraph" w:styleId="TOC7">
    <w:name w:val="toc 7"/>
    <w:basedOn w:val="Normal"/>
    <w:next w:val="Normal"/>
    <w:autoRedefine/>
    <w:uiPriority w:val="39"/>
    <w:unhideWhenUsed/>
    <w:rsid w:val="005112FB"/>
    <w:pPr>
      <w:spacing w:after="0"/>
      <w:ind w:left="1320"/>
    </w:pPr>
    <w:rPr>
      <w:sz w:val="20"/>
      <w:szCs w:val="20"/>
    </w:rPr>
  </w:style>
  <w:style w:type="paragraph" w:styleId="TOC8">
    <w:name w:val="toc 8"/>
    <w:basedOn w:val="Normal"/>
    <w:next w:val="Normal"/>
    <w:autoRedefine/>
    <w:uiPriority w:val="39"/>
    <w:unhideWhenUsed/>
    <w:rsid w:val="005112FB"/>
    <w:pPr>
      <w:spacing w:after="0"/>
      <w:ind w:left="1540"/>
    </w:pPr>
    <w:rPr>
      <w:sz w:val="20"/>
      <w:szCs w:val="20"/>
    </w:rPr>
  </w:style>
  <w:style w:type="paragraph" w:styleId="TOC9">
    <w:name w:val="toc 9"/>
    <w:basedOn w:val="Normal"/>
    <w:next w:val="Normal"/>
    <w:autoRedefine/>
    <w:uiPriority w:val="39"/>
    <w:unhideWhenUsed/>
    <w:rsid w:val="005112FB"/>
    <w:pPr>
      <w:spacing w:after="0"/>
      <w:ind w:left="1760"/>
    </w:pPr>
    <w:rPr>
      <w:sz w:val="20"/>
      <w:szCs w:val="20"/>
    </w:rPr>
  </w:style>
  <w:style w:type="character" w:customStyle="1" w:styleId="Heading1Char">
    <w:name w:val="Heading 1 Char"/>
    <w:basedOn w:val="DefaultParagraphFont"/>
    <w:link w:val="Heading1"/>
    <w:uiPriority w:val="9"/>
    <w:rsid w:val="005112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112FB"/>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5112FB"/>
    <w:pPr>
      <w:spacing w:line="276" w:lineRule="auto"/>
      <w:outlineLvl w:val="9"/>
    </w:pPr>
  </w:style>
  <w:style w:type="paragraph" w:styleId="BalloonText">
    <w:name w:val="Balloon Text"/>
    <w:basedOn w:val="Normal"/>
    <w:link w:val="BalloonTextChar"/>
    <w:uiPriority w:val="99"/>
    <w:semiHidden/>
    <w:unhideWhenUsed/>
    <w:rsid w:val="005112F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2FB"/>
    <w:rPr>
      <w:rFonts w:ascii="Tahoma" w:hAnsi="Tahoma" w:cs="Tahoma"/>
      <w:sz w:val="16"/>
      <w:szCs w:val="16"/>
    </w:rPr>
  </w:style>
  <w:style w:type="character" w:styleId="Hyperlink">
    <w:name w:val="Hyperlink"/>
    <w:basedOn w:val="DefaultParagraphFont"/>
    <w:uiPriority w:val="99"/>
    <w:unhideWhenUsed/>
    <w:rsid w:val="00AD0C57"/>
    <w:rPr>
      <w:color w:val="0000FF" w:themeColor="hyperlink"/>
      <w:u w:val="single"/>
    </w:rPr>
  </w:style>
  <w:style w:type="character" w:customStyle="1" w:styleId="Heading3Char">
    <w:name w:val="Heading 3 Char"/>
    <w:basedOn w:val="DefaultParagraphFont"/>
    <w:link w:val="Heading3"/>
    <w:uiPriority w:val="9"/>
    <w:rsid w:val="009C468F"/>
    <w:rPr>
      <w:rFonts w:asciiTheme="majorHAnsi" w:eastAsiaTheme="majorEastAsia" w:hAnsiTheme="majorHAnsi" w:cstheme="majorBidi"/>
      <w:b/>
      <w:bCs/>
      <w:color w:val="4F81BD" w:themeColor="accent1"/>
    </w:rPr>
  </w:style>
  <w:style w:type="paragraph" w:styleId="CommentText">
    <w:name w:val="annotation text"/>
    <w:basedOn w:val="Normal"/>
    <w:link w:val="CommentTextChar"/>
    <w:uiPriority w:val="99"/>
    <w:semiHidden/>
    <w:unhideWhenUsed/>
    <w:rsid w:val="002649AF"/>
    <w:rPr>
      <w:sz w:val="24"/>
      <w:szCs w:val="24"/>
    </w:rPr>
  </w:style>
  <w:style w:type="character" w:customStyle="1" w:styleId="CommentTextChar">
    <w:name w:val="Comment Text Char"/>
    <w:basedOn w:val="DefaultParagraphFont"/>
    <w:link w:val="CommentText"/>
    <w:uiPriority w:val="99"/>
    <w:semiHidden/>
    <w:rsid w:val="002649AF"/>
    <w:rPr>
      <w:sz w:val="24"/>
      <w:szCs w:val="24"/>
    </w:rPr>
  </w:style>
  <w:style w:type="paragraph" w:customStyle="1" w:styleId="Default">
    <w:name w:val="Default"/>
    <w:rsid w:val="00D73ACA"/>
    <w:pPr>
      <w:autoSpaceDE w:val="0"/>
      <w:autoSpaceDN w:val="0"/>
      <w:adjustRightInd w:val="0"/>
      <w:spacing w:after="0"/>
    </w:pPr>
    <w:rPr>
      <w:rFonts w:ascii="Utopia" w:hAnsi="Utopia" w:cs="Utopia"/>
      <w:color w:val="000000"/>
      <w:sz w:val="24"/>
      <w:szCs w:val="24"/>
    </w:rPr>
  </w:style>
  <w:style w:type="paragraph" w:customStyle="1" w:styleId="Pa2">
    <w:name w:val="Pa2"/>
    <w:basedOn w:val="Default"/>
    <w:next w:val="Default"/>
    <w:uiPriority w:val="99"/>
    <w:rsid w:val="00D73ACA"/>
    <w:pPr>
      <w:spacing w:line="181" w:lineRule="atLeast"/>
    </w:pPr>
    <w:rPr>
      <w:rFonts w:cstheme="minorBidi"/>
      <w:color w:val="auto"/>
    </w:rPr>
  </w:style>
  <w:style w:type="character" w:styleId="CommentReference">
    <w:name w:val="annotation reference"/>
    <w:basedOn w:val="DefaultParagraphFont"/>
    <w:uiPriority w:val="99"/>
    <w:semiHidden/>
    <w:unhideWhenUsed/>
    <w:rsid w:val="00CF30E6"/>
    <w:rPr>
      <w:sz w:val="18"/>
      <w:szCs w:val="18"/>
    </w:rPr>
  </w:style>
  <w:style w:type="paragraph" w:styleId="CommentSubject">
    <w:name w:val="annotation subject"/>
    <w:basedOn w:val="CommentText"/>
    <w:next w:val="CommentText"/>
    <w:link w:val="CommentSubjectChar"/>
    <w:uiPriority w:val="99"/>
    <w:semiHidden/>
    <w:unhideWhenUsed/>
    <w:rsid w:val="00CF30E6"/>
    <w:rPr>
      <w:b/>
      <w:bCs/>
      <w:sz w:val="20"/>
      <w:szCs w:val="20"/>
    </w:rPr>
  </w:style>
  <w:style w:type="character" w:customStyle="1" w:styleId="CommentSubjectChar">
    <w:name w:val="Comment Subject Char"/>
    <w:basedOn w:val="CommentTextChar"/>
    <w:link w:val="CommentSubject"/>
    <w:uiPriority w:val="99"/>
    <w:semiHidden/>
    <w:rsid w:val="00CF30E6"/>
    <w:rPr>
      <w:b/>
      <w:bCs/>
      <w:sz w:val="20"/>
      <w:szCs w:val="20"/>
    </w:rPr>
  </w:style>
  <w:style w:type="character" w:styleId="Emphasis">
    <w:name w:val="Emphasis"/>
    <w:basedOn w:val="DefaultParagraphFont"/>
    <w:uiPriority w:val="20"/>
    <w:qFormat/>
    <w:rsid w:val="0086157B"/>
    <w:rPr>
      <w:i/>
      <w:iCs/>
    </w:rPr>
  </w:style>
  <w:style w:type="character" w:customStyle="1" w:styleId="st">
    <w:name w:val="st"/>
    <w:basedOn w:val="DefaultParagraphFont"/>
    <w:rsid w:val="0086157B"/>
  </w:style>
  <w:style w:type="paragraph" w:styleId="Revision">
    <w:name w:val="Revision"/>
    <w:hidden/>
    <w:uiPriority w:val="99"/>
    <w:semiHidden/>
    <w:rsid w:val="00D36C8B"/>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7AF"/>
  </w:style>
  <w:style w:type="paragraph" w:styleId="Heading1">
    <w:name w:val="heading 1"/>
    <w:basedOn w:val="Normal"/>
    <w:next w:val="Normal"/>
    <w:link w:val="Heading1Char"/>
    <w:uiPriority w:val="9"/>
    <w:qFormat/>
    <w:rsid w:val="005112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112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C46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1057"/>
    <w:pPr>
      <w:tabs>
        <w:tab w:val="center" w:pos="4680"/>
        <w:tab w:val="right" w:pos="9360"/>
      </w:tabs>
      <w:spacing w:after="0"/>
    </w:pPr>
  </w:style>
  <w:style w:type="character" w:customStyle="1" w:styleId="HeaderChar">
    <w:name w:val="Header Char"/>
    <w:basedOn w:val="DefaultParagraphFont"/>
    <w:link w:val="Header"/>
    <w:uiPriority w:val="99"/>
    <w:rsid w:val="00701057"/>
  </w:style>
  <w:style w:type="paragraph" w:styleId="Footer">
    <w:name w:val="footer"/>
    <w:basedOn w:val="Normal"/>
    <w:link w:val="FooterChar"/>
    <w:uiPriority w:val="99"/>
    <w:unhideWhenUsed/>
    <w:rsid w:val="00701057"/>
    <w:pPr>
      <w:tabs>
        <w:tab w:val="center" w:pos="4680"/>
        <w:tab w:val="right" w:pos="9360"/>
      </w:tabs>
      <w:spacing w:after="0"/>
    </w:pPr>
  </w:style>
  <w:style w:type="character" w:customStyle="1" w:styleId="FooterChar">
    <w:name w:val="Footer Char"/>
    <w:basedOn w:val="DefaultParagraphFont"/>
    <w:link w:val="Footer"/>
    <w:uiPriority w:val="99"/>
    <w:rsid w:val="00701057"/>
  </w:style>
  <w:style w:type="character" w:styleId="HTMLCite">
    <w:name w:val="HTML Cite"/>
    <w:basedOn w:val="DefaultParagraphFont"/>
    <w:uiPriority w:val="99"/>
    <w:semiHidden/>
    <w:unhideWhenUsed/>
    <w:rsid w:val="00701057"/>
    <w:rPr>
      <w:i/>
      <w:iCs/>
    </w:rPr>
  </w:style>
  <w:style w:type="character" w:customStyle="1" w:styleId="author">
    <w:name w:val="author"/>
    <w:basedOn w:val="DefaultParagraphFont"/>
    <w:rsid w:val="00701057"/>
  </w:style>
  <w:style w:type="character" w:customStyle="1" w:styleId="pubyear">
    <w:name w:val="pubyear"/>
    <w:basedOn w:val="DefaultParagraphFont"/>
    <w:rsid w:val="00701057"/>
  </w:style>
  <w:style w:type="character" w:customStyle="1" w:styleId="articletitle">
    <w:name w:val="articletitle"/>
    <w:basedOn w:val="DefaultParagraphFont"/>
    <w:rsid w:val="00701057"/>
  </w:style>
  <w:style w:type="character" w:customStyle="1" w:styleId="journaltitle">
    <w:name w:val="journaltitle"/>
    <w:basedOn w:val="DefaultParagraphFont"/>
    <w:rsid w:val="00701057"/>
  </w:style>
  <w:style w:type="character" w:customStyle="1" w:styleId="vol">
    <w:name w:val="vol"/>
    <w:basedOn w:val="DefaultParagraphFont"/>
    <w:rsid w:val="00701057"/>
  </w:style>
  <w:style w:type="character" w:customStyle="1" w:styleId="pagefirst">
    <w:name w:val="pagefirst"/>
    <w:basedOn w:val="DefaultParagraphFont"/>
    <w:rsid w:val="00701057"/>
  </w:style>
  <w:style w:type="character" w:customStyle="1" w:styleId="pagelast">
    <w:name w:val="pagelast"/>
    <w:basedOn w:val="DefaultParagraphFont"/>
    <w:rsid w:val="00701057"/>
  </w:style>
  <w:style w:type="paragraph" w:styleId="HTMLPreformatted">
    <w:name w:val="HTML Preformatted"/>
    <w:basedOn w:val="Normal"/>
    <w:link w:val="HTMLPreformattedChar"/>
    <w:uiPriority w:val="99"/>
    <w:unhideWhenUsed/>
    <w:rsid w:val="00701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01057"/>
    <w:rPr>
      <w:rFonts w:ascii="Courier New" w:eastAsia="Times New Roman" w:hAnsi="Courier New" w:cs="Courier New"/>
      <w:sz w:val="20"/>
      <w:szCs w:val="20"/>
    </w:rPr>
  </w:style>
  <w:style w:type="paragraph" w:styleId="TOC1">
    <w:name w:val="toc 1"/>
    <w:basedOn w:val="Normal"/>
    <w:next w:val="Normal"/>
    <w:autoRedefine/>
    <w:uiPriority w:val="39"/>
    <w:unhideWhenUsed/>
    <w:qFormat/>
    <w:rsid w:val="000A1FA6"/>
    <w:pPr>
      <w:tabs>
        <w:tab w:val="right" w:leader="dot" w:pos="9350"/>
      </w:tabs>
      <w:spacing w:before="240" w:after="120"/>
    </w:pPr>
    <w:rPr>
      <w:bCs/>
      <w:noProof/>
      <w:sz w:val="24"/>
      <w:szCs w:val="24"/>
    </w:rPr>
  </w:style>
  <w:style w:type="paragraph" w:styleId="TOC2">
    <w:name w:val="toc 2"/>
    <w:basedOn w:val="Normal"/>
    <w:next w:val="Normal"/>
    <w:autoRedefine/>
    <w:uiPriority w:val="39"/>
    <w:unhideWhenUsed/>
    <w:qFormat/>
    <w:rsid w:val="005112FB"/>
    <w:pPr>
      <w:spacing w:before="120" w:after="0"/>
      <w:ind w:left="220"/>
    </w:pPr>
    <w:rPr>
      <w:i/>
      <w:iCs/>
      <w:sz w:val="20"/>
      <w:szCs w:val="20"/>
    </w:rPr>
  </w:style>
  <w:style w:type="paragraph" w:styleId="TOC3">
    <w:name w:val="toc 3"/>
    <w:basedOn w:val="Normal"/>
    <w:next w:val="Normal"/>
    <w:autoRedefine/>
    <w:uiPriority w:val="39"/>
    <w:unhideWhenUsed/>
    <w:qFormat/>
    <w:rsid w:val="005112FB"/>
    <w:pPr>
      <w:spacing w:after="0"/>
      <w:ind w:left="440"/>
    </w:pPr>
    <w:rPr>
      <w:sz w:val="20"/>
      <w:szCs w:val="20"/>
    </w:rPr>
  </w:style>
  <w:style w:type="paragraph" w:styleId="TOC4">
    <w:name w:val="toc 4"/>
    <w:basedOn w:val="Normal"/>
    <w:next w:val="Normal"/>
    <w:autoRedefine/>
    <w:uiPriority w:val="39"/>
    <w:unhideWhenUsed/>
    <w:rsid w:val="005112FB"/>
    <w:pPr>
      <w:spacing w:after="0"/>
      <w:ind w:left="660"/>
    </w:pPr>
    <w:rPr>
      <w:sz w:val="20"/>
      <w:szCs w:val="20"/>
    </w:rPr>
  </w:style>
  <w:style w:type="paragraph" w:styleId="TOC5">
    <w:name w:val="toc 5"/>
    <w:basedOn w:val="Normal"/>
    <w:next w:val="Normal"/>
    <w:autoRedefine/>
    <w:uiPriority w:val="39"/>
    <w:unhideWhenUsed/>
    <w:rsid w:val="005112FB"/>
    <w:pPr>
      <w:spacing w:after="0"/>
      <w:ind w:left="880"/>
    </w:pPr>
    <w:rPr>
      <w:sz w:val="20"/>
      <w:szCs w:val="20"/>
    </w:rPr>
  </w:style>
  <w:style w:type="paragraph" w:styleId="TOC6">
    <w:name w:val="toc 6"/>
    <w:basedOn w:val="Normal"/>
    <w:next w:val="Normal"/>
    <w:autoRedefine/>
    <w:uiPriority w:val="39"/>
    <w:unhideWhenUsed/>
    <w:rsid w:val="005112FB"/>
    <w:pPr>
      <w:spacing w:after="0"/>
      <w:ind w:left="1100"/>
    </w:pPr>
    <w:rPr>
      <w:sz w:val="20"/>
      <w:szCs w:val="20"/>
    </w:rPr>
  </w:style>
  <w:style w:type="paragraph" w:styleId="TOC7">
    <w:name w:val="toc 7"/>
    <w:basedOn w:val="Normal"/>
    <w:next w:val="Normal"/>
    <w:autoRedefine/>
    <w:uiPriority w:val="39"/>
    <w:unhideWhenUsed/>
    <w:rsid w:val="005112FB"/>
    <w:pPr>
      <w:spacing w:after="0"/>
      <w:ind w:left="1320"/>
    </w:pPr>
    <w:rPr>
      <w:sz w:val="20"/>
      <w:szCs w:val="20"/>
    </w:rPr>
  </w:style>
  <w:style w:type="paragraph" w:styleId="TOC8">
    <w:name w:val="toc 8"/>
    <w:basedOn w:val="Normal"/>
    <w:next w:val="Normal"/>
    <w:autoRedefine/>
    <w:uiPriority w:val="39"/>
    <w:unhideWhenUsed/>
    <w:rsid w:val="005112FB"/>
    <w:pPr>
      <w:spacing w:after="0"/>
      <w:ind w:left="1540"/>
    </w:pPr>
    <w:rPr>
      <w:sz w:val="20"/>
      <w:szCs w:val="20"/>
    </w:rPr>
  </w:style>
  <w:style w:type="paragraph" w:styleId="TOC9">
    <w:name w:val="toc 9"/>
    <w:basedOn w:val="Normal"/>
    <w:next w:val="Normal"/>
    <w:autoRedefine/>
    <w:uiPriority w:val="39"/>
    <w:unhideWhenUsed/>
    <w:rsid w:val="005112FB"/>
    <w:pPr>
      <w:spacing w:after="0"/>
      <w:ind w:left="1760"/>
    </w:pPr>
    <w:rPr>
      <w:sz w:val="20"/>
      <w:szCs w:val="20"/>
    </w:rPr>
  </w:style>
  <w:style w:type="character" w:customStyle="1" w:styleId="Heading1Char">
    <w:name w:val="Heading 1 Char"/>
    <w:basedOn w:val="DefaultParagraphFont"/>
    <w:link w:val="Heading1"/>
    <w:uiPriority w:val="9"/>
    <w:rsid w:val="005112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112FB"/>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5112FB"/>
    <w:pPr>
      <w:spacing w:line="276" w:lineRule="auto"/>
      <w:outlineLvl w:val="9"/>
    </w:pPr>
  </w:style>
  <w:style w:type="paragraph" w:styleId="BalloonText">
    <w:name w:val="Balloon Text"/>
    <w:basedOn w:val="Normal"/>
    <w:link w:val="BalloonTextChar"/>
    <w:uiPriority w:val="99"/>
    <w:semiHidden/>
    <w:unhideWhenUsed/>
    <w:rsid w:val="005112F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2FB"/>
    <w:rPr>
      <w:rFonts w:ascii="Tahoma" w:hAnsi="Tahoma" w:cs="Tahoma"/>
      <w:sz w:val="16"/>
      <w:szCs w:val="16"/>
    </w:rPr>
  </w:style>
  <w:style w:type="character" w:styleId="Hyperlink">
    <w:name w:val="Hyperlink"/>
    <w:basedOn w:val="DefaultParagraphFont"/>
    <w:uiPriority w:val="99"/>
    <w:unhideWhenUsed/>
    <w:rsid w:val="00AD0C57"/>
    <w:rPr>
      <w:color w:val="0000FF" w:themeColor="hyperlink"/>
      <w:u w:val="single"/>
    </w:rPr>
  </w:style>
  <w:style w:type="character" w:customStyle="1" w:styleId="Heading3Char">
    <w:name w:val="Heading 3 Char"/>
    <w:basedOn w:val="DefaultParagraphFont"/>
    <w:link w:val="Heading3"/>
    <w:uiPriority w:val="9"/>
    <w:rsid w:val="009C468F"/>
    <w:rPr>
      <w:rFonts w:asciiTheme="majorHAnsi" w:eastAsiaTheme="majorEastAsia" w:hAnsiTheme="majorHAnsi" w:cstheme="majorBidi"/>
      <w:b/>
      <w:bCs/>
      <w:color w:val="4F81BD" w:themeColor="accent1"/>
    </w:rPr>
  </w:style>
  <w:style w:type="paragraph" w:styleId="CommentText">
    <w:name w:val="annotation text"/>
    <w:basedOn w:val="Normal"/>
    <w:link w:val="CommentTextChar"/>
    <w:uiPriority w:val="99"/>
    <w:semiHidden/>
    <w:unhideWhenUsed/>
    <w:rsid w:val="002649AF"/>
    <w:rPr>
      <w:sz w:val="24"/>
      <w:szCs w:val="24"/>
    </w:rPr>
  </w:style>
  <w:style w:type="character" w:customStyle="1" w:styleId="CommentTextChar">
    <w:name w:val="Comment Text Char"/>
    <w:basedOn w:val="DefaultParagraphFont"/>
    <w:link w:val="CommentText"/>
    <w:uiPriority w:val="99"/>
    <w:semiHidden/>
    <w:rsid w:val="002649AF"/>
    <w:rPr>
      <w:sz w:val="24"/>
      <w:szCs w:val="24"/>
    </w:rPr>
  </w:style>
  <w:style w:type="paragraph" w:customStyle="1" w:styleId="Default">
    <w:name w:val="Default"/>
    <w:rsid w:val="00D73ACA"/>
    <w:pPr>
      <w:autoSpaceDE w:val="0"/>
      <w:autoSpaceDN w:val="0"/>
      <w:adjustRightInd w:val="0"/>
      <w:spacing w:after="0"/>
    </w:pPr>
    <w:rPr>
      <w:rFonts w:ascii="Utopia" w:hAnsi="Utopia" w:cs="Utopia"/>
      <w:color w:val="000000"/>
      <w:sz w:val="24"/>
      <w:szCs w:val="24"/>
    </w:rPr>
  </w:style>
  <w:style w:type="paragraph" w:customStyle="1" w:styleId="Pa2">
    <w:name w:val="Pa2"/>
    <w:basedOn w:val="Default"/>
    <w:next w:val="Default"/>
    <w:uiPriority w:val="99"/>
    <w:rsid w:val="00D73ACA"/>
    <w:pPr>
      <w:spacing w:line="181" w:lineRule="atLeast"/>
    </w:pPr>
    <w:rPr>
      <w:rFonts w:cstheme="minorBidi"/>
      <w:color w:val="auto"/>
    </w:rPr>
  </w:style>
  <w:style w:type="character" w:styleId="CommentReference">
    <w:name w:val="annotation reference"/>
    <w:basedOn w:val="DefaultParagraphFont"/>
    <w:uiPriority w:val="99"/>
    <w:semiHidden/>
    <w:unhideWhenUsed/>
    <w:rsid w:val="00CF30E6"/>
    <w:rPr>
      <w:sz w:val="18"/>
      <w:szCs w:val="18"/>
    </w:rPr>
  </w:style>
  <w:style w:type="paragraph" w:styleId="CommentSubject">
    <w:name w:val="annotation subject"/>
    <w:basedOn w:val="CommentText"/>
    <w:next w:val="CommentText"/>
    <w:link w:val="CommentSubjectChar"/>
    <w:uiPriority w:val="99"/>
    <w:semiHidden/>
    <w:unhideWhenUsed/>
    <w:rsid w:val="00CF30E6"/>
    <w:rPr>
      <w:b/>
      <w:bCs/>
      <w:sz w:val="20"/>
      <w:szCs w:val="20"/>
    </w:rPr>
  </w:style>
  <w:style w:type="character" w:customStyle="1" w:styleId="CommentSubjectChar">
    <w:name w:val="Comment Subject Char"/>
    <w:basedOn w:val="CommentTextChar"/>
    <w:link w:val="CommentSubject"/>
    <w:uiPriority w:val="99"/>
    <w:semiHidden/>
    <w:rsid w:val="00CF30E6"/>
    <w:rPr>
      <w:b/>
      <w:bCs/>
      <w:sz w:val="20"/>
      <w:szCs w:val="20"/>
    </w:rPr>
  </w:style>
  <w:style w:type="character" w:styleId="Emphasis">
    <w:name w:val="Emphasis"/>
    <w:basedOn w:val="DefaultParagraphFont"/>
    <w:uiPriority w:val="20"/>
    <w:qFormat/>
    <w:rsid w:val="0086157B"/>
    <w:rPr>
      <w:i/>
      <w:iCs/>
    </w:rPr>
  </w:style>
  <w:style w:type="character" w:customStyle="1" w:styleId="st">
    <w:name w:val="st"/>
    <w:basedOn w:val="DefaultParagraphFont"/>
    <w:rsid w:val="0086157B"/>
  </w:style>
  <w:style w:type="paragraph" w:styleId="Revision">
    <w:name w:val="Revision"/>
    <w:hidden/>
    <w:uiPriority w:val="99"/>
    <w:semiHidden/>
    <w:rsid w:val="00D36C8B"/>
    <w:pPr>
      <w:spacing w:after="0"/>
    </w:pPr>
  </w:style>
</w:styles>
</file>

<file path=word/webSettings.xml><?xml version="1.0" encoding="utf-8"?>
<w:webSettings xmlns:r="http://schemas.openxmlformats.org/officeDocument/2006/relationships" xmlns:w="http://schemas.openxmlformats.org/wordprocessingml/2006/main">
  <w:divs>
    <w:div w:id="108084875">
      <w:bodyDiv w:val="1"/>
      <w:marLeft w:val="0"/>
      <w:marRight w:val="0"/>
      <w:marTop w:val="0"/>
      <w:marBottom w:val="0"/>
      <w:divBdr>
        <w:top w:val="none" w:sz="0" w:space="0" w:color="auto"/>
        <w:left w:val="none" w:sz="0" w:space="0" w:color="auto"/>
        <w:bottom w:val="none" w:sz="0" w:space="0" w:color="auto"/>
        <w:right w:val="none" w:sz="0" w:space="0" w:color="auto"/>
      </w:divBdr>
    </w:div>
    <w:div w:id="118376894">
      <w:bodyDiv w:val="1"/>
      <w:marLeft w:val="0"/>
      <w:marRight w:val="0"/>
      <w:marTop w:val="0"/>
      <w:marBottom w:val="0"/>
      <w:divBdr>
        <w:top w:val="none" w:sz="0" w:space="0" w:color="auto"/>
        <w:left w:val="none" w:sz="0" w:space="0" w:color="auto"/>
        <w:bottom w:val="none" w:sz="0" w:space="0" w:color="auto"/>
        <w:right w:val="none" w:sz="0" w:space="0" w:color="auto"/>
      </w:divBdr>
    </w:div>
    <w:div w:id="198277940">
      <w:bodyDiv w:val="1"/>
      <w:marLeft w:val="0"/>
      <w:marRight w:val="0"/>
      <w:marTop w:val="0"/>
      <w:marBottom w:val="0"/>
      <w:divBdr>
        <w:top w:val="none" w:sz="0" w:space="0" w:color="auto"/>
        <w:left w:val="none" w:sz="0" w:space="0" w:color="auto"/>
        <w:bottom w:val="none" w:sz="0" w:space="0" w:color="auto"/>
        <w:right w:val="none" w:sz="0" w:space="0" w:color="auto"/>
      </w:divBdr>
      <w:divsChild>
        <w:div w:id="1460297304">
          <w:marLeft w:val="0"/>
          <w:marRight w:val="0"/>
          <w:marTop w:val="0"/>
          <w:marBottom w:val="0"/>
          <w:divBdr>
            <w:top w:val="none" w:sz="0" w:space="0" w:color="auto"/>
            <w:left w:val="none" w:sz="0" w:space="0" w:color="auto"/>
            <w:bottom w:val="none" w:sz="0" w:space="0" w:color="auto"/>
            <w:right w:val="none" w:sz="0" w:space="0" w:color="auto"/>
          </w:divBdr>
        </w:div>
      </w:divsChild>
    </w:div>
    <w:div w:id="222955342">
      <w:bodyDiv w:val="1"/>
      <w:marLeft w:val="0"/>
      <w:marRight w:val="0"/>
      <w:marTop w:val="0"/>
      <w:marBottom w:val="0"/>
      <w:divBdr>
        <w:top w:val="none" w:sz="0" w:space="0" w:color="auto"/>
        <w:left w:val="none" w:sz="0" w:space="0" w:color="auto"/>
        <w:bottom w:val="none" w:sz="0" w:space="0" w:color="auto"/>
        <w:right w:val="none" w:sz="0" w:space="0" w:color="auto"/>
      </w:divBdr>
      <w:divsChild>
        <w:div w:id="1588004414">
          <w:marLeft w:val="0"/>
          <w:marRight w:val="0"/>
          <w:marTop w:val="0"/>
          <w:marBottom w:val="0"/>
          <w:divBdr>
            <w:top w:val="none" w:sz="0" w:space="0" w:color="auto"/>
            <w:left w:val="none" w:sz="0" w:space="0" w:color="auto"/>
            <w:bottom w:val="none" w:sz="0" w:space="0" w:color="auto"/>
            <w:right w:val="none" w:sz="0" w:space="0" w:color="auto"/>
          </w:divBdr>
        </w:div>
      </w:divsChild>
    </w:div>
    <w:div w:id="255747190">
      <w:bodyDiv w:val="1"/>
      <w:marLeft w:val="0"/>
      <w:marRight w:val="0"/>
      <w:marTop w:val="0"/>
      <w:marBottom w:val="0"/>
      <w:divBdr>
        <w:top w:val="none" w:sz="0" w:space="0" w:color="auto"/>
        <w:left w:val="none" w:sz="0" w:space="0" w:color="auto"/>
        <w:bottom w:val="none" w:sz="0" w:space="0" w:color="auto"/>
        <w:right w:val="none" w:sz="0" w:space="0" w:color="auto"/>
      </w:divBdr>
    </w:div>
    <w:div w:id="626591077">
      <w:bodyDiv w:val="1"/>
      <w:marLeft w:val="0"/>
      <w:marRight w:val="0"/>
      <w:marTop w:val="0"/>
      <w:marBottom w:val="0"/>
      <w:divBdr>
        <w:top w:val="none" w:sz="0" w:space="0" w:color="auto"/>
        <w:left w:val="none" w:sz="0" w:space="0" w:color="auto"/>
        <w:bottom w:val="none" w:sz="0" w:space="0" w:color="auto"/>
        <w:right w:val="none" w:sz="0" w:space="0" w:color="auto"/>
      </w:divBdr>
      <w:divsChild>
        <w:div w:id="1161853538">
          <w:marLeft w:val="0"/>
          <w:marRight w:val="0"/>
          <w:marTop w:val="0"/>
          <w:marBottom w:val="0"/>
          <w:divBdr>
            <w:top w:val="none" w:sz="0" w:space="0" w:color="auto"/>
            <w:left w:val="none" w:sz="0" w:space="0" w:color="auto"/>
            <w:bottom w:val="none" w:sz="0" w:space="0" w:color="auto"/>
            <w:right w:val="none" w:sz="0" w:space="0" w:color="auto"/>
          </w:divBdr>
        </w:div>
        <w:div w:id="1687442869">
          <w:marLeft w:val="0"/>
          <w:marRight w:val="0"/>
          <w:marTop w:val="0"/>
          <w:marBottom w:val="0"/>
          <w:divBdr>
            <w:top w:val="none" w:sz="0" w:space="0" w:color="auto"/>
            <w:left w:val="none" w:sz="0" w:space="0" w:color="auto"/>
            <w:bottom w:val="none" w:sz="0" w:space="0" w:color="auto"/>
            <w:right w:val="none" w:sz="0" w:space="0" w:color="auto"/>
          </w:divBdr>
        </w:div>
      </w:divsChild>
    </w:div>
    <w:div w:id="631714164">
      <w:bodyDiv w:val="1"/>
      <w:marLeft w:val="0"/>
      <w:marRight w:val="0"/>
      <w:marTop w:val="0"/>
      <w:marBottom w:val="0"/>
      <w:divBdr>
        <w:top w:val="none" w:sz="0" w:space="0" w:color="auto"/>
        <w:left w:val="none" w:sz="0" w:space="0" w:color="auto"/>
        <w:bottom w:val="none" w:sz="0" w:space="0" w:color="auto"/>
        <w:right w:val="none" w:sz="0" w:space="0" w:color="auto"/>
      </w:divBdr>
      <w:divsChild>
        <w:div w:id="44450856">
          <w:marLeft w:val="0"/>
          <w:marRight w:val="0"/>
          <w:marTop w:val="0"/>
          <w:marBottom w:val="0"/>
          <w:divBdr>
            <w:top w:val="none" w:sz="0" w:space="0" w:color="auto"/>
            <w:left w:val="none" w:sz="0" w:space="0" w:color="auto"/>
            <w:bottom w:val="none" w:sz="0" w:space="0" w:color="auto"/>
            <w:right w:val="none" w:sz="0" w:space="0" w:color="auto"/>
          </w:divBdr>
          <w:divsChild>
            <w:div w:id="249581827">
              <w:marLeft w:val="0"/>
              <w:marRight w:val="0"/>
              <w:marTop w:val="0"/>
              <w:marBottom w:val="0"/>
              <w:divBdr>
                <w:top w:val="none" w:sz="0" w:space="0" w:color="auto"/>
                <w:left w:val="none" w:sz="0" w:space="0" w:color="auto"/>
                <w:bottom w:val="none" w:sz="0" w:space="0" w:color="auto"/>
                <w:right w:val="none" w:sz="0" w:space="0" w:color="auto"/>
              </w:divBdr>
              <w:divsChild>
                <w:div w:id="1301574574">
                  <w:marLeft w:val="0"/>
                  <w:marRight w:val="0"/>
                  <w:marTop w:val="0"/>
                  <w:marBottom w:val="0"/>
                  <w:divBdr>
                    <w:top w:val="none" w:sz="0" w:space="0" w:color="auto"/>
                    <w:left w:val="none" w:sz="0" w:space="0" w:color="auto"/>
                    <w:bottom w:val="none" w:sz="0" w:space="0" w:color="auto"/>
                    <w:right w:val="none" w:sz="0" w:space="0" w:color="auto"/>
                  </w:divBdr>
                </w:div>
              </w:divsChild>
            </w:div>
            <w:div w:id="227543951">
              <w:marLeft w:val="0"/>
              <w:marRight w:val="0"/>
              <w:marTop w:val="0"/>
              <w:marBottom w:val="0"/>
              <w:divBdr>
                <w:top w:val="none" w:sz="0" w:space="0" w:color="auto"/>
                <w:left w:val="none" w:sz="0" w:space="0" w:color="auto"/>
                <w:bottom w:val="none" w:sz="0" w:space="0" w:color="auto"/>
                <w:right w:val="none" w:sz="0" w:space="0" w:color="auto"/>
              </w:divBdr>
            </w:div>
          </w:divsChild>
        </w:div>
        <w:div w:id="1260068003">
          <w:marLeft w:val="0"/>
          <w:marRight w:val="0"/>
          <w:marTop w:val="0"/>
          <w:marBottom w:val="0"/>
          <w:divBdr>
            <w:top w:val="none" w:sz="0" w:space="0" w:color="auto"/>
            <w:left w:val="none" w:sz="0" w:space="0" w:color="auto"/>
            <w:bottom w:val="none" w:sz="0" w:space="0" w:color="auto"/>
            <w:right w:val="none" w:sz="0" w:space="0" w:color="auto"/>
          </w:divBdr>
        </w:div>
      </w:divsChild>
    </w:div>
    <w:div w:id="676007372">
      <w:bodyDiv w:val="1"/>
      <w:marLeft w:val="0"/>
      <w:marRight w:val="0"/>
      <w:marTop w:val="0"/>
      <w:marBottom w:val="0"/>
      <w:divBdr>
        <w:top w:val="none" w:sz="0" w:space="0" w:color="auto"/>
        <w:left w:val="none" w:sz="0" w:space="0" w:color="auto"/>
        <w:bottom w:val="none" w:sz="0" w:space="0" w:color="auto"/>
        <w:right w:val="none" w:sz="0" w:space="0" w:color="auto"/>
      </w:divBdr>
    </w:div>
    <w:div w:id="866061706">
      <w:bodyDiv w:val="1"/>
      <w:marLeft w:val="0"/>
      <w:marRight w:val="0"/>
      <w:marTop w:val="0"/>
      <w:marBottom w:val="0"/>
      <w:divBdr>
        <w:top w:val="none" w:sz="0" w:space="0" w:color="auto"/>
        <w:left w:val="none" w:sz="0" w:space="0" w:color="auto"/>
        <w:bottom w:val="none" w:sz="0" w:space="0" w:color="auto"/>
        <w:right w:val="none" w:sz="0" w:space="0" w:color="auto"/>
      </w:divBdr>
    </w:div>
    <w:div w:id="980230334">
      <w:bodyDiv w:val="1"/>
      <w:marLeft w:val="0"/>
      <w:marRight w:val="0"/>
      <w:marTop w:val="0"/>
      <w:marBottom w:val="0"/>
      <w:divBdr>
        <w:top w:val="none" w:sz="0" w:space="0" w:color="auto"/>
        <w:left w:val="none" w:sz="0" w:space="0" w:color="auto"/>
        <w:bottom w:val="none" w:sz="0" w:space="0" w:color="auto"/>
        <w:right w:val="none" w:sz="0" w:space="0" w:color="auto"/>
      </w:divBdr>
      <w:divsChild>
        <w:div w:id="493643568">
          <w:marLeft w:val="0"/>
          <w:marRight w:val="0"/>
          <w:marTop w:val="0"/>
          <w:marBottom w:val="0"/>
          <w:divBdr>
            <w:top w:val="none" w:sz="0" w:space="0" w:color="auto"/>
            <w:left w:val="none" w:sz="0" w:space="0" w:color="auto"/>
            <w:bottom w:val="none" w:sz="0" w:space="0" w:color="auto"/>
            <w:right w:val="none" w:sz="0" w:space="0" w:color="auto"/>
          </w:divBdr>
        </w:div>
      </w:divsChild>
    </w:div>
    <w:div w:id="984359227">
      <w:bodyDiv w:val="1"/>
      <w:marLeft w:val="0"/>
      <w:marRight w:val="0"/>
      <w:marTop w:val="0"/>
      <w:marBottom w:val="0"/>
      <w:divBdr>
        <w:top w:val="none" w:sz="0" w:space="0" w:color="auto"/>
        <w:left w:val="none" w:sz="0" w:space="0" w:color="auto"/>
        <w:bottom w:val="none" w:sz="0" w:space="0" w:color="auto"/>
        <w:right w:val="none" w:sz="0" w:space="0" w:color="auto"/>
      </w:divBdr>
    </w:div>
    <w:div w:id="1216743997">
      <w:bodyDiv w:val="1"/>
      <w:marLeft w:val="0"/>
      <w:marRight w:val="0"/>
      <w:marTop w:val="0"/>
      <w:marBottom w:val="0"/>
      <w:divBdr>
        <w:top w:val="none" w:sz="0" w:space="0" w:color="auto"/>
        <w:left w:val="none" w:sz="0" w:space="0" w:color="auto"/>
        <w:bottom w:val="none" w:sz="0" w:space="0" w:color="auto"/>
        <w:right w:val="none" w:sz="0" w:space="0" w:color="auto"/>
      </w:divBdr>
      <w:divsChild>
        <w:div w:id="1779566991">
          <w:marLeft w:val="0"/>
          <w:marRight w:val="0"/>
          <w:marTop w:val="0"/>
          <w:marBottom w:val="0"/>
          <w:divBdr>
            <w:top w:val="none" w:sz="0" w:space="0" w:color="auto"/>
            <w:left w:val="none" w:sz="0" w:space="0" w:color="auto"/>
            <w:bottom w:val="none" w:sz="0" w:space="0" w:color="auto"/>
            <w:right w:val="none" w:sz="0" w:space="0" w:color="auto"/>
          </w:divBdr>
        </w:div>
        <w:div w:id="839585908">
          <w:marLeft w:val="0"/>
          <w:marRight w:val="0"/>
          <w:marTop w:val="0"/>
          <w:marBottom w:val="0"/>
          <w:divBdr>
            <w:top w:val="none" w:sz="0" w:space="0" w:color="auto"/>
            <w:left w:val="none" w:sz="0" w:space="0" w:color="auto"/>
            <w:bottom w:val="none" w:sz="0" w:space="0" w:color="auto"/>
            <w:right w:val="none" w:sz="0" w:space="0" w:color="auto"/>
          </w:divBdr>
        </w:div>
      </w:divsChild>
    </w:div>
    <w:div w:id="1316034009">
      <w:bodyDiv w:val="1"/>
      <w:marLeft w:val="0"/>
      <w:marRight w:val="0"/>
      <w:marTop w:val="0"/>
      <w:marBottom w:val="0"/>
      <w:divBdr>
        <w:top w:val="none" w:sz="0" w:space="0" w:color="auto"/>
        <w:left w:val="none" w:sz="0" w:space="0" w:color="auto"/>
        <w:bottom w:val="none" w:sz="0" w:space="0" w:color="auto"/>
        <w:right w:val="none" w:sz="0" w:space="0" w:color="auto"/>
      </w:divBdr>
    </w:div>
    <w:div w:id="1375888101">
      <w:bodyDiv w:val="1"/>
      <w:marLeft w:val="0"/>
      <w:marRight w:val="0"/>
      <w:marTop w:val="0"/>
      <w:marBottom w:val="0"/>
      <w:divBdr>
        <w:top w:val="none" w:sz="0" w:space="0" w:color="auto"/>
        <w:left w:val="none" w:sz="0" w:space="0" w:color="auto"/>
        <w:bottom w:val="none" w:sz="0" w:space="0" w:color="auto"/>
        <w:right w:val="none" w:sz="0" w:space="0" w:color="auto"/>
      </w:divBdr>
    </w:div>
    <w:div w:id="1411385072">
      <w:bodyDiv w:val="1"/>
      <w:marLeft w:val="0"/>
      <w:marRight w:val="0"/>
      <w:marTop w:val="0"/>
      <w:marBottom w:val="0"/>
      <w:divBdr>
        <w:top w:val="none" w:sz="0" w:space="0" w:color="auto"/>
        <w:left w:val="none" w:sz="0" w:space="0" w:color="auto"/>
        <w:bottom w:val="none" w:sz="0" w:space="0" w:color="auto"/>
        <w:right w:val="none" w:sz="0" w:space="0" w:color="auto"/>
      </w:divBdr>
    </w:div>
    <w:div w:id="1572034309">
      <w:bodyDiv w:val="1"/>
      <w:marLeft w:val="0"/>
      <w:marRight w:val="0"/>
      <w:marTop w:val="0"/>
      <w:marBottom w:val="0"/>
      <w:divBdr>
        <w:top w:val="none" w:sz="0" w:space="0" w:color="auto"/>
        <w:left w:val="none" w:sz="0" w:space="0" w:color="auto"/>
        <w:bottom w:val="none" w:sz="0" w:space="0" w:color="auto"/>
        <w:right w:val="none" w:sz="0" w:space="0" w:color="auto"/>
      </w:divBdr>
    </w:div>
    <w:div w:id="1694727832">
      <w:bodyDiv w:val="1"/>
      <w:marLeft w:val="0"/>
      <w:marRight w:val="0"/>
      <w:marTop w:val="0"/>
      <w:marBottom w:val="0"/>
      <w:divBdr>
        <w:top w:val="none" w:sz="0" w:space="0" w:color="auto"/>
        <w:left w:val="none" w:sz="0" w:space="0" w:color="auto"/>
        <w:bottom w:val="none" w:sz="0" w:space="0" w:color="auto"/>
        <w:right w:val="none" w:sz="0" w:space="0" w:color="auto"/>
      </w:divBdr>
    </w:div>
    <w:div w:id="1722753918">
      <w:bodyDiv w:val="1"/>
      <w:marLeft w:val="0"/>
      <w:marRight w:val="0"/>
      <w:marTop w:val="0"/>
      <w:marBottom w:val="0"/>
      <w:divBdr>
        <w:top w:val="none" w:sz="0" w:space="0" w:color="auto"/>
        <w:left w:val="none" w:sz="0" w:space="0" w:color="auto"/>
        <w:bottom w:val="none" w:sz="0" w:space="0" w:color="auto"/>
        <w:right w:val="none" w:sz="0" w:space="0" w:color="auto"/>
      </w:divBdr>
    </w:div>
    <w:div w:id="1788427152">
      <w:bodyDiv w:val="1"/>
      <w:marLeft w:val="0"/>
      <w:marRight w:val="0"/>
      <w:marTop w:val="0"/>
      <w:marBottom w:val="0"/>
      <w:divBdr>
        <w:top w:val="none" w:sz="0" w:space="0" w:color="auto"/>
        <w:left w:val="none" w:sz="0" w:space="0" w:color="auto"/>
        <w:bottom w:val="none" w:sz="0" w:space="0" w:color="auto"/>
        <w:right w:val="none" w:sz="0" w:space="0" w:color="auto"/>
      </w:divBdr>
    </w:div>
    <w:div w:id="1865943904">
      <w:bodyDiv w:val="1"/>
      <w:marLeft w:val="0"/>
      <w:marRight w:val="0"/>
      <w:marTop w:val="0"/>
      <w:marBottom w:val="0"/>
      <w:divBdr>
        <w:top w:val="none" w:sz="0" w:space="0" w:color="auto"/>
        <w:left w:val="none" w:sz="0" w:space="0" w:color="auto"/>
        <w:bottom w:val="none" w:sz="0" w:space="0" w:color="auto"/>
        <w:right w:val="none" w:sz="0" w:space="0" w:color="auto"/>
      </w:divBdr>
    </w:div>
    <w:div w:id="2054840857">
      <w:bodyDiv w:val="1"/>
      <w:marLeft w:val="0"/>
      <w:marRight w:val="0"/>
      <w:marTop w:val="0"/>
      <w:marBottom w:val="0"/>
      <w:divBdr>
        <w:top w:val="none" w:sz="0" w:space="0" w:color="auto"/>
        <w:left w:val="none" w:sz="0" w:space="0" w:color="auto"/>
        <w:bottom w:val="none" w:sz="0" w:space="0" w:color="auto"/>
        <w:right w:val="none" w:sz="0" w:space="0" w:color="auto"/>
      </w:divBdr>
    </w:div>
    <w:div w:id="207685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hart" Target="charts/chart11.xml"/><Relationship Id="rId7" Type="http://schemas.openxmlformats.org/officeDocument/2006/relationships/footer" Target="footer1.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hart" Target="charts/chart1.xml"/><Relationship Id="rId24" Type="http://schemas.openxmlformats.org/officeDocument/2006/relationships/hyperlink" Target="http://pubget.com/author/imael-henri-nestor-bassole" TargetMode="External"/><Relationship Id="rId5" Type="http://schemas.openxmlformats.org/officeDocument/2006/relationships/endnotes" Target="endnotes.xml"/><Relationship Id="rId15" Type="http://schemas.openxmlformats.org/officeDocument/2006/relationships/chart" Target="charts/chart5.xml"/><Relationship Id="rId23" Type="http://schemas.openxmlformats.org/officeDocument/2006/relationships/hyperlink" Target="http://pubget.com/author/imael-henri-nestor-bassole" TargetMode="External"/><Relationship Id="rId10" Type="http://schemas.openxmlformats.org/officeDocument/2006/relationships/footer" Target="footer3.xml"/><Relationship Id="rId19" Type="http://schemas.openxmlformats.org/officeDocument/2006/relationships/chart" Target="charts/chart9.xml"/><Relationship Id="rId31"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hyperlink" Target="http://pubget.com/author/imael-henri-nestor-bassole" TargetMode="External"/><Relationship Id="rId14" Type="http://schemas.openxmlformats.org/officeDocument/2006/relationships/chart" Target="charts/chart4.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ou\Dropbox\Thesis\Broth%20trial%20data\Rep1\SAS%20Workboo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strRef>
              <c:f>'LC-Thym'!$O$3</c:f>
              <c:strCache>
                <c:ptCount val="1"/>
                <c:pt idx="0">
                  <c:v>0.05%</c:v>
                </c:pt>
              </c:strCache>
            </c:strRef>
          </c:tx>
          <c:spPr>
            <a:ln w="22225">
              <a:solidFill>
                <a:prstClr val="black"/>
              </a:solidFill>
              <a:prstDash val="sysDash"/>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'LC-Thym'!$P$2:$U$2</c:f>
              <c:numCache>
                <c:formatCode>General</c:formatCode>
                <c:ptCount val="6"/>
                <c:pt idx="0">
                  <c:v>0</c:v>
                </c:pt>
                <c:pt idx="1">
                  <c:v>6</c:v>
                </c:pt>
                <c:pt idx="2">
                  <c:v>12</c:v>
                </c:pt>
                <c:pt idx="3">
                  <c:v>24</c:v>
                </c:pt>
                <c:pt idx="4">
                  <c:v>48</c:v>
                </c:pt>
                <c:pt idx="5">
                  <c:v>72</c:v>
                </c:pt>
              </c:numCache>
            </c:numRef>
          </c:xVal>
          <c:yVal>
            <c:numRef>
              <c:f>'LC-Thym'!$P$3:$U$3</c:f>
              <c:numCache>
                <c:formatCode>General</c:formatCode>
                <c:ptCount val="6"/>
                <c:pt idx="0">
                  <c:v>4.8299820475190502</c:v>
                </c:pt>
                <c:pt idx="1">
                  <c:v>4.5789168587372098</c:v>
                </c:pt>
                <c:pt idx="2">
                  <c:v>4.2662827501679086</c:v>
                </c:pt>
                <c:pt idx="3">
                  <c:v>3.4414410947929426</c:v>
                </c:pt>
                <c:pt idx="4">
                  <c:v>4.4093164686498856</c:v>
                </c:pt>
                <c:pt idx="5">
                  <c:v>4.7262366772922704</c:v>
                </c:pt>
              </c:numCache>
            </c:numRef>
          </c:yVal>
        </c:ser>
        <c:ser>
          <c:idx val="1"/>
          <c:order val="1"/>
          <c:tx>
            <c:strRef>
              <c:f>'LC-Thym'!$O$4</c:f>
              <c:strCache>
                <c:ptCount val="1"/>
                <c:pt idx="0">
                  <c:v>0.075%</c:v>
                </c:pt>
              </c:strCache>
            </c:strRef>
          </c:tx>
          <c:spPr>
            <a:ln w="22225">
              <a:solidFill>
                <a:prstClr val="black"/>
              </a:solidFill>
              <a:prstDash val="lgDash"/>
            </a:ln>
          </c:spPr>
          <c:marker>
            <c:symbol val="diamond"/>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'LC-Thym'!$P$2:$U$2</c:f>
              <c:numCache>
                <c:formatCode>General</c:formatCode>
                <c:ptCount val="6"/>
                <c:pt idx="0">
                  <c:v>0</c:v>
                </c:pt>
                <c:pt idx="1">
                  <c:v>6</c:v>
                </c:pt>
                <c:pt idx="2">
                  <c:v>12</c:v>
                </c:pt>
                <c:pt idx="3">
                  <c:v>24</c:v>
                </c:pt>
                <c:pt idx="4">
                  <c:v>48</c:v>
                </c:pt>
                <c:pt idx="5">
                  <c:v>72</c:v>
                </c:pt>
              </c:numCache>
            </c:numRef>
          </c:xVal>
          <c:yVal>
            <c:numRef>
              <c:f>'LC-Thym'!$P$4:$U$4</c:f>
              <c:numCache>
                <c:formatCode>General</c:formatCode>
                <c:ptCount val="6"/>
                <c:pt idx="0">
                  <c:v>4.3738085823592616</c:v>
                </c:pt>
                <c:pt idx="1">
                  <c:v>3.3042433086471368</c:v>
                </c:pt>
                <c:pt idx="2">
                  <c:v>2.6323251821310838</c:v>
                </c:pt>
                <c:pt idx="3">
                  <c:v>0.9</c:v>
                </c:pt>
                <c:pt idx="4">
                  <c:v>2.3667744006569698</c:v>
                </c:pt>
                <c:pt idx="5">
                  <c:v>4.2640711358590035</c:v>
                </c:pt>
              </c:numCache>
            </c:numRef>
          </c:yVal>
        </c:ser>
        <c:ser>
          <c:idx val="2"/>
          <c:order val="2"/>
          <c:tx>
            <c:strRef>
              <c:f>'LC-Thym'!$O$5</c:f>
              <c:strCache>
                <c:ptCount val="1"/>
                <c:pt idx="0">
                  <c:v>0.1%</c:v>
                </c:pt>
              </c:strCache>
            </c:strRef>
          </c:tx>
          <c:spPr>
            <a:ln w="22225">
              <a:solidFill>
                <a:prstClr val="black"/>
              </a:solidFill>
              <a:prstDash val="lgDashDotDot"/>
            </a:ln>
          </c:spPr>
          <c:marker>
            <c:symbol val="squar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'LC-Thym'!$P$2:$U$2</c:f>
              <c:numCache>
                <c:formatCode>General</c:formatCode>
                <c:ptCount val="6"/>
                <c:pt idx="0">
                  <c:v>0</c:v>
                </c:pt>
                <c:pt idx="1">
                  <c:v>6</c:v>
                </c:pt>
                <c:pt idx="2">
                  <c:v>12</c:v>
                </c:pt>
                <c:pt idx="3">
                  <c:v>24</c:v>
                </c:pt>
                <c:pt idx="4">
                  <c:v>48</c:v>
                </c:pt>
                <c:pt idx="5">
                  <c:v>72</c:v>
                </c:pt>
              </c:numCache>
            </c:numRef>
          </c:xVal>
          <c:yVal>
            <c:numRef>
              <c:f>'LC-Thym'!$P$5:$U$5</c:f>
              <c:numCache>
                <c:formatCode>General</c:formatCode>
                <c:ptCount val="6"/>
                <c:pt idx="0">
                  <c:v>4.7179092950288055</c:v>
                </c:pt>
                <c:pt idx="1">
                  <c:v>0.9</c:v>
                </c:pt>
                <c:pt idx="2">
                  <c:v>1.9277626370206784</c:v>
                </c:pt>
                <c:pt idx="3">
                  <c:v>0.95424250943932487</c:v>
                </c:pt>
                <c:pt idx="4">
                  <c:v>1.4371916686235309</c:v>
                </c:pt>
                <c:pt idx="5">
                  <c:v>0.95424250943932487</c:v>
                </c:pt>
              </c:numCache>
            </c:numRef>
          </c:yVal>
        </c:ser>
        <c:ser>
          <c:idx val="3"/>
          <c:order val="3"/>
          <c:tx>
            <c:strRef>
              <c:f>'LC-Thym'!$O$6</c:f>
              <c:strCache>
                <c:ptCount val="1"/>
                <c:pt idx="0">
                  <c:v>Control</c:v>
                </c:pt>
              </c:strCache>
            </c:strRef>
          </c:tx>
          <c:spPr>
            <a:ln w="22225">
              <a:solidFill>
                <a:prstClr val="black"/>
              </a:solidFill>
            </a:ln>
          </c:spPr>
          <c:marker>
            <c:symbol val="circle"/>
            <c:size val="5"/>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'LC-Thym'!$P$2:$U$2</c:f>
              <c:numCache>
                <c:formatCode>General</c:formatCode>
                <c:ptCount val="6"/>
                <c:pt idx="0">
                  <c:v>0</c:v>
                </c:pt>
                <c:pt idx="1">
                  <c:v>6</c:v>
                </c:pt>
                <c:pt idx="2">
                  <c:v>12</c:v>
                </c:pt>
                <c:pt idx="3">
                  <c:v>24</c:v>
                </c:pt>
                <c:pt idx="4">
                  <c:v>48</c:v>
                </c:pt>
                <c:pt idx="5">
                  <c:v>72</c:v>
                </c:pt>
              </c:numCache>
            </c:numRef>
          </c:xVal>
          <c:yVal>
            <c:numRef>
              <c:f>'LC-Thym'!$P$6:$U$6</c:f>
              <c:numCache>
                <c:formatCode>General</c:formatCode>
                <c:ptCount val="6"/>
                <c:pt idx="0">
                  <c:v>4.827736590514986</c:v>
                </c:pt>
                <c:pt idx="1">
                  <c:v>6.1537207357622261</c:v>
                </c:pt>
                <c:pt idx="2">
                  <c:v>8.0677536888758858</c:v>
                </c:pt>
                <c:pt idx="3">
                  <c:v>9.3353969867627633</c:v>
                </c:pt>
                <c:pt idx="4">
                  <c:v>8.885120672302925</c:v>
                </c:pt>
                <c:pt idx="5">
                  <c:v>8.026413485470183</c:v>
                </c:pt>
              </c:numCache>
            </c:numRef>
          </c:yVal>
        </c:ser>
        <c:ser>
          <c:idx val="4"/>
          <c:order val="4"/>
          <c:tx>
            <c:strRef>
              <c:f>'LC-Thym'!$O$7</c:f>
              <c:strCache>
                <c:ptCount val="1"/>
                <c:pt idx="0">
                  <c:v>Detection Limit</c:v>
                </c:pt>
              </c:strCache>
            </c:strRef>
          </c:tx>
          <c:spPr>
            <a:ln w="22225">
              <a:solidFill>
                <a:prstClr val="black"/>
              </a:solidFill>
              <a:prstDash val="dash"/>
            </a:ln>
          </c:spPr>
          <c:marker>
            <c:symbol val="none"/>
          </c:marker>
          <c:xVal>
            <c:numRef>
              <c:f>'LC-Thym'!$P$2:$U$2</c:f>
              <c:numCache>
                <c:formatCode>General</c:formatCode>
                <c:ptCount val="6"/>
                <c:pt idx="0">
                  <c:v>0</c:v>
                </c:pt>
                <c:pt idx="1">
                  <c:v>6</c:v>
                </c:pt>
                <c:pt idx="2">
                  <c:v>12</c:v>
                </c:pt>
                <c:pt idx="3">
                  <c:v>24</c:v>
                </c:pt>
                <c:pt idx="4">
                  <c:v>48</c:v>
                </c:pt>
                <c:pt idx="5">
                  <c:v>72</c:v>
                </c:pt>
              </c:numCache>
            </c:numRef>
          </c:xVal>
          <c:yVal>
            <c:numRef>
              <c:f>'LC-Thym'!$P$7:$U$7</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75559680"/>
        <c:axId val="75562368"/>
      </c:scatterChart>
      <c:valAx>
        <c:axId val="75559680"/>
        <c:scaling>
          <c:orientation val="minMax"/>
          <c:max val="72"/>
        </c:scaling>
        <c:axPos val="b"/>
        <c:title>
          <c:tx>
            <c:rich>
              <a:bodyPr/>
              <a:lstStyle/>
              <a:p>
                <a:pPr>
                  <a:defRPr/>
                </a:pPr>
                <a:r>
                  <a:rPr lang="en-US"/>
                  <a:t>Time (hr)</a:t>
                </a:r>
              </a:p>
            </c:rich>
          </c:tx>
        </c:title>
        <c:numFmt formatCode="General" sourceLinked="1"/>
        <c:tickLblPos val="nextTo"/>
        <c:crossAx val="75562368"/>
        <c:crosses val="autoZero"/>
        <c:crossBetween val="midCat"/>
        <c:majorUnit val="12"/>
      </c:valAx>
      <c:valAx>
        <c:axId val="75562368"/>
        <c:scaling>
          <c:orientation val="minMax"/>
          <c:max val="10"/>
        </c:scaling>
        <c:axPos val="l"/>
        <c:majorGridlines/>
        <c:title>
          <c:tx>
            <c:rich>
              <a:bodyPr rot="-5400000" vert="horz"/>
              <a:lstStyle/>
              <a:p>
                <a:pPr>
                  <a:defRPr/>
                </a:pPr>
                <a:r>
                  <a:rPr lang="en-US"/>
                  <a:t>Log CFU/mL</a:t>
                </a:r>
              </a:p>
            </c:rich>
          </c:tx>
        </c:title>
        <c:numFmt formatCode="General" sourceLinked="1"/>
        <c:tickLblPos val="nextTo"/>
        <c:crossAx val="75559680"/>
        <c:crosses val="autoZero"/>
        <c:crossBetween val="midCat"/>
        <c:majorUnit val="1"/>
      </c:valAx>
    </c:plotArea>
    <c:legend>
      <c:legendPos val="r"/>
    </c:legend>
    <c:plotVisOnly val="1"/>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1"/>
          <c:order val="0"/>
          <c:tx>
            <c:strRef>
              <c:f>'LC-Eug'!$S$3</c:f>
              <c:strCache>
                <c:ptCount val="1"/>
                <c:pt idx="0">
                  <c:v>0.1%</c:v>
                </c:pt>
              </c:strCache>
            </c:strRef>
          </c:tx>
          <c:spPr>
            <a:ln w="22225">
              <a:solidFill>
                <a:prstClr val="black"/>
              </a:solidFill>
              <a:prstDash val="lgDashDotDot"/>
            </a:ln>
          </c:spPr>
          <c:marker>
            <c:symbol val="squar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'LC-Eug'!$T$1:$Y$1</c:f>
              <c:numCache>
                <c:formatCode>General</c:formatCode>
                <c:ptCount val="6"/>
                <c:pt idx="0">
                  <c:v>0</c:v>
                </c:pt>
                <c:pt idx="1">
                  <c:v>6</c:v>
                </c:pt>
                <c:pt idx="2">
                  <c:v>12</c:v>
                </c:pt>
                <c:pt idx="3">
                  <c:v>24</c:v>
                </c:pt>
                <c:pt idx="4">
                  <c:v>48</c:v>
                </c:pt>
                <c:pt idx="5">
                  <c:v>72</c:v>
                </c:pt>
              </c:numCache>
            </c:numRef>
          </c:xVal>
          <c:yVal>
            <c:numRef>
              <c:f>'LC-Eug'!$T$3:$Y$3</c:f>
              <c:numCache>
                <c:formatCode>General</c:formatCode>
                <c:ptCount val="6"/>
                <c:pt idx="0">
                  <c:v>4.7990045122630072</c:v>
                </c:pt>
                <c:pt idx="1">
                  <c:v>4.4616432084563407</c:v>
                </c:pt>
                <c:pt idx="2">
                  <c:v>4.2117830536667231</c:v>
                </c:pt>
                <c:pt idx="3">
                  <c:v>4.4867508986901594</c:v>
                </c:pt>
                <c:pt idx="4">
                  <c:v>5.4946531778859109</c:v>
                </c:pt>
                <c:pt idx="5">
                  <c:v>6.0712421751369643</c:v>
                </c:pt>
              </c:numCache>
            </c:numRef>
          </c:yVal>
        </c:ser>
        <c:ser>
          <c:idx val="2"/>
          <c:order val="1"/>
          <c:tx>
            <c:strRef>
              <c:f>'LC-Eug'!$S$4</c:f>
              <c:strCache>
                <c:ptCount val="1"/>
                <c:pt idx="0">
                  <c:v>0.2%</c:v>
                </c:pt>
              </c:strCache>
            </c:strRef>
          </c:tx>
          <c:spPr>
            <a:ln w="22225">
              <a:solidFill>
                <a:prstClr val="black"/>
              </a:solidFill>
              <a:prstDash val="sysDot"/>
            </a:ln>
          </c:spPr>
          <c:marker>
            <c:symbol val="star"/>
            <c:size val="6"/>
            <c:spPr>
              <a:solidFill>
                <a:sysClr val="windowText" lastClr="000000"/>
              </a:solidFill>
              <a:ln>
                <a:solidFill>
                  <a:schemeClr val="bg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'LC-Eug'!$T$1:$Y$1</c:f>
              <c:numCache>
                <c:formatCode>General</c:formatCode>
                <c:ptCount val="6"/>
                <c:pt idx="0">
                  <c:v>0</c:v>
                </c:pt>
                <c:pt idx="1">
                  <c:v>6</c:v>
                </c:pt>
                <c:pt idx="2">
                  <c:v>12</c:v>
                </c:pt>
                <c:pt idx="3">
                  <c:v>24</c:v>
                </c:pt>
                <c:pt idx="4">
                  <c:v>48</c:v>
                </c:pt>
                <c:pt idx="5">
                  <c:v>72</c:v>
                </c:pt>
              </c:numCache>
            </c:numRef>
          </c:xVal>
          <c:yVal>
            <c:numRef>
              <c:f>'LC-Eug'!$T$4:$Y$4</c:f>
              <c:numCache>
                <c:formatCode>General</c:formatCode>
                <c:ptCount val="6"/>
                <c:pt idx="0">
                  <c:v>4.5699919429665812</c:v>
                </c:pt>
                <c:pt idx="1">
                  <c:v>0.9</c:v>
                </c:pt>
                <c:pt idx="2">
                  <c:v>0.9</c:v>
                </c:pt>
                <c:pt idx="3">
                  <c:v>1.2497018791888146</c:v>
                </c:pt>
                <c:pt idx="4">
                  <c:v>1.3705850363652099</c:v>
                </c:pt>
                <c:pt idx="5">
                  <c:v>0.9</c:v>
                </c:pt>
              </c:numCache>
            </c:numRef>
          </c:yVal>
        </c:ser>
        <c:ser>
          <c:idx val="3"/>
          <c:order val="2"/>
          <c:tx>
            <c:strRef>
              <c:f>'LC-Eug'!$S$5</c:f>
              <c:strCache>
                <c:ptCount val="1"/>
                <c:pt idx="0">
                  <c:v>0.25%</c:v>
                </c:pt>
              </c:strCache>
            </c:strRef>
          </c:tx>
          <c:spPr>
            <a:ln w="22225">
              <a:solidFill>
                <a:prstClr val="black"/>
              </a:solidFill>
              <a:prstDash val="lgDash"/>
            </a:ln>
          </c:spPr>
          <c:marker>
            <c:symbol val="triangle"/>
            <c:size val="6"/>
            <c:spPr>
              <a:solidFill>
                <a:sysClr val="windowText" lastClr="000000"/>
              </a:solidFill>
              <a:ln>
                <a:solidFill>
                  <a:schemeClr val="tx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'LC-Eug'!$T$1:$Y$1</c:f>
              <c:numCache>
                <c:formatCode>General</c:formatCode>
                <c:ptCount val="6"/>
                <c:pt idx="0">
                  <c:v>0</c:v>
                </c:pt>
                <c:pt idx="1">
                  <c:v>6</c:v>
                </c:pt>
                <c:pt idx="2">
                  <c:v>12</c:v>
                </c:pt>
                <c:pt idx="3">
                  <c:v>24</c:v>
                </c:pt>
                <c:pt idx="4">
                  <c:v>48</c:v>
                </c:pt>
                <c:pt idx="5">
                  <c:v>72</c:v>
                </c:pt>
              </c:numCache>
            </c:numRef>
          </c:xVal>
          <c:yVal>
            <c:numRef>
              <c:f>'LC-Eug'!$T$5:$Y$5</c:f>
              <c:numCache>
                <c:formatCode>General</c:formatCode>
                <c:ptCount val="6"/>
                <c:pt idx="0">
                  <c:v>3.3359937626792795</c:v>
                </c:pt>
                <c:pt idx="1">
                  <c:v>0.9</c:v>
                </c:pt>
                <c:pt idx="2">
                  <c:v>0.9</c:v>
                </c:pt>
                <c:pt idx="3">
                  <c:v>0.9</c:v>
                </c:pt>
                <c:pt idx="4">
                  <c:v>0.9</c:v>
                </c:pt>
                <c:pt idx="5">
                  <c:v>2.1161741168585322</c:v>
                </c:pt>
              </c:numCache>
            </c:numRef>
          </c:yVal>
        </c:ser>
        <c:ser>
          <c:idx val="4"/>
          <c:order val="3"/>
          <c:tx>
            <c:strRef>
              <c:f>'LC-Eug'!$S$6</c:f>
              <c:strCache>
                <c:ptCount val="1"/>
                <c:pt idx="0">
                  <c:v>Control</c:v>
                </c:pt>
              </c:strCache>
            </c:strRef>
          </c:tx>
          <c:spPr>
            <a:ln w="22225">
              <a:solidFill>
                <a:prstClr val="black"/>
              </a:solidFill>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'LC-Eug'!$T$1:$Y$1</c:f>
              <c:numCache>
                <c:formatCode>General</c:formatCode>
                <c:ptCount val="6"/>
                <c:pt idx="0">
                  <c:v>0</c:v>
                </c:pt>
                <c:pt idx="1">
                  <c:v>6</c:v>
                </c:pt>
                <c:pt idx="2">
                  <c:v>12</c:v>
                </c:pt>
                <c:pt idx="3">
                  <c:v>24</c:v>
                </c:pt>
                <c:pt idx="4">
                  <c:v>48</c:v>
                </c:pt>
                <c:pt idx="5">
                  <c:v>72</c:v>
                </c:pt>
              </c:numCache>
            </c:numRef>
          </c:xVal>
          <c:yVal>
            <c:numRef>
              <c:f>'LC-Eug'!$T$6:$Y$6</c:f>
              <c:numCache>
                <c:formatCode>General</c:formatCode>
                <c:ptCount val="6"/>
                <c:pt idx="0">
                  <c:v>4.7735601978017534</c:v>
                </c:pt>
                <c:pt idx="1">
                  <c:v>5.9908199239388296</c:v>
                </c:pt>
                <c:pt idx="2">
                  <c:v>7.7194851611622317</c:v>
                </c:pt>
                <c:pt idx="3">
                  <c:v>9.2608749318392825</c:v>
                </c:pt>
                <c:pt idx="4">
                  <c:v>9.4117098525342904</c:v>
                </c:pt>
                <c:pt idx="5">
                  <c:v>8.3671775747323807</c:v>
                </c:pt>
              </c:numCache>
            </c:numRef>
          </c:yVal>
        </c:ser>
        <c:ser>
          <c:idx val="5"/>
          <c:order val="4"/>
          <c:tx>
            <c:strRef>
              <c:f>'LC-Eug'!$S$7</c:f>
              <c:strCache>
                <c:ptCount val="1"/>
                <c:pt idx="0">
                  <c:v>Detection Limit</c:v>
                </c:pt>
              </c:strCache>
            </c:strRef>
          </c:tx>
          <c:spPr>
            <a:ln w="22225">
              <a:solidFill>
                <a:prstClr val="black"/>
              </a:solidFill>
              <a:prstDash val="dash"/>
            </a:ln>
          </c:spPr>
          <c:marker>
            <c:symbol val="none"/>
          </c:marker>
          <c:xVal>
            <c:numRef>
              <c:f>'LC-Eug'!$T$1:$Y$1</c:f>
              <c:numCache>
                <c:formatCode>General</c:formatCode>
                <c:ptCount val="6"/>
                <c:pt idx="0">
                  <c:v>0</c:v>
                </c:pt>
                <c:pt idx="1">
                  <c:v>6</c:v>
                </c:pt>
                <c:pt idx="2">
                  <c:v>12</c:v>
                </c:pt>
                <c:pt idx="3">
                  <c:v>24</c:v>
                </c:pt>
                <c:pt idx="4">
                  <c:v>48</c:v>
                </c:pt>
                <c:pt idx="5">
                  <c:v>72</c:v>
                </c:pt>
              </c:numCache>
            </c:numRef>
          </c:xVal>
          <c:yVal>
            <c:numRef>
              <c:f>'LC-Eug'!$T$7:$Y$7</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100502144"/>
        <c:axId val="100610816"/>
      </c:scatterChart>
      <c:valAx>
        <c:axId val="100502144"/>
        <c:scaling>
          <c:orientation val="minMax"/>
          <c:max val="72"/>
        </c:scaling>
        <c:axPos val="b"/>
        <c:title>
          <c:tx>
            <c:rich>
              <a:bodyPr/>
              <a:lstStyle/>
              <a:p>
                <a:pPr>
                  <a:defRPr/>
                </a:pPr>
                <a:r>
                  <a:rPr lang="en-US"/>
                  <a:t>Time (hr)</a:t>
                </a:r>
              </a:p>
            </c:rich>
          </c:tx>
        </c:title>
        <c:numFmt formatCode="General" sourceLinked="1"/>
        <c:tickLblPos val="nextTo"/>
        <c:crossAx val="100610816"/>
        <c:crosses val="autoZero"/>
        <c:crossBetween val="midCat"/>
        <c:majorUnit val="12"/>
      </c:valAx>
      <c:valAx>
        <c:axId val="100610816"/>
        <c:scaling>
          <c:orientation val="minMax"/>
        </c:scaling>
        <c:axPos val="l"/>
        <c:majorGridlines/>
        <c:title>
          <c:tx>
            <c:rich>
              <a:bodyPr rot="-5400000" vert="horz"/>
              <a:lstStyle/>
              <a:p>
                <a:pPr>
                  <a:defRPr/>
                </a:pPr>
                <a:r>
                  <a:rPr lang="en-US"/>
                  <a:t>Log CFU/mL</a:t>
                </a:r>
              </a:p>
            </c:rich>
          </c:tx>
        </c:title>
        <c:numFmt formatCode="General" sourceLinked="1"/>
        <c:tickLblPos val="nextTo"/>
        <c:crossAx val="100502144"/>
        <c:crosses val="autoZero"/>
        <c:crossBetween val="midCat"/>
      </c:valAx>
    </c:plotArea>
    <c:legend>
      <c:legendPos val="r"/>
    </c:legend>
    <c:plotVisOnly val="1"/>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1"/>
          <c:order val="0"/>
          <c:tx>
            <c:strRef>
              <c:f>'PA-Eugenol'!$X$4</c:f>
              <c:strCache>
                <c:ptCount val="1"/>
                <c:pt idx="0">
                  <c:v>0.2%</c:v>
                </c:pt>
              </c:strCache>
            </c:strRef>
          </c:tx>
          <c:spPr>
            <a:ln w="22225">
              <a:solidFill>
                <a:prstClr val="black"/>
              </a:solidFill>
              <a:prstDash val="sysDot"/>
            </a:ln>
          </c:spPr>
          <c:marker>
            <c:symbol val="star"/>
            <c:size val="6"/>
            <c:spPr>
              <a:solidFill>
                <a:sysClr val="windowText" lastClr="000000"/>
              </a:solidFill>
              <a:ln>
                <a:solidFill>
                  <a:schemeClr val="bg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'PA-Eugenol'!$Y$2:$AD$2</c:f>
              <c:numCache>
                <c:formatCode>General</c:formatCode>
                <c:ptCount val="6"/>
                <c:pt idx="0">
                  <c:v>0</c:v>
                </c:pt>
                <c:pt idx="1">
                  <c:v>6</c:v>
                </c:pt>
                <c:pt idx="2">
                  <c:v>12</c:v>
                </c:pt>
                <c:pt idx="3">
                  <c:v>24</c:v>
                </c:pt>
                <c:pt idx="4">
                  <c:v>48</c:v>
                </c:pt>
                <c:pt idx="5">
                  <c:v>72</c:v>
                </c:pt>
              </c:numCache>
            </c:numRef>
          </c:xVal>
          <c:yVal>
            <c:numRef>
              <c:f>'PA-Eugenol'!$Y$4:$AD$4</c:f>
              <c:numCache>
                <c:formatCode>General</c:formatCode>
                <c:ptCount val="6"/>
                <c:pt idx="0">
                  <c:v>4.6538412213410654</c:v>
                </c:pt>
                <c:pt idx="1">
                  <c:v>2.4779918312328371</c:v>
                </c:pt>
                <c:pt idx="2">
                  <c:v>2.4344900856497391</c:v>
                </c:pt>
                <c:pt idx="3">
                  <c:v>3.3116511814228513</c:v>
                </c:pt>
                <c:pt idx="4">
                  <c:v>5.5095717102220245</c:v>
                </c:pt>
                <c:pt idx="5">
                  <c:v>5.3543332517421796</c:v>
                </c:pt>
              </c:numCache>
            </c:numRef>
          </c:yVal>
        </c:ser>
        <c:ser>
          <c:idx val="2"/>
          <c:order val="1"/>
          <c:tx>
            <c:strRef>
              <c:f>'PA-Eugenol'!$X$5</c:f>
              <c:strCache>
                <c:ptCount val="1"/>
                <c:pt idx="0">
                  <c:v>0.25%</c:v>
                </c:pt>
              </c:strCache>
            </c:strRef>
          </c:tx>
          <c:spPr>
            <a:ln w="22225">
              <a:solidFill>
                <a:prstClr val="black"/>
              </a:solidFill>
              <a:prstDash val="lgDash"/>
            </a:ln>
          </c:spPr>
          <c:marker>
            <c:symbol val="triangle"/>
            <c:size val="7"/>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'PA-Eugenol'!$Y$2:$AD$2</c:f>
              <c:numCache>
                <c:formatCode>General</c:formatCode>
                <c:ptCount val="6"/>
                <c:pt idx="0">
                  <c:v>0</c:v>
                </c:pt>
                <c:pt idx="1">
                  <c:v>6</c:v>
                </c:pt>
                <c:pt idx="2">
                  <c:v>12</c:v>
                </c:pt>
                <c:pt idx="3">
                  <c:v>24</c:v>
                </c:pt>
                <c:pt idx="4">
                  <c:v>48</c:v>
                </c:pt>
                <c:pt idx="5">
                  <c:v>72</c:v>
                </c:pt>
              </c:numCache>
            </c:numRef>
          </c:xVal>
          <c:yVal>
            <c:numRef>
              <c:f>'PA-Eugenol'!$Y$5:$AD$5</c:f>
              <c:numCache>
                <c:formatCode>General</c:formatCode>
                <c:ptCount val="6"/>
                <c:pt idx="0">
                  <c:v>4.6147310116376703</c:v>
                </c:pt>
                <c:pt idx="1">
                  <c:v>0.9</c:v>
                </c:pt>
                <c:pt idx="2">
                  <c:v>0.9</c:v>
                </c:pt>
                <c:pt idx="3">
                  <c:v>2.9002338959441105</c:v>
                </c:pt>
                <c:pt idx="4">
                  <c:v>3.0649026087003812</c:v>
                </c:pt>
                <c:pt idx="5">
                  <c:v>3.3577110922512987</c:v>
                </c:pt>
              </c:numCache>
            </c:numRef>
          </c:yVal>
        </c:ser>
        <c:ser>
          <c:idx val="3"/>
          <c:order val="2"/>
          <c:tx>
            <c:strRef>
              <c:f>'PA-Eugenol'!$X$6</c:f>
              <c:strCache>
                <c:ptCount val="1"/>
                <c:pt idx="0">
                  <c:v>0.3%</c:v>
                </c:pt>
              </c:strCache>
            </c:strRef>
          </c:tx>
          <c:spPr>
            <a:ln w="22225">
              <a:solidFill>
                <a:prstClr val="black"/>
              </a:solidFill>
              <a:prstDash val="dashDot"/>
            </a:ln>
          </c:spPr>
          <c:marker>
            <c:symbol val="diamond"/>
            <c:size val="7"/>
            <c:spPr>
              <a:solidFill>
                <a:sysClr val="windowText" lastClr="000000"/>
              </a:solidFill>
              <a:ln>
                <a:solidFill>
                  <a:schemeClr val="tx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'PA-Eugenol'!$Y$2:$AD$2</c:f>
              <c:numCache>
                <c:formatCode>General</c:formatCode>
                <c:ptCount val="6"/>
                <c:pt idx="0">
                  <c:v>0</c:v>
                </c:pt>
                <c:pt idx="1">
                  <c:v>6</c:v>
                </c:pt>
                <c:pt idx="2">
                  <c:v>12</c:v>
                </c:pt>
                <c:pt idx="3">
                  <c:v>24</c:v>
                </c:pt>
                <c:pt idx="4">
                  <c:v>48</c:v>
                </c:pt>
                <c:pt idx="5">
                  <c:v>72</c:v>
                </c:pt>
              </c:numCache>
            </c:numRef>
          </c:xVal>
          <c:yVal>
            <c:numRef>
              <c:f>'PA-Eugenol'!$Y$6:$AD$6</c:f>
              <c:numCache>
                <c:formatCode>General</c:formatCode>
                <c:ptCount val="6"/>
                <c:pt idx="0">
                  <c:v>4.7198182035683773</c:v>
                </c:pt>
                <c:pt idx="1">
                  <c:v>0.9</c:v>
                </c:pt>
                <c:pt idx="2">
                  <c:v>0.9</c:v>
                </c:pt>
                <c:pt idx="3">
                  <c:v>0.9</c:v>
                </c:pt>
                <c:pt idx="4">
                  <c:v>2.5793902703567686</c:v>
                </c:pt>
                <c:pt idx="5">
                  <c:v>4.1910428763204086</c:v>
                </c:pt>
              </c:numCache>
            </c:numRef>
          </c:yVal>
        </c:ser>
        <c:ser>
          <c:idx val="4"/>
          <c:order val="3"/>
          <c:tx>
            <c:strRef>
              <c:f>'PA-Eugenol'!$X$7</c:f>
              <c:strCache>
                <c:ptCount val="1"/>
                <c:pt idx="0">
                  <c:v>Control</c:v>
                </c:pt>
              </c:strCache>
            </c:strRef>
          </c:tx>
          <c:spPr>
            <a:ln w="22225">
              <a:solidFill>
                <a:prstClr val="black"/>
              </a:solidFill>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'PA-Eugenol'!$Y$2:$AD$2</c:f>
              <c:numCache>
                <c:formatCode>General</c:formatCode>
                <c:ptCount val="6"/>
                <c:pt idx="0">
                  <c:v>0</c:v>
                </c:pt>
                <c:pt idx="1">
                  <c:v>6</c:v>
                </c:pt>
                <c:pt idx="2">
                  <c:v>12</c:v>
                </c:pt>
                <c:pt idx="3">
                  <c:v>24</c:v>
                </c:pt>
                <c:pt idx="4">
                  <c:v>48</c:v>
                </c:pt>
                <c:pt idx="5">
                  <c:v>72</c:v>
                </c:pt>
              </c:numCache>
            </c:numRef>
          </c:xVal>
          <c:yVal>
            <c:numRef>
              <c:f>'PA-Eugenol'!$Y$7:$AD$7</c:f>
              <c:numCache>
                <c:formatCode>General</c:formatCode>
                <c:ptCount val="6"/>
                <c:pt idx="0">
                  <c:v>4.6636833108482882</c:v>
                </c:pt>
                <c:pt idx="1">
                  <c:v>6.5413335403387949</c:v>
                </c:pt>
                <c:pt idx="2">
                  <c:v>9.4145436769013777</c:v>
                </c:pt>
                <c:pt idx="3">
                  <c:v>9.6189659948857482</c:v>
                </c:pt>
                <c:pt idx="4">
                  <c:v>9.7706495734079919</c:v>
                </c:pt>
                <c:pt idx="5">
                  <c:v>9.5794449774714678</c:v>
                </c:pt>
              </c:numCache>
            </c:numRef>
          </c:yVal>
        </c:ser>
        <c:ser>
          <c:idx val="5"/>
          <c:order val="4"/>
          <c:tx>
            <c:strRef>
              <c:f>'PA-Eugenol'!$X$8</c:f>
              <c:strCache>
                <c:ptCount val="1"/>
                <c:pt idx="0">
                  <c:v>Detection Limit</c:v>
                </c:pt>
              </c:strCache>
            </c:strRef>
          </c:tx>
          <c:spPr>
            <a:ln w="22225">
              <a:solidFill>
                <a:prstClr val="black"/>
              </a:solidFill>
              <a:prstDash val="dash"/>
            </a:ln>
          </c:spPr>
          <c:marker>
            <c:symbol val="none"/>
          </c:marker>
          <c:xVal>
            <c:numRef>
              <c:f>'PA-Eugenol'!$Y$2:$AD$2</c:f>
              <c:numCache>
                <c:formatCode>General</c:formatCode>
                <c:ptCount val="6"/>
                <c:pt idx="0">
                  <c:v>0</c:v>
                </c:pt>
                <c:pt idx="1">
                  <c:v>6</c:v>
                </c:pt>
                <c:pt idx="2">
                  <c:v>12</c:v>
                </c:pt>
                <c:pt idx="3">
                  <c:v>24</c:v>
                </c:pt>
                <c:pt idx="4">
                  <c:v>48</c:v>
                </c:pt>
                <c:pt idx="5">
                  <c:v>72</c:v>
                </c:pt>
              </c:numCache>
            </c:numRef>
          </c:xVal>
          <c:yVal>
            <c:numRef>
              <c:f>'PA-Eugenol'!$Y$8:$AD$8</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112727552"/>
        <c:axId val="112738304"/>
      </c:scatterChart>
      <c:valAx>
        <c:axId val="112727552"/>
        <c:scaling>
          <c:orientation val="minMax"/>
          <c:max val="72"/>
        </c:scaling>
        <c:axPos val="b"/>
        <c:title>
          <c:tx>
            <c:rich>
              <a:bodyPr/>
              <a:lstStyle/>
              <a:p>
                <a:pPr>
                  <a:defRPr/>
                </a:pPr>
                <a:r>
                  <a:rPr lang="en-US"/>
                  <a:t>Time (hr)</a:t>
                </a:r>
              </a:p>
            </c:rich>
          </c:tx>
        </c:title>
        <c:numFmt formatCode="General" sourceLinked="1"/>
        <c:tickLblPos val="nextTo"/>
        <c:crossAx val="112738304"/>
        <c:crosses val="autoZero"/>
        <c:crossBetween val="midCat"/>
        <c:majorUnit val="12"/>
      </c:valAx>
      <c:valAx>
        <c:axId val="112738304"/>
        <c:scaling>
          <c:orientation val="minMax"/>
          <c:max val="10"/>
        </c:scaling>
        <c:axPos val="l"/>
        <c:majorGridlines/>
        <c:title>
          <c:tx>
            <c:rich>
              <a:bodyPr rot="-5400000" vert="horz"/>
              <a:lstStyle/>
              <a:p>
                <a:pPr>
                  <a:defRPr/>
                </a:pPr>
                <a:r>
                  <a:rPr lang="en-US"/>
                  <a:t>Log CFU/mL</a:t>
                </a:r>
              </a:p>
            </c:rich>
          </c:tx>
        </c:title>
        <c:numFmt formatCode="General" sourceLinked="1"/>
        <c:tickLblPos val="nextTo"/>
        <c:crossAx val="112727552"/>
        <c:crosses val="autoZero"/>
        <c:crossBetween val="midCat"/>
        <c:majorUnit val="1"/>
      </c:valAx>
    </c:plotArea>
    <c:legend>
      <c:legendPos val="r"/>
    </c:legend>
    <c:plotVisOnly val="1"/>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1"/>
          <c:order val="0"/>
          <c:tx>
            <c:strRef>
              <c:f>'LB-Eug'!$R$3</c:f>
              <c:strCache>
                <c:ptCount val="1"/>
                <c:pt idx="0">
                  <c:v>0.2%</c:v>
                </c:pt>
              </c:strCache>
            </c:strRef>
          </c:tx>
          <c:spPr>
            <a:ln w="22225">
              <a:solidFill>
                <a:prstClr val="black"/>
              </a:solidFill>
              <a:prstDash val="sysDot"/>
            </a:ln>
          </c:spPr>
          <c:marker>
            <c:symbol val="star"/>
            <c:size val="6"/>
            <c:spPr>
              <a:solidFill>
                <a:sysClr val="windowText" lastClr="000000"/>
              </a:solidFill>
              <a:ln>
                <a:solidFill>
                  <a:schemeClr val="bg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'LB-Eug'!$S$1:$X$1</c:f>
              <c:numCache>
                <c:formatCode>General</c:formatCode>
                <c:ptCount val="6"/>
                <c:pt idx="0">
                  <c:v>0</c:v>
                </c:pt>
                <c:pt idx="1">
                  <c:v>6</c:v>
                </c:pt>
                <c:pt idx="2">
                  <c:v>12</c:v>
                </c:pt>
                <c:pt idx="3">
                  <c:v>24</c:v>
                </c:pt>
                <c:pt idx="4">
                  <c:v>48</c:v>
                </c:pt>
                <c:pt idx="5">
                  <c:v>72</c:v>
                </c:pt>
              </c:numCache>
            </c:numRef>
          </c:xVal>
          <c:yVal>
            <c:numRef>
              <c:f>'LB-Eug'!$S$3:$X$3</c:f>
              <c:numCache>
                <c:formatCode>General</c:formatCode>
                <c:ptCount val="6"/>
                <c:pt idx="0">
                  <c:v>4.3607267425537337</c:v>
                </c:pt>
                <c:pt idx="1">
                  <c:v>2.4486544664039025</c:v>
                </c:pt>
                <c:pt idx="2">
                  <c:v>1.7164816958931217</c:v>
                </c:pt>
                <c:pt idx="3">
                  <c:v>1.2365050048475441</c:v>
                </c:pt>
                <c:pt idx="4">
                  <c:v>1.0425454175172177</c:v>
                </c:pt>
                <c:pt idx="5">
                  <c:v>5.161415298006836</c:v>
                </c:pt>
              </c:numCache>
            </c:numRef>
          </c:yVal>
        </c:ser>
        <c:ser>
          <c:idx val="2"/>
          <c:order val="1"/>
          <c:tx>
            <c:strRef>
              <c:f>'LB-Eug'!$R$4</c:f>
              <c:strCache>
                <c:ptCount val="1"/>
                <c:pt idx="0">
                  <c:v>0.25%</c:v>
                </c:pt>
              </c:strCache>
            </c:strRef>
          </c:tx>
          <c:spPr>
            <a:ln w="22225">
              <a:solidFill>
                <a:prstClr val="black"/>
              </a:solidFill>
              <a:prstDash val="lgDash"/>
            </a:ln>
          </c:spPr>
          <c:marker>
            <c:symbol val="triangle"/>
            <c:size val="6"/>
            <c:spPr>
              <a:solidFill>
                <a:sysClr val="windowText" lastClr="000000"/>
              </a:solidFill>
              <a:ln>
                <a:solidFill>
                  <a:schemeClr val="tx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'LB-Eug'!$S$1:$X$1</c:f>
              <c:numCache>
                <c:formatCode>General</c:formatCode>
                <c:ptCount val="6"/>
                <c:pt idx="0">
                  <c:v>0</c:v>
                </c:pt>
                <c:pt idx="1">
                  <c:v>6</c:v>
                </c:pt>
                <c:pt idx="2">
                  <c:v>12</c:v>
                </c:pt>
                <c:pt idx="3">
                  <c:v>24</c:v>
                </c:pt>
                <c:pt idx="4">
                  <c:v>48</c:v>
                </c:pt>
                <c:pt idx="5">
                  <c:v>72</c:v>
                </c:pt>
              </c:numCache>
            </c:numRef>
          </c:xVal>
          <c:yVal>
            <c:numRef>
              <c:f>'LB-Eug'!$S$4:$X$4</c:f>
              <c:numCache>
                <c:formatCode>General</c:formatCode>
                <c:ptCount val="6"/>
                <c:pt idx="0">
                  <c:v>4.351924461937017</c:v>
                </c:pt>
                <c:pt idx="1">
                  <c:v>1.0850908350344353</c:v>
                </c:pt>
                <c:pt idx="2">
                  <c:v>1.1276362525516528</c:v>
                </c:pt>
                <c:pt idx="3">
                  <c:v>1.1669435780958168</c:v>
                </c:pt>
                <c:pt idx="4">
                  <c:v>1.4747597620206274</c:v>
                </c:pt>
                <c:pt idx="5">
                  <c:v>1.9678502688789505</c:v>
                </c:pt>
              </c:numCache>
            </c:numRef>
          </c:yVal>
        </c:ser>
        <c:ser>
          <c:idx val="3"/>
          <c:order val="2"/>
          <c:tx>
            <c:strRef>
              <c:f>'LB-Eug'!$R$5</c:f>
              <c:strCache>
                <c:ptCount val="1"/>
                <c:pt idx="0">
                  <c:v>0.3%</c:v>
                </c:pt>
              </c:strCache>
            </c:strRef>
          </c:tx>
          <c:spPr>
            <a:ln w="22225">
              <a:solidFill>
                <a:prstClr val="black"/>
              </a:solidFill>
              <a:prstDash val="dashDot"/>
            </a:ln>
          </c:spPr>
          <c:marker>
            <c:symbol val="diamond"/>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'LB-Eug'!$S$1:$X$1</c:f>
              <c:numCache>
                <c:formatCode>General</c:formatCode>
                <c:ptCount val="6"/>
                <c:pt idx="0">
                  <c:v>0</c:v>
                </c:pt>
                <c:pt idx="1">
                  <c:v>6</c:v>
                </c:pt>
                <c:pt idx="2">
                  <c:v>12</c:v>
                </c:pt>
                <c:pt idx="3">
                  <c:v>24</c:v>
                </c:pt>
                <c:pt idx="4">
                  <c:v>48</c:v>
                </c:pt>
                <c:pt idx="5">
                  <c:v>72</c:v>
                </c:pt>
              </c:numCache>
            </c:numRef>
          </c:xVal>
          <c:yVal>
            <c:numRef>
              <c:f>'LB-Eug'!$S$5:$X$5</c:f>
              <c:numCache>
                <c:formatCode>General</c:formatCode>
                <c:ptCount val="6"/>
                <c:pt idx="0">
                  <c:v>4.1568649437444867</c:v>
                </c:pt>
                <c:pt idx="1">
                  <c:v>0.9</c:v>
                </c:pt>
                <c:pt idx="2">
                  <c:v>1.127636252551653</c:v>
                </c:pt>
                <c:pt idx="3">
                  <c:v>0.9</c:v>
                </c:pt>
                <c:pt idx="4">
                  <c:v>0.9</c:v>
                </c:pt>
                <c:pt idx="5">
                  <c:v>0.9</c:v>
                </c:pt>
              </c:numCache>
            </c:numRef>
          </c:yVal>
        </c:ser>
        <c:ser>
          <c:idx val="4"/>
          <c:order val="3"/>
          <c:tx>
            <c:strRef>
              <c:f>'LB-Eug'!$R$6</c:f>
              <c:strCache>
                <c:ptCount val="1"/>
                <c:pt idx="0">
                  <c:v>Control</c:v>
                </c:pt>
              </c:strCache>
            </c:strRef>
          </c:tx>
          <c:spPr>
            <a:ln w="22225">
              <a:solidFill>
                <a:prstClr val="black"/>
              </a:solidFill>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0.51329999999999998</c:v>
                </c:pt>
              </c:numLit>
            </c:plus>
            <c:minus>
              <c:numLit>
                <c:formatCode>General</c:formatCode>
                <c:ptCount val="1"/>
                <c:pt idx="0">
                  <c:v>0.51329999999999998</c:v>
                </c:pt>
              </c:numLit>
            </c:minus>
          </c:errBars>
          <c:xVal>
            <c:numRef>
              <c:f>'LB-Eug'!$S$1:$X$1</c:f>
              <c:numCache>
                <c:formatCode>General</c:formatCode>
                <c:ptCount val="6"/>
                <c:pt idx="0">
                  <c:v>0</c:v>
                </c:pt>
                <c:pt idx="1">
                  <c:v>6</c:v>
                </c:pt>
                <c:pt idx="2">
                  <c:v>12</c:v>
                </c:pt>
                <c:pt idx="3">
                  <c:v>24</c:v>
                </c:pt>
                <c:pt idx="4">
                  <c:v>48</c:v>
                </c:pt>
                <c:pt idx="5">
                  <c:v>72</c:v>
                </c:pt>
              </c:numCache>
            </c:numRef>
          </c:xVal>
          <c:yVal>
            <c:numRef>
              <c:f>'LB-Eug'!$S$6:$X$6</c:f>
              <c:numCache>
                <c:formatCode>General</c:formatCode>
                <c:ptCount val="6"/>
                <c:pt idx="0">
                  <c:v>4.4216280177311278</c:v>
                </c:pt>
                <c:pt idx="1">
                  <c:v>4.8329390765156992</c:v>
                </c:pt>
                <c:pt idx="2">
                  <c:v>5.9798358983838238</c:v>
                </c:pt>
                <c:pt idx="3">
                  <c:v>7.9280361247868685</c:v>
                </c:pt>
                <c:pt idx="4">
                  <c:v>8.5716564248583005</c:v>
                </c:pt>
                <c:pt idx="5">
                  <c:v>8.5546343488897456</c:v>
                </c:pt>
              </c:numCache>
            </c:numRef>
          </c:yVal>
        </c:ser>
        <c:ser>
          <c:idx val="5"/>
          <c:order val="4"/>
          <c:tx>
            <c:v>Detection Limit</c:v>
          </c:tx>
          <c:spPr>
            <a:ln w="22225">
              <a:solidFill>
                <a:prstClr val="black"/>
              </a:solidFill>
              <a:prstDash val="dash"/>
            </a:ln>
          </c:spPr>
          <c:marker>
            <c:symbol val="none"/>
          </c:marker>
          <c:xVal>
            <c:numRef>
              <c:f>'LB-Eug'!$S$1:$X$1</c:f>
              <c:numCache>
                <c:formatCode>General</c:formatCode>
                <c:ptCount val="6"/>
                <c:pt idx="0">
                  <c:v>0</c:v>
                </c:pt>
                <c:pt idx="1">
                  <c:v>6</c:v>
                </c:pt>
                <c:pt idx="2">
                  <c:v>12</c:v>
                </c:pt>
                <c:pt idx="3">
                  <c:v>24</c:v>
                </c:pt>
                <c:pt idx="4">
                  <c:v>48</c:v>
                </c:pt>
                <c:pt idx="5">
                  <c:v>72</c:v>
                </c:pt>
              </c:numCache>
            </c:numRef>
          </c:xVal>
          <c:yVal>
            <c:numRef>
              <c:f>'LB-Eug'!$S$7:$X$7</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114014848"/>
        <c:axId val="114034176"/>
      </c:scatterChart>
      <c:valAx>
        <c:axId val="114014848"/>
        <c:scaling>
          <c:orientation val="minMax"/>
          <c:max val="72"/>
        </c:scaling>
        <c:axPos val="b"/>
        <c:title>
          <c:tx>
            <c:rich>
              <a:bodyPr/>
              <a:lstStyle/>
              <a:p>
                <a:pPr>
                  <a:defRPr/>
                </a:pPr>
                <a:r>
                  <a:rPr lang="en-US"/>
                  <a:t>Time (hr)</a:t>
                </a:r>
              </a:p>
            </c:rich>
          </c:tx>
        </c:title>
        <c:numFmt formatCode="General" sourceLinked="1"/>
        <c:tickLblPos val="nextTo"/>
        <c:crossAx val="114034176"/>
        <c:crosses val="autoZero"/>
        <c:crossBetween val="midCat"/>
        <c:majorUnit val="12"/>
      </c:valAx>
      <c:valAx>
        <c:axId val="114034176"/>
        <c:scaling>
          <c:orientation val="minMax"/>
        </c:scaling>
        <c:axPos val="l"/>
        <c:majorGridlines/>
        <c:title>
          <c:tx>
            <c:rich>
              <a:bodyPr rot="-5400000" vert="horz"/>
              <a:lstStyle/>
              <a:p>
                <a:pPr>
                  <a:defRPr/>
                </a:pPr>
                <a:r>
                  <a:rPr lang="en-US"/>
                  <a:t>Log CFU/mL</a:t>
                </a:r>
              </a:p>
            </c:rich>
          </c:tx>
        </c:title>
        <c:numFmt formatCode="General" sourceLinked="1"/>
        <c:tickLblPos val="nextTo"/>
        <c:crossAx val="114014848"/>
        <c:crosses val="autoZero"/>
        <c:crossBetween val="midCat"/>
      </c:valAx>
    </c:plotArea>
    <c:legend>
      <c:legendPos val="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strRef>
              <c:f>'PA-Thym'!$N$2</c:f>
              <c:strCache>
                <c:ptCount val="1"/>
                <c:pt idx="0">
                  <c:v>0.038%</c:v>
                </c:pt>
              </c:strCache>
            </c:strRef>
          </c:tx>
          <c:spPr>
            <a:ln w="22225">
              <a:solidFill>
                <a:prstClr val="black"/>
              </a:solidFill>
              <a:prstDash val="dashDot"/>
            </a:ln>
          </c:spPr>
          <c:marker>
            <c:symbol val="triang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'PA-Thym'!$O$1:$T$1</c:f>
              <c:numCache>
                <c:formatCode>General</c:formatCode>
                <c:ptCount val="6"/>
                <c:pt idx="0">
                  <c:v>0</c:v>
                </c:pt>
                <c:pt idx="1">
                  <c:v>6</c:v>
                </c:pt>
                <c:pt idx="2">
                  <c:v>12</c:v>
                </c:pt>
                <c:pt idx="3">
                  <c:v>24</c:v>
                </c:pt>
                <c:pt idx="4">
                  <c:v>48</c:v>
                </c:pt>
                <c:pt idx="5">
                  <c:v>72</c:v>
                </c:pt>
              </c:numCache>
            </c:numRef>
          </c:xVal>
          <c:yVal>
            <c:numRef>
              <c:f>'PA-Thym'!$O$2:$T$2</c:f>
              <c:numCache>
                <c:formatCode>General</c:formatCode>
                <c:ptCount val="6"/>
                <c:pt idx="0">
                  <c:v>4.6640843163878829</c:v>
                </c:pt>
                <c:pt idx="1">
                  <c:v>4.6982770225057768</c:v>
                </c:pt>
                <c:pt idx="2">
                  <c:v>4.8662928640373897</c:v>
                </c:pt>
                <c:pt idx="3">
                  <c:v>6.6753833583984346</c:v>
                </c:pt>
                <c:pt idx="4">
                  <c:v>8.4474762127608596</c:v>
                </c:pt>
                <c:pt idx="5">
                  <c:v>9.166671537412924</c:v>
                </c:pt>
              </c:numCache>
            </c:numRef>
          </c:yVal>
        </c:ser>
        <c:ser>
          <c:idx val="1"/>
          <c:order val="1"/>
          <c:tx>
            <c:strRef>
              <c:f>'PA-Thym'!$N$3</c:f>
              <c:strCache>
                <c:ptCount val="1"/>
                <c:pt idx="0">
                  <c:v>0.05%</c:v>
                </c:pt>
              </c:strCache>
            </c:strRef>
          </c:tx>
          <c:spPr>
            <a:ln w="22225">
              <a:solidFill>
                <a:prstClr val="black"/>
              </a:solidFill>
              <a:prstDash val="sysDash"/>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'PA-Thym'!$O$1:$T$1</c:f>
              <c:numCache>
                <c:formatCode>General</c:formatCode>
                <c:ptCount val="6"/>
                <c:pt idx="0">
                  <c:v>0</c:v>
                </c:pt>
                <c:pt idx="1">
                  <c:v>6</c:v>
                </c:pt>
                <c:pt idx="2">
                  <c:v>12</c:v>
                </c:pt>
                <c:pt idx="3">
                  <c:v>24</c:v>
                </c:pt>
                <c:pt idx="4">
                  <c:v>48</c:v>
                </c:pt>
                <c:pt idx="5">
                  <c:v>72</c:v>
                </c:pt>
              </c:numCache>
            </c:numRef>
          </c:xVal>
          <c:yVal>
            <c:numRef>
              <c:f>'PA-Thym'!$O$3:$T$3</c:f>
              <c:numCache>
                <c:formatCode>General</c:formatCode>
                <c:ptCount val="6"/>
                <c:pt idx="0">
                  <c:v>4.6879869350872321</c:v>
                </c:pt>
                <c:pt idx="1">
                  <c:v>2.4407394480662763</c:v>
                </c:pt>
                <c:pt idx="2">
                  <c:v>2.4407394480662763</c:v>
                </c:pt>
                <c:pt idx="3">
                  <c:v>4.6278200349268976</c:v>
                </c:pt>
                <c:pt idx="4">
                  <c:v>4.86364536425764</c:v>
                </c:pt>
                <c:pt idx="5">
                  <c:v>5.991156810651554</c:v>
                </c:pt>
              </c:numCache>
            </c:numRef>
          </c:yVal>
        </c:ser>
        <c:ser>
          <c:idx val="2"/>
          <c:order val="2"/>
          <c:tx>
            <c:strRef>
              <c:f>'PA-Thym'!$N$4</c:f>
              <c:strCache>
                <c:ptCount val="1"/>
                <c:pt idx="0">
                  <c:v>0.1%</c:v>
                </c:pt>
              </c:strCache>
            </c:strRef>
          </c:tx>
          <c:spPr>
            <a:ln w="22225">
              <a:solidFill>
                <a:prstClr val="black"/>
              </a:solidFill>
              <a:prstDash val="lgDashDotDot"/>
            </a:ln>
          </c:spPr>
          <c:marker>
            <c:symbol val="squar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'PA-Thym'!$O$1:$T$1</c:f>
              <c:numCache>
                <c:formatCode>General</c:formatCode>
                <c:ptCount val="6"/>
                <c:pt idx="0">
                  <c:v>0</c:v>
                </c:pt>
                <c:pt idx="1">
                  <c:v>6</c:v>
                </c:pt>
                <c:pt idx="2">
                  <c:v>12</c:v>
                </c:pt>
                <c:pt idx="3">
                  <c:v>24</c:v>
                </c:pt>
                <c:pt idx="4">
                  <c:v>48</c:v>
                </c:pt>
                <c:pt idx="5">
                  <c:v>72</c:v>
                </c:pt>
              </c:numCache>
            </c:numRef>
          </c:xVal>
          <c:yVal>
            <c:numRef>
              <c:f>'PA-Thym'!$O$4:$T$4</c:f>
              <c:numCache>
                <c:formatCode>General</c:formatCode>
                <c:ptCount val="6"/>
                <c:pt idx="0">
                  <c:v>4.6808994189581679</c:v>
                </c:pt>
                <c:pt idx="1">
                  <c:v>1.6345350334113573</c:v>
                </c:pt>
                <c:pt idx="2">
                  <c:v>1.7044247256402354</c:v>
                </c:pt>
                <c:pt idx="3">
                  <c:v>1.4022724995330929</c:v>
                </c:pt>
                <c:pt idx="4">
                  <c:v>1.5308244705086487</c:v>
                </c:pt>
                <c:pt idx="5">
                  <c:v>4.2665746801208639</c:v>
                </c:pt>
              </c:numCache>
            </c:numRef>
          </c:yVal>
        </c:ser>
        <c:ser>
          <c:idx val="3"/>
          <c:order val="3"/>
          <c:tx>
            <c:strRef>
              <c:f>'PA-Thym'!$N$5</c:f>
              <c:strCache>
                <c:ptCount val="1"/>
                <c:pt idx="0">
                  <c:v>Control</c:v>
                </c:pt>
              </c:strCache>
            </c:strRef>
          </c:tx>
          <c:spPr>
            <a:ln w="22225">
              <a:solidFill>
                <a:prstClr val="black"/>
              </a:solidFill>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'PA-Thym'!$O$1:$T$1</c:f>
              <c:numCache>
                <c:formatCode>General</c:formatCode>
                <c:ptCount val="6"/>
                <c:pt idx="0">
                  <c:v>0</c:v>
                </c:pt>
                <c:pt idx="1">
                  <c:v>6</c:v>
                </c:pt>
                <c:pt idx="2">
                  <c:v>12</c:v>
                </c:pt>
                <c:pt idx="3">
                  <c:v>24</c:v>
                </c:pt>
                <c:pt idx="4">
                  <c:v>48</c:v>
                </c:pt>
                <c:pt idx="5">
                  <c:v>72</c:v>
                </c:pt>
              </c:numCache>
            </c:numRef>
          </c:xVal>
          <c:yVal>
            <c:numRef>
              <c:f>'PA-Thym'!$O$5:$T$5</c:f>
              <c:numCache>
                <c:formatCode>General</c:formatCode>
                <c:ptCount val="6"/>
                <c:pt idx="0">
                  <c:v>4.6767959956053389</c:v>
                </c:pt>
                <c:pt idx="1">
                  <c:v>6.4580840919403695</c:v>
                </c:pt>
                <c:pt idx="2">
                  <c:v>9.1753589700367648</c:v>
                </c:pt>
                <c:pt idx="3">
                  <c:v>9.7978961246504923</c:v>
                </c:pt>
                <c:pt idx="4">
                  <c:v>9.6542492384477221</c:v>
                </c:pt>
                <c:pt idx="5">
                  <c:v>9.523021245280713</c:v>
                </c:pt>
              </c:numCache>
            </c:numRef>
          </c:yVal>
        </c:ser>
        <c:ser>
          <c:idx val="4"/>
          <c:order val="4"/>
          <c:tx>
            <c:strRef>
              <c:f>'PA-Thym'!$N$6</c:f>
              <c:strCache>
                <c:ptCount val="1"/>
                <c:pt idx="0">
                  <c:v>Detection Limit</c:v>
                </c:pt>
              </c:strCache>
            </c:strRef>
          </c:tx>
          <c:spPr>
            <a:ln w="22225">
              <a:solidFill>
                <a:prstClr val="black"/>
              </a:solidFill>
              <a:prstDash val="dash"/>
            </a:ln>
          </c:spPr>
          <c:marker>
            <c:symbol val="none"/>
          </c:marker>
          <c:xVal>
            <c:numRef>
              <c:f>'PA-Thym'!$O$1:$T$1</c:f>
              <c:numCache>
                <c:formatCode>General</c:formatCode>
                <c:ptCount val="6"/>
                <c:pt idx="0">
                  <c:v>0</c:v>
                </c:pt>
                <c:pt idx="1">
                  <c:v>6</c:v>
                </c:pt>
                <c:pt idx="2">
                  <c:v>12</c:v>
                </c:pt>
                <c:pt idx="3">
                  <c:v>24</c:v>
                </c:pt>
                <c:pt idx="4">
                  <c:v>48</c:v>
                </c:pt>
                <c:pt idx="5">
                  <c:v>72</c:v>
                </c:pt>
              </c:numCache>
            </c:numRef>
          </c:xVal>
          <c:yVal>
            <c:numRef>
              <c:f>'PA-Thym'!$O$6:$T$6</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80410496"/>
        <c:axId val="80454016"/>
      </c:scatterChart>
      <c:valAx>
        <c:axId val="80410496"/>
        <c:scaling>
          <c:orientation val="minMax"/>
          <c:max val="72"/>
        </c:scaling>
        <c:axPos val="b"/>
        <c:title>
          <c:tx>
            <c:rich>
              <a:bodyPr/>
              <a:lstStyle/>
              <a:p>
                <a:pPr>
                  <a:defRPr/>
                </a:pPr>
                <a:r>
                  <a:rPr lang="en-US"/>
                  <a:t>Time (hr)</a:t>
                </a:r>
              </a:p>
            </c:rich>
          </c:tx>
        </c:title>
        <c:numFmt formatCode="General" sourceLinked="1"/>
        <c:tickLblPos val="nextTo"/>
        <c:crossAx val="80454016"/>
        <c:crosses val="autoZero"/>
        <c:crossBetween val="midCat"/>
        <c:majorUnit val="12"/>
      </c:valAx>
      <c:valAx>
        <c:axId val="80454016"/>
        <c:scaling>
          <c:orientation val="minMax"/>
          <c:max val="10"/>
        </c:scaling>
        <c:axPos val="l"/>
        <c:majorGridlines/>
        <c:title>
          <c:tx>
            <c:rich>
              <a:bodyPr rot="-5400000" vert="horz"/>
              <a:lstStyle/>
              <a:p>
                <a:pPr>
                  <a:defRPr/>
                </a:pPr>
                <a:r>
                  <a:rPr lang="en-US"/>
                  <a:t>Log CFU/mL</a:t>
                </a:r>
              </a:p>
            </c:rich>
          </c:tx>
        </c:title>
        <c:numFmt formatCode="General" sourceLinked="1"/>
        <c:tickLblPos val="nextTo"/>
        <c:crossAx val="80410496"/>
        <c:crosses val="autoZero"/>
        <c:crossBetween val="midCat"/>
        <c:majorUnit val="1"/>
      </c:valAx>
    </c:plotArea>
    <c:legend>
      <c:legendPos val="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1"/>
          <c:order val="0"/>
          <c:tx>
            <c:strRef>
              <c:f>'LB-Thym'!$N$3</c:f>
              <c:strCache>
                <c:ptCount val="1"/>
                <c:pt idx="0">
                  <c:v>0.075%</c:v>
                </c:pt>
              </c:strCache>
            </c:strRef>
          </c:tx>
          <c:spPr>
            <a:ln w="22225">
              <a:solidFill>
                <a:prstClr val="black"/>
              </a:solidFill>
              <a:prstDash val="lgDash"/>
            </a:ln>
          </c:spPr>
          <c:marker>
            <c:symbol val="diamond"/>
            <c:size val="6"/>
            <c:spPr>
              <a:solidFill>
                <a:sysClr val="windowText" lastClr="000000"/>
              </a:solidFill>
              <a:ln>
                <a:solidFill>
                  <a:sysClr val="windowText" lastClr="000000"/>
                </a:solidFill>
              </a:ln>
            </c:spPr>
          </c:marker>
          <c:errBars>
            <c:errDir val="x"/>
            <c:errBarType val="both"/>
            <c:errValType val="fixedVal"/>
            <c:val val="1"/>
          </c:errBars>
          <c:errBars>
            <c:errDir val="y"/>
            <c:errBarType val="both"/>
            <c:errValType val="fixedVal"/>
            <c:val val="0.28870000000000001"/>
          </c:errBars>
          <c:xVal>
            <c:numRef>
              <c:f>'LB-Thym'!$O$1:$T$1</c:f>
              <c:numCache>
                <c:formatCode>General</c:formatCode>
                <c:ptCount val="6"/>
                <c:pt idx="0">
                  <c:v>0</c:v>
                </c:pt>
                <c:pt idx="1">
                  <c:v>6</c:v>
                </c:pt>
                <c:pt idx="2">
                  <c:v>12</c:v>
                </c:pt>
                <c:pt idx="3">
                  <c:v>24</c:v>
                </c:pt>
                <c:pt idx="4">
                  <c:v>48</c:v>
                </c:pt>
                <c:pt idx="5">
                  <c:v>72</c:v>
                </c:pt>
              </c:numCache>
            </c:numRef>
          </c:xVal>
          <c:yVal>
            <c:numRef>
              <c:f>'LB-Thym'!$O$3:$T$3</c:f>
              <c:numCache>
                <c:formatCode>General</c:formatCode>
                <c:ptCount val="6"/>
                <c:pt idx="0">
                  <c:v>4.3944719882285606</c:v>
                </c:pt>
                <c:pt idx="1">
                  <c:v>4.1204528521962773</c:v>
                </c:pt>
                <c:pt idx="2">
                  <c:v>4.0360468196133832</c:v>
                </c:pt>
                <c:pt idx="3">
                  <c:v>3.7306490356176081</c:v>
                </c:pt>
                <c:pt idx="4">
                  <c:v>3.6547200173656851</c:v>
                </c:pt>
                <c:pt idx="5">
                  <c:v>4.4214459174501108</c:v>
                </c:pt>
              </c:numCache>
            </c:numRef>
          </c:yVal>
        </c:ser>
        <c:ser>
          <c:idx val="2"/>
          <c:order val="1"/>
          <c:tx>
            <c:strRef>
              <c:f>'LB-Thym'!$N$4</c:f>
              <c:strCache>
                <c:ptCount val="1"/>
                <c:pt idx="0">
                  <c:v>0.1%</c:v>
                </c:pt>
              </c:strCache>
            </c:strRef>
          </c:tx>
          <c:spPr>
            <a:ln w="22225">
              <a:solidFill>
                <a:prstClr val="black"/>
              </a:solidFill>
              <a:prstDash val="lgDashDotDot"/>
            </a:ln>
          </c:spPr>
          <c:marker>
            <c:symbol val="square"/>
            <c:size val="6"/>
            <c:spPr>
              <a:solidFill>
                <a:sysClr val="windowText" lastClr="000000"/>
              </a:solidFill>
              <a:ln>
                <a:solidFill>
                  <a:schemeClr val="tx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'LB-Thym'!$O$1:$T$1</c:f>
              <c:numCache>
                <c:formatCode>General</c:formatCode>
                <c:ptCount val="6"/>
                <c:pt idx="0">
                  <c:v>0</c:v>
                </c:pt>
                <c:pt idx="1">
                  <c:v>6</c:v>
                </c:pt>
                <c:pt idx="2">
                  <c:v>12</c:v>
                </c:pt>
                <c:pt idx="3">
                  <c:v>24</c:v>
                </c:pt>
                <c:pt idx="4">
                  <c:v>48</c:v>
                </c:pt>
                <c:pt idx="5">
                  <c:v>72</c:v>
                </c:pt>
              </c:numCache>
            </c:numRef>
          </c:xVal>
          <c:yVal>
            <c:numRef>
              <c:f>'LB-Thym'!$O$4:$T$4</c:f>
              <c:numCache>
                <c:formatCode>General</c:formatCode>
                <c:ptCount val="6"/>
                <c:pt idx="0">
                  <c:v>4.3561620164692014</c:v>
                </c:pt>
                <c:pt idx="1">
                  <c:v>3.3624399238396334</c:v>
                </c:pt>
                <c:pt idx="2">
                  <c:v>2.7833570356679842</c:v>
                </c:pt>
                <c:pt idx="3">
                  <c:v>2.3141110560179348</c:v>
                </c:pt>
                <c:pt idx="4">
                  <c:v>1.8833745935323476</c:v>
                </c:pt>
                <c:pt idx="5">
                  <c:v>2.1086288562623756</c:v>
                </c:pt>
              </c:numCache>
            </c:numRef>
          </c:yVal>
        </c:ser>
        <c:ser>
          <c:idx val="3"/>
          <c:order val="2"/>
          <c:tx>
            <c:strRef>
              <c:f>'LB-Thym'!$N$5</c:f>
              <c:strCache>
                <c:ptCount val="1"/>
                <c:pt idx="0">
                  <c:v>0.2%</c:v>
                </c:pt>
              </c:strCache>
            </c:strRef>
          </c:tx>
          <c:spPr>
            <a:ln w="22225">
              <a:solidFill>
                <a:prstClr val="black"/>
              </a:solidFill>
              <a:prstDash val="sysDot"/>
            </a:ln>
          </c:spPr>
          <c:marker>
            <c:symbol val="star"/>
            <c:size val="6"/>
            <c:spPr>
              <a:solidFill>
                <a:sysClr val="windowText" lastClr="000000"/>
              </a:solidFill>
              <a:ln>
                <a:solidFill>
                  <a:schemeClr val="bg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'LB-Thym'!$O$1:$T$1</c:f>
              <c:numCache>
                <c:formatCode>General</c:formatCode>
                <c:ptCount val="6"/>
                <c:pt idx="0">
                  <c:v>0</c:v>
                </c:pt>
                <c:pt idx="1">
                  <c:v>6</c:v>
                </c:pt>
                <c:pt idx="2">
                  <c:v>12</c:v>
                </c:pt>
                <c:pt idx="3">
                  <c:v>24</c:v>
                </c:pt>
                <c:pt idx="4">
                  <c:v>48</c:v>
                </c:pt>
                <c:pt idx="5">
                  <c:v>72</c:v>
                </c:pt>
              </c:numCache>
            </c:numRef>
          </c:xVal>
          <c:yVal>
            <c:numRef>
              <c:f>'LB-Thym'!$O$5:$T$5</c:f>
              <c:numCache>
                <c:formatCode>General</c:formatCode>
                <c:ptCount val="6"/>
                <c:pt idx="0">
                  <c:v>0.9</c:v>
                </c:pt>
                <c:pt idx="1">
                  <c:v>0.9</c:v>
                </c:pt>
                <c:pt idx="2">
                  <c:v>0.9</c:v>
                </c:pt>
                <c:pt idx="3">
                  <c:v>0.9</c:v>
                </c:pt>
                <c:pt idx="4">
                  <c:v>0.9</c:v>
                </c:pt>
                <c:pt idx="5">
                  <c:v>0.9</c:v>
                </c:pt>
              </c:numCache>
            </c:numRef>
          </c:yVal>
        </c:ser>
        <c:ser>
          <c:idx val="4"/>
          <c:order val="3"/>
          <c:tx>
            <c:strRef>
              <c:f>'LB-Thym'!$N$6</c:f>
              <c:strCache>
                <c:ptCount val="1"/>
                <c:pt idx="0">
                  <c:v>Control</c:v>
                </c:pt>
              </c:strCache>
            </c:strRef>
          </c:tx>
          <c:spPr>
            <a:ln w="22225">
              <a:solidFill>
                <a:prstClr val="black"/>
              </a:solidFill>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0.28870000000000001</c:v>
                </c:pt>
              </c:numLit>
            </c:plus>
            <c:minus>
              <c:numLit>
                <c:formatCode>General</c:formatCode>
                <c:ptCount val="1"/>
                <c:pt idx="0">
                  <c:v>0.28870000000000001</c:v>
                </c:pt>
              </c:numLit>
            </c:minus>
          </c:errBars>
          <c:xVal>
            <c:numRef>
              <c:f>'LB-Thym'!$O$1:$T$1</c:f>
              <c:numCache>
                <c:formatCode>General</c:formatCode>
                <c:ptCount val="6"/>
                <c:pt idx="0">
                  <c:v>0</c:v>
                </c:pt>
                <c:pt idx="1">
                  <c:v>6</c:v>
                </c:pt>
                <c:pt idx="2">
                  <c:v>12</c:v>
                </c:pt>
                <c:pt idx="3">
                  <c:v>24</c:v>
                </c:pt>
                <c:pt idx="4">
                  <c:v>48</c:v>
                </c:pt>
                <c:pt idx="5">
                  <c:v>72</c:v>
                </c:pt>
              </c:numCache>
            </c:numRef>
          </c:xVal>
          <c:yVal>
            <c:numRef>
              <c:f>'LB-Thym'!$O$6:$T$6</c:f>
              <c:numCache>
                <c:formatCode>General</c:formatCode>
                <c:ptCount val="6"/>
                <c:pt idx="0">
                  <c:v>4.3774833170630014</c:v>
                </c:pt>
                <c:pt idx="1">
                  <c:v>4.8402970416333524</c:v>
                </c:pt>
                <c:pt idx="2">
                  <c:v>5.9809324712646514</c:v>
                </c:pt>
                <c:pt idx="3">
                  <c:v>7.7583587808065184</c:v>
                </c:pt>
                <c:pt idx="4">
                  <c:v>8.532178866633318</c:v>
                </c:pt>
                <c:pt idx="5">
                  <c:v>8.6784403874197658</c:v>
                </c:pt>
              </c:numCache>
            </c:numRef>
          </c:yVal>
        </c:ser>
        <c:ser>
          <c:idx val="5"/>
          <c:order val="4"/>
          <c:tx>
            <c:strRef>
              <c:f>'LB-Thym'!$N$7</c:f>
              <c:strCache>
                <c:ptCount val="1"/>
                <c:pt idx="0">
                  <c:v>Detection Limit</c:v>
                </c:pt>
              </c:strCache>
            </c:strRef>
          </c:tx>
          <c:spPr>
            <a:ln w="22225">
              <a:solidFill>
                <a:prstClr val="black"/>
              </a:solidFill>
              <a:prstDash val="dash"/>
            </a:ln>
          </c:spPr>
          <c:marker>
            <c:symbol val="none"/>
          </c:marker>
          <c:xVal>
            <c:numRef>
              <c:f>'LB-Thym'!$O$1:$T$1</c:f>
              <c:numCache>
                <c:formatCode>General</c:formatCode>
                <c:ptCount val="6"/>
                <c:pt idx="0">
                  <c:v>0</c:v>
                </c:pt>
                <c:pt idx="1">
                  <c:v>6</c:v>
                </c:pt>
                <c:pt idx="2">
                  <c:v>12</c:v>
                </c:pt>
                <c:pt idx="3">
                  <c:v>24</c:v>
                </c:pt>
                <c:pt idx="4">
                  <c:v>48</c:v>
                </c:pt>
                <c:pt idx="5">
                  <c:v>72</c:v>
                </c:pt>
              </c:numCache>
            </c:numRef>
          </c:xVal>
          <c:yVal>
            <c:numRef>
              <c:f>'LB-Thym'!$O$7:$T$7</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87130496"/>
        <c:axId val="87133568"/>
      </c:scatterChart>
      <c:valAx>
        <c:axId val="87130496"/>
        <c:scaling>
          <c:orientation val="minMax"/>
          <c:max val="72"/>
          <c:min val="0"/>
        </c:scaling>
        <c:axPos val="b"/>
        <c:title>
          <c:tx>
            <c:rich>
              <a:bodyPr/>
              <a:lstStyle/>
              <a:p>
                <a:pPr>
                  <a:defRPr/>
                </a:pPr>
                <a:r>
                  <a:rPr lang="en-US"/>
                  <a:t>Time (hr)</a:t>
                </a:r>
              </a:p>
            </c:rich>
          </c:tx>
        </c:title>
        <c:numFmt formatCode="General" sourceLinked="1"/>
        <c:tickLblPos val="nextTo"/>
        <c:crossAx val="87133568"/>
        <c:crosses val="autoZero"/>
        <c:crossBetween val="midCat"/>
        <c:majorUnit val="12"/>
      </c:valAx>
      <c:valAx>
        <c:axId val="87133568"/>
        <c:scaling>
          <c:orientation val="minMax"/>
        </c:scaling>
        <c:axPos val="l"/>
        <c:majorGridlines/>
        <c:title>
          <c:tx>
            <c:rich>
              <a:bodyPr rot="-5400000" vert="horz"/>
              <a:lstStyle/>
              <a:p>
                <a:pPr>
                  <a:defRPr/>
                </a:pPr>
                <a:r>
                  <a:rPr lang="en-US"/>
                  <a:t>Log CFU/mL</a:t>
                </a:r>
              </a:p>
            </c:rich>
          </c:tx>
        </c:title>
        <c:numFmt formatCode="General" sourceLinked="1"/>
        <c:tickLblPos val="nextTo"/>
        <c:crossAx val="87130496"/>
        <c:crosses val="autoZero"/>
        <c:crossBetween val="midCat"/>
      </c:valAx>
    </c:plotArea>
    <c:legend>
      <c:legendPos val="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1"/>
          <c:order val="0"/>
          <c:tx>
            <c:strRef>
              <c:f>'LC-Cin'!$S$3</c:f>
              <c:strCache>
                <c:ptCount val="1"/>
                <c:pt idx="0">
                  <c:v>0.075%</c:v>
                </c:pt>
              </c:strCache>
            </c:strRef>
          </c:tx>
          <c:spPr>
            <a:ln w="22225">
              <a:solidFill>
                <a:prstClr val="black"/>
              </a:solidFill>
              <a:prstDash val="lgDash"/>
            </a:ln>
          </c:spPr>
          <c:marker>
            <c:symbol val="diamond"/>
            <c:size val="6"/>
            <c:spPr>
              <a:solidFill>
                <a:sysClr val="windowText" lastClr="000000"/>
              </a:solidFill>
              <a:ln>
                <a:solidFill>
                  <a:sysClr val="windowText" lastClr="000000"/>
                </a:solidFill>
              </a:ln>
            </c:spPr>
          </c:marker>
          <c:errBars>
            <c:errDir val="x"/>
            <c:errBarType val="both"/>
            <c:errValType val="fixedVal"/>
            <c:val val="1"/>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'LC-Cin'!$T$1:$Y$1</c:f>
              <c:numCache>
                <c:formatCode>General</c:formatCode>
                <c:ptCount val="6"/>
                <c:pt idx="0">
                  <c:v>0</c:v>
                </c:pt>
                <c:pt idx="1">
                  <c:v>6</c:v>
                </c:pt>
                <c:pt idx="2">
                  <c:v>12</c:v>
                </c:pt>
                <c:pt idx="3">
                  <c:v>24</c:v>
                </c:pt>
                <c:pt idx="4">
                  <c:v>48</c:v>
                </c:pt>
                <c:pt idx="5">
                  <c:v>72</c:v>
                </c:pt>
              </c:numCache>
            </c:numRef>
          </c:xVal>
          <c:yVal>
            <c:numRef>
              <c:f>'LC-Cin'!$T$3:$Y$3</c:f>
              <c:numCache>
                <c:formatCode>General</c:formatCode>
                <c:ptCount val="6"/>
                <c:pt idx="0">
                  <c:v>4.2171893471862303</c:v>
                </c:pt>
                <c:pt idx="1">
                  <c:v>4.1943050091897653</c:v>
                </c:pt>
                <c:pt idx="2">
                  <c:v>4.2173034678589563</c:v>
                </c:pt>
                <c:pt idx="3">
                  <c:v>4.0225158828173431</c:v>
                </c:pt>
                <c:pt idx="4">
                  <c:v>4.2324078814949697</c:v>
                </c:pt>
                <c:pt idx="5">
                  <c:v>4.4441793602500974</c:v>
                </c:pt>
              </c:numCache>
            </c:numRef>
          </c:yVal>
        </c:ser>
        <c:ser>
          <c:idx val="2"/>
          <c:order val="1"/>
          <c:tx>
            <c:strRef>
              <c:f>'LC-Cin'!$S$4</c:f>
              <c:strCache>
                <c:ptCount val="1"/>
                <c:pt idx="0">
                  <c:v>0.1%</c:v>
                </c:pt>
              </c:strCache>
            </c:strRef>
          </c:tx>
          <c:spPr>
            <a:ln w="22225">
              <a:solidFill>
                <a:prstClr val="black"/>
              </a:solidFill>
              <a:prstDash val="lgDashDotDot"/>
            </a:ln>
          </c:spPr>
          <c:marker>
            <c:symbol val="squar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'LC-Cin'!$T$1:$Y$1</c:f>
              <c:numCache>
                <c:formatCode>General</c:formatCode>
                <c:ptCount val="6"/>
                <c:pt idx="0">
                  <c:v>0</c:v>
                </c:pt>
                <c:pt idx="1">
                  <c:v>6</c:v>
                </c:pt>
                <c:pt idx="2">
                  <c:v>12</c:v>
                </c:pt>
                <c:pt idx="3">
                  <c:v>24</c:v>
                </c:pt>
                <c:pt idx="4">
                  <c:v>48</c:v>
                </c:pt>
                <c:pt idx="5">
                  <c:v>72</c:v>
                </c:pt>
              </c:numCache>
            </c:numRef>
          </c:xVal>
          <c:yVal>
            <c:numRef>
              <c:f>'LC-Cin'!$T$4:$Y$4</c:f>
              <c:numCache>
                <c:formatCode>General</c:formatCode>
                <c:ptCount val="6"/>
                <c:pt idx="0">
                  <c:v>4.2613930956595718</c:v>
                </c:pt>
                <c:pt idx="1">
                  <c:v>4.1769532214652765</c:v>
                </c:pt>
                <c:pt idx="2">
                  <c:v>4.1002413159804512</c:v>
                </c:pt>
                <c:pt idx="3">
                  <c:v>3.9514903213829542</c:v>
                </c:pt>
                <c:pt idx="4">
                  <c:v>2.024711805944329</c:v>
                </c:pt>
                <c:pt idx="5">
                  <c:v>1.0196666722368797</c:v>
                </c:pt>
              </c:numCache>
            </c:numRef>
          </c:yVal>
        </c:ser>
        <c:ser>
          <c:idx val="3"/>
          <c:order val="2"/>
          <c:tx>
            <c:strRef>
              <c:f>'LC-Cin'!$S$5</c:f>
              <c:strCache>
                <c:ptCount val="1"/>
                <c:pt idx="0">
                  <c:v>0.2%</c:v>
                </c:pt>
              </c:strCache>
            </c:strRef>
          </c:tx>
          <c:spPr>
            <a:ln w="22225">
              <a:solidFill>
                <a:prstClr val="black"/>
              </a:solidFill>
              <a:prstDash val="sysDot"/>
            </a:ln>
          </c:spPr>
          <c:marker>
            <c:symbol val="star"/>
            <c:size val="6"/>
            <c:spPr>
              <a:solidFill>
                <a:sysClr val="windowText" lastClr="000000"/>
              </a:solidFill>
              <a:ln>
                <a:solidFill>
                  <a:schemeClr val="bg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'LC-Cin'!$T$1:$Y$1</c:f>
              <c:numCache>
                <c:formatCode>General</c:formatCode>
                <c:ptCount val="6"/>
                <c:pt idx="0">
                  <c:v>0</c:v>
                </c:pt>
                <c:pt idx="1">
                  <c:v>6</c:v>
                </c:pt>
                <c:pt idx="2">
                  <c:v>12</c:v>
                </c:pt>
                <c:pt idx="3">
                  <c:v>24</c:v>
                </c:pt>
                <c:pt idx="4">
                  <c:v>48</c:v>
                </c:pt>
                <c:pt idx="5">
                  <c:v>72</c:v>
                </c:pt>
              </c:numCache>
            </c:numRef>
          </c:xVal>
          <c:yVal>
            <c:numRef>
              <c:f>'LC-Cin'!$T$5:$Y$5</c:f>
              <c:numCache>
                <c:formatCode>General</c:formatCode>
                <c:ptCount val="6"/>
                <c:pt idx="0">
                  <c:v>4.2305599376250189</c:v>
                </c:pt>
                <c:pt idx="1">
                  <c:v>3.5923072847944129</c:v>
                </c:pt>
                <c:pt idx="2">
                  <c:v>3.0409451377127117</c:v>
                </c:pt>
                <c:pt idx="3">
                  <c:v>2.5078919450571973</c:v>
                </c:pt>
                <c:pt idx="4">
                  <c:v>0.9</c:v>
                </c:pt>
                <c:pt idx="5">
                  <c:v>0.9</c:v>
                </c:pt>
              </c:numCache>
            </c:numRef>
          </c:yVal>
        </c:ser>
        <c:ser>
          <c:idx val="4"/>
          <c:order val="3"/>
          <c:tx>
            <c:strRef>
              <c:f>'LC-Cin'!$S$6</c:f>
              <c:strCache>
                <c:ptCount val="1"/>
                <c:pt idx="0">
                  <c:v>Control</c:v>
                </c:pt>
              </c:strCache>
            </c:strRef>
          </c:tx>
          <c:spPr>
            <a:ln w="22225">
              <a:solidFill>
                <a:prstClr val="black"/>
              </a:solidFill>
            </a:ln>
          </c:spPr>
          <c:marker>
            <c:symbol val="circle"/>
            <c:size val="5"/>
            <c:spPr>
              <a:solidFill>
                <a:sysClr val="windowText" lastClr="000000"/>
              </a:solidFill>
              <a:ln>
                <a:solidFill>
                  <a:schemeClr val="tx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'LC-Cin'!$T$1:$Y$1</c:f>
              <c:numCache>
                <c:formatCode>General</c:formatCode>
                <c:ptCount val="6"/>
                <c:pt idx="0">
                  <c:v>0</c:v>
                </c:pt>
                <c:pt idx="1">
                  <c:v>6</c:v>
                </c:pt>
                <c:pt idx="2">
                  <c:v>12</c:v>
                </c:pt>
                <c:pt idx="3">
                  <c:v>24</c:v>
                </c:pt>
                <c:pt idx="4">
                  <c:v>48</c:v>
                </c:pt>
                <c:pt idx="5">
                  <c:v>72</c:v>
                </c:pt>
              </c:numCache>
            </c:numRef>
          </c:xVal>
          <c:yVal>
            <c:numRef>
              <c:f>'LC-Cin'!$T$6:$Y$6</c:f>
              <c:numCache>
                <c:formatCode>General</c:formatCode>
                <c:ptCount val="6"/>
                <c:pt idx="0">
                  <c:v>4.2869554201112168</c:v>
                </c:pt>
                <c:pt idx="1">
                  <c:v>5.4354124387411176</c:v>
                </c:pt>
                <c:pt idx="2">
                  <c:v>7.4200275497428159</c:v>
                </c:pt>
                <c:pt idx="3">
                  <c:v>9.4550856089483535</c:v>
                </c:pt>
                <c:pt idx="4">
                  <c:v>9.6650468801342626</c:v>
                </c:pt>
                <c:pt idx="5">
                  <c:v>8.1500946285973175</c:v>
                </c:pt>
              </c:numCache>
            </c:numRef>
          </c:yVal>
        </c:ser>
        <c:ser>
          <c:idx val="5"/>
          <c:order val="4"/>
          <c:tx>
            <c:strRef>
              <c:f>'LC-Cin'!$S$7</c:f>
              <c:strCache>
                <c:ptCount val="1"/>
                <c:pt idx="0">
                  <c:v>Detection Limit</c:v>
                </c:pt>
              </c:strCache>
            </c:strRef>
          </c:tx>
          <c:spPr>
            <a:ln w="22225">
              <a:solidFill>
                <a:prstClr val="black"/>
              </a:solidFill>
              <a:prstDash val="dash"/>
            </a:ln>
          </c:spPr>
          <c:marker>
            <c:symbol val="none"/>
          </c:marker>
          <c:xVal>
            <c:numRef>
              <c:f>'LC-Cin'!$T$1:$Y$1</c:f>
              <c:numCache>
                <c:formatCode>General</c:formatCode>
                <c:ptCount val="6"/>
                <c:pt idx="0">
                  <c:v>0</c:v>
                </c:pt>
                <c:pt idx="1">
                  <c:v>6</c:v>
                </c:pt>
                <c:pt idx="2">
                  <c:v>12</c:v>
                </c:pt>
                <c:pt idx="3">
                  <c:v>24</c:v>
                </c:pt>
                <c:pt idx="4">
                  <c:v>48</c:v>
                </c:pt>
                <c:pt idx="5">
                  <c:v>72</c:v>
                </c:pt>
              </c:numCache>
            </c:numRef>
          </c:xVal>
          <c:yVal>
            <c:numRef>
              <c:f>'LC-Cin'!$T$7:$Y$7</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89197184"/>
        <c:axId val="89204224"/>
      </c:scatterChart>
      <c:valAx>
        <c:axId val="89197184"/>
        <c:scaling>
          <c:orientation val="minMax"/>
          <c:max val="72"/>
          <c:min val="0"/>
        </c:scaling>
        <c:axPos val="b"/>
        <c:title>
          <c:tx>
            <c:rich>
              <a:bodyPr/>
              <a:lstStyle/>
              <a:p>
                <a:pPr>
                  <a:defRPr/>
                </a:pPr>
                <a:r>
                  <a:rPr lang="en-US"/>
                  <a:t>Time (hr)</a:t>
                </a:r>
              </a:p>
            </c:rich>
          </c:tx>
        </c:title>
        <c:numFmt formatCode="General" sourceLinked="1"/>
        <c:tickLblPos val="nextTo"/>
        <c:crossAx val="89204224"/>
        <c:crosses val="autoZero"/>
        <c:crossBetween val="midCat"/>
        <c:majorUnit val="12"/>
      </c:valAx>
      <c:valAx>
        <c:axId val="89204224"/>
        <c:scaling>
          <c:orientation val="minMax"/>
          <c:max val="10"/>
        </c:scaling>
        <c:axPos val="l"/>
        <c:majorGridlines/>
        <c:title>
          <c:tx>
            <c:rich>
              <a:bodyPr rot="-5400000" vert="horz"/>
              <a:lstStyle/>
              <a:p>
                <a:pPr>
                  <a:defRPr/>
                </a:pPr>
                <a:r>
                  <a:rPr lang="en-US"/>
                  <a:t>Log CFU/mL</a:t>
                </a:r>
              </a:p>
            </c:rich>
          </c:tx>
        </c:title>
        <c:numFmt formatCode="General" sourceLinked="1"/>
        <c:tickLblPos val="nextTo"/>
        <c:crossAx val="89197184"/>
        <c:crosses val="autoZero"/>
        <c:crossBetween val="midCat"/>
        <c:majorUnit val="1"/>
      </c:valAx>
    </c:plotArea>
    <c:legend>
      <c:legendPos val="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strRef>
              <c:f>'PA-Cin'!$Q$11</c:f>
              <c:strCache>
                <c:ptCount val="1"/>
                <c:pt idx="0">
                  <c:v>0.175%</c:v>
                </c:pt>
              </c:strCache>
            </c:strRef>
          </c:tx>
          <c:spPr>
            <a:ln w="22225">
              <a:solidFill>
                <a:prstClr val="black"/>
              </a:solidFill>
            </a:ln>
          </c:spPr>
          <c:marker>
            <c:symbol val="plus"/>
            <c:size val="6"/>
            <c:spPr>
              <a:solidFill>
                <a:sysClr val="windowText" lastClr="000000"/>
              </a:solidFill>
              <a:ln>
                <a:solidFill>
                  <a:schemeClr val="bg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'PA-Cin'!$R$10:$W$10</c:f>
              <c:numCache>
                <c:formatCode>General</c:formatCode>
                <c:ptCount val="6"/>
                <c:pt idx="0">
                  <c:v>0</c:v>
                </c:pt>
                <c:pt idx="1">
                  <c:v>6</c:v>
                </c:pt>
                <c:pt idx="2">
                  <c:v>12</c:v>
                </c:pt>
                <c:pt idx="3">
                  <c:v>24</c:v>
                </c:pt>
                <c:pt idx="4">
                  <c:v>48</c:v>
                </c:pt>
                <c:pt idx="5">
                  <c:v>72</c:v>
                </c:pt>
              </c:numCache>
            </c:numRef>
          </c:xVal>
          <c:yVal>
            <c:numRef>
              <c:f>'PA-Cin'!$R$11:$W$11</c:f>
              <c:numCache>
                <c:formatCode>General</c:formatCode>
                <c:ptCount val="6"/>
                <c:pt idx="0">
                  <c:v>4.6907098241638661</c:v>
                </c:pt>
                <c:pt idx="1">
                  <c:v>4.4181637081029121</c:v>
                </c:pt>
                <c:pt idx="2">
                  <c:v>3.6378939734587727</c:v>
                </c:pt>
                <c:pt idx="3">
                  <c:v>2.2529275588470581</c:v>
                </c:pt>
                <c:pt idx="4">
                  <c:v>4.3988779282626096</c:v>
                </c:pt>
                <c:pt idx="5">
                  <c:v>2.5174578155489207</c:v>
                </c:pt>
              </c:numCache>
            </c:numRef>
          </c:yVal>
        </c:ser>
        <c:ser>
          <c:idx val="1"/>
          <c:order val="1"/>
          <c:tx>
            <c:strRef>
              <c:f>'PA-Cin'!$Q$12</c:f>
              <c:strCache>
                <c:ptCount val="1"/>
                <c:pt idx="0">
                  <c:v>0.2%</c:v>
                </c:pt>
              </c:strCache>
            </c:strRef>
          </c:tx>
          <c:spPr>
            <a:ln w="22225">
              <a:solidFill>
                <a:prstClr val="black"/>
              </a:solidFill>
              <a:prstDash val="sysDot"/>
            </a:ln>
          </c:spPr>
          <c:marker>
            <c:symbol val="star"/>
            <c:size val="6"/>
            <c:spPr>
              <a:solidFill>
                <a:sysClr val="windowText" lastClr="000000"/>
              </a:solidFill>
              <a:ln>
                <a:solidFill>
                  <a:sysClr val="window" lastClr="FFFFFF"/>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'PA-Cin'!$R$10:$W$10</c:f>
              <c:numCache>
                <c:formatCode>General</c:formatCode>
                <c:ptCount val="6"/>
                <c:pt idx="0">
                  <c:v>0</c:v>
                </c:pt>
                <c:pt idx="1">
                  <c:v>6</c:v>
                </c:pt>
                <c:pt idx="2">
                  <c:v>12</c:v>
                </c:pt>
                <c:pt idx="3">
                  <c:v>24</c:v>
                </c:pt>
                <c:pt idx="4">
                  <c:v>48</c:v>
                </c:pt>
                <c:pt idx="5">
                  <c:v>72</c:v>
                </c:pt>
              </c:numCache>
            </c:numRef>
          </c:xVal>
          <c:yVal>
            <c:numRef>
              <c:f>'PA-Cin'!$R$12:$W$12</c:f>
              <c:numCache>
                <c:formatCode>General</c:formatCode>
                <c:ptCount val="6"/>
                <c:pt idx="0">
                  <c:v>4.69050687314573</c:v>
                </c:pt>
                <c:pt idx="1">
                  <c:v>4.4266525392200462</c:v>
                </c:pt>
                <c:pt idx="2">
                  <c:v>3.5203489236552103</c:v>
                </c:pt>
                <c:pt idx="3">
                  <c:v>2.5253724618600626</c:v>
                </c:pt>
                <c:pt idx="4">
                  <c:v>2.1331331428069777</c:v>
                </c:pt>
                <c:pt idx="5">
                  <c:v>1.8667377223803421</c:v>
                </c:pt>
              </c:numCache>
            </c:numRef>
          </c:yVal>
        </c:ser>
        <c:ser>
          <c:idx val="2"/>
          <c:order val="2"/>
          <c:tx>
            <c:strRef>
              <c:f>'PA-Cin'!$Q$13</c:f>
              <c:strCache>
                <c:ptCount val="1"/>
                <c:pt idx="0">
                  <c:v>0.25%</c:v>
                </c:pt>
              </c:strCache>
            </c:strRef>
          </c:tx>
          <c:spPr>
            <a:ln w="22225">
              <a:solidFill>
                <a:prstClr val="black"/>
              </a:solidFill>
              <a:prstDash val="lgDash"/>
            </a:ln>
          </c:spPr>
          <c:marker>
            <c:symbol val="triangle"/>
            <c:size val="6"/>
            <c:spPr>
              <a:solidFill>
                <a:sysClr val="windowText" lastClr="000000"/>
              </a:solidFill>
              <a:ln>
                <a:solidFill>
                  <a:schemeClr val="tx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'PA-Cin'!$R$10:$W$10</c:f>
              <c:numCache>
                <c:formatCode>General</c:formatCode>
                <c:ptCount val="6"/>
                <c:pt idx="0">
                  <c:v>0</c:v>
                </c:pt>
                <c:pt idx="1">
                  <c:v>6</c:v>
                </c:pt>
                <c:pt idx="2">
                  <c:v>12</c:v>
                </c:pt>
                <c:pt idx="3">
                  <c:v>24</c:v>
                </c:pt>
                <c:pt idx="4">
                  <c:v>48</c:v>
                </c:pt>
                <c:pt idx="5">
                  <c:v>72</c:v>
                </c:pt>
              </c:numCache>
            </c:numRef>
          </c:xVal>
          <c:yVal>
            <c:numRef>
              <c:f>'PA-Cin'!$R$13:$W$13</c:f>
              <c:numCache>
                <c:formatCode>General</c:formatCode>
                <c:ptCount val="6"/>
                <c:pt idx="0">
                  <c:v>4.6896313619333982</c:v>
                </c:pt>
                <c:pt idx="1">
                  <c:v>4.4205031678811793</c:v>
                </c:pt>
                <c:pt idx="2">
                  <c:v>3.2315172489999209</c:v>
                </c:pt>
                <c:pt idx="3">
                  <c:v>1.2441312532743225</c:v>
                </c:pt>
                <c:pt idx="4">
                  <c:v>0.9</c:v>
                </c:pt>
                <c:pt idx="5">
                  <c:v>0.9</c:v>
                </c:pt>
              </c:numCache>
            </c:numRef>
          </c:yVal>
        </c:ser>
        <c:ser>
          <c:idx val="3"/>
          <c:order val="3"/>
          <c:tx>
            <c:strRef>
              <c:f>'PA-Cin'!$Q$14</c:f>
              <c:strCache>
                <c:ptCount val="1"/>
                <c:pt idx="0">
                  <c:v>Control</c:v>
                </c:pt>
              </c:strCache>
            </c:strRef>
          </c:tx>
          <c:spPr>
            <a:ln w="22225">
              <a:solidFill>
                <a:prstClr val="black"/>
              </a:solidFill>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'PA-Cin'!$R$10:$W$10</c:f>
              <c:numCache>
                <c:formatCode>General</c:formatCode>
                <c:ptCount val="6"/>
                <c:pt idx="0">
                  <c:v>0</c:v>
                </c:pt>
                <c:pt idx="1">
                  <c:v>6</c:v>
                </c:pt>
                <c:pt idx="2">
                  <c:v>12</c:v>
                </c:pt>
                <c:pt idx="3">
                  <c:v>24</c:v>
                </c:pt>
                <c:pt idx="4">
                  <c:v>48</c:v>
                </c:pt>
                <c:pt idx="5">
                  <c:v>72</c:v>
                </c:pt>
              </c:numCache>
            </c:numRef>
          </c:xVal>
          <c:yVal>
            <c:numRef>
              <c:f>'PA-Cin'!$R$14:$W$14</c:f>
              <c:numCache>
                <c:formatCode>General</c:formatCode>
                <c:ptCount val="6"/>
                <c:pt idx="0">
                  <c:v>4.6764754811108435</c:v>
                </c:pt>
                <c:pt idx="1">
                  <c:v>6.1918741541741724</c:v>
                </c:pt>
                <c:pt idx="2">
                  <c:v>8.9919717005625106</c:v>
                </c:pt>
                <c:pt idx="3">
                  <c:v>9.2218792046766129</c:v>
                </c:pt>
                <c:pt idx="4">
                  <c:v>9.635459256718562</c:v>
                </c:pt>
                <c:pt idx="5">
                  <c:v>9.387618409729134</c:v>
                </c:pt>
              </c:numCache>
            </c:numRef>
          </c:yVal>
        </c:ser>
        <c:ser>
          <c:idx val="4"/>
          <c:order val="4"/>
          <c:tx>
            <c:strRef>
              <c:f>'PA-Cin'!$Q$15</c:f>
              <c:strCache>
                <c:ptCount val="1"/>
                <c:pt idx="0">
                  <c:v>Detection Limit</c:v>
                </c:pt>
              </c:strCache>
            </c:strRef>
          </c:tx>
          <c:spPr>
            <a:ln w="22225">
              <a:solidFill>
                <a:prstClr val="black"/>
              </a:solidFill>
              <a:prstDash val="dash"/>
            </a:ln>
          </c:spPr>
          <c:marker>
            <c:symbol val="none"/>
          </c:marker>
          <c:xVal>
            <c:numRef>
              <c:f>'PA-Cin'!$R$10:$W$10</c:f>
              <c:numCache>
                <c:formatCode>General</c:formatCode>
                <c:ptCount val="6"/>
                <c:pt idx="0">
                  <c:v>0</c:v>
                </c:pt>
                <c:pt idx="1">
                  <c:v>6</c:v>
                </c:pt>
                <c:pt idx="2">
                  <c:v>12</c:v>
                </c:pt>
                <c:pt idx="3">
                  <c:v>24</c:v>
                </c:pt>
                <c:pt idx="4">
                  <c:v>48</c:v>
                </c:pt>
                <c:pt idx="5">
                  <c:v>72</c:v>
                </c:pt>
              </c:numCache>
            </c:numRef>
          </c:xVal>
          <c:yVal>
            <c:numRef>
              <c:f>'PA-Cin'!$R$15:$W$15</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89630208"/>
        <c:axId val="89649920"/>
      </c:scatterChart>
      <c:valAx>
        <c:axId val="89630208"/>
        <c:scaling>
          <c:orientation val="minMax"/>
          <c:max val="72"/>
        </c:scaling>
        <c:axPos val="b"/>
        <c:title>
          <c:tx>
            <c:rich>
              <a:bodyPr/>
              <a:lstStyle/>
              <a:p>
                <a:pPr>
                  <a:defRPr/>
                </a:pPr>
                <a:r>
                  <a:rPr lang="en-US"/>
                  <a:t>Time (hr)</a:t>
                </a:r>
              </a:p>
            </c:rich>
          </c:tx>
        </c:title>
        <c:numFmt formatCode="General" sourceLinked="1"/>
        <c:tickLblPos val="nextTo"/>
        <c:crossAx val="89649920"/>
        <c:crosses val="autoZero"/>
        <c:crossBetween val="midCat"/>
        <c:majorUnit val="12"/>
      </c:valAx>
      <c:valAx>
        <c:axId val="89649920"/>
        <c:scaling>
          <c:orientation val="minMax"/>
          <c:max val="10"/>
        </c:scaling>
        <c:axPos val="l"/>
        <c:majorGridlines/>
        <c:title>
          <c:tx>
            <c:rich>
              <a:bodyPr rot="-5400000" vert="horz"/>
              <a:lstStyle/>
              <a:p>
                <a:pPr>
                  <a:defRPr/>
                </a:pPr>
                <a:r>
                  <a:rPr lang="en-US"/>
                  <a:t>Log CFU/mL</a:t>
                </a:r>
              </a:p>
            </c:rich>
          </c:tx>
        </c:title>
        <c:numFmt formatCode="General" sourceLinked="1"/>
        <c:tickLblPos val="nextTo"/>
        <c:crossAx val="89630208"/>
        <c:crosses val="autoZero"/>
        <c:crossBetween val="midCat"/>
        <c:majorUnit val="1"/>
      </c:valAx>
    </c:plotArea>
    <c:legend>
      <c:legendPos val="r"/>
    </c:legend>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3"/>
          <c:order val="0"/>
          <c:tx>
            <c:strRef>
              <c:f>'LB-Cin'!$R$5</c:f>
              <c:strCache>
                <c:ptCount val="1"/>
                <c:pt idx="0">
                  <c:v>0.05%</c:v>
                </c:pt>
              </c:strCache>
            </c:strRef>
          </c:tx>
          <c:spPr>
            <a:ln w="22225">
              <a:solidFill>
                <a:prstClr val="black"/>
              </a:solidFill>
              <a:prstDash val="dash"/>
            </a:ln>
          </c:spPr>
          <c:marker>
            <c:symbol val="circle"/>
            <c:size val="6"/>
            <c:spPr>
              <a:solidFill>
                <a:sysClr val="windowText" lastClr="000000"/>
              </a:solidFill>
              <a:ln>
                <a:solidFill>
                  <a:sysClr val="windowText" lastClr="000000"/>
                </a:solidFill>
              </a:ln>
            </c:spPr>
          </c:marker>
          <c:errBars>
            <c:errDir val="x"/>
            <c:errBarType val="both"/>
            <c:errValType val="fixedVal"/>
            <c:val val="1"/>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'LB-Cin'!$S$1:$X$1</c:f>
              <c:numCache>
                <c:formatCode>General</c:formatCode>
                <c:ptCount val="6"/>
                <c:pt idx="0">
                  <c:v>0</c:v>
                </c:pt>
                <c:pt idx="1">
                  <c:v>6</c:v>
                </c:pt>
                <c:pt idx="2">
                  <c:v>12</c:v>
                </c:pt>
                <c:pt idx="3">
                  <c:v>24</c:v>
                </c:pt>
                <c:pt idx="4">
                  <c:v>48</c:v>
                </c:pt>
                <c:pt idx="5">
                  <c:v>72</c:v>
                </c:pt>
              </c:numCache>
            </c:numRef>
          </c:xVal>
          <c:yVal>
            <c:numRef>
              <c:f>'LB-Cin'!$S$5:$X$5</c:f>
              <c:numCache>
                <c:formatCode>General</c:formatCode>
                <c:ptCount val="6"/>
                <c:pt idx="0">
                  <c:v>4.4006043764403273</c:v>
                </c:pt>
                <c:pt idx="1">
                  <c:v>4.459988145439663</c:v>
                </c:pt>
                <c:pt idx="2">
                  <c:v>4.491766568158881</c:v>
                </c:pt>
                <c:pt idx="3">
                  <c:v>4.4453924346743392</c:v>
                </c:pt>
                <c:pt idx="4">
                  <c:v>4.4463954523346905</c:v>
                </c:pt>
                <c:pt idx="5">
                  <c:v>4.3105421462413362</c:v>
                </c:pt>
              </c:numCache>
            </c:numRef>
          </c:yVal>
        </c:ser>
        <c:ser>
          <c:idx val="0"/>
          <c:order val="1"/>
          <c:tx>
            <c:strRef>
              <c:f>'LB-Cin'!$R$6</c:f>
              <c:strCache>
                <c:ptCount val="1"/>
                <c:pt idx="0">
                  <c:v>0.1%</c:v>
                </c:pt>
              </c:strCache>
            </c:strRef>
          </c:tx>
          <c:spPr>
            <a:ln w="22225">
              <a:solidFill>
                <a:prstClr val="black"/>
              </a:solidFill>
              <a:prstDash val="lgDashDotDot"/>
            </a:ln>
          </c:spPr>
          <c:marker>
            <c:symbol val="square"/>
            <c:size val="6"/>
            <c:spPr>
              <a:solidFill>
                <a:sysClr val="windowText" lastClr="000000"/>
              </a:solidFill>
              <a:ln>
                <a:solidFill>
                  <a:schemeClr val="tx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'LB-Cin'!$S$1:$X$1</c:f>
              <c:numCache>
                <c:formatCode>General</c:formatCode>
                <c:ptCount val="6"/>
                <c:pt idx="0">
                  <c:v>0</c:v>
                </c:pt>
                <c:pt idx="1">
                  <c:v>6</c:v>
                </c:pt>
                <c:pt idx="2">
                  <c:v>12</c:v>
                </c:pt>
                <c:pt idx="3">
                  <c:v>24</c:v>
                </c:pt>
                <c:pt idx="4">
                  <c:v>48</c:v>
                </c:pt>
                <c:pt idx="5">
                  <c:v>72</c:v>
                </c:pt>
              </c:numCache>
            </c:numRef>
          </c:xVal>
          <c:yVal>
            <c:numRef>
              <c:f>'LB-Cin'!$S$6:$X$6</c:f>
              <c:numCache>
                <c:formatCode>General</c:formatCode>
                <c:ptCount val="6"/>
                <c:pt idx="0">
                  <c:v>4.2813348150676518</c:v>
                </c:pt>
                <c:pt idx="1">
                  <c:v>4.5556867570791395</c:v>
                </c:pt>
                <c:pt idx="2">
                  <c:v>4.4483967125368062</c:v>
                </c:pt>
                <c:pt idx="3">
                  <c:v>4.3432091410651292</c:v>
                </c:pt>
                <c:pt idx="4">
                  <c:v>4.258741212212513</c:v>
                </c:pt>
                <c:pt idx="5">
                  <c:v>3.7673268516207465</c:v>
                </c:pt>
              </c:numCache>
            </c:numRef>
          </c:yVal>
        </c:ser>
        <c:ser>
          <c:idx val="1"/>
          <c:order val="2"/>
          <c:tx>
            <c:strRef>
              <c:f>'LB-Cin'!$R$7</c:f>
              <c:strCache>
                <c:ptCount val="1"/>
                <c:pt idx="0">
                  <c:v>0.2%</c:v>
                </c:pt>
              </c:strCache>
            </c:strRef>
          </c:tx>
          <c:spPr>
            <a:ln>
              <a:solidFill>
                <a:prstClr val="black"/>
              </a:solidFill>
              <a:prstDash val="sysDot"/>
            </a:ln>
          </c:spPr>
          <c:marker>
            <c:symbol val="star"/>
            <c:size val="6"/>
            <c:spPr>
              <a:solidFill>
                <a:sysClr val="windowText" lastClr="000000"/>
              </a:solidFill>
              <a:ln>
                <a:solidFill>
                  <a:sysClr val="window" lastClr="FFFFFF"/>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'LB-Cin'!$S$1:$X$1</c:f>
              <c:numCache>
                <c:formatCode>General</c:formatCode>
                <c:ptCount val="6"/>
                <c:pt idx="0">
                  <c:v>0</c:v>
                </c:pt>
                <c:pt idx="1">
                  <c:v>6</c:v>
                </c:pt>
                <c:pt idx="2">
                  <c:v>12</c:v>
                </c:pt>
                <c:pt idx="3">
                  <c:v>24</c:v>
                </c:pt>
                <c:pt idx="4">
                  <c:v>48</c:v>
                </c:pt>
                <c:pt idx="5">
                  <c:v>72</c:v>
                </c:pt>
              </c:numCache>
            </c:numRef>
          </c:xVal>
          <c:yVal>
            <c:numRef>
              <c:f>'LB-Cin'!$S$7:$X$7</c:f>
              <c:numCache>
                <c:formatCode>General</c:formatCode>
                <c:ptCount val="6"/>
                <c:pt idx="0">
                  <c:v>4.3228260538515615</c:v>
                </c:pt>
                <c:pt idx="1">
                  <c:v>4.5817310526191886</c:v>
                </c:pt>
                <c:pt idx="2">
                  <c:v>4.0397397680789604</c:v>
                </c:pt>
                <c:pt idx="3">
                  <c:v>3.760736876278028</c:v>
                </c:pt>
                <c:pt idx="4">
                  <c:v>1.5900557468397447</c:v>
                </c:pt>
                <c:pt idx="5">
                  <c:v>0.95424250943932487</c:v>
                </c:pt>
              </c:numCache>
            </c:numRef>
          </c:yVal>
        </c:ser>
        <c:ser>
          <c:idx val="4"/>
          <c:order val="3"/>
          <c:tx>
            <c:strRef>
              <c:f>'LB-Cin'!$R$8</c:f>
              <c:strCache>
                <c:ptCount val="1"/>
                <c:pt idx="0">
                  <c:v>Control</c:v>
                </c:pt>
              </c:strCache>
            </c:strRef>
          </c:tx>
          <c:spPr>
            <a:ln w="22225">
              <a:solidFill>
                <a:prstClr val="black"/>
              </a:solidFill>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0.29470000000000002</c:v>
                </c:pt>
              </c:numLit>
            </c:plus>
            <c:minus>
              <c:numLit>
                <c:formatCode>General</c:formatCode>
                <c:ptCount val="1"/>
                <c:pt idx="0">
                  <c:v>0.29470000000000002</c:v>
                </c:pt>
              </c:numLit>
            </c:minus>
          </c:errBars>
          <c:xVal>
            <c:numRef>
              <c:f>'LB-Cin'!$S$1:$X$1</c:f>
              <c:numCache>
                <c:formatCode>General</c:formatCode>
                <c:ptCount val="6"/>
                <c:pt idx="0">
                  <c:v>0</c:v>
                </c:pt>
                <c:pt idx="1">
                  <c:v>6</c:v>
                </c:pt>
                <c:pt idx="2">
                  <c:v>12</c:v>
                </c:pt>
                <c:pt idx="3">
                  <c:v>24</c:v>
                </c:pt>
                <c:pt idx="4">
                  <c:v>48</c:v>
                </c:pt>
                <c:pt idx="5">
                  <c:v>72</c:v>
                </c:pt>
              </c:numCache>
            </c:numRef>
          </c:xVal>
          <c:yVal>
            <c:numRef>
              <c:f>'LB-Cin'!$S$8:$X$8</c:f>
              <c:numCache>
                <c:formatCode>General</c:formatCode>
                <c:ptCount val="6"/>
                <c:pt idx="0">
                  <c:v>4.293529146551287</c:v>
                </c:pt>
                <c:pt idx="1">
                  <c:v>4.680203315383384</c:v>
                </c:pt>
                <c:pt idx="2">
                  <c:v>5.3196514167195597</c:v>
                </c:pt>
                <c:pt idx="3">
                  <c:v>6.2979914798710688</c:v>
                </c:pt>
                <c:pt idx="4">
                  <c:v>8.5593562411271016</c:v>
                </c:pt>
                <c:pt idx="5">
                  <c:v>8.6538349638091638</c:v>
                </c:pt>
              </c:numCache>
            </c:numRef>
          </c:yVal>
        </c:ser>
        <c:ser>
          <c:idx val="5"/>
          <c:order val="4"/>
          <c:tx>
            <c:strRef>
              <c:f>'LB-Cin'!$R$9</c:f>
              <c:strCache>
                <c:ptCount val="1"/>
                <c:pt idx="0">
                  <c:v>Detection Limit</c:v>
                </c:pt>
              </c:strCache>
            </c:strRef>
          </c:tx>
          <c:spPr>
            <a:ln w="22225">
              <a:solidFill>
                <a:prstClr val="black"/>
              </a:solidFill>
              <a:prstDash val="dash"/>
            </a:ln>
          </c:spPr>
          <c:marker>
            <c:symbol val="none"/>
          </c:marker>
          <c:xVal>
            <c:numRef>
              <c:f>'LB-Cin'!$S$1:$X$1</c:f>
              <c:numCache>
                <c:formatCode>General</c:formatCode>
                <c:ptCount val="6"/>
                <c:pt idx="0">
                  <c:v>0</c:v>
                </c:pt>
                <c:pt idx="1">
                  <c:v>6</c:v>
                </c:pt>
                <c:pt idx="2">
                  <c:v>12</c:v>
                </c:pt>
                <c:pt idx="3">
                  <c:v>24</c:v>
                </c:pt>
                <c:pt idx="4">
                  <c:v>48</c:v>
                </c:pt>
                <c:pt idx="5">
                  <c:v>72</c:v>
                </c:pt>
              </c:numCache>
            </c:numRef>
          </c:xVal>
          <c:yVal>
            <c:numRef>
              <c:f>'LB-Cin'!$S$9:$X$9</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91911296"/>
        <c:axId val="91942912"/>
      </c:scatterChart>
      <c:valAx>
        <c:axId val="91911296"/>
        <c:scaling>
          <c:orientation val="minMax"/>
          <c:max val="72"/>
          <c:min val="0"/>
        </c:scaling>
        <c:axPos val="b"/>
        <c:title>
          <c:tx>
            <c:rich>
              <a:bodyPr/>
              <a:lstStyle/>
              <a:p>
                <a:pPr>
                  <a:defRPr/>
                </a:pPr>
                <a:r>
                  <a:rPr lang="en-US"/>
                  <a:t>Time (hr)</a:t>
                </a:r>
              </a:p>
            </c:rich>
          </c:tx>
        </c:title>
        <c:numFmt formatCode="General" sourceLinked="1"/>
        <c:tickLblPos val="nextTo"/>
        <c:crossAx val="91942912"/>
        <c:crosses val="autoZero"/>
        <c:crossBetween val="midCat"/>
        <c:majorUnit val="12"/>
      </c:valAx>
      <c:valAx>
        <c:axId val="91942912"/>
        <c:scaling>
          <c:orientation val="minMax"/>
        </c:scaling>
        <c:axPos val="l"/>
        <c:majorGridlines/>
        <c:title>
          <c:tx>
            <c:rich>
              <a:bodyPr rot="-5400000" vert="horz"/>
              <a:lstStyle/>
              <a:p>
                <a:pPr>
                  <a:defRPr/>
                </a:pPr>
                <a:r>
                  <a:rPr lang="en-US"/>
                  <a:t>Log CFU/mL</a:t>
                </a:r>
              </a:p>
            </c:rich>
          </c:tx>
        </c:title>
        <c:numFmt formatCode="General" sourceLinked="1"/>
        <c:tickLblPos val="nextTo"/>
        <c:crossAx val="91911296"/>
        <c:crosses val="autoZero"/>
        <c:crossBetween val="midCat"/>
      </c:valAx>
    </c:plotArea>
    <c:legend>
      <c:legendPos val="r"/>
    </c:legend>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strRef>
              <c:f>'LC-Car'!$M$2</c:f>
              <c:strCache>
                <c:ptCount val="1"/>
                <c:pt idx="0">
                  <c:v>0.05%</c:v>
                </c:pt>
              </c:strCache>
            </c:strRef>
          </c:tx>
          <c:spPr>
            <a:ln w="22225">
              <a:solidFill>
                <a:prstClr val="black"/>
              </a:solidFill>
              <a:prstDash val="dash"/>
            </a:ln>
          </c:spPr>
          <c:marker>
            <c:symbol val="circle"/>
            <c:size val="6"/>
            <c:spPr>
              <a:solidFill>
                <a:schemeClr val="tx1"/>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0.26279999999999998</c:v>
                </c:pt>
              </c:numLit>
            </c:plus>
            <c:minus>
              <c:numLit>
                <c:formatCode>General</c:formatCode>
                <c:ptCount val="1"/>
                <c:pt idx="0">
                  <c:v>0.26279999999999998</c:v>
                </c:pt>
              </c:numLit>
            </c:minus>
          </c:errBars>
          <c:xVal>
            <c:numRef>
              <c:f>'LC-Car'!$N$1:$S$1</c:f>
              <c:numCache>
                <c:formatCode>General</c:formatCode>
                <c:ptCount val="6"/>
                <c:pt idx="0">
                  <c:v>0</c:v>
                </c:pt>
                <c:pt idx="1">
                  <c:v>6</c:v>
                </c:pt>
                <c:pt idx="2">
                  <c:v>12</c:v>
                </c:pt>
                <c:pt idx="3">
                  <c:v>24</c:v>
                </c:pt>
                <c:pt idx="4">
                  <c:v>48</c:v>
                </c:pt>
                <c:pt idx="5">
                  <c:v>72</c:v>
                </c:pt>
              </c:numCache>
            </c:numRef>
          </c:xVal>
          <c:yVal>
            <c:numRef>
              <c:f>'LC-Car'!$N$2:$S$2</c:f>
              <c:numCache>
                <c:formatCode>General</c:formatCode>
                <c:ptCount val="6"/>
                <c:pt idx="0">
                  <c:v>4.7050557658268621</c:v>
                </c:pt>
                <c:pt idx="1">
                  <c:v>4.5217759160456348</c:v>
                </c:pt>
                <c:pt idx="2">
                  <c:v>4.2256322243973568</c:v>
                </c:pt>
                <c:pt idx="3">
                  <c:v>3.7956654397226073</c:v>
                </c:pt>
                <c:pt idx="4">
                  <c:v>4.2839325058213538</c:v>
                </c:pt>
                <c:pt idx="5">
                  <c:v>5.1086367032549065</c:v>
                </c:pt>
              </c:numCache>
            </c:numRef>
          </c:yVal>
        </c:ser>
        <c:ser>
          <c:idx val="1"/>
          <c:order val="1"/>
          <c:tx>
            <c:strRef>
              <c:f>'LC-Car'!$M$3</c:f>
              <c:strCache>
                <c:ptCount val="1"/>
                <c:pt idx="0">
                  <c:v>0.1%</c:v>
                </c:pt>
              </c:strCache>
            </c:strRef>
          </c:tx>
          <c:spPr>
            <a:ln w="22225">
              <a:solidFill>
                <a:prstClr val="black"/>
              </a:solidFill>
              <a:prstDash val="lgDashDotDot"/>
            </a:ln>
          </c:spPr>
          <c:marker>
            <c:symbol val="squar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0.26279999999999998</c:v>
                </c:pt>
              </c:numLit>
            </c:plus>
            <c:minus>
              <c:numLit>
                <c:formatCode>General</c:formatCode>
                <c:ptCount val="1"/>
                <c:pt idx="0">
                  <c:v>0.26279999999999998</c:v>
                </c:pt>
              </c:numLit>
            </c:minus>
          </c:errBars>
          <c:xVal>
            <c:numRef>
              <c:f>'LC-Car'!$N$1:$S$1</c:f>
              <c:numCache>
                <c:formatCode>General</c:formatCode>
                <c:ptCount val="6"/>
                <c:pt idx="0">
                  <c:v>0</c:v>
                </c:pt>
                <c:pt idx="1">
                  <c:v>6</c:v>
                </c:pt>
                <c:pt idx="2">
                  <c:v>12</c:v>
                </c:pt>
                <c:pt idx="3">
                  <c:v>24</c:v>
                </c:pt>
                <c:pt idx="4">
                  <c:v>48</c:v>
                </c:pt>
                <c:pt idx="5">
                  <c:v>72</c:v>
                </c:pt>
              </c:numCache>
            </c:numRef>
          </c:xVal>
          <c:yVal>
            <c:numRef>
              <c:f>'LC-Car'!$N$3:$S$3</c:f>
              <c:numCache>
                <c:formatCode>General</c:formatCode>
                <c:ptCount val="6"/>
                <c:pt idx="0">
                  <c:v>3.2593995316941196</c:v>
                </c:pt>
                <c:pt idx="1">
                  <c:v>0.9</c:v>
                </c:pt>
                <c:pt idx="2">
                  <c:v>0.9</c:v>
                </c:pt>
                <c:pt idx="3">
                  <c:v>0.9</c:v>
                </c:pt>
                <c:pt idx="4">
                  <c:v>0.9</c:v>
                </c:pt>
                <c:pt idx="5">
                  <c:v>1.677281234451637</c:v>
                </c:pt>
              </c:numCache>
            </c:numRef>
          </c:yVal>
        </c:ser>
        <c:ser>
          <c:idx val="2"/>
          <c:order val="2"/>
          <c:tx>
            <c:strRef>
              <c:f>'LC-Car'!$M$4</c:f>
              <c:strCache>
                <c:ptCount val="1"/>
                <c:pt idx="0">
                  <c:v>0.2%</c:v>
                </c:pt>
              </c:strCache>
            </c:strRef>
          </c:tx>
          <c:spPr>
            <a:ln w="22225">
              <a:solidFill>
                <a:prstClr val="black"/>
              </a:solidFill>
              <a:prstDash val="sysDot"/>
            </a:ln>
          </c:spPr>
          <c:marker>
            <c:symbol val="x"/>
            <c:size val="6"/>
            <c:spPr>
              <a:solidFill>
                <a:sysClr val="windowText" lastClr="000000"/>
              </a:solidFill>
              <a:ln>
                <a:solidFill>
                  <a:schemeClr val="bg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0.37170000000000031</c:v>
                </c:pt>
              </c:numLit>
            </c:plus>
            <c:minus>
              <c:numLit>
                <c:formatCode>General</c:formatCode>
                <c:ptCount val="1"/>
                <c:pt idx="0">
                  <c:v>0.37170000000000031</c:v>
                </c:pt>
              </c:numLit>
            </c:minus>
          </c:errBars>
          <c:xVal>
            <c:numRef>
              <c:f>'LC-Car'!$N$1:$S$1</c:f>
              <c:numCache>
                <c:formatCode>General</c:formatCode>
                <c:ptCount val="6"/>
                <c:pt idx="0">
                  <c:v>0</c:v>
                </c:pt>
                <c:pt idx="1">
                  <c:v>6</c:v>
                </c:pt>
                <c:pt idx="2">
                  <c:v>12</c:v>
                </c:pt>
                <c:pt idx="3">
                  <c:v>24</c:v>
                </c:pt>
                <c:pt idx="4">
                  <c:v>48</c:v>
                </c:pt>
                <c:pt idx="5">
                  <c:v>72</c:v>
                </c:pt>
              </c:numCache>
            </c:numRef>
          </c:xVal>
          <c:yVal>
            <c:numRef>
              <c:f>'LC-Car'!$N$4:$S$4</c:f>
              <c:numCache>
                <c:formatCode>General</c:formatCode>
                <c:ptCount val="6"/>
                <c:pt idx="0">
                  <c:v>0.9</c:v>
                </c:pt>
                <c:pt idx="1">
                  <c:v>0.9</c:v>
                </c:pt>
                <c:pt idx="2">
                  <c:v>0.9</c:v>
                </c:pt>
                <c:pt idx="3">
                  <c:v>0.9</c:v>
                </c:pt>
                <c:pt idx="4">
                  <c:v>0.9</c:v>
                </c:pt>
                <c:pt idx="5">
                  <c:v>0.9</c:v>
                </c:pt>
              </c:numCache>
            </c:numRef>
          </c:yVal>
        </c:ser>
        <c:ser>
          <c:idx val="3"/>
          <c:order val="3"/>
          <c:tx>
            <c:strRef>
              <c:f>'LC-Car'!$M$5</c:f>
              <c:strCache>
                <c:ptCount val="1"/>
                <c:pt idx="0">
                  <c:v>Control</c:v>
                </c:pt>
              </c:strCache>
            </c:strRef>
          </c:tx>
          <c:spPr>
            <a:ln w="22225">
              <a:solidFill>
                <a:prstClr val="black"/>
              </a:solidFill>
            </a:ln>
          </c:spPr>
          <c:marker>
            <c:symbol val="circle"/>
            <c:size val="6"/>
            <c:spPr>
              <a:solidFill>
                <a:schemeClr val="tx1"/>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0.26279999999999998</c:v>
                </c:pt>
              </c:numLit>
            </c:plus>
            <c:minus>
              <c:numLit>
                <c:formatCode>General</c:formatCode>
                <c:ptCount val="1"/>
                <c:pt idx="0">
                  <c:v>0.26279999999999998</c:v>
                </c:pt>
              </c:numLit>
            </c:minus>
          </c:errBars>
          <c:xVal>
            <c:numRef>
              <c:f>'LC-Car'!$N$1:$S$1</c:f>
              <c:numCache>
                <c:formatCode>General</c:formatCode>
                <c:ptCount val="6"/>
                <c:pt idx="0">
                  <c:v>0</c:v>
                </c:pt>
                <c:pt idx="1">
                  <c:v>6</c:v>
                </c:pt>
                <c:pt idx="2">
                  <c:v>12</c:v>
                </c:pt>
                <c:pt idx="3">
                  <c:v>24</c:v>
                </c:pt>
                <c:pt idx="4">
                  <c:v>48</c:v>
                </c:pt>
                <c:pt idx="5">
                  <c:v>72</c:v>
                </c:pt>
              </c:numCache>
            </c:numRef>
          </c:xVal>
          <c:yVal>
            <c:numRef>
              <c:f>'LC-Car'!$N$5:$S$5</c:f>
              <c:numCache>
                <c:formatCode>General</c:formatCode>
                <c:ptCount val="6"/>
                <c:pt idx="0">
                  <c:v>4.7543237001855321</c:v>
                </c:pt>
                <c:pt idx="1">
                  <c:v>5.8887353403888145</c:v>
                </c:pt>
                <c:pt idx="2">
                  <c:v>7.7917817413663899</c:v>
                </c:pt>
                <c:pt idx="3">
                  <c:v>9.3380193283986301</c:v>
                </c:pt>
                <c:pt idx="4">
                  <c:v>8.9568430096423288</c:v>
                </c:pt>
                <c:pt idx="5">
                  <c:v>8.0278780630213316</c:v>
                </c:pt>
              </c:numCache>
            </c:numRef>
          </c:yVal>
        </c:ser>
        <c:ser>
          <c:idx val="4"/>
          <c:order val="4"/>
          <c:tx>
            <c:strRef>
              <c:f>'LC-Car'!$M$6</c:f>
              <c:strCache>
                <c:ptCount val="1"/>
                <c:pt idx="0">
                  <c:v>Detection limit</c:v>
                </c:pt>
              </c:strCache>
            </c:strRef>
          </c:tx>
          <c:spPr>
            <a:ln w="22225">
              <a:solidFill>
                <a:schemeClr val="tx1"/>
              </a:solidFill>
              <a:prstDash val="dash"/>
            </a:ln>
          </c:spPr>
          <c:marker>
            <c:symbol val="none"/>
          </c:marker>
          <c:xVal>
            <c:numRef>
              <c:f>'LC-Car'!$N$1:$S$1</c:f>
              <c:numCache>
                <c:formatCode>General</c:formatCode>
                <c:ptCount val="6"/>
                <c:pt idx="0">
                  <c:v>0</c:v>
                </c:pt>
                <c:pt idx="1">
                  <c:v>6</c:v>
                </c:pt>
                <c:pt idx="2">
                  <c:v>12</c:v>
                </c:pt>
                <c:pt idx="3">
                  <c:v>24</c:v>
                </c:pt>
                <c:pt idx="4">
                  <c:v>48</c:v>
                </c:pt>
                <c:pt idx="5">
                  <c:v>72</c:v>
                </c:pt>
              </c:numCache>
            </c:numRef>
          </c:xVal>
          <c:yVal>
            <c:numRef>
              <c:f>'LC-Car'!$N$6:$S$6</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92469120"/>
        <c:axId val="92500352"/>
      </c:scatterChart>
      <c:valAx>
        <c:axId val="92469120"/>
        <c:scaling>
          <c:orientation val="minMax"/>
          <c:max val="72"/>
        </c:scaling>
        <c:axPos val="b"/>
        <c:title>
          <c:tx>
            <c:rich>
              <a:bodyPr/>
              <a:lstStyle/>
              <a:p>
                <a:pPr>
                  <a:defRPr/>
                </a:pPr>
                <a:r>
                  <a:rPr lang="en-US"/>
                  <a:t>Time (hr)</a:t>
                </a:r>
              </a:p>
            </c:rich>
          </c:tx>
        </c:title>
        <c:numFmt formatCode="General" sourceLinked="1"/>
        <c:tickLblPos val="nextTo"/>
        <c:crossAx val="92500352"/>
        <c:crosses val="autoZero"/>
        <c:crossBetween val="midCat"/>
        <c:majorUnit val="12"/>
      </c:valAx>
      <c:valAx>
        <c:axId val="92500352"/>
        <c:scaling>
          <c:orientation val="minMax"/>
          <c:max val="10"/>
        </c:scaling>
        <c:axPos val="l"/>
        <c:majorGridlines/>
        <c:title>
          <c:tx>
            <c:rich>
              <a:bodyPr rot="-5400000" vert="horz"/>
              <a:lstStyle/>
              <a:p>
                <a:pPr>
                  <a:defRPr/>
                </a:pPr>
                <a:r>
                  <a:rPr lang="en-US"/>
                  <a:t>Log CFU/mL</a:t>
                </a:r>
              </a:p>
            </c:rich>
          </c:tx>
        </c:title>
        <c:numFmt formatCode="General" sourceLinked="1"/>
        <c:tickLblPos val="nextTo"/>
        <c:crossAx val="92469120"/>
        <c:crosses val="autoZero"/>
        <c:crossBetween val="midCat"/>
        <c:majorUnit val="1"/>
      </c:valAx>
    </c:plotArea>
    <c:legend>
      <c:legendPos val="r"/>
    </c:legend>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strRef>
              <c:f>'PA-Carv'!$M$3</c:f>
              <c:strCache>
                <c:ptCount val="1"/>
                <c:pt idx="0">
                  <c:v>0.05%</c:v>
                </c:pt>
              </c:strCache>
            </c:strRef>
          </c:tx>
          <c:spPr>
            <a:ln w="22225">
              <a:solidFill>
                <a:prstClr val="black"/>
              </a:solidFill>
              <a:prstDash val="dash"/>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0.26279999999999998</c:v>
                </c:pt>
              </c:numLit>
            </c:plus>
            <c:minus>
              <c:numLit>
                <c:formatCode>General</c:formatCode>
                <c:ptCount val="1"/>
                <c:pt idx="0">
                  <c:v>0.26279999999999998</c:v>
                </c:pt>
              </c:numLit>
            </c:minus>
          </c:errBars>
          <c:xVal>
            <c:numRef>
              <c:f>'PA-Carv'!$N$2:$S$2</c:f>
              <c:numCache>
                <c:formatCode>General</c:formatCode>
                <c:ptCount val="6"/>
                <c:pt idx="0">
                  <c:v>0</c:v>
                </c:pt>
                <c:pt idx="1">
                  <c:v>6</c:v>
                </c:pt>
                <c:pt idx="2">
                  <c:v>12</c:v>
                </c:pt>
                <c:pt idx="3">
                  <c:v>24</c:v>
                </c:pt>
                <c:pt idx="4">
                  <c:v>48</c:v>
                </c:pt>
                <c:pt idx="5">
                  <c:v>72</c:v>
                </c:pt>
              </c:numCache>
            </c:numRef>
          </c:xVal>
          <c:yVal>
            <c:numRef>
              <c:f>'PA-Carv'!$N$3:$S$3</c:f>
              <c:numCache>
                <c:formatCode>General</c:formatCode>
                <c:ptCount val="6"/>
                <c:pt idx="0">
                  <c:v>4.7515251133039831</c:v>
                </c:pt>
                <c:pt idx="1">
                  <c:v>4.6191934054379269</c:v>
                </c:pt>
                <c:pt idx="2">
                  <c:v>4.4449919395188555</c:v>
                </c:pt>
                <c:pt idx="3">
                  <c:v>4.6407432944506652</c:v>
                </c:pt>
                <c:pt idx="4">
                  <c:v>6.041738860212547</c:v>
                </c:pt>
                <c:pt idx="5">
                  <c:v>8.957853191541945</c:v>
                </c:pt>
              </c:numCache>
            </c:numRef>
          </c:yVal>
        </c:ser>
        <c:ser>
          <c:idx val="1"/>
          <c:order val="1"/>
          <c:tx>
            <c:strRef>
              <c:f>'PA-Carv'!$M$4</c:f>
              <c:strCache>
                <c:ptCount val="1"/>
                <c:pt idx="0">
                  <c:v>0.1%</c:v>
                </c:pt>
              </c:strCache>
            </c:strRef>
          </c:tx>
          <c:spPr>
            <a:ln w="22225">
              <a:solidFill>
                <a:prstClr val="black"/>
              </a:solidFill>
              <a:prstDash val="lgDashDotDot"/>
            </a:ln>
          </c:spPr>
          <c:marker>
            <c:symbol val="squar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0.26279999999999998</c:v>
                </c:pt>
              </c:numLit>
            </c:plus>
            <c:minus>
              <c:numLit>
                <c:formatCode>General</c:formatCode>
                <c:ptCount val="1"/>
                <c:pt idx="0">
                  <c:v>0.26279999999999998</c:v>
                </c:pt>
              </c:numLit>
            </c:minus>
          </c:errBars>
          <c:xVal>
            <c:numRef>
              <c:f>'PA-Carv'!$N$2:$S$2</c:f>
              <c:numCache>
                <c:formatCode>General</c:formatCode>
                <c:ptCount val="6"/>
                <c:pt idx="0">
                  <c:v>0</c:v>
                </c:pt>
                <c:pt idx="1">
                  <c:v>6</c:v>
                </c:pt>
                <c:pt idx="2">
                  <c:v>12</c:v>
                </c:pt>
                <c:pt idx="3">
                  <c:v>24</c:v>
                </c:pt>
                <c:pt idx="4">
                  <c:v>48</c:v>
                </c:pt>
                <c:pt idx="5">
                  <c:v>72</c:v>
                </c:pt>
              </c:numCache>
            </c:numRef>
          </c:xVal>
          <c:yVal>
            <c:numRef>
              <c:f>'PA-Carv'!$N$4:$S$4</c:f>
              <c:numCache>
                <c:formatCode>General</c:formatCode>
                <c:ptCount val="6"/>
                <c:pt idx="0">
                  <c:v>4.6758151320422581</c:v>
                </c:pt>
                <c:pt idx="1">
                  <c:v>2.7319022996347435</c:v>
                </c:pt>
                <c:pt idx="2">
                  <c:v>2.0503897582230435</c:v>
                </c:pt>
                <c:pt idx="3">
                  <c:v>1.7111004480378955</c:v>
                </c:pt>
                <c:pt idx="4">
                  <c:v>0.95424250943932487</c:v>
                </c:pt>
                <c:pt idx="5">
                  <c:v>1.5111412518289833</c:v>
                </c:pt>
              </c:numCache>
            </c:numRef>
          </c:yVal>
        </c:ser>
        <c:ser>
          <c:idx val="2"/>
          <c:order val="2"/>
          <c:tx>
            <c:strRef>
              <c:f>'PA-Carv'!$M$5</c:f>
              <c:strCache>
                <c:ptCount val="1"/>
                <c:pt idx="0">
                  <c:v>0.2%</c:v>
                </c:pt>
              </c:strCache>
            </c:strRef>
          </c:tx>
          <c:spPr>
            <a:ln w="22225">
              <a:solidFill>
                <a:prstClr val="black"/>
              </a:solidFill>
              <a:prstDash val="sysDot"/>
            </a:ln>
          </c:spPr>
          <c:marker>
            <c:symbol val="star"/>
            <c:size val="6"/>
            <c:spPr>
              <a:solidFill>
                <a:sysClr val="windowText" lastClr="000000"/>
              </a:solidFill>
              <a:ln>
                <a:solidFill>
                  <a:schemeClr val="bg1"/>
                </a:solidFill>
              </a:ln>
            </c:spPr>
          </c:marker>
          <c:errBars>
            <c:errDir val="x"/>
            <c:errBarType val="both"/>
            <c:errValType val="fixedVal"/>
            <c:val val="1"/>
          </c:errBars>
          <c:errBars>
            <c:errDir val="y"/>
            <c:errBarType val="both"/>
            <c:errValType val="cust"/>
            <c:plus>
              <c:numLit>
                <c:formatCode>General</c:formatCode>
                <c:ptCount val="1"/>
                <c:pt idx="0">
                  <c:v>0.26279999999999998</c:v>
                </c:pt>
              </c:numLit>
            </c:plus>
            <c:minus>
              <c:numLit>
                <c:formatCode>General</c:formatCode>
                <c:ptCount val="1"/>
                <c:pt idx="0">
                  <c:v>0.26279999999999998</c:v>
                </c:pt>
              </c:numLit>
            </c:minus>
          </c:errBars>
          <c:xVal>
            <c:numRef>
              <c:f>'PA-Carv'!$N$2:$S$2</c:f>
              <c:numCache>
                <c:formatCode>General</c:formatCode>
                <c:ptCount val="6"/>
                <c:pt idx="0">
                  <c:v>0</c:v>
                </c:pt>
                <c:pt idx="1">
                  <c:v>6</c:v>
                </c:pt>
                <c:pt idx="2">
                  <c:v>12</c:v>
                </c:pt>
                <c:pt idx="3">
                  <c:v>24</c:v>
                </c:pt>
                <c:pt idx="4">
                  <c:v>48</c:v>
                </c:pt>
                <c:pt idx="5">
                  <c:v>72</c:v>
                </c:pt>
              </c:numCache>
            </c:numRef>
          </c:xVal>
          <c:yVal>
            <c:numRef>
              <c:f>'PA-Carv'!$N$5:$S$5</c:f>
              <c:numCache>
                <c:formatCode>General</c:formatCode>
                <c:ptCount val="6"/>
                <c:pt idx="0">
                  <c:v>1.9083000000000001</c:v>
                </c:pt>
                <c:pt idx="1">
                  <c:v>0.9</c:v>
                </c:pt>
                <c:pt idx="2">
                  <c:v>0.9</c:v>
                </c:pt>
                <c:pt idx="3">
                  <c:v>0.9</c:v>
                </c:pt>
                <c:pt idx="4">
                  <c:v>0.9</c:v>
                </c:pt>
                <c:pt idx="5">
                  <c:v>0.9</c:v>
                </c:pt>
              </c:numCache>
            </c:numRef>
          </c:yVal>
        </c:ser>
        <c:ser>
          <c:idx val="3"/>
          <c:order val="3"/>
          <c:tx>
            <c:strRef>
              <c:f>'PA-Carv'!$M$6</c:f>
              <c:strCache>
                <c:ptCount val="1"/>
                <c:pt idx="0">
                  <c:v>Control</c:v>
                </c:pt>
              </c:strCache>
            </c:strRef>
          </c:tx>
          <c:spPr>
            <a:ln w="22225">
              <a:solidFill>
                <a:prstClr val="black"/>
              </a:solidFill>
            </a:ln>
          </c:spPr>
          <c:marker>
            <c:symbol val="circle"/>
            <c:size val="6"/>
            <c:spPr>
              <a:solidFill>
                <a:sysClr val="windowText" lastClr="000000"/>
              </a:solidFill>
              <a:ln>
                <a:solidFill>
                  <a:sysClr val="windowText" lastClr="000000"/>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0.26279999999999998</c:v>
                </c:pt>
              </c:numLit>
            </c:plus>
            <c:minus>
              <c:numLit>
                <c:formatCode>General</c:formatCode>
                <c:ptCount val="1"/>
                <c:pt idx="0">
                  <c:v>0.26279999999999998</c:v>
                </c:pt>
              </c:numLit>
            </c:minus>
          </c:errBars>
          <c:xVal>
            <c:numRef>
              <c:f>'PA-Carv'!$N$2:$S$2</c:f>
              <c:numCache>
                <c:formatCode>General</c:formatCode>
                <c:ptCount val="6"/>
                <c:pt idx="0">
                  <c:v>0</c:v>
                </c:pt>
                <c:pt idx="1">
                  <c:v>6</c:v>
                </c:pt>
                <c:pt idx="2">
                  <c:v>12</c:v>
                </c:pt>
                <c:pt idx="3">
                  <c:v>24</c:v>
                </c:pt>
                <c:pt idx="4">
                  <c:v>48</c:v>
                </c:pt>
                <c:pt idx="5">
                  <c:v>72</c:v>
                </c:pt>
              </c:numCache>
            </c:numRef>
          </c:xVal>
          <c:yVal>
            <c:numRef>
              <c:f>'PA-Carv'!$N$6:$S$6</c:f>
              <c:numCache>
                <c:formatCode>General</c:formatCode>
                <c:ptCount val="6"/>
                <c:pt idx="0">
                  <c:v>4.7113779037055235</c:v>
                </c:pt>
                <c:pt idx="1">
                  <c:v>6.2547772314317545</c:v>
                </c:pt>
                <c:pt idx="2">
                  <c:v>9.1819256444704838</c:v>
                </c:pt>
                <c:pt idx="3">
                  <c:v>9.3065503471036362</c:v>
                </c:pt>
                <c:pt idx="4">
                  <c:v>9.664985039912537</c:v>
                </c:pt>
                <c:pt idx="5">
                  <c:v>9.4391025845949077</c:v>
                </c:pt>
              </c:numCache>
            </c:numRef>
          </c:yVal>
        </c:ser>
        <c:ser>
          <c:idx val="4"/>
          <c:order val="4"/>
          <c:tx>
            <c:strRef>
              <c:f>'PA-Carv'!$M$7</c:f>
              <c:strCache>
                <c:ptCount val="1"/>
                <c:pt idx="0">
                  <c:v>Detection Limit</c:v>
                </c:pt>
              </c:strCache>
            </c:strRef>
          </c:tx>
          <c:spPr>
            <a:ln w="22225">
              <a:solidFill>
                <a:prstClr val="black"/>
              </a:solidFill>
              <a:prstDash val="dash"/>
            </a:ln>
          </c:spPr>
          <c:marker>
            <c:symbol val="none"/>
          </c:marker>
          <c:xVal>
            <c:numRef>
              <c:f>'PA-Carv'!$N$2:$S$2</c:f>
              <c:numCache>
                <c:formatCode>General</c:formatCode>
                <c:ptCount val="6"/>
                <c:pt idx="0">
                  <c:v>0</c:v>
                </c:pt>
                <c:pt idx="1">
                  <c:v>6</c:v>
                </c:pt>
                <c:pt idx="2">
                  <c:v>12</c:v>
                </c:pt>
                <c:pt idx="3">
                  <c:v>24</c:v>
                </c:pt>
                <c:pt idx="4">
                  <c:v>48</c:v>
                </c:pt>
                <c:pt idx="5">
                  <c:v>72</c:v>
                </c:pt>
              </c:numCache>
            </c:numRef>
          </c:xVal>
          <c:yVal>
            <c:numRef>
              <c:f>'PA-Carv'!$N$7:$S$7</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92645248"/>
        <c:axId val="92906240"/>
      </c:scatterChart>
      <c:valAx>
        <c:axId val="92645248"/>
        <c:scaling>
          <c:orientation val="minMax"/>
          <c:max val="72"/>
          <c:min val="0"/>
        </c:scaling>
        <c:axPos val="b"/>
        <c:title>
          <c:tx>
            <c:rich>
              <a:bodyPr/>
              <a:lstStyle/>
              <a:p>
                <a:pPr>
                  <a:defRPr/>
                </a:pPr>
                <a:r>
                  <a:rPr lang="en-US"/>
                  <a:t>Time (hr)</a:t>
                </a:r>
              </a:p>
            </c:rich>
          </c:tx>
        </c:title>
        <c:numFmt formatCode="General" sourceLinked="1"/>
        <c:tickLblPos val="nextTo"/>
        <c:crossAx val="92906240"/>
        <c:crosses val="autoZero"/>
        <c:crossBetween val="midCat"/>
        <c:majorUnit val="12"/>
      </c:valAx>
      <c:valAx>
        <c:axId val="92906240"/>
        <c:scaling>
          <c:orientation val="minMax"/>
          <c:max val="10"/>
        </c:scaling>
        <c:axPos val="l"/>
        <c:majorGridlines/>
        <c:title>
          <c:tx>
            <c:rich>
              <a:bodyPr rot="-5400000" vert="horz"/>
              <a:lstStyle/>
              <a:p>
                <a:pPr>
                  <a:defRPr/>
                </a:pPr>
                <a:r>
                  <a:rPr lang="en-US"/>
                  <a:t>Log CFU/mL</a:t>
                </a:r>
              </a:p>
            </c:rich>
          </c:tx>
        </c:title>
        <c:numFmt formatCode="General" sourceLinked="1"/>
        <c:tickLblPos val="nextTo"/>
        <c:crossAx val="92645248"/>
        <c:crosses val="autoZero"/>
        <c:crossBetween val="midCat"/>
        <c:majorUnit val="1"/>
      </c:valAx>
    </c:plotArea>
    <c:legend>
      <c:legendPos val="r"/>
    </c:legend>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strRef>
              <c:f>'LB-Car'!$L$2</c:f>
              <c:strCache>
                <c:ptCount val="1"/>
                <c:pt idx="0">
                  <c:v>0.075%</c:v>
                </c:pt>
              </c:strCache>
            </c:strRef>
          </c:tx>
          <c:spPr>
            <a:ln w="22225">
              <a:solidFill>
                <a:prstClr val="black"/>
              </a:solidFill>
              <a:prstDash val="lgDash"/>
            </a:ln>
          </c:spPr>
          <c:marker>
            <c:symbol val="diamond"/>
            <c:size val="6"/>
            <c:spPr>
              <a:solidFill>
                <a:sysClr val="windowText" lastClr="000000"/>
              </a:solidFill>
              <a:ln>
                <a:solidFill>
                  <a:prstClr val="black"/>
                </a:solidFill>
              </a:ln>
            </c:spPr>
          </c:marker>
          <c:errBars>
            <c:errDir val="x"/>
            <c:errBarType val="both"/>
            <c:errValType val="fixedVal"/>
            <c:val val="1"/>
          </c:errBars>
          <c:errBars>
            <c:errDir val="y"/>
            <c:errBarType val="both"/>
            <c:errValType val="cust"/>
            <c:plus>
              <c:numLit>
                <c:formatCode>General</c:formatCode>
                <c:ptCount val="1"/>
                <c:pt idx="0">
                  <c:v>0.26279999999999998</c:v>
                </c:pt>
              </c:numLit>
            </c:plus>
            <c:minus>
              <c:numLit>
                <c:formatCode>General</c:formatCode>
                <c:ptCount val="1"/>
                <c:pt idx="0">
                  <c:v>0.26279999999999998</c:v>
                </c:pt>
              </c:numLit>
            </c:minus>
          </c:errBars>
          <c:xVal>
            <c:numRef>
              <c:f>'LB-Car'!$M$1:$R$1</c:f>
              <c:numCache>
                <c:formatCode>General</c:formatCode>
                <c:ptCount val="6"/>
                <c:pt idx="0">
                  <c:v>0</c:v>
                </c:pt>
                <c:pt idx="1">
                  <c:v>6</c:v>
                </c:pt>
                <c:pt idx="2">
                  <c:v>12</c:v>
                </c:pt>
                <c:pt idx="3">
                  <c:v>24</c:v>
                </c:pt>
                <c:pt idx="4">
                  <c:v>48</c:v>
                </c:pt>
                <c:pt idx="5">
                  <c:v>72</c:v>
                </c:pt>
              </c:numCache>
            </c:numRef>
          </c:xVal>
          <c:yVal>
            <c:numRef>
              <c:f>'LB-Car'!$M$2:$R$2</c:f>
              <c:numCache>
                <c:formatCode>General</c:formatCode>
                <c:ptCount val="6"/>
                <c:pt idx="0">
                  <c:v>4.3564468558355811</c:v>
                </c:pt>
                <c:pt idx="1">
                  <c:v>4.2827900810595798</c:v>
                </c:pt>
                <c:pt idx="2">
                  <c:v>4.289740034400392</c:v>
                </c:pt>
                <c:pt idx="3">
                  <c:v>4.0432185230004336</c:v>
                </c:pt>
                <c:pt idx="4">
                  <c:v>3.6648803813592941</c:v>
                </c:pt>
                <c:pt idx="5">
                  <c:v>3.3277751880762119</c:v>
                </c:pt>
              </c:numCache>
            </c:numRef>
          </c:yVal>
        </c:ser>
        <c:ser>
          <c:idx val="1"/>
          <c:order val="1"/>
          <c:tx>
            <c:strRef>
              <c:f>'LB-Car'!$L$3</c:f>
              <c:strCache>
                <c:ptCount val="1"/>
                <c:pt idx="0">
                  <c:v>0.1%</c:v>
                </c:pt>
              </c:strCache>
            </c:strRef>
          </c:tx>
          <c:spPr>
            <a:ln w="22225">
              <a:solidFill>
                <a:prstClr val="black"/>
              </a:solidFill>
              <a:prstDash val="lgDashDotDot"/>
            </a:ln>
          </c:spPr>
          <c:marker>
            <c:symbol val="square"/>
            <c:size val="6"/>
            <c:spPr>
              <a:solidFill>
                <a:sysClr val="windowText" lastClr="000000"/>
              </a:solidFill>
              <a:ln>
                <a:solidFill>
                  <a:prstClr val="black"/>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stdErr"/>
          </c:errBars>
          <c:xVal>
            <c:numRef>
              <c:f>'LB-Car'!$M$1:$R$1</c:f>
              <c:numCache>
                <c:formatCode>General</c:formatCode>
                <c:ptCount val="6"/>
                <c:pt idx="0">
                  <c:v>0</c:v>
                </c:pt>
                <c:pt idx="1">
                  <c:v>6</c:v>
                </c:pt>
                <c:pt idx="2">
                  <c:v>12</c:v>
                </c:pt>
                <c:pt idx="3">
                  <c:v>24</c:v>
                </c:pt>
                <c:pt idx="4">
                  <c:v>48</c:v>
                </c:pt>
                <c:pt idx="5">
                  <c:v>72</c:v>
                </c:pt>
              </c:numCache>
            </c:numRef>
          </c:xVal>
          <c:yVal>
            <c:numRef>
              <c:f>'LB-Car'!$M$3:$R$3</c:f>
              <c:numCache>
                <c:formatCode>General</c:formatCode>
                <c:ptCount val="6"/>
                <c:pt idx="0">
                  <c:v>4.3619143099515538</c:v>
                </c:pt>
                <c:pt idx="1">
                  <c:v>3.9114291744002103</c:v>
                </c:pt>
                <c:pt idx="2">
                  <c:v>3.6122656886068731</c:v>
                </c:pt>
                <c:pt idx="3">
                  <c:v>3.2953430703867341</c:v>
                </c:pt>
                <c:pt idx="4">
                  <c:v>2.8612280737489213</c:v>
                </c:pt>
                <c:pt idx="5">
                  <c:v>2.3060962124734417</c:v>
                </c:pt>
              </c:numCache>
            </c:numRef>
          </c:yVal>
        </c:ser>
        <c:ser>
          <c:idx val="2"/>
          <c:order val="2"/>
          <c:tx>
            <c:strRef>
              <c:f>'LB-Car'!$L$4</c:f>
              <c:strCache>
                <c:ptCount val="1"/>
                <c:pt idx="0">
                  <c:v>0.2%</c:v>
                </c:pt>
              </c:strCache>
            </c:strRef>
          </c:tx>
          <c:spPr>
            <a:ln w="22225">
              <a:solidFill>
                <a:prstClr val="black"/>
              </a:solidFill>
              <a:prstDash val="sysDot"/>
            </a:ln>
          </c:spPr>
          <c:marker>
            <c:symbol val="star"/>
            <c:size val="6"/>
            <c:spPr>
              <a:solidFill>
                <a:sysClr val="windowText" lastClr="000000"/>
              </a:solidFill>
              <a:ln>
                <a:solidFill>
                  <a:schemeClr val="bg1"/>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0.26279999999999998</c:v>
                </c:pt>
              </c:numLit>
            </c:plus>
            <c:minus>
              <c:numLit>
                <c:formatCode>General</c:formatCode>
                <c:ptCount val="1"/>
                <c:pt idx="0">
                  <c:v>0.26279999999999998</c:v>
                </c:pt>
              </c:numLit>
            </c:minus>
          </c:errBars>
          <c:xVal>
            <c:numRef>
              <c:f>'LB-Car'!$M$1:$R$1</c:f>
              <c:numCache>
                <c:formatCode>General</c:formatCode>
                <c:ptCount val="6"/>
                <c:pt idx="0">
                  <c:v>0</c:v>
                </c:pt>
                <c:pt idx="1">
                  <c:v>6</c:v>
                </c:pt>
                <c:pt idx="2">
                  <c:v>12</c:v>
                </c:pt>
                <c:pt idx="3">
                  <c:v>24</c:v>
                </c:pt>
                <c:pt idx="4">
                  <c:v>48</c:v>
                </c:pt>
                <c:pt idx="5">
                  <c:v>72</c:v>
                </c:pt>
              </c:numCache>
            </c:numRef>
          </c:xVal>
          <c:yVal>
            <c:numRef>
              <c:f>'LB-Car'!$M$4:$R$4</c:f>
              <c:numCache>
                <c:formatCode>General</c:formatCode>
                <c:ptCount val="6"/>
                <c:pt idx="0">
                  <c:v>2.7525188111940726</c:v>
                </c:pt>
                <c:pt idx="1">
                  <c:v>0.9</c:v>
                </c:pt>
                <c:pt idx="2">
                  <c:v>0.9</c:v>
                </c:pt>
                <c:pt idx="3">
                  <c:v>0.9</c:v>
                </c:pt>
                <c:pt idx="4">
                  <c:v>0.9</c:v>
                </c:pt>
                <c:pt idx="5">
                  <c:v>0.9</c:v>
                </c:pt>
              </c:numCache>
            </c:numRef>
          </c:yVal>
        </c:ser>
        <c:ser>
          <c:idx val="3"/>
          <c:order val="3"/>
          <c:tx>
            <c:strRef>
              <c:f>'LB-Car'!$L$5</c:f>
              <c:strCache>
                <c:ptCount val="1"/>
                <c:pt idx="0">
                  <c:v>Control</c:v>
                </c:pt>
              </c:strCache>
            </c:strRef>
          </c:tx>
          <c:spPr>
            <a:ln w="22225">
              <a:solidFill>
                <a:prstClr val="black"/>
              </a:solidFill>
            </a:ln>
          </c:spPr>
          <c:marker>
            <c:symbol val="circle"/>
            <c:size val="6"/>
            <c:spPr>
              <a:solidFill>
                <a:sysClr val="windowText" lastClr="000000"/>
              </a:solidFill>
              <a:ln>
                <a:solidFill>
                  <a:prstClr val="black"/>
                </a:solidFill>
              </a:ln>
            </c:spPr>
          </c:marker>
          <c:errBars>
            <c:errDir val="x"/>
            <c:errBarType val="both"/>
            <c:errValType val="cust"/>
            <c:plus>
              <c:numLit>
                <c:formatCode>General</c:formatCode>
                <c:ptCount val="1"/>
                <c:pt idx="0">
                  <c:v>0</c:v>
                </c:pt>
              </c:numLit>
            </c:plus>
            <c:minus>
              <c:numLit>
                <c:formatCode>General</c:formatCode>
                <c:ptCount val="1"/>
                <c:pt idx="0">
                  <c:v>0</c:v>
                </c:pt>
              </c:numLit>
            </c:minus>
          </c:errBars>
          <c:errBars>
            <c:errDir val="y"/>
            <c:errBarType val="both"/>
            <c:errValType val="cust"/>
            <c:plus>
              <c:numLit>
                <c:formatCode>General</c:formatCode>
                <c:ptCount val="1"/>
                <c:pt idx="0">
                  <c:v>0.26279999999999998</c:v>
                </c:pt>
              </c:numLit>
            </c:plus>
            <c:minus>
              <c:numLit>
                <c:formatCode>General</c:formatCode>
                <c:ptCount val="1"/>
                <c:pt idx="0">
                  <c:v>0.26279999999999998</c:v>
                </c:pt>
              </c:numLit>
            </c:minus>
          </c:errBars>
          <c:xVal>
            <c:numRef>
              <c:f>'LB-Car'!$M$1:$R$1</c:f>
              <c:numCache>
                <c:formatCode>General</c:formatCode>
                <c:ptCount val="6"/>
                <c:pt idx="0">
                  <c:v>0</c:v>
                </c:pt>
                <c:pt idx="1">
                  <c:v>6</c:v>
                </c:pt>
                <c:pt idx="2">
                  <c:v>12</c:v>
                </c:pt>
                <c:pt idx="3">
                  <c:v>24</c:v>
                </c:pt>
                <c:pt idx="4">
                  <c:v>48</c:v>
                </c:pt>
                <c:pt idx="5">
                  <c:v>72</c:v>
                </c:pt>
              </c:numCache>
            </c:numRef>
          </c:xVal>
          <c:yVal>
            <c:numRef>
              <c:f>'LB-Car'!$M$5:$R$5</c:f>
              <c:numCache>
                <c:formatCode>General</c:formatCode>
                <c:ptCount val="6"/>
                <c:pt idx="0">
                  <c:v>4.3233872836895664</c:v>
                </c:pt>
                <c:pt idx="1">
                  <c:v>5.0740497060379983</c:v>
                </c:pt>
                <c:pt idx="2">
                  <c:v>6.1080205801011944</c:v>
                </c:pt>
                <c:pt idx="3">
                  <c:v>7.8414101774204097</c:v>
                </c:pt>
                <c:pt idx="4">
                  <c:v>8.4517784994842646</c:v>
                </c:pt>
                <c:pt idx="5">
                  <c:v>8.5902641994183444</c:v>
                </c:pt>
              </c:numCache>
            </c:numRef>
          </c:yVal>
        </c:ser>
        <c:ser>
          <c:idx val="4"/>
          <c:order val="4"/>
          <c:tx>
            <c:strRef>
              <c:f>'LB-Car'!$L$6</c:f>
              <c:strCache>
                <c:ptCount val="1"/>
                <c:pt idx="0">
                  <c:v>Detection Limit</c:v>
                </c:pt>
              </c:strCache>
            </c:strRef>
          </c:tx>
          <c:spPr>
            <a:ln w="22225">
              <a:solidFill>
                <a:prstClr val="black"/>
              </a:solidFill>
              <a:prstDash val="dash"/>
            </a:ln>
          </c:spPr>
          <c:marker>
            <c:symbol val="none"/>
          </c:marker>
          <c:xVal>
            <c:numRef>
              <c:f>'LB-Car'!$M$1:$R$1</c:f>
              <c:numCache>
                <c:formatCode>General</c:formatCode>
                <c:ptCount val="6"/>
                <c:pt idx="0">
                  <c:v>0</c:v>
                </c:pt>
                <c:pt idx="1">
                  <c:v>6</c:v>
                </c:pt>
                <c:pt idx="2">
                  <c:v>12</c:v>
                </c:pt>
                <c:pt idx="3">
                  <c:v>24</c:v>
                </c:pt>
                <c:pt idx="4">
                  <c:v>48</c:v>
                </c:pt>
                <c:pt idx="5">
                  <c:v>72</c:v>
                </c:pt>
              </c:numCache>
            </c:numRef>
          </c:xVal>
          <c:yVal>
            <c:numRef>
              <c:f>'LB-Car'!$M$6:$R$6</c:f>
              <c:numCache>
                <c:formatCode>General</c:formatCode>
                <c:ptCount val="6"/>
                <c:pt idx="0">
                  <c:v>0.95424250943932487</c:v>
                </c:pt>
                <c:pt idx="1">
                  <c:v>0.95424250943932487</c:v>
                </c:pt>
                <c:pt idx="2">
                  <c:v>0.95424250943932487</c:v>
                </c:pt>
                <c:pt idx="3">
                  <c:v>0.95424250943932487</c:v>
                </c:pt>
                <c:pt idx="4">
                  <c:v>0.95424250943932487</c:v>
                </c:pt>
                <c:pt idx="5">
                  <c:v>0.95424250943932487</c:v>
                </c:pt>
              </c:numCache>
            </c:numRef>
          </c:yVal>
        </c:ser>
        <c:axId val="93016448"/>
        <c:axId val="93032448"/>
      </c:scatterChart>
      <c:valAx>
        <c:axId val="93016448"/>
        <c:scaling>
          <c:orientation val="minMax"/>
          <c:max val="72"/>
          <c:min val="0"/>
        </c:scaling>
        <c:axPos val="b"/>
        <c:title>
          <c:tx>
            <c:rich>
              <a:bodyPr/>
              <a:lstStyle/>
              <a:p>
                <a:pPr>
                  <a:defRPr/>
                </a:pPr>
                <a:r>
                  <a:rPr lang="en-US"/>
                  <a:t>Time (hr)</a:t>
                </a:r>
              </a:p>
            </c:rich>
          </c:tx>
        </c:title>
        <c:numFmt formatCode="General" sourceLinked="1"/>
        <c:tickLblPos val="nextTo"/>
        <c:crossAx val="93032448"/>
        <c:crosses val="autoZero"/>
        <c:crossBetween val="midCat"/>
        <c:majorUnit val="12"/>
      </c:valAx>
      <c:valAx>
        <c:axId val="93032448"/>
        <c:scaling>
          <c:orientation val="minMax"/>
        </c:scaling>
        <c:axPos val="l"/>
        <c:majorGridlines/>
        <c:title>
          <c:tx>
            <c:rich>
              <a:bodyPr rot="-5400000" vert="horz"/>
              <a:lstStyle/>
              <a:p>
                <a:pPr>
                  <a:defRPr/>
                </a:pPr>
                <a:r>
                  <a:rPr lang="en-US"/>
                  <a:t>Log CFU/mL</a:t>
                </a:r>
              </a:p>
            </c:rich>
          </c:tx>
        </c:title>
        <c:numFmt formatCode="General" sourceLinked="1"/>
        <c:tickLblPos val="nextTo"/>
        <c:crossAx val="93016448"/>
        <c:crosses val="autoZero"/>
        <c:crossBetween val="midCat"/>
      </c:valAx>
    </c:plotArea>
    <c:legend>
      <c:legendPos val="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79</Pages>
  <Words>15317</Words>
  <Characters>87309</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102422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dc:creator>
  <cp:lastModifiedBy>Lou</cp:lastModifiedBy>
  <cp:revision>2</cp:revision>
  <cp:lastPrinted>2013-08-13T16:41:00Z</cp:lastPrinted>
  <dcterms:created xsi:type="dcterms:W3CDTF">2013-08-16T01:58:00Z</dcterms:created>
  <dcterms:modified xsi:type="dcterms:W3CDTF">2013-08-16T01:58:00Z</dcterms:modified>
</cp:coreProperties>
</file>