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00A051" w14:textId="15A6E352" w:rsidR="00825EBC" w:rsidRPr="00C51113" w:rsidRDefault="00825EBC" w:rsidP="00677C01">
      <w:pPr>
        <w:spacing w:before="240"/>
        <w:jc w:val="center"/>
        <w:rPr>
          <w:rFonts w:ascii="Verdana" w:hAnsi="Verdana" w:cs="Times New Roman"/>
          <w:b/>
          <w:sz w:val="18"/>
          <w:szCs w:val="18"/>
          <w:lang w:val="en-CA"/>
        </w:rPr>
      </w:pPr>
      <w:r w:rsidRPr="00C51113">
        <w:rPr>
          <w:rFonts w:ascii="Verdana" w:hAnsi="Verdana" w:cs="Times New Roman"/>
          <w:b/>
          <w:sz w:val="18"/>
          <w:szCs w:val="18"/>
          <w:lang w:val="en-CA"/>
        </w:rPr>
        <w:t>Exploring the Genetic Mechanisms</w:t>
      </w:r>
      <w:r w:rsidR="005C268C">
        <w:rPr>
          <w:rFonts w:ascii="Verdana" w:hAnsi="Verdana" w:cs="Times New Roman"/>
          <w:b/>
          <w:sz w:val="18"/>
          <w:szCs w:val="18"/>
          <w:lang w:val="en-CA"/>
        </w:rPr>
        <w:t xml:space="preserve"> </w:t>
      </w:r>
      <w:r w:rsidR="00BC1774">
        <w:rPr>
          <w:rFonts w:ascii="Verdana" w:hAnsi="Verdana" w:cs="Times New Roman"/>
          <w:b/>
          <w:sz w:val="18"/>
          <w:szCs w:val="18"/>
          <w:lang w:val="en-CA"/>
        </w:rPr>
        <w:t xml:space="preserve">and Community Dynamics of Bacterial Social </w:t>
      </w:r>
      <w:r w:rsidR="00F2758E">
        <w:rPr>
          <w:rFonts w:ascii="Verdana" w:hAnsi="Verdana" w:cs="Times New Roman"/>
          <w:b/>
          <w:sz w:val="18"/>
          <w:szCs w:val="18"/>
          <w:lang w:val="en-CA"/>
        </w:rPr>
        <w:t xml:space="preserve">Behaviors </w:t>
      </w:r>
      <w:r w:rsidR="00676DD0" w:rsidRPr="00676DD0">
        <w:rPr>
          <w:rFonts w:ascii="Verdana" w:hAnsi="Verdana" w:cs="Times New Roman"/>
          <w:b/>
          <w:sz w:val="18"/>
          <w:szCs w:val="18"/>
          <w:lang w:val="en-CA"/>
        </w:rPr>
        <w:t>Making Rhodobacterales Sp. Y4I a Competitive, Dominant Member of Marine Microbial Synthetic Communities.</w:t>
      </w:r>
    </w:p>
    <w:p w14:paraId="48F0F7EF" w14:textId="1861474D" w:rsidR="003D07F7" w:rsidRPr="00C51113" w:rsidRDefault="003D07F7" w:rsidP="00677C01">
      <w:pPr>
        <w:pStyle w:val="Title"/>
        <w:spacing w:before="240"/>
        <w:rPr>
          <w:rFonts w:ascii="Verdana" w:hAnsi="Verdana" w:cs="Times New Roman"/>
          <w:sz w:val="18"/>
          <w:szCs w:val="18"/>
        </w:rPr>
      </w:pPr>
    </w:p>
    <w:p w14:paraId="5F646583" w14:textId="77777777" w:rsidR="00236E6D" w:rsidRPr="00C51113" w:rsidRDefault="00236E6D" w:rsidP="00677C01">
      <w:pPr>
        <w:pStyle w:val="Title"/>
        <w:spacing w:before="240"/>
        <w:rPr>
          <w:rFonts w:ascii="Verdana" w:hAnsi="Verdana" w:cs="Times New Roman"/>
          <w:sz w:val="18"/>
          <w:szCs w:val="18"/>
        </w:rPr>
      </w:pPr>
    </w:p>
    <w:p w14:paraId="29973CB1" w14:textId="77777777" w:rsidR="00236E6D" w:rsidRPr="00C51113" w:rsidRDefault="00236E6D" w:rsidP="00677C01">
      <w:pPr>
        <w:pStyle w:val="Title"/>
        <w:spacing w:before="240"/>
        <w:rPr>
          <w:rFonts w:ascii="Verdana" w:hAnsi="Verdana" w:cs="Times New Roman"/>
          <w:sz w:val="18"/>
          <w:szCs w:val="18"/>
        </w:rPr>
      </w:pPr>
    </w:p>
    <w:p w14:paraId="2A000D92" w14:textId="77777777" w:rsidR="00236E6D" w:rsidRPr="00C51113" w:rsidRDefault="00236E6D" w:rsidP="00677C01">
      <w:pPr>
        <w:pStyle w:val="Title"/>
        <w:spacing w:before="240"/>
        <w:rPr>
          <w:rFonts w:ascii="Verdana" w:hAnsi="Verdana" w:cs="Times New Roman"/>
          <w:sz w:val="18"/>
          <w:szCs w:val="18"/>
        </w:rPr>
      </w:pPr>
    </w:p>
    <w:p w14:paraId="5F156783" w14:textId="77777777" w:rsidR="00236E6D" w:rsidRPr="00C51113" w:rsidRDefault="00236E6D" w:rsidP="00677C01">
      <w:pPr>
        <w:pStyle w:val="Title"/>
        <w:spacing w:before="240"/>
        <w:rPr>
          <w:rFonts w:ascii="Verdana" w:hAnsi="Verdana" w:cs="Times New Roman"/>
          <w:sz w:val="18"/>
          <w:szCs w:val="18"/>
        </w:rPr>
      </w:pPr>
    </w:p>
    <w:p w14:paraId="533105BF" w14:textId="77777777" w:rsidR="00387656" w:rsidRPr="00C51113" w:rsidRDefault="00387656" w:rsidP="00677C01">
      <w:pPr>
        <w:pStyle w:val="Title"/>
        <w:spacing w:before="240"/>
        <w:rPr>
          <w:rFonts w:ascii="Verdana" w:hAnsi="Verdana" w:cs="Times New Roman"/>
          <w:sz w:val="18"/>
          <w:szCs w:val="18"/>
        </w:rPr>
      </w:pPr>
    </w:p>
    <w:p w14:paraId="1AB66594" w14:textId="77777777" w:rsidR="00387656" w:rsidRPr="00C51113" w:rsidRDefault="00387656" w:rsidP="00677C01">
      <w:pPr>
        <w:pStyle w:val="Title"/>
        <w:spacing w:before="240"/>
        <w:rPr>
          <w:rFonts w:ascii="Verdana" w:hAnsi="Verdana" w:cs="Times New Roman"/>
          <w:sz w:val="18"/>
          <w:szCs w:val="18"/>
        </w:rPr>
      </w:pPr>
    </w:p>
    <w:p w14:paraId="62639589" w14:textId="77777777" w:rsidR="00387656" w:rsidRPr="00C51113" w:rsidRDefault="00387656" w:rsidP="00677C01">
      <w:pPr>
        <w:pStyle w:val="Title"/>
        <w:spacing w:before="240"/>
        <w:rPr>
          <w:rFonts w:ascii="Verdana" w:hAnsi="Verdana" w:cs="Times New Roman"/>
          <w:sz w:val="18"/>
          <w:szCs w:val="18"/>
        </w:rPr>
      </w:pPr>
    </w:p>
    <w:p w14:paraId="216CA082" w14:textId="77777777" w:rsidR="00387656" w:rsidRPr="00C51113" w:rsidRDefault="00387656" w:rsidP="00677C01">
      <w:pPr>
        <w:pStyle w:val="Title"/>
        <w:spacing w:before="240"/>
        <w:rPr>
          <w:rFonts w:ascii="Verdana" w:hAnsi="Verdana" w:cs="Times New Roman"/>
          <w:sz w:val="18"/>
          <w:szCs w:val="18"/>
        </w:rPr>
      </w:pPr>
    </w:p>
    <w:p w14:paraId="5F5658BE" w14:textId="77777777" w:rsidR="00387656" w:rsidRPr="00C51113" w:rsidRDefault="00387656" w:rsidP="00677C01">
      <w:pPr>
        <w:pStyle w:val="Title"/>
        <w:spacing w:before="240"/>
        <w:rPr>
          <w:rFonts w:ascii="Verdana" w:hAnsi="Verdana" w:cs="Times New Roman"/>
          <w:sz w:val="18"/>
          <w:szCs w:val="18"/>
        </w:rPr>
      </w:pPr>
    </w:p>
    <w:p w14:paraId="0E974FBC" w14:textId="77777777" w:rsidR="00387656" w:rsidRPr="00C51113" w:rsidRDefault="00387656" w:rsidP="00677C01">
      <w:pPr>
        <w:pStyle w:val="Title"/>
        <w:spacing w:before="240"/>
        <w:rPr>
          <w:rFonts w:ascii="Verdana" w:hAnsi="Verdana" w:cs="Times New Roman"/>
          <w:sz w:val="18"/>
          <w:szCs w:val="18"/>
        </w:rPr>
      </w:pPr>
    </w:p>
    <w:p w14:paraId="5DDAA98D" w14:textId="77777777" w:rsidR="00236E6D" w:rsidRPr="00C51113" w:rsidRDefault="00236E6D" w:rsidP="00677C01">
      <w:pPr>
        <w:pStyle w:val="Title"/>
        <w:spacing w:before="240"/>
        <w:rPr>
          <w:rFonts w:ascii="Verdana" w:hAnsi="Verdana" w:cs="Times New Roman"/>
          <w:sz w:val="18"/>
          <w:szCs w:val="18"/>
        </w:rPr>
      </w:pPr>
    </w:p>
    <w:p w14:paraId="28A7604A" w14:textId="77777777" w:rsidR="00236E6D" w:rsidRPr="00C51113" w:rsidRDefault="00236E6D" w:rsidP="00677C01">
      <w:pPr>
        <w:pStyle w:val="Title"/>
        <w:spacing w:before="240"/>
        <w:rPr>
          <w:rFonts w:ascii="Verdana" w:hAnsi="Verdana" w:cs="Times New Roman"/>
          <w:sz w:val="18"/>
          <w:szCs w:val="18"/>
        </w:rPr>
      </w:pPr>
    </w:p>
    <w:p w14:paraId="3825B719" w14:textId="77777777" w:rsidR="00236E6D" w:rsidRPr="00C51113" w:rsidRDefault="00236E6D" w:rsidP="00677C01">
      <w:pPr>
        <w:pStyle w:val="Title"/>
        <w:spacing w:before="240"/>
        <w:rPr>
          <w:rFonts w:ascii="Verdana" w:hAnsi="Verdana" w:cs="Times New Roman"/>
          <w:sz w:val="18"/>
          <w:szCs w:val="18"/>
        </w:rPr>
      </w:pPr>
    </w:p>
    <w:p w14:paraId="19EE071C" w14:textId="77777777" w:rsidR="00236E6D" w:rsidRPr="00C51113" w:rsidRDefault="009C755C" w:rsidP="00677C01">
      <w:pPr>
        <w:pStyle w:val="Title"/>
        <w:spacing w:before="240"/>
        <w:rPr>
          <w:rFonts w:ascii="Verdana" w:hAnsi="Verdana" w:cs="Times New Roman"/>
          <w:sz w:val="18"/>
          <w:szCs w:val="18"/>
        </w:rPr>
      </w:pPr>
      <w:r w:rsidRPr="00C51113">
        <w:rPr>
          <w:rFonts w:ascii="Verdana" w:hAnsi="Verdana" w:cs="Times New Roman"/>
          <w:sz w:val="18"/>
          <w:szCs w:val="18"/>
        </w:rPr>
        <w:t>A Thesis Presented for</w:t>
      </w:r>
      <w:r w:rsidR="008865B6" w:rsidRPr="00C51113">
        <w:rPr>
          <w:rFonts w:ascii="Verdana" w:hAnsi="Verdana" w:cs="Times New Roman"/>
          <w:sz w:val="18"/>
          <w:szCs w:val="18"/>
        </w:rPr>
        <w:t xml:space="preserve"> the</w:t>
      </w:r>
    </w:p>
    <w:p w14:paraId="5B938C85" w14:textId="1FF8C1A5" w:rsidR="009C755C" w:rsidRPr="00C51113" w:rsidRDefault="00825EBC" w:rsidP="00677C01">
      <w:pPr>
        <w:pStyle w:val="Title"/>
        <w:spacing w:before="240"/>
        <w:rPr>
          <w:rFonts w:ascii="Verdana" w:hAnsi="Verdana" w:cs="Times New Roman"/>
          <w:sz w:val="18"/>
          <w:szCs w:val="18"/>
        </w:rPr>
      </w:pPr>
      <w:r w:rsidRPr="00C51113">
        <w:rPr>
          <w:rFonts w:ascii="Verdana" w:hAnsi="Verdana" w:cs="Times New Roman"/>
          <w:sz w:val="18"/>
          <w:szCs w:val="18"/>
        </w:rPr>
        <w:t>Doctor of Philosophy</w:t>
      </w:r>
    </w:p>
    <w:p w14:paraId="4682B1DE" w14:textId="77777777" w:rsidR="009C755C" w:rsidRPr="00C51113" w:rsidRDefault="009C755C" w:rsidP="00677C01">
      <w:pPr>
        <w:pStyle w:val="Title"/>
        <w:spacing w:before="240"/>
        <w:rPr>
          <w:rFonts w:ascii="Verdana" w:hAnsi="Verdana" w:cs="Times New Roman"/>
          <w:sz w:val="18"/>
          <w:szCs w:val="18"/>
        </w:rPr>
      </w:pPr>
      <w:r w:rsidRPr="00C51113">
        <w:rPr>
          <w:rFonts w:ascii="Verdana" w:hAnsi="Verdana" w:cs="Times New Roman"/>
          <w:sz w:val="18"/>
          <w:szCs w:val="18"/>
        </w:rPr>
        <w:t>Degree</w:t>
      </w:r>
    </w:p>
    <w:p w14:paraId="1EEE6C8A" w14:textId="77777777" w:rsidR="009C755C" w:rsidRPr="00C51113" w:rsidRDefault="009C755C" w:rsidP="00677C01">
      <w:pPr>
        <w:pStyle w:val="Title"/>
        <w:spacing w:before="240"/>
        <w:rPr>
          <w:rFonts w:ascii="Verdana" w:hAnsi="Verdana" w:cs="Times New Roman"/>
          <w:sz w:val="18"/>
          <w:szCs w:val="18"/>
        </w:rPr>
      </w:pPr>
      <w:r w:rsidRPr="00C51113">
        <w:rPr>
          <w:rFonts w:ascii="Verdana" w:hAnsi="Verdana" w:cs="Times New Roman"/>
          <w:sz w:val="18"/>
          <w:szCs w:val="18"/>
        </w:rPr>
        <w:t>The University of Tennessee, Knoxville</w:t>
      </w:r>
    </w:p>
    <w:p w14:paraId="3BC6AA46" w14:textId="77777777" w:rsidR="00387656" w:rsidRPr="00C51113" w:rsidRDefault="00387656" w:rsidP="00677C01">
      <w:pPr>
        <w:pStyle w:val="Title"/>
        <w:spacing w:before="240"/>
        <w:rPr>
          <w:rFonts w:ascii="Verdana" w:hAnsi="Verdana" w:cs="Times New Roman"/>
          <w:sz w:val="18"/>
          <w:szCs w:val="18"/>
        </w:rPr>
      </w:pPr>
    </w:p>
    <w:p w14:paraId="4F7F057D" w14:textId="77777777" w:rsidR="00387656" w:rsidRPr="00C51113" w:rsidRDefault="00387656" w:rsidP="00677C01">
      <w:pPr>
        <w:pStyle w:val="Title"/>
        <w:spacing w:before="240"/>
        <w:rPr>
          <w:rFonts w:ascii="Verdana" w:hAnsi="Verdana" w:cs="Times New Roman"/>
          <w:sz w:val="18"/>
          <w:szCs w:val="18"/>
        </w:rPr>
      </w:pPr>
    </w:p>
    <w:p w14:paraId="57025FE1" w14:textId="77777777" w:rsidR="00387656" w:rsidRPr="00C51113" w:rsidRDefault="00387656" w:rsidP="00677C01">
      <w:pPr>
        <w:pStyle w:val="Title"/>
        <w:spacing w:before="240"/>
        <w:rPr>
          <w:rFonts w:ascii="Verdana" w:hAnsi="Verdana" w:cs="Times New Roman"/>
          <w:sz w:val="18"/>
          <w:szCs w:val="18"/>
        </w:rPr>
      </w:pPr>
    </w:p>
    <w:p w14:paraId="112521EB" w14:textId="77777777" w:rsidR="00236E6D" w:rsidRPr="00C51113" w:rsidRDefault="00236E6D" w:rsidP="00677C01">
      <w:pPr>
        <w:pStyle w:val="Title"/>
        <w:spacing w:before="240"/>
        <w:rPr>
          <w:rFonts w:ascii="Verdana" w:hAnsi="Verdana" w:cs="Times New Roman"/>
          <w:sz w:val="18"/>
          <w:szCs w:val="18"/>
        </w:rPr>
      </w:pPr>
    </w:p>
    <w:p w14:paraId="5892EC6B" w14:textId="77777777" w:rsidR="00236E6D" w:rsidRPr="00C51113" w:rsidRDefault="00236E6D" w:rsidP="00677C01">
      <w:pPr>
        <w:pStyle w:val="Title"/>
        <w:spacing w:before="240"/>
        <w:rPr>
          <w:rFonts w:ascii="Verdana" w:hAnsi="Verdana" w:cs="Times New Roman"/>
          <w:sz w:val="18"/>
          <w:szCs w:val="18"/>
        </w:rPr>
      </w:pPr>
    </w:p>
    <w:p w14:paraId="1784999E" w14:textId="77777777" w:rsidR="00236E6D" w:rsidRPr="00C51113" w:rsidRDefault="00236E6D" w:rsidP="00677C01">
      <w:pPr>
        <w:pStyle w:val="Title"/>
        <w:spacing w:before="240"/>
        <w:rPr>
          <w:rFonts w:ascii="Verdana" w:hAnsi="Verdana" w:cs="Times New Roman"/>
          <w:sz w:val="18"/>
          <w:szCs w:val="18"/>
        </w:rPr>
      </w:pPr>
    </w:p>
    <w:p w14:paraId="55060695" w14:textId="77777777" w:rsidR="00236E6D" w:rsidRPr="00C51113" w:rsidRDefault="00236E6D" w:rsidP="00677C01">
      <w:pPr>
        <w:pStyle w:val="Title"/>
        <w:spacing w:before="240"/>
        <w:rPr>
          <w:rFonts w:ascii="Verdana" w:hAnsi="Verdana" w:cs="Times New Roman"/>
          <w:sz w:val="18"/>
          <w:szCs w:val="18"/>
        </w:rPr>
      </w:pPr>
    </w:p>
    <w:p w14:paraId="63376735" w14:textId="77777777" w:rsidR="00236E6D" w:rsidRPr="00C51113" w:rsidRDefault="00236E6D" w:rsidP="00677C01">
      <w:pPr>
        <w:pStyle w:val="Title"/>
        <w:spacing w:before="240"/>
        <w:rPr>
          <w:rFonts w:ascii="Verdana" w:hAnsi="Verdana" w:cs="Times New Roman"/>
          <w:sz w:val="18"/>
          <w:szCs w:val="18"/>
        </w:rPr>
      </w:pPr>
    </w:p>
    <w:p w14:paraId="5F7F375D" w14:textId="77777777" w:rsidR="00236E6D" w:rsidRPr="00C51113" w:rsidRDefault="00236E6D" w:rsidP="00677C01">
      <w:pPr>
        <w:pStyle w:val="Title"/>
        <w:spacing w:before="240"/>
        <w:rPr>
          <w:rFonts w:ascii="Verdana" w:hAnsi="Verdana" w:cs="Times New Roman"/>
          <w:sz w:val="18"/>
          <w:szCs w:val="18"/>
        </w:rPr>
      </w:pPr>
    </w:p>
    <w:p w14:paraId="2E7BE632" w14:textId="77777777" w:rsidR="00236E6D" w:rsidRPr="00C51113" w:rsidRDefault="00236E6D" w:rsidP="00677C01">
      <w:pPr>
        <w:pStyle w:val="Title"/>
        <w:spacing w:before="240"/>
        <w:rPr>
          <w:rFonts w:ascii="Verdana" w:hAnsi="Verdana" w:cs="Times New Roman"/>
          <w:sz w:val="18"/>
          <w:szCs w:val="18"/>
        </w:rPr>
      </w:pPr>
    </w:p>
    <w:p w14:paraId="623AC5DB" w14:textId="77777777" w:rsidR="00236E6D" w:rsidRPr="00C51113" w:rsidRDefault="00236E6D" w:rsidP="00677C01">
      <w:pPr>
        <w:pStyle w:val="Title"/>
        <w:spacing w:before="240"/>
        <w:rPr>
          <w:rFonts w:ascii="Verdana" w:hAnsi="Verdana" w:cs="Times New Roman"/>
          <w:sz w:val="18"/>
          <w:szCs w:val="18"/>
        </w:rPr>
      </w:pPr>
    </w:p>
    <w:p w14:paraId="03C55D85" w14:textId="77777777" w:rsidR="00236E6D" w:rsidRPr="00C51113" w:rsidRDefault="00236E6D" w:rsidP="00677C01">
      <w:pPr>
        <w:pStyle w:val="Title"/>
        <w:spacing w:before="240"/>
        <w:rPr>
          <w:rFonts w:ascii="Verdana" w:hAnsi="Verdana" w:cs="Times New Roman"/>
          <w:sz w:val="18"/>
          <w:szCs w:val="18"/>
        </w:rPr>
      </w:pPr>
    </w:p>
    <w:p w14:paraId="45A16D91" w14:textId="77777777" w:rsidR="00236E6D" w:rsidRPr="00C51113" w:rsidRDefault="00236E6D" w:rsidP="00677C01">
      <w:pPr>
        <w:pStyle w:val="Title"/>
        <w:spacing w:before="240"/>
        <w:rPr>
          <w:rFonts w:ascii="Verdana" w:hAnsi="Verdana" w:cs="Times New Roman"/>
          <w:sz w:val="18"/>
          <w:szCs w:val="18"/>
        </w:rPr>
      </w:pPr>
    </w:p>
    <w:p w14:paraId="3F50792C" w14:textId="77777777" w:rsidR="00825EBC" w:rsidRPr="00C51113" w:rsidRDefault="00825EBC" w:rsidP="00677C01">
      <w:pPr>
        <w:pStyle w:val="Title"/>
        <w:spacing w:before="240"/>
        <w:rPr>
          <w:rFonts w:ascii="Verdana" w:hAnsi="Verdana" w:cs="Times New Roman"/>
          <w:sz w:val="18"/>
          <w:szCs w:val="18"/>
        </w:rPr>
      </w:pPr>
      <w:r w:rsidRPr="00C51113">
        <w:rPr>
          <w:rFonts w:ascii="Verdana" w:hAnsi="Verdana" w:cs="Times New Roman"/>
          <w:sz w:val="18"/>
          <w:szCs w:val="18"/>
        </w:rPr>
        <w:t>April C. Armes</w:t>
      </w:r>
    </w:p>
    <w:p w14:paraId="28D22BC9" w14:textId="2B159827" w:rsidR="00526151" w:rsidRPr="00C51113" w:rsidRDefault="00672DDD" w:rsidP="00677C01">
      <w:pPr>
        <w:pStyle w:val="Title"/>
        <w:spacing w:before="240"/>
        <w:rPr>
          <w:rFonts w:ascii="Verdana" w:hAnsi="Verdana" w:cs="Times New Roman"/>
          <w:sz w:val="18"/>
          <w:szCs w:val="18"/>
        </w:rPr>
      </w:pPr>
      <w:r w:rsidRPr="00C51113">
        <w:rPr>
          <w:rFonts w:ascii="Verdana" w:hAnsi="Verdana" w:cs="Times New Roman"/>
          <w:sz w:val="18"/>
          <w:szCs w:val="18"/>
        </w:rPr>
        <w:t>December</w:t>
      </w:r>
      <w:r w:rsidR="009C755C" w:rsidRPr="00C51113">
        <w:rPr>
          <w:rFonts w:ascii="Verdana" w:hAnsi="Verdana" w:cs="Times New Roman"/>
          <w:sz w:val="18"/>
          <w:szCs w:val="18"/>
        </w:rPr>
        <w:t xml:space="preserve"> </w:t>
      </w:r>
      <w:r w:rsidR="003D07F7" w:rsidRPr="00C51113">
        <w:rPr>
          <w:rFonts w:ascii="Verdana" w:hAnsi="Verdana" w:cs="Times New Roman"/>
          <w:sz w:val="18"/>
          <w:szCs w:val="18"/>
        </w:rPr>
        <w:t>2</w:t>
      </w:r>
      <w:r w:rsidR="00D73F4D" w:rsidRPr="00C51113">
        <w:rPr>
          <w:rFonts w:ascii="Verdana" w:hAnsi="Verdana" w:cs="Times New Roman"/>
          <w:sz w:val="18"/>
          <w:szCs w:val="18"/>
        </w:rPr>
        <w:t>0</w:t>
      </w:r>
      <w:r w:rsidR="00825EBC" w:rsidRPr="00C51113">
        <w:rPr>
          <w:rFonts w:ascii="Verdana" w:hAnsi="Verdana" w:cs="Times New Roman"/>
          <w:sz w:val="18"/>
          <w:szCs w:val="18"/>
        </w:rPr>
        <w:t>21</w:t>
      </w:r>
    </w:p>
    <w:p w14:paraId="21E6935D" w14:textId="34887F99" w:rsidR="00236E6D" w:rsidRPr="00C51113" w:rsidRDefault="00DD00DE" w:rsidP="00677C01">
      <w:pPr>
        <w:spacing w:before="240"/>
        <w:jc w:val="center"/>
        <w:rPr>
          <w:rFonts w:ascii="Verdana" w:hAnsi="Verdana" w:cs="Times New Roman"/>
          <w:sz w:val="18"/>
          <w:szCs w:val="18"/>
        </w:rPr>
      </w:pPr>
      <w:r w:rsidRPr="00C51113">
        <w:rPr>
          <w:rFonts w:ascii="Verdana" w:hAnsi="Verdana" w:cs="Times New Roman"/>
          <w:sz w:val="18"/>
          <w:szCs w:val="18"/>
        </w:rPr>
        <w:t>Copyright © 20</w:t>
      </w:r>
      <w:r w:rsidR="00B77EC7" w:rsidRPr="00C51113">
        <w:rPr>
          <w:rFonts w:ascii="Verdana" w:hAnsi="Verdana" w:cs="Times New Roman"/>
          <w:sz w:val="18"/>
          <w:szCs w:val="18"/>
        </w:rPr>
        <w:t>21</w:t>
      </w:r>
      <w:r w:rsidR="00236E6D" w:rsidRPr="00C51113">
        <w:rPr>
          <w:rFonts w:ascii="Verdana" w:hAnsi="Verdana" w:cs="Times New Roman"/>
          <w:sz w:val="18"/>
          <w:szCs w:val="18"/>
        </w:rPr>
        <w:t xml:space="preserve"> by </w:t>
      </w:r>
      <w:r w:rsidR="00B77EC7" w:rsidRPr="00C51113">
        <w:rPr>
          <w:rFonts w:ascii="Verdana" w:hAnsi="Verdana" w:cs="Times New Roman"/>
          <w:sz w:val="18"/>
          <w:szCs w:val="18"/>
        </w:rPr>
        <w:t>April Armes</w:t>
      </w:r>
      <w:r w:rsidR="008865B6" w:rsidRPr="00C51113">
        <w:rPr>
          <w:rFonts w:ascii="Verdana" w:hAnsi="Verdana" w:cs="Times New Roman"/>
          <w:sz w:val="18"/>
          <w:szCs w:val="18"/>
        </w:rPr>
        <w:t>.</w:t>
      </w:r>
    </w:p>
    <w:p w14:paraId="25B02C5B" w14:textId="77777777" w:rsidR="00236E6D" w:rsidRPr="00C51113" w:rsidRDefault="00236E6D" w:rsidP="00677C01">
      <w:pPr>
        <w:spacing w:before="240"/>
        <w:jc w:val="center"/>
        <w:rPr>
          <w:rFonts w:ascii="Verdana" w:hAnsi="Verdana" w:cs="Times New Roman"/>
          <w:sz w:val="18"/>
          <w:szCs w:val="18"/>
        </w:rPr>
      </w:pPr>
      <w:r w:rsidRPr="00C51113">
        <w:rPr>
          <w:rFonts w:ascii="Verdana" w:hAnsi="Verdana" w:cs="Times New Roman"/>
          <w:sz w:val="18"/>
          <w:szCs w:val="18"/>
        </w:rPr>
        <w:t>All rights reserved.</w:t>
      </w:r>
    </w:p>
    <w:p w14:paraId="72A2632A" w14:textId="77777777" w:rsidR="00236E6D" w:rsidRPr="00C51113" w:rsidRDefault="00236E6D" w:rsidP="00677C01">
      <w:pPr>
        <w:spacing w:before="240"/>
        <w:jc w:val="center"/>
        <w:rPr>
          <w:rFonts w:ascii="Verdana" w:hAnsi="Verdana" w:cs="Times New Roman"/>
          <w:sz w:val="18"/>
          <w:szCs w:val="18"/>
        </w:rPr>
      </w:pPr>
    </w:p>
    <w:p w14:paraId="5AC346BB" w14:textId="77777777" w:rsidR="00236E6D" w:rsidRPr="00C51113" w:rsidRDefault="00236E6D" w:rsidP="00677C01">
      <w:pPr>
        <w:spacing w:before="240"/>
        <w:jc w:val="center"/>
        <w:rPr>
          <w:rFonts w:ascii="Verdana" w:hAnsi="Verdana" w:cs="Times New Roman"/>
          <w:sz w:val="18"/>
          <w:szCs w:val="18"/>
        </w:rPr>
      </w:pPr>
    </w:p>
    <w:p w14:paraId="107D532C" w14:textId="77777777" w:rsidR="00236E6D" w:rsidRPr="00C51113" w:rsidRDefault="00236E6D" w:rsidP="00677C01">
      <w:pPr>
        <w:spacing w:before="240"/>
        <w:jc w:val="center"/>
        <w:rPr>
          <w:rFonts w:ascii="Verdana" w:hAnsi="Verdana" w:cs="Times New Roman"/>
          <w:sz w:val="18"/>
          <w:szCs w:val="18"/>
        </w:rPr>
      </w:pPr>
    </w:p>
    <w:p w14:paraId="32EC6D4B" w14:textId="77777777" w:rsidR="00236E6D" w:rsidRPr="00C51113" w:rsidRDefault="00236E6D" w:rsidP="00677C01">
      <w:pPr>
        <w:spacing w:before="240"/>
        <w:jc w:val="center"/>
        <w:rPr>
          <w:rFonts w:ascii="Verdana" w:hAnsi="Verdana" w:cs="Times New Roman"/>
          <w:sz w:val="18"/>
          <w:szCs w:val="18"/>
        </w:rPr>
      </w:pPr>
    </w:p>
    <w:p w14:paraId="33299377" w14:textId="77777777" w:rsidR="00236E6D" w:rsidRPr="00C51113" w:rsidRDefault="00236E6D" w:rsidP="00677C01">
      <w:pPr>
        <w:spacing w:before="240"/>
        <w:jc w:val="center"/>
        <w:rPr>
          <w:rFonts w:ascii="Verdana" w:hAnsi="Verdana" w:cs="Times New Roman"/>
          <w:sz w:val="18"/>
          <w:szCs w:val="18"/>
        </w:rPr>
      </w:pPr>
    </w:p>
    <w:p w14:paraId="5D0AFF11" w14:textId="77777777" w:rsidR="00236E6D" w:rsidRPr="00C51113" w:rsidRDefault="00236E6D" w:rsidP="00677C01">
      <w:pPr>
        <w:spacing w:before="240"/>
        <w:jc w:val="center"/>
        <w:rPr>
          <w:rFonts w:ascii="Verdana" w:hAnsi="Verdana" w:cs="Times New Roman"/>
          <w:sz w:val="18"/>
          <w:szCs w:val="18"/>
        </w:rPr>
      </w:pPr>
    </w:p>
    <w:p w14:paraId="09E809EB" w14:textId="77777777" w:rsidR="00236E6D" w:rsidRPr="00C51113" w:rsidRDefault="00236E6D" w:rsidP="00677C01">
      <w:pPr>
        <w:spacing w:before="240"/>
        <w:jc w:val="center"/>
        <w:rPr>
          <w:rFonts w:ascii="Verdana" w:hAnsi="Verdana" w:cs="Times New Roman"/>
          <w:sz w:val="18"/>
          <w:szCs w:val="18"/>
        </w:rPr>
      </w:pPr>
    </w:p>
    <w:p w14:paraId="25D12E93" w14:textId="77777777" w:rsidR="00236E6D" w:rsidRPr="00C51113" w:rsidRDefault="00236E6D" w:rsidP="00677C01">
      <w:pPr>
        <w:spacing w:before="240"/>
        <w:jc w:val="center"/>
        <w:rPr>
          <w:rFonts w:ascii="Verdana" w:hAnsi="Verdana" w:cs="Times New Roman"/>
          <w:sz w:val="18"/>
          <w:szCs w:val="18"/>
        </w:rPr>
      </w:pPr>
    </w:p>
    <w:p w14:paraId="64F48BB3" w14:textId="77777777" w:rsidR="00236E6D" w:rsidRPr="00C51113" w:rsidRDefault="00236E6D" w:rsidP="00677C01">
      <w:pPr>
        <w:spacing w:before="240"/>
        <w:jc w:val="center"/>
        <w:rPr>
          <w:rFonts w:ascii="Verdana" w:hAnsi="Verdana" w:cs="Times New Roman"/>
          <w:sz w:val="18"/>
          <w:szCs w:val="18"/>
        </w:rPr>
      </w:pPr>
    </w:p>
    <w:p w14:paraId="14A04B1D" w14:textId="77777777" w:rsidR="00236E6D" w:rsidRPr="00C51113" w:rsidRDefault="00236E6D" w:rsidP="00677C01">
      <w:pPr>
        <w:spacing w:before="240"/>
        <w:jc w:val="center"/>
        <w:rPr>
          <w:rFonts w:ascii="Verdana" w:hAnsi="Verdana" w:cs="Times New Roman"/>
          <w:sz w:val="18"/>
          <w:szCs w:val="18"/>
        </w:rPr>
      </w:pPr>
    </w:p>
    <w:p w14:paraId="646E5F64" w14:textId="77777777" w:rsidR="00236E6D" w:rsidRPr="00C51113" w:rsidRDefault="00236E6D" w:rsidP="00677C01">
      <w:pPr>
        <w:spacing w:before="240"/>
        <w:jc w:val="center"/>
        <w:rPr>
          <w:rFonts w:ascii="Verdana" w:hAnsi="Verdana" w:cs="Times New Roman"/>
          <w:sz w:val="18"/>
          <w:szCs w:val="18"/>
        </w:rPr>
      </w:pPr>
    </w:p>
    <w:p w14:paraId="794E6095" w14:textId="77777777" w:rsidR="00236E6D" w:rsidRPr="00C51113" w:rsidRDefault="00236E6D" w:rsidP="00677C01">
      <w:pPr>
        <w:spacing w:before="240"/>
        <w:jc w:val="center"/>
        <w:rPr>
          <w:rFonts w:ascii="Verdana" w:hAnsi="Verdana" w:cs="Times New Roman"/>
          <w:sz w:val="18"/>
          <w:szCs w:val="18"/>
        </w:rPr>
      </w:pPr>
    </w:p>
    <w:p w14:paraId="4EDC2B7D" w14:textId="77777777" w:rsidR="00236E6D" w:rsidRPr="00C51113" w:rsidRDefault="00236E6D" w:rsidP="00677C01">
      <w:pPr>
        <w:spacing w:before="240"/>
        <w:jc w:val="center"/>
        <w:rPr>
          <w:rFonts w:ascii="Verdana" w:hAnsi="Verdana" w:cs="Times New Roman"/>
          <w:sz w:val="18"/>
          <w:szCs w:val="18"/>
        </w:rPr>
      </w:pPr>
    </w:p>
    <w:p w14:paraId="6F7D41E2" w14:textId="77777777" w:rsidR="00236E6D" w:rsidRPr="00C51113" w:rsidRDefault="00236E6D" w:rsidP="00677C01">
      <w:pPr>
        <w:spacing w:before="240"/>
        <w:jc w:val="center"/>
        <w:rPr>
          <w:rFonts w:ascii="Verdana" w:hAnsi="Verdana" w:cs="Times New Roman"/>
          <w:sz w:val="18"/>
          <w:szCs w:val="18"/>
        </w:rPr>
      </w:pPr>
    </w:p>
    <w:p w14:paraId="33557563" w14:textId="77777777" w:rsidR="006F5AA4" w:rsidRPr="00C51113" w:rsidRDefault="00236E6D" w:rsidP="00677C01">
      <w:pPr>
        <w:pStyle w:val="Title"/>
        <w:spacing w:before="240"/>
        <w:rPr>
          <w:rFonts w:ascii="Verdana" w:hAnsi="Verdana" w:cs="Times New Roman"/>
          <w:sz w:val="18"/>
          <w:szCs w:val="18"/>
        </w:rPr>
      </w:pPr>
      <w:r w:rsidRPr="00C51113">
        <w:rPr>
          <w:rFonts w:ascii="Verdana" w:hAnsi="Verdana" w:cs="Times New Roman"/>
          <w:sz w:val="18"/>
          <w:szCs w:val="18"/>
        </w:rPr>
        <w:br w:type="page"/>
      </w:r>
      <w:r w:rsidR="006F5AA4" w:rsidRPr="00C51113">
        <w:rPr>
          <w:rFonts w:ascii="Verdana" w:hAnsi="Verdana" w:cs="Times New Roman"/>
          <w:sz w:val="18"/>
          <w:szCs w:val="18"/>
        </w:rPr>
        <w:lastRenderedPageBreak/>
        <w:t>DEDICATION</w:t>
      </w:r>
    </w:p>
    <w:p w14:paraId="70851B39" w14:textId="77777777" w:rsidR="006F5AA4" w:rsidRPr="00C51113" w:rsidRDefault="006F5AA4" w:rsidP="00677C01">
      <w:pPr>
        <w:spacing w:before="240"/>
        <w:jc w:val="both"/>
        <w:rPr>
          <w:rFonts w:ascii="Verdana" w:hAnsi="Verdana" w:cs="Times New Roman"/>
          <w:sz w:val="18"/>
          <w:szCs w:val="18"/>
        </w:rPr>
      </w:pPr>
    </w:p>
    <w:p w14:paraId="63EAD441" w14:textId="4DA09E73" w:rsidR="006F5AA4" w:rsidRPr="00C51113" w:rsidRDefault="00B77EC7" w:rsidP="00677C01">
      <w:pPr>
        <w:spacing w:before="240"/>
        <w:jc w:val="both"/>
        <w:rPr>
          <w:rFonts w:ascii="Verdana" w:hAnsi="Verdana" w:cs="Times New Roman"/>
          <w:sz w:val="18"/>
          <w:szCs w:val="18"/>
        </w:rPr>
      </w:pPr>
      <w:r w:rsidRPr="00C51113">
        <w:rPr>
          <w:rFonts w:ascii="Verdana" w:hAnsi="Verdana" w:cs="Times New Roman"/>
          <w:sz w:val="18"/>
          <w:szCs w:val="18"/>
        </w:rPr>
        <w:t xml:space="preserve">To my parents, </w:t>
      </w:r>
      <w:proofErr w:type="gramStart"/>
      <w:r w:rsidRPr="00C51113">
        <w:rPr>
          <w:rFonts w:ascii="Verdana" w:hAnsi="Verdana" w:cs="Times New Roman"/>
          <w:sz w:val="18"/>
          <w:szCs w:val="18"/>
        </w:rPr>
        <w:t>Ron</w:t>
      </w:r>
      <w:proofErr w:type="gramEnd"/>
      <w:r w:rsidRPr="00C51113">
        <w:rPr>
          <w:rFonts w:ascii="Verdana" w:hAnsi="Verdana" w:cs="Times New Roman"/>
          <w:sz w:val="18"/>
          <w:szCs w:val="18"/>
        </w:rPr>
        <w:t xml:space="preserve"> and Tina Mitchell. They would have been so proud. </w:t>
      </w:r>
    </w:p>
    <w:p w14:paraId="42DDA4F8" w14:textId="77777777" w:rsidR="006F5AA4" w:rsidRPr="00C51113" w:rsidRDefault="006F5AA4" w:rsidP="00677C01">
      <w:pPr>
        <w:spacing w:before="240"/>
        <w:jc w:val="both"/>
        <w:rPr>
          <w:rFonts w:ascii="Verdana" w:hAnsi="Verdana" w:cs="Times New Roman"/>
          <w:sz w:val="18"/>
          <w:szCs w:val="18"/>
        </w:rPr>
      </w:pPr>
    </w:p>
    <w:p w14:paraId="4C0E9263" w14:textId="77777777" w:rsidR="00904969" w:rsidRPr="00C51113" w:rsidRDefault="00904969" w:rsidP="00677C01">
      <w:pPr>
        <w:spacing w:before="240"/>
        <w:jc w:val="both"/>
        <w:rPr>
          <w:rFonts w:ascii="Verdana" w:hAnsi="Verdana" w:cs="Times New Roman"/>
          <w:sz w:val="18"/>
          <w:szCs w:val="18"/>
        </w:rPr>
      </w:pPr>
    </w:p>
    <w:p w14:paraId="6612C710" w14:textId="77777777" w:rsidR="00904969" w:rsidRPr="00C51113" w:rsidRDefault="00904969" w:rsidP="00677C01">
      <w:pPr>
        <w:spacing w:before="240"/>
        <w:jc w:val="both"/>
        <w:rPr>
          <w:rFonts w:ascii="Verdana" w:hAnsi="Verdana" w:cs="Times New Roman"/>
          <w:sz w:val="18"/>
          <w:szCs w:val="18"/>
        </w:rPr>
      </w:pPr>
    </w:p>
    <w:p w14:paraId="796BAE9D" w14:textId="77777777" w:rsidR="00904969" w:rsidRPr="00C51113" w:rsidRDefault="00904969" w:rsidP="00677C01">
      <w:pPr>
        <w:spacing w:before="240"/>
        <w:jc w:val="both"/>
        <w:rPr>
          <w:rFonts w:ascii="Verdana" w:hAnsi="Verdana" w:cs="Times New Roman"/>
          <w:sz w:val="18"/>
          <w:szCs w:val="18"/>
        </w:rPr>
      </w:pPr>
    </w:p>
    <w:p w14:paraId="3316BC44" w14:textId="77777777" w:rsidR="00CD73A9" w:rsidRPr="00C51113" w:rsidRDefault="006F5AA4" w:rsidP="00677C01">
      <w:pPr>
        <w:pStyle w:val="Title"/>
        <w:spacing w:before="240"/>
        <w:jc w:val="both"/>
        <w:rPr>
          <w:rFonts w:ascii="Verdana" w:hAnsi="Verdana" w:cs="Times New Roman"/>
          <w:sz w:val="18"/>
          <w:szCs w:val="18"/>
        </w:rPr>
      </w:pPr>
      <w:r w:rsidRPr="00C51113">
        <w:rPr>
          <w:rFonts w:ascii="Verdana" w:hAnsi="Verdana" w:cs="Times New Roman"/>
          <w:sz w:val="18"/>
          <w:szCs w:val="18"/>
        </w:rPr>
        <w:br w:type="page"/>
      </w:r>
      <w:r w:rsidR="00CD73A9" w:rsidRPr="00C51113">
        <w:rPr>
          <w:rFonts w:ascii="Verdana" w:hAnsi="Verdana" w:cs="Times New Roman"/>
          <w:sz w:val="18"/>
          <w:szCs w:val="18"/>
        </w:rPr>
        <w:lastRenderedPageBreak/>
        <w:t>ACKNOWLEDGEMENTS</w:t>
      </w:r>
    </w:p>
    <w:p w14:paraId="0A4140AB" w14:textId="77777777" w:rsidR="00CD73A9" w:rsidRPr="00C51113" w:rsidRDefault="00CD73A9" w:rsidP="00677C01">
      <w:pPr>
        <w:spacing w:before="240"/>
        <w:jc w:val="both"/>
        <w:rPr>
          <w:rFonts w:ascii="Verdana" w:hAnsi="Verdana" w:cs="Times New Roman"/>
          <w:sz w:val="18"/>
          <w:szCs w:val="18"/>
        </w:rPr>
      </w:pPr>
    </w:p>
    <w:p w14:paraId="045A89EF" w14:textId="77777777" w:rsidR="009D794C" w:rsidRPr="00C51113" w:rsidRDefault="009D794C" w:rsidP="00677C01">
      <w:pPr>
        <w:spacing w:before="240"/>
        <w:jc w:val="both"/>
        <w:rPr>
          <w:rFonts w:ascii="Verdana" w:hAnsi="Verdana" w:cs="Times New Roman"/>
          <w:sz w:val="18"/>
          <w:szCs w:val="18"/>
        </w:rPr>
      </w:pPr>
    </w:p>
    <w:p w14:paraId="206A56F0" w14:textId="524B50D7" w:rsidR="0085757D" w:rsidRPr="00C51113" w:rsidRDefault="00B77EC7" w:rsidP="00677C01">
      <w:pPr>
        <w:spacing w:before="240"/>
        <w:jc w:val="both"/>
        <w:rPr>
          <w:rFonts w:ascii="Verdana" w:hAnsi="Verdana" w:cs="Times New Roman"/>
          <w:sz w:val="18"/>
          <w:szCs w:val="18"/>
        </w:rPr>
      </w:pPr>
      <w:r w:rsidRPr="00C51113">
        <w:rPr>
          <w:rFonts w:ascii="Verdana" w:hAnsi="Verdana" w:cs="Times New Roman"/>
          <w:sz w:val="18"/>
          <w:szCs w:val="18"/>
        </w:rPr>
        <w:t xml:space="preserve">I have a lot of people to thank but most importantly, I want to acknowledge my cat, Levi. Without him, none of this work would be done. He basically carried me through grad school. </w:t>
      </w:r>
    </w:p>
    <w:p w14:paraId="2A96091C" w14:textId="77777777" w:rsidR="0085757D" w:rsidRPr="00C51113" w:rsidRDefault="0085757D" w:rsidP="00677C01">
      <w:pPr>
        <w:spacing w:before="240"/>
        <w:jc w:val="both"/>
        <w:rPr>
          <w:rFonts w:ascii="Verdana" w:hAnsi="Verdana" w:cs="Times New Roman"/>
          <w:sz w:val="18"/>
          <w:szCs w:val="18"/>
        </w:rPr>
      </w:pPr>
    </w:p>
    <w:p w14:paraId="58E83B6E" w14:textId="77777777" w:rsidR="00904969" w:rsidRPr="00C51113" w:rsidRDefault="00904969" w:rsidP="00677C01">
      <w:pPr>
        <w:spacing w:before="240"/>
        <w:jc w:val="both"/>
        <w:rPr>
          <w:rFonts w:ascii="Verdana" w:hAnsi="Verdana" w:cs="Times New Roman"/>
          <w:sz w:val="18"/>
          <w:szCs w:val="18"/>
        </w:rPr>
      </w:pPr>
    </w:p>
    <w:p w14:paraId="603CD702" w14:textId="77777777" w:rsidR="00904969" w:rsidRPr="00C51113" w:rsidRDefault="00904969" w:rsidP="00677C01">
      <w:pPr>
        <w:spacing w:before="240"/>
        <w:jc w:val="both"/>
        <w:rPr>
          <w:rFonts w:ascii="Verdana" w:hAnsi="Verdana" w:cs="Times New Roman"/>
          <w:sz w:val="18"/>
          <w:szCs w:val="18"/>
        </w:rPr>
      </w:pPr>
    </w:p>
    <w:p w14:paraId="19113EB9" w14:textId="77777777" w:rsidR="00904969" w:rsidRPr="00C51113" w:rsidRDefault="00904969" w:rsidP="00677C01">
      <w:pPr>
        <w:spacing w:before="240"/>
        <w:jc w:val="both"/>
        <w:rPr>
          <w:rFonts w:ascii="Verdana" w:hAnsi="Verdana" w:cs="Times New Roman"/>
          <w:sz w:val="18"/>
          <w:szCs w:val="18"/>
        </w:rPr>
      </w:pPr>
    </w:p>
    <w:p w14:paraId="459FEE43" w14:textId="77777777" w:rsidR="00236E6D" w:rsidRPr="00C51113" w:rsidRDefault="0085757D" w:rsidP="00677C01">
      <w:pPr>
        <w:pStyle w:val="Title"/>
        <w:spacing w:before="240"/>
        <w:jc w:val="both"/>
        <w:rPr>
          <w:rFonts w:ascii="Verdana" w:hAnsi="Verdana" w:cs="Times New Roman"/>
          <w:sz w:val="18"/>
          <w:szCs w:val="18"/>
        </w:rPr>
      </w:pPr>
      <w:r w:rsidRPr="00C51113">
        <w:rPr>
          <w:rFonts w:ascii="Verdana" w:hAnsi="Verdana" w:cs="Times New Roman"/>
          <w:sz w:val="18"/>
          <w:szCs w:val="18"/>
        </w:rPr>
        <w:br w:type="page"/>
      </w:r>
      <w:r w:rsidR="00236E6D" w:rsidRPr="00C51113">
        <w:rPr>
          <w:rFonts w:ascii="Verdana" w:hAnsi="Verdana" w:cs="Times New Roman"/>
          <w:sz w:val="18"/>
          <w:szCs w:val="18"/>
        </w:rPr>
        <w:lastRenderedPageBreak/>
        <w:t>ABSTRACT</w:t>
      </w:r>
    </w:p>
    <w:p w14:paraId="23845CE1" w14:textId="77777777" w:rsidR="009D794C" w:rsidRPr="00C51113" w:rsidRDefault="009D794C" w:rsidP="00677C01">
      <w:pPr>
        <w:spacing w:before="240"/>
        <w:jc w:val="both"/>
        <w:rPr>
          <w:rFonts w:ascii="Verdana" w:hAnsi="Verdana" w:cs="Times New Roman"/>
          <w:sz w:val="18"/>
          <w:szCs w:val="18"/>
        </w:rPr>
      </w:pPr>
    </w:p>
    <w:p w14:paraId="27EBE3BB" w14:textId="77777777" w:rsidR="009D794C" w:rsidRPr="00C51113" w:rsidRDefault="009D794C" w:rsidP="00677C01">
      <w:pPr>
        <w:spacing w:before="240"/>
        <w:jc w:val="both"/>
        <w:rPr>
          <w:rFonts w:ascii="Verdana" w:hAnsi="Verdana" w:cs="Times New Roman"/>
          <w:sz w:val="18"/>
          <w:szCs w:val="18"/>
        </w:rPr>
      </w:pPr>
    </w:p>
    <w:p w14:paraId="1EBF8861" w14:textId="77777777" w:rsidR="00127B30" w:rsidRPr="00C51113" w:rsidRDefault="00127B30" w:rsidP="00677C01">
      <w:pPr>
        <w:pStyle w:val="NormalWeb"/>
        <w:spacing w:before="240" w:beforeAutospacing="0" w:after="0" w:afterAutospacing="0"/>
        <w:jc w:val="both"/>
        <w:rPr>
          <w:rFonts w:ascii="Verdana" w:hAnsi="Verdana"/>
          <w:sz w:val="18"/>
          <w:szCs w:val="18"/>
        </w:rPr>
      </w:pPr>
      <w:r w:rsidRPr="00C51113">
        <w:rPr>
          <w:rFonts w:ascii="Verdana" w:hAnsi="Verdana"/>
          <w:color w:val="000000"/>
          <w:sz w:val="18"/>
          <w:szCs w:val="18"/>
        </w:rPr>
        <w:t xml:space="preserve">This dissertation addresses the underlying genetics regulating competitive physiologies controlled by QS in a dominant member of marine synthetic communities. Furthermore, it addresses whether QS affects marine microbial biofilm community structure and dynamics. Finally, I provide an </w:t>
      </w:r>
      <w:proofErr w:type="gramStart"/>
      <w:r w:rsidRPr="00C51113">
        <w:rPr>
          <w:rFonts w:ascii="Verdana" w:hAnsi="Verdana"/>
          <w:color w:val="000000"/>
          <w:sz w:val="18"/>
          <w:szCs w:val="18"/>
        </w:rPr>
        <w:t>in depth</w:t>
      </w:r>
      <w:proofErr w:type="gramEnd"/>
      <w:r w:rsidRPr="00C51113">
        <w:rPr>
          <w:rFonts w:ascii="Verdana" w:hAnsi="Verdana"/>
          <w:color w:val="000000"/>
          <w:sz w:val="18"/>
          <w:szCs w:val="18"/>
        </w:rPr>
        <w:t xml:space="preserve"> review of the breadth of QS homologs within the Roseobacter lineage and identify a clade-specific DNA regulatory sequence (‘</w:t>
      </w:r>
      <w:proofErr w:type="spellStart"/>
      <w:r w:rsidRPr="00C51113">
        <w:rPr>
          <w:rFonts w:ascii="Verdana" w:hAnsi="Verdana"/>
          <w:color w:val="000000"/>
          <w:sz w:val="18"/>
          <w:szCs w:val="18"/>
        </w:rPr>
        <w:t>roseobox</w:t>
      </w:r>
      <w:proofErr w:type="spellEnd"/>
      <w:r w:rsidRPr="00C51113">
        <w:rPr>
          <w:rFonts w:ascii="Verdana" w:hAnsi="Verdana"/>
          <w:color w:val="000000"/>
          <w:sz w:val="18"/>
          <w:szCs w:val="18"/>
        </w:rPr>
        <w:t xml:space="preserve">’). Using this </w:t>
      </w:r>
      <w:proofErr w:type="spellStart"/>
      <w:r w:rsidRPr="00C51113">
        <w:rPr>
          <w:rFonts w:ascii="Verdana" w:hAnsi="Verdana"/>
          <w:color w:val="000000"/>
          <w:sz w:val="18"/>
          <w:szCs w:val="18"/>
        </w:rPr>
        <w:t>roseobox</w:t>
      </w:r>
      <w:proofErr w:type="spellEnd"/>
      <w:r w:rsidRPr="00C51113">
        <w:rPr>
          <w:rFonts w:ascii="Verdana" w:hAnsi="Verdana"/>
          <w:color w:val="000000"/>
          <w:sz w:val="18"/>
          <w:szCs w:val="18"/>
        </w:rPr>
        <w:t xml:space="preserve">, I identify putative gene pathways regulated by QS in environmental sequence data. </w:t>
      </w:r>
    </w:p>
    <w:p w14:paraId="18C2A23A" w14:textId="77777777" w:rsidR="00A50F5A" w:rsidRPr="00C51113" w:rsidRDefault="00A50F5A" w:rsidP="00677C01">
      <w:pPr>
        <w:pStyle w:val="Title"/>
        <w:spacing w:before="240"/>
        <w:jc w:val="both"/>
        <w:rPr>
          <w:rFonts w:ascii="Verdana" w:hAnsi="Verdana" w:cs="Times New Roman"/>
          <w:sz w:val="18"/>
          <w:szCs w:val="18"/>
        </w:rPr>
      </w:pPr>
    </w:p>
    <w:p w14:paraId="5D33FBB6" w14:textId="04689697" w:rsidR="0085757D" w:rsidRPr="00C51113" w:rsidRDefault="00236E6D" w:rsidP="00677C01">
      <w:pPr>
        <w:pStyle w:val="Title"/>
        <w:spacing w:before="240"/>
        <w:jc w:val="both"/>
        <w:rPr>
          <w:rFonts w:ascii="Verdana" w:hAnsi="Verdana" w:cs="Times New Roman"/>
          <w:sz w:val="18"/>
          <w:szCs w:val="18"/>
        </w:rPr>
      </w:pPr>
      <w:r w:rsidRPr="00C51113">
        <w:rPr>
          <w:rFonts w:ascii="Verdana" w:hAnsi="Verdana" w:cs="Times New Roman"/>
          <w:sz w:val="18"/>
          <w:szCs w:val="18"/>
        </w:rPr>
        <w:br w:type="page"/>
      </w:r>
    </w:p>
    <w:p w14:paraId="452C88BF" w14:textId="6DD651AC" w:rsidR="00387656" w:rsidRPr="00132A6C" w:rsidRDefault="00E431A4" w:rsidP="00677C01">
      <w:pPr>
        <w:pStyle w:val="Title"/>
        <w:spacing w:before="240"/>
        <w:ind w:left="720" w:hanging="720"/>
        <w:jc w:val="both"/>
        <w:rPr>
          <w:rFonts w:ascii="Verdana" w:hAnsi="Verdana" w:cs="Times New Roman"/>
          <w:sz w:val="20"/>
          <w:szCs w:val="20"/>
        </w:rPr>
      </w:pPr>
      <w:r w:rsidRPr="00132A6C">
        <w:rPr>
          <w:rFonts w:ascii="Verdana" w:hAnsi="Verdana" w:cs="Times New Roman"/>
          <w:sz w:val="20"/>
          <w:szCs w:val="20"/>
        </w:rPr>
        <w:lastRenderedPageBreak/>
        <w:t>T</w:t>
      </w:r>
      <w:r w:rsidR="00387656" w:rsidRPr="00132A6C">
        <w:rPr>
          <w:rFonts w:ascii="Verdana" w:hAnsi="Verdana" w:cs="Times New Roman"/>
          <w:sz w:val="20"/>
          <w:szCs w:val="20"/>
        </w:rPr>
        <w:t>ABLE OF CONTENTS</w:t>
      </w:r>
    </w:p>
    <w:p w14:paraId="5886E8A4" w14:textId="77777777" w:rsidR="00387656" w:rsidRPr="00132A6C" w:rsidRDefault="00387656" w:rsidP="00677C01">
      <w:pPr>
        <w:pStyle w:val="Title"/>
        <w:spacing w:before="240"/>
        <w:jc w:val="both"/>
        <w:rPr>
          <w:rFonts w:ascii="Verdana" w:hAnsi="Verdana" w:cs="Times New Roman"/>
          <w:sz w:val="22"/>
          <w:szCs w:val="22"/>
        </w:rPr>
      </w:pPr>
    </w:p>
    <w:p w14:paraId="6ED7E1E2" w14:textId="73A87E03" w:rsidR="00516656" w:rsidRPr="0093799D" w:rsidRDefault="00387656" w:rsidP="00F8165F">
      <w:pPr>
        <w:pStyle w:val="TOC1"/>
        <w:tabs>
          <w:tab w:val="right" w:leader="dot" w:pos="8630"/>
        </w:tabs>
        <w:rPr>
          <w:rFonts w:ascii="Verdana" w:eastAsiaTheme="minorEastAsia" w:hAnsi="Verdana" w:cstheme="minorBidi"/>
          <w:noProof/>
          <w:sz w:val="20"/>
          <w:szCs w:val="20"/>
        </w:rPr>
      </w:pPr>
      <w:r w:rsidRPr="0093799D">
        <w:rPr>
          <w:rFonts w:ascii="Verdana" w:hAnsi="Verdana" w:cs="Times New Roman"/>
          <w:sz w:val="20"/>
          <w:szCs w:val="20"/>
        </w:rPr>
        <w:fldChar w:fldCharType="begin"/>
      </w:r>
      <w:r w:rsidRPr="0093799D">
        <w:rPr>
          <w:rFonts w:ascii="Verdana" w:hAnsi="Verdana" w:cs="Times New Roman"/>
          <w:sz w:val="20"/>
          <w:szCs w:val="20"/>
        </w:rPr>
        <w:instrText xml:space="preserve"> TOC \o "1-3" \h \z \u </w:instrText>
      </w:r>
      <w:r w:rsidRPr="0093799D">
        <w:rPr>
          <w:rFonts w:ascii="Verdana" w:hAnsi="Verdana" w:cs="Times New Roman"/>
          <w:sz w:val="20"/>
          <w:szCs w:val="20"/>
        </w:rPr>
        <w:fldChar w:fldCharType="separate"/>
      </w:r>
      <w:hyperlink w:anchor="_Toc83382586" w:history="1">
        <w:r w:rsidR="00516656" w:rsidRPr="0093799D">
          <w:rPr>
            <w:rStyle w:val="Hyperlink"/>
            <w:rFonts w:ascii="Verdana" w:hAnsi="Verdana"/>
            <w:noProof/>
            <w:sz w:val="20"/>
            <w:szCs w:val="20"/>
          </w:rPr>
          <w:t>Chapter 1 INTRODUCTION</w:t>
        </w:r>
        <w:r w:rsidR="00516656" w:rsidRPr="0093799D">
          <w:rPr>
            <w:rFonts w:ascii="Verdana" w:hAnsi="Verdana"/>
            <w:noProof/>
            <w:webHidden/>
            <w:sz w:val="20"/>
            <w:szCs w:val="20"/>
          </w:rPr>
          <w:tab/>
        </w:r>
        <w:r w:rsidR="00516656" w:rsidRPr="0093799D">
          <w:rPr>
            <w:rFonts w:ascii="Verdana" w:hAnsi="Verdana"/>
            <w:noProof/>
            <w:webHidden/>
            <w:sz w:val="20"/>
            <w:szCs w:val="20"/>
          </w:rPr>
          <w:fldChar w:fldCharType="begin"/>
        </w:r>
        <w:r w:rsidR="00516656" w:rsidRPr="0093799D">
          <w:rPr>
            <w:rFonts w:ascii="Verdana" w:hAnsi="Verdana"/>
            <w:noProof/>
            <w:webHidden/>
            <w:sz w:val="20"/>
            <w:szCs w:val="20"/>
          </w:rPr>
          <w:instrText xml:space="preserve"> PAGEREF _Toc83382586 \h </w:instrText>
        </w:r>
        <w:r w:rsidR="00516656" w:rsidRPr="0093799D">
          <w:rPr>
            <w:rFonts w:ascii="Verdana" w:hAnsi="Verdana"/>
            <w:noProof/>
            <w:webHidden/>
            <w:sz w:val="20"/>
            <w:szCs w:val="20"/>
          </w:rPr>
        </w:r>
        <w:r w:rsidR="00516656" w:rsidRPr="0093799D">
          <w:rPr>
            <w:rFonts w:ascii="Verdana" w:hAnsi="Verdana"/>
            <w:noProof/>
            <w:webHidden/>
            <w:sz w:val="20"/>
            <w:szCs w:val="20"/>
          </w:rPr>
          <w:fldChar w:fldCharType="separate"/>
        </w:r>
        <w:r w:rsidR="00516656" w:rsidRPr="0093799D">
          <w:rPr>
            <w:rFonts w:ascii="Verdana" w:hAnsi="Verdana"/>
            <w:noProof/>
            <w:webHidden/>
            <w:sz w:val="20"/>
            <w:szCs w:val="20"/>
          </w:rPr>
          <w:t>2</w:t>
        </w:r>
        <w:r w:rsidR="00516656" w:rsidRPr="0093799D">
          <w:rPr>
            <w:rFonts w:ascii="Verdana" w:hAnsi="Verdana"/>
            <w:noProof/>
            <w:webHidden/>
            <w:sz w:val="20"/>
            <w:szCs w:val="20"/>
          </w:rPr>
          <w:fldChar w:fldCharType="end"/>
        </w:r>
      </w:hyperlink>
    </w:p>
    <w:p w14:paraId="6B0184C0" w14:textId="27F127F3" w:rsidR="00516656" w:rsidRPr="0093799D" w:rsidRDefault="00516656" w:rsidP="00F8165F">
      <w:pPr>
        <w:pStyle w:val="TOC3"/>
        <w:tabs>
          <w:tab w:val="left" w:pos="960"/>
          <w:tab w:val="right" w:leader="dot" w:pos="8630"/>
        </w:tabs>
        <w:rPr>
          <w:rFonts w:ascii="Verdana" w:eastAsiaTheme="minorEastAsia" w:hAnsi="Verdana" w:cstheme="minorBidi"/>
          <w:noProof/>
          <w:sz w:val="20"/>
          <w:szCs w:val="20"/>
        </w:rPr>
      </w:pPr>
      <w:hyperlink w:anchor="_Toc83382587" w:history="1">
        <w:r w:rsidRPr="0093799D">
          <w:rPr>
            <w:rStyle w:val="Hyperlink"/>
            <w:rFonts w:ascii="Verdana" w:hAnsi="Verdana" w:cs="Times New Roman"/>
            <w:noProof/>
            <w:sz w:val="20"/>
            <w:szCs w:val="20"/>
          </w:rPr>
          <w:t>I.</w:t>
        </w:r>
        <w:r w:rsidRPr="0093799D">
          <w:rPr>
            <w:rFonts w:ascii="Verdana" w:eastAsiaTheme="minorEastAsia" w:hAnsi="Verdana" w:cstheme="minorBidi"/>
            <w:noProof/>
            <w:sz w:val="20"/>
            <w:szCs w:val="20"/>
          </w:rPr>
          <w:tab/>
        </w:r>
        <w:r w:rsidRPr="0093799D">
          <w:rPr>
            <w:rStyle w:val="Hyperlink"/>
            <w:rFonts w:ascii="Verdana" w:hAnsi="Verdana" w:cs="Times New Roman"/>
            <w:noProof/>
            <w:sz w:val="20"/>
            <w:szCs w:val="20"/>
          </w:rPr>
          <w:t>Background</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_Toc83382587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2</w:t>
        </w:r>
        <w:r w:rsidRPr="0093799D">
          <w:rPr>
            <w:rFonts w:ascii="Verdana" w:hAnsi="Verdana"/>
            <w:noProof/>
            <w:webHidden/>
            <w:sz w:val="20"/>
            <w:szCs w:val="20"/>
          </w:rPr>
          <w:fldChar w:fldCharType="end"/>
        </w:r>
      </w:hyperlink>
    </w:p>
    <w:p w14:paraId="344E9816" w14:textId="3AEB1B71" w:rsidR="00516656" w:rsidRPr="0093799D" w:rsidRDefault="00516656" w:rsidP="00F8165F">
      <w:pPr>
        <w:pStyle w:val="TOC3"/>
        <w:tabs>
          <w:tab w:val="right" w:leader="dot" w:pos="8630"/>
        </w:tabs>
        <w:rPr>
          <w:rFonts w:ascii="Verdana" w:eastAsiaTheme="minorEastAsia" w:hAnsi="Verdana" w:cstheme="minorBidi"/>
          <w:noProof/>
          <w:sz w:val="20"/>
          <w:szCs w:val="20"/>
        </w:rPr>
      </w:pPr>
      <w:hyperlink w:anchor="_Toc83382588" w:history="1">
        <w:r w:rsidRPr="0093799D">
          <w:rPr>
            <w:rStyle w:val="Hyperlink"/>
            <w:rFonts w:ascii="Verdana" w:hAnsi="Verdana"/>
            <w:iCs/>
            <w:noProof/>
            <w:sz w:val="20"/>
            <w:szCs w:val="20"/>
          </w:rPr>
          <w:t>II. Bacterial Biofilms</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_Toc83382588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2</w:t>
        </w:r>
        <w:r w:rsidRPr="0093799D">
          <w:rPr>
            <w:rFonts w:ascii="Verdana" w:hAnsi="Verdana"/>
            <w:noProof/>
            <w:webHidden/>
            <w:sz w:val="20"/>
            <w:szCs w:val="20"/>
          </w:rPr>
          <w:fldChar w:fldCharType="end"/>
        </w:r>
      </w:hyperlink>
    </w:p>
    <w:p w14:paraId="462D51D8" w14:textId="36C04371" w:rsidR="00516656" w:rsidRPr="0093799D" w:rsidRDefault="00516656" w:rsidP="00F8165F">
      <w:pPr>
        <w:pStyle w:val="TOC3"/>
        <w:tabs>
          <w:tab w:val="left" w:pos="1200"/>
          <w:tab w:val="right" w:leader="dot" w:pos="8630"/>
        </w:tabs>
        <w:rPr>
          <w:rFonts w:ascii="Verdana" w:eastAsiaTheme="minorEastAsia" w:hAnsi="Verdana" w:cstheme="minorBidi"/>
          <w:noProof/>
          <w:sz w:val="20"/>
          <w:szCs w:val="20"/>
        </w:rPr>
      </w:pPr>
      <w:hyperlink w:anchor="_Toc83382589" w:history="1">
        <w:r w:rsidRPr="0093799D">
          <w:rPr>
            <w:rStyle w:val="Hyperlink"/>
            <w:rFonts w:ascii="Verdana" w:hAnsi="Verdana" w:cs="Times New Roman"/>
            <w:noProof/>
            <w:sz w:val="20"/>
            <w:szCs w:val="20"/>
          </w:rPr>
          <w:t>II.</w:t>
        </w:r>
        <w:r w:rsidRPr="0093799D">
          <w:rPr>
            <w:rFonts w:ascii="Verdana" w:eastAsiaTheme="minorEastAsia" w:hAnsi="Verdana" w:cstheme="minorBidi"/>
            <w:noProof/>
            <w:sz w:val="20"/>
            <w:szCs w:val="20"/>
          </w:rPr>
          <w:tab/>
        </w:r>
        <w:r w:rsidRPr="0093799D">
          <w:rPr>
            <w:rStyle w:val="Hyperlink"/>
            <w:rFonts w:ascii="Verdana" w:hAnsi="Verdana" w:cs="Times New Roman"/>
            <w:noProof/>
            <w:sz w:val="20"/>
            <w:szCs w:val="20"/>
          </w:rPr>
          <w:t>The Roseobacter lineage.</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_Toc83382589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3</w:t>
        </w:r>
        <w:r w:rsidRPr="0093799D">
          <w:rPr>
            <w:rFonts w:ascii="Verdana" w:hAnsi="Verdana"/>
            <w:noProof/>
            <w:webHidden/>
            <w:sz w:val="20"/>
            <w:szCs w:val="20"/>
          </w:rPr>
          <w:fldChar w:fldCharType="end"/>
        </w:r>
      </w:hyperlink>
    </w:p>
    <w:p w14:paraId="53A99ABE" w14:textId="73521697" w:rsidR="00516656" w:rsidRPr="0093799D" w:rsidRDefault="00516656" w:rsidP="00F8165F">
      <w:pPr>
        <w:pStyle w:val="TOC3"/>
        <w:tabs>
          <w:tab w:val="left" w:pos="1200"/>
          <w:tab w:val="right" w:leader="dot" w:pos="8630"/>
        </w:tabs>
        <w:rPr>
          <w:rFonts w:ascii="Verdana" w:eastAsiaTheme="minorEastAsia" w:hAnsi="Verdana" w:cstheme="minorBidi"/>
          <w:noProof/>
          <w:sz w:val="20"/>
          <w:szCs w:val="20"/>
        </w:rPr>
      </w:pPr>
      <w:hyperlink w:anchor="_Toc83382590" w:history="1">
        <w:r w:rsidRPr="0093799D">
          <w:rPr>
            <w:rStyle w:val="Hyperlink"/>
            <w:rFonts w:ascii="Verdana" w:hAnsi="Verdana" w:cs="Times New Roman"/>
            <w:noProof/>
            <w:sz w:val="20"/>
            <w:szCs w:val="20"/>
          </w:rPr>
          <w:t>III.</w:t>
        </w:r>
        <w:r w:rsidRPr="0093799D">
          <w:rPr>
            <w:rFonts w:ascii="Verdana" w:eastAsiaTheme="minorEastAsia" w:hAnsi="Verdana" w:cstheme="minorBidi"/>
            <w:noProof/>
            <w:sz w:val="20"/>
            <w:szCs w:val="20"/>
          </w:rPr>
          <w:tab/>
        </w:r>
        <w:r w:rsidRPr="0093799D">
          <w:rPr>
            <w:rStyle w:val="Hyperlink"/>
            <w:rFonts w:ascii="Verdana" w:hAnsi="Verdana" w:cs="Times New Roman"/>
            <w:noProof/>
            <w:sz w:val="20"/>
            <w:szCs w:val="20"/>
          </w:rPr>
          <w:t>Research Objectives</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_Toc83382590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5</w:t>
        </w:r>
        <w:r w:rsidRPr="0093799D">
          <w:rPr>
            <w:rFonts w:ascii="Verdana" w:hAnsi="Verdana"/>
            <w:noProof/>
            <w:webHidden/>
            <w:sz w:val="20"/>
            <w:szCs w:val="20"/>
          </w:rPr>
          <w:fldChar w:fldCharType="end"/>
        </w:r>
      </w:hyperlink>
    </w:p>
    <w:p w14:paraId="2CA24B9C" w14:textId="1F6C8038" w:rsidR="00516656" w:rsidRPr="0093799D" w:rsidRDefault="00516656" w:rsidP="00F8165F">
      <w:pPr>
        <w:pStyle w:val="TOC2"/>
        <w:tabs>
          <w:tab w:val="right" w:leader="dot" w:pos="8630"/>
        </w:tabs>
        <w:rPr>
          <w:rFonts w:ascii="Verdana" w:eastAsiaTheme="minorEastAsia" w:hAnsi="Verdana" w:cstheme="minorBidi"/>
          <w:noProof/>
          <w:sz w:val="20"/>
          <w:szCs w:val="20"/>
        </w:rPr>
      </w:pPr>
      <w:hyperlink w:anchor="_Toc83382591" w:history="1">
        <w:r w:rsidRPr="0093799D">
          <w:rPr>
            <w:rStyle w:val="Hyperlink"/>
            <w:rFonts w:ascii="Verdana" w:hAnsi="Verdana" w:cs="Times New Roman"/>
            <w:noProof/>
            <w:sz w:val="20"/>
            <w:szCs w:val="20"/>
          </w:rPr>
          <w:t>References</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_Toc83382591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6</w:t>
        </w:r>
        <w:r w:rsidRPr="0093799D">
          <w:rPr>
            <w:rFonts w:ascii="Verdana" w:hAnsi="Verdana"/>
            <w:noProof/>
            <w:webHidden/>
            <w:sz w:val="20"/>
            <w:szCs w:val="20"/>
          </w:rPr>
          <w:fldChar w:fldCharType="end"/>
        </w:r>
      </w:hyperlink>
    </w:p>
    <w:p w14:paraId="693B5851" w14:textId="4D2F7B15" w:rsidR="00516656" w:rsidRPr="0093799D" w:rsidRDefault="00516656" w:rsidP="00F8165F">
      <w:pPr>
        <w:pStyle w:val="TOC1"/>
        <w:tabs>
          <w:tab w:val="right" w:leader="dot" w:pos="8630"/>
        </w:tabs>
        <w:rPr>
          <w:rFonts w:ascii="Verdana" w:eastAsiaTheme="minorEastAsia" w:hAnsi="Verdana" w:cstheme="minorBidi"/>
          <w:noProof/>
          <w:sz w:val="20"/>
          <w:szCs w:val="20"/>
        </w:rPr>
      </w:pPr>
      <w:hyperlink w:anchor="_Toc83382592" w:history="1">
        <w:r w:rsidRPr="0093799D">
          <w:rPr>
            <w:rStyle w:val="Hyperlink"/>
            <w:rFonts w:ascii="Verdana" w:hAnsi="Verdana" w:cs="Times New Roman"/>
            <w:noProof/>
            <w:sz w:val="20"/>
            <w:szCs w:val="20"/>
          </w:rPr>
          <w:t>Chapter 2 Cyclic di-GMP is integrated into a hierarchal quorum sensing network regulating antimicrobial production and biofilm formation in Roseobacter clade member</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_Toc83382592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8</w:t>
        </w:r>
        <w:r w:rsidRPr="0093799D">
          <w:rPr>
            <w:rFonts w:ascii="Verdana" w:hAnsi="Verdana"/>
            <w:noProof/>
            <w:webHidden/>
            <w:sz w:val="20"/>
            <w:szCs w:val="20"/>
          </w:rPr>
          <w:fldChar w:fldCharType="end"/>
        </w:r>
      </w:hyperlink>
    </w:p>
    <w:p w14:paraId="24B8018E" w14:textId="65F2A930" w:rsidR="00516656" w:rsidRPr="0093799D" w:rsidRDefault="00516656" w:rsidP="00F8165F">
      <w:pPr>
        <w:pStyle w:val="TOC2"/>
        <w:tabs>
          <w:tab w:val="left" w:pos="720"/>
          <w:tab w:val="right" w:leader="dot" w:pos="8630"/>
        </w:tabs>
        <w:rPr>
          <w:rFonts w:ascii="Verdana" w:eastAsiaTheme="minorEastAsia" w:hAnsi="Verdana" w:cstheme="minorBidi"/>
          <w:noProof/>
          <w:sz w:val="20"/>
          <w:szCs w:val="20"/>
        </w:rPr>
      </w:pPr>
      <w:hyperlink w:anchor="_Toc83382593" w:history="1">
        <w:r w:rsidRPr="0093799D">
          <w:rPr>
            <w:rStyle w:val="Hyperlink"/>
            <w:rFonts w:ascii="Verdana" w:hAnsi="Verdana" w:cs="Times New Roman"/>
            <w:noProof/>
            <w:sz w:val="20"/>
            <w:szCs w:val="20"/>
          </w:rPr>
          <w:t>I.</w:t>
        </w:r>
        <w:r w:rsidRPr="0093799D">
          <w:rPr>
            <w:rFonts w:ascii="Verdana" w:eastAsiaTheme="minorEastAsia" w:hAnsi="Verdana" w:cstheme="minorBidi"/>
            <w:noProof/>
            <w:sz w:val="20"/>
            <w:szCs w:val="20"/>
          </w:rPr>
          <w:tab/>
        </w:r>
        <w:r w:rsidRPr="0093799D">
          <w:rPr>
            <w:rStyle w:val="Hyperlink"/>
            <w:rFonts w:ascii="Verdana" w:hAnsi="Verdana" w:cs="Times New Roman"/>
            <w:noProof/>
            <w:sz w:val="20"/>
            <w:szCs w:val="20"/>
          </w:rPr>
          <w:t>Abstract</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_Toc83382593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9</w:t>
        </w:r>
        <w:r w:rsidRPr="0093799D">
          <w:rPr>
            <w:rFonts w:ascii="Verdana" w:hAnsi="Verdana"/>
            <w:noProof/>
            <w:webHidden/>
            <w:sz w:val="20"/>
            <w:szCs w:val="20"/>
          </w:rPr>
          <w:fldChar w:fldCharType="end"/>
        </w:r>
      </w:hyperlink>
    </w:p>
    <w:p w14:paraId="42206E2A" w14:textId="6A316ABC" w:rsidR="00516656" w:rsidRPr="0093799D" w:rsidRDefault="00516656" w:rsidP="00F8165F">
      <w:pPr>
        <w:pStyle w:val="TOC2"/>
        <w:tabs>
          <w:tab w:val="left" w:pos="960"/>
          <w:tab w:val="right" w:leader="dot" w:pos="8630"/>
        </w:tabs>
        <w:rPr>
          <w:rFonts w:ascii="Verdana" w:eastAsiaTheme="minorEastAsia" w:hAnsi="Verdana" w:cstheme="minorBidi"/>
          <w:noProof/>
          <w:sz w:val="20"/>
          <w:szCs w:val="20"/>
        </w:rPr>
      </w:pPr>
      <w:hyperlink w:anchor="_Toc83382594" w:history="1">
        <w:r w:rsidRPr="0093799D">
          <w:rPr>
            <w:rStyle w:val="Hyperlink"/>
            <w:rFonts w:ascii="Verdana" w:hAnsi="Verdana" w:cs="Times New Roman"/>
            <w:noProof/>
            <w:sz w:val="20"/>
            <w:szCs w:val="20"/>
          </w:rPr>
          <w:t>II.</w:t>
        </w:r>
        <w:r w:rsidRPr="0093799D">
          <w:rPr>
            <w:rFonts w:ascii="Verdana" w:eastAsiaTheme="minorEastAsia" w:hAnsi="Verdana" w:cstheme="minorBidi"/>
            <w:noProof/>
            <w:sz w:val="20"/>
            <w:szCs w:val="20"/>
          </w:rPr>
          <w:tab/>
        </w:r>
        <w:r w:rsidRPr="0093799D">
          <w:rPr>
            <w:rStyle w:val="Hyperlink"/>
            <w:rFonts w:ascii="Verdana" w:hAnsi="Verdana" w:cs="Times New Roman"/>
            <w:noProof/>
            <w:sz w:val="20"/>
            <w:szCs w:val="20"/>
          </w:rPr>
          <w:t>Introduction</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_Toc83382594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9</w:t>
        </w:r>
        <w:r w:rsidRPr="0093799D">
          <w:rPr>
            <w:rFonts w:ascii="Verdana" w:hAnsi="Verdana"/>
            <w:noProof/>
            <w:webHidden/>
            <w:sz w:val="20"/>
            <w:szCs w:val="20"/>
          </w:rPr>
          <w:fldChar w:fldCharType="end"/>
        </w:r>
      </w:hyperlink>
    </w:p>
    <w:p w14:paraId="712F2955" w14:textId="23B7FF69" w:rsidR="00516656" w:rsidRPr="0093799D" w:rsidRDefault="00516656" w:rsidP="00F8165F">
      <w:pPr>
        <w:pStyle w:val="TOC2"/>
        <w:tabs>
          <w:tab w:val="left" w:pos="960"/>
          <w:tab w:val="right" w:leader="dot" w:pos="8630"/>
        </w:tabs>
        <w:rPr>
          <w:rFonts w:ascii="Verdana" w:eastAsiaTheme="minorEastAsia" w:hAnsi="Verdana" w:cstheme="minorBidi"/>
          <w:noProof/>
          <w:sz w:val="20"/>
          <w:szCs w:val="20"/>
        </w:rPr>
      </w:pPr>
      <w:hyperlink w:anchor="_Toc83382595" w:history="1">
        <w:r w:rsidRPr="0093799D">
          <w:rPr>
            <w:rStyle w:val="Hyperlink"/>
            <w:rFonts w:ascii="Verdana" w:hAnsi="Verdana" w:cs="Times New Roman"/>
            <w:noProof/>
            <w:sz w:val="20"/>
            <w:szCs w:val="20"/>
          </w:rPr>
          <w:t>III.</w:t>
        </w:r>
        <w:r w:rsidRPr="0093799D">
          <w:rPr>
            <w:rFonts w:ascii="Verdana" w:eastAsiaTheme="minorEastAsia" w:hAnsi="Verdana" w:cstheme="minorBidi"/>
            <w:noProof/>
            <w:sz w:val="20"/>
            <w:szCs w:val="20"/>
          </w:rPr>
          <w:tab/>
        </w:r>
        <w:r w:rsidRPr="0093799D">
          <w:rPr>
            <w:rStyle w:val="Hyperlink"/>
            <w:rFonts w:ascii="Verdana" w:hAnsi="Verdana" w:cs="Times New Roman"/>
            <w:noProof/>
            <w:sz w:val="20"/>
            <w:szCs w:val="20"/>
          </w:rPr>
          <w:t>Materials and Methods</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_Toc83382595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10</w:t>
        </w:r>
        <w:r w:rsidRPr="0093799D">
          <w:rPr>
            <w:rFonts w:ascii="Verdana" w:hAnsi="Verdana"/>
            <w:noProof/>
            <w:webHidden/>
            <w:sz w:val="20"/>
            <w:szCs w:val="20"/>
          </w:rPr>
          <w:fldChar w:fldCharType="end"/>
        </w:r>
      </w:hyperlink>
    </w:p>
    <w:p w14:paraId="3951872F" w14:textId="389FF721" w:rsidR="00516656" w:rsidRPr="0093799D" w:rsidRDefault="00516656" w:rsidP="00F8165F">
      <w:pPr>
        <w:pStyle w:val="TOC2"/>
        <w:tabs>
          <w:tab w:val="left" w:pos="960"/>
          <w:tab w:val="right" w:leader="dot" w:pos="8630"/>
        </w:tabs>
        <w:rPr>
          <w:rFonts w:ascii="Verdana" w:eastAsiaTheme="minorEastAsia" w:hAnsi="Verdana" w:cstheme="minorBidi"/>
          <w:noProof/>
          <w:sz w:val="20"/>
          <w:szCs w:val="20"/>
        </w:rPr>
      </w:pPr>
      <w:hyperlink w:anchor="_Toc83382596" w:history="1">
        <w:r w:rsidRPr="0093799D">
          <w:rPr>
            <w:rStyle w:val="Hyperlink"/>
            <w:rFonts w:ascii="Verdana" w:hAnsi="Verdana" w:cs="Times New Roman"/>
            <w:noProof/>
            <w:sz w:val="20"/>
            <w:szCs w:val="20"/>
          </w:rPr>
          <w:t>IV.</w:t>
        </w:r>
        <w:r w:rsidRPr="0093799D">
          <w:rPr>
            <w:rFonts w:ascii="Verdana" w:eastAsiaTheme="minorEastAsia" w:hAnsi="Verdana" w:cstheme="minorBidi"/>
            <w:noProof/>
            <w:sz w:val="20"/>
            <w:szCs w:val="20"/>
          </w:rPr>
          <w:tab/>
        </w:r>
        <w:r w:rsidRPr="0093799D">
          <w:rPr>
            <w:rStyle w:val="Hyperlink"/>
            <w:rFonts w:ascii="Verdana" w:hAnsi="Verdana" w:cs="Times New Roman"/>
            <w:noProof/>
            <w:sz w:val="20"/>
            <w:szCs w:val="20"/>
          </w:rPr>
          <w:t>Results</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_Toc83382596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12</w:t>
        </w:r>
        <w:r w:rsidRPr="0093799D">
          <w:rPr>
            <w:rFonts w:ascii="Verdana" w:hAnsi="Verdana"/>
            <w:noProof/>
            <w:webHidden/>
            <w:sz w:val="20"/>
            <w:szCs w:val="20"/>
          </w:rPr>
          <w:fldChar w:fldCharType="end"/>
        </w:r>
      </w:hyperlink>
    </w:p>
    <w:p w14:paraId="07BBDFBC" w14:textId="3537166F" w:rsidR="00516656" w:rsidRPr="0093799D" w:rsidRDefault="00516656" w:rsidP="00F8165F">
      <w:pPr>
        <w:pStyle w:val="TOC2"/>
        <w:tabs>
          <w:tab w:val="left" w:pos="720"/>
          <w:tab w:val="right" w:leader="dot" w:pos="8630"/>
        </w:tabs>
        <w:rPr>
          <w:rFonts w:ascii="Verdana" w:eastAsiaTheme="minorEastAsia" w:hAnsi="Verdana" w:cstheme="minorBidi"/>
          <w:noProof/>
          <w:sz w:val="20"/>
          <w:szCs w:val="20"/>
        </w:rPr>
      </w:pPr>
      <w:hyperlink w:anchor="_Toc83382597" w:history="1">
        <w:r w:rsidRPr="0093799D">
          <w:rPr>
            <w:rStyle w:val="Hyperlink"/>
            <w:rFonts w:ascii="Verdana" w:hAnsi="Verdana" w:cs="Times New Roman"/>
            <w:noProof/>
            <w:sz w:val="20"/>
            <w:szCs w:val="20"/>
          </w:rPr>
          <w:t>V.</w:t>
        </w:r>
        <w:r w:rsidRPr="0093799D">
          <w:rPr>
            <w:rFonts w:ascii="Verdana" w:eastAsiaTheme="minorEastAsia" w:hAnsi="Verdana" w:cstheme="minorBidi"/>
            <w:noProof/>
            <w:sz w:val="20"/>
            <w:szCs w:val="20"/>
          </w:rPr>
          <w:tab/>
        </w:r>
        <w:r w:rsidRPr="0093799D">
          <w:rPr>
            <w:rStyle w:val="Hyperlink"/>
            <w:rFonts w:ascii="Verdana" w:hAnsi="Verdana" w:cs="Times New Roman"/>
            <w:noProof/>
            <w:sz w:val="20"/>
            <w:szCs w:val="20"/>
          </w:rPr>
          <w:t>Discussion</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_Toc83382597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14</w:t>
        </w:r>
        <w:r w:rsidRPr="0093799D">
          <w:rPr>
            <w:rFonts w:ascii="Verdana" w:hAnsi="Verdana"/>
            <w:noProof/>
            <w:webHidden/>
            <w:sz w:val="20"/>
            <w:szCs w:val="20"/>
          </w:rPr>
          <w:fldChar w:fldCharType="end"/>
        </w:r>
      </w:hyperlink>
    </w:p>
    <w:p w14:paraId="4D82D19D" w14:textId="309D1D5D" w:rsidR="00516656" w:rsidRPr="0093799D" w:rsidRDefault="00516656" w:rsidP="00F8165F">
      <w:pPr>
        <w:pStyle w:val="TOC2"/>
        <w:tabs>
          <w:tab w:val="left" w:pos="960"/>
          <w:tab w:val="right" w:leader="dot" w:pos="8630"/>
        </w:tabs>
        <w:rPr>
          <w:rFonts w:ascii="Verdana" w:eastAsiaTheme="minorEastAsia" w:hAnsi="Verdana" w:cstheme="minorBidi"/>
          <w:noProof/>
          <w:sz w:val="20"/>
          <w:szCs w:val="20"/>
        </w:rPr>
      </w:pPr>
      <w:hyperlink w:anchor="_Toc83382598" w:history="1">
        <w:r w:rsidRPr="0093799D">
          <w:rPr>
            <w:rStyle w:val="Hyperlink"/>
            <w:rFonts w:ascii="Verdana" w:hAnsi="Verdana" w:cs="Times New Roman"/>
            <w:noProof/>
            <w:sz w:val="20"/>
            <w:szCs w:val="20"/>
          </w:rPr>
          <w:t>VI.</w:t>
        </w:r>
        <w:r w:rsidRPr="0093799D">
          <w:rPr>
            <w:rFonts w:ascii="Verdana" w:eastAsiaTheme="minorEastAsia" w:hAnsi="Verdana" w:cstheme="minorBidi"/>
            <w:noProof/>
            <w:sz w:val="20"/>
            <w:szCs w:val="20"/>
          </w:rPr>
          <w:tab/>
        </w:r>
        <w:r w:rsidRPr="0093799D">
          <w:rPr>
            <w:rStyle w:val="Hyperlink"/>
            <w:rFonts w:ascii="Verdana" w:hAnsi="Verdana" w:cs="Times New Roman"/>
            <w:noProof/>
            <w:sz w:val="20"/>
            <w:szCs w:val="20"/>
          </w:rPr>
          <w:t>References</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_Toc83382598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16</w:t>
        </w:r>
        <w:r w:rsidRPr="0093799D">
          <w:rPr>
            <w:rFonts w:ascii="Verdana" w:hAnsi="Verdana"/>
            <w:noProof/>
            <w:webHidden/>
            <w:sz w:val="20"/>
            <w:szCs w:val="20"/>
          </w:rPr>
          <w:fldChar w:fldCharType="end"/>
        </w:r>
      </w:hyperlink>
    </w:p>
    <w:p w14:paraId="2EB05538" w14:textId="49C19FB9" w:rsidR="00516656" w:rsidRPr="0093799D" w:rsidRDefault="00516656" w:rsidP="00F8165F">
      <w:pPr>
        <w:pStyle w:val="TOC2"/>
        <w:tabs>
          <w:tab w:val="right" w:leader="dot" w:pos="8630"/>
        </w:tabs>
        <w:rPr>
          <w:rFonts w:ascii="Verdana" w:eastAsiaTheme="minorEastAsia" w:hAnsi="Verdana" w:cstheme="minorBidi"/>
          <w:noProof/>
          <w:sz w:val="20"/>
          <w:szCs w:val="20"/>
        </w:rPr>
      </w:pPr>
      <w:hyperlink w:anchor="_Toc83382599" w:history="1">
        <w:r w:rsidRPr="0093799D">
          <w:rPr>
            <w:rStyle w:val="Hyperlink"/>
            <w:rFonts w:ascii="Verdana" w:hAnsi="Verdana" w:cs="Times New Roman"/>
            <w:noProof/>
            <w:sz w:val="20"/>
            <w:szCs w:val="20"/>
          </w:rPr>
          <w:t>Appendix: Tables</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_Toc83382599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19</w:t>
        </w:r>
        <w:r w:rsidRPr="0093799D">
          <w:rPr>
            <w:rFonts w:ascii="Verdana" w:hAnsi="Verdana"/>
            <w:noProof/>
            <w:webHidden/>
            <w:sz w:val="20"/>
            <w:szCs w:val="20"/>
          </w:rPr>
          <w:fldChar w:fldCharType="end"/>
        </w:r>
      </w:hyperlink>
    </w:p>
    <w:p w14:paraId="3DC20F60" w14:textId="17522EA4" w:rsidR="00516656" w:rsidRPr="0093799D" w:rsidRDefault="00516656" w:rsidP="00F8165F">
      <w:pPr>
        <w:pStyle w:val="TOC2"/>
        <w:tabs>
          <w:tab w:val="right" w:leader="dot" w:pos="8630"/>
        </w:tabs>
        <w:rPr>
          <w:rFonts w:ascii="Verdana" w:eastAsiaTheme="minorEastAsia" w:hAnsi="Verdana" w:cstheme="minorBidi"/>
          <w:noProof/>
          <w:sz w:val="20"/>
          <w:szCs w:val="20"/>
        </w:rPr>
      </w:pPr>
      <w:hyperlink w:anchor="_Toc83382600" w:history="1">
        <w:r w:rsidRPr="0093799D">
          <w:rPr>
            <w:rStyle w:val="Hyperlink"/>
            <w:rFonts w:ascii="Verdana" w:hAnsi="Verdana" w:cs="Times New Roman"/>
            <w:noProof/>
            <w:sz w:val="20"/>
            <w:szCs w:val="20"/>
          </w:rPr>
          <w:t>Appendix: Figures</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_Toc83382600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20</w:t>
        </w:r>
        <w:r w:rsidRPr="0093799D">
          <w:rPr>
            <w:rFonts w:ascii="Verdana" w:hAnsi="Verdana"/>
            <w:noProof/>
            <w:webHidden/>
            <w:sz w:val="20"/>
            <w:szCs w:val="20"/>
          </w:rPr>
          <w:fldChar w:fldCharType="end"/>
        </w:r>
      </w:hyperlink>
    </w:p>
    <w:p w14:paraId="58D49B08" w14:textId="5D49A424" w:rsidR="00516656" w:rsidRPr="0093799D" w:rsidRDefault="00516656" w:rsidP="00F8165F">
      <w:pPr>
        <w:pStyle w:val="TOC2"/>
        <w:tabs>
          <w:tab w:val="right" w:leader="dot" w:pos="8630"/>
        </w:tabs>
        <w:rPr>
          <w:rFonts w:ascii="Verdana" w:eastAsiaTheme="minorEastAsia" w:hAnsi="Verdana" w:cstheme="minorBidi"/>
          <w:noProof/>
          <w:sz w:val="20"/>
          <w:szCs w:val="20"/>
        </w:rPr>
      </w:pPr>
      <w:hyperlink w:anchor="_Toc83382601" w:history="1">
        <w:r w:rsidRPr="0093799D">
          <w:rPr>
            <w:rStyle w:val="Hyperlink"/>
            <w:rFonts w:ascii="Verdana" w:hAnsi="Verdana" w:cs="Times New Roman"/>
            <w:noProof/>
            <w:sz w:val="20"/>
            <w:szCs w:val="20"/>
          </w:rPr>
          <w:t>Appendix: Supplemental Materials</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_Toc83382601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25</w:t>
        </w:r>
        <w:r w:rsidRPr="0093799D">
          <w:rPr>
            <w:rFonts w:ascii="Verdana" w:hAnsi="Verdana"/>
            <w:noProof/>
            <w:webHidden/>
            <w:sz w:val="20"/>
            <w:szCs w:val="20"/>
          </w:rPr>
          <w:fldChar w:fldCharType="end"/>
        </w:r>
      </w:hyperlink>
    </w:p>
    <w:p w14:paraId="6F4C74D8" w14:textId="5EFB803F" w:rsidR="00516656" w:rsidRPr="0093799D" w:rsidRDefault="00516656" w:rsidP="00F8165F">
      <w:pPr>
        <w:pStyle w:val="TOC1"/>
        <w:tabs>
          <w:tab w:val="right" w:leader="dot" w:pos="8630"/>
        </w:tabs>
        <w:rPr>
          <w:rFonts w:ascii="Verdana" w:eastAsiaTheme="minorEastAsia" w:hAnsi="Verdana" w:cstheme="minorBidi"/>
          <w:noProof/>
          <w:sz w:val="20"/>
          <w:szCs w:val="20"/>
        </w:rPr>
      </w:pPr>
      <w:hyperlink w:anchor="_Toc83382602" w:history="1">
        <w:r w:rsidRPr="0093799D">
          <w:rPr>
            <w:rStyle w:val="Hyperlink"/>
            <w:rFonts w:ascii="Verdana" w:hAnsi="Verdana" w:cs="Times New Roman"/>
            <w:noProof/>
            <w:sz w:val="20"/>
            <w:szCs w:val="20"/>
          </w:rPr>
          <w:t>Chapter 3 Quorum Sensing And Carbon Source Influence Biofilm Structure In Marine Roseobacter Synthetic Communities</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_Toc83382602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31</w:t>
        </w:r>
        <w:r w:rsidRPr="0093799D">
          <w:rPr>
            <w:rFonts w:ascii="Verdana" w:hAnsi="Verdana"/>
            <w:noProof/>
            <w:webHidden/>
            <w:sz w:val="20"/>
            <w:szCs w:val="20"/>
          </w:rPr>
          <w:fldChar w:fldCharType="end"/>
        </w:r>
      </w:hyperlink>
    </w:p>
    <w:p w14:paraId="632B74BC" w14:textId="27A629B7" w:rsidR="00516656" w:rsidRPr="0093799D" w:rsidRDefault="00516656" w:rsidP="00F8165F">
      <w:pPr>
        <w:pStyle w:val="TOC2"/>
        <w:tabs>
          <w:tab w:val="left" w:pos="720"/>
          <w:tab w:val="right" w:leader="dot" w:pos="8630"/>
        </w:tabs>
        <w:rPr>
          <w:rFonts w:ascii="Verdana" w:eastAsiaTheme="minorEastAsia" w:hAnsi="Verdana" w:cstheme="minorBidi"/>
          <w:noProof/>
          <w:sz w:val="20"/>
          <w:szCs w:val="20"/>
        </w:rPr>
      </w:pPr>
      <w:hyperlink w:anchor="_Toc83382603" w:history="1">
        <w:r w:rsidRPr="0093799D">
          <w:rPr>
            <w:rStyle w:val="Hyperlink"/>
            <w:rFonts w:ascii="Verdana" w:hAnsi="Verdana" w:cs="Times New Roman"/>
            <w:noProof/>
            <w:sz w:val="20"/>
            <w:szCs w:val="20"/>
          </w:rPr>
          <w:t>I.</w:t>
        </w:r>
        <w:r w:rsidRPr="0093799D">
          <w:rPr>
            <w:rFonts w:ascii="Verdana" w:eastAsiaTheme="minorEastAsia" w:hAnsi="Verdana" w:cstheme="minorBidi"/>
            <w:noProof/>
            <w:sz w:val="20"/>
            <w:szCs w:val="20"/>
          </w:rPr>
          <w:tab/>
        </w:r>
        <w:r w:rsidRPr="0093799D">
          <w:rPr>
            <w:rStyle w:val="Hyperlink"/>
            <w:rFonts w:ascii="Verdana" w:hAnsi="Verdana" w:cs="Times New Roman"/>
            <w:noProof/>
            <w:sz w:val="20"/>
            <w:szCs w:val="20"/>
          </w:rPr>
          <w:t>Abstract</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_Toc83382603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32</w:t>
        </w:r>
        <w:r w:rsidRPr="0093799D">
          <w:rPr>
            <w:rFonts w:ascii="Verdana" w:hAnsi="Verdana"/>
            <w:noProof/>
            <w:webHidden/>
            <w:sz w:val="20"/>
            <w:szCs w:val="20"/>
          </w:rPr>
          <w:fldChar w:fldCharType="end"/>
        </w:r>
      </w:hyperlink>
    </w:p>
    <w:p w14:paraId="152A2A4A" w14:textId="1AF7B561" w:rsidR="00516656" w:rsidRPr="0093799D" w:rsidRDefault="00516656" w:rsidP="00F8165F">
      <w:pPr>
        <w:pStyle w:val="TOC2"/>
        <w:tabs>
          <w:tab w:val="left" w:pos="960"/>
          <w:tab w:val="right" w:leader="dot" w:pos="8630"/>
        </w:tabs>
        <w:rPr>
          <w:rFonts w:ascii="Verdana" w:eastAsiaTheme="minorEastAsia" w:hAnsi="Verdana" w:cstheme="minorBidi"/>
          <w:noProof/>
          <w:sz w:val="20"/>
          <w:szCs w:val="20"/>
        </w:rPr>
      </w:pPr>
      <w:hyperlink w:anchor="_Toc83382604" w:history="1">
        <w:r w:rsidRPr="0093799D">
          <w:rPr>
            <w:rStyle w:val="Hyperlink"/>
            <w:rFonts w:ascii="Verdana" w:hAnsi="Verdana" w:cs="Times New Roman"/>
            <w:noProof/>
            <w:sz w:val="20"/>
            <w:szCs w:val="20"/>
          </w:rPr>
          <w:t>II.</w:t>
        </w:r>
        <w:r w:rsidRPr="0093799D">
          <w:rPr>
            <w:rFonts w:ascii="Verdana" w:eastAsiaTheme="minorEastAsia" w:hAnsi="Verdana" w:cstheme="minorBidi"/>
            <w:noProof/>
            <w:sz w:val="20"/>
            <w:szCs w:val="20"/>
          </w:rPr>
          <w:tab/>
        </w:r>
        <w:r w:rsidRPr="0093799D">
          <w:rPr>
            <w:rStyle w:val="Hyperlink"/>
            <w:rFonts w:ascii="Verdana" w:hAnsi="Verdana" w:cs="Times New Roman"/>
            <w:noProof/>
            <w:sz w:val="20"/>
            <w:szCs w:val="20"/>
          </w:rPr>
          <w:t>Introduction</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_Toc83382604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33</w:t>
        </w:r>
        <w:r w:rsidRPr="0093799D">
          <w:rPr>
            <w:rFonts w:ascii="Verdana" w:hAnsi="Verdana"/>
            <w:noProof/>
            <w:webHidden/>
            <w:sz w:val="20"/>
            <w:szCs w:val="20"/>
          </w:rPr>
          <w:fldChar w:fldCharType="end"/>
        </w:r>
      </w:hyperlink>
    </w:p>
    <w:p w14:paraId="0DA51222" w14:textId="183C0ADD" w:rsidR="00516656" w:rsidRPr="0093799D" w:rsidRDefault="00516656" w:rsidP="00F8165F">
      <w:pPr>
        <w:pStyle w:val="TOC2"/>
        <w:tabs>
          <w:tab w:val="left" w:pos="960"/>
          <w:tab w:val="right" w:leader="dot" w:pos="8630"/>
        </w:tabs>
        <w:rPr>
          <w:rFonts w:ascii="Verdana" w:eastAsiaTheme="minorEastAsia" w:hAnsi="Verdana" w:cstheme="minorBidi"/>
          <w:noProof/>
          <w:sz w:val="20"/>
          <w:szCs w:val="20"/>
        </w:rPr>
      </w:pPr>
      <w:hyperlink w:anchor="_Toc83382605" w:history="1">
        <w:r w:rsidRPr="0093799D">
          <w:rPr>
            <w:rStyle w:val="Hyperlink"/>
            <w:rFonts w:ascii="Verdana" w:hAnsi="Verdana" w:cs="Times New Roman"/>
            <w:noProof/>
            <w:sz w:val="20"/>
            <w:szCs w:val="20"/>
          </w:rPr>
          <w:t>III.</w:t>
        </w:r>
        <w:r w:rsidRPr="0093799D">
          <w:rPr>
            <w:rFonts w:ascii="Verdana" w:eastAsiaTheme="minorEastAsia" w:hAnsi="Verdana" w:cstheme="minorBidi"/>
            <w:noProof/>
            <w:sz w:val="20"/>
            <w:szCs w:val="20"/>
          </w:rPr>
          <w:tab/>
        </w:r>
        <w:r w:rsidRPr="0093799D">
          <w:rPr>
            <w:rStyle w:val="Hyperlink"/>
            <w:rFonts w:ascii="Verdana" w:hAnsi="Verdana" w:cs="Times New Roman"/>
            <w:noProof/>
            <w:sz w:val="20"/>
            <w:szCs w:val="20"/>
          </w:rPr>
          <w:t>Materials and Methods</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_Toc83382605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33</w:t>
        </w:r>
        <w:r w:rsidRPr="0093799D">
          <w:rPr>
            <w:rFonts w:ascii="Verdana" w:hAnsi="Verdana"/>
            <w:noProof/>
            <w:webHidden/>
            <w:sz w:val="20"/>
            <w:szCs w:val="20"/>
          </w:rPr>
          <w:fldChar w:fldCharType="end"/>
        </w:r>
      </w:hyperlink>
    </w:p>
    <w:p w14:paraId="10B54D24" w14:textId="7C24DDAF" w:rsidR="00516656" w:rsidRPr="0093799D" w:rsidRDefault="00516656" w:rsidP="00F8165F">
      <w:pPr>
        <w:pStyle w:val="TOC2"/>
        <w:tabs>
          <w:tab w:val="left" w:pos="960"/>
          <w:tab w:val="right" w:leader="dot" w:pos="8630"/>
        </w:tabs>
        <w:rPr>
          <w:rFonts w:ascii="Verdana" w:eastAsiaTheme="minorEastAsia" w:hAnsi="Verdana" w:cstheme="minorBidi"/>
          <w:noProof/>
          <w:sz w:val="20"/>
          <w:szCs w:val="20"/>
        </w:rPr>
      </w:pPr>
      <w:hyperlink w:anchor="_Toc83382606" w:history="1">
        <w:r w:rsidRPr="0093799D">
          <w:rPr>
            <w:rStyle w:val="Hyperlink"/>
            <w:rFonts w:ascii="Verdana" w:hAnsi="Verdana" w:cs="Times New Roman"/>
            <w:noProof/>
            <w:sz w:val="20"/>
            <w:szCs w:val="20"/>
          </w:rPr>
          <w:t>IV.</w:t>
        </w:r>
        <w:r w:rsidRPr="0093799D">
          <w:rPr>
            <w:rFonts w:ascii="Verdana" w:eastAsiaTheme="minorEastAsia" w:hAnsi="Verdana" w:cstheme="minorBidi"/>
            <w:noProof/>
            <w:sz w:val="20"/>
            <w:szCs w:val="20"/>
          </w:rPr>
          <w:tab/>
        </w:r>
        <w:r w:rsidRPr="0093799D">
          <w:rPr>
            <w:rStyle w:val="Hyperlink"/>
            <w:rFonts w:ascii="Verdana" w:hAnsi="Verdana" w:cs="Times New Roman"/>
            <w:noProof/>
            <w:sz w:val="20"/>
            <w:szCs w:val="20"/>
          </w:rPr>
          <w:t>Results</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_Toc83382606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35</w:t>
        </w:r>
        <w:r w:rsidRPr="0093799D">
          <w:rPr>
            <w:rFonts w:ascii="Verdana" w:hAnsi="Verdana"/>
            <w:noProof/>
            <w:webHidden/>
            <w:sz w:val="20"/>
            <w:szCs w:val="20"/>
          </w:rPr>
          <w:fldChar w:fldCharType="end"/>
        </w:r>
      </w:hyperlink>
    </w:p>
    <w:p w14:paraId="165D06B1" w14:textId="5957323F" w:rsidR="00516656" w:rsidRPr="0093799D" w:rsidRDefault="00516656" w:rsidP="00F8165F">
      <w:pPr>
        <w:pStyle w:val="TOC2"/>
        <w:tabs>
          <w:tab w:val="left" w:pos="720"/>
          <w:tab w:val="right" w:leader="dot" w:pos="8630"/>
        </w:tabs>
        <w:rPr>
          <w:rFonts w:ascii="Verdana" w:eastAsiaTheme="minorEastAsia" w:hAnsi="Verdana" w:cstheme="minorBidi"/>
          <w:noProof/>
          <w:sz w:val="20"/>
          <w:szCs w:val="20"/>
        </w:rPr>
      </w:pPr>
      <w:hyperlink w:anchor="_Toc83382607" w:history="1">
        <w:r w:rsidRPr="0093799D">
          <w:rPr>
            <w:rStyle w:val="Hyperlink"/>
            <w:rFonts w:ascii="Verdana" w:hAnsi="Verdana" w:cs="Times New Roman"/>
            <w:noProof/>
            <w:sz w:val="20"/>
            <w:szCs w:val="20"/>
          </w:rPr>
          <w:t>V.</w:t>
        </w:r>
        <w:r w:rsidRPr="0093799D">
          <w:rPr>
            <w:rFonts w:ascii="Verdana" w:eastAsiaTheme="minorEastAsia" w:hAnsi="Verdana" w:cstheme="minorBidi"/>
            <w:noProof/>
            <w:sz w:val="20"/>
            <w:szCs w:val="20"/>
          </w:rPr>
          <w:tab/>
        </w:r>
        <w:r w:rsidRPr="0093799D">
          <w:rPr>
            <w:rStyle w:val="Hyperlink"/>
            <w:rFonts w:ascii="Verdana" w:hAnsi="Verdana" w:cs="Times New Roman"/>
            <w:noProof/>
            <w:sz w:val="20"/>
            <w:szCs w:val="20"/>
          </w:rPr>
          <w:t>Discussion</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_Toc83382607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35</w:t>
        </w:r>
        <w:r w:rsidRPr="0093799D">
          <w:rPr>
            <w:rFonts w:ascii="Verdana" w:hAnsi="Verdana"/>
            <w:noProof/>
            <w:webHidden/>
            <w:sz w:val="20"/>
            <w:szCs w:val="20"/>
          </w:rPr>
          <w:fldChar w:fldCharType="end"/>
        </w:r>
      </w:hyperlink>
    </w:p>
    <w:p w14:paraId="09D67903" w14:textId="6AFF2F45" w:rsidR="00516656" w:rsidRPr="0093799D" w:rsidRDefault="00516656" w:rsidP="00F8165F">
      <w:pPr>
        <w:pStyle w:val="TOC2"/>
        <w:tabs>
          <w:tab w:val="right" w:leader="dot" w:pos="8630"/>
        </w:tabs>
        <w:rPr>
          <w:rFonts w:ascii="Verdana" w:eastAsiaTheme="minorEastAsia" w:hAnsi="Verdana" w:cstheme="minorBidi"/>
          <w:noProof/>
          <w:sz w:val="20"/>
          <w:szCs w:val="20"/>
        </w:rPr>
      </w:pPr>
      <w:hyperlink w:anchor="_Toc83382608" w:history="1">
        <w:r w:rsidRPr="0093799D">
          <w:rPr>
            <w:rStyle w:val="Hyperlink"/>
            <w:rFonts w:ascii="Verdana" w:hAnsi="Verdana" w:cs="Times New Roman"/>
            <w:noProof/>
            <w:sz w:val="20"/>
            <w:szCs w:val="20"/>
          </w:rPr>
          <w:t>References</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_Toc83382608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36</w:t>
        </w:r>
        <w:r w:rsidRPr="0093799D">
          <w:rPr>
            <w:rFonts w:ascii="Verdana" w:hAnsi="Verdana"/>
            <w:noProof/>
            <w:webHidden/>
            <w:sz w:val="20"/>
            <w:szCs w:val="20"/>
          </w:rPr>
          <w:fldChar w:fldCharType="end"/>
        </w:r>
      </w:hyperlink>
    </w:p>
    <w:p w14:paraId="03ED3139" w14:textId="50336051" w:rsidR="00516656" w:rsidRPr="0093799D" w:rsidRDefault="00516656" w:rsidP="00F8165F">
      <w:pPr>
        <w:pStyle w:val="TOC2"/>
        <w:tabs>
          <w:tab w:val="right" w:leader="dot" w:pos="8630"/>
        </w:tabs>
        <w:rPr>
          <w:rFonts w:ascii="Verdana" w:eastAsiaTheme="minorEastAsia" w:hAnsi="Verdana" w:cstheme="minorBidi"/>
          <w:noProof/>
          <w:sz w:val="20"/>
          <w:szCs w:val="20"/>
        </w:rPr>
      </w:pPr>
      <w:hyperlink w:anchor="_Toc83382609" w:history="1">
        <w:r w:rsidRPr="0093799D">
          <w:rPr>
            <w:rStyle w:val="Hyperlink"/>
            <w:rFonts w:ascii="Verdana" w:hAnsi="Verdana" w:cs="Times New Roman"/>
            <w:noProof/>
            <w:sz w:val="20"/>
            <w:szCs w:val="20"/>
          </w:rPr>
          <w:t>Appendix: Tables</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_Toc83382609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37</w:t>
        </w:r>
        <w:r w:rsidRPr="0093799D">
          <w:rPr>
            <w:rFonts w:ascii="Verdana" w:hAnsi="Verdana"/>
            <w:noProof/>
            <w:webHidden/>
            <w:sz w:val="20"/>
            <w:szCs w:val="20"/>
          </w:rPr>
          <w:fldChar w:fldCharType="end"/>
        </w:r>
      </w:hyperlink>
    </w:p>
    <w:p w14:paraId="3D8615F9" w14:textId="5914C49F" w:rsidR="00516656" w:rsidRPr="0093799D" w:rsidRDefault="00516656" w:rsidP="00F8165F">
      <w:pPr>
        <w:pStyle w:val="TOC2"/>
        <w:tabs>
          <w:tab w:val="right" w:leader="dot" w:pos="8630"/>
        </w:tabs>
        <w:rPr>
          <w:rFonts w:ascii="Verdana" w:eastAsiaTheme="minorEastAsia" w:hAnsi="Verdana" w:cstheme="minorBidi"/>
          <w:noProof/>
          <w:sz w:val="20"/>
          <w:szCs w:val="20"/>
        </w:rPr>
      </w:pPr>
      <w:hyperlink w:anchor="_Toc83382610" w:history="1">
        <w:r w:rsidRPr="0093799D">
          <w:rPr>
            <w:rStyle w:val="Hyperlink"/>
            <w:rFonts w:ascii="Verdana" w:hAnsi="Verdana" w:cs="Times New Roman"/>
            <w:noProof/>
            <w:sz w:val="20"/>
            <w:szCs w:val="20"/>
          </w:rPr>
          <w:t>Appendix: Figures</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_Toc83382610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39</w:t>
        </w:r>
        <w:r w:rsidRPr="0093799D">
          <w:rPr>
            <w:rFonts w:ascii="Verdana" w:hAnsi="Verdana"/>
            <w:noProof/>
            <w:webHidden/>
            <w:sz w:val="20"/>
            <w:szCs w:val="20"/>
          </w:rPr>
          <w:fldChar w:fldCharType="end"/>
        </w:r>
      </w:hyperlink>
    </w:p>
    <w:p w14:paraId="5C05C91F" w14:textId="7964A252" w:rsidR="00516656" w:rsidRPr="0093799D" w:rsidRDefault="00516656" w:rsidP="00F8165F">
      <w:pPr>
        <w:pStyle w:val="TOC2"/>
        <w:tabs>
          <w:tab w:val="right" w:leader="dot" w:pos="8630"/>
        </w:tabs>
        <w:rPr>
          <w:rFonts w:ascii="Verdana" w:eastAsiaTheme="minorEastAsia" w:hAnsi="Verdana" w:cstheme="minorBidi"/>
          <w:noProof/>
          <w:sz w:val="20"/>
          <w:szCs w:val="20"/>
        </w:rPr>
      </w:pPr>
      <w:hyperlink w:anchor="_Toc83382611" w:history="1">
        <w:r w:rsidRPr="0093799D">
          <w:rPr>
            <w:rStyle w:val="Hyperlink"/>
            <w:rFonts w:ascii="Verdana" w:hAnsi="Verdana" w:cs="Times New Roman"/>
            <w:noProof/>
            <w:sz w:val="20"/>
            <w:szCs w:val="20"/>
          </w:rPr>
          <w:t>Appendix: Supplemental Materials</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_Toc83382611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46</w:t>
        </w:r>
        <w:r w:rsidRPr="0093799D">
          <w:rPr>
            <w:rFonts w:ascii="Verdana" w:hAnsi="Verdana"/>
            <w:noProof/>
            <w:webHidden/>
            <w:sz w:val="20"/>
            <w:szCs w:val="20"/>
          </w:rPr>
          <w:fldChar w:fldCharType="end"/>
        </w:r>
      </w:hyperlink>
    </w:p>
    <w:p w14:paraId="65019808" w14:textId="721078CE" w:rsidR="00516656" w:rsidRPr="0093799D" w:rsidRDefault="00516656" w:rsidP="00F8165F">
      <w:pPr>
        <w:pStyle w:val="TOC1"/>
        <w:tabs>
          <w:tab w:val="right" w:leader="dot" w:pos="8630"/>
        </w:tabs>
        <w:rPr>
          <w:rFonts w:ascii="Verdana" w:eastAsiaTheme="minorEastAsia" w:hAnsi="Verdana" w:cstheme="minorBidi"/>
          <w:noProof/>
          <w:sz w:val="20"/>
          <w:szCs w:val="20"/>
        </w:rPr>
      </w:pPr>
      <w:hyperlink w:anchor="_Toc83382612" w:history="1">
        <w:r w:rsidRPr="0093799D">
          <w:rPr>
            <w:rStyle w:val="Hyperlink"/>
            <w:rFonts w:ascii="Verdana" w:hAnsi="Verdana" w:cs="Times New Roman"/>
            <w:noProof/>
            <w:sz w:val="20"/>
            <w:szCs w:val="20"/>
          </w:rPr>
          <w:t>Chapter 4 : Quorum Sensing in Roseobacters: Clade specific Roseobox identifies genes regulated by quorum sensing.</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_Toc83382612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47</w:t>
        </w:r>
        <w:r w:rsidRPr="0093799D">
          <w:rPr>
            <w:rFonts w:ascii="Verdana" w:hAnsi="Verdana"/>
            <w:noProof/>
            <w:webHidden/>
            <w:sz w:val="20"/>
            <w:szCs w:val="20"/>
          </w:rPr>
          <w:fldChar w:fldCharType="end"/>
        </w:r>
      </w:hyperlink>
    </w:p>
    <w:p w14:paraId="093248B8" w14:textId="391C97B1" w:rsidR="00516656" w:rsidRPr="0093799D" w:rsidRDefault="00516656" w:rsidP="00F8165F">
      <w:pPr>
        <w:pStyle w:val="TOC2"/>
        <w:tabs>
          <w:tab w:val="left" w:pos="720"/>
          <w:tab w:val="right" w:leader="dot" w:pos="8630"/>
        </w:tabs>
        <w:rPr>
          <w:rFonts w:ascii="Verdana" w:eastAsiaTheme="minorEastAsia" w:hAnsi="Verdana" w:cstheme="minorBidi"/>
          <w:noProof/>
          <w:sz w:val="20"/>
          <w:szCs w:val="20"/>
        </w:rPr>
      </w:pPr>
      <w:hyperlink w:anchor="_Toc83382613" w:history="1">
        <w:r w:rsidRPr="0093799D">
          <w:rPr>
            <w:rStyle w:val="Hyperlink"/>
            <w:rFonts w:ascii="Verdana" w:hAnsi="Verdana" w:cs="Times New Roman"/>
            <w:noProof/>
            <w:sz w:val="20"/>
            <w:szCs w:val="20"/>
          </w:rPr>
          <w:t>I.</w:t>
        </w:r>
        <w:r w:rsidRPr="0093799D">
          <w:rPr>
            <w:rFonts w:ascii="Verdana" w:eastAsiaTheme="minorEastAsia" w:hAnsi="Verdana" w:cstheme="minorBidi"/>
            <w:noProof/>
            <w:sz w:val="20"/>
            <w:szCs w:val="20"/>
          </w:rPr>
          <w:tab/>
        </w:r>
        <w:r w:rsidRPr="0093799D">
          <w:rPr>
            <w:rStyle w:val="Hyperlink"/>
            <w:rFonts w:ascii="Verdana" w:hAnsi="Verdana" w:cs="Times New Roman"/>
            <w:noProof/>
            <w:sz w:val="20"/>
            <w:szCs w:val="20"/>
          </w:rPr>
          <w:t>Abstract</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_Toc83382613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48</w:t>
        </w:r>
        <w:r w:rsidRPr="0093799D">
          <w:rPr>
            <w:rFonts w:ascii="Verdana" w:hAnsi="Verdana"/>
            <w:noProof/>
            <w:webHidden/>
            <w:sz w:val="20"/>
            <w:szCs w:val="20"/>
          </w:rPr>
          <w:fldChar w:fldCharType="end"/>
        </w:r>
      </w:hyperlink>
    </w:p>
    <w:p w14:paraId="691C7E34" w14:textId="2FD2A82B" w:rsidR="00516656" w:rsidRPr="0093799D" w:rsidRDefault="00516656" w:rsidP="00F8165F">
      <w:pPr>
        <w:pStyle w:val="TOC2"/>
        <w:tabs>
          <w:tab w:val="left" w:pos="960"/>
          <w:tab w:val="right" w:leader="dot" w:pos="8630"/>
        </w:tabs>
        <w:rPr>
          <w:rFonts w:ascii="Verdana" w:eastAsiaTheme="minorEastAsia" w:hAnsi="Verdana" w:cstheme="minorBidi"/>
          <w:noProof/>
          <w:sz w:val="20"/>
          <w:szCs w:val="20"/>
        </w:rPr>
      </w:pPr>
      <w:hyperlink w:anchor="_Toc83382614" w:history="1">
        <w:r w:rsidRPr="0093799D">
          <w:rPr>
            <w:rStyle w:val="Hyperlink"/>
            <w:rFonts w:ascii="Verdana" w:hAnsi="Verdana" w:cs="Times New Roman"/>
            <w:noProof/>
            <w:sz w:val="20"/>
            <w:szCs w:val="20"/>
          </w:rPr>
          <w:t>II.</w:t>
        </w:r>
        <w:r w:rsidRPr="0093799D">
          <w:rPr>
            <w:rFonts w:ascii="Verdana" w:eastAsiaTheme="minorEastAsia" w:hAnsi="Verdana" w:cstheme="minorBidi"/>
            <w:noProof/>
            <w:sz w:val="20"/>
            <w:szCs w:val="20"/>
          </w:rPr>
          <w:tab/>
        </w:r>
        <w:r w:rsidRPr="0093799D">
          <w:rPr>
            <w:rStyle w:val="Hyperlink"/>
            <w:rFonts w:ascii="Verdana" w:hAnsi="Verdana" w:cs="Times New Roman"/>
            <w:noProof/>
            <w:sz w:val="20"/>
            <w:szCs w:val="20"/>
          </w:rPr>
          <w:t>Introduction</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_Toc83382614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49</w:t>
        </w:r>
        <w:r w:rsidRPr="0093799D">
          <w:rPr>
            <w:rFonts w:ascii="Verdana" w:hAnsi="Verdana"/>
            <w:noProof/>
            <w:webHidden/>
            <w:sz w:val="20"/>
            <w:szCs w:val="20"/>
          </w:rPr>
          <w:fldChar w:fldCharType="end"/>
        </w:r>
      </w:hyperlink>
    </w:p>
    <w:p w14:paraId="0522760C" w14:textId="43FDFEBF" w:rsidR="00516656" w:rsidRPr="0093799D" w:rsidRDefault="00516656" w:rsidP="00F8165F">
      <w:pPr>
        <w:pStyle w:val="TOC2"/>
        <w:tabs>
          <w:tab w:val="left" w:pos="960"/>
          <w:tab w:val="right" w:leader="dot" w:pos="8630"/>
        </w:tabs>
        <w:rPr>
          <w:rFonts w:ascii="Verdana" w:eastAsiaTheme="minorEastAsia" w:hAnsi="Verdana" w:cstheme="minorBidi"/>
          <w:noProof/>
          <w:sz w:val="20"/>
          <w:szCs w:val="20"/>
        </w:rPr>
      </w:pPr>
      <w:hyperlink w:anchor="_Toc83382615" w:history="1">
        <w:r w:rsidRPr="0093799D">
          <w:rPr>
            <w:rStyle w:val="Hyperlink"/>
            <w:rFonts w:ascii="Verdana" w:hAnsi="Verdana" w:cs="Times New Roman"/>
            <w:noProof/>
            <w:sz w:val="20"/>
            <w:szCs w:val="20"/>
          </w:rPr>
          <w:t>III.</w:t>
        </w:r>
        <w:r w:rsidRPr="0093799D">
          <w:rPr>
            <w:rFonts w:ascii="Verdana" w:eastAsiaTheme="minorEastAsia" w:hAnsi="Verdana" w:cstheme="minorBidi"/>
            <w:noProof/>
            <w:sz w:val="20"/>
            <w:szCs w:val="20"/>
          </w:rPr>
          <w:tab/>
        </w:r>
        <w:r w:rsidRPr="0093799D">
          <w:rPr>
            <w:rStyle w:val="Hyperlink"/>
            <w:rFonts w:ascii="Verdana" w:hAnsi="Verdana" w:cs="Times New Roman"/>
            <w:noProof/>
            <w:sz w:val="20"/>
            <w:szCs w:val="20"/>
          </w:rPr>
          <w:t>Materials and Methods</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_Toc83382615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50</w:t>
        </w:r>
        <w:r w:rsidRPr="0093799D">
          <w:rPr>
            <w:rFonts w:ascii="Verdana" w:hAnsi="Verdana"/>
            <w:noProof/>
            <w:webHidden/>
            <w:sz w:val="20"/>
            <w:szCs w:val="20"/>
          </w:rPr>
          <w:fldChar w:fldCharType="end"/>
        </w:r>
      </w:hyperlink>
    </w:p>
    <w:p w14:paraId="16176615" w14:textId="6035C6B2" w:rsidR="00516656" w:rsidRPr="0093799D" w:rsidRDefault="00516656" w:rsidP="00F8165F">
      <w:pPr>
        <w:pStyle w:val="TOC2"/>
        <w:tabs>
          <w:tab w:val="left" w:pos="960"/>
          <w:tab w:val="right" w:leader="dot" w:pos="8630"/>
        </w:tabs>
        <w:rPr>
          <w:rFonts w:ascii="Verdana" w:eastAsiaTheme="minorEastAsia" w:hAnsi="Verdana" w:cstheme="minorBidi"/>
          <w:noProof/>
          <w:sz w:val="20"/>
          <w:szCs w:val="20"/>
        </w:rPr>
      </w:pPr>
      <w:hyperlink w:anchor="_Toc83382616" w:history="1">
        <w:r w:rsidRPr="0093799D">
          <w:rPr>
            <w:rStyle w:val="Hyperlink"/>
            <w:rFonts w:ascii="Verdana" w:hAnsi="Verdana" w:cs="Times New Roman"/>
            <w:noProof/>
            <w:sz w:val="20"/>
            <w:szCs w:val="20"/>
          </w:rPr>
          <w:t>IV.</w:t>
        </w:r>
        <w:r w:rsidRPr="0093799D">
          <w:rPr>
            <w:rFonts w:ascii="Verdana" w:eastAsiaTheme="minorEastAsia" w:hAnsi="Verdana" w:cstheme="minorBidi"/>
            <w:noProof/>
            <w:sz w:val="20"/>
            <w:szCs w:val="20"/>
          </w:rPr>
          <w:tab/>
        </w:r>
        <w:r w:rsidRPr="0093799D">
          <w:rPr>
            <w:rStyle w:val="Hyperlink"/>
            <w:rFonts w:ascii="Verdana" w:hAnsi="Verdana" w:cs="Times New Roman"/>
            <w:noProof/>
            <w:sz w:val="20"/>
            <w:szCs w:val="20"/>
          </w:rPr>
          <w:t>Results</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_Toc83382616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50</w:t>
        </w:r>
        <w:r w:rsidRPr="0093799D">
          <w:rPr>
            <w:rFonts w:ascii="Verdana" w:hAnsi="Verdana"/>
            <w:noProof/>
            <w:webHidden/>
            <w:sz w:val="20"/>
            <w:szCs w:val="20"/>
          </w:rPr>
          <w:fldChar w:fldCharType="end"/>
        </w:r>
      </w:hyperlink>
    </w:p>
    <w:p w14:paraId="1AB3DE31" w14:textId="5675706B" w:rsidR="00516656" w:rsidRPr="0093799D" w:rsidRDefault="00516656" w:rsidP="00F8165F">
      <w:pPr>
        <w:pStyle w:val="TOC2"/>
        <w:tabs>
          <w:tab w:val="left" w:pos="720"/>
          <w:tab w:val="right" w:leader="dot" w:pos="8630"/>
        </w:tabs>
        <w:rPr>
          <w:rFonts w:ascii="Verdana" w:eastAsiaTheme="minorEastAsia" w:hAnsi="Verdana" w:cstheme="minorBidi"/>
          <w:noProof/>
          <w:sz w:val="20"/>
          <w:szCs w:val="20"/>
        </w:rPr>
      </w:pPr>
      <w:hyperlink w:anchor="_Toc83382617" w:history="1">
        <w:r w:rsidRPr="0093799D">
          <w:rPr>
            <w:rStyle w:val="Hyperlink"/>
            <w:rFonts w:ascii="Verdana" w:hAnsi="Verdana" w:cs="Times New Roman"/>
            <w:noProof/>
            <w:sz w:val="20"/>
            <w:szCs w:val="20"/>
          </w:rPr>
          <w:t>V.</w:t>
        </w:r>
        <w:r w:rsidRPr="0093799D">
          <w:rPr>
            <w:rFonts w:ascii="Verdana" w:eastAsiaTheme="minorEastAsia" w:hAnsi="Verdana" w:cstheme="minorBidi"/>
            <w:noProof/>
            <w:sz w:val="20"/>
            <w:szCs w:val="20"/>
          </w:rPr>
          <w:tab/>
        </w:r>
        <w:r w:rsidRPr="0093799D">
          <w:rPr>
            <w:rStyle w:val="Hyperlink"/>
            <w:rFonts w:ascii="Verdana" w:hAnsi="Verdana" w:cs="Times New Roman"/>
            <w:noProof/>
            <w:sz w:val="20"/>
            <w:szCs w:val="20"/>
          </w:rPr>
          <w:t>Discussion</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_Toc83382617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50</w:t>
        </w:r>
        <w:r w:rsidRPr="0093799D">
          <w:rPr>
            <w:rFonts w:ascii="Verdana" w:hAnsi="Verdana"/>
            <w:noProof/>
            <w:webHidden/>
            <w:sz w:val="20"/>
            <w:szCs w:val="20"/>
          </w:rPr>
          <w:fldChar w:fldCharType="end"/>
        </w:r>
      </w:hyperlink>
    </w:p>
    <w:p w14:paraId="015FB7E0" w14:textId="087A53ED" w:rsidR="00516656" w:rsidRPr="0093799D" w:rsidRDefault="00516656" w:rsidP="00F8165F">
      <w:pPr>
        <w:pStyle w:val="TOC2"/>
        <w:tabs>
          <w:tab w:val="left" w:pos="960"/>
          <w:tab w:val="right" w:leader="dot" w:pos="8630"/>
        </w:tabs>
        <w:rPr>
          <w:rFonts w:ascii="Verdana" w:eastAsiaTheme="minorEastAsia" w:hAnsi="Verdana" w:cstheme="minorBidi"/>
          <w:noProof/>
          <w:sz w:val="20"/>
          <w:szCs w:val="20"/>
        </w:rPr>
      </w:pPr>
      <w:hyperlink w:anchor="_Toc83382618" w:history="1">
        <w:r w:rsidRPr="0093799D">
          <w:rPr>
            <w:rStyle w:val="Hyperlink"/>
            <w:rFonts w:ascii="Verdana" w:hAnsi="Verdana" w:cs="Times New Roman"/>
            <w:noProof/>
            <w:sz w:val="20"/>
            <w:szCs w:val="20"/>
          </w:rPr>
          <w:t>VI.</w:t>
        </w:r>
        <w:r w:rsidRPr="0093799D">
          <w:rPr>
            <w:rFonts w:ascii="Verdana" w:eastAsiaTheme="minorEastAsia" w:hAnsi="Verdana" w:cstheme="minorBidi"/>
            <w:noProof/>
            <w:sz w:val="20"/>
            <w:szCs w:val="20"/>
          </w:rPr>
          <w:tab/>
        </w:r>
        <w:r w:rsidRPr="0093799D">
          <w:rPr>
            <w:rStyle w:val="Hyperlink"/>
            <w:rFonts w:ascii="Verdana" w:hAnsi="Verdana" w:cs="Times New Roman"/>
            <w:noProof/>
            <w:sz w:val="20"/>
            <w:szCs w:val="20"/>
          </w:rPr>
          <w:t>References</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_Toc83382618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51</w:t>
        </w:r>
        <w:r w:rsidRPr="0093799D">
          <w:rPr>
            <w:rFonts w:ascii="Verdana" w:hAnsi="Verdana"/>
            <w:noProof/>
            <w:webHidden/>
            <w:sz w:val="20"/>
            <w:szCs w:val="20"/>
          </w:rPr>
          <w:fldChar w:fldCharType="end"/>
        </w:r>
      </w:hyperlink>
    </w:p>
    <w:p w14:paraId="501DB715" w14:textId="46FD6451" w:rsidR="00516656" w:rsidRPr="0093799D" w:rsidRDefault="00516656" w:rsidP="00F8165F">
      <w:pPr>
        <w:pStyle w:val="TOC2"/>
        <w:tabs>
          <w:tab w:val="right" w:leader="dot" w:pos="8630"/>
        </w:tabs>
        <w:rPr>
          <w:rFonts w:ascii="Verdana" w:eastAsiaTheme="minorEastAsia" w:hAnsi="Verdana" w:cstheme="minorBidi"/>
          <w:noProof/>
          <w:sz w:val="20"/>
          <w:szCs w:val="20"/>
        </w:rPr>
      </w:pPr>
      <w:hyperlink w:anchor="_Toc83382619" w:history="1">
        <w:r w:rsidRPr="0093799D">
          <w:rPr>
            <w:rStyle w:val="Hyperlink"/>
            <w:rFonts w:ascii="Verdana" w:hAnsi="Verdana" w:cs="Times New Roman"/>
            <w:noProof/>
            <w:sz w:val="20"/>
            <w:szCs w:val="20"/>
          </w:rPr>
          <w:t>Appendix: Figures</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_Toc83382619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51</w:t>
        </w:r>
        <w:r w:rsidRPr="0093799D">
          <w:rPr>
            <w:rFonts w:ascii="Verdana" w:hAnsi="Verdana"/>
            <w:noProof/>
            <w:webHidden/>
            <w:sz w:val="20"/>
            <w:szCs w:val="20"/>
          </w:rPr>
          <w:fldChar w:fldCharType="end"/>
        </w:r>
      </w:hyperlink>
    </w:p>
    <w:p w14:paraId="1F058F00" w14:textId="4E1D8877" w:rsidR="00516656" w:rsidRPr="0093799D" w:rsidRDefault="00516656" w:rsidP="00F8165F">
      <w:pPr>
        <w:pStyle w:val="TOC1"/>
        <w:tabs>
          <w:tab w:val="right" w:leader="dot" w:pos="8630"/>
        </w:tabs>
        <w:rPr>
          <w:rFonts w:ascii="Verdana" w:eastAsiaTheme="minorEastAsia" w:hAnsi="Verdana" w:cstheme="minorBidi"/>
          <w:noProof/>
          <w:sz w:val="20"/>
          <w:szCs w:val="20"/>
        </w:rPr>
      </w:pPr>
      <w:hyperlink w:anchor="_Toc83382620" w:history="1">
        <w:r w:rsidRPr="0093799D">
          <w:rPr>
            <w:rStyle w:val="Hyperlink"/>
            <w:rFonts w:ascii="Verdana" w:hAnsi="Verdana" w:cs="Times New Roman"/>
            <w:noProof/>
            <w:sz w:val="20"/>
            <w:szCs w:val="20"/>
          </w:rPr>
          <w:t>Chapter 5 CONCLUSION</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_Toc83382620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52</w:t>
        </w:r>
        <w:r w:rsidRPr="0093799D">
          <w:rPr>
            <w:rFonts w:ascii="Verdana" w:hAnsi="Verdana"/>
            <w:noProof/>
            <w:webHidden/>
            <w:sz w:val="20"/>
            <w:szCs w:val="20"/>
          </w:rPr>
          <w:fldChar w:fldCharType="end"/>
        </w:r>
      </w:hyperlink>
    </w:p>
    <w:p w14:paraId="334BC74C" w14:textId="26C79301" w:rsidR="00516656" w:rsidRPr="0093799D" w:rsidRDefault="00516656" w:rsidP="00F8165F">
      <w:pPr>
        <w:pStyle w:val="TOC1"/>
        <w:tabs>
          <w:tab w:val="right" w:leader="dot" w:pos="8630"/>
        </w:tabs>
        <w:rPr>
          <w:rFonts w:ascii="Verdana" w:eastAsiaTheme="minorEastAsia" w:hAnsi="Verdana" w:cstheme="minorBidi"/>
          <w:noProof/>
          <w:sz w:val="20"/>
          <w:szCs w:val="20"/>
        </w:rPr>
      </w:pPr>
      <w:hyperlink w:anchor="_Toc83382621" w:history="1">
        <w:r w:rsidRPr="0093799D">
          <w:rPr>
            <w:rStyle w:val="Hyperlink"/>
            <w:rFonts w:ascii="Verdana" w:hAnsi="Verdana" w:cs="Times New Roman"/>
            <w:noProof/>
            <w:sz w:val="20"/>
            <w:szCs w:val="20"/>
          </w:rPr>
          <w:t>VITA</w:t>
        </w:r>
        <w:r w:rsidRPr="0093799D">
          <w:rPr>
            <w:rFonts w:ascii="Verdana" w:hAnsi="Verdana"/>
            <w:noProof/>
            <w:webHidden/>
            <w:sz w:val="20"/>
            <w:szCs w:val="20"/>
          </w:rPr>
          <w:tab/>
        </w:r>
        <w:r w:rsidRPr="0093799D">
          <w:rPr>
            <w:rFonts w:ascii="Verdana" w:hAnsi="Verdana"/>
            <w:noProof/>
            <w:webHidden/>
            <w:sz w:val="20"/>
            <w:szCs w:val="20"/>
          </w:rPr>
          <w:fldChar w:fldCharType="begin"/>
        </w:r>
        <w:r w:rsidRPr="0093799D">
          <w:rPr>
            <w:rFonts w:ascii="Verdana" w:hAnsi="Verdana"/>
            <w:noProof/>
            <w:webHidden/>
            <w:sz w:val="20"/>
            <w:szCs w:val="20"/>
          </w:rPr>
          <w:instrText xml:space="preserve"> PAGEREF _Toc83382621 \h </w:instrText>
        </w:r>
        <w:r w:rsidRPr="0093799D">
          <w:rPr>
            <w:rFonts w:ascii="Verdana" w:hAnsi="Verdana"/>
            <w:noProof/>
            <w:webHidden/>
            <w:sz w:val="20"/>
            <w:szCs w:val="20"/>
          </w:rPr>
        </w:r>
        <w:r w:rsidRPr="0093799D">
          <w:rPr>
            <w:rFonts w:ascii="Verdana" w:hAnsi="Verdana"/>
            <w:noProof/>
            <w:webHidden/>
            <w:sz w:val="20"/>
            <w:szCs w:val="20"/>
          </w:rPr>
          <w:fldChar w:fldCharType="separate"/>
        </w:r>
        <w:r w:rsidRPr="0093799D">
          <w:rPr>
            <w:rFonts w:ascii="Verdana" w:hAnsi="Verdana"/>
            <w:noProof/>
            <w:webHidden/>
            <w:sz w:val="20"/>
            <w:szCs w:val="20"/>
          </w:rPr>
          <w:t>53</w:t>
        </w:r>
        <w:r w:rsidRPr="0093799D">
          <w:rPr>
            <w:rFonts w:ascii="Verdana" w:hAnsi="Verdana"/>
            <w:noProof/>
            <w:webHidden/>
            <w:sz w:val="20"/>
            <w:szCs w:val="20"/>
          </w:rPr>
          <w:fldChar w:fldCharType="end"/>
        </w:r>
      </w:hyperlink>
    </w:p>
    <w:p w14:paraId="7C2E550F" w14:textId="7D296F58" w:rsidR="00387656" w:rsidRPr="0093799D" w:rsidRDefault="00387656" w:rsidP="00F8165F">
      <w:pPr>
        <w:jc w:val="both"/>
        <w:rPr>
          <w:rFonts w:ascii="Verdana" w:hAnsi="Verdana" w:cs="Times New Roman"/>
          <w:sz w:val="20"/>
          <w:szCs w:val="20"/>
        </w:rPr>
      </w:pPr>
      <w:r w:rsidRPr="0093799D">
        <w:rPr>
          <w:rFonts w:ascii="Verdana" w:hAnsi="Verdana" w:cs="Times New Roman"/>
          <w:b/>
          <w:bCs/>
          <w:noProof/>
          <w:sz w:val="20"/>
          <w:szCs w:val="20"/>
        </w:rPr>
        <w:fldChar w:fldCharType="end"/>
      </w:r>
    </w:p>
    <w:p w14:paraId="18820BC0" w14:textId="77777777" w:rsidR="00387656" w:rsidRPr="00C51113" w:rsidRDefault="009C755C" w:rsidP="00F8165F">
      <w:pPr>
        <w:pStyle w:val="Title"/>
        <w:jc w:val="both"/>
        <w:rPr>
          <w:rFonts w:ascii="Verdana" w:hAnsi="Verdana" w:cs="Times New Roman"/>
          <w:sz w:val="18"/>
          <w:szCs w:val="18"/>
        </w:rPr>
      </w:pPr>
      <w:r w:rsidRPr="00C51113">
        <w:rPr>
          <w:rFonts w:ascii="Verdana" w:hAnsi="Verdana" w:cs="Times New Roman"/>
          <w:sz w:val="18"/>
          <w:szCs w:val="18"/>
        </w:rPr>
        <w:br w:type="page"/>
      </w:r>
    </w:p>
    <w:p w14:paraId="16F71381" w14:textId="4F28833C" w:rsidR="00387656" w:rsidRDefault="00387656" w:rsidP="00677C01">
      <w:pPr>
        <w:pStyle w:val="Title"/>
        <w:spacing w:before="240"/>
        <w:jc w:val="both"/>
        <w:rPr>
          <w:rFonts w:ascii="Verdana" w:hAnsi="Verdana" w:cs="Times New Roman"/>
          <w:sz w:val="20"/>
          <w:szCs w:val="20"/>
        </w:rPr>
      </w:pPr>
      <w:r w:rsidRPr="0093799D">
        <w:rPr>
          <w:rFonts w:ascii="Verdana" w:hAnsi="Verdana" w:cs="Times New Roman"/>
          <w:sz w:val="20"/>
          <w:szCs w:val="20"/>
        </w:rPr>
        <w:lastRenderedPageBreak/>
        <w:t>LIST OF TABLES</w:t>
      </w:r>
    </w:p>
    <w:p w14:paraId="603F6F02" w14:textId="77777777" w:rsidR="00F8165F" w:rsidRPr="0093799D" w:rsidRDefault="00F8165F" w:rsidP="00677C01">
      <w:pPr>
        <w:pStyle w:val="Title"/>
        <w:spacing w:before="240"/>
        <w:jc w:val="both"/>
        <w:rPr>
          <w:rFonts w:ascii="Verdana" w:hAnsi="Verdana" w:cs="Times New Roman"/>
          <w:sz w:val="20"/>
          <w:szCs w:val="20"/>
        </w:rPr>
      </w:pPr>
    </w:p>
    <w:p w14:paraId="5B37E84F" w14:textId="739E7EC0" w:rsidR="00F8165F" w:rsidRPr="00F8165F" w:rsidRDefault="00387656">
      <w:pPr>
        <w:pStyle w:val="TableofFigures"/>
        <w:tabs>
          <w:tab w:val="right" w:leader="dot" w:pos="8630"/>
        </w:tabs>
        <w:rPr>
          <w:rFonts w:asciiTheme="minorHAnsi" w:eastAsiaTheme="minorEastAsia" w:hAnsiTheme="minorHAnsi" w:cstheme="minorBidi"/>
          <w:noProof/>
          <w:sz w:val="20"/>
          <w:szCs w:val="20"/>
        </w:rPr>
      </w:pPr>
      <w:r w:rsidRPr="0093799D">
        <w:rPr>
          <w:rFonts w:cs="Times New Roman"/>
          <w:sz w:val="20"/>
          <w:szCs w:val="20"/>
        </w:rPr>
        <w:fldChar w:fldCharType="begin"/>
      </w:r>
      <w:r w:rsidRPr="0093799D">
        <w:rPr>
          <w:rFonts w:cs="Times New Roman"/>
          <w:sz w:val="20"/>
          <w:szCs w:val="20"/>
        </w:rPr>
        <w:instrText xml:space="preserve"> TOC \h \z \c "Table" </w:instrText>
      </w:r>
      <w:r w:rsidRPr="0093799D">
        <w:rPr>
          <w:rFonts w:cs="Times New Roman"/>
          <w:sz w:val="20"/>
          <w:szCs w:val="20"/>
        </w:rPr>
        <w:fldChar w:fldCharType="separate"/>
      </w:r>
      <w:hyperlink w:anchor="_Toc83387909" w:history="1">
        <w:r w:rsidR="00F8165F" w:rsidRPr="00F8165F">
          <w:rPr>
            <w:rStyle w:val="Hyperlink"/>
            <w:noProof/>
            <w:sz w:val="20"/>
            <w:szCs w:val="20"/>
          </w:rPr>
          <w:t>Table 2.1 Y4I variant phenotypes</w:t>
        </w:r>
        <w:r w:rsidR="00F8165F" w:rsidRPr="00F8165F">
          <w:rPr>
            <w:noProof/>
            <w:webHidden/>
            <w:sz w:val="20"/>
            <w:szCs w:val="20"/>
          </w:rPr>
          <w:tab/>
        </w:r>
        <w:r w:rsidR="00F8165F" w:rsidRPr="00F8165F">
          <w:rPr>
            <w:noProof/>
            <w:webHidden/>
            <w:sz w:val="20"/>
            <w:szCs w:val="20"/>
          </w:rPr>
          <w:fldChar w:fldCharType="begin"/>
        </w:r>
        <w:r w:rsidR="00F8165F" w:rsidRPr="00F8165F">
          <w:rPr>
            <w:noProof/>
            <w:webHidden/>
            <w:sz w:val="20"/>
            <w:szCs w:val="20"/>
          </w:rPr>
          <w:instrText xml:space="preserve"> PAGEREF _Toc83387909 \h </w:instrText>
        </w:r>
        <w:r w:rsidR="00F8165F" w:rsidRPr="00F8165F">
          <w:rPr>
            <w:noProof/>
            <w:webHidden/>
            <w:sz w:val="20"/>
            <w:szCs w:val="20"/>
          </w:rPr>
        </w:r>
        <w:r w:rsidR="00F8165F" w:rsidRPr="00F8165F">
          <w:rPr>
            <w:noProof/>
            <w:webHidden/>
            <w:sz w:val="20"/>
            <w:szCs w:val="20"/>
          </w:rPr>
          <w:fldChar w:fldCharType="separate"/>
        </w:r>
        <w:r w:rsidR="00F8165F" w:rsidRPr="00F8165F">
          <w:rPr>
            <w:noProof/>
            <w:webHidden/>
            <w:sz w:val="20"/>
            <w:szCs w:val="20"/>
          </w:rPr>
          <w:t>26</w:t>
        </w:r>
        <w:r w:rsidR="00F8165F" w:rsidRPr="00F8165F">
          <w:rPr>
            <w:noProof/>
            <w:webHidden/>
            <w:sz w:val="20"/>
            <w:szCs w:val="20"/>
          </w:rPr>
          <w:fldChar w:fldCharType="end"/>
        </w:r>
      </w:hyperlink>
    </w:p>
    <w:p w14:paraId="0AD803DB" w14:textId="78DB86CF" w:rsidR="00F8165F" w:rsidRPr="00F8165F" w:rsidRDefault="00F8165F">
      <w:pPr>
        <w:pStyle w:val="TableofFigures"/>
        <w:tabs>
          <w:tab w:val="right" w:leader="dot" w:pos="8630"/>
        </w:tabs>
        <w:rPr>
          <w:rFonts w:asciiTheme="minorHAnsi" w:eastAsiaTheme="minorEastAsia" w:hAnsiTheme="minorHAnsi" w:cstheme="minorBidi"/>
          <w:noProof/>
          <w:sz w:val="20"/>
          <w:szCs w:val="20"/>
        </w:rPr>
      </w:pPr>
      <w:hyperlink w:anchor="_Toc83387910" w:history="1">
        <w:r w:rsidRPr="00F8165F">
          <w:rPr>
            <w:rStyle w:val="Hyperlink"/>
            <w:noProof/>
            <w:sz w:val="20"/>
            <w:szCs w:val="20"/>
          </w:rPr>
          <w:t xml:space="preserve">Table 3.1. </w:t>
        </w:r>
        <w:r w:rsidRPr="00F8165F">
          <w:rPr>
            <w:rStyle w:val="Hyperlink"/>
            <w:rFonts w:eastAsia="Verdana" w:cs="Verdana"/>
            <w:noProof/>
            <w:sz w:val="20"/>
            <w:szCs w:val="20"/>
          </w:rPr>
          <w:t xml:space="preserve">Table of community members, their </w:t>
        </w:r>
        <w:r w:rsidRPr="00F8165F">
          <w:rPr>
            <w:rStyle w:val="Hyperlink"/>
            <w:rFonts w:eastAsia="Verdana" w:cs="Verdana"/>
            <w:i/>
            <w:noProof/>
            <w:sz w:val="20"/>
            <w:szCs w:val="20"/>
          </w:rPr>
          <w:t xml:space="preserve">luxRI </w:t>
        </w:r>
        <w:r w:rsidRPr="00F8165F">
          <w:rPr>
            <w:rStyle w:val="Hyperlink"/>
            <w:rFonts w:eastAsia="Verdana" w:cs="Verdana"/>
            <w:noProof/>
            <w:sz w:val="20"/>
            <w:szCs w:val="20"/>
          </w:rPr>
          <w:t>homologous genetic loci, and putative AHLs produced by community members.</w:t>
        </w:r>
        <w:r w:rsidRPr="00F8165F">
          <w:rPr>
            <w:noProof/>
            <w:webHidden/>
            <w:sz w:val="20"/>
            <w:szCs w:val="20"/>
          </w:rPr>
          <w:tab/>
        </w:r>
        <w:r w:rsidRPr="00F8165F">
          <w:rPr>
            <w:noProof/>
            <w:webHidden/>
            <w:sz w:val="20"/>
            <w:szCs w:val="20"/>
          </w:rPr>
          <w:fldChar w:fldCharType="begin"/>
        </w:r>
        <w:r w:rsidRPr="00F8165F">
          <w:rPr>
            <w:noProof/>
            <w:webHidden/>
            <w:sz w:val="20"/>
            <w:szCs w:val="20"/>
          </w:rPr>
          <w:instrText xml:space="preserve"> PAGEREF _Toc83387910 \h </w:instrText>
        </w:r>
        <w:r w:rsidRPr="00F8165F">
          <w:rPr>
            <w:noProof/>
            <w:webHidden/>
            <w:sz w:val="20"/>
            <w:szCs w:val="20"/>
          </w:rPr>
        </w:r>
        <w:r w:rsidRPr="00F8165F">
          <w:rPr>
            <w:noProof/>
            <w:webHidden/>
            <w:sz w:val="20"/>
            <w:szCs w:val="20"/>
          </w:rPr>
          <w:fldChar w:fldCharType="separate"/>
        </w:r>
        <w:r w:rsidRPr="00F8165F">
          <w:rPr>
            <w:noProof/>
            <w:webHidden/>
            <w:sz w:val="20"/>
            <w:szCs w:val="20"/>
          </w:rPr>
          <w:t>53</w:t>
        </w:r>
        <w:r w:rsidRPr="00F8165F">
          <w:rPr>
            <w:noProof/>
            <w:webHidden/>
            <w:sz w:val="20"/>
            <w:szCs w:val="20"/>
          </w:rPr>
          <w:fldChar w:fldCharType="end"/>
        </w:r>
      </w:hyperlink>
    </w:p>
    <w:p w14:paraId="1C18A447" w14:textId="1D785D21" w:rsidR="00F8165F" w:rsidRPr="00F8165F" w:rsidRDefault="00F8165F">
      <w:pPr>
        <w:pStyle w:val="TableofFigures"/>
        <w:tabs>
          <w:tab w:val="right" w:leader="dot" w:pos="8630"/>
        </w:tabs>
        <w:rPr>
          <w:rFonts w:asciiTheme="minorHAnsi" w:eastAsiaTheme="minorEastAsia" w:hAnsiTheme="minorHAnsi" w:cstheme="minorBidi"/>
          <w:noProof/>
          <w:sz w:val="20"/>
          <w:szCs w:val="20"/>
        </w:rPr>
      </w:pPr>
      <w:hyperlink w:anchor="_Toc83387911" w:history="1">
        <w:r w:rsidRPr="00F8165F">
          <w:rPr>
            <w:rStyle w:val="Hyperlink"/>
            <w:noProof/>
            <w:sz w:val="20"/>
            <w:szCs w:val="20"/>
          </w:rPr>
          <w:t>Table 3.2. Factorial growth inhibition of synthetic community members.</w:t>
        </w:r>
        <w:r w:rsidRPr="00F8165F">
          <w:rPr>
            <w:noProof/>
            <w:webHidden/>
            <w:sz w:val="20"/>
            <w:szCs w:val="20"/>
          </w:rPr>
          <w:tab/>
        </w:r>
        <w:r w:rsidRPr="00F8165F">
          <w:rPr>
            <w:noProof/>
            <w:webHidden/>
            <w:sz w:val="20"/>
            <w:szCs w:val="20"/>
          </w:rPr>
          <w:fldChar w:fldCharType="begin"/>
        </w:r>
        <w:r w:rsidRPr="00F8165F">
          <w:rPr>
            <w:noProof/>
            <w:webHidden/>
            <w:sz w:val="20"/>
            <w:szCs w:val="20"/>
          </w:rPr>
          <w:instrText xml:space="preserve"> PAGEREF _Toc83387911 \h </w:instrText>
        </w:r>
        <w:r w:rsidRPr="00F8165F">
          <w:rPr>
            <w:noProof/>
            <w:webHidden/>
            <w:sz w:val="20"/>
            <w:szCs w:val="20"/>
          </w:rPr>
        </w:r>
        <w:r w:rsidRPr="00F8165F">
          <w:rPr>
            <w:noProof/>
            <w:webHidden/>
            <w:sz w:val="20"/>
            <w:szCs w:val="20"/>
          </w:rPr>
          <w:fldChar w:fldCharType="separate"/>
        </w:r>
        <w:r w:rsidRPr="00F8165F">
          <w:rPr>
            <w:noProof/>
            <w:webHidden/>
            <w:sz w:val="20"/>
            <w:szCs w:val="20"/>
          </w:rPr>
          <w:t>55</w:t>
        </w:r>
        <w:r w:rsidRPr="00F8165F">
          <w:rPr>
            <w:noProof/>
            <w:webHidden/>
            <w:sz w:val="20"/>
            <w:szCs w:val="20"/>
          </w:rPr>
          <w:fldChar w:fldCharType="end"/>
        </w:r>
      </w:hyperlink>
    </w:p>
    <w:p w14:paraId="786308B6" w14:textId="6C820E5B" w:rsidR="00F8165F" w:rsidRPr="00F8165F" w:rsidRDefault="00F8165F">
      <w:pPr>
        <w:pStyle w:val="TableofFigures"/>
        <w:tabs>
          <w:tab w:val="right" w:leader="dot" w:pos="8630"/>
        </w:tabs>
        <w:rPr>
          <w:rFonts w:asciiTheme="minorHAnsi" w:eastAsiaTheme="minorEastAsia" w:hAnsiTheme="minorHAnsi" w:cstheme="minorBidi"/>
          <w:noProof/>
          <w:sz w:val="20"/>
          <w:szCs w:val="20"/>
        </w:rPr>
      </w:pPr>
      <w:hyperlink w:anchor="_Toc83387912" w:history="1">
        <w:r w:rsidRPr="00F8165F">
          <w:rPr>
            <w:rStyle w:val="Hyperlink"/>
            <w:noProof/>
            <w:sz w:val="20"/>
            <w:szCs w:val="20"/>
          </w:rPr>
          <w:t>Table 4.1 Positive matches to roseo box motif 1</w:t>
        </w:r>
        <w:r w:rsidRPr="00F8165F">
          <w:rPr>
            <w:noProof/>
            <w:webHidden/>
            <w:sz w:val="20"/>
            <w:szCs w:val="20"/>
          </w:rPr>
          <w:tab/>
        </w:r>
        <w:r w:rsidRPr="00F8165F">
          <w:rPr>
            <w:noProof/>
            <w:webHidden/>
            <w:sz w:val="20"/>
            <w:szCs w:val="20"/>
          </w:rPr>
          <w:fldChar w:fldCharType="begin"/>
        </w:r>
        <w:r w:rsidRPr="00F8165F">
          <w:rPr>
            <w:noProof/>
            <w:webHidden/>
            <w:sz w:val="20"/>
            <w:szCs w:val="20"/>
          </w:rPr>
          <w:instrText xml:space="preserve"> PAGEREF _Toc83387912 \h </w:instrText>
        </w:r>
        <w:r w:rsidRPr="00F8165F">
          <w:rPr>
            <w:noProof/>
            <w:webHidden/>
            <w:sz w:val="20"/>
            <w:szCs w:val="20"/>
          </w:rPr>
        </w:r>
        <w:r w:rsidRPr="00F8165F">
          <w:rPr>
            <w:noProof/>
            <w:webHidden/>
            <w:sz w:val="20"/>
            <w:szCs w:val="20"/>
          </w:rPr>
          <w:fldChar w:fldCharType="separate"/>
        </w:r>
        <w:r w:rsidRPr="00F8165F">
          <w:rPr>
            <w:noProof/>
            <w:webHidden/>
            <w:sz w:val="20"/>
            <w:szCs w:val="20"/>
          </w:rPr>
          <w:t>76</w:t>
        </w:r>
        <w:r w:rsidRPr="00F8165F">
          <w:rPr>
            <w:noProof/>
            <w:webHidden/>
            <w:sz w:val="20"/>
            <w:szCs w:val="20"/>
          </w:rPr>
          <w:fldChar w:fldCharType="end"/>
        </w:r>
      </w:hyperlink>
    </w:p>
    <w:p w14:paraId="0A5234EB" w14:textId="6AF175A1" w:rsidR="00F8165F" w:rsidRDefault="00F8165F">
      <w:pPr>
        <w:pStyle w:val="TableofFigures"/>
        <w:tabs>
          <w:tab w:val="right" w:leader="dot" w:pos="8630"/>
        </w:tabs>
        <w:rPr>
          <w:rFonts w:asciiTheme="minorHAnsi" w:eastAsiaTheme="minorEastAsia" w:hAnsiTheme="minorHAnsi" w:cstheme="minorBidi"/>
          <w:noProof/>
          <w:sz w:val="22"/>
          <w:szCs w:val="22"/>
        </w:rPr>
      </w:pPr>
      <w:hyperlink w:anchor="_Toc83387913" w:history="1">
        <w:r w:rsidRPr="00F8165F">
          <w:rPr>
            <w:rStyle w:val="Hyperlink"/>
            <w:noProof/>
            <w:sz w:val="20"/>
            <w:szCs w:val="20"/>
          </w:rPr>
          <w:t>Table 4.2 Positive matches to roseo box motif 2</w:t>
        </w:r>
        <w:r w:rsidRPr="00F8165F">
          <w:rPr>
            <w:noProof/>
            <w:webHidden/>
            <w:sz w:val="20"/>
            <w:szCs w:val="20"/>
          </w:rPr>
          <w:tab/>
        </w:r>
        <w:r w:rsidRPr="00F8165F">
          <w:rPr>
            <w:noProof/>
            <w:webHidden/>
            <w:sz w:val="20"/>
            <w:szCs w:val="20"/>
          </w:rPr>
          <w:fldChar w:fldCharType="begin"/>
        </w:r>
        <w:r w:rsidRPr="00F8165F">
          <w:rPr>
            <w:noProof/>
            <w:webHidden/>
            <w:sz w:val="20"/>
            <w:szCs w:val="20"/>
          </w:rPr>
          <w:instrText xml:space="preserve"> PAGEREF _Toc83387913 \h </w:instrText>
        </w:r>
        <w:r w:rsidRPr="00F8165F">
          <w:rPr>
            <w:noProof/>
            <w:webHidden/>
            <w:sz w:val="20"/>
            <w:szCs w:val="20"/>
          </w:rPr>
        </w:r>
        <w:r w:rsidRPr="00F8165F">
          <w:rPr>
            <w:noProof/>
            <w:webHidden/>
            <w:sz w:val="20"/>
            <w:szCs w:val="20"/>
          </w:rPr>
          <w:fldChar w:fldCharType="separate"/>
        </w:r>
        <w:r w:rsidRPr="00F8165F">
          <w:rPr>
            <w:noProof/>
            <w:webHidden/>
            <w:sz w:val="20"/>
            <w:szCs w:val="20"/>
          </w:rPr>
          <w:t>91</w:t>
        </w:r>
        <w:r w:rsidRPr="00F8165F">
          <w:rPr>
            <w:noProof/>
            <w:webHidden/>
            <w:sz w:val="20"/>
            <w:szCs w:val="20"/>
          </w:rPr>
          <w:fldChar w:fldCharType="end"/>
        </w:r>
      </w:hyperlink>
    </w:p>
    <w:p w14:paraId="3F84CB9D" w14:textId="0EC4C629" w:rsidR="00451577" w:rsidRPr="0093799D" w:rsidRDefault="00387656" w:rsidP="00677C01">
      <w:pPr>
        <w:spacing w:before="240"/>
        <w:jc w:val="both"/>
        <w:rPr>
          <w:rFonts w:ascii="Verdana" w:hAnsi="Verdana" w:cs="Times New Roman"/>
          <w:sz w:val="20"/>
          <w:szCs w:val="20"/>
        </w:rPr>
      </w:pPr>
      <w:r w:rsidRPr="0093799D">
        <w:rPr>
          <w:rFonts w:ascii="Verdana" w:hAnsi="Verdana" w:cs="Times New Roman"/>
          <w:sz w:val="20"/>
          <w:szCs w:val="20"/>
        </w:rPr>
        <w:fldChar w:fldCharType="end"/>
      </w:r>
    </w:p>
    <w:p w14:paraId="4938A25A" w14:textId="77777777" w:rsidR="00F8165F" w:rsidRDefault="00451577" w:rsidP="00F8165F">
      <w:pPr>
        <w:pStyle w:val="Title"/>
        <w:jc w:val="both"/>
        <w:rPr>
          <w:rFonts w:ascii="Verdana" w:hAnsi="Verdana" w:cs="Times New Roman"/>
          <w:sz w:val="20"/>
          <w:szCs w:val="20"/>
        </w:rPr>
      </w:pPr>
      <w:r w:rsidRPr="0093799D">
        <w:rPr>
          <w:rFonts w:ascii="Verdana" w:hAnsi="Verdana" w:cs="Times New Roman"/>
          <w:sz w:val="20"/>
          <w:szCs w:val="20"/>
        </w:rPr>
        <w:t>LIST OF SUMMPLEMETAL TABLES</w:t>
      </w:r>
    </w:p>
    <w:p w14:paraId="0AC14A34" w14:textId="19897420" w:rsidR="006E30D9" w:rsidRPr="00F8165F" w:rsidRDefault="00554C9F" w:rsidP="00F8165F">
      <w:pPr>
        <w:pStyle w:val="Title"/>
        <w:jc w:val="both"/>
        <w:rPr>
          <w:rFonts w:ascii="Verdana" w:hAnsi="Verdana" w:cs="Times New Roman"/>
          <w:sz w:val="20"/>
          <w:szCs w:val="20"/>
        </w:rPr>
      </w:pPr>
      <w:r w:rsidRPr="0093799D">
        <w:rPr>
          <w:rFonts w:ascii="Verdana" w:hAnsi="Verdana" w:cs="Times New Roman"/>
          <w:sz w:val="20"/>
          <w:szCs w:val="20"/>
        </w:rPr>
        <w:fldChar w:fldCharType="begin"/>
      </w:r>
      <w:r w:rsidRPr="0093799D">
        <w:rPr>
          <w:rFonts w:ascii="Verdana" w:hAnsi="Verdana" w:cs="Times New Roman"/>
          <w:sz w:val="20"/>
          <w:szCs w:val="20"/>
        </w:rPr>
        <w:instrText xml:space="preserve"> TOC \h \z \c "Table S" </w:instrText>
      </w:r>
      <w:r w:rsidRPr="0093799D">
        <w:rPr>
          <w:rFonts w:ascii="Verdana" w:hAnsi="Verdana" w:cs="Times New Roman"/>
          <w:sz w:val="20"/>
          <w:szCs w:val="20"/>
        </w:rPr>
        <w:fldChar w:fldCharType="separate"/>
      </w:r>
    </w:p>
    <w:p w14:paraId="3448719A" w14:textId="3E68B3E2" w:rsidR="006E30D9" w:rsidRPr="0093799D" w:rsidRDefault="00180EAB" w:rsidP="00F8165F">
      <w:pPr>
        <w:pStyle w:val="TableofFigures"/>
        <w:tabs>
          <w:tab w:val="right" w:leader="dot" w:pos="8630"/>
        </w:tabs>
        <w:rPr>
          <w:rFonts w:asciiTheme="minorHAnsi" w:eastAsiaTheme="minorEastAsia" w:hAnsiTheme="minorHAnsi" w:cstheme="minorBidi"/>
          <w:noProof/>
          <w:sz w:val="24"/>
        </w:rPr>
      </w:pPr>
      <w:hyperlink w:anchor="_Toc80349824" w:history="1">
        <w:r w:rsidR="006E30D9" w:rsidRPr="0093799D">
          <w:rPr>
            <w:rStyle w:val="Hyperlink"/>
            <w:noProof/>
            <w:sz w:val="20"/>
            <w:szCs w:val="28"/>
          </w:rPr>
          <w:t>Table S 2.1</w:t>
        </w:r>
        <w:r w:rsidR="006E30D9" w:rsidRPr="0093799D">
          <w:rPr>
            <w:rStyle w:val="Hyperlink"/>
            <w:rFonts w:cs="Times New Roman"/>
            <w:noProof/>
            <w:sz w:val="20"/>
            <w:szCs w:val="28"/>
          </w:rPr>
          <w:t>. Table of primers.</w:t>
        </w:r>
        <w:r w:rsidR="006E30D9" w:rsidRPr="0093799D">
          <w:rPr>
            <w:noProof/>
            <w:webHidden/>
            <w:sz w:val="20"/>
            <w:szCs w:val="28"/>
          </w:rPr>
          <w:tab/>
        </w:r>
        <w:r w:rsidR="006E30D9" w:rsidRPr="0093799D">
          <w:rPr>
            <w:noProof/>
            <w:webHidden/>
            <w:sz w:val="20"/>
            <w:szCs w:val="28"/>
          </w:rPr>
          <w:fldChar w:fldCharType="begin"/>
        </w:r>
        <w:r w:rsidR="006E30D9" w:rsidRPr="0093799D">
          <w:rPr>
            <w:noProof/>
            <w:webHidden/>
            <w:sz w:val="20"/>
            <w:szCs w:val="28"/>
          </w:rPr>
          <w:instrText xml:space="preserve"> PAGEREF _Toc80349824 \h </w:instrText>
        </w:r>
        <w:r w:rsidR="006E30D9" w:rsidRPr="0093799D">
          <w:rPr>
            <w:noProof/>
            <w:webHidden/>
            <w:sz w:val="20"/>
            <w:szCs w:val="28"/>
          </w:rPr>
        </w:r>
        <w:r w:rsidR="006E30D9" w:rsidRPr="0093799D">
          <w:rPr>
            <w:noProof/>
            <w:webHidden/>
            <w:sz w:val="20"/>
            <w:szCs w:val="28"/>
          </w:rPr>
          <w:fldChar w:fldCharType="separate"/>
        </w:r>
        <w:r w:rsidR="006E30D9" w:rsidRPr="0093799D">
          <w:rPr>
            <w:noProof/>
            <w:webHidden/>
            <w:sz w:val="20"/>
            <w:szCs w:val="28"/>
          </w:rPr>
          <w:t>25</w:t>
        </w:r>
        <w:r w:rsidR="006E30D9" w:rsidRPr="0093799D">
          <w:rPr>
            <w:noProof/>
            <w:webHidden/>
            <w:sz w:val="20"/>
            <w:szCs w:val="28"/>
          </w:rPr>
          <w:fldChar w:fldCharType="end"/>
        </w:r>
      </w:hyperlink>
    </w:p>
    <w:p w14:paraId="5A3AEA13" w14:textId="4B7E69E8" w:rsidR="006E30D9" w:rsidRPr="0093799D" w:rsidRDefault="00180EAB" w:rsidP="00F8165F">
      <w:pPr>
        <w:pStyle w:val="TableofFigures"/>
        <w:tabs>
          <w:tab w:val="right" w:leader="dot" w:pos="8630"/>
        </w:tabs>
        <w:rPr>
          <w:rFonts w:asciiTheme="minorHAnsi" w:eastAsiaTheme="minorEastAsia" w:hAnsiTheme="minorHAnsi" w:cstheme="minorBidi"/>
          <w:noProof/>
          <w:sz w:val="24"/>
        </w:rPr>
      </w:pPr>
      <w:hyperlink w:anchor="_Toc80349825" w:history="1">
        <w:r w:rsidR="006E30D9" w:rsidRPr="0093799D">
          <w:rPr>
            <w:rStyle w:val="Hyperlink"/>
            <w:noProof/>
            <w:sz w:val="20"/>
            <w:szCs w:val="28"/>
          </w:rPr>
          <w:t>Table S 2.2. Position and nature of insertional mutations and location of qPCR primers.</w:t>
        </w:r>
        <w:r w:rsidR="006E30D9" w:rsidRPr="0093799D">
          <w:rPr>
            <w:noProof/>
            <w:webHidden/>
            <w:sz w:val="20"/>
            <w:szCs w:val="28"/>
          </w:rPr>
          <w:tab/>
        </w:r>
        <w:r w:rsidR="006E30D9" w:rsidRPr="0093799D">
          <w:rPr>
            <w:noProof/>
            <w:webHidden/>
            <w:sz w:val="20"/>
            <w:szCs w:val="28"/>
          </w:rPr>
          <w:fldChar w:fldCharType="begin"/>
        </w:r>
        <w:r w:rsidR="006E30D9" w:rsidRPr="0093799D">
          <w:rPr>
            <w:noProof/>
            <w:webHidden/>
            <w:sz w:val="20"/>
            <w:szCs w:val="28"/>
          </w:rPr>
          <w:instrText xml:space="preserve"> PAGEREF _Toc80349825 \h </w:instrText>
        </w:r>
        <w:r w:rsidR="006E30D9" w:rsidRPr="0093799D">
          <w:rPr>
            <w:noProof/>
            <w:webHidden/>
            <w:sz w:val="20"/>
            <w:szCs w:val="28"/>
          </w:rPr>
        </w:r>
        <w:r w:rsidR="006E30D9" w:rsidRPr="0093799D">
          <w:rPr>
            <w:noProof/>
            <w:webHidden/>
            <w:sz w:val="20"/>
            <w:szCs w:val="28"/>
          </w:rPr>
          <w:fldChar w:fldCharType="separate"/>
        </w:r>
        <w:r w:rsidR="006E30D9" w:rsidRPr="0093799D">
          <w:rPr>
            <w:noProof/>
            <w:webHidden/>
            <w:sz w:val="20"/>
            <w:szCs w:val="28"/>
          </w:rPr>
          <w:t>26</w:t>
        </w:r>
        <w:r w:rsidR="006E30D9" w:rsidRPr="0093799D">
          <w:rPr>
            <w:noProof/>
            <w:webHidden/>
            <w:sz w:val="20"/>
            <w:szCs w:val="28"/>
          </w:rPr>
          <w:fldChar w:fldCharType="end"/>
        </w:r>
      </w:hyperlink>
    </w:p>
    <w:p w14:paraId="4EDDE8B6" w14:textId="7C5AC0BA" w:rsidR="00236E6D" w:rsidRPr="00C51113" w:rsidRDefault="00554C9F" w:rsidP="00F8165F">
      <w:pPr>
        <w:jc w:val="both"/>
        <w:rPr>
          <w:rFonts w:ascii="Verdana" w:hAnsi="Verdana" w:cs="Times New Roman"/>
          <w:sz w:val="18"/>
          <w:szCs w:val="18"/>
        </w:rPr>
      </w:pPr>
      <w:r w:rsidRPr="0093799D">
        <w:rPr>
          <w:rFonts w:ascii="Verdana" w:hAnsi="Verdana" w:cs="Times New Roman"/>
          <w:sz w:val="20"/>
          <w:szCs w:val="20"/>
        </w:rPr>
        <w:fldChar w:fldCharType="end"/>
      </w:r>
    </w:p>
    <w:p w14:paraId="32357D76" w14:textId="77777777" w:rsidR="00236E6D" w:rsidRPr="00C51113" w:rsidRDefault="00236E6D" w:rsidP="00F8165F">
      <w:pPr>
        <w:jc w:val="both"/>
        <w:rPr>
          <w:rFonts w:ascii="Verdana" w:hAnsi="Verdana" w:cs="Times New Roman"/>
          <w:sz w:val="18"/>
          <w:szCs w:val="18"/>
        </w:rPr>
      </w:pPr>
    </w:p>
    <w:p w14:paraId="491AEE8F" w14:textId="77777777" w:rsidR="00236E6D" w:rsidRPr="00C51113" w:rsidRDefault="00236E6D" w:rsidP="00F8165F">
      <w:pPr>
        <w:jc w:val="both"/>
        <w:rPr>
          <w:rFonts w:ascii="Verdana" w:hAnsi="Verdana" w:cs="Times New Roman"/>
          <w:sz w:val="18"/>
          <w:szCs w:val="18"/>
        </w:rPr>
      </w:pPr>
    </w:p>
    <w:p w14:paraId="293EC3DC" w14:textId="77777777" w:rsidR="00236E6D" w:rsidRPr="00C51113" w:rsidRDefault="00236E6D" w:rsidP="00F8165F">
      <w:pPr>
        <w:jc w:val="both"/>
        <w:rPr>
          <w:rFonts w:ascii="Verdana" w:hAnsi="Verdana" w:cs="Times New Roman"/>
          <w:sz w:val="18"/>
          <w:szCs w:val="18"/>
        </w:rPr>
      </w:pPr>
    </w:p>
    <w:p w14:paraId="67EC9594" w14:textId="77777777" w:rsidR="0085757D" w:rsidRPr="00C51113" w:rsidRDefault="0085757D" w:rsidP="00F8165F">
      <w:pPr>
        <w:jc w:val="both"/>
        <w:rPr>
          <w:rFonts w:ascii="Verdana" w:hAnsi="Verdana" w:cs="Times New Roman"/>
          <w:sz w:val="18"/>
          <w:szCs w:val="18"/>
        </w:rPr>
      </w:pPr>
    </w:p>
    <w:p w14:paraId="7A33339E" w14:textId="77777777" w:rsidR="0085757D" w:rsidRPr="00C51113" w:rsidRDefault="0085757D" w:rsidP="00F8165F">
      <w:pPr>
        <w:jc w:val="both"/>
        <w:rPr>
          <w:rFonts w:ascii="Verdana" w:hAnsi="Verdana" w:cs="Times New Roman"/>
          <w:sz w:val="18"/>
          <w:szCs w:val="18"/>
        </w:rPr>
      </w:pPr>
    </w:p>
    <w:p w14:paraId="195020F9" w14:textId="77777777" w:rsidR="0085757D" w:rsidRPr="00C51113" w:rsidRDefault="0085757D" w:rsidP="00F8165F">
      <w:pPr>
        <w:jc w:val="both"/>
        <w:rPr>
          <w:rFonts w:ascii="Verdana" w:hAnsi="Verdana" w:cs="Times New Roman"/>
          <w:sz w:val="18"/>
          <w:szCs w:val="18"/>
        </w:rPr>
      </w:pPr>
    </w:p>
    <w:p w14:paraId="320DAB94" w14:textId="77777777" w:rsidR="0085757D" w:rsidRPr="00C51113" w:rsidRDefault="0085757D" w:rsidP="00F8165F">
      <w:pPr>
        <w:jc w:val="both"/>
        <w:rPr>
          <w:rFonts w:ascii="Verdana" w:hAnsi="Verdana" w:cs="Times New Roman"/>
          <w:sz w:val="18"/>
          <w:szCs w:val="18"/>
        </w:rPr>
      </w:pPr>
    </w:p>
    <w:p w14:paraId="517C0C4E" w14:textId="77777777" w:rsidR="0085757D" w:rsidRPr="00C51113" w:rsidRDefault="0085757D" w:rsidP="00F8165F">
      <w:pPr>
        <w:jc w:val="both"/>
        <w:rPr>
          <w:rFonts w:ascii="Verdana" w:hAnsi="Verdana" w:cs="Times New Roman"/>
          <w:sz w:val="18"/>
          <w:szCs w:val="18"/>
        </w:rPr>
      </w:pPr>
    </w:p>
    <w:p w14:paraId="1EF0E760" w14:textId="77777777" w:rsidR="00904969" w:rsidRPr="00C51113" w:rsidRDefault="00236E6D" w:rsidP="00F8165F">
      <w:pPr>
        <w:pStyle w:val="Title"/>
        <w:jc w:val="both"/>
        <w:rPr>
          <w:rFonts w:ascii="Verdana" w:hAnsi="Verdana" w:cs="Times New Roman"/>
          <w:sz w:val="18"/>
          <w:szCs w:val="18"/>
        </w:rPr>
      </w:pPr>
      <w:r w:rsidRPr="00C51113">
        <w:rPr>
          <w:rFonts w:ascii="Verdana" w:hAnsi="Verdana" w:cs="Times New Roman"/>
          <w:sz w:val="18"/>
          <w:szCs w:val="18"/>
        </w:rPr>
        <w:br w:type="page"/>
      </w:r>
      <w:r w:rsidR="00904969" w:rsidRPr="00C51113">
        <w:rPr>
          <w:rFonts w:ascii="Verdana" w:hAnsi="Verdana" w:cs="Times New Roman"/>
          <w:sz w:val="18"/>
          <w:szCs w:val="18"/>
        </w:rPr>
        <w:lastRenderedPageBreak/>
        <w:t>LIST OF FIGURES</w:t>
      </w:r>
    </w:p>
    <w:p w14:paraId="1AE91BF4" w14:textId="77777777" w:rsidR="00C30D60" w:rsidRPr="00C51113" w:rsidRDefault="00C30D60" w:rsidP="00F8165F">
      <w:pPr>
        <w:pStyle w:val="Title"/>
        <w:jc w:val="both"/>
        <w:rPr>
          <w:rFonts w:ascii="Verdana" w:hAnsi="Verdana" w:cs="Times New Roman"/>
          <w:b w:val="0"/>
          <w:bCs/>
          <w:sz w:val="18"/>
          <w:szCs w:val="18"/>
        </w:rPr>
      </w:pPr>
    </w:p>
    <w:p w14:paraId="5A6B764E" w14:textId="2F668056" w:rsidR="00451577" w:rsidRPr="00F8165F" w:rsidRDefault="00387656" w:rsidP="00F8165F">
      <w:pPr>
        <w:pStyle w:val="TableofFigures"/>
        <w:tabs>
          <w:tab w:val="right" w:leader="dot" w:pos="8630"/>
        </w:tabs>
        <w:rPr>
          <w:rFonts w:asciiTheme="minorHAnsi" w:eastAsiaTheme="minorEastAsia" w:hAnsiTheme="minorHAnsi" w:cstheme="minorBidi"/>
          <w:noProof/>
          <w:sz w:val="24"/>
        </w:rPr>
      </w:pPr>
      <w:r w:rsidRPr="00F8165F">
        <w:rPr>
          <w:rFonts w:cs="Times New Roman"/>
          <w:bCs/>
          <w:sz w:val="20"/>
          <w:szCs w:val="20"/>
        </w:rPr>
        <w:fldChar w:fldCharType="begin"/>
      </w:r>
      <w:r w:rsidRPr="00F8165F">
        <w:rPr>
          <w:rFonts w:cs="Times New Roman"/>
          <w:bCs/>
          <w:sz w:val="20"/>
          <w:szCs w:val="20"/>
        </w:rPr>
        <w:instrText xml:space="preserve"> TOC \h \z \c "Figure" </w:instrText>
      </w:r>
      <w:r w:rsidRPr="00F8165F">
        <w:rPr>
          <w:rFonts w:cs="Times New Roman"/>
          <w:bCs/>
          <w:sz w:val="20"/>
          <w:szCs w:val="20"/>
        </w:rPr>
        <w:fldChar w:fldCharType="separate"/>
      </w:r>
      <w:hyperlink w:anchor="_Toc83383924" w:history="1">
        <w:r w:rsidR="00451577" w:rsidRPr="00F8165F">
          <w:rPr>
            <w:rStyle w:val="Hyperlink"/>
            <w:noProof/>
            <w:sz w:val="20"/>
            <w:szCs w:val="28"/>
          </w:rPr>
          <w:t>Figure 2.1 Gene expression of luxRI homologs and igiD synthase from agar grown cultures..</w:t>
        </w:r>
        <w:r w:rsidR="00451577" w:rsidRPr="00F8165F">
          <w:rPr>
            <w:noProof/>
            <w:webHidden/>
            <w:sz w:val="20"/>
            <w:szCs w:val="28"/>
          </w:rPr>
          <w:tab/>
        </w:r>
        <w:r w:rsidR="00451577" w:rsidRPr="00F8165F">
          <w:rPr>
            <w:noProof/>
            <w:webHidden/>
            <w:sz w:val="20"/>
            <w:szCs w:val="28"/>
          </w:rPr>
          <w:fldChar w:fldCharType="begin"/>
        </w:r>
        <w:r w:rsidR="00451577" w:rsidRPr="00F8165F">
          <w:rPr>
            <w:noProof/>
            <w:webHidden/>
            <w:sz w:val="20"/>
            <w:szCs w:val="28"/>
          </w:rPr>
          <w:instrText xml:space="preserve"> PAGEREF _Toc83383924 \h </w:instrText>
        </w:r>
        <w:r w:rsidR="00451577" w:rsidRPr="00F8165F">
          <w:rPr>
            <w:noProof/>
            <w:webHidden/>
            <w:sz w:val="20"/>
            <w:szCs w:val="28"/>
          </w:rPr>
        </w:r>
        <w:r w:rsidR="00451577" w:rsidRPr="00F8165F">
          <w:rPr>
            <w:noProof/>
            <w:webHidden/>
            <w:sz w:val="20"/>
            <w:szCs w:val="28"/>
          </w:rPr>
          <w:fldChar w:fldCharType="separate"/>
        </w:r>
        <w:r w:rsidR="00451577" w:rsidRPr="00F8165F">
          <w:rPr>
            <w:noProof/>
            <w:webHidden/>
            <w:sz w:val="20"/>
            <w:szCs w:val="28"/>
          </w:rPr>
          <w:t>24</w:t>
        </w:r>
        <w:r w:rsidR="00451577" w:rsidRPr="00F8165F">
          <w:rPr>
            <w:noProof/>
            <w:webHidden/>
            <w:sz w:val="20"/>
            <w:szCs w:val="28"/>
          </w:rPr>
          <w:fldChar w:fldCharType="end"/>
        </w:r>
      </w:hyperlink>
    </w:p>
    <w:p w14:paraId="67A66C25" w14:textId="0A56202A" w:rsidR="00451577" w:rsidRPr="00F8165F" w:rsidRDefault="00451577" w:rsidP="00F8165F">
      <w:pPr>
        <w:pStyle w:val="TableofFigures"/>
        <w:tabs>
          <w:tab w:val="right" w:leader="dot" w:pos="8630"/>
        </w:tabs>
        <w:rPr>
          <w:rFonts w:asciiTheme="minorHAnsi" w:eastAsiaTheme="minorEastAsia" w:hAnsiTheme="minorHAnsi" w:cstheme="minorBidi"/>
          <w:noProof/>
          <w:sz w:val="24"/>
        </w:rPr>
      </w:pPr>
      <w:hyperlink w:anchor="_Toc83383925" w:history="1">
        <w:r w:rsidRPr="00F8165F">
          <w:rPr>
            <w:rStyle w:val="Hyperlink"/>
            <w:noProof/>
            <w:sz w:val="20"/>
            <w:szCs w:val="28"/>
          </w:rPr>
          <w:t>Figure 2.2</w:t>
        </w:r>
        <w:r w:rsidRPr="00F8165F">
          <w:rPr>
            <w:rStyle w:val="Hyperlink"/>
            <w:rFonts w:eastAsia="Calibri"/>
            <w:noProof/>
            <w:sz w:val="20"/>
            <w:szCs w:val="28"/>
          </w:rPr>
          <w:t xml:space="preserve"> Indigoidine production in response to growth-phase dependent AHL exogenous addition. Indigoidine quantification in Y4I variants</w:t>
        </w:r>
        <w:r w:rsidRPr="00F8165F">
          <w:rPr>
            <w:noProof/>
            <w:webHidden/>
            <w:sz w:val="20"/>
            <w:szCs w:val="28"/>
          </w:rPr>
          <w:tab/>
        </w:r>
        <w:r w:rsidRPr="00F8165F">
          <w:rPr>
            <w:noProof/>
            <w:webHidden/>
            <w:sz w:val="20"/>
            <w:szCs w:val="28"/>
          </w:rPr>
          <w:fldChar w:fldCharType="begin"/>
        </w:r>
        <w:r w:rsidRPr="00F8165F">
          <w:rPr>
            <w:noProof/>
            <w:webHidden/>
            <w:sz w:val="20"/>
            <w:szCs w:val="28"/>
          </w:rPr>
          <w:instrText xml:space="preserve"> PAGEREF _Toc83383925 \h </w:instrText>
        </w:r>
        <w:r w:rsidRPr="00F8165F">
          <w:rPr>
            <w:noProof/>
            <w:webHidden/>
            <w:sz w:val="20"/>
            <w:szCs w:val="28"/>
          </w:rPr>
        </w:r>
        <w:r w:rsidRPr="00F8165F">
          <w:rPr>
            <w:noProof/>
            <w:webHidden/>
            <w:sz w:val="20"/>
            <w:szCs w:val="28"/>
          </w:rPr>
          <w:fldChar w:fldCharType="separate"/>
        </w:r>
        <w:r w:rsidRPr="00F8165F">
          <w:rPr>
            <w:noProof/>
            <w:webHidden/>
            <w:sz w:val="20"/>
            <w:szCs w:val="28"/>
          </w:rPr>
          <w:t>25</w:t>
        </w:r>
        <w:r w:rsidRPr="00F8165F">
          <w:rPr>
            <w:noProof/>
            <w:webHidden/>
            <w:sz w:val="20"/>
            <w:szCs w:val="28"/>
          </w:rPr>
          <w:fldChar w:fldCharType="end"/>
        </w:r>
      </w:hyperlink>
    </w:p>
    <w:p w14:paraId="768FB12A" w14:textId="251C9239" w:rsidR="00451577" w:rsidRPr="00F8165F" w:rsidRDefault="00451577" w:rsidP="00F8165F">
      <w:pPr>
        <w:pStyle w:val="TableofFigures"/>
        <w:tabs>
          <w:tab w:val="right" w:leader="dot" w:pos="8630"/>
        </w:tabs>
        <w:rPr>
          <w:rFonts w:asciiTheme="minorHAnsi" w:eastAsiaTheme="minorEastAsia" w:hAnsiTheme="minorHAnsi" w:cstheme="minorBidi"/>
          <w:noProof/>
          <w:sz w:val="24"/>
        </w:rPr>
      </w:pPr>
      <w:hyperlink w:anchor="_Toc83383926" w:history="1">
        <w:r w:rsidRPr="00F8165F">
          <w:rPr>
            <w:rStyle w:val="Hyperlink"/>
            <w:noProof/>
            <w:sz w:val="20"/>
            <w:szCs w:val="28"/>
          </w:rPr>
          <w:t>Figure 2.3 Surface Colonization and Biofilm production over time in Y4I mutants.</w:t>
        </w:r>
        <w:r w:rsidRPr="00F8165F">
          <w:rPr>
            <w:rStyle w:val="Hyperlink"/>
            <w:rFonts w:cs="Times New Roman"/>
            <w:noProof/>
            <w:sz w:val="20"/>
            <w:szCs w:val="28"/>
          </w:rPr>
          <w:t>.</w:t>
        </w:r>
        <w:r w:rsidRPr="00F8165F">
          <w:rPr>
            <w:noProof/>
            <w:webHidden/>
            <w:sz w:val="20"/>
            <w:szCs w:val="28"/>
          </w:rPr>
          <w:tab/>
        </w:r>
        <w:r w:rsidRPr="00F8165F">
          <w:rPr>
            <w:noProof/>
            <w:webHidden/>
            <w:sz w:val="20"/>
            <w:szCs w:val="28"/>
          </w:rPr>
          <w:fldChar w:fldCharType="begin"/>
        </w:r>
        <w:r w:rsidRPr="00F8165F">
          <w:rPr>
            <w:noProof/>
            <w:webHidden/>
            <w:sz w:val="20"/>
            <w:szCs w:val="28"/>
          </w:rPr>
          <w:instrText xml:space="preserve"> PAGEREF _Toc83383926 \h </w:instrText>
        </w:r>
        <w:r w:rsidRPr="00F8165F">
          <w:rPr>
            <w:noProof/>
            <w:webHidden/>
            <w:sz w:val="20"/>
            <w:szCs w:val="28"/>
          </w:rPr>
        </w:r>
        <w:r w:rsidRPr="00F8165F">
          <w:rPr>
            <w:noProof/>
            <w:webHidden/>
            <w:sz w:val="20"/>
            <w:szCs w:val="28"/>
          </w:rPr>
          <w:fldChar w:fldCharType="separate"/>
        </w:r>
        <w:r w:rsidRPr="00F8165F">
          <w:rPr>
            <w:noProof/>
            <w:webHidden/>
            <w:sz w:val="20"/>
            <w:szCs w:val="28"/>
          </w:rPr>
          <w:t>26</w:t>
        </w:r>
        <w:r w:rsidRPr="00F8165F">
          <w:rPr>
            <w:noProof/>
            <w:webHidden/>
            <w:sz w:val="20"/>
            <w:szCs w:val="28"/>
          </w:rPr>
          <w:fldChar w:fldCharType="end"/>
        </w:r>
      </w:hyperlink>
    </w:p>
    <w:p w14:paraId="018C7D6A" w14:textId="54225991" w:rsidR="00451577" w:rsidRPr="00F8165F" w:rsidRDefault="00451577" w:rsidP="00F8165F">
      <w:pPr>
        <w:pStyle w:val="TableofFigures"/>
        <w:tabs>
          <w:tab w:val="right" w:leader="dot" w:pos="8630"/>
        </w:tabs>
        <w:rPr>
          <w:rFonts w:asciiTheme="minorHAnsi" w:eastAsiaTheme="minorEastAsia" w:hAnsiTheme="minorHAnsi" w:cstheme="minorBidi"/>
          <w:noProof/>
          <w:sz w:val="24"/>
        </w:rPr>
      </w:pPr>
      <w:hyperlink w:anchor="_Toc83383927" w:history="1">
        <w:r w:rsidRPr="00F8165F">
          <w:rPr>
            <w:rStyle w:val="Hyperlink"/>
            <w:noProof/>
            <w:sz w:val="20"/>
            <w:szCs w:val="28"/>
          </w:rPr>
          <w:t>Figure 2.4 Cyclic-di-GMP concentrations in broth and agar grown cultures..</w:t>
        </w:r>
        <w:r w:rsidRPr="00F8165F">
          <w:rPr>
            <w:noProof/>
            <w:webHidden/>
            <w:sz w:val="20"/>
            <w:szCs w:val="28"/>
          </w:rPr>
          <w:tab/>
        </w:r>
        <w:r w:rsidRPr="00F8165F">
          <w:rPr>
            <w:noProof/>
            <w:webHidden/>
            <w:sz w:val="20"/>
            <w:szCs w:val="28"/>
          </w:rPr>
          <w:fldChar w:fldCharType="begin"/>
        </w:r>
        <w:r w:rsidRPr="00F8165F">
          <w:rPr>
            <w:noProof/>
            <w:webHidden/>
            <w:sz w:val="20"/>
            <w:szCs w:val="28"/>
          </w:rPr>
          <w:instrText xml:space="preserve"> PAGEREF _Toc83383927 \h </w:instrText>
        </w:r>
        <w:r w:rsidRPr="00F8165F">
          <w:rPr>
            <w:noProof/>
            <w:webHidden/>
            <w:sz w:val="20"/>
            <w:szCs w:val="28"/>
          </w:rPr>
        </w:r>
        <w:r w:rsidRPr="00F8165F">
          <w:rPr>
            <w:noProof/>
            <w:webHidden/>
            <w:sz w:val="20"/>
            <w:szCs w:val="28"/>
          </w:rPr>
          <w:fldChar w:fldCharType="separate"/>
        </w:r>
        <w:r w:rsidRPr="00F8165F">
          <w:rPr>
            <w:noProof/>
            <w:webHidden/>
            <w:sz w:val="20"/>
            <w:szCs w:val="28"/>
          </w:rPr>
          <w:t>27</w:t>
        </w:r>
        <w:r w:rsidRPr="00F8165F">
          <w:rPr>
            <w:noProof/>
            <w:webHidden/>
            <w:sz w:val="20"/>
            <w:szCs w:val="28"/>
          </w:rPr>
          <w:fldChar w:fldCharType="end"/>
        </w:r>
      </w:hyperlink>
    </w:p>
    <w:p w14:paraId="05B40761" w14:textId="7FE41ED1" w:rsidR="00451577" w:rsidRPr="00F8165F" w:rsidRDefault="00451577" w:rsidP="00F8165F">
      <w:pPr>
        <w:pStyle w:val="TableofFigures"/>
        <w:tabs>
          <w:tab w:val="right" w:leader="dot" w:pos="8630"/>
        </w:tabs>
        <w:rPr>
          <w:rFonts w:asciiTheme="minorHAnsi" w:eastAsiaTheme="minorEastAsia" w:hAnsiTheme="minorHAnsi" w:cstheme="minorBidi"/>
          <w:noProof/>
          <w:sz w:val="24"/>
        </w:rPr>
      </w:pPr>
      <w:hyperlink w:anchor="_Toc83383928" w:history="1">
        <w:r w:rsidRPr="00F8165F">
          <w:rPr>
            <w:rStyle w:val="Hyperlink"/>
            <w:rFonts w:cs="Times New Roman"/>
            <w:noProof/>
            <w:sz w:val="20"/>
            <w:szCs w:val="28"/>
          </w:rPr>
          <w:t>Figure 2.5 Working model of the regulatory network governing key physiologies in strain Y4I.</w:t>
        </w:r>
        <w:r w:rsidRPr="00F8165F">
          <w:rPr>
            <w:noProof/>
            <w:webHidden/>
            <w:sz w:val="20"/>
            <w:szCs w:val="28"/>
          </w:rPr>
          <w:tab/>
        </w:r>
        <w:r w:rsidRPr="00F8165F">
          <w:rPr>
            <w:noProof/>
            <w:webHidden/>
            <w:sz w:val="20"/>
            <w:szCs w:val="28"/>
          </w:rPr>
          <w:fldChar w:fldCharType="begin"/>
        </w:r>
        <w:r w:rsidRPr="00F8165F">
          <w:rPr>
            <w:noProof/>
            <w:webHidden/>
            <w:sz w:val="20"/>
            <w:szCs w:val="28"/>
          </w:rPr>
          <w:instrText xml:space="preserve"> PAGEREF _Toc83383928 \h </w:instrText>
        </w:r>
        <w:r w:rsidRPr="00F8165F">
          <w:rPr>
            <w:noProof/>
            <w:webHidden/>
            <w:sz w:val="20"/>
            <w:szCs w:val="28"/>
          </w:rPr>
        </w:r>
        <w:r w:rsidRPr="00F8165F">
          <w:rPr>
            <w:noProof/>
            <w:webHidden/>
            <w:sz w:val="20"/>
            <w:szCs w:val="28"/>
          </w:rPr>
          <w:fldChar w:fldCharType="separate"/>
        </w:r>
        <w:r w:rsidRPr="00F8165F">
          <w:rPr>
            <w:noProof/>
            <w:webHidden/>
            <w:sz w:val="20"/>
            <w:szCs w:val="28"/>
          </w:rPr>
          <w:t>28</w:t>
        </w:r>
        <w:r w:rsidRPr="00F8165F">
          <w:rPr>
            <w:noProof/>
            <w:webHidden/>
            <w:sz w:val="20"/>
            <w:szCs w:val="28"/>
          </w:rPr>
          <w:fldChar w:fldCharType="end"/>
        </w:r>
      </w:hyperlink>
    </w:p>
    <w:p w14:paraId="668BCCBC" w14:textId="09B9EEE4" w:rsidR="00451577" w:rsidRPr="00F8165F" w:rsidRDefault="00451577" w:rsidP="00F8165F">
      <w:pPr>
        <w:pStyle w:val="TableofFigures"/>
        <w:tabs>
          <w:tab w:val="right" w:leader="dot" w:pos="8630"/>
        </w:tabs>
        <w:rPr>
          <w:rFonts w:asciiTheme="minorHAnsi" w:eastAsiaTheme="minorEastAsia" w:hAnsiTheme="minorHAnsi" w:cstheme="minorBidi"/>
          <w:noProof/>
          <w:sz w:val="24"/>
        </w:rPr>
      </w:pPr>
      <w:hyperlink w:anchor="_Toc83383929" w:history="1">
        <w:r w:rsidRPr="00F8165F">
          <w:rPr>
            <w:rStyle w:val="Hyperlink"/>
            <w:noProof/>
            <w:sz w:val="20"/>
            <w:szCs w:val="28"/>
          </w:rPr>
          <w:t>Figure 3.1. Surface colonization of Roseobacter strains to glass beads in a complex medium over 48 hrs.</w:t>
        </w:r>
        <w:r w:rsidRPr="00F8165F">
          <w:rPr>
            <w:noProof/>
            <w:webHidden/>
            <w:sz w:val="20"/>
            <w:szCs w:val="28"/>
          </w:rPr>
          <w:tab/>
        </w:r>
        <w:r w:rsidRPr="00F8165F">
          <w:rPr>
            <w:noProof/>
            <w:webHidden/>
            <w:sz w:val="20"/>
            <w:szCs w:val="28"/>
          </w:rPr>
          <w:fldChar w:fldCharType="begin"/>
        </w:r>
        <w:r w:rsidRPr="00F8165F">
          <w:rPr>
            <w:noProof/>
            <w:webHidden/>
            <w:sz w:val="20"/>
            <w:szCs w:val="28"/>
          </w:rPr>
          <w:instrText xml:space="preserve"> PAGEREF _Toc83383929 \h </w:instrText>
        </w:r>
        <w:r w:rsidRPr="00F8165F">
          <w:rPr>
            <w:noProof/>
            <w:webHidden/>
            <w:sz w:val="20"/>
            <w:szCs w:val="28"/>
          </w:rPr>
        </w:r>
        <w:r w:rsidRPr="00F8165F">
          <w:rPr>
            <w:noProof/>
            <w:webHidden/>
            <w:sz w:val="20"/>
            <w:szCs w:val="28"/>
          </w:rPr>
          <w:fldChar w:fldCharType="separate"/>
        </w:r>
        <w:r w:rsidRPr="00F8165F">
          <w:rPr>
            <w:noProof/>
            <w:webHidden/>
            <w:sz w:val="20"/>
            <w:szCs w:val="28"/>
          </w:rPr>
          <w:t>43</w:t>
        </w:r>
        <w:r w:rsidRPr="00F8165F">
          <w:rPr>
            <w:noProof/>
            <w:webHidden/>
            <w:sz w:val="20"/>
            <w:szCs w:val="28"/>
          </w:rPr>
          <w:fldChar w:fldCharType="end"/>
        </w:r>
      </w:hyperlink>
    </w:p>
    <w:p w14:paraId="1C3A2BFD" w14:textId="3D0E488A" w:rsidR="00451577" w:rsidRPr="00F8165F" w:rsidRDefault="00451577" w:rsidP="00F8165F">
      <w:pPr>
        <w:pStyle w:val="TableofFigures"/>
        <w:tabs>
          <w:tab w:val="right" w:leader="dot" w:pos="8630"/>
        </w:tabs>
        <w:rPr>
          <w:rFonts w:asciiTheme="minorHAnsi" w:eastAsiaTheme="minorEastAsia" w:hAnsiTheme="minorHAnsi" w:cstheme="minorBidi"/>
          <w:noProof/>
          <w:sz w:val="24"/>
        </w:rPr>
      </w:pPr>
      <w:hyperlink w:anchor="_Toc83383930" w:history="1">
        <w:r w:rsidRPr="00F8165F">
          <w:rPr>
            <w:rStyle w:val="Hyperlink"/>
            <w:noProof/>
            <w:sz w:val="20"/>
            <w:szCs w:val="28"/>
          </w:rPr>
          <w:t xml:space="preserve">Figure 3.2. Relative abundance of community members over time </w:t>
        </w:r>
        <w:r w:rsidRPr="00F8165F">
          <w:rPr>
            <w:rStyle w:val="Hyperlink"/>
            <w:rFonts w:eastAsia="Verdana" w:cs="Verdana"/>
            <w:noProof/>
            <w:sz w:val="20"/>
            <w:szCs w:val="28"/>
          </w:rPr>
          <w:t>of biofilms grown in complex medium (A) and defined medium (B)..</w:t>
        </w:r>
        <w:r w:rsidRPr="00F8165F">
          <w:rPr>
            <w:noProof/>
            <w:webHidden/>
            <w:sz w:val="20"/>
            <w:szCs w:val="28"/>
          </w:rPr>
          <w:tab/>
        </w:r>
        <w:r w:rsidRPr="00F8165F">
          <w:rPr>
            <w:noProof/>
            <w:webHidden/>
            <w:sz w:val="20"/>
            <w:szCs w:val="28"/>
          </w:rPr>
          <w:fldChar w:fldCharType="begin"/>
        </w:r>
        <w:r w:rsidRPr="00F8165F">
          <w:rPr>
            <w:noProof/>
            <w:webHidden/>
            <w:sz w:val="20"/>
            <w:szCs w:val="28"/>
          </w:rPr>
          <w:instrText xml:space="preserve"> PAGEREF _Toc83383930 \h </w:instrText>
        </w:r>
        <w:r w:rsidRPr="00F8165F">
          <w:rPr>
            <w:noProof/>
            <w:webHidden/>
            <w:sz w:val="20"/>
            <w:szCs w:val="28"/>
          </w:rPr>
        </w:r>
        <w:r w:rsidRPr="00F8165F">
          <w:rPr>
            <w:noProof/>
            <w:webHidden/>
            <w:sz w:val="20"/>
            <w:szCs w:val="28"/>
          </w:rPr>
          <w:fldChar w:fldCharType="separate"/>
        </w:r>
        <w:r w:rsidRPr="00F8165F">
          <w:rPr>
            <w:noProof/>
            <w:webHidden/>
            <w:sz w:val="20"/>
            <w:szCs w:val="28"/>
          </w:rPr>
          <w:t>44</w:t>
        </w:r>
        <w:r w:rsidRPr="00F8165F">
          <w:rPr>
            <w:noProof/>
            <w:webHidden/>
            <w:sz w:val="20"/>
            <w:szCs w:val="28"/>
          </w:rPr>
          <w:fldChar w:fldCharType="end"/>
        </w:r>
      </w:hyperlink>
    </w:p>
    <w:p w14:paraId="7EB63B69" w14:textId="6801BA4F" w:rsidR="00451577" w:rsidRPr="00F8165F" w:rsidRDefault="00451577" w:rsidP="00F8165F">
      <w:pPr>
        <w:pStyle w:val="TableofFigures"/>
        <w:tabs>
          <w:tab w:val="right" w:leader="dot" w:pos="8630"/>
        </w:tabs>
        <w:rPr>
          <w:rFonts w:asciiTheme="minorHAnsi" w:eastAsiaTheme="minorEastAsia" w:hAnsiTheme="minorHAnsi" w:cstheme="minorBidi"/>
          <w:noProof/>
          <w:sz w:val="24"/>
        </w:rPr>
      </w:pPr>
      <w:hyperlink w:anchor="_Toc83383931" w:history="1">
        <w:r w:rsidRPr="00F8165F">
          <w:rPr>
            <w:rStyle w:val="Hyperlink"/>
            <w:noProof/>
            <w:sz w:val="20"/>
            <w:szCs w:val="28"/>
          </w:rPr>
          <w:t xml:space="preserve">Figure 3.3. PCoA plot using Bray Curtis Dissimilarity Index </w:t>
        </w:r>
        <w:r w:rsidRPr="00F8165F">
          <w:rPr>
            <w:rStyle w:val="Hyperlink"/>
            <w:rFonts w:eastAsia="Verdana" w:cs="Verdana"/>
            <w:noProof/>
            <w:sz w:val="20"/>
            <w:szCs w:val="28"/>
          </w:rPr>
          <w:t>to determine beta diversity between each carbon source, mixed community, and time point..</w:t>
        </w:r>
        <w:r w:rsidRPr="00F8165F">
          <w:rPr>
            <w:noProof/>
            <w:webHidden/>
            <w:sz w:val="20"/>
            <w:szCs w:val="28"/>
          </w:rPr>
          <w:tab/>
        </w:r>
        <w:r w:rsidRPr="00F8165F">
          <w:rPr>
            <w:noProof/>
            <w:webHidden/>
            <w:sz w:val="20"/>
            <w:szCs w:val="28"/>
          </w:rPr>
          <w:fldChar w:fldCharType="begin"/>
        </w:r>
        <w:r w:rsidRPr="00F8165F">
          <w:rPr>
            <w:noProof/>
            <w:webHidden/>
            <w:sz w:val="20"/>
            <w:szCs w:val="28"/>
          </w:rPr>
          <w:instrText xml:space="preserve"> PAGEREF _Toc83383931 \h </w:instrText>
        </w:r>
        <w:r w:rsidRPr="00F8165F">
          <w:rPr>
            <w:noProof/>
            <w:webHidden/>
            <w:sz w:val="20"/>
            <w:szCs w:val="28"/>
          </w:rPr>
        </w:r>
        <w:r w:rsidRPr="00F8165F">
          <w:rPr>
            <w:noProof/>
            <w:webHidden/>
            <w:sz w:val="20"/>
            <w:szCs w:val="28"/>
          </w:rPr>
          <w:fldChar w:fldCharType="separate"/>
        </w:r>
        <w:r w:rsidRPr="00F8165F">
          <w:rPr>
            <w:noProof/>
            <w:webHidden/>
            <w:sz w:val="20"/>
            <w:szCs w:val="28"/>
          </w:rPr>
          <w:t>45</w:t>
        </w:r>
        <w:r w:rsidRPr="00F8165F">
          <w:rPr>
            <w:noProof/>
            <w:webHidden/>
            <w:sz w:val="20"/>
            <w:szCs w:val="28"/>
          </w:rPr>
          <w:fldChar w:fldCharType="end"/>
        </w:r>
      </w:hyperlink>
    </w:p>
    <w:p w14:paraId="30121552" w14:textId="25556349" w:rsidR="00451577" w:rsidRPr="00F8165F" w:rsidRDefault="00451577" w:rsidP="00F8165F">
      <w:pPr>
        <w:pStyle w:val="TableofFigures"/>
        <w:tabs>
          <w:tab w:val="right" w:leader="dot" w:pos="8630"/>
        </w:tabs>
        <w:rPr>
          <w:rFonts w:asciiTheme="minorHAnsi" w:eastAsiaTheme="minorEastAsia" w:hAnsiTheme="minorHAnsi" w:cstheme="minorBidi"/>
          <w:noProof/>
          <w:sz w:val="24"/>
        </w:rPr>
      </w:pPr>
      <w:hyperlink w:anchor="_Toc83383932" w:history="1">
        <w:r w:rsidRPr="00F8165F">
          <w:rPr>
            <w:rStyle w:val="Hyperlink"/>
            <w:noProof/>
            <w:sz w:val="20"/>
            <w:szCs w:val="28"/>
          </w:rPr>
          <w:t xml:space="preserve">Figure 3.4 Biofilm production of monoculture community members in complex medium </w:t>
        </w:r>
        <w:r w:rsidRPr="00F8165F">
          <w:rPr>
            <w:rStyle w:val="Hyperlink"/>
            <w:rFonts w:eastAsia="Verdana" w:cs="Verdana"/>
            <w:noProof/>
            <w:sz w:val="20"/>
            <w:szCs w:val="28"/>
          </w:rPr>
          <w:t>and five-member synthetic communities over time (A-C)..</w:t>
        </w:r>
        <w:r w:rsidRPr="00F8165F">
          <w:rPr>
            <w:noProof/>
            <w:webHidden/>
            <w:sz w:val="20"/>
            <w:szCs w:val="28"/>
          </w:rPr>
          <w:tab/>
        </w:r>
        <w:r w:rsidRPr="00F8165F">
          <w:rPr>
            <w:noProof/>
            <w:webHidden/>
            <w:sz w:val="20"/>
            <w:szCs w:val="28"/>
          </w:rPr>
          <w:fldChar w:fldCharType="begin"/>
        </w:r>
        <w:r w:rsidRPr="00F8165F">
          <w:rPr>
            <w:noProof/>
            <w:webHidden/>
            <w:sz w:val="20"/>
            <w:szCs w:val="28"/>
          </w:rPr>
          <w:instrText xml:space="preserve"> PAGEREF _Toc83383932 \h </w:instrText>
        </w:r>
        <w:r w:rsidRPr="00F8165F">
          <w:rPr>
            <w:noProof/>
            <w:webHidden/>
            <w:sz w:val="20"/>
            <w:szCs w:val="28"/>
          </w:rPr>
        </w:r>
        <w:r w:rsidRPr="00F8165F">
          <w:rPr>
            <w:noProof/>
            <w:webHidden/>
            <w:sz w:val="20"/>
            <w:szCs w:val="28"/>
          </w:rPr>
          <w:fldChar w:fldCharType="separate"/>
        </w:r>
        <w:r w:rsidRPr="00F8165F">
          <w:rPr>
            <w:noProof/>
            <w:webHidden/>
            <w:sz w:val="20"/>
            <w:szCs w:val="28"/>
          </w:rPr>
          <w:t>47</w:t>
        </w:r>
        <w:r w:rsidRPr="00F8165F">
          <w:rPr>
            <w:noProof/>
            <w:webHidden/>
            <w:sz w:val="20"/>
            <w:szCs w:val="28"/>
          </w:rPr>
          <w:fldChar w:fldCharType="end"/>
        </w:r>
      </w:hyperlink>
    </w:p>
    <w:p w14:paraId="40C8AD1A" w14:textId="2D0E6F72" w:rsidR="00451577" w:rsidRPr="00F8165F" w:rsidRDefault="00451577" w:rsidP="00F8165F">
      <w:pPr>
        <w:pStyle w:val="TableofFigures"/>
        <w:tabs>
          <w:tab w:val="right" w:leader="dot" w:pos="8630"/>
        </w:tabs>
        <w:rPr>
          <w:rFonts w:asciiTheme="minorHAnsi" w:eastAsiaTheme="minorEastAsia" w:hAnsiTheme="minorHAnsi" w:cstheme="minorBidi"/>
          <w:noProof/>
          <w:sz w:val="24"/>
        </w:rPr>
      </w:pPr>
      <w:hyperlink w:anchor="_Toc83383933" w:history="1">
        <w:r w:rsidRPr="00F8165F">
          <w:rPr>
            <w:rStyle w:val="Hyperlink"/>
            <w:noProof/>
            <w:sz w:val="20"/>
            <w:szCs w:val="28"/>
          </w:rPr>
          <w:t>Figure 3.5 Biofilm production of monoculture community members and five-member synthetic communities over time (A-D) in defined medium (2 mM coumarate).</w:t>
        </w:r>
        <w:r w:rsidRPr="00F8165F">
          <w:rPr>
            <w:rStyle w:val="Hyperlink"/>
            <w:rFonts w:eastAsia="Verdana" w:cs="Verdana"/>
            <w:noProof/>
            <w:sz w:val="20"/>
            <w:szCs w:val="28"/>
          </w:rPr>
          <w:t>.</w:t>
        </w:r>
        <w:r w:rsidRPr="00F8165F">
          <w:rPr>
            <w:noProof/>
            <w:webHidden/>
            <w:sz w:val="20"/>
            <w:szCs w:val="28"/>
          </w:rPr>
          <w:tab/>
        </w:r>
        <w:r w:rsidRPr="00F8165F">
          <w:rPr>
            <w:noProof/>
            <w:webHidden/>
            <w:sz w:val="20"/>
            <w:szCs w:val="28"/>
          </w:rPr>
          <w:fldChar w:fldCharType="begin"/>
        </w:r>
        <w:r w:rsidRPr="00F8165F">
          <w:rPr>
            <w:noProof/>
            <w:webHidden/>
            <w:sz w:val="20"/>
            <w:szCs w:val="28"/>
          </w:rPr>
          <w:instrText xml:space="preserve"> PAGEREF _Toc83383933 \h </w:instrText>
        </w:r>
        <w:r w:rsidRPr="00F8165F">
          <w:rPr>
            <w:noProof/>
            <w:webHidden/>
            <w:sz w:val="20"/>
            <w:szCs w:val="28"/>
          </w:rPr>
        </w:r>
        <w:r w:rsidRPr="00F8165F">
          <w:rPr>
            <w:noProof/>
            <w:webHidden/>
            <w:sz w:val="20"/>
            <w:szCs w:val="28"/>
          </w:rPr>
          <w:fldChar w:fldCharType="separate"/>
        </w:r>
        <w:r w:rsidRPr="00F8165F">
          <w:rPr>
            <w:noProof/>
            <w:webHidden/>
            <w:sz w:val="20"/>
            <w:szCs w:val="28"/>
          </w:rPr>
          <w:t>49</w:t>
        </w:r>
        <w:r w:rsidRPr="00F8165F">
          <w:rPr>
            <w:noProof/>
            <w:webHidden/>
            <w:sz w:val="20"/>
            <w:szCs w:val="28"/>
          </w:rPr>
          <w:fldChar w:fldCharType="end"/>
        </w:r>
      </w:hyperlink>
    </w:p>
    <w:p w14:paraId="2256F565" w14:textId="6DA58EC4" w:rsidR="003932AA" w:rsidRPr="00F8165F" w:rsidRDefault="00387656" w:rsidP="00F8165F">
      <w:pPr>
        <w:pStyle w:val="Title"/>
        <w:jc w:val="both"/>
        <w:rPr>
          <w:rFonts w:ascii="Verdana" w:hAnsi="Verdana" w:cs="Times New Roman"/>
          <w:sz w:val="20"/>
          <w:szCs w:val="20"/>
        </w:rPr>
      </w:pPr>
      <w:r w:rsidRPr="00F8165F">
        <w:rPr>
          <w:rFonts w:ascii="Verdana" w:hAnsi="Verdana" w:cs="Times New Roman"/>
          <w:b w:val="0"/>
          <w:bCs/>
          <w:sz w:val="20"/>
          <w:szCs w:val="20"/>
        </w:rPr>
        <w:fldChar w:fldCharType="end"/>
      </w:r>
    </w:p>
    <w:p w14:paraId="1E4DD34F" w14:textId="77777777" w:rsidR="00F8165F" w:rsidRDefault="003932AA" w:rsidP="00F8165F">
      <w:pPr>
        <w:pStyle w:val="Title"/>
        <w:jc w:val="both"/>
        <w:rPr>
          <w:rFonts w:ascii="Verdana" w:hAnsi="Verdana" w:cs="Times New Roman"/>
          <w:sz w:val="18"/>
          <w:szCs w:val="18"/>
        </w:rPr>
      </w:pPr>
      <w:r w:rsidRPr="00C51113">
        <w:rPr>
          <w:rFonts w:ascii="Verdana" w:hAnsi="Verdana" w:cs="Times New Roman"/>
          <w:sz w:val="18"/>
          <w:szCs w:val="18"/>
        </w:rPr>
        <w:t>LIST OF</w:t>
      </w:r>
      <w:r>
        <w:rPr>
          <w:rFonts w:ascii="Verdana" w:hAnsi="Verdana" w:cs="Times New Roman"/>
          <w:sz w:val="18"/>
          <w:szCs w:val="18"/>
        </w:rPr>
        <w:t xml:space="preserve"> SUPPLEMENTAL</w:t>
      </w:r>
      <w:r w:rsidRPr="00C51113">
        <w:rPr>
          <w:rFonts w:ascii="Verdana" w:hAnsi="Verdana" w:cs="Times New Roman"/>
          <w:sz w:val="18"/>
          <w:szCs w:val="18"/>
        </w:rPr>
        <w:t xml:space="preserve"> FIGURES</w:t>
      </w:r>
    </w:p>
    <w:p w14:paraId="25E5E139" w14:textId="7C92943D" w:rsidR="006E30D9" w:rsidRPr="00F8165F" w:rsidRDefault="00F07758" w:rsidP="00F8165F">
      <w:pPr>
        <w:pStyle w:val="Title"/>
        <w:jc w:val="both"/>
        <w:rPr>
          <w:noProof/>
          <w:sz w:val="32"/>
          <w:szCs w:val="28"/>
        </w:rPr>
      </w:pPr>
      <w:r w:rsidRPr="00F8165F">
        <w:rPr>
          <w:rFonts w:ascii="Verdana" w:hAnsi="Verdana" w:cs="Times New Roman"/>
          <w:sz w:val="20"/>
          <w:szCs w:val="20"/>
        </w:rPr>
        <w:fldChar w:fldCharType="begin"/>
      </w:r>
      <w:r w:rsidRPr="00F8165F">
        <w:rPr>
          <w:rFonts w:ascii="Verdana" w:hAnsi="Verdana" w:cs="Times New Roman"/>
          <w:sz w:val="20"/>
          <w:szCs w:val="20"/>
        </w:rPr>
        <w:instrText xml:space="preserve"> TOC \h \z \c "Figure S" </w:instrText>
      </w:r>
      <w:r w:rsidRPr="00F8165F">
        <w:rPr>
          <w:rFonts w:ascii="Verdana" w:hAnsi="Verdana" w:cs="Times New Roman"/>
          <w:sz w:val="20"/>
          <w:szCs w:val="20"/>
        </w:rPr>
        <w:fldChar w:fldCharType="separate"/>
      </w:r>
    </w:p>
    <w:p w14:paraId="7DF36230" w14:textId="09F9388F" w:rsidR="006E30D9" w:rsidRPr="00F8165F" w:rsidRDefault="00180EAB" w:rsidP="00F8165F">
      <w:pPr>
        <w:pStyle w:val="TableofFigures"/>
        <w:tabs>
          <w:tab w:val="right" w:leader="dot" w:pos="8630"/>
        </w:tabs>
        <w:rPr>
          <w:rFonts w:asciiTheme="minorHAnsi" w:eastAsiaTheme="minorEastAsia" w:hAnsiTheme="minorHAnsi" w:cstheme="minorBidi"/>
          <w:noProof/>
          <w:sz w:val="24"/>
        </w:rPr>
      </w:pPr>
      <w:hyperlink w:anchor="_Toc80349785" w:history="1">
        <w:r w:rsidR="006E30D9" w:rsidRPr="00F8165F">
          <w:rPr>
            <w:rStyle w:val="Hyperlink"/>
            <w:noProof/>
            <w:sz w:val="20"/>
            <w:szCs w:val="28"/>
          </w:rPr>
          <w:t>Figure S 2.1 Overview of methodology for AHL add back..</w:t>
        </w:r>
        <w:r w:rsidR="006E30D9" w:rsidRPr="00F8165F">
          <w:rPr>
            <w:noProof/>
            <w:webHidden/>
            <w:sz w:val="20"/>
            <w:szCs w:val="28"/>
          </w:rPr>
          <w:tab/>
        </w:r>
        <w:r w:rsidR="006E30D9" w:rsidRPr="00F8165F">
          <w:rPr>
            <w:noProof/>
            <w:webHidden/>
            <w:sz w:val="20"/>
            <w:szCs w:val="28"/>
          </w:rPr>
          <w:fldChar w:fldCharType="begin"/>
        </w:r>
        <w:r w:rsidR="006E30D9" w:rsidRPr="00F8165F">
          <w:rPr>
            <w:noProof/>
            <w:webHidden/>
            <w:sz w:val="20"/>
            <w:szCs w:val="28"/>
          </w:rPr>
          <w:instrText xml:space="preserve"> PAGEREF _Toc80349785 \h </w:instrText>
        </w:r>
        <w:r w:rsidR="006E30D9" w:rsidRPr="00F8165F">
          <w:rPr>
            <w:noProof/>
            <w:webHidden/>
            <w:sz w:val="20"/>
            <w:szCs w:val="28"/>
          </w:rPr>
        </w:r>
        <w:r w:rsidR="006E30D9" w:rsidRPr="00F8165F">
          <w:rPr>
            <w:noProof/>
            <w:webHidden/>
            <w:sz w:val="20"/>
            <w:szCs w:val="28"/>
          </w:rPr>
          <w:fldChar w:fldCharType="separate"/>
        </w:r>
        <w:r w:rsidR="006E30D9" w:rsidRPr="00F8165F">
          <w:rPr>
            <w:noProof/>
            <w:webHidden/>
            <w:sz w:val="20"/>
            <w:szCs w:val="28"/>
          </w:rPr>
          <w:t>27</w:t>
        </w:r>
        <w:r w:rsidR="006E30D9" w:rsidRPr="00F8165F">
          <w:rPr>
            <w:noProof/>
            <w:webHidden/>
            <w:sz w:val="20"/>
            <w:szCs w:val="28"/>
          </w:rPr>
          <w:fldChar w:fldCharType="end"/>
        </w:r>
      </w:hyperlink>
    </w:p>
    <w:p w14:paraId="7D0AD9A6" w14:textId="0F92B066" w:rsidR="006E30D9" w:rsidRPr="00F8165F" w:rsidRDefault="00180EAB" w:rsidP="00F8165F">
      <w:pPr>
        <w:pStyle w:val="TableofFigures"/>
        <w:tabs>
          <w:tab w:val="right" w:leader="dot" w:pos="8630"/>
        </w:tabs>
        <w:rPr>
          <w:rFonts w:eastAsiaTheme="minorEastAsia" w:cstheme="minorBidi"/>
          <w:noProof/>
          <w:sz w:val="20"/>
          <w:szCs w:val="20"/>
        </w:rPr>
      </w:pPr>
      <w:hyperlink r:id="rId8" w:anchor="_Toc80349786" w:history="1">
        <w:r w:rsidR="006E30D9" w:rsidRPr="00F8165F">
          <w:rPr>
            <w:rStyle w:val="Hyperlink"/>
            <w:rFonts w:cs="Times New Roman"/>
            <w:noProof/>
            <w:sz w:val="20"/>
            <w:szCs w:val="20"/>
          </w:rPr>
          <w:t>Figure S 2.2. Growth dynamics in liquid culture (A) and biofilm formation (B) in Y4I and mutants.</w:t>
        </w:r>
        <w:r w:rsidR="006E30D9" w:rsidRPr="00F8165F">
          <w:rPr>
            <w:noProof/>
            <w:webHidden/>
            <w:sz w:val="20"/>
            <w:szCs w:val="20"/>
          </w:rPr>
          <w:tab/>
        </w:r>
        <w:r w:rsidR="006E30D9" w:rsidRPr="00F8165F">
          <w:rPr>
            <w:noProof/>
            <w:webHidden/>
            <w:sz w:val="20"/>
            <w:szCs w:val="20"/>
          </w:rPr>
          <w:fldChar w:fldCharType="begin"/>
        </w:r>
        <w:r w:rsidR="006E30D9" w:rsidRPr="00F8165F">
          <w:rPr>
            <w:noProof/>
            <w:webHidden/>
            <w:sz w:val="20"/>
            <w:szCs w:val="20"/>
          </w:rPr>
          <w:instrText xml:space="preserve"> PAGEREF _Toc80349786 \h </w:instrText>
        </w:r>
        <w:r w:rsidR="006E30D9" w:rsidRPr="00F8165F">
          <w:rPr>
            <w:noProof/>
            <w:webHidden/>
            <w:sz w:val="20"/>
            <w:szCs w:val="20"/>
          </w:rPr>
        </w:r>
        <w:r w:rsidR="006E30D9" w:rsidRPr="00F8165F">
          <w:rPr>
            <w:noProof/>
            <w:webHidden/>
            <w:sz w:val="20"/>
            <w:szCs w:val="20"/>
          </w:rPr>
          <w:fldChar w:fldCharType="separate"/>
        </w:r>
        <w:r w:rsidR="006E30D9" w:rsidRPr="00F8165F">
          <w:rPr>
            <w:noProof/>
            <w:webHidden/>
            <w:sz w:val="20"/>
            <w:szCs w:val="20"/>
          </w:rPr>
          <w:t>28</w:t>
        </w:r>
        <w:r w:rsidR="006E30D9" w:rsidRPr="00F8165F">
          <w:rPr>
            <w:noProof/>
            <w:webHidden/>
            <w:sz w:val="20"/>
            <w:szCs w:val="20"/>
          </w:rPr>
          <w:fldChar w:fldCharType="end"/>
        </w:r>
      </w:hyperlink>
    </w:p>
    <w:p w14:paraId="244CAC38" w14:textId="004BB8DC" w:rsidR="006E30D9" w:rsidRPr="00F8165F" w:rsidRDefault="00180EAB" w:rsidP="00F8165F">
      <w:pPr>
        <w:pStyle w:val="TableofFigures"/>
        <w:tabs>
          <w:tab w:val="right" w:leader="dot" w:pos="8630"/>
        </w:tabs>
        <w:rPr>
          <w:rFonts w:eastAsiaTheme="minorEastAsia" w:cstheme="minorBidi"/>
          <w:noProof/>
          <w:sz w:val="20"/>
          <w:szCs w:val="20"/>
        </w:rPr>
      </w:pPr>
      <w:hyperlink w:anchor="_Toc80349787" w:history="1">
        <w:r w:rsidR="006E30D9" w:rsidRPr="00F8165F">
          <w:rPr>
            <w:rStyle w:val="Hyperlink"/>
            <w:noProof/>
            <w:sz w:val="20"/>
            <w:szCs w:val="20"/>
          </w:rPr>
          <w:t>Figure S 2.3</w:t>
        </w:r>
        <w:r w:rsidR="006E30D9" w:rsidRPr="00F8165F">
          <w:rPr>
            <w:rStyle w:val="Hyperlink"/>
            <w:rFonts w:cs="Times New Roman"/>
            <w:noProof/>
            <w:sz w:val="20"/>
            <w:szCs w:val="20"/>
          </w:rPr>
          <w:t>. Growth dynamics in liquid culture (A) and biofilm formation (B) in Y4I and mutants.</w:t>
        </w:r>
        <w:r w:rsidR="006E30D9" w:rsidRPr="00F8165F">
          <w:rPr>
            <w:noProof/>
            <w:webHidden/>
            <w:sz w:val="20"/>
            <w:szCs w:val="20"/>
          </w:rPr>
          <w:tab/>
        </w:r>
        <w:r w:rsidR="006E30D9" w:rsidRPr="00F8165F">
          <w:rPr>
            <w:noProof/>
            <w:webHidden/>
            <w:sz w:val="20"/>
            <w:szCs w:val="20"/>
          </w:rPr>
          <w:fldChar w:fldCharType="begin"/>
        </w:r>
        <w:r w:rsidR="006E30D9" w:rsidRPr="00F8165F">
          <w:rPr>
            <w:noProof/>
            <w:webHidden/>
            <w:sz w:val="20"/>
            <w:szCs w:val="20"/>
          </w:rPr>
          <w:instrText xml:space="preserve"> PAGEREF _Toc80349787 \h </w:instrText>
        </w:r>
        <w:r w:rsidR="006E30D9" w:rsidRPr="00F8165F">
          <w:rPr>
            <w:noProof/>
            <w:webHidden/>
            <w:sz w:val="20"/>
            <w:szCs w:val="20"/>
          </w:rPr>
        </w:r>
        <w:r w:rsidR="006E30D9" w:rsidRPr="00F8165F">
          <w:rPr>
            <w:noProof/>
            <w:webHidden/>
            <w:sz w:val="20"/>
            <w:szCs w:val="20"/>
          </w:rPr>
          <w:fldChar w:fldCharType="separate"/>
        </w:r>
        <w:r w:rsidR="006E30D9" w:rsidRPr="00F8165F">
          <w:rPr>
            <w:noProof/>
            <w:webHidden/>
            <w:sz w:val="20"/>
            <w:szCs w:val="20"/>
          </w:rPr>
          <w:t>28</w:t>
        </w:r>
        <w:r w:rsidR="006E30D9" w:rsidRPr="00F8165F">
          <w:rPr>
            <w:noProof/>
            <w:webHidden/>
            <w:sz w:val="20"/>
            <w:szCs w:val="20"/>
          </w:rPr>
          <w:fldChar w:fldCharType="end"/>
        </w:r>
      </w:hyperlink>
    </w:p>
    <w:p w14:paraId="2C779E03" w14:textId="2EF7A3FD" w:rsidR="006E30D9" w:rsidRPr="00F8165F" w:rsidRDefault="00180EAB" w:rsidP="00F8165F">
      <w:pPr>
        <w:pStyle w:val="TableofFigures"/>
        <w:tabs>
          <w:tab w:val="right" w:leader="dot" w:pos="8630"/>
        </w:tabs>
        <w:rPr>
          <w:rFonts w:eastAsiaTheme="minorEastAsia" w:cstheme="minorBidi"/>
          <w:noProof/>
          <w:sz w:val="20"/>
          <w:szCs w:val="20"/>
        </w:rPr>
      </w:pPr>
      <w:hyperlink r:id="rId9" w:anchor="_Toc80349788" w:history="1">
        <w:r w:rsidR="006E30D9" w:rsidRPr="00F8165F">
          <w:rPr>
            <w:rStyle w:val="Hyperlink"/>
            <w:rFonts w:cs="Times New Roman"/>
            <w:noProof/>
            <w:sz w:val="20"/>
            <w:szCs w:val="20"/>
          </w:rPr>
          <w:t>Figure S 2.4. Half CtrA binding site within pgaRI (green) operon.</w:t>
        </w:r>
        <w:r w:rsidR="006E30D9" w:rsidRPr="00F8165F">
          <w:rPr>
            <w:noProof/>
            <w:webHidden/>
            <w:sz w:val="20"/>
            <w:szCs w:val="20"/>
          </w:rPr>
          <w:tab/>
        </w:r>
        <w:r w:rsidR="006E30D9" w:rsidRPr="00F8165F">
          <w:rPr>
            <w:noProof/>
            <w:webHidden/>
            <w:sz w:val="20"/>
            <w:szCs w:val="20"/>
          </w:rPr>
          <w:fldChar w:fldCharType="begin"/>
        </w:r>
        <w:r w:rsidR="006E30D9" w:rsidRPr="00F8165F">
          <w:rPr>
            <w:noProof/>
            <w:webHidden/>
            <w:sz w:val="20"/>
            <w:szCs w:val="20"/>
          </w:rPr>
          <w:instrText xml:space="preserve"> PAGEREF _Toc80349788 \h </w:instrText>
        </w:r>
        <w:r w:rsidR="006E30D9" w:rsidRPr="00F8165F">
          <w:rPr>
            <w:noProof/>
            <w:webHidden/>
            <w:sz w:val="20"/>
            <w:szCs w:val="20"/>
          </w:rPr>
        </w:r>
        <w:r w:rsidR="006E30D9" w:rsidRPr="00F8165F">
          <w:rPr>
            <w:noProof/>
            <w:webHidden/>
            <w:sz w:val="20"/>
            <w:szCs w:val="20"/>
          </w:rPr>
          <w:fldChar w:fldCharType="separate"/>
        </w:r>
        <w:r w:rsidR="006E30D9" w:rsidRPr="00F8165F">
          <w:rPr>
            <w:noProof/>
            <w:webHidden/>
            <w:sz w:val="20"/>
            <w:szCs w:val="20"/>
          </w:rPr>
          <w:t>28</w:t>
        </w:r>
        <w:r w:rsidR="006E30D9" w:rsidRPr="00F8165F">
          <w:rPr>
            <w:noProof/>
            <w:webHidden/>
            <w:sz w:val="20"/>
            <w:szCs w:val="20"/>
          </w:rPr>
          <w:fldChar w:fldCharType="end"/>
        </w:r>
      </w:hyperlink>
    </w:p>
    <w:p w14:paraId="2C90E5BA" w14:textId="1CCA01AA" w:rsidR="00387656" w:rsidRPr="00F8165F" w:rsidRDefault="00F07758" w:rsidP="00F8165F">
      <w:pPr>
        <w:pStyle w:val="Title"/>
        <w:jc w:val="both"/>
        <w:rPr>
          <w:rFonts w:ascii="Verdana" w:hAnsi="Verdana" w:cs="Times New Roman"/>
          <w:sz w:val="20"/>
          <w:szCs w:val="20"/>
        </w:rPr>
      </w:pPr>
      <w:r w:rsidRPr="00F8165F">
        <w:rPr>
          <w:rFonts w:ascii="Verdana" w:hAnsi="Verdana" w:cs="Times New Roman"/>
          <w:sz w:val="20"/>
          <w:szCs w:val="20"/>
        </w:rPr>
        <w:fldChar w:fldCharType="end"/>
      </w:r>
    </w:p>
    <w:p w14:paraId="5164472B" w14:textId="77777777" w:rsidR="0085757D" w:rsidRPr="00F8165F" w:rsidRDefault="0085757D" w:rsidP="00677C01">
      <w:pPr>
        <w:spacing w:before="240"/>
        <w:jc w:val="both"/>
        <w:rPr>
          <w:rFonts w:ascii="Verdana" w:hAnsi="Verdana" w:cs="Times New Roman"/>
          <w:sz w:val="20"/>
          <w:szCs w:val="20"/>
        </w:rPr>
      </w:pPr>
    </w:p>
    <w:p w14:paraId="0F0B151D" w14:textId="77777777" w:rsidR="0085757D" w:rsidRPr="00F8165F" w:rsidRDefault="0085757D" w:rsidP="00677C01">
      <w:pPr>
        <w:spacing w:before="240"/>
        <w:jc w:val="both"/>
        <w:rPr>
          <w:rFonts w:ascii="Verdana" w:hAnsi="Verdana" w:cs="Times New Roman"/>
          <w:sz w:val="20"/>
          <w:szCs w:val="20"/>
        </w:rPr>
      </w:pPr>
    </w:p>
    <w:p w14:paraId="3735C0DE" w14:textId="77777777" w:rsidR="0085757D" w:rsidRPr="00C51113" w:rsidRDefault="0085757D" w:rsidP="00677C01">
      <w:pPr>
        <w:spacing w:before="240"/>
        <w:jc w:val="both"/>
        <w:rPr>
          <w:rFonts w:ascii="Verdana" w:hAnsi="Verdana" w:cs="Times New Roman"/>
          <w:sz w:val="18"/>
          <w:szCs w:val="18"/>
        </w:rPr>
      </w:pPr>
    </w:p>
    <w:p w14:paraId="2434DB7E" w14:textId="77777777" w:rsidR="0085757D" w:rsidRPr="00C51113" w:rsidRDefault="0085757D" w:rsidP="00677C01">
      <w:pPr>
        <w:spacing w:before="240"/>
        <w:jc w:val="both"/>
        <w:rPr>
          <w:rFonts w:ascii="Verdana" w:hAnsi="Verdana" w:cs="Times New Roman"/>
          <w:sz w:val="18"/>
          <w:szCs w:val="18"/>
        </w:rPr>
      </w:pPr>
    </w:p>
    <w:p w14:paraId="1AD53842" w14:textId="77777777" w:rsidR="0085757D" w:rsidRPr="00C51113" w:rsidRDefault="0085757D" w:rsidP="00677C01">
      <w:pPr>
        <w:spacing w:before="240"/>
        <w:jc w:val="both"/>
        <w:rPr>
          <w:rFonts w:ascii="Verdana" w:hAnsi="Verdana" w:cs="Times New Roman"/>
          <w:sz w:val="18"/>
          <w:szCs w:val="18"/>
        </w:rPr>
        <w:sectPr w:rsidR="0085757D" w:rsidRPr="00C51113" w:rsidSect="001D4908">
          <w:footerReference w:type="default" r:id="rId10"/>
          <w:pgSz w:w="12240" w:h="15840" w:code="1"/>
          <w:pgMar w:top="1440" w:right="1800" w:bottom="1872" w:left="1800" w:header="720" w:footer="1440" w:gutter="0"/>
          <w:pgNumType w:fmt="lowerRoman" w:start="1"/>
          <w:cols w:space="720"/>
          <w:noEndnote/>
          <w:titlePg/>
        </w:sectPr>
      </w:pPr>
    </w:p>
    <w:p w14:paraId="0BE624B1" w14:textId="78453633" w:rsidR="00E431A4" w:rsidRPr="00F8165F" w:rsidRDefault="00E431A4" w:rsidP="00677C01">
      <w:pPr>
        <w:spacing w:before="240"/>
        <w:jc w:val="both"/>
        <w:rPr>
          <w:rFonts w:ascii="Verdana" w:hAnsi="Verdana" w:cs="Times New Roman"/>
          <w:sz w:val="20"/>
          <w:szCs w:val="20"/>
        </w:rPr>
      </w:pPr>
      <w:bookmarkStart w:id="0" w:name="_Toc289175819"/>
      <w:r w:rsidRPr="00F8165F">
        <w:rPr>
          <w:rFonts w:ascii="Verdana" w:hAnsi="Verdana" w:cs="Times New Roman"/>
          <w:sz w:val="20"/>
          <w:szCs w:val="20"/>
        </w:rPr>
        <w:lastRenderedPageBreak/>
        <w:t xml:space="preserve">A version of this </w:t>
      </w:r>
      <w:r w:rsidR="00CE44EA" w:rsidRPr="00F8165F">
        <w:rPr>
          <w:rFonts w:ascii="Verdana" w:hAnsi="Verdana" w:cs="Times New Roman"/>
          <w:sz w:val="20"/>
          <w:szCs w:val="20"/>
        </w:rPr>
        <w:t>introduction</w:t>
      </w:r>
      <w:r w:rsidRPr="00F8165F">
        <w:rPr>
          <w:rFonts w:ascii="Verdana" w:hAnsi="Verdana" w:cs="Times New Roman"/>
          <w:sz w:val="20"/>
          <w:szCs w:val="20"/>
        </w:rPr>
        <w:t xml:space="preserve"> was originally written by </w:t>
      </w:r>
      <w:r w:rsidR="00CE44EA" w:rsidRPr="00F8165F">
        <w:rPr>
          <w:rFonts w:ascii="Verdana" w:hAnsi="Verdana" w:cs="Times New Roman"/>
          <w:sz w:val="20"/>
          <w:szCs w:val="20"/>
        </w:rPr>
        <w:t xml:space="preserve">Alison </w:t>
      </w:r>
      <w:r w:rsidRPr="00F8165F">
        <w:rPr>
          <w:rFonts w:ascii="Verdana" w:hAnsi="Verdana" w:cs="Times New Roman"/>
          <w:sz w:val="20"/>
          <w:szCs w:val="20"/>
        </w:rPr>
        <w:t>Buchan</w:t>
      </w:r>
      <w:r w:rsidR="00CE44EA" w:rsidRPr="00F8165F">
        <w:rPr>
          <w:rFonts w:ascii="Verdana" w:hAnsi="Verdana" w:cs="Times New Roman"/>
          <w:sz w:val="20"/>
          <w:szCs w:val="20"/>
        </w:rPr>
        <w:t>, April Mitchell (Armes), W. Nathan Cude, and Shawn Campagna</w:t>
      </w:r>
      <w:r w:rsidRPr="00F8165F">
        <w:rPr>
          <w:rFonts w:ascii="Verdana" w:hAnsi="Verdana" w:cs="Times New Roman"/>
          <w:sz w:val="20"/>
          <w:szCs w:val="20"/>
        </w:rPr>
        <w:t xml:space="preserve"> </w:t>
      </w:r>
      <w:r w:rsidR="00CE44EA" w:rsidRPr="00F8165F">
        <w:rPr>
          <w:rFonts w:ascii="Verdana" w:hAnsi="Verdana" w:cs="Times New Roman"/>
          <w:sz w:val="20"/>
          <w:szCs w:val="20"/>
        </w:rPr>
        <w:t xml:space="preserve">and is published in </w:t>
      </w:r>
      <w:r w:rsidR="00CE44EA" w:rsidRPr="00F8165F">
        <w:rPr>
          <w:rFonts w:ascii="Verdana" w:hAnsi="Verdana" w:cs="Times New Roman"/>
          <w:color w:val="222222"/>
          <w:sz w:val="20"/>
          <w:szCs w:val="20"/>
          <w:shd w:val="clear" w:color="auto" w:fill="FFFFFF"/>
        </w:rPr>
        <w:t>Stress and Environmental Regulation of Gene Expression and Adaptation in Bacteria.</w:t>
      </w:r>
    </w:p>
    <w:p w14:paraId="171A562C" w14:textId="77777777" w:rsidR="00E431A4" w:rsidRPr="00F8165F" w:rsidRDefault="00E431A4" w:rsidP="00677C01">
      <w:pPr>
        <w:spacing w:before="240"/>
        <w:jc w:val="both"/>
        <w:rPr>
          <w:rFonts w:ascii="Verdana" w:hAnsi="Verdana" w:cs="Times New Roman"/>
          <w:sz w:val="20"/>
          <w:szCs w:val="20"/>
        </w:rPr>
      </w:pPr>
      <w:r w:rsidRPr="00F8165F">
        <w:rPr>
          <w:rFonts w:ascii="Verdana" w:hAnsi="Verdana" w:cs="Times New Roman"/>
          <w:sz w:val="20"/>
          <w:szCs w:val="20"/>
        </w:rPr>
        <w:tab/>
      </w:r>
    </w:p>
    <w:p w14:paraId="68688E7A" w14:textId="47AEB881" w:rsidR="00E431A4" w:rsidRPr="00F8165F" w:rsidRDefault="00CE44EA" w:rsidP="00677C01">
      <w:pPr>
        <w:spacing w:before="240"/>
        <w:jc w:val="both"/>
        <w:rPr>
          <w:rFonts w:ascii="Verdana" w:hAnsi="Verdana" w:cs="Times New Roman"/>
          <w:sz w:val="20"/>
          <w:szCs w:val="20"/>
        </w:rPr>
      </w:pPr>
      <w:r w:rsidRPr="00F8165F">
        <w:rPr>
          <w:rFonts w:ascii="Verdana" w:hAnsi="Verdana" w:cs="Times New Roman"/>
          <w:sz w:val="20"/>
          <w:szCs w:val="20"/>
        </w:rPr>
        <w:t>Alison Buchan, April Mitchell, W. Nathan Cude, and Shawn Campagna</w:t>
      </w:r>
      <w:r w:rsidR="00E431A4" w:rsidRPr="00F8165F">
        <w:rPr>
          <w:rFonts w:ascii="Verdana" w:hAnsi="Verdana" w:cs="Times New Roman"/>
          <w:sz w:val="20"/>
          <w:szCs w:val="20"/>
        </w:rPr>
        <w:t>. “</w:t>
      </w:r>
      <w:r w:rsidRPr="00F8165F">
        <w:rPr>
          <w:rFonts w:ascii="Verdana" w:hAnsi="Verdana" w:cs="Times New Roman"/>
          <w:sz w:val="20"/>
          <w:szCs w:val="20"/>
        </w:rPr>
        <w:t xml:space="preserve">Acyl-homoserine lactone-based quorum sensing in members of the marine bacterial Roseobacter clade: complex cell-to-cell communication controls multiple physiologies” </w:t>
      </w:r>
      <w:r w:rsidRPr="00F8165F">
        <w:rPr>
          <w:rFonts w:ascii="Verdana" w:hAnsi="Verdana" w:cs="Times New Roman"/>
          <w:i/>
          <w:sz w:val="20"/>
          <w:szCs w:val="20"/>
        </w:rPr>
        <w:t>Stress and Environmental Regulation of Gene Expression and Adaptation in Bacteria (2016): 225-233</w:t>
      </w:r>
    </w:p>
    <w:p w14:paraId="0E2EDCE1" w14:textId="77777777" w:rsidR="00E431A4" w:rsidRPr="00F8165F" w:rsidRDefault="00E431A4" w:rsidP="00677C01">
      <w:pPr>
        <w:spacing w:before="240"/>
        <w:jc w:val="both"/>
        <w:rPr>
          <w:rFonts w:ascii="Verdana" w:hAnsi="Verdana" w:cs="Times New Roman"/>
          <w:sz w:val="20"/>
          <w:szCs w:val="20"/>
        </w:rPr>
      </w:pPr>
    </w:p>
    <w:p w14:paraId="147FF4FC" w14:textId="3AB95666" w:rsidR="00E431A4" w:rsidRPr="00F8165F" w:rsidRDefault="00CE44EA" w:rsidP="00677C01">
      <w:pPr>
        <w:spacing w:before="240"/>
        <w:jc w:val="both"/>
        <w:rPr>
          <w:rFonts w:ascii="Verdana" w:hAnsi="Verdana" w:cs="Times New Roman"/>
          <w:b/>
          <w:bCs/>
          <w:caps/>
          <w:sz w:val="20"/>
          <w:szCs w:val="20"/>
        </w:rPr>
      </w:pPr>
      <w:r w:rsidRPr="00F8165F">
        <w:rPr>
          <w:rFonts w:ascii="Verdana" w:hAnsi="Verdana" w:cs="Times New Roman"/>
          <w:sz w:val="20"/>
          <w:szCs w:val="20"/>
        </w:rPr>
        <w:t xml:space="preserve">My contribution to this publication was to provide an updated review of the role of quorum sensing in Roseobacter biology. In this review, I provided discussion of the integration of the master regulatory, </w:t>
      </w:r>
      <w:proofErr w:type="spellStart"/>
      <w:r w:rsidRPr="00F8165F">
        <w:rPr>
          <w:rFonts w:ascii="Verdana" w:hAnsi="Verdana" w:cs="Times New Roman"/>
          <w:sz w:val="20"/>
          <w:szCs w:val="20"/>
        </w:rPr>
        <w:t>CtrA</w:t>
      </w:r>
      <w:proofErr w:type="spellEnd"/>
      <w:r w:rsidRPr="00F8165F">
        <w:rPr>
          <w:rFonts w:ascii="Verdana" w:hAnsi="Verdana" w:cs="Times New Roman"/>
          <w:sz w:val="20"/>
          <w:szCs w:val="20"/>
        </w:rPr>
        <w:t xml:space="preserve">, into the Roseobacter QS regulatory network; and expanded upon the current knowledge of QS in Roseobacters.  </w:t>
      </w:r>
    </w:p>
    <w:p w14:paraId="76749F1D" w14:textId="77777777" w:rsidR="00E431A4" w:rsidRPr="00F8165F" w:rsidRDefault="00E431A4" w:rsidP="00677C01">
      <w:pPr>
        <w:spacing w:before="240"/>
        <w:jc w:val="both"/>
        <w:rPr>
          <w:rFonts w:ascii="Verdana" w:hAnsi="Verdana" w:cs="Times New Roman"/>
          <w:b/>
          <w:bCs/>
          <w:caps/>
          <w:sz w:val="20"/>
          <w:szCs w:val="20"/>
        </w:rPr>
      </w:pPr>
      <w:r w:rsidRPr="00F8165F">
        <w:rPr>
          <w:rFonts w:ascii="Verdana" w:hAnsi="Verdana" w:cs="Times New Roman"/>
          <w:sz w:val="20"/>
          <w:szCs w:val="20"/>
        </w:rPr>
        <w:br w:type="page"/>
      </w:r>
    </w:p>
    <w:p w14:paraId="00DBFA65" w14:textId="1A5D7F0C" w:rsidR="004C2071" w:rsidRPr="00366007" w:rsidRDefault="00526151" w:rsidP="00677C01">
      <w:pPr>
        <w:pStyle w:val="Heading1"/>
        <w:spacing w:before="240"/>
        <w:rPr>
          <w:rFonts w:ascii="Verdana" w:hAnsi="Verdana"/>
        </w:rPr>
      </w:pPr>
      <w:bookmarkStart w:id="1" w:name="_Toc83382586"/>
      <w:r w:rsidRPr="00366007">
        <w:rPr>
          <w:rFonts w:ascii="Verdana" w:hAnsi="Verdana"/>
        </w:rPr>
        <w:lastRenderedPageBreak/>
        <w:t>INTRODUCTION</w:t>
      </w:r>
      <w:bookmarkEnd w:id="0"/>
      <w:bookmarkEnd w:id="1"/>
    </w:p>
    <w:p w14:paraId="1221B3EF" w14:textId="4C9E8003" w:rsidR="00236E6D" w:rsidRPr="00366007" w:rsidRDefault="00236E6D" w:rsidP="00677C01">
      <w:pPr>
        <w:spacing w:before="240"/>
        <w:jc w:val="both"/>
        <w:rPr>
          <w:rFonts w:ascii="Verdana" w:hAnsi="Verdana" w:cs="Times New Roman"/>
          <w:sz w:val="18"/>
          <w:szCs w:val="18"/>
        </w:rPr>
      </w:pPr>
    </w:p>
    <w:p w14:paraId="76D57A9B" w14:textId="326886C2" w:rsidR="00CE44EA" w:rsidRPr="00366007" w:rsidRDefault="00366007" w:rsidP="00677C01">
      <w:pPr>
        <w:pStyle w:val="Heading2"/>
        <w:jc w:val="left"/>
        <w:rPr>
          <w:rFonts w:ascii="Verdana" w:hAnsi="Verdana"/>
          <w:sz w:val="24"/>
          <w:szCs w:val="24"/>
        </w:rPr>
      </w:pPr>
      <w:bookmarkStart w:id="2" w:name="_Toc83382587"/>
      <w:r w:rsidRPr="00366007">
        <w:rPr>
          <w:rFonts w:ascii="Verdana" w:hAnsi="Verdana"/>
          <w:sz w:val="24"/>
          <w:szCs w:val="24"/>
        </w:rPr>
        <w:t xml:space="preserve">I. </w:t>
      </w:r>
      <w:r w:rsidR="00CE44EA" w:rsidRPr="00366007">
        <w:rPr>
          <w:rFonts w:ascii="Verdana" w:hAnsi="Verdana"/>
          <w:sz w:val="24"/>
          <w:szCs w:val="24"/>
        </w:rPr>
        <w:t>Background</w:t>
      </w:r>
      <w:bookmarkEnd w:id="2"/>
    </w:p>
    <w:p w14:paraId="48492880" w14:textId="005CDC28" w:rsidR="00AB0971" w:rsidRPr="00366007" w:rsidRDefault="0034307A" w:rsidP="00677C01">
      <w:pPr>
        <w:spacing w:before="240"/>
        <w:jc w:val="both"/>
        <w:rPr>
          <w:rFonts w:ascii="Verdana" w:hAnsi="Verdana"/>
          <w:sz w:val="20"/>
          <w:szCs w:val="20"/>
        </w:rPr>
      </w:pPr>
      <w:bookmarkStart w:id="3" w:name="_Toc289175820"/>
      <w:r w:rsidRPr="00366007">
        <w:rPr>
          <w:rFonts w:ascii="Verdana" w:hAnsi="Verdana"/>
          <w:sz w:val="20"/>
          <w:szCs w:val="20"/>
        </w:rPr>
        <w:t>Bacteria have evolved a variety of genetic mechanisms for behaviors in response to environmental signals. One of these mechanisms, frequently referred to as quorum sensing</w:t>
      </w:r>
      <w:r w:rsidRPr="00366007">
        <w:rPr>
          <w:rFonts w:ascii="Verdana" w:hAnsi="Verdana"/>
          <w:noProof/>
          <w:sz w:val="20"/>
          <w:szCs w:val="20"/>
        </w:rPr>
        <w:t xml:space="preserve"> (QS)</w:t>
      </w:r>
      <w:r w:rsidRPr="00366007">
        <w:rPr>
          <w:rFonts w:ascii="Verdana" w:hAnsi="Verdana"/>
          <w:sz w:val="20"/>
          <w:szCs w:val="20"/>
        </w:rPr>
        <w:t xml:space="preserve">, is dependent upon the concentration of bacterially produced, diffusible chemical cues. Bacteria capable of producing these signal molecules release them into the local environment where they can be sensed by bacteria of the same or different species resulting in regulation of gene expression in a manner that depends upon signal concentration and potentially other environmental cues. In this way, bacterial communities use these signaling systems to communicate, cooperate and/or compete with one another as a form of social interaction. It is hypothesized that QS allows these bacterial consortia to behave as pseudo-multicellular organisms. Phylogenetically diverse bacteria use QS systems to coordinate gene expression </w:t>
      </w:r>
      <w:r w:rsidRPr="00366007">
        <w:rPr>
          <w:rFonts w:ascii="Verdana" w:hAnsi="Verdana"/>
          <w:noProof/>
          <w:sz w:val="20"/>
          <w:szCs w:val="20"/>
        </w:rPr>
        <w:t>(1, 2)</w:t>
      </w:r>
      <w:r w:rsidRPr="00366007">
        <w:rPr>
          <w:rFonts w:ascii="Verdana" w:hAnsi="Verdana"/>
          <w:sz w:val="20"/>
          <w:szCs w:val="20"/>
        </w:rPr>
        <w:t xml:space="preserve">. QS networks have been implicated in bacterial behaviors including bioluminescence, host colonization, biofilm formation, coordinated motility (i.e., swarming) and virulence </w:t>
      </w:r>
      <w:r w:rsidRPr="00366007">
        <w:rPr>
          <w:rFonts w:ascii="Verdana" w:hAnsi="Verdana"/>
          <w:noProof/>
          <w:sz w:val="20"/>
          <w:szCs w:val="20"/>
        </w:rPr>
        <w:t>(1)</w:t>
      </w:r>
      <w:r w:rsidRPr="00366007">
        <w:rPr>
          <w:rFonts w:ascii="Verdana" w:hAnsi="Verdana"/>
          <w:sz w:val="20"/>
          <w:szCs w:val="20"/>
        </w:rPr>
        <w:t xml:space="preserve">. </w:t>
      </w:r>
    </w:p>
    <w:p w14:paraId="54EE480E" w14:textId="5D039481" w:rsidR="00CE44EA" w:rsidRPr="00F8165F" w:rsidRDefault="0034307A" w:rsidP="00F8165F">
      <w:pPr>
        <w:spacing w:before="240"/>
        <w:ind w:firstLine="360"/>
        <w:jc w:val="both"/>
        <w:rPr>
          <w:rFonts w:ascii="Verdana" w:hAnsi="Verdana"/>
          <w:sz w:val="20"/>
          <w:szCs w:val="20"/>
        </w:rPr>
      </w:pPr>
      <w:r w:rsidRPr="00366007">
        <w:rPr>
          <w:rFonts w:ascii="Verdana" w:hAnsi="Verdana"/>
          <w:sz w:val="20"/>
          <w:szCs w:val="20"/>
        </w:rPr>
        <w:t xml:space="preserve">Several classes of small molecule signals are known to mediate intraspecies signaling in bacteria. These signals often upregulate their own production and have been termed autoinducers </w:t>
      </w:r>
      <w:r w:rsidRPr="00366007">
        <w:rPr>
          <w:rFonts w:ascii="Verdana" w:hAnsi="Verdana"/>
          <w:noProof/>
          <w:sz w:val="20"/>
          <w:szCs w:val="20"/>
        </w:rPr>
        <w:t>(1, 3, 4)</w:t>
      </w:r>
      <w:r w:rsidRPr="00366007">
        <w:rPr>
          <w:rFonts w:ascii="Verdana" w:hAnsi="Verdana"/>
          <w:sz w:val="20"/>
          <w:szCs w:val="20"/>
        </w:rPr>
        <w:t xml:space="preserve">. The major class of intraspecies signal in Proteobacteria are </w:t>
      </w:r>
      <w:r w:rsidRPr="00366007">
        <w:rPr>
          <w:rFonts w:ascii="Verdana" w:hAnsi="Verdana"/>
          <w:i/>
          <w:sz w:val="20"/>
          <w:szCs w:val="20"/>
        </w:rPr>
        <w:t>N</w:t>
      </w:r>
      <w:r w:rsidRPr="00366007">
        <w:rPr>
          <w:rFonts w:ascii="Verdana" w:hAnsi="Verdana"/>
          <w:sz w:val="20"/>
          <w:szCs w:val="20"/>
        </w:rPr>
        <w:t>-acylhomoserine lactones (AHLs)</w:t>
      </w:r>
      <w:r w:rsidRPr="00366007">
        <w:rPr>
          <w:rFonts w:ascii="Verdana" w:hAnsi="Verdana"/>
          <w:noProof/>
          <w:sz w:val="20"/>
          <w:szCs w:val="20"/>
        </w:rPr>
        <w:t xml:space="preserve"> (2)</w:t>
      </w:r>
      <w:r w:rsidRPr="00366007">
        <w:rPr>
          <w:rFonts w:ascii="Verdana" w:hAnsi="Verdana"/>
          <w:sz w:val="20"/>
          <w:szCs w:val="20"/>
        </w:rPr>
        <w:t xml:space="preserve">. Canonical AHL-QS systems produce and respond to AHLs via two proteins, </w:t>
      </w:r>
      <w:proofErr w:type="spellStart"/>
      <w:r w:rsidRPr="00366007">
        <w:rPr>
          <w:rFonts w:ascii="Verdana" w:hAnsi="Verdana"/>
          <w:sz w:val="20"/>
          <w:szCs w:val="20"/>
        </w:rPr>
        <w:t>LuxI</w:t>
      </w:r>
      <w:proofErr w:type="spellEnd"/>
      <w:r w:rsidRPr="00366007">
        <w:rPr>
          <w:rFonts w:ascii="Verdana" w:hAnsi="Verdana"/>
          <w:sz w:val="20"/>
          <w:szCs w:val="20"/>
        </w:rPr>
        <w:t xml:space="preserve"> and </w:t>
      </w:r>
      <w:proofErr w:type="spellStart"/>
      <w:r w:rsidRPr="00366007">
        <w:rPr>
          <w:rFonts w:ascii="Verdana" w:hAnsi="Verdana"/>
          <w:sz w:val="20"/>
          <w:szCs w:val="20"/>
        </w:rPr>
        <w:t>LuxR</w:t>
      </w:r>
      <w:proofErr w:type="spellEnd"/>
      <w:r w:rsidRPr="00366007">
        <w:rPr>
          <w:rFonts w:ascii="Verdana" w:hAnsi="Verdana"/>
          <w:sz w:val="20"/>
          <w:szCs w:val="20"/>
        </w:rPr>
        <w:t xml:space="preserve">, respectively. The genes encoding these proteins are most often located adjacent to one another on the bacterial chromosome in </w:t>
      </w:r>
      <w:proofErr w:type="spellStart"/>
      <w:r w:rsidRPr="00366007">
        <w:rPr>
          <w:rFonts w:ascii="Verdana" w:hAnsi="Verdana"/>
          <w:sz w:val="20"/>
          <w:szCs w:val="20"/>
        </w:rPr>
        <w:t>alphaproteobacteria</w:t>
      </w:r>
      <w:proofErr w:type="spellEnd"/>
      <w:r w:rsidRPr="00366007">
        <w:rPr>
          <w:rFonts w:ascii="Verdana" w:hAnsi="Verdana"/>
          <w:sz w:val="20"/>
          <w:szCs w:val="20"/>
        </w:rPr>
        <w:t xml:space="preserve"> </w:t>
      </w:r>
      <w:r w:rsidRPr="00366007">
        <w:rPr>
          <w:rFonts w:ascii="Verdana" w:hAnsi="Verdana"/>
          <w:noProof/>
          <w:sz w:val="20"/>
          <w:szCs w:val="20"/>
        </w:rPr>
        <w:t>(1)</w:t>
      </w:r>
      <w:r w:rsidRPr="00366007">
        <w:rPr>
          <w:rFonts w:ascii="Verdana" w:hAnsi="Verdana"/>
          <w:sz w:val="20"/>
          <w:szCs w:val="20"/>
        </w:rPr>
        <w:t xml:space="preserve">. </w:t>
      </w:r>
      <w:proofErr w:type="spellStart"/>
      <w:r w:rsidRPr="00366007">
        <w:rPr>
          <w:rFonts w:ascii="Verdana" w:hAnsi="Verdana"/>
          <w:sz w:val="20"/>
          <w:szCs w:val="20"/>
        </w:rPr>
        <w:t>LuxI</w:t>
      </w:r>
      <w:proofErr w:type="spellEnd"/>
      <w:r w:rsidRPr="00366007">
        <w:rPr>
          <w:rFonts w:ascii="Verdana" w:hAnsi="Verdana"/>
          <w:sz w:val="20"/>
          <w:szCs w:val="20"/>
        </w:rPr>
        <w:t xml:space="preserve"> family proteins synthesize AHLs via cyclization of S-adenosyl methionine, forming a lactone ring, to which an acylated carbon chain, derived from fatty acid biosynthesis, is conjugated </w:t>
      </w:r>
      <w:r w:rsidRPr="00366007">
        <w:rPr>
          <w:rFonts w:ascii="Verdana" w:hAnsi="Verdana"/>
          <w:noProof/>
          <w:sz w:val="20"/>
          <w:szCs w:val="20"/>
        </w:rPr>
        <w:t>(3)</w:t>
      </w:r>
      <w:r w:rsidRPr="00366007">
        <w:rPr>
          <w:rFonts w:ascii="Verdana" w:hAnsi="Verdana"/>
          <w:sz w:val="20"/>
          <w:szCs w:val="20"/>
        </w:rPr>
        <w:t xml:space="preserve">. Acyl chain length and saturation, combined with the presence or absence of oxidation at the third carbon, by either a hydroxyl or carbonyl group, allows for species or group specificity </w:t>
      </w:r>
      <w:r w:rsidRPr="00366007">
        <w:rPr>
          <w:rFonts w:ascii="Verdana" w:hAnsi="Verdana"/>
          <w:noProof/>
          <w:sz w:val="20"/>
          <w:szCs w:val="20"/>
        </w:rPr>
        <w:t>(1, 3).</w:t>
      </w:r>
      <w:r w:rsidRPr="00366007">
        <w:rPr>
          <w:rFonts w:ascii="Verdana" w:hAnsi="Verdana"/>
          <w:sz w:val="20"/>
          <w:szCs w:val="20"/>
        </w:rPr>
        <w:t xml:space="preserve"> </w:t>
      </w:r>
      <w:proofErr w:type="spellStart"/>
      <w:r w:rsidRPr="00366007">
        <w:rPr>
          <w:rFonts w:ascii="Verdana" w:hAnsi="Verdana"/>
          <w:sz w:val="20"/>
          <w:szCs w:val="20"/>
        </w:rPr>
        <w:t>LuxR</w:t>
      </w:r>
      <w:proofErr w:type="spellEnd"/>
      <w:r w:rsidRPr="00366007">
        <w:rPr>
          <w:rFonts w:ascii="Verdana" w:hAnsi="Verdana"/>
          <w:sz w:val="20"/>
          <w:szCs w:val="20"/>
        </w:rPr>
        <w:t xml:space="preserve"> proteins represent a large family of proteins, all of which are response regulators </w:t>
      </w:r>
      <w:r w:rsidRPr="00366007">
        <w:rPr>
          <w:rFonts w:ascii="Verdana" w:hAnsi="Verdana"/>
          <w:noProof/>
          <w:sz w:val="20"/>
          <w:szCs w:val="20"/>
        </w:rPr>
        <w:t>(5)</w:t>
      </w:r>
      <w:r w:rsidRPr="00366007">
        <w:rPr>
          <w:rFonts w:ascii="Verdana" w:hAnsi="Verdana"/>
          <w:sz w:val="20"/>
          <w:szCs w:val="20"/>
        </w:rPr>
        <w:t xml:space="preserve">. Those </w:t>
      </w:r>
      <w:proofErr w:type="spellStart"/>
      <w:r w:rsidRPr="00366007">
        <w:rPr>
          <w:rFonts w:ascii="Verdana" w:hAnsi="Verdana"/>
          <w:sz w:val="20"/>
          <w:szCs w:val="20"/>
        </w:rPr>
        <w:t>LuxR</w:t>
      </w:r>
      <w:proofErr w:type="spellEnd"/>
      <w:r w:rsidRPr="00366007">
        <w:rPr>
          <w:rFonts w:ascii="Verdana" w:hAnsi="Verdana"/>
          <w:sz w:val="20"/>
          <w:szCs w:val="20"/>
        </w:rPr>
        <w:t xml:space="preserve"> proteins that function in QS systems mediate gene expression required for communal behavior in response to intracellular concentrations of their cognate AHLs </w:t>
      </w:r>
      <w:r w:rsidRPr="00366007">
        <w:rPr>
          <w:rFonts w:ascii="Verdana" w:hAnsi="Verdana"/>
          <w:noProof/>
          <w:sz w:val="20"/>
          <w:szCs w:val="20"/>
        </w:rPr>
        <w:t>(5, 6)</w:t>
      </w:r>
      <w:r w:rsidRPr="00366007">
        <w:rPr>
          <w:rFonts w:ascii="Verdana" w:hAnsi="Verdana"/>
          <w:sz w:val="20"/>
          <w:szCs w:val="20"/>
        </w:rPr>
        <w:t xml:space="preserve">. Activated </w:t>
      </w:r>
      <w:proofErr w:type="spellStart"/>
      <w:r w:rsidRPr="00366007">
        <w:rPr>
          <w:rFonts w:ascii="Verdana" w:hAnsi="Verdana"/>
          <w:sz w:val="20"/>
          <w:szCs w:val="20"/>
        </w:rPr>
        <w:t>LuxR</w:t>
      </w:r>
      <w:proofErr w:type="spellEnd"/>
      <w:r w:rsidRPr="00366007">
        <w:rPr>
          <w:rFonts w:ascii="Verdana" w:hAnsi="Verdana"/>
          <w:sz w:val="20"/>
          <w:szCs w:val="20"/>
        </w:rPr>
        <w:t xml:space="preserve"> proteins, that is </w:t>
      </w:r>
      <w:proofErr w:type="spellStart"/>
      <w:r w:rsidRPr="00366007">
        <w:rPr>
          <w:rFonts w:ascii="Verdana" w:hAnsi="Verdana"/>
          <w:sz w:val="20"/>
          <w:szCs w:val="20"/>
        </w:rPr>
        <w:t>LuxRs</w:t>
      </w:r>
      <w:proofErr w:type="spellEnd"/>
      <w:r w:rsidRPr="00366007">
        <w:rPr>
          <w:rFonts w:ascii="Verdana" w:hAnsi="Verdana"/>
          <w:sz w:val="20"/>
          <w:szCs w:val="20"/>
        </w:rPr>
        <w:t xml:space="preserve"> bound to their cognate AHLs, typically upregulate </w:t>
      </w:r>
      <w:proofErr w:type="spellStart"/>
      <w:r w:rsidRPr="00366007">
        <w:rPr>
          <w:rFonts w:ascii="Verdana" w:hAnsi="Verdana"/>
          <w:i/>
          <w:sz w:val="20"/>
          <w:szCs w:val="20"/>
        </w:rPr>
        <w:t>luxI</w:t>
      </w:r>
      <w:proofErr w:type="spellEnd"/>
      <w:r w:rsidRPr="00366007">
        <w:rPr>
          <w:rFonts w:ascii="Verdana" w:hAnsi="Verdana"/>
          <w:sz w:val="20"/>
          <w:szCs w:val="20"/>
        </w:rPr>
        <w:t xml:space="preserve"> transcription by binding to a DNA regulatory element termed ‘lux box’ which enhances the rate of AHL synthesis. Activated </w:t>
      </w:r>
      <w:proofErr w:type="spellStart"/>
      <w:r w:rsidRPr="00366007">
        <w:rPr>
          <w:rFonts w:ascii="Verdana" w:hAnsi="Verdana"/>
          <w:sz w:val="20"/>
          <w:szCs w:val="20"/>
        </w:rPr>
        <w:t>LuxR</w:t>
      </w:r>
      <w:proofErr w:type="spellEnd"/>
      <w:r w:rsidRPr="00366007">
        <w:rPr>
          <w:rFonts w:ascii="Verdana" w:hAnsi="Verdana"/>
          <w:sz w:val="20"/>
          <w:szCs w:val="20"/>
        </w:rPr>
        <w:t xml:space="preserve"> proteins also modulate expression of other genes, including those involved in secondary metabolite production, motility, biofilm formation, and others </w:t>
      </w:r>
      <w:r w:rsidRPr="00366007">
        <w:rPr>
          <w:rFonts w:ascii="Verdana" w:hAnsi="Verdana"/>
          <w:noProof/>
          <w:sz w:val="20"/>
          <w:szCs w:val="20"/>
        </w:rPr>
        <w:t>(1, 2, 5)</w:t>
      </w:r>
      <w:r w:rsidRPr="00366007">
        <w:rPr>
          <w:rFonts w:ascii="Verdana" w:hAnsi="Verdana"/>
          <w:sz w:val="20"/>
          <w:szCs w:val="20"/>
        </w:rPr>
        <w:t xml:space="preserve">. </w:t>
      </w:r>
    </w:p>
    <w:p w14:paraId="5089866F" w14:textId="5040E4D6" w:rsidR="00AB0971" w:rsidRPr="00366007" w:rsidRDefault="00AB0971" w:rsidP="00677C01">
      <w:pPr>
        <w:pStyle w:val="Heading2"/>
        <w:jc w:val="left"/>
        <w:rPr>
          <w:rFonts w:ascii="Verdana" w:hAnsi="Verdana"/>
          <w:sz w:val="24"/>
          <w:szCs w:val="24"/>
        </w:rPr>
      </w:pPr>
      <w:bookmarkStart w:id="4" w:name="_Toc83382588"/>
      <w:r w:rsidRPr="00366007">
        <w:rPr>
          <w:rFonts w:ascii="Verdana" w:hAnsi="Verdana"/>
          <w:sz w:val="24"/>
          <w:szCs w:val="24"/>
        </w:rPr>
        <w:t>II. Bacterial Biofilms</w:t>
      </w:r>
      <w:bookmarkEnd w:id="4"/>
      <w:r w:rsidRPr="00366007">
        <w:rPr>
          <w:rFonts w:ascii="Verdana" w:hAnsi="Verdana"/>
          <w:sz w:val="24"/>
          <w:szCs w:val="24"/>
        </w:rPr>
        <w:t xml:space="preserve"> </w:t>
      </w:r>
    </w:p>
    <w:p w14:paraId="26DF697B" w14:textId="77777777" w:rsidR="00132A6C" w:rsidRPr="00366007" w:rsidRDefault="00132A6C" w:rsidP="00677C01">
      <w:pPr>
        <w:spacing w:before="240"/>
        <w:ind w:firstLine="360"/>
        <w:jc w:val="both"/>
        <w:rPr>
          <w:rFonts w:ascii="Verdana" w:hAnsi="Verdana"/>
          <w:sz w:val="20"/>
          <w:szCs w:val="20"/>
        </w:rPr>
      </w:pPr>
      <w:r w:rsidRPr="00366007">
        <w:rPr>
          <w:rFonts w:ascii="Verdana" w:hAnsi="Verdana"/>
          <w:sz w:val="20"/>
          <w:szCs w:val="20"/>
        </w:rPr>
        <w:t xml:space="preserve">The dominant lifestyle of bacteria in environmental ecosystems takes the form of a biofilm. Biofilms consist of a microbial consortium suspended in an extracellular polymeric substance. Biofilm formation begins by the sensing of a surface, biotic or abiotic in nature. This action, usually referred to as </w:t>
      </w:r>
      <w:proofErr w:type="spellStart"/>
      <w:r w:rsidRPr="00366007">
        <w:rPr>
          <w:rFonts w:ascii="Verdana" w:hAnsi="Verdana"/>
          <w:sz w:val="20"/>
          <w:szCs w:val="20"/>
        </w:rPr>
        <w:t>mechanosensing</w:t>
      </w:r>
      <w:proofErr w:type="spellEnd"/>
      <w:r w:rsidRPr="00366007">
        <w:rPr>
          <w:rFonts w:ascii="Verdana" w:hAnsi="Verdana"/>
          <w:sz w:val="20"/>
          <w:szCs w:val="20"/>
        </w:rPr>
        <w:t xml:space="preserve">, typically involves external cues such as torque of a flagellum as it encounters a surface </w:t>
      </w:r>
      <w:r w:rsidRPr="00366007">
        <w:rPr>
          <w:rFonts w:ascii="Verdana" w:hAnsi="Verdana"/>
          <w:noProof/>
          <w:sz w:val="20"/>
          <w:szCs w:val="20"/>
        </w:rPr>
        <w:t>(7)</w:t>
      </w:r>
      <w:r w:rsidRPr="00366007">
        <w:rPr>
          <w:rFonts w:ascii="Verdana" w:hAnsi="Verdana"/>
          <w:sz w:val="20"/>
          <w:szCs w:val="20"/>
        </w:rPr>
        <w:t xml:space="preserve">. Involved in this “swim-stick” mechanism is typically a response regulator that is activated by environmental stimuli. In the alpha-proteobacterium, </w:t>
      </w:r>
      <w:r w:rsidRPr="00366007">
        <w:rPr>
          <w:rFonts w:ascii="Verdana" w:hAnsi="Verdana"/>
          <w:i/>
          <w:iCs/>
          <w:sz w:val="20"/>
          <w:szCs w:val="20"/>
        </w:rPr>
        <w:t>Caulobacter</w:t>
      </w:r>
      <w:r w:rsidRPr="00366007">
        <w:rPr>
          <w:rFonts w:ascii="Verdana" w:hAnsi="Verdana"/>
          <w:sz w:val="20"/>
          <w:szCs w:val="20"/>
        </w:rPr>
        <w:t xml:space="preserve"> </w:t>
      </w:r>
      <w:proofErr w:type="spellStart"/>
      <w:r w:rsidRPr="00366007">
        <w:rPr>
          <w:rFonts w:ascii="Verdana" w:hAnsi="Verdana"/>
          <w:i/>
          <w:iCs/>
          <w:sz w:val="20"/>
          <w:szCs w:val="20"/>
        </w:rPr>
        <w:t>crescentus</w:t>
      </w:r>
      <w:proofErr w:type="spellEnd"/>
      <w:r w:rsidRPr="00366007">
        <w:rPr>
          <w:rFonts w:ascii="Verdana" w:hAnsi="Verdana"/>
          <w:sz w:val="20"/>
          <w:szCs w:val="20"/>
        </w:rPr>
        <w:t xml:space="preserve">, this response regulator is known as the master regulator </w:t>
      </w:r>
      <w:proofErr w:type="spellStart"/>
      <w:r w:rsidRPr="00366007">
        <w:rPr>
          <w:rFonts w:ascii="Verdana" w:hAnsi="Verdana"/>
          <w:sz w:val="20"/>
          <w:szCs w:val="20"/>
        </w:rPr>
        <w:t>CtrA</w:t>
      </w:r>
      <w:proofErr w:type="spellEnd"/>
      <w:r w:rsidRPr="00366007">
        <w:rPr>
          <w:rFonts w:ascii="Verdana" w:hAnsi="Verdana"/>
          <w:sz w:val="20"/>
          <w:szCs w:val="20"/>
        </w:rPr>
        <w:t xml:space="preserve">. In addition to the “swim-stick” switch, the </w:t>
      </w:r>
      <w:proofErr w:type="spellStart"/>
      <w:r w:rsidRPr="00366007">
        <w:rPr>
          <w:rFonts w:ascii="Verdana" w:hAnsi="Verdana"/>
          <w:sz w:val="20"/>
          <w:szCs w:val="20"/>
        </w:rPr>
        <w:t>CtrA</w:t>
      </w:r>
      <w:proofErr w:type="spellEnd"/>
      <w:r w:rsidRPr="00366007">
        <w:rPr>
          <w:rFonts w:ascii="Verdana" w:hAnsi="Verdana"/>
          <w:sz w:val="20"/>
          <w:szCs w:val="20"/>
        </w:rPr>
        <w:t xml:space="preserve"> </w:t>
      </w:r>
      <w:proofErr w:type="spellStart"/>
      <w:r w:rsidRPr="00366007">
        <w:rPr>
          <w:rFonts w:ascii="Verdana" w:hAnsi="Verdana"/>
          <w:sz w:val="20"/>
          <w:szCs w:val="20"/>
        </w:rPr>
        <w:t>phosophorelay</w:t>
      </w:r>
      <w:proofErr w:type="spellEnd"/>
      <w:r w:rsidRPr="00366007">
        <w:rPr>
          <w:rFonts w:ascii="Verdana" w:hAnsi="Verdana"/>
          <w:sz w:val="20"/>
          <w:szCs w:val="20"/>
        </w:rPr>
        <w:t xml:space="preserve"> system also regulates cell cycle, polar cell division, and flagellar biosynthesis </w:t>
      </w:r>
      <w:r w:rsidRPr="00366007">
        <w:rPr>
          <w:rFonts w:ascii="Verdana" w:hAnsi="Verdana"/>
          <w:noProof/>
          <w:sz w:val="20"/>
          <w:szCs w:val="20"/>
        </w:rPr>
        <w:t>(8–10)</w:t>
      </w:r>
      <w:r w:rsidRPr="00366007">
        <w:rPr>
          <w:rFonts w:ascii="Verdana" w:hAnsi="Verdana"/>
          <w:sz w:val="20"/>
          <w:szCs w:val="20"/>
        </w:rPr>
        <w:t xml:space="preserve">. This system is highly conserved amongst Alphaproteobacteria and its role in lifestyle switch has been demonstrated in several Roseobacters (discussed further </w:t>
      </w:r>
      <w:proofErr w:type="gramStart"/>
      <w:r w:rsidRPr="00366007">
        <w:rPr>
          <w:rFonts w:ascii="Verdana" w:hAnsi="Verdana"/>
          <w:sz w:val="20"/>
          <w:szCs w:val="20"/>
        </w:rPr>
        <w:t>below)</w:t>
      </w:r>
      <w:r w:rsidRPr="00366007">
        <w:rPr>
          <w:rFonts w:ascii="Verdana" w:hAnsi="Verdana"/>
          <w:noProof/>
          <w:sz w:val="20"/>
          <w:szCs w:val="20"/>
        </w:rPr>
        <w:t>(</w:t>
      </w:r>
      <w:proofErr w:type="gramEnd"/>
      <w:r w:rsidRPr="00366007">
        <w:rPr>
          <w:rFonts w:ascii="Verdana" w:hAnsi="Verdana"/>
          <w:noProof/>
          <w:sz w:val="20"/>
          <w:szCs w:val="20"/>
        </w:rPr>
        <w:t>11)</w:t>
      </w:r>
      <w:r w:rsidRPr="00366007">
        <w:rPr>
          <w:rFonts w:ascii="Verdana" w:hAnsi="Verdana"/>
          <w:sz w:val="20"/>
          <w:szCs w:val="20"/>
        </w:rPr>
        <w:t xml:space="preserve">. </w:t>
      </w:r>
    </w:p>
    <w:p w14:paraId="6497BF48" w14:textId="44CF4741" w:rsidR="00487874" w:rsidRPr="00641C6B" w:rsidRDefault="00132A6C" w:rsidP="00677C01">
      <w:pPr>
        <w:spacing w:before="240"/>
        <w:ind w:firstLine="360"/>
        <w:jc w:val="both"/>
        <w:rPr>
          <w:rFonts w:ascii="Verdana" w:hAnsi="Verdana"/>
          <w:sz w:val="20"/>
          <w:szCs w:val="20"/>
        </w:rPr>
      </w:pPr>
      <w:r w:rsidRPr="00366007">
        <w:rPr>
          <w:rFonts w:ascii="Verdana" w:hAnsi="Verdana"/>
          <w:sz w:val="20"/>
          <w:szCs w:val="20"/>
        </w:rPr>
        <w:lastRenderedPageBreak/>
        <w:t xml:space="preserve">Another regulator of biofilm formation is the global secondary messenger bis-(3′-5′)-cyclic dimeric guanosine monophosphate (c-di-GMP). As with the </w:t>
      </w:r>
      <w:proofErr w:type="spellStart"/>
      <w:r w:rsidRPr="00366007">
        <w:rPr>
          <w:rFonts w:ascii="Verdana" w:hAnsi="Verdana"/>
          <w:sz w:val="20"/>
          <w:szCs w:val="20"/>
        </w:rPr>
        <w:t>CtrA</w:t>
      </w:r>
      <w:proofErr w:type="spellEnd"/>
      <w:r w:rsidRPr="00366007">
        <w:rPr>
          <w:rFonts w:ascii="Verdana" w:hAnsi="Verdana"/>
          <w:sz w:val="20"/>
          <w:szCs w:val="20"/>
        </w:rPr>
        <w:t xml:space="preserve"> phosphorelay system, in response to environmental stimuli intracellular, as levels of c-di-GMP reach a concentration threshold induction of genes, including those promoting biofilm formation, are upregulated </w:t>
      </w:r>
      <w:r w:rsidRPr="00366007">
        <w:rPr>
          <w:rFonts w:ascii="Verdana" w:hAnsi="Verdana"/>
          <w:noProof/>
          <w:sz w:val="20"/>
          <w:szCs w:val="20"/>
        </w:rPr>
        <w:t>(12)</w:t>
      </w:r>
      <w:r w:rsidRPr="00366007">
        <w:rPr>
          <w:rFonts w:ascii="Verdana" w:hAnsi="Verdana"/>
          <w:sz w:val="20"/>
          <w:szCs w:val="20"/>
        </w:rPr>
        <w:t xml:space="preserve">. C-di-GMP can regulate the production of most known extracellular matrix components on transcriptional, post transcriptional, or posttranslational levels </w:t>
      </w:r>
      <w:r w:rsidRPr="00366007">
        <w:rPr>
          <w:rFonts w:ascii="Verdana" w:hAnsi="Verdana"/>
          <w:noProof/>
          <w:sz w:val="20"/>
          <w:szCs w:val="20"/>
        </w:rPr>
        <w:t>(11)</w:t>
      </w:r>
      <w:r w:rsidRPr="00366007">
        <w:rPr>
          <w:rFonts w:ascii="Verdana" w:hAnsi="Verdana"/>
          <w:sz w:val="20"/>
          <w:szCs w:val="20"/>
        </w:rPr>
        <w:t xml:space="preserve">. Furthermore, central metabolism and intracellular pools of c-di-GMP have been linked through glutamate-induced cyclase activity in some bacteria (e.g., </w:t>
      </w:r>
      <w:r w:rsidRPr="00366007">
        <w:rPr>
          <w:rFonts w:ascii="Verdana" w:hAnsi="Verdana"/>
          <w:i/>
          <w:iCs/>
          <w:sz w:val="20"/>
          <w:szCs w:val="20"/>
        </w:rPr>
        <w:t>Pseudomonas aeruginosa</w:t>
      </w:r>
      <w:r w:rsidRPr="00366007">
        <w:rPr>
          <w:rFonts w:ascii="Verdana" w:hAnsi="Verdana"/>
          <w:sz w:val="20"/>
          <w:szCs w:val="20"/>
        </w:rPr>
        <w:t xml:space="preserve"> </w:t>
      </w:r>
      <w:r w:rsidRPr="00366007">
        <w:rPr>
          <w:rFonts w:ascii="Verdana" w:hAnsi="Verdana"/>
          <w:noProof/>
          <w:sz w:val="20"/>
          <w:szCs w:val="20"/>
        </w:rPr>
        <w:t>(13)</w:t>
      </w:r>
      <w:r w:rsidRPr="00366007">
        <w:rPr>
          <w:rFonts w:ascii="Verdana" w:hAnsi="Verdana"/>
          <w:sz w:val="20"/>
          <w:szCs w:val="20"/>
        </w:rPr>
        <w:t xml:space="preserve">). In a group of marine Alphaproteobacteria, known as the Roseobacter Clade, c-di-GMP has been suggested to regulate biofilm formation, likely through the regulation of the </w:t>
      </w:r>
      <w:proofErr w:type="spellStart"/>
      <w:r w:rsidRPr="00366007">
        <w:rPr>
          <w:rFonts w:ascii="Verdana" w:hAnsi="Verdana"/>
          <w:sz w:val="20"/>
          <w:szCs w:val="20"/>
        </w:rPr>
        <w:t>CtrA</w:t>
      </w:r>
      <w:proofErr w:type="spellEnd"/>
      <w:r w:rsidRPr="00366007">
        <w:rPr>
          <w:rFonts w:ascii="Verdana" w:hAnsi="Verdana"/>
          <w:sz w:val="20"/>
          <w:szCs w:val="20"/>
        </w:rPr>
        <w:t xml:space="preserve"> phosphorelay system and integration of cell-to-cell QS </w:t>
      </w:r>
      <w:r w:rsidRPr="00366007">
        <w:rPr>
          <w:rFonts w:ascii="Verdana" w:hAnsi="Verdana"/>
          <w:noProof/>
          <w:sz w:val="20"/>
          <w:szCs w:val="20"/>
        </w:rPr>
        <w:t>(14, 15)</w:t>
      </w:r>
      <w:r w:rsidRPr="00366007">
        <w:rPr>
          <w:rFonts w:ascii="Verdana" w:hAnsi="Verdana"/>
          <w:sz w:val="20"/>
          <w:szCs w:val="20"/>
        </w:rPr>
        <w:t>.</w:t>
      </w:r>
    </w:p>
    <w:p w14:paraId="027D656B" w14:textId="7A7BD2C4" w:rsidR="009E631B" w:rsidRPr="00366007" w:rsidRDefault="006C12D6" w:rsidP="00677C01">
      <w:pPr>
        <w:pStyle w:val="Heading2"/>
        <w:jc w:val="left"/>
        <w:rPr>
          <w:rFonts w:ascii="Verdana" w:hAnsi="Verdana"/>
          <w:sz w:val="24"/>
          <w:szCs w:val="24"/>
        </w:rPr>
      </w:pPr>
      <w:bookmarkStart w:id="5" w:name="_Toc83382589"/>
      <w:r w:rsidRPr="00366007">
        <w:rPr>
          <w:rFonts w:ascii="Verdana" w:hAnsi="Verdana"/>
          <w:sz w:val="24"/>
          <w:szCs w:val="24"/>
        </w:rPr>
        <w:t>I</w:t>
      </w:r>
      <w:r w:rsidR="00FD0BB1" w:rsidRPr="00366007">
        <w:rPr>
          <w:rFonts w:ascii="Verdana" w:hAnsi="Verdana"/>
          <w:sz w:val="24"/>
          <w:szCs w:val="24"/>
        </w:rPr>
        <w:t xml:space="preserve">II. </w:t>
      </w:r>
      <w:r w:rsidR="00CE44EA" w:rsidRPr="00366007">
        <w:rPr>
          <w:rFonts w:ascii="Verdana" w:hAnsi="Verdana"/>
          <w:sz w:val="24"/>
          <w:szCs w:val="24"/>
        </w:rPr>
        <w:t>The Roseobacter lineage</w:t>
      </w:r>
      <w:bookmarkEnd w:id="5"/>
      <w:r w:rsidR="00CE44EA" w:rsidRPr="00366007">
        <w:rPr>
          <w:rFonts w:ascii="Verdana" w:hAnsi="Verdana"/>
          <w:sz w:val="24"/>
          <w:szCs w:val="24"/>
        </w:rPr>
        <w:t xml:space="preserve"> </w:t>
      </w:r>
    </w:p>
    <w:p w14:paraId="2F9CD974" w14:textId="77777777" w:rsidR="008C08A7" w:rsidRPr="00366007" w:rsidRDefault="008C08A7" w:rsidP="00677C01">
      <w:pPr>
        <w:spacing w:before="240"/>
        <w:jc w:val="both"/>
        <w:rPr>
          <w:rFonts w:ascii="Verdana" w:hAnsi="Verdana"/>
          <w:sz w:val="20"/>
          <w:szCs w:val="20"/>
        </w:rPr>
      </w:pPr>
      <w:r w:rsidRPr="00366007">
        <w:rPr>
          <w:rFonts w:ascii="Verdana" w:hAnsi="Verdana"/>
          <w:sz w:val="20"/>
          <w:szCs w:val="20"/>
        </w:rPr>
        <w:t xml:space="preserve">Members of the Roseobacter clade fall within the </w:t>
      </w:r>
      <w:proofErr w:type="spellStart"/>
      <w:r w:rsidRPr="00366007">
        <w:rPr>
          <w:rFonts w:ascii="Verdana" w:hAnsi="Verdana"/>
          <w:sz w:val="20"/>
          <w:szCs w:val="20"/>
        </w:rPr>
        <w:t>Rhodobacteraceae</w:t>
      </w:r>
      <w:proofErr w:type="spellEnd"/>
      <w:r w:rsidRPr="00366007">
        <w:rPr>
          <w:rFonts w:ascii="Verdana" w:hAnsi="Verdana"/>
          <w:sz w:val="20"/>
          <w:szCs w:val="20"/>
        </w:rPr>
        <w:t xml:space="preserve"> family of the Alphaproteobacteria class and are well represented across diverse marine habitats, from coastal to open oceans and from sea ice to sea floor. The lineage encompasses a large, phylogenetically diverse group of bacteria.  At present, the clade contains well over 50 described genera and thousands of uncharacterized isolates and clone sequences </w:t>
      </w:r>
      <w:r w:rsidRPr="00366007">
        <w:rPr>
          <w:rFonts w:ascii="Verdana" w:hAnsi="Verdana"/>
          <w:noProof/>
          <w:sz w:val="20"/>
          <w:szCs w:val="20"/>
        </w:rPr>
        <w:t xml:space="preserve">(16). </w:t>
      </w:r>
      <w:r w:rsidRPr="00366007">
        <w:rPr>
          <w:rFonts w:ascii="Verdana" w:hAnsi="Verdana"/>
          <w:sz w:val="20"/>
          <w:szCs w:val="20"/>
        </w:rPr>
        <w:t xml:space="preserve">It has been proposed that the clade can be parsed into five deeply branching subclades based on a phylogenetic analysis of 70 concatenated conserved single-copy genes </w:t>
      </w:r>
      <w:r w:rsidRPr="00366007">
        <w:rPr>
          <w:rFonts w:ascii="Verdana" w:hAnsi="Verdana"/>
          <w:noProof/>
          <w:sz w:val="20"/>
          <w:szCs w:val="20"/>
        </w:rPr>
        <w:t>(17)</w:t>
      </w:r>
      <w:r w:rsidRPr="00366007">
        <w:rPr>
          <w:rFonts w:ascii="Verdana" w:hAnsi="Verdana"/>
          <w:sz w:val="20"/>
          <w:szCs w:val="20"/>
        </w:rPr>
        <w:t xml:space="preserve">. The first described members of the group were </w:t>
      </w:r>
      <w:r w:rsidRPr="00366007">
        <w:rPr>
          <w:rFonts w:ascii="Verdana" w:hAnsi="Verdana"/>
          <w:i/>
          <w:sz w:val="20"/>
          <w:szCs w:val="20"/>
        </w:rPr>
        <w:t xml:space="preserve">Roseobacter </w:t>
      </w:r>
      <w:proofErr w:type="spellStart"/>
      <w:r w:rsidRPr="00366007">
        <w:rPr>
          <w:rFonts w:ascii="Verdana" w:hAnsi="Verdana"/>
          <w:i/>
          <w:sz w:val="20"/>
          <w:szCs w:val="20"/>
        </w:rPr>
        <w:t>litoralis</w:t>
      </w:r>
      <w:proofErr w:type="spellEnd"/>
      <w:r w:rsidRPr="00366007">
        <w:rPr>
          <w:rFonts w:ascii="Verdana" w:hAnsi="Verdana"/>
          <w:sz w:val="20"/>
          <w:szCs w:val="20"/>
        </w:rPr>
        <w:t xml:space="preserve"> and</w:t>
      </w:r>
      <w:r w:rsidRPr="00366007">
        <w:rPr>
          <w:rFonts w:ascii="Verdana" w:hAnsi="Verdana"/>
          <w:i/>
          <w:sz w:val="20"/>
          <w:szCs w:val="20"/>
        </w:rPr>
        <w:t xml:space="preserve"> Roseobacter </w:t>
      </w:r>
      <w:proofErr w:type="spellStart"/>
      <w:r w:rsidRPr="00366007">
        <w:rPr>
          <w:rFonts w:ascii="Verdana" w:hAnsi="Verdana"/>
          <w:i/>
          <w:sz w:val="20"/>
          <w:szCs w:val="20"/>
        </w:rPr>
        <w:t>denitrificans</w:t>
      </w:r>
      <w:proofErr w:type="spellEnd"/>
      <w:r w:rsidRPr="00366007">
        <w:rPr>
          <w:rFonts w:ascii="Verdana" w:hAnsi="Verdana"/>
          <w:sz w:val="20"/>
          <w:szCs w:val="20"/>
        </w:rPr>
        <w:t>, both pink-pigmented bacteriochlorophyll-</w:t>
      </w:r>
      <w:r w:rsidRPr="00366007">
        <w:rPr>
          <w:rFonts w:ascii="Verdana" w:hAnsi="Verdana"/>
          <w:i/>
          <w:sz w:val="20"/>
          <w:szCs w:val="20"/>
        </w:rPr>
        <w:t>a</w:t>
      </w:r>
      <w:r w:rsidRPr="00366007">
        <w:rPr>
          <w:rFonts w:ascii="Verdana" w:hAnsi="Verdana"/>
          <w:sz w:val="20"/>
          <w:szCs w:val="20"/>
        </w:rPr>
        <w:t xml:space="preserve"> producers </w:t>
      </w:r>
      <w:r w:rsidRPr="00366007">
        <w:rPr>
          <w:rFonts w:ascii="Verdana" w:hAnsi="Verdana"/>
          <w:noProof/>
          <w:sz w:val="20"/>
          <w:szCs w:val="20"/>
        </w:rPr>
        <w:t>(18)</w:t>
      </w:r>
      <w:r w:rsidRPr="00366007">
        <w:rPr>
          <w:rFonts w:ascii="Verdana" w:hAnsi="Verdana"/>
          <w:sz w:val="20"/>
          <w:szCs w:val="20"/>
        </w:rPr>
        <w:t>.  Subsequent cultivation of clade members, however, revealed that most strains are neither pink nor bacteriochlorophyll-</w:t>
      </w:r>
      <w:r w:rsidRPr="00366007">
        <w:rPr>
          <w:rFonts w:ascii="Verdana" w:hAnsi="Verdana"/>
          <w:i/>
          <w:sz w:val="20"/>
          <w:szCs w:val="20"/>
        </w:rPr>
        <w:t>a</w:t>
      </w:r>
      <w:r w:rsidRPr="00366007">
        <w:rPr>
          <w:rFonts w:ascii="Verdana" w:hAnsi="Verdana"/>
          <w:sz w:val="20"/>
          <w:szCs w:val="20"/>
        </w:rPr>
        <w:t xml:space="preserve"> producers.  With very few exceptions, the Roseobacter clade is exclusively marine or hypersaline </w:t>
      </w:r>
      <w:r w:rsidRPr="00366007">
        <w:rPr>
          <w:rFonts w:ascii="Verdana" w:hAnsi="Verdana"/>
          <w:noProof/>
          <w:sz w:val="20"/>
          <w:szCs w:val="20"/>
        </w:rPr>
        <w:t>(16)</w:t>
      </w:r>
      <w:r w:rsidRPr="00366007">
        <w:rPr>
          <w:rFonts w:ascii="Verdana" w:hAnsi="Verdana"/>
          <w:sz w:val="20"/>
          <w:szCs w:val="20"/>
        </w:rPr>
        <w:t xml:space="preserve">.  High natural abundances of Roseobacters were first demonstrated in the coastal waters of the southeastern US in the late 1990s using culture-independent approaches </w:t>
      </w:r>
      <w:r w:rsidRPr="00366007">
        <w:rPr>
          <w:rFonts w:ascii="Verdana" w:hAnsi="Verdana"/>
          <w:noProof/>
          <w:sz w:val="20"/>
          <w:szCs w:val="20"/>
        </w:rPr>
        <w:t>(19)</w:t>
      </w:r>
      <w:r w:rsidRPr="00366007">
        <w:rPr>
          <w:rFonts w:ascii="Verdana" w:hAnsi="Verdana"/>
          <w:sz w:val="20"/>
          <w:szCs w:val="20"/>
        </w:rPr>
        <w:t xml:space="preserve">.  Subsequent studies based on culture collections, 16S rRNA gene clone libraries, and single cell analyses, reveal that Roseobacters are found in almost all marine environments sampled </w:t>
      </w:r>
      <w:r w:rsidRPr="00366007">
        <w:rPr>
          <w:rFonts w:ascii="Verdana" w:hAnsi="Verdana"/>
          <w:noProof/>
          <w:sz w:val="20"/>
          <w:szCs w:val="20"/>
        </w:rPr>
        <w:t>(20)</w:t>
      </w:r>
      <w:r w:rsidRPr="00366007">
        <w:rPr>
          <w:rFonts w:ascii="Verdana" w:hAnsi="Verdana"/>
          <w:sz w:val="20"/>
          <w:szCs w:val="20"/>
        </w:rPr>
        <w:t xml:space="preserve">. Molecular-based approaches targeting 16S rRNA genes demonstrate that the Roseobacter clade is one of the major marine bacterial groups, typically comprising upwards of 20% of coastal and 15% of mixed layer ocean bacterioplankton communities </w:t>
      </w:r>
      <w:r w:rsidRPr="00366007">
        <w:rPr>
          <w:rFonts w:ascii="Verdana" w:hAnsi="Verdana"/>
          <w:noProof/>
          <w:sz w:val="20"/>
          <w:szCs w:val="20"/>
        </w:rPr>
        <w:t>(20)</w:t>
      </w:r>
      <w:r w:rsidRPr="00366007">
        <w:rPr>
          <w:rFonts w:ascii="Verdana" w:hAnsi="Verdana"/>
          <w:sz w:val="20"/>
          <w:szCs w:val="20"/>
        </w:rPr>
        <w:t xml:space="preserve">.  Members have been found to be free-living or particle-associated, or in commensal relationships with marine phytoplankton, </w:t>
      </w:r>
      <w:proofErr w:type="gramStart"/>
      <w:r w:rsidRPr="00366007">
        <w:rPr>
          <w:rFonts w:ascii="Verdana" w:hAnsi="Verdana"/>
          <w:sz w:val="20"/>
          <w:szCs w:val="20"/>
        </w:rPr>
        <w:t>invertebrates</w:t>
      </w:r>
      <w:proofErr w:type="gramEnd"/>
      <w:r w:rsidRPr="00366007">
        <w:rPr>
          <w:rFonts w:ascii="Verdana" w:hAnsi="Verdana"/>
          <w:sz w:val="20"/>
          <w:szCs w:val="20"/>
        </w:rPr>
        <w:t xml:space="preserve"> and vertebrates </w:t>
      </w:r>
      <w:r w:rsidRPr="00366007">
        <w:rPr>
          <w:rFonts w:ascii="Verdana" w:hAnsi="Verdana"/>
          <w:noProof/>
          <w:sz w:val="20"/>
          <w:szCs w:val="20"/>
        </w:rPr>
        <w:t>(20)</w:t>
      </w:r>
      <w:r w:rsidRPr="00366007">
        <w:rPr>
          <w:rFonts w:ascii="Verdana" w:hAnsi="Verdana"/>
          <w:sz w:val="20"/>
          <w:szCs w:val="20"/>
        </w:rPr>
        <w:t xml:space="preserve">.  Furthermore, representatives of this clade stand out as one of the most readily cultivated of the major marine lineages </w:t>
      </w:r>
      <w:r w:rsidRPr="00366007">
        <w:rPr>
          <w:rFonts w:ascii="Verdana" w:hAnsi="Verdana"/>
          <w:noProof/>
          <w:sz w:val="20"/>
          <w:szCs w:val="20"/>
        </w:rPr>
        <w:t>(21)</w:t>
      </w:r>
      <w:r w:rsidRPr="00366007">
        <w:rPr>
          <w:rFonts w:ascii="Verdana" w:hAnsi="Verdana"/>
          <w:sz w:val="20"/>
          <w:szCs w:val="20"/>
        </w:rPr>
        <w:t>. These isolated representatives are serving as the foundation for an improved understanding of marine bacterial ecology and physiology. Many of these studies are facilitated by the wealth of genome data that is available for both cultured and uncultured representatives.</w:t>
      </w:r>
    </w:p>
    <w:p w14:paraId="2F4EFF99" w14:textId="77777777" w:rsidR="008C08A7" w:rsidRPr="00366007" w:rsidRDefault="008C08A7" w:rsidP="00677C01">
      <w:pPr>
        <w:spacing w:before="240"/>
        <w:ind w:firstLine="720"/>
        <w:jc w:val="both"/>
        <w:rPr>
          <w:rFonts w:ascii="Verdana" w:hAnsi="Verdana"/>
          <w:sz w:val="20"/>
          <w:szCs w:val="20"/>
        </w:rPr>
      </w:pPr>
      <w:r w:rsidRPr="00366007">
        <w:rPr>
          <w:rFonts w:ascii="Verdana" w:hAnsi="Verdana"/>
          <w:sz w:val="20"/>
          <w:szCs w:val="20"/>
        </w:rPr>
        <w:t xml:space="preserve">Genome sequences of cultivated Roseobacter strains reveal relatively large genomes (~4.5 Mb) with gene content that suggests versatility may be driving this cosmopolitan group’s ecological success </w:t>
      </w:r>
      <w:r w:rsidRPr="00366007">
        <w:rPr>
          <w:rFonts w:ascii="Verdana" w:hAnsi="Verdana"/>
          <w:noProof/>
          <w:sz w:val="20"/>
          <w:szCs w:val="20"/>
        </w:rPr>
        <w:t>(22)</w:t>
      </w:r>
      <w:r w:rsidRPr="00366007">
        <w:rPr>
          <w:rFonts w:ascii="Verdana" w:hAnsi="Verdana"/>
          <w:sz w:val="20"/>
          <w:szCs w:val="20"/>
        </w:rPr>
        <w:t xml:space="preserve">.  Evidence from environmental, microbiological, genomic and metagenomic studies point to the involvement of members of the Roseobacter lineage in several key biogeochemical processes, including mineralization of plant-derived compounds and transformations of reduced inorganic and organic sulfur compounds </w:t>
      </w:r>
      <w:r w:rsidRPr="00366007">
        <w:rPr>
          <w:rFonts w:ascii="Verdana" w:hAnsi="Verdana"/>
          <w:noProof/>
          <w:sz w:val="20"/>
          <w:szCs w:val="20"/>
        </w:rPr>
        <w:t>(20, 23).</w:t>
      </w:r>
      <w:r w:rsidRPr="00366007">
        <w:rPr>
          <w:rFonts w:ascii="Verdana" w:hAnsi="Verdana"/>
          <w:sz w:val="20"/>
          <w:szCs w:val="20"/>
        </w:rPr>
        <w:t xml:space="preserve"> Another trait characteristic of Roseobacter clade strains is the production of secondary metabolites, including AHLs </w:t>
      </w:r>
      <w:r w:rsidRPr="00366007">
        <w:rPr>
          <w:rFonts w:ascii="Verdana" w:hAnsi="Verdana"/>
          <w:noProof/>
          <w:sz w:val="20"/>
          <w:szCs w:val="20"/>
        </w:rPr>
        <w:t>(24)</w:t>
      </w:r>
      <w:r w:rsidRPr="00366007">
        <w:rPr>
          <w:rFonts w:ascii="Verdana" w:hAnsi="Verdana"/>
          <w:sz w:val="20"/>
          <w:szCs w:val="20"/>
        </w:rPr>
        <w:t>. Several recent studies have begun to examine the contribution of QS to the physiology of cultivated representatives (discussed below).</w:t>
      </w:r>
    </w:p>
    <w:p w14:paraId="04B05CDD" w14:textId="77777777" w:rsidR="008C08A7" w:rsidRPr="00366007" w:rsidRDefault="008C08A7" w:rsidP="00677C01">
      <w:pPr>
        <w:spacing w:before="240"/>
        <w:jc w:val="both"/>
        <w:rPr>
          <w:rFonts w:ascii="Verdana" w:hAnsi="Verdana"/>
          <w:sz w:val="20"/>
          <w:szCs w:val="20"/>
        </w:rPr>
      </w:pPr>
      <w:r w:rsidRPr="00366007">
        <w:rPr>
          <w:rFonts w:ascii="Verdana" w:hAnsi="Verdana"/>
          <w:b/>
          <w:sz w:val="20"/>
          <w:szCs w:val="20"/>
        </w:rPr>
        <w:t xml:space="preserve">The role of quorum sensing in Roseobacter biology. </w:t>
      </w:r>
      <w:r w:rsidRPr="00366007">
        <w:rPr>
          <w:rFonts w:ascii="Verdana" w:hAnsi="Verdana"/>
          <w:sz w:val="20"/>
          <w:szCs w:val="20"/>
        </w:rPr>
        <w:t xml:space="preserve">The first evidence of QS in Roseobacters demonstrated AHL production in representative strains isolated from marine snow using an </w:t>
      </w:r>
      <w:r w:rsidRPr="00366007">
        <w:rPr>
          <w:rFonts w:ascii="Verdana" w:hAnsi="Verdana"/>
          <w:i/>
          <w:sz w:val="20"/>
          <w:szCs w:val="20"/>
        </w:rPr>
        <w:t>Agrobacterium tumefaciens</w:t>
      </w:r>
      <w:r w:rsidRPr="00366007">
        <w:rPr>
          <w:rFonts w:ascii="Verdana" w:hAnsi="Verdana"/>
          <w:sz w:val="20"/>
          <w:szCs w:val="20"/>
        </w:rPr>
        <w:t xml:space="preserve"> bioreporter strain </w:t>
      </w:r>
      <w:r w:rsidRPr="00366007">
        <w:rPr>
          <w:rFonts w:ascii="Verdana" w:hAnsi="Verdana"/>
          <w:noProof/>
          <w:sz w:val="20"/>
          <w:szCs w:val="20"/>
        </w:rPr>
        <w:t>(25)</w:t>
      </w:r>
      <w:r w:rsidRPr="00366007">
        <w:rPr>
          <w:rFonts w:ascii="Verdana" w:hAnsi="Verdana"/>
          <w:sz w:val="20"/>
          <w:szCs w:val="20"/>
        </w:rPr>
        <w:t xml:space="preserve">. Subsequent studies have </w:t>
      </w:r>
      <w:r w:rsidRPr="00366007">
        <w:rPr>
          <w:rFonts w:ascii="Verdana" w:hAnsi="Verdana"/>
          <w:sz w:val="20"/>
          <w:szCs w:val="20"/>
        </w:rPr>
        <w:lastRenderedPageBreak/>
        <w:t xml:space="preserve">provided evidence that QS is involved in the colonization of both living organisms and non-living surfaces in marine environments and have shown the involvement of QS in a variety of physiologies, from secondary metabolite production to cellular morphology </w:t>
      </w:r>
      <w:r w:rsidRPr="00366007">
        <w:rPr>
          <w:rFonts w:ascii="Verdana" w:hAnsi="Verdana"/>
          <w:noProof/>
          <w:sz w:val="20"/>
          <w:szCs w:val="20"/>
        </w:rPr>
        <w:t>(26–29)</w:t>
      </w:r>
      <w:r w:rsidRPr="00366007">
        <w:rPr>
          <w:rFonts w:ascii="Verdana" w:hAnsi="Verdana"/>
          <w:sz w:val="20"/>
          <w:szCs w:val="20"/>
        </w:rPr>
        <w:t xml:space="preserve">. Furthermore, as </w:t>
      </w:r>
      <w:proofErr w:type="gramStart"/>
      <w:r w:rsidRPr="00366007">
        <w:rPr>
          <w:rFonts w:ascii="Verdana" w:hAnsi="Verdana"/>
          <w:sz w:val="20"/>
          <w:szCs w:val="20"/>
        </w:rPr>
        <w:t>primary</w:t>
      </w:r>
      <w:proofErr w:type="gramEnd"/>
      <w:r w:rsidRPr="00366007">
        <w:rPr>
          <w:rFonts w:ascii="Verdana" w:hAnsi="Verdana"/>
          <w:sz w:val="20"/>
          <w:szCs w:val="20"/>
        </w:rPr>
        <w:t xml:space="preserve"> and aggressive surface colonizers, members of the Roseobacter clade are hypothesized to set the stage for microbial biofilm structure, function, and dynamics via QS-mediated interactions </w:t>
      </w:r>
      <w:r w:rsidRPr="00366007">
        <w:rPr>
          <w:rFonts w:ascii="Verdana" w:hAnsi="Verdana"/>
          <w:noProof/>
          <w:sz w:val="20"/>
          <w:szCs w:val="20"/>
        </w:rPr>
        <w:t>(30)</w:t>
      </w:r>
      <w:r w:rsidRPr="00366007">
        <w:rPr>
          <w:rFonts w:ascii="Verdana" w:hAnsi="Verdana"/>
          <w:sz w:val="20"/>
          <w:szCs w:val="20"/>
        </w:rPr>
        <w:t xml:space="preserve">. Despite the prevalence of QS in this clade, only a few representative Roseobacters have been the primary focus of experimental studies of QS and none of these representatives are currently being utilized to determine the effect of QS on microbe-microbe interactions within a biofilm. </w:t>
      </w:r>
    </w:p>
    <w:p w14:paraId="7CE73A50" w14:textId="77777777" w:rsidR="008C08A7" w:rsidRPr="00366007" w:rsidRDefault="008C08A7" w:rsidP="00677C01">
      <w:pPr>
        <w:spacing w:before="240"/>
        <w:ind w:firstLine="720"/>
        <w:jc w:val="both"/>
        <w:rPr>
          <w:rFonts w:ascii="Verdana" w:hAnsi="Verdana"/>
          <w:sz w:val="20"/>
          <w:szCs w:val="20"/>
        </w:rPr>
      </w:pPr>
      <w:r w:rsidRPr="00366007">
        <w:rPr>
          <w:rFonts w:ascii="Verdana" w:hAnsi="Verdana"/>
          <w:sz w:val="20"/>
          <w:szCs w:val="20"/>
        </w:rPr>
        <w:t>AHLs characterized from Roseobacter isolates possess some of the longest acyl side chains recognized with lengths ranging from C</w:t>
      </w:r>
      <w:r w:rsidRPr="00366007">
        <w:rPr>
          <w:rFonts w:ascii="Verdana" w:hAnsi="Verdana"/>
          <w:sz w:val="20"/>
          <w:szCs w:val="20"/>
          <w:vertAlign w:val="subscript"/>
        </w:rPr>
        <w:t>4</w:t>
      </w:r>
      <w:r w:rsidRPr="00366007">
        <w:rPr>
          <w:rFonts w:ascii="Verdana" w:hAnsi="Verdana"/>
          <w:sz w:val="20"/>
          <w:szCs w:val="20"/>
        </w:rPr>
        <w:t xml:space="preserve"> to C</w:t>
      </w:r>
      <w:r w:rsidRPr="00366007">
        <w:rPr>
          <w:rFonts w:ascii="Verdana" w:hAnsi="Verdana"/>
          <w:sz w:val="20"/>
          <w:szCs w:val="20"/>
          <w:vertAlign w:val="subscript"/>
        </w:rPr>
        <w:t>18</w:t>
      </w:r>
      <w:r w:rsidRPr="00366007">
        <w:rPr>
          <w:rFonts w:ascii="Verdana" w:hAnsi="Verdana"/>
          <w:sz w:val="20"/>
          <w:szCs w:val="20"/>
        </w:rPr>
        <w:t xml:space="preserve"> and possessing differing degrees of saturation and oxidation </w:t>
      </w:r>
      <w:r w:rsidRPr="00366007">
        <w:rPr>
          <w:rFonts w:ascii="Verdana" w:hAnsi="Verdana"/>
          <w:noProof/>
          <w:sz w:val="20"/>
          <w:szCs w:val="20"/>
        </w:rPr>
        <w:t>(24, 31)</w:t>
      </w:r>
      <w:r w:rsidRPr="00366007">
        <w:rPr>
          <w:rFonts w:ascii="Verdana" w:hAnsi="Verdana"/>
          <w:sz w:val="20"/>
          <w:szCs w:val="20"/>
        </w:rPr>
        <w:t xml:space="preserve">.  Relatively common among Alphaproteobacteria, long chain AHLs are hydrophobic in nature, often causing them to partition in cell membranes where they may not be as readily available as diffusible signaling molecules </w:t>
      </w:r>
      <w:r w:rsidRPr="00366007">
        <w:rPr>
          <w:rFonts w:ascii="Verdana" w:hAnsi="Verdana"/>
          <w:noProof/>
          <w:sz w:val="20"/>
          <w:szCs w:val="20"/>
        </w:rPr>
        <w:t>(32).</w:t>
      </w:r>
      <w:r w:rsidRPr="00366007">
        <w:rPr>
          <w:rFonts w:ascii="Verdana" w:hAnsi="Verdana"/>
          <w:sz w:val="20"/>
          <w:szCs w:val="20"/>
        </w:rPr>
        <w:t xml:space="preserve"> QS signal efflux pumps have been identified in other Proteobacteria, but similar mechanisms have yet to be identified in Alphaproteobacteria. Thus, the biological implications of membrane “sequestering” of QS molecules are not yet fully appreciated. In addition, it has been noted that long chain AHLs are more stable than their shorter chain counterparts in alkaline environments, such as the world’s oceans. Thus, it has been recently suggested that the slight alkalinity of seawater may be a driving force in shaping the AHL repertoire of Roseobacters </w:t>
      </w:r>
      <w:r w:rsidRPr="00366007">
        <w:rPr>
          <w:rFonts w:ascii="Verdana" w:hAnsi="Verdana"/>
          <w:noProof/>
          <w:sz w:val="20"/>
          <w:szCs w:val="20"/>
        </w:rPr>
        <w:t>(33)</w:t>
      </w:r>
      <w:r w:rsidRPr="00366007">
        <w:rPr>
          <w:rFonts w:ascii="Verdana" w:hAnsi="Verdana"/>
          <w:sz w:val="20"/>
          <w:szCs w:val="20"/>
        </w:rPr>
        <w:t xml:space="preserve">.  </w:t>
      </w:r>
    </w:p>
    <w:p w14:paraId="32D2FB03" w14:textId="3773F9EF" w:rsidR="008C08A7" w:rsidRPr="00366007" w:rsidRDefault="008C08A7" w:rsidP="00F8165F">
      <w:pPr>
        <w:pStyle w:val="NoSpacing"/>
        <w:spacing w:before="240"/>
        <w:ind w:firstLine="720"/>
        <w:jc w:val="both"/>
        <w:rPr>
          <w:rFonts w:ascii="Verdana" w:hAnsi="Verdana"/>
          <w:sz w:val="20"/>
          <w:szCs w:val="20"/>
        </w:rPr>
      </w:pPr>
      <w:r w:rsidRPr="00366007">
        <w:rPr>
          <w:rFonts w:ascii="Verdana" w:hAnsi="Verdana"/>
          <w:sz w:val="20"/>
          <w:szCs w:val="20"/>
        </w:rPr>
        <w:t xml:space="preserve">Culture-based studies indicate that Roseobacters are the primary symbiont producers of AHLs </w:t>
      </w:r>
      <w:r w:rsidRPr="00366007">
        <w:rPr>
          <w:rFonts w:ascii="Verdana" w:hAnsi="Verdana"/>
          <w:noProof/>
          <w:sz w:val="20"/>
          <w:szCs w:val="20"/>
        </w:rPr>
        <w:t xml:space="preserve">(34). </w:t>
      </w:r>
      <w:r w:rsidRPr="00366007">
        <w:rPr>
          <w:rFonts w:ascii="Verdana" w:hAnsi="Verdana"/>
          <w:sz w:val="20"/>
          <w:szCs w:val="20"/>
        </w:rPr>
        <w:t xml:space="preserve">A model for </w:t>
      </w:r>
      <w:proofErr w:type="gramStart"/>
      <w:r w:rsidRPr="00366007">
        <w:rPr>
          <w:rFonts w:ascii="Verdana" w:hAnsi="Verdana"/>
          <w:sz w:val="20"/>
          <w:szCs w:val="20"/>
        </w:rPr>
        <w:t>sponge-associated</w:t>
      </w:r>
      <w:proofErr w:type="gramEnd"/>
      <w:r w:rsidRPr="00366007">
        <w:rPr>
          <w:rFonts w:ascii="Verdana" w:hAnsi="Verdana"/>
          <w:sz w:val="20"/>
          <w:szCs w:val="20"/>
        </w:rPr>
        <w:t xml:space="preserve"> Roseobacter, </w:t>
      </w:r>
      <w:proofErr w:type="spellStart"/>
      <w:r w:rsidRPr="00366007">
        <w:rPr>
          <w:rFonts w:ascii="Verdana" w:hAnsi="Verdana"/>
          <w:i/>
          <w:sz w:val="20"/>
          <w:szCs w:val="20"/>
        </w:rPr>
        <w:t>Ruegeria</w:t>
      </w:r>
      <w:proofErr w:type="spellEnd"/>
      <w:r w:rsidRPr="00366007">
        <w:rPr>
          <w:rFonts w:ascii="Verdana" w:hAnsi="Verdana"/>
          <w:i/>
          <w:sz w:val="20"/>
          <w:szCs w:val="20"/>
        </w:rPr>
        <w:t xml:space="preserve"> </w:t>
      </w:r>
      <w:r w:rsidRPr="00366007">
        <w:rPr>
          <w:rFonts w:ascii="Verdana" w:hAnsi="Verdana"/>
          <w:sz w:val="20"/>
          <w:szCs w:val="20"/>
        </w:rPr>
        <w:t xml:space="preserve">sp. KLH11, contains two sets of </w:t>
      </w:r>
      <w:proofErr w:type="spellStart"/>
      <w:r w:rsidRPr="00366007">
        <w:rPr>
          <w:rFonts w:ascii="Verdana" w:hAnsi="Verdana"/>
          <w:i/>
          <w:sz w:val="20"/>
          <w:szCs w:val="20"/>
        </w:rPr>
        <w:t>luxRI</w:t>
      </w:r>
      <w:proofErr w:type="spellEnd"/>
      <w:r w:rsidRPr="00366007">
        <w:rPr>
          <w:rFonts w:ascii="Verdana" w:hAnsi="Verdana"/>
          <w:sz w:val="20"/>
          <w:szCs w:val="20"/>
        </w:rPr>
        <w:t xml:space="preserve"> homologs, designated </w:t>
      </w:r>
      <w:proofErr w:type="spellStart"/>
      <w:r w:rsidRPr="00366007">
        <w:rPr>
          <w:rFonts w:ascii="Verdana" w:hAnsi="Verdana"/>
          <w:i/>
          <w:sz w:val="20"/>
          <w:szCs w:val="20"/>
        </w:rPr>
        <w:t>ssaRI</w:t>
      </w:r>
      <w:proofErr w:type="spellEnd"/>
      <w:r w:rsidRPr="00366007">
        <w:rPr>
          <w:rFonts w:ascii="Verdana" w:hAnsi="Verdana"/>
          <w:sz w:val="20"/>
          <w:szCs w:val="20"/>
        </w:rPr>
        <w:t xml:space="preserve"> and </w:t>
      </w:r>
      <w:proofErr w:type="spellStart"/>
      <w:r w:rsidRPr="00366007">
        <w:rPr>
          <w:rFonts w:ascii="Verdana" w:hAnsi="Verdana"/>
          <w:i/>
          <w:sz w:val="20"/>
          <w:szCs w:val="20"/>
        </w:rPr>
        <w:t>ssbRI</w:t>
      </w:r>
      <w:proofErr w:type="spellEnd"/>
      <w:r w:rsidRPr="00366007">
        <w:rPr>
          <w:rFonts w:ascii="Verdana" w:hAnsi="Verdana"/>
          <w:i/>
          <w:sz w:val="20"/>
          <w:szCs w:val="20"/>
        </w:rPr>
        <w:t xml:space="preserve"> </w:t>
      </w:r>
      <w:r w:rsidRPr="00366007">
        <w:rPr>
          <w:rFonts w:ascii="Verdana" w:hAnsi="Verdana"/>
          <w:sz w:val="20"/>
          <w:szCs w:val="20"/>
        </w:rPr>
        <w:t xml:space="preserve">This strain also possesses an orphan, or solo, </w:t>
      </w:r>
      <w:proofErr w:type="spellStart"/>
      <w:r w:rsidRPr="00366007">
        <w:rPr>
          <w:rFonts w:ascii="Verdana" w:hAnsi="Verdana"/>
          <w:i/>
          <w:sz w:val="20"/>
          <w:szCs w:val="20"/>
        </w:rPr>
        <w:t>luxI</w:t>
      </w:r>
      <w:proofErr w:type="spellEnd"/>
      <w:r w:rsidRPr="00366007">
        <w:rPr>
          <w:rFonts w:ascii="Verdana" w:hAnsi="Verdana"/>
          <w:i/>
          <w:sz w:val="20"/>
          <w:szCs w:val="20"/>
        </w:rPr>
        <w:t xml:space="preserve">, </w:t>
      </w:r>
      <w:r w:rsidRPr="00366007">
        <w:rPr>
          <w:rFonts w:ascii="Verdana" w:hAnsi="Verdana"/>
          <w:sz w:val="20"/>
          <w:szCs w:val="20"/>
        </w:rPr>
        <w:t xml:space="preserve">designated </w:t>
      </w:r>
      <w:proofErr w:type="spellStart"/>
      <w:r w:rsidRPr="00366007">
        <w:rPr>
          <w:rFonts w:ascii="Verdana" w:hAnsi="Verdana"/>
          <w:i/>
          <w:sz w:val="20"/>
          <w:szCs w:val="20"/>
        </w:rPr>
        <w:t>sscI</w:t>
      </w:r>
      <w:proofErr w:type="spellEnd"/>
      <w:r w:rsidRPr="00366007">
        <w:rPr>
          <w:rFonts w:ascii="Verdana" w:hAnsi="Verdana"/>
          <w:i/>
          <w:sz w:val="20"/>
          <w:szCs w:val="20"/>
        </w:rPr>
        <w:t xml:space="preserve">, </w:t>
      </w:r>
      <w:r w:rsidRPr="00366007">
        <w:rPr>
          <w:rFonts w:ascii="Verdana" w:hAnsi="Verdana"/>
          <w:sz w:val="20"/>
          <w:szCs w:val="20"/>
        </w:rPr>
        <w:t xml:space="preserve">in its genome </w:t>
      </w:r>
      <w:r w:rsidRPr="00366007">
        <w:rPr>
          <w:rFonts w:ascii="Verdana" w:hAnsi="Verdana"/>
          <w:noProof/>
          <w:sz w:val="20"/>
          <w:szCs w:val="20"/>
        </w:rPr>
        <w:t>(28, 35)</w:t>
      </w:r>
      <w:r w:rsidRPr="00366007">
        <w:rPr>
          <w:rFonts w:ascii="Verdana" w:hAnsi="Verdana"/>
          <w:sz w:val="20"/>
          <w:szCs w:val="20"/>
        </w:rPr>
        <w:t xml:space="preserve">. </w:t>
      </w:r>
      <w:proofErr w:type="spellStart"/>
      <w:r w:rsidRPr="00366007">
        <w:rPr>
          <w:rFonts w:ascii="Verdana" w:hAnsi="Verdana"/>
          <w:sz w:val="20"/>
          <w:szCs w:val="20"/>
        </w:rPr>
        <w:t>SsaI</w:t>
      </w:r>
      <w:proofErr w:type="spellEnd"/>
      <w:r w:rsidRPr="00366007">
        <w:rPr>
          <w:rFonts w:ascii="Verdana" w:hAnsi="Verdana"/>
          <w:sz w:val="20"/>
          <w:szCs w:val="20"/>
        </w:rPr>
        <w:t xml:space="preserve">, </w:t>
      </w:r>
      <w:proofErr w:type="spellStart"/>
      <w:r w:rsidRPr="00366007">
        <w:rPr>
          <w:rFonts w:ascii="Verdana" w:hAnsi="Verdana"/>
          <w:sz w:val="20"/>
          <w:szCs w:val="20"/>
        </w:rPr>
        <w:t>SsbI</w:t>
      </w:r>
      <w:proofErr w:type="spellEnd"/>
      <w:r w:rsidRPr="00366007">
        <w:rPr>
          <w:rFonts w:ascii="Verdana" w:hAnsi="Verdana"/>
          <w:sz w:val="20"/>
          <w:szCs w:val="20"/>
        </w:rPr>
        <w:t xml:space="preserve">, and </w:t>
      </w:r>
      <w:proofErr w:type="spellStart"/>
      <w:r w:rsidRPr="00366007">
        <w:rPr>
          <w:rFonts w:ascii="Verdana" w:hAnsi="Verdana"/>
          <w:sz w:val="20"/>
          <w:szCs w:val="20"/>
        </w:rPr>
        <w:t>SscI</w:t>
      </w:r>
      <w:proofErr w:type="spellEnd"/>
      <w:r w:rsidRPr="00366007">
        <w:rPr>
          <w:rFonts w:ascii="Verdana" w:hAnsi="Verdana"/>
          <w:sz w:val="20"/>
          <w:szCs w:val="20"/>
        </w:rPr>
        <w:t xml:space="preserve"> predominantly produce long chain saturated and unsaturated AHLs ranging in size from C12 to C16. </w:t>
      </w:r>
      <w:proofErr w:type="spellStart"/>
      <w:r w:rsidRPr="00366007">
        <w:rPr>
          <w:rFonts w:ascii="Verdana" w:hAnsi="Verdana"/>
          <w:sz w:val="20"/>
          <w:szCs w:val="20"/>
        </w:rPr>
        <w:t>SsaI</w:t>
      </w:r>
      <w:proofErr w:type="spellEnd"/>
      <w:r w:rsidRPr="00366007">
        <w:rPr>
          <w:rFonts w:ascii="Verdana" w:hAnsi="Verdana"/>
          <w:sz w:val="20"/>
          <w:szCs w:val="20"/>
        </w:rPr>
        <w:t xml:space="preserve"> produces 3O-AHL variants whereas </w:t>
      </w:r>
      <w:proofErr w:type="spellStart"/>
      <w:r w:rsidRPr="00366007">
        <w:rPr>
          <w:rFonts w:ascii="Verdana" w:hAnsi="Verdana"/>
          <w:sz w:val="20"/>
          <w:szCs w:val="20"/>
        </w:rPr>
        <w:t>SsbI</w:t>
      </w:r>
      <w:proofErr w:type="spellEnd"/>
      <w:r w:rsidRPr="00366007">
        <w:rPr>
          <w:rFonts w:ascii="Verdana" w:hAnsi="Verdana"/>
          <w:sz w:val="20"/>
          <w:szCs w:val="20"/>
        </w:rPr>
        <w:t xml:space="preserve"> and </w:t>
      </w:r>
      <w:proofErr w:type="spellStart"/>
      <w:r w:rsidRPr="00366007">
        <w:rPr>
          <w:rFonts w:ascii="Verdana" w:hAnsi="Verdana"/>
          <w:sz w:val="20"/>
          <w:szCs w:val="20"/>
        </w:rPr>
        <w:t>SscI</w:t>
      </w:r>
      <w:proofErr w:type="spellEnd"/>
      <w:r w:rsidRPr="00366007">
        <w:rPr>
          <w:rFonts w:ascii="Verdana" w:hAnsi="Verdana"/>
          <w:sz w:val="20"/>
          <w:szCs w:val="20"/>
        </w:rPr>
        <w:t xml:space="preserve"> produce 3OH-AHLs </w:t>
      </w:r>
      <w:r w:rsidRPr="00366007">
        <w:rPr>
          <w:rFonts w:ascii="Verdana" w:hAnsi="Verdana"/>
          <w:noProof/>
          <w:sz w:val="20"/>
          <w:szCs w:val="20"/>
        </w:rPr>
        <w:t>(28)</w:t>
      </w:r>
      <w:r w:rsidRPr="00366007">
        <w:rPr>
          <w:rFonts w:ascii="Verdana" w:hAnsi="Verdana"/>
          <w:sz w:val="20"/>
          <w:szCs w:val="20"/>
        </w:rPr>
        <w:t xml:space="preserve">. The binding affinity of signaling molecules to </w:t>
      </w:r>
      <w:proofErr w:type="spellStart"/>
      <w:r w:rsidRPr="00366007">
        <w:rPr>
          <w:rFonts w:ascii="Verdana" w:hAnsi="Verdana"/>
          <w:sz w:val="20"/>
          <w:szCs w:val="20"/>
        </w:rPr>
        <w:t>LuxR</w:t>
      </w:r>
      <w:proofErr w:type="spellEnd"/>
      <w:r w:rsidRPr="00366007">
        <w:rPr>
          <w:rFonts w:ascii="Verdana" w:hAnsi="Verdana"/>
          <w:sz w:val="20"/>
          <w:szCs w:val="20"/>
        </w:rPr>
        <w:t xml:space="preserve"> homologs is influenced by modifications at the third carbon, and this may allow KLH11 to finely tune its metabolism to cellular density and AHL diversity </w:t>
      </w:r>
      <w:r w:rsidRPr="00366007">
        <w:rPr>
          <w:rFonts w:ascii="Verdana" w:hAnsi="Verdana"/>
          <w:noProof/>
          <w:sz w:val="20"/>
          <w:szCs w:val="20"/>
        </w:rPr>
        <w:t>(36)</w:t>
      </w:r>
      <w:r w:rsidRPr="00366007">
        <w:rPr>
          <w:rFonts w:ascii="Verdana" w:hAnsi="Verdana"/>
          <w:sz w:val="20"/>
          <w:szCs w:val="20"/>
        </w:rPr>
        <w:t>.  Similarly,</w:t>
      </w:r>
      <w:r w:rsidRPr="00366007">
        <w:rPr>
          <w:rFonts w:ascii="Verdana" w:hAnsi="Verdana"/>
          <w:i/>
          <w:sz w:val="20"/>
          <w:szCs w:val="20"/>
        </w:rPr>
        <w:t xml:space="preserve"> </w:t>
      </w:r>
      <w:r w:rsidRPr="00366007">
        <w:rPr>
          <w:rFonts w:ascii="Verdana" w:hAnsi="Verdana"/>
          <w:sz w:val="20"/>
          <w:szCs w:val="20"/>
        </w:rPr>
        <w:t>the algal symbiont</w:t>
      </w:r>
      <w:r w:rsidRPr="00366007">
        <w:rPr>
          <w:rFonts w:ascii="Verdana" w:hAnsi="Verdana"/>
          <w:i/>
          <w:sz w:val="20"/>
          <w:szCs w:val="20"/>
        </w:rPr>
        <w:t xml:space="preserve"> </w:t>
      </w:r>
      <w:proofErr w:type="spellStart"/>
      <w:r w:rsidRPr="00366007">
        <w:rPr>
          <w:rFonts w:ascii="Verdana" w:hAnsi="Verdana"/>
          <w:i/>
          <w:sz w:val="20"/>
          <w:szCs w:val="20"/>
        </w:rPr>
        <w:t>Dinoroseobacter</w:t>
      </w:r>
      <w:proofErr w:type="spellEnd"/>
      <w:r w:rsidRPr="00366007">
        <w:rPr>
          <w:rFonts w:ascii="Verdana" w:hAnsi="Verdana"/>
          <w:i/>
          <w:sz w:val="20"/>
          <w:szCs w:val="20"/>
        </w:rPr>
        <w:t xml:space="preserve"> </w:t>
      </w:r>
      <w:proofErr w:type="spellStart"/>
      <w:r w:rsidRPr="00366007">
        <w:rPr>
          <w:rFonts w:ascii="Verdana" w:hAnsi="Verdana"/>
          <w:i/>
          <w:sz w:val="20"/>
          <w:szCs w:val="20"/>
        </w:rPr>
        <w:t>shibae</w:t>
      </w:r>
      <w:proofErr w:type="spellEnd"/>
      <w:r w:rsidRPr="00366007">
        <w:rPr>
          <w:rFonts w:ascii="Verdana" w:hAnsi="Verdana"/>
          <w:i/>
          <w:sz w:val="20"/>
          <w:szCs w:val="20"/>
        </w:rPr>
        <w:t xml:space="preserve"> </w:t>
      </w:r>
      <w:r w:rsidRPr="00366007">
        <w:rPr>
          <w:rFonts w:ascii="Verdana" w:hAnsi="Verdana"/>
          <w:sz w:val="20"/>
          <w:szCs w:val="20"/>
        </w:rPr>
        <w:t>DFL12</w:t>
      </w:r>
      <w:r w:rsidRPr="00366007">
        <w:rPr>
          <w:rFonts w:ascii="Verdana" w:hAnsi="Verdana"/>
          <w:i/>
          <w:sz w:val="20"/>
          <w:szCs w:val="20"/>
        </w:rPr>
        <w:t xml:space="preserve"> </w:t>
      </w:r>
      <w:r w:rsidRPr="00366007">
        <w:rPr>
          <w:rFonts w:ascii="Verdana" w:hAnsi="Verdana"/>
          <w:sz w:val="20"/>
          <w:szCs w:val="20"/>
        </w:rPr>
        <w:t xml:space="preserve">is another representative of the Roseobacter clade reported to have two </w:t>
      </w:r>
      <w:proofErr w:type="spellStart"/>
      <w:r w:rsidRPr="00366007">
        <w:rPr>
          <w:rFonts w:ascii="Verdana" w:hAnsi="Verdana"/>
          <w:i/>
          <w:sz w:val="20"/>
          <w:szCs w:val="20"/>
        </w:rPr>
        <w:t>luxR</w:t>
      </w:r>
      <w:proofErr w:type="spellEnd"/>
      <w:r w:rsidRPr="00366007">
        <w:rPr>
          <w:rFonts w:ascii="Verdana" w:hAnsi="Verdana"/>
          <w:sz w:val="20"/>
          <w:szCs w:val="20"/>
        </w:rPr>
        <w:t>-like cassettes as well as</w:t>
      </w:r>
      <w:r w:rsidRPr="00366007">
        <w:rPr>
          <w:rFonts w:ascii="Verdana" w:hAnsi="Verdana"/>
          <w:i/>
          <w:sz w:val="20"/>
          <w:szCs w:val="20"/>
        </w:rPr>
        <w:t xml:space="preserve"> </w:t>
      </w:r>
      <w:proofErr w:type="gramStart"/>
      <w:r w:rsidRPr="00366007">
        <w:rPr>
          <w:rFonts w:ascii="Verdana" w:hAnsi="Verdana"/>
          <w:sz w:val="20"/>
          <w:szCs w:val="20"/>
        </w:rPr>
        <w:t>an</w:t>
      </w:r>
      <w:proofErr w:type="gramEnd"/>
      <w:r w:rsidRPr="00366007">
        <w:rPr>
          <w:rFonts w:ascii="Verdana" w:hAnsi="Verdana"/>
          <w:sz w:val="20"/>
          <w:szCs w:val="20"/>
        </w:rPr>
        <w:t xml:space="preserve"> </w:t>
      </w:r>
      <w:proofErr w:type="spellStart"/>
      <w:r w:rsidRPr="00366007">
        <w:rPr>
          <w:rFonts w:ascii="Verdana" w:hAnsi="Verdana"/>
          <w:i/>
          <w:sz w:val="20"/>
          <w:szCs w:val="20"/>
        </w:rPr>
        <w:t>luxI</w:t>
      </w:r>
      <w:proofErr w:type="spellEnd"/>
      <w:r w:rsidRPr="00366007">
        <w:rPr>
          <w:rFonts w:ascii="Verdana" w:hAnsi="Verdana"/>
          <w:sz w:val="20"/>
          <w:szCs w:val="20"/>
        </w:rPr>
        <w:t xml:space="preserve"> orphan, designated </w:t>
      </w:r>
      <w:r w:rsidRPr="00366007">
        <w:rPr>
          <w:rFonts w:ascii="Verdana" w:hAnsi="Verdana"/>
          <w:i/>
          <w:sz w:val="20"/>
          <w:szCs w:val="20"/>
        </w:rPr>
        <w:t xml:space="preserve">luxRI1, luxRI2, </w:t>
      </w:r>
      <w:r w:rsidRPr="00366007">
        <w:rPr>
          <w:rFonts w:ascii="Verdana" w:hAnsi="Verdana"/>
          <w:sz w:val="20"/>
          <w:szCs w:val="20"/>
        </w:rPr>
        <w:t xml:space="preserve">and </w:t>
      </w:r>
      <w:r w:rsidRPr="00366007">
        <w:rPr>
          <w:rFonts w:ascii="Verdana" w:hAnsi="Verdana"/>
          <w:i/>
          <w:sz w:val="20"/>
          <w:szCs w:val="20"/>
        </w:rPr>
        <w:t xml:space="preserve">luxI3, </w:t>
      </w:r>
      <w:r w:rsidRPr="00366007">
        <w:rPr>
          <w:rFonts w:ascii="Verdana" w:hAnsi="Verdana"/>
          <w:sz w:val="20"/>
          <w:szCs w:val="20"/>
        </w:rPr>
        <w:t xml:space="preserve">respectively </w:t>
      </w:r>
      <w:r w:rsidRPr="00366007">
        <w:rPr>
          <w:rFonts w:ascii="Verdana" w:hAnsi="Verdana"/>
          <w:noProof/>
          <w:sz w:val="20"/>
          <w:szCs w:val="20"/>
        </w:rPr>
        <w:t>(37)</w:t>
      </w:r>
      <w:r w:rsidRPr="00366007">
        <w:rPr>
          <w:rFonts w:ascii="Verdana" w:hAnsi="Verdana"/>
          <w:sz w:val="20"/>
          <w:szCs w:val="20"/>
        </w:rPr>
        <w:t xml:space="preserve">. Deletion of </w:t>
      </w:r>
      <w:r w:rsidRPr="00366007">
        <w:rPr>
          <w:rFonts w:ascii="Verdana" w:hAnsi="Verdana"/>
          <w:i/>
          <w:sz w:val="20"/>
          <w:szCs w:val="20"/>
        </w:rPr>
        <w:t>luxI1</w:t>
      </w:r>
      <w:r w:rsidRPr="00366007">
        <w:rPr>
          <w:rFonts w:ascii="Verdana" w:hAnsi="Verdana"/>
          <w:sz w:val="20"/>
          <w:szCs w:val="20"/>
        </w:rPr>
        <w:t xml:space="preserve"> has been shown to affect the regulation of the other two QS systems, indicating the regulatory network in </w:t>
      </w:r>
      <w:r w:rsidRPr="00366007">
        <w:rPr>
          <w:rFonts w:ascii="Verdana" w:hAnsi="Verdana"/>
          <w:i/>
          <w:iCs/>
          <w:sz w:val="20"/>
          <w:szCs w:val="20"/>
        </w:rPr>
        <w:t xml:space="preserve">D. </w:t>
      </w:r>
      <w:proofErr w:type="spellStart"/>
      <w:r w:rsidRPr="00366007">
        <w:rPr>
          <w:rFonts w:ascii="Verdana" w:hAnsi="Verdana"/>
          <w:i/>
          <w:iCs/>
          <w:sz w:val="20"/>
          <w:szCs w:val="20"/>
        </w:rPr>
        <w:t>shibae</w:t>
      </w:r>
      <w:proofErr w:type="spellEnd"/>
      <w:r w:rsidRPr="00366007">
        <w:rPr>
          <w:rFonts w:ascii="Verdana" w:hAnsi="Verdana"/>
          <w:i/>
          <w:iCs/>
          <w:sz w:val="20"/>
          <w:szCs w:val="20"/>
        </w:rPr>
        <w:t xml:space="preserve"> </w:t>
      </w:r>
      <w:r w:rsidRPr="00366007">
        <w:rPr>
          <w:rFonts w:ascii="Verdana" w:hAnsi="Verdana"/>
          <w:sz w:val="20"/>
          <w:szCs w:val="20"/>
        </w:rPr>
        <w:t xml:space="preserve">is organized in a hierarchical fashion </w:t>
      </w:r>
      <w:r w:rsidRPr="00366007">
        <w:rPr>
          <w:rFonts w:ascii="Verdana" w:hAnsi="Verdana"/>
          <w:noProof/>
          <w:sz w:val="20"/>
          <w:szCs w:val="20"/>
        </w:rPr>
        <w:t>(38)</w:t>
      </w:r>
      <w:r w:rsidRPr="00366007">
        <w:rPr>
          <w:rFonts w:ascii="Verdana" w:hAnsi="Verdana"/>
          <w:sz w:val="20"/>
          <w:szCs w:val="20"/>
        </w:rPr>
        <w:t xml:space="preserve">. QS in </w:t>
      </w:r>
      <w:r w:rsidRPr="00366007">
        <w:rPr>
          <w:rFonts w:ascii="Verdana" w:hAnsi="Verdana"/>
          <w:i/>
          <w:iCs/>
          <w:sz w:val="20"/>
          <w:szCs w:val="20"/>
        </w:rPr>
        <w:t xml:space="preserve">D. </w:t>
      </w:r>
      <w:proofErr w:type="spellStart"/>
      <w:r w:rsidRPr="00366007">
        <w:rPr>
          <w:rFonts w:ascii="Verdana" w:hAnsi="Verdana"/>
          <w:i/>
          <w:iCs/>
          <w:sz w:val="20"/>
          <w:szCs w:val="20"/>
        </w:rPr>
        <w:t>shibae</w:t>
      </w:r>
      <w:proofErr w:type="spellEnd"/>
      <w:r w:rsidRPr="00366007">
        <w:rPr>
          <w:rFonts w:ascii="Verdana" w:hAnsi="Verdana"/>
          <w:i/>
          <w:iCs/>
          <w:sz w:val="20"/>
          <w:szCs w:val="20"/>
        </w:rPr>
        <w:t xml:space="preserve"> </w:t>
      </w:r>
      <w:r w:rsidRPr="00366007">
        <w:rPr>
          <w:rFonts w:ascii="Verdana" w:hAnsi="Verdana"/>
          <w:sz w:val="20"/>
          <w:szCs w:val="20"/>
        </w:rPr>
        <w:t xml:space="preserve">has also been demonstrated to regulate the </w:t>
      </w:r>
      <w:proofErr w:type="spellStart"/>
      <w:r w:rsidRPr="00366007">
        <w:rPr>
          <w:rFonts w:ascii="Verdana" w:hAnsi="Verdana"/>
          <w:i/>
          <w:sz w:val="20"/>
          <w:szCs w:val="20"/>
        </w:rPr>
        <w:t>cckA-chpT-ctrA</w:t>
      </w:r>
      <w:proofErr w:type="spellEnd"/>
      <w:r w:rsidRPr="00366007">
        <w:rPr>
          <w:rFonts w:ascii="Verdana" w:hAnsi="Verdana"/>
          <w:sz w:val="20"/>
          <w:szCs w:val="20"/>
        </w:rPr>
        <w:t xml:space="preserve"> regulatory circuit, which mediates cell cycle in this strain and influences cellular morphology </w:t>
      </w:r>
      <w:r w:rsidRPr="00366007">
        <w:rPr>
          <w:rFonts w:ascii="Verdana" w:hAnsi="Verdana"/>
          <w:noProof/>
          <w:sz w:val="20"/>
          <w:szCs w:val="20"/>
        </w:rPr>
        <w:t>(38)</w:t>
      </w:r>
      <w:r w:rsidRPr="00366007">
        <w:rPr>
          <w:rFonts w:ascii="Verdana" w:hAnsi="Verdana"/>
          <w:sz w:val="20"/>
          <w:szCs w:val="20"/>
        </w:rPr>
        <w:t xml:space="preserve">. </w:t>
      </w:r>
      <w:r w:rsidRPr="00366007">
        <w:rPr>
          <w:rFonts w:ascii="Verdana" w:hAnsi="Verdana"/>
          <w:i/>
          <w:sz w:val="20"/>
          <w:szCs w:val="20"/>
        </w:rPr>
        <w:t xml:space="preserve">D. </w:t>
      </w:r>
      <w:proofErr w:type="spellStart"/>
      <w:r w:rsidRPr="00366007">
        <w:rPr>
          <w:rFonts w:ascii="Verdana" w:hAnsi="Verdana"/>
          <w:i/>
          <w:sz w:val="20"/>
          <w:szCs w:val="20"/>
        </w:rPr>
        <w:t>shibae</w:t>
      </w:r>
      <w:proofErr w:type="spellEnd"/>
      <w:r w:rsidRPr="00366007">
        <w:rPr>
          <w:rFonts w:ascii="Verdana" w:hAnsi="Verdana"/>
          <w:sz w:val="20"/>
          <w:szCs w:val="20"/>
        </w:rPr>
        <w:t xml:space="preserve"> populations show variation in cell morphology which is hypothesized to contribute to fitness in changing environments </w:t>
      </w:r>
      <w:r w:rsidRPr="00366007">
        <w:rPr>
          <w:rFonts w:ascii="Verdana" w:hAnsi="Verdana"/>
          <w:noProof/>
          <w:sz w:val="20"/>
          <w:szCs w:val="20"/>
        </w:rPr>
        <w:t>(39)</w:t>
      </w:r>
      <w:r w:rsidRPr="00366007">
        <w:rPr>
          <w:rFonts w:ascii="Verdana" w:hAnsi="Verdana"/>
          <w:sz w:val="20"/>
          <w:szCs w:val="20"/>
        </w:rPr>
        <w:t xml:space="preserve">. </w:t>
      </w:r>
    </w:p>
    <w:p w14:paraId="53F07CEC" w14:textId="131289C1" w:rsidR="008C08A7" w:rsidRPr="00366007" w:rsidRDefault="008C08A7" w:rsidP="00F8165F">
      <w:pPr>
        <w:pStyle w:val="NoSpacing"/>
        <w:spacing w:before="240"/>
        <w:ind w:firstLine="720"/>
        <w:jc w:val="both"/>
        <w:rPr>
          <w:rFonts w:ascii="Verdana" w:hAnsi="Verdana"/>
          <w:sz w:val="20"/>
          <w:szCs w:val="20"/>
        </w:rPr>
      </w:pPr>
      <w:r w:rsidRPr="00366007">
        <w:rPr>
          <w:rFonts w:ascii="Verdana" w:hAnsi="Verdana"/>
          <w:sz w:val="20"/>
          <w:szCs w:val="20"/>
        </w:rPr>
        <w:t xml:space="preserve">Integration of QS and cell cycle regulatory mechanisms, such as the </w:t>
      </w:r>
      <w:proofErr w:type="spellStart"/>
      <w:r w:rsidRPr="00366007">
        <w:rPr>
          <w:rFonts w:ascii="Verdana" w:hAnsi="Verdana"/>
          <w:i/>
          <w:sz w:val="20"/>
          <w:szCs w:val="20"/>
        </w:rPr>
        <w:t>cckA-chpT-ctrA</w:t>
      </w:r>
      <w:proofErr w:type="spellEnd"/>
      <w:r w:rsidRPr="00366007">
        <w:rPr>
          <w:rFonts w:ascii="Verdana" w:hAnsi="Verdana"/>
          <w:sz w:val="20"/>
          <w:szCs w:val="20"/>
        </w:rPr>
        <w:t xml:space="preserve"> circuit and the secondary global messenger </w:t>
      </w:r>
      <w:bookmarkStart w:id="6" w:name="_Hlk80344213"/>
      <w:r w:rsidRPr="00366007">
        <w:rPr>
          <w:rFonts w:ascii="Verdana" w:hAnsi="Verdana"/>
          <w:sz w:val="20"/>
          <w:szCs w:val="20"/>
        </w:rPr>
        <w:t>c-di-GMP</w:t>
      </w:r>
      <w:bookmarkEnd w:id="6"/>
      <w:r w:rsidRPr="00366007">
        <w:rPr>
          <w:rFonts w:ascii="Verdana" w:hAnsi="Verdana"/>
          <w:sz w:val="20"/>
          <w:szCs w:val="20"/>
        </w:rPr>
        <w:t xml:space="preserve">, in Roseobacters is an emerging area of research. While the specific mechanistic details of the interactions have yet to be elucidated, it has been shown in </w:t>
      </w:r>
      <w:r w:rsidRPr="00366007">
        <w:rPr>
          <w:rFonts w:ascii="Verdana" w:hAnsi="Verdana"/>
          <w:i/>
          <w:sz w:val="20"/>
          <w:szCs w:val="20"/>
        </w:rPr>
        <w:t xml:space="preserve">D. </w:t>
      </w:r>
      <w:proofErr w:type="spellStart"/>
      <w:r w:rsidRPr="00366007">
        <w:rPr>
          <w:rFonts w:ascii="Verdana" w:hAnsi="Verdana"/>
          <w:i/>
          <w:sz w:val="20"/>
          <w:szCs w:val="20"/>
        </w:rPr>
        <w:t>shibae</w:t>
      </w:r>
      <w:proofErr w:type="spellEnd"/>
      <w:r w:rsidRPr="00366007">
        <w:rPr>
          <w:rFonts w:ascii="Verdana" w:hAnsi="Verdana"/>
          <w:sz w:val="20"/>
          <w:szCs w:val="20"/>
        </w:rPr>
        <w:t xml:space="preserve"> that not only is the </w:t>
      </w:r>
      <w:proofErr w:type="spellStart"/>
      <w:r w:rsidRPr="00366007">
        <w:rPr>
          <w:rFonts w:ascii="Verdana" w:hAnsi="Verdana"/>
          <w:i/>
          <w:sz w:val="20"/>
          <w:szCs w:val="20"/>
        </w:rPr>
        <w:t>cckA-chpT-ctrA</w:t>
      </w:r>
      <w:proofErr w:type="spellEnd"/>
      <w:r w:rsidRPr="00366007">
        <w:rPr>
          <w:rFonts w:ascii="Verdana" w:hAnsi="Verdana"/>
          <w:sz w:val="20"/>
          <w:szCs w:val="20"/>
        </w:rPr>
        <w:t xml:space="preserve"> regulatory circuit impaired in QS mutants but that AHL production is impaired in a </w:t>
      </w:r>
      <w:proofErr w:type="spellStart"/>
      <w:r w:rsidRPr="00366007">
        <w:rPr>
          <w:rFonts w:ascii="Verdana" w:hAnsi="Verdana"/>
          <w:i/>
          <w:sz w:val="20"/>
          <w:szCs w:val="20"/>
        </w:rPr>
        <w:t>ctrA</w:t>
      </w:r>
      <w:proofErr w:type="spellEnd"/>
      <w:r w:rsidRPr="00366007">
        <w:rPr>
          <w:rFonts w:ascii="Verdana" w:hAnsi="Verdana"/>
          <w:sz w:val="20"/>
          <w:szCs w:val="20"/>
        </w:rPr>
        <w:t xml:space="preserve"> mutant </w:t>
      </w:r>
      <w:r w:rsidRPr="00366007">
        <w:rPr>
          <w:rFonts w:ascii="Verdana" w:hAnsi="Verdana"/>
          <w:noProof/>
          <w:sz w:val="20"/>
          <w:szCs w:val="20"/>
        </w:rPr>
        <w:t>(29)</w:t>
      </w:r>
      <w:r w:rsidRPr="00366007">
        <w:rPr>
          <w:rFonts w:ascii="Verdana" w:hAnsi="Verdana"/>
          <w:sz w:val="20"/>
          <w:szCs w:val="20"/>
        </w:rPr>
        <w:t xml:space="preserve">. Thus, the regulatory network of these two systems is clearly connected, in at least some Roseobacters. The extent to which this integration of networks is present amongst the larger collection of Roseobacters has been probed bioinformatically. </w:t>
      </w:r>
      <w:proofErr w:type="spellStart"/>
      <w:r w:rsidRPr="00366007">
        <w:rPr>
          <w:rFonts w:ascii="Verdana" w:hAnsi="Verdana"/>
          <w:sz w:val="20"/>
          <w:szCs w:val="20"/>
        </w:rPr>
        <w:t>CtrA</w:t>
      </w:r>
      <w:proofErr w:type="spellEnd"/>
      <w:r w:rsidRPr="00366007">
        <w:rPr>
          <w:rFonts w:ascii="Verdana" w:hAnsi="Verdana"/>
          <w:sz w:val="20"/>
          <w:szCs w:val="20"/>
        </w:rPr>
        <w:t xml:space="preserve">, which functions as a master regulator in many Alphaproteobacteria has a conserved binding site that can be recognized by genome analysis </w:t>
      </w:r>
      <w:r w:rsidRPr="00366007">
        <w:rPr>
          <w:rFonts w:ascii="Verdana" w:hAnsi="Verdana"/>
          <w:noProof/>
          <w:sz w:val="20"/>
          <w:szCs w:val="20"/>
        </w:rPr>
        <w:t>(29)</w:t>
      </w:r>
      <w:r w:rsidRPr="00366007">
        <w:rPr>
          <w:rFonts w:ascii="Verdana" w:hAnsi="Verdana"/>
          <w:sz w:val="20"/>
          <w:szCs w:val="20"/>
        </w:rPr>
        <w:t xml:space="preserve">. Wang et al. </w:t>
      </w:r>
      <w:r w:rsidRPr="00366007">
        <w:rPr>
          <w:rFonts w:ascii="Verdana" w:hAnsi="Verdana"/>
          <w:noProof/>
          <w:sz w:val="20"/>
          <w:szCs w:val="20"/>
        </w:rPr>
        <w:t>(29)</w:t>
      </w:r>
      <w:r w:rsidRPr="00366007">
        <w:rPr>
          <w:rFonts w:ascii="Verdana" w:hAnsi="Verdana"/>
          <w:sz w:val="20"/>
          <w:szCs w:val="20"/>
        </w:rPr>
        <w:t xml:space="preserve">, found </w:t>
      </w:r>
      <w:proofErr w:type="spellStart"/>
      <w:r w:rsidRPr="00366007">
        <w:rPr>
          <w:rFonts w:ascii="Verdana" w:hAnsi="Verdana"/>
          <w:sz w:val="20"/>
          <w:szCs w:val="20"/>
        </w:rPr>
        <w:t>CtrA</w:t>
      </w:r>
      <w:proofErr w:type="spellEnd"/>
      <w:r w:rsidRPr="00366007">
        <w:rPr>
          <w:rFonts w:ascii="Verdana" w:hAnsi="Verdana"/>
          <w:sz w:val="20"/>
          <w:szCs w:val="20"/>
        </w:rPr>
        <w:t xml:space="preserve"> binding sites within the </w:t>
      </w:r>
      <w:proofErr w:type="spellStart"/>
      <w:r w:rsidRPr="00366007">
        <w:rPr>
          <w:rFonts w:ascii="Verdana" w:hAnsi="Verdana"/>
          <w:i/>
          <w:sz w:val="20"/>
          <w:szCs w:val="20"/>
        </w:rPr>
        <w:t>luxRI</w:t>
      </w:r>
      <w:proofErr w:type="spellEnd"/>
      <w:r w:rsidRPr="00366007">
        <w:rPr>
          <w:rFonts w:ascii="Verdana" w:hAnsi="Verdana"/>
          <w:sz w:val="20"/>
          <w:szCs w:val="20"/>
        </w:rPr>
        <w:t xml:space="preserve"> cassettes of five of the ten Roseobacters genomes analyzed. </w:t>
      </w:r>
      <w:r w:rsidRPr="00366007">
        <w:rPr>
          <w:rFonts w:ascii="Verdana" w:hAnsi="Verdana"/>
          <w:i/>
          <w:sz w:val="20"/>
          <w:szCs w:val="20"/>
        </w:rPr>
        <w:t xml:space="preserve">O. </w:t>
      </w:r>
      <w:proofErr w:type="spellStart"/>
      <w:r w:rsidRPr="00366007">
        <w:rPr>
          <w:rFonts w:ascii="Verdana" w:hAnsi="Verdana"/>
          <w:i/>
          <w:sz w:val="20"/>
          <w:szCs w:val="20"/>
        </w:rPr>
        <w:t>antarcticus</w:t>
      </w:r>
      <w:proofErr w:type="spellEnd"/>
      <w:r w:rsidRPr="00366007">
        <w:rPr>
          <w:rFonts w:ascii="Verdana" w:hAnsi="Verdana"/>
          <w:sz w:val="20"/>
          <w:szCs w:val="20"/>
        </w:rPr>
        <w:t xml:space="preserve"> 307 possesses </w:t>
      </w:r>
      <w:proofErr w:type="spellStart"/>
      <w:r w:rsidRPr="00366007">
        <w:rPr>
          <w:rFonts w:ascii="Verdana" w:hAnsi="Verdana"/>
          <w:sz w:val="20"/>
          <w:szCs w:val="20"/>
        </w:rPr>
        <w:t>CtrA</w:t>
      </w:r>
      <w:proofErr w:type="spellEnd"/>
      <w:r w:rsidRPr="00366007">
        <w:rPr>
          <w:rFonts w:ascii="Verdana" w:hAnsi="Verdana"/>
          <w:sz w:val="20"/>
          <w:szCs w:val="20"/>
        </w:rPr>
        <w:t xml:space="preserve"> binding sites in both of its </w:t>
      </w:r>
      <w:proofErr w:type="spellStart"/>
      <w:r w:rsidRPr="00366007">
        <w:rPr>
          <w:rFonts w:ascii="Verdana" w:hAnsi="Verdana"/>
          <w:i/>
          <w:sz w:val="20"/>
          <w:szCs w:val="20"/>
        </w:rPr>
        <w:t>luxRI</w:t>
      </w:r>
      <w:proofErr w:type="spellEnd"/>
      <w:r w:rsidRPr="00366007">
        <w:rPr>
          <w:rFonts w:ascii="Verdana" w:hAnsi="Verdana"/>
          <w:sz w:val="20"/>
          <w:szCs w:val="20"/>
        </w:rPr>
        <w:t xml:space="preserve"> cassettes. </w:t>
      </w:r>
      <w:r w:rsidRPr="00366007">
        <w:rPr>
          <w:rFonts w:ascii="Verdana" w:hAnsi="Verdana"/>
          <w:i/>
          <w:sz w:val="20"/>
          <w:szCs w:val="20"/>
        </w:rPr>
        <w:t xml:space="preserve">R. </w:t>
      </w:r>
      <w:proofErr w:type="spellStart"/>
      <w:r w:rsidRPr="00366007">
        <w:rPr>
          <w:rFonts w:ascii="Verdana" w:hAnsi="Verdana"/>
          <w:i/>
          <w:sz w:val="20"/>
          <w:szCs w:val="20"/>
        </w:rPr>
        <w:t>denitrificans</w:t>
      </w:r>
      <w:proofErr w:type="spellEnd"/>
      <w:r w:rsidRPr="00366007">
        <w:rPr>
          <w:rFonts w:ascii="Verdana" w:hAnsi="Verdana"/>
          <w:i/>
          <w:sz w:val="20"/>
          <w:szCs w:val="20"/>
        </w:rPr>
        <w:t xml:space="preserve">, R. </w:t>
      </w:r>
      <w:proofErr w:type="spellStart"/>
      <w:r w:rsidRPr="00366007">
        <w:rPr>
          <w:rFonts w:ascii="Verdana" w:hAnsi="Verdana"/>
          <w:i/>
          <w:sz w:val="20"/>
          <w:szCs w:val="20"/>
        </w:rPr>
        <w:t>litoralis</w:t>
      </w:r>
      <w:proofErr w:type="spellEnd"/>
      <w:r w:rsidRPr="00366007">
        <w:rPr>
          <w:rFonts w:ascii="Verdana" w:hAnsi="Verdana"/>
          <w:i/>
          <w:sz w:val="20"/>
          <w:szCs w:val="20"/>
        </w:rPr>
        <w:t xml:space="preserve">, R. </w:t>
      </w:r>
      <w:proofErr w:type="spellStart"/>
      <w:r w:rsidRPr="00366007">
        <w:rPr>
          <w:rFonts w:ascii="Verdana" w:hAnsi="Verdana"/>
          <w:i/>
          <w:sz w:val="20"/>
          <w:szCs w:val="20"/>
        </w:rPr>
        <w:t>pomeroyi</w:t>
      </w:r>
      <w:proofErr w:type="spellEnd"/>
      <w:r w:rsidRPr="00366007">
        <w:rPr>
          <w:rFonts w:ascii="Verdana" w:hAnsi="Verdana"/>
          <w:i/>
          <w:sz w:val="20"/>
          <w:szCs w:val="20"/>
        </w:rPr>
        <w:t>,</w:t>
      </w:r>
      <w:r w:rsidRPr="00366007">
        <w:rPr>
          <w:rFonts w:ascii="Verdana" w:hAnsi="Verdana"/>
          <w:sz w:val="20"/>
          <w:szCs w:val="20"/>
        </w:rPr>
        <w:t xml:space="preserve"> and </w:t>
      </w:r>
      <w:r w:rsidRPr="00366007">
        <w:rPr>
          <w:rFonts w:ascii="Verdana" w:hAnsi="Verdana"/>
          <w:i/>
          <w:sz w:val="20"/>
          <w:szCs w:val="20"/>
        </w:rPr>
        <w:t xml:space="preserve">D. </w:t>
      </w:r>
      <w:proofErr w:type="spellStart"/>
      <w:r w:rsidRPr="00366007">
        <w:rPr>
          <w:rFonts w:ascii="Verdana" w:hAnsi="Verdana"/>
          <w:i/>
          <w:sz w:val="20"/>
          <w:szCs w:val="20"/>
        </w:rPr>
        <w:t>shibae</w:t>
      </w:r>
      <w:proofErr w:type="spellEnd"/>
      <w:r w:rsidRPr="00366007">
        <w:rPr>
          <w:rFonts w:ascii="Verdana" w:hAnsi="Verdana"/>
          <w:sz w:val="20"/>
          <w:szCs w:val="20"/>
        </w:rPr>
        <w:t xml:space="preserve"> were all predicted to have a single </w:t>
      </w:r>
      <w:proofErr w:type="spellStart"/>
      <w:r w:rsidRPr="00366007">
        <w:rPr>
          <w:rFonts w:ascii="Verdana" w:hAnsi="Verdana"/>
          <w:sz w:val="20"/>
          <w:szCs w:val="20"/>
        </w:rPr>
        <w:t>CtrA</w:t>
      </w:r>
      <w:proofErr w:type="spellEnd"/>
      <w:r w:rsidRPr="00366007">
        <w:rPr>
          <w:rFonts w:ascii="Verdana" w:hAnsi="Verdana"/>
          <w:sz w:val="20"/>
          <w:szCs w:val="20"/>
        </w:rPr>
        <w:t xml:space="preserve"> binding site within one </w:t>
      </w:r>
      <w:proofErr w:type="spellStart"/>
      <w:r w:rsidRPr="00366007">
        <w:rPr>
          <w:rFonts w:ascii="Verdana" w:hAnsi="Verdana"/>
          <w:i/>
          <w:sz w:val="20"/>
          <w:szCs w:val="20"/>
        </w:rPr>
        <w:t>luxRI</w:t>
      </w:r>
      <w:proofErr w:type="spellEnd"/>
      <w:r w:rsidRPr="00366007">
        <w:rPr>
          <w:rFonts w:ascii="Verdana" w:hAnsi="Verdana"/>
          <w:sz w:val="20"/>
          <w:szCs w:val="20"/>
        </w:rPr>
        <w:t xml:space="preserve"> cassette found within these strains. </w:t>
      </w:r>
      <w:r w:rsidRPr="00366007">
        <w:rPr>
          <w:rFonts w:ascii="Verdana" w:hAnsi="Verdana"/>
          <w:sz w:val="20"/>
          <w:szCs w:val="20"/>
        </w:rPr>
        <w:lastRenderedPageBreak/>
        <w:t>Additionally, QS-mediated physiologies, such as surface attachment and biofilm formation, is often modulated through intracellular signaling of the global secondary messenger c-di-GMP. Concentrations of c-di-GMP</w:t>
      </w:r>
      <w:r w:rsidRPr="00366007" w:rsidDel="003D3BF9">
        <w:rPr>
          <w:rFonts w:ascii="Verdana" w:hAnsi="Verdana"/>
          <w:sz w:val="20"/>
          <w:szCs w:val="20"/>
        </w:rPr>
        <w:t xml:space="preserve"> </w:t>
      </w:r>
      <w:r w:rsidRPr="00366007">
        <w:rPr>
          <w:rFonts w:ascii="Verdana" w:hAnsi="Verdana"/>
          <w:sz w:val="20"/>
          <w:szCs w:val="20"/>
        </w:rPr>
        <w:t xml:space="preserve">are often influenced by environmental cues and cell-to-cell signaling in bacteria </w:t>
      </w:r>
      <w:r w:rsidRPr="00366007">
        <w:rPr>
          <w:rFonts w:ascii="Verdana" w:hAnsi="Verdana"/>
          <w:noProof/>
          <w:sz w:val="20"/>
          <w:szCs w:val="20"/>
        </w:rPr>
        <w:t>(11)</w:t>
      </w:r>
      <w:r w:rsidRPr="00366007">
        <w:rPr>
          <w:rFonts w:ascii="Verdana" w:hAnsi="Verdana"/>
          <w:sz w:val="20"/>
          <w:szCs w:val="20"/>
        </w:rPr>
        <w:t xml:space="preserve">. In </w:t>
      </w:r>
      <w:proofErr w:type="spellStart"/>
      <w:r w:rsidRPr="00366007">
        <w:rPr>
          <w:rFonts w:ascii="Verdana" w:hAnsi="Verdana"/>
          <w:i/>
          <w:iCs/>
          <w:sz w:val="20"/>
          <w:szCs w:val="20"/>
        </w:rPr>
        <w:t>Rugeria</w:t>
      </w:r>
      <w:proofErr w:type="spellEnd"/>
      <w:r w:rsidRPr="00366007">
        <w:rPr>
          <w:rFonts w:ascii="Verdana" w:hAnsi="Verdana"/>
          <w:i/>
          <w:iCs/>
          <w:sz w:val="20"/>
          <w:szCs w:val="20"/>
        </w:rPr>
        <w:t xml:space="preserve"> </w:t>
      </w:r>
      <w:proofErr w:type="spellStart"/>
      <w:r w:rsidRPr="00366007">
        <w:rPr>
          <w:rFonts w:ascii="Verdana" w:hAnsi="Verdana"/>
          <w:i/>
          <w:iCs/>
          <w:sz w:val="20"/>
          <w:szCs w:val="20"/>
        </w:rPr>
        <w:t>mobilis</w:t>
      </w:r>
      <w:proofErr w:type="spellEnd"/>
      <w:r w:rsidRPr="00366007">
        <w:rPr>
          <w:rFonts w:ascii="Verdana" w:hAnsi="Verdana"/>
          <w:sz w:val="20"/>
          <w:szCs w:val="20"/>
        </w:rPr>
        <w:t>, c-di-GMP</w:t>
      </w:r>
      <w:r w:rsidRPr="00366007" w:rsidDel="003D3BF9">
        <w:rPr>
          <w:rFonts w:ascii="Verdana" w:hAnsi="Verdana"/>
          <w:sz w:val="20"/>
          <w:szCs w:val="20"/>
        </w:rPr>
        <w:t xml:space="preserve"> </w:t>
      </w:r>
      <w:r w:rsidRPr="00366007">
        <w:rPr>
          <w:rFonts w:ascii="Verdana" w:hAnsi="Verdana"/>
          <w:sz w:val="20"/>
          <w:szCs w:val="20"/>
        </w:rPr>
        <w:t xml:space="preserve">has been demonstrated to regulate biofilm formation and the production of the QS-mediated antimicrobial, </w:t>
      </w:r>
      <w:proofErr w:type="spellStart"/>
      <w:r w:rsidRPr="00366007">
        <w:rPr>
          <w:rFonts w:ascii="Verdana" w:hAnsi="Verdana"/>
          <w:sz w:val="20"/>
          <w:szCs w:val="20"/>
        </w:rPr>
        <w:t>tropodithietic</w:t>
      </w:r>
      <w:proofErr w:type="spellEnd"/>
      <w:r w:rsidRPr="00366007">
        <w:rPr>
          <w:rFonts w:ascii="Verdana" w:hAnsi="Verdana"/>
          <w:sz w:val="20"/>
          <w:szCs w:val="20"/>
        </w:rPr>
        <w:t xml:space="preserve"> acid (TDA) </w:t>
      </w:r>
      <w:r w:rsidRPr="00366007">
        <w:rPr>
          <w:rFonts w:ascii="Verdana" w:hAnsi="Verdana"/>
          <w:noProof/>
          <w:sz w:val="20"/>
          <w:szCs w:val="20"/>
        </w:rPr>
        <w:t>(40)</w:t>
      </w:r>
      <w:r w:rsidRPr="00366007">
        <w:rPr>
          <w:rFonts w:ascii="Verdana" w:hAnsi="Verdana"/>
          <w:sz w:val="20"/>
          <w:szCs w:val="20"/>
        </w:rPr>
        <w:t>. Thus, there is strong indication that the integration of these networks is common amongst, but not absolutely conserved, in Roseobacters.</w:t>
      </w:r>
    </w:p>
    <w:p w14:paraId="2850676F" w14:textId="5ED178A9" w:rsidR="008C08A7" w:rsidRPr="00F8165F" w:rsidRDefault="008C08A7" w:rsidP="00F8165F">
      <w:pPr>
        <w:spacing w:before="240"/>
        <w:ind w:firstLine="720"/>
        <w:jc w:val="both"/>
        <w:rPr>
          <w:rFonts w:ascii="Verdana" w:hAnsi="Verdana"/>
          <w:sz w:val="20"/>
          <w:szCs w:val="20"/>
        </w:rPr>
      </w:pPr>
      <w:r w:rsidRPr="00366007">
        <w:rPr>
          <w:rFonts w:ascii="Verdana" w:hAnsi="Verdana"/>
          <w:sz w:val="20"/>
          <w:szCs w:val="20"/>
        </w:rPr>
        <w:t xml:space="preserve">AHL-based quorum sensing systems are prevalent in cultured Roseobacter representatives. The inventory of chemical signals produced by Roseobacters is anticipated to be large and result in complex signaling pathways in lineage members.  Some of these pathways may be involved in interspecies interactions that influence biogeochemical cycles. For instance, uncharacterized Roseobacters has been shown to be epibionts of </w:t>
      </w:r>
      <w:proofErr w:type="spellStart"/>
      <w:r w:rsidRPr="00366007">
        <w:rPr>
          <w:rFonts w:ascii="Verdana" w:hAnsi="Verdana"/>
          <w:i/>
          <w:sz w:val="20"/>
          <w:szCs w:val="20"/>
        </w:rPr>
        <w:t>Trichodesmium</w:t>
      </w:r>
      <w:proofErr w:type="spellEnd"/>
      <w:r w:rsidRPr="00366007">
        <w:rPr>
          <w:rFonts w:ascii="Verdana" w:hAnsi="Verdana"/>
          <w:sz w:val="20"/>
          <w:szCs w:val="20"/>
        </w:rPr>
        <w:t xml:space="preserve">. AHL-based interactions between </w:t>
      </w:r>
      <w:proofErr w:type="spellStart"/>
      <w:r w:rsidRPr="00366007">
        <w:rPr>
          <w:rFonts w:ascii="Verdana" w:hAnsi="Verdana"/>
          <w:i/>
          <w:sz w:val="20"/>
          <w:szCs w:val="20"/>
        </w:rPr>
        <w:t>Trichodesmium</w:t>
      </w:r>
      <w:proofErr w:type="spellEnd"/>
      <w:r w:rsidRPr="00366007">
        <w:rPr>
          <w:rFonts w:ascii="Verdana" w:hAnsi="Verdana"/>
          <w:sz w:val="20"/>
          <w:szCs w:val="20"/>
        </w:rPr>
        <w:t xml:space="preserve"> and select epibionts has been shown to stimulate phosphorus acquisition in this marine cyanobacterium </w:t>
      </w:r>
      <w:r w:rsidRPr="00366007">
        <w:rPr>
          <w:rFonts w:ascii="Verdana" w:hAnsi="Verdana"/>
          <w:noProof/>
          <w:sz w:val="20"/>
          <w:szCs w:val="20"/>
        </w:rPr>
        <w:t>(41, 42)</w:t>
      </w:r>
      <w:r w:rsidRPr="00366007">
        <w:rPr>
          <w:rFonts w:ascii="Verdana" w:hAnsi="Verdana"/>
          <w:sz w:val="20"/>
          <w:szCs w:val="20"/>
        </w:rPr>
        <w:t xml:space="preserve">. Additionally, it has been suggested but not yet demonstrated that QS plays a role in the switch from mutualistic to antagonistic behavior in </w:t>
      </w:r>
      <w:r w:rsidRPr="00366007">
        <w:rPr>
          <w:rFonts w:ascii="Verdana" w:hAnsi="Verdana"/>
          <w:i/>
          <w:sz w:val="20"/>
          <w:szCs w:val="20"/>
        </w:rPr>
        <w:t xml:space="preserve">P. </w:t>
      </w:r>
      <w:proofErr w:type="spellStart"/>
      <w:r w:rsidRPr="00366007">
        <w:rPr>
          <w:rFonts w:ascii="Verdana" w:hAnsi="Verdana"/>
          <w:i/>
          <w:sz w:val="20"/>
          <w:szCs w:val="20"/>
        </w:rPr>
        <w:t>gallaeciensis</w:t>
      </w:r>
      <w:proofErr w:type="spellEnd"/>
      <w:r w:rsidRPr="00366007">
        <w:rPr>
          <w:rFonts w:ascii="Verdana" w:hAnsi="Verdana"/>
          <w:sz w:val="20"/>
          <w:szCs w:val="20"/>
        </w:rPr>
        <w:t xml:space="preserve"> against the bloom-forming marine phytoplankton species </w:t>
      </w:r>
      <w:proofErr w:type="spellStart"/>
      <w:r w:rsidRPr="00366007">
        <w:rPr>
          <w:rFonts w:ascii="Verdana" w:hAnsi="Verdana"/>
          <w:i/>
          <w:sz w:val="20"/>
          <w:szCs w:val="20"/>
        </w:rPr>
        <w:t>Emiliana</w:t>
      </w:r>
      <w:proofErr w:type="spellEnd"/>
      <w:r w:rsidRPr="00366007">
        <w:rPr>
          <w:rFonts w:ascii="Verdana" w:hAnsi="Verdana"/>
          <w:i/>
          <w:sz w:val="20"/>
          <w:szCs w:val="20"/>
        </w:rPr>
        <w:t xml:space="preserve"> </w:t>
      </w:r>
      <w:proofErr w:type="spellStart"/>
      <w:r w:rsidRPr="00366007">
        <w:rPr>
          <w:rFonts w:ascii="Verdana" w:hAnsi="Verdana"/>
          <w:i/>
          <w:sz w:val="20"/>
          <w:szCs w:val="20"/>
        </w:rPr>
        <w:t>huxleyi</w:t>
      </w:r>
      <w:proofErr w:type="spellEnd"/>
      <w:r w:rsidRPr="00366007">
        <w:rPr>
          <w:rFonts w:ascii="Verdana" w:hAnsi="Verdana"/>
          <w:sz w:val="20"/>
          <w:szCs w:val="20"/>
        </w:rPr>
        <w:t xml:space="preserve"> </w:t>
      </w:r>
      <w:r w:rsidRPr="00366007">
        <w:rPr>
          <w:rFonts w:ascii="Verdana" w:hAnsi="Verdana"/>
          <w:noProof/>
          <w:sz w:val="20"/>
          <w:szCs w:val="20"/>
        </w:rPr>
        <w:t>(43)</w:t>
      </w:r>
      <w:r w:rsidRPr="00366007">
        <w:rPr>
          <w:rFonts w:ascii="Verdana" w:hAnsi="Verdana"/>
          <w:sz w:val="20"/>
          <w:szCs w:val="20"/>
        </w:rPr>
        <w:t xml:space="preserve">. Furthermore, as critical mediators of the decomposition of vascular plant material in coastal oceans, which is an essential process within the global carbon cycle, Roseobacters colonize and mediate transformation of plant-derived aromatic compounds in marine ecosystems. However, the role of QS in colonization, composition of biofilm community members, and interactions has yet to be elucidated for marine ecosystems. Social behaviors regulated by QS between Roseobacters is anticipated to be essential in the varied relationships these bacteria have with marine primary producers and undoubtedly influences the marine food web as well as Earth’s climate. Given the abundance, genetic repertoire, and metabolic capabilities among Roseobacters, the establishment of a genetically characterized model for use in synthetic community studies is of upmost importance for our understanding of the role QS plays in influencing biofilm dynamics. Moreover, while the breadth of QS in Roseobacters has been probed bioinformatically, attempts to pair QS regulatory elements with physiologies associated with bacterial social behaviors has not yet been made.  </w:t>
      </w:r>
    </w:p>
    <w:p w14:paraId="056DE865" w14:textId="1ABF1DD4" w:rsidR="0092091F" w:rsidRPr="00366007" w:rsidRDefault="008C08A7" w:rsidP="00677C01">
      <w:pPr>
        <w:pStyle w:val="Heading2"/>
        <w:jc w:val="left"/>
        <w:rPr>
          <w:rFonts w:ascii="Verdana" w:hAnsi="Verdana"/>
          <w:sz w:val="24"/>
          <w:szCs w:val="24"/>
        </w:rPr>
      </w:pPr>
      <w:bookmarkStart w:id="7" w:name="_Toc83382590"/>
      <w:r w:rsidRPr="00366007">
        <w:rPr>
          <w:rFonts w:ascii="Verdana" w:hAnsi="Verdana"/>
          <w:sz w:val="24"/>
          <w:szCs w:val="24"/>
        </w:rPr>
        <w:t xml:space="preserve">IV. </w:t>
      </w:r>
      <w:r w:rsidR="0092091F" w:rsidRPr="00366007">
        <w:rPr>
          <w:rFonts w:ascii="Verdana" w:hAnsi="Verdana"/>
          <w:sz w:val="24"/>
          <w:szCs w:val="24"/>
        </w:rPr>
        <w:t>Research Objectives</w:t>
      </w:r>
      <w:bookmarkEnd w:id="7"/>
      <w:r w:rsidR="0092091F" w:rsidRPr="00366007">
        <w:rPr>
          <w:rFonts w:ascii="Verdana" w:hAnsi="Verdana"/>
          <w:sz w:val="24"/>
          <w:szCs w:val="24"/>
        </w:rPr>
        <w:t xml:space="preserve"> </w:t>
      </w:r>
    </w:p>
    <w:p w14:paraId="7C2ED8F5" w14:textId="4104FC99" w:rsidR="00D46E9B" w:rsidRPr="00366007" w:rsidRDefault="00D46E9B" w:rsidP="00677C01">
      <w:pPr>
        <w:spacing w:before="240"/>
        <w:ind w:firstLine="720"/>
        <w:jc w:val="both"/>
        <w:rPr>
          <w:rFonts w:ascii="Verdana" w:hAnsi="Verdana"/>
          <w:sz w:val="20"/>
          <w:szCs w:val="20"/>
        </w:rPr>
      </w:pPr>
      <w:bookmarkStart w:id="8" w:name="_Toc83382591"/>
      <w:bookmarkEnd w:id="3"/>
      <w:r w:rsidRPr="00366007">
        <w:rPr>
          <w:rFonts w:ascii="Verdana" w:hAnsi="Verdana"/>
          <w:sz w:val="20"/>
          <w:szCs w:val="20"/>
        </w:rPr>
        <w:t xml:space="preserve">Despite numerous studies detailing various physiological aspects of Roseobacter clade members, QS systems have only been a focus in a limited number of strains. Furthermore, relatively little is understood of the genetic and physiological mechanisms underlying biofilm formation and microbial competition within this clade. Due to its prolific surface colonization, dominance in synthetic microbial communities, and ability readily outcompete strains in pairwise and multi-species communities </w:t>
      </w:r>
      <w:r w:rsidRPr="00366007">
        <w:rPr>
          <w:rFonts w:ascii="Verdana" w:hAnsi="Verdana"/>
          <w:noProof/>
          <w:sz w:val="20"/>
          <w:szCs w:val="20"/>
        </w:rPr>
        <w:t>(44, 45)</w:t>
      </w:r>
      <w:r w:rsidRPr="00366007">
        <w:rPr>
          <w:rFonts w:ascii="Verdana" w:hAnsi="Verdana"/>
          <w:sz w:val="20"/>
          <w:szCs w:val="20"/>
        </w:rPr>
        <w:t xml:space="preserve">, Rhodobacterales sp. Y4I shows promise as an emerging model organism to better understand the roles QS play in Roseobacter physiology. Elucidating the genetic hierarchy regulating competitive physiologies in a member of the Roseobacter clade, such as Y4I, is an important first step to our understanding of how these dominate marine microorganisms regulate social behaviors. </w:t>
      </w:r>
      <w:r w:rsidRPr="00366007">
        <w:rPr>
          <w:rFonts w:ascii="Verdana" w:hAnsi="Verdana"/>
          <w:color w:val="000000"/>
          <w:sz w:val="20"/>
          <w:szCs w:val="20"/>
        </w:rPr>
        <w:t xml:space="preserve">Many studies have explored how social behaviors mediated by quorum sensing influence community cooperation and competition within microbial biofilms and the role of these interactions in the diversity and stability of microbial communities </w:t>
      </w:r>
      <w:r w:rsidRPr="00366007">
        <w:rPr>
          <w:rFonts w:ascii="Verdana" w:hAnsi="Verdana"/>
          <w:noProof/>
          <w:color w:val="000000"/>
          <w:sz w:val="20"/>
          <w:szCs w:val="20"/>
        </w:rPr>
        <w:t>(46)</w:t>
      </w:r>
      <w:r w:rsidRPr="00366007">
        <w:rPr>
          <w:rFonts w:ascii="Verdana" w:hAnsi="Verdana"/>
          <w:color w:val="000000"/>
          <w:sz w:val="20"/>
          <w:szCs w:val="20"/>
        </w:rPr>
        <w:t>. However, these studies have failed to encompass ecologically relevant microbial communities and their interactions, especially those in marine ecosystems. Thus, understanding the role of QS in interspecies interactions within marine associated biofilms has been relatively unexplored.</w:t>
      </w:r>
      <w:r w:rsidRPr="00366007">
        <w:rPr>
          <w:rFonts w:ascii="Verdana" w:hAnsi="Verdana"/>
          <w:sz w:val="20"/>
          <w:szCs w:val="20"/>
        </w:rPr>
        <w:t xml:space="preserve"> Understanding the regulatory elements influencing biofilm community dynamics aids our ability to utilize Roseobacters as model organisms for marine ecology. Bacterial social behaviors, such as community cooperation and competition, within microbial biofilms are often mediated by QS (CITE). QS utilizes a special </w:t>
      </w:r>
      <w:r w:rsidRPr="00366007">
        <w:rPr>
          <w:rFonts w:ascii="Verdana" w:hAnsi="Verdana"/>
          <w:sz w:val="20"/>
          <w:szCs w:val="20"/>
        </w:rPr>
        <w:lastRenderedPageBreak/>
        <w:t xml:space="preserve">class of transcriptional regulators with signal molecule and DNA binding domains (CITE). Despite this prevalence for QS in clade members, few studies have demonstrated direct transcriptional regulation of population level behaviors within members of this clade. Recent genomic evidence suggests up to 87% of sequenced Roseobacter genomes contain at least one QS systems </w:t>
      </w:r>
      <w:r w:rsidRPr="00366007">
        <w:rPr>
          <w:rFonts w:ascii="Verdana" w:hAnsi="Verdana"/>
          <w:noProof/>
          <w:sz w:val="20"/>
          <w:szCs w:val="20"/>
        </w:rPr>
        <w:t>(33)</w:t>
      </w:r>
      <w:r w:rsidRPr="00366007">
        <w:rPr>
          <w:rFonts w:ascii="Verdana" w:hAnsi="Verdana"/>
          <w:sz w:val="20"/>
          <w:szCs w:val="20"/>
        </w:rPr>
        <w:t xml:space="preserve">. Of those, 56% contain multiple at least one copy of each gene and are considered capable of QS-mediated behaviors </w:t>
      </w:r>
      <w:r w:rsidRPr="00366007">
        <w:rPr>
          <w:rFonts w:ascii="Verdana" w:hAnsi="Verdana"/>
          <w:noProof/>
          <w:sz w:val="20"/>
          <w:szCs w:val="20"/>
        </w:rPr>
        <w:t>(47)</w:t>
      </w:r>
      <w:r w:rsidRPr="00366007">
        <w:rPr>
          <w:rFonts w:ascii="Verdana" w:hAnsi="Verdana"/>
          <w:sz w:val="20"/>
          <w:szCs w:val="20"/>
        </w:rPr>
        <w:t>. Yet the bioinformatic tools available to identify DNA regulatory elements, such as the lux box, within the Roseobacter clade are lacking. The establishment of clade-specific regulatory element (termed ‘</w:t>
      </w:r>
      <w:proofErr w:type="spellStart"/>
      <w:r w:rsidRPr="00366007">
        <w:rPr>
          <w:rFonts w:ascii="Verdana" w:hAnsi="Verdana"/>
          <w:sz w:val="20"/>
          <w:szCs w:val="20"/>
        </w:rPr>
        <w:t>roseo</w:t>
      </w:r>
      <w:proofErr w:type="spellEnd"/>
      <w:r w:rsidRPr="00366007">
        <w:rPr>
          <w:rFonts w:ascii="Verdana" w:hAnsi="Verdana"/>
          <w:sz w:val="20"/>
          <w:szCs w:val="20"/>
        </w:rPr>
        <w:t xml:space="preserve"> box’) will allow us to query genomic data for social behaviors regulated by QS allowing us to design hypothesis-driven experiments with representatives of the environmentally relevant Roseobacter clade.</w:t>
      </w:r>
    </w:p>
    <w:p w14:paraId="2C462937" w14:textId="77777777" w:rsidR="00D46E9B" w:rsidRPr="00366007" w:rsidRDefault="00D46E9B" w:rsidP="00677C01">
      <w:pPr>
        <w:spacing w:before="240"/>
        <w:ind w:firstLine="720"/>
        <w:jc w:val="both"/>
        <w:rPr>
          <w:rFonts w:ascii="Verdana" w:hAnsi="Verdana"/>
          <w:sz w:val="20"/>
          <w:szCs w:val="20"/>
        </w:rPr>
      </w:pPr>
      <w:r w:rsidRPr="00366007">
        <w:rPr>
          <w:rFonts w:ascii="Verdana" w:hAnsi="Verdana"/>
          <w:sz w:val="20"/>
          <w:szCs w:val="20"/>
        </w:rPr>
        <w:t xml:space="preserve">The work presented in this dissertation broadly seeks to resolve the gaps in knowledge regarding the regulation, interactions, and prevalence of bacterial social behaviors in Roseobacters, using strain </w:t>
      </w:r>
      <w:r w:rsidRPr="00366007">
        <w:rPr>
          <w:rFonts w:ascii="Verdana" w:hAnsi="Verdana"/>
          <w:i/>
          <w:iCs/>
          <w:sz w:val="20"/>
          <w:szCs w:val="20"/>
        </w:rPr>
        <w:t>Rhodobacterales</w:t>
      </w:r>
      <w:r w:rsidRPr="00366007">
        <w:rPr>
          <w:rFonts w:ascii="Verdana" w:hAnsi="Verdana"/>
          <w:sz w:val="20"/>
          <w:szCs w:val="20"/>
        </w:rPr>
        <w:t xml:space="preserve"> </w:t>
      </w:r>
      <w:proofErr w:type="spellStart"/>
      <w:r w:rsidRPr="00366007">
        <w:rPr>
          <w:rFonts w:ascii="Verdana" w:hAnsi="Verdana"/>
          <w:sz w:val="20"/>
          <w:szCs w:val="20"/>
        </w:rPr>
        <w:t>sp</w:t>
      </w:r>
      <w:proofErr w:type="spellEnd"/>
      <w:r w:rsidRPr="00366007">
        <w:rPr>
          <w:rFonts w:ascii="Verdana" w:hAnsi="Verdana"/>
          <w:sz w:val="20"/>
          <w:szCs w:val="20"/>
        </w:rPr>
        <w:t xml:space="preserve"> strain Y4I as a representative for competitive social </w:t>
      </w:r>
      <w:proofErr w:type="spellStart"/>
      <w:r w:rsidRPr="00366007">
        <w:rPr>
          <w:rFonts w:ascii="Verdana" w:hAnsi="Verdana"/>
          <w:sz w:val="20"/>
          <w:szCs w:val="20"/>
        </w:rPr>
        <w:t>behaviours</w:t>
      </w:r>
      <w:proofErr w:type="spellEnd"/>
      <w:r w:rsidRPr="00366007">
        <w:rPr>
          <w:rFonts w:ascii="Verdana" w:hAnsi="Verdana"/>
          <w:sz w:val="20"/>
          <w:szCs w:val="20"/>
        </w:rPr>
        <w:t xml:space="preserve">. Prior work has demonstrated that QS plays a regulatory role in antimicrobial biosynthesis, but many open questions regarding the multi-layered control system remain. Chapter 2 of this dissertation further characterizes the QS regulatory network governing these competitive social behaviors in Y4I, such as antimicrobial production and prolific surface colonization. In Chapter 3, the contribution of QS and indigoidine production to interactions, such as cooperation and competition, within a five-member mixed species Roseobacter biofilm community is explored. Finally, Chapter 4, uses a bioinformatic approach to examine the prevalence of bacterial social behaviors within the Roseobacter clade by identifying DNA binding regions for </w:t>
      </w:r>
      <w:proofErr w:type="spellStart"/>
      <w:r w:rsidRPr="00366007">
        <w:rPr>
          <w:rFonts w:ascii="Verdana" w:hAnsi="Verdana"/>
          <w:sz w:val="20"/>
          <w:szCs w:val="20"/>
        </w:rPr>
        <w:t>LuxR</w:t>
      </w:r>
      <w:proofErr w:type="spellEnd"/>
      <w:r w:rsidRPr="00366007">
        <w:rPr>
          <w:rFonts w:ascii="Verdana" w:hAnsi="Verdana"/>
          <w:sz w:val="20"/>
          <w:szCs w:val="20"/>
        </w:rPr>
        <w:t xml:space="preserve"> family proteins. Collectively, the work presented in this dissertation provides the necessary framework for understanding bacterial social behaviors and their regulation using a Roseobacter model. </w:t>
      </w:r>
    </w:p>
    <w:p w14:paraId="1BD45F66" w14:textId="1AA7E059" w:rsidR="008C08A7" w:rsidRDefault="00D46E9B" w:rsidP="00677C01">
      <w:pPr>
        <w:spacing w:before="240"/>
        <w:rPr>
          <w:rFonts w:ascii="Verdana" w:hAnsi="Verdana" w:cs="Times New Roman"/>
          <w:b/>
          <w:bCs/>
          <w:iCs/>
          <w:sz w:val="18"/>
          <w:szCs w:val="18"/>
        </w:rPr>
      </w:pPr>
      <w:r w:rsidRPr="00243109">
        <w:rPr>
          <w:rFonts w:ascii="Verdana" w:hAnsi="Verdana"/>
          <w:sz w:val="20"/>
          <w:szCs w:val="20"/>
        </w:rPr>
        <w:br w:type="page"/>
      </w:r>
    </w:p>
    <w:p w14:paraId="4B3479FD" w14:textId="2448F043" w:rsidR="00236E6D" w:rsidRPr="00366007" w:rsidRDefault="00D46E9B" w:rsidP="00677C01">
      <w:pPr>
        <w:pStyle w:val="Heading2"/>
        <w:jc w:val="left"/>
        <w:rPr>
          <w:sz w:val="24"/>
          <w:szCs w:val="24"/>
        </w:rPr>
      </w:pPr>
      <w:r w:rsidRPr="00366007">
        <w:rPr>
          <w:sz w:val="24"/>
          <w:szCs w:val="24"/>
        </w:rPr>
        <w:lastRenderedPageBreak/>
        <w:t xml:space="preserve">V. </w:t>
      </w:r>
      <w:r w:rsidR="009E631B" w:rsidRPr="00366007">
        <w:rPr>
          <w:sz w:val="24"/>
          <w:szCs w:val="24"/>
        </w:rPr>
        <w:t>References</w:t>
      </w:r>
      <w:bookmarkEnd w:id="8"/>
    </w:p>
    <w:p w14:paraId="2DF7000A"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1. </w:t>
      </w:r>
      <w:r w:rsidRPr="00135466">
        <w:rPr>
          <w:rFonts w:ascii="Verdana" w:hAnsi="Verdana"/>
          <w:noProof/>
          <w:sz w:val="20"/>
        </w:rPr>
        <w:tab/>
        <w:t>Fuqua C, Parsek MR, Greenberg EP. 2001. Regulation of Gene Expression by Cell-to-Cell Communication: Acyl-Homoserine Lactone Quorum Sensing. Annu Rev Genet 35:439–468.</w:t>
      </w:r>
    </w:p>
    <w:p w14:paraId="77C94922"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2. </w:t>
      </w:r>
      <w:r w:rsidRPr="00135466">
        <w:rPr>
          <w:rFonts w:ascii="Verdana" w:hAnsi="Verdana"/>
          <w:noProof/>
          <w:sz w:val="20"/>
        </w:rPr>
        <w:tab/>
        <w:t>Case RJ, Labbate M, Kjelleberg S. 2008. AHL-driven quorum-sensing circuits: their frequency and function among the Proteobacteria. ISME J 2008 24.</w:t>
      </w:r>
    </w:p>
    <w:p w14:paraId="0007A4D3"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3. </w:t>
      </w:r>
      <w:r w:rsidRPr="00135466">
        <w:rPr>
          <w:rFonts w:ascii="Verdana" w:hAnsi="Verdana"/>
          <w:noProof/>
          <w:sz w:val="20"/>
        </w:rPr>
        <w:tab/>
        <w:t>Schaefer AL, Hanzelka BL, Eberhard A, Greenberg EP. 1996. Quorum sensing in Vibrio fischeri: Probing autoinducer-LuxR interactions with autoinducer analogs. J Bacteriol 178:2897–2901.</w:t>
      </w:r>
    </w:p>
    <w:p w14:paraId="404AF5B7"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4. </w:t>
      </w:r>
      <w:r w:rsidRPr="00135466">
        <w:rPr>
          <w:rFonts w:ascii="Verdana" w:hAnsi="Verdana"/>
          <w:noProof/>
          <w:sz w:val="20"/>
        </w:rPr>
        <w:tab/>
        <w:t>Shiner EK, Rumbaugh KP, Williams SC. 2005. Interkingdom signaling: Deciphering the language of acyl homoserine lactones. FEMS Microbiol Rev. Oxford Academic.</w:t>
      </w:r>
    </w:p>
    <w:p w14:paraId="16C136C4"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5. </w:t>
      </w:r>
      <w:r w:rsidRPr="00135466">
        <w:rPr>
          <w:rFonts w:ascii="Verdana" w:hAnsi="Verdana"/>
          <w:noProof/>
          <w:sz w:val="20"/>
        </w:rPr>
        <w:tab/>
        <w:t>Fuqua C, Winans SC, Greenberg EP. 1996. Census and Concensus in Bacterial Ecosystems: The LuxR-LuxI Family of Quorum-Sensing Transcriptional Regulators. Annu Rev Microbiol 50:727–751.</w:t>
      </w:r>
    </w:p>
    <w:p w14:paraId="0D5EB0AF"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6. </w:t>
      </w:r>
      <w:r w:rsidRPr="00135466">
        <w:rPr>
          <w:rFonts w:ascii="Verdana" w:hAnsi="Verdana"/>
          <w:noProof/>
          <w:sz w:val="20"/>
        </w:rPr>
        <w:tab/>
        <w:t>Fuqua WC, Winans SC, Greenberg EP. 1994. Quorum sensing in bacteria: The LuxR-LuxI family of cell density- responsive transcriptional regulators. J Bacteriol 176:269–275.</w:t>
      </w:r>
    </w:p>
    <w:p w14:paraId="04ACD4E3"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7. </w:t>
      </w:r>
      <w:r w:rsidRPr="00135466">
        <w:rPr>
          <w:rFonts w:ascii="Verdana" w:hAnsi="Verdana"/>
          <w:noProof/>
          <w:sz w:val="20"/>
        </w:rPr>
        <w:tab/>
        <w:t>Belas R. 2014. Biofilms, flagella, and mechanosensing of surfaces by bacteria. Trends Microbiol 22:517–27.</w:t>
      </w:r>
    </w:p>
    <w:p w14:paraId="756FBB7D"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8. </w:t>
      </w:r>
      <w:r w:rsidRPr="00135466">
        <w:rPr>
          <w:rFonts w:ascii="Verdana" w:hAnsi="Verdana"/>
          <w:noProof/>
          <w:sz w:val="20"/>
        </w:rPr>
        <w:tab/>
        <w:t>Laub MT, Chen SL, Shapiro L, McAdams HH. 2002. Genes directly controlled by CtrA, a master regulator of the Caulobacter cell cycle. Proc Natl Acad Sci 99:4632–4637.</w:t>
      </w:r>
    </w:p>
    <w:p w14:paraId="5A789EFF"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9. </w:t>
      </w:r>
      <w:r w:rsidRPr="00135466">
        <w:rPr>
          <w:rFonts w:ascii="Verdana" w:hAnsi="Verdana"/>
          <w:noProof/>
          <w:sz w:val="20"/>
        </w:rPr>
        <w:tab/>
        <w:t>Aldridge P, Paul R, Goymer P, Rainey P, Jenal U. 2003. Role of the GGDEF regulator PleD in polar development of Caulobacter crescentus. Mol Microbiol 47:1695–1708.</w:t>
      </w:r>
    </w:p>
    <w:p w14:paraId="60788EC0"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10. </w:t>
      </w:r>
      <w:r w:rsidRPr="00135466">
        <w:rPr>
          <w:rFonts w:ascii="Verdana" w:hAnsi="Verdana"/>
          <w:noProof/>
          <w:sz w:val="20"/>
        </w:rPr>
        <w:tab/>
        <w:t xml:space="preserve">Angelastro PS, Sliusarenko O, Jacobs-Wagner C. 2010. Polar localization of the CckA histidine kinase and cell cycle periodicity of the essential master regulator CtrA in </w:t>
      </w:r>
      <w:r w:rsidRPr="00135466">
        <w:rPr>
          <w:rFonts w:ascii="Verdana" w:hAnsi="Verdana"/>
          <w:i/>
          <w:iCs/>
          <w:noProof/>
          <w:sz w:val="20"/>
        </w:rPr>
        <w:t xml:space="preserve"> Caulobacter crescentus </w:t>
      </w:r>
      <w:r w:rsidRPr="00135466">
        <w:rPr>
          <w:rFonts w:ascii="Verdana" w:hAnsi="Verdana"/>
          <w:noProof/>
          <w:sz w:val="20"/>
        </w:rPr>
        <w:t>. J Bacteriol 192:539–552.</w:t>
      </w:r>
    </w:p>
    <w:p w14:paraId="0C094E18"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11. </w:t>
      </w:r>
      <w:r w:rsidRPr="00135466">
        <w:rPr>
          <w:rFonts w:ascii="Verdana" w:hAnsi="Verdana"/>
          <w:noProof/>
          <w:sz w:val="20"/>
        </w:rPr>
        <w:tab/>
        <w:t>Römling U, Galperin MY, Gomelsky M. 2013. Cyclic di-GMP: the First 25 Years of a Universal Bacterial Second Messenger. Microbiol Mol Biol Rev 77:1–52.</w:t>
      </w:r>
    </w:p>
    <w:p w14:paraId="5C05A93D"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12. </w:t>
      </w:r>
      <w:r w:rsidRPr="00135466">
        <w:rPr>
          <w:rFonts w:ascii="Verdana" w:hAnsi="Verdana"/>
          <w:noProof/>
          <w:sz w:val="20"/>
        </w:rPr>
        <w:tab/>
        <w:t>Newell PD, Boyd CD, Sondermann H, O’Toole GA. 2011. A c-di-GMP Effector System Controls Cell Adhesion by Inside-Out Signaling and Surface Protein Cleavage. PLOS Biol 9:e1000587.</w:t>
      </w:r>
    </w:p>
    <w:p w14:paraId="603A5DAD"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13. </w:t>
      </w:r>
      <w:r w:rsidRPr="00135466">
        <w:rPr>
          <w:rFonts w:ascii="Verdana" w:hAnsi="Verdana"/>
          <w:noProof/>
          <w:sz w:val="20"/>
        </w:rPr>
        <w:tab/>
        <w:t>Roy AB, Sauer K. 2014. Diguanylate cyclase NicD-based signalling mechanism of nutrient-induced dispersion by P seudomonas aeruginosa. Mol Microbiol 94:771–793.</w:t>
      </w:r>
    </w:p>
    <w:p w14:paraId="3A28B1DB"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14. </w:t>
      </w:r>
      <w:r w:rsidRPr="00135466">
        <w:rPr>
          <w:rFonts w:ascii="Verdana" w:hAnsi="Verdana"/>
          <w:noProof/>
          <w:sz w:val="20"/>
        </w:rPr>
        <w:tab/>
        <w:t xml:space="preserve">Su Y, Tang K, Liu J, Wang Y, Zheng Y, Zhang X-H. 2019. Quorum Sensing System of </w:t>
      </w:r>
      <w:r w:rsidRPr="00135466">
        <w:rPr>
          <w:rFonts w:ascii="Verdana" w:hAnsi="Verdana"/>
          <w:i/>
          <w:iCs/>
          <w:noProof/>
          <w:sz w:val="20"/>
        </w:rPr>
        <w:t>Ruegeria mobilis</w:t>
      </w:r>
      <w:r w:rsidRPr="00135466">
        <w:rPr>
          <w:rFonts w:ascii="Verdana" w:hAnsi="Verdana"/>
          <w:noProof/>
          <w:sz w:val="20"/>
        </w:rPr>
        <w:t xml:space="preserve"> Rm01 Controls Lipase and Biofilm Formation. Front Microbiol 9:3304.</w:t>
      </w:r>
    </w:p>
    <w:p w14:paraId="463BE9A3"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15. </w:t>
      </w:r>
      <w:r w:rsidRPr="00135466">
        <w:rPr>
          <w:rFonts w:ascii="Verdana" w:hAnsi="Verdana"/>
          <w:noProof/>
          <w:sz w:val="20"/>
        </w:rPr>
        <w:tab/>
        <w:t xml:space="preserve">Koppenhöfer S, Wang H, Scharfe M, Kaever V, Wagner-Döbler I, Tomasch J. 2019. Integrated Transcriptional Regulatory Network of Quorum Sensing, Replication Control, and SOS Response in </w:t>
      </w:r>
      <w:r w:rsidRPr="00135466">
        <w:rPr>
          <w:rFonts w:ascii="Verdana" w:hAnsi="Verdana"/>
          <w:i/>
          <w:iCs/>
          <w:noProof/>
          <w:sz w:val="20"/>
        </w:rPr>
        <w:t xml:space="preserve"> Dinoroseobacter shibae </w:t>
      </w:r>
      <w:r w:rsidRPr="00135466">
        <w:rPr>
          <w:rFonts w:ascii="Verdana" w:hAnsi="Verdana"/>
          <w:noProof/>
          <w:sz w:val="20"/>
        </w:rPr>
        <w:t>. Front Microbiol 10:803.</w:t>
      </w:r>
    </w:p>
    <w:p w14:paraId="037EEC35"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16. </w:t>
      </w:r>
      <w:r w:rsidRPr="00135466">
        <w:rPr>
          <w:rFonts w:ascii="Verdana" w:hAnsi="Verdana"/>
          <w:noProof/>
          <w:sz w:val="20"/>
        </w:rPr>
        <w:tab/>
        <w:t>Buchan A, LeCleir GR, Gulvik CA, González JM. 2014. Master recyclers: features and functions of bacteria associated with phytoplankton blooms. Nat Rev Microbiol 12:686–698.</w:t>
      </w:r>
    </w:p>
    <w:p w14:paraId="37386680"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17. </w:t>
      </w:r>
      <w:r w:rsidRPr="00135466">
        <w:rPr>
          <w:rFonts w:ascii="Verdana" w:hAnsi="Verdana"/>
          <w:noProof/>
          <w:sz w:val="20"/>
        </w:rPr>
        <w:tab/>
        <w:t>Newton RJ, Griffin LE, Bowles KM, Meile C, Gifford S, Givens CE, Howard EC, King E, Oakley CA, Reisch CR, Rinta-Kanto JM, Sharma S, Sun S, Varaljay V, Vila-Costa M, Westrich JR, Moran MA. 2010. Genome characteristics of a generalist marine bacterial lineage. ISME J 4:784–798.</w:t>
      </w:r>
    </w:p>
    <w:p w14:paraId="09C10DA7"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18. </w:t>
      </w:r>
      <w:r w:rsidRPr="00135466">
        <w:rPr>
          <w:rFonts w:ascii="Verdana" w:hAnsi="Verdana"/>
          <w:noProof/>
          <w:sz w:val="20"/>
        </w:rPr>
        <w:tab/>
        <w:t>Shiba T. 1991. Roseobacter litoralis gen. nov., sp. nov., and Roseobacter denitrificans sp. nov., Aerobic Pink-Pigmented Bacteria which Contain Bacteriochlorophyll a. Syst Appl Microbiol 14:140–145.</w:t>
      </w:r>
    </w:p>
    <w:p w14:paraId="4E356847"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19. </w:t>
      </w:r>
      <w:r w:rsidRPr="00135466">
        <w:rPr>
          <w:rFonts w:ascii="Verdana" w:hAnsi="Verdana"/>
          <w:noProof/>
          <w:sz w:val="20"/>
        </w:rPr>
        <w:tab/>
        <w:t>González JM, Moran MA. 1997. Numerical dominance of a group of marine bacteria in the α-subclass of the class Proteobacteria in coastal seawater. Appl Environ Microbiol 63:4237–4242.</w:t>
      </w:r>
    </w:p>
    <w:p w14:paraId="71EE56DD"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lastRenderedPageBreak/>
        <w:t xml:space="preserve">20. </w:t>
      </w:r>
      <w:r w:rsidRPr="00135466">
        <w:rPr>
          <w:rFonts w:ascii="Verdana" w:hAnsi="Verdana"/>
          <w:noProof/>
          <w:sz w:val="20"/>
        </w:rPr>
        <w:tab/>
        <w:t xml:space="preserve">Buchan A, González JM, Moran MA. 2005. Overview of the marine </w:t>
      </w:r>
      <w:r w:rsidRPr="00135466">
        <w:rPr>
          <w:rFonts w:ascii="Verdana" w:hAnsi="Verdana"/>
          <w:i/>
          <w:iCs/>
          <w:noProof/>
          <w:sz w:val="20"/>
        </w:rPr>
        <w:t>Roseobacter</w:t>
      </w:r>
      <w:r w:rsidRPr="00135466">
        <w:rPr>
          <w:rFonts w:ascii="Verdana" w:hAnsi="Verdana"/>
          <w:noProof/>
          <w:sz w:val="20"/>
        </w:rPr>
        <w:t xml:space="preserve"> lineage. Appl Environ Microbiol 71:5665–5677.</w:t>
      </w:r>
    </w:p>
    <w:p w14:paraId="5F874BC7"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21. </w:t>
      </w:r>
      <w:r w:rsidRPr="00135466">
        <w:rPr>
          <w:rFonts w:ascii="Verdana" w:hAnsi="Verdana"/>
          <w:noProof/>
          <w:sz w:val="20"/>
        </w:rPr>
        <w:tab/>
        <w:t xml:space="preserve">Giovannoni SJ, Rappé MS. 2000. Evolution, diversity, and molecular ecology of marine prokaryoteso Title, p. 47–84. </w:t>
      </w:r>
      <w:r w:rsidRPr="00135466">
        <w:rPr>
          <w:rFonts w:ascii="Verdana" w:hAnsi="Verdana"/>
          <w:i/>
          <w:iCs/>
          <w:noProof/>
          <w:sz w:val="20"/>
        </w:rPr>
        <w:t>In</w:t>
      </w:r>
      <w:r w:rsidRPr="00135466">
        <w:rPr>
          <w:rFonts w:ascii="Verdana" w:hAnsi="Verdana"/>
          <w:noProof/>
          <w:sz w:val="20"/>
        </w:rPr>
        <w:t xml:space="preserve"> Kirchman, DL (ed.), Microbial Ecology of the Oceans. John Wiley &amp; Sons, Inc., New York.</w:t>
      </w:r>
    </w:p>
    <w:p w14:paraId="6472F5EB"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22. </w:t>
      </w:r>
      <w:r w:rsidRPr="00135466">
        <w:rPr>
          <w:rFonts w:ascii="Verdana" w:hAnsi="Verdana"/>
          <w:noProof/>
          <w:sz w:val="20"/>
        </w:rPr>
        <w:tab/>
        <w:t>Moran MA, Belas R, Schell MA, González JM, Sun F, Sun S, Binder BJ, Edmonds J, Ye W, Orcutt B, Howard EC, Meile C, Palefsky W, Goesmann A, Ren Q, Paulsen I, Ulrich LE, Thompson LS, Saunders E, Buchan A. 2007. Ecological genomics of marine roseobacters. Appl Environ Microbiol 73:4559–4569.</w:t>
      </w:r>
    </w:p>
    <w:p w14:paraId="29513667"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23. </w:t>
      </w:r>
      <w:r w:rsidRPr="00135466">
        <w:rPr>
          <w:rFonts w:ascii="Verdana" w:hAnsi="Verdana"/>
          <w:noProof/>
          <w:sz w:val="20"/>
        </w:rPr>
        <w:tab/>
        <w:t xml:space="preserve">Gonzalez JM, Mayer F, Moran MA, Hodson RE, Whitman WB. 1997. </w:t>
      </w:r>
      <w:r w:rsidRPr="00135466">
        <w:rPr>
          <w:rFonts w:ascii="Verdana" w:hAnsi="Verdana"/>
          <w:i/>
          <w:iCs/>
          <w:noProof/>
          <w:sz w:val="20"/>
        </w:rPr>
        <w:t xml:space="preserve"> Sagittula stellata </w:t>
      </w:r>
      <w:r w:rsidRPr="00135466">
        <w:rPr>
          <w:rFonts w:ascii="Verdana" w:hAnsi="Verdana"/>
          <w:noProof/>
          <w:sz w:val="20"/>
        </w:rPr>
        <w:t xml:space="preserve"> gen. nov., sp. nov., a Lignin-Transforming Bacterium from a Coastal Environment. Int J Syst Bacteriol 47:773–780.</w:t>
      </w:r>
    </w:p>
    <w:p w14:paraId="2BA0D4D4"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24. </w:t>
      </w:r>
      <w:r w:rsidRPr="00135466">
        <w:rPr>
          <w:rFonts w:ascii="Verdana" w:hAnsi="Verdana"/>
          <w:noProof/>
          <w:sz w:val="20"/>
        </w:rPr>
        <w:tab/>
        <w:t>Cude WN, Buchan A. 2013. Acyl-homoserine lactone-based quorum sensing in the Roseobacter clade: Complex cell-to-cell communication controls multiple physiologies. Front Microbiol 4:336.</w:t>
      </w:r>
    </w:p>
    <w:p w14:paraId="54118076"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25. </w:t>
      </w:r>
      <w:r w:rsidRPr="00135466">
        <w:rPr>
          <w:rFonts w:ascii="Verdana" w:hAnsi="Verdana"/>
          <w:noProof/>
          <w:sz w:val="20"/>
        </w:rPr>
        <w:tab/>
        <w:t>Gram L, Grossart H-P, Schlingloff A, Kiørboe T. 2002. Possible quorum sensing in marine snow bacteria: production of acylated homoserine lactones by Roseobacter strains isolated from marine snow. Appl Environ Microbiol 68:4111–6.</w:t>
      </w:r>
    </w:p>
    <w:p w14:paraId="3E7A1897"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26. </w:t>
      </w:r>
      <w:r w:rsidRPr="00135466">
        <w:rPr>
          <w:rFonts w:ascii="Verdana" w:hAnsi="Verdana"/>
          <w:noProof/>
          <w:sz w:val="20"/>
        </w:rPr>
        <w:tab/>
        <w:t>Dang H, Lovell CR. 2002. Seasonal dynamics of particle-associated and free-living marine Proteobacteria in a salt marsh tidal creek as determined using fluorescence in situ hybridization. Environ Microbiol 4:287–295.</w:t>
      </w:r>
    </w:p>
    <w:p w14:paraId="6D0E3E02"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27. </w:t>
      </w:r>
      <w:r w:rsidRPr="00135466">
        <w:rPr>
          <w:rFonts w:ascii="Verdana" w:hAnsi="Verdana"/>
          <w:noProof/>
          <w:sz w:val="20"/>
        </w:rPr>
        <w:tab/>
        <w:t xml:space="preserve">Berger M, Neumann A, Schulz S, Simon M, Brinkhoff T. 2011. Tropodithietic Acid Production in </w:t>
      </w:r>
      <w:r w:rsidRPr="00135466">
        <w:rPr>
          <w:rFonts w:ascii="Verdana" w:hAnsi="Verdana"/>
          <w:i/>
          <w:iCs/>
          <w:noProof/>
          <w:sz w:val="20"/>
        </w:rPr>
        <w:t>Phaeobacter gallaeciensis</w:t>
      </w:r>
      <w:r w:rsidRPr="00135466">
        <w:rPr>
          <w:rFonts w:ascii="Verdana" w:hAnsi="Verdana"/>
          <w:noProof/>
          <w:sz w:val="20"/>
        </w:rPr>
        <w:t xml:space="preserve"> Is Regulated by N-Acyl Homoserine Lactone-Mediated Quorum Sensing. J Bacteriol 193:6576–6585.</w:t>
      </w:r>
    </w:p>
    <w:p w14:paraId="566DB4CF"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28. </w:t>
      </w:r>
      <w:r w:rsidRPr="00135466">
        <w:rPr>
          <w:rFonts w:ascii="Verdana" w:hAnsi="Verdana"/>
          <w:noProof/>
          <w:sz w:val="20"/>
        </w:rPr>
        <w:tab/>
        <w:t>Zan J, Cicirelli EM, Mohamed NM, Sibhatu H, Kroll S, Choi OO, Uhlson CL, Wysoczynski CL, Murphy RC, Churchill MEA, Hill RT, Fuqua C, Choi OO, Uhlson CL, Wysoczynski CL, Wysoczinski CL, Murphy RC, Churchill MEA, Hill RT, Fuqua C, Choi OO, Uhlson CL, Wysoczynski CL, Wysoczinski CL, Murphy RC, Churchill MEA, Hill RT, Fuqua C. 2012. A complex LuxR-LuxI type quorum sensing network in a roseobacterial marine sponge symbiont activates flagellar motility and inhibits biofilm formation. Mol Microbiol 85:916–933.</w:t>
      </w:r>
    </w:p>
    <w:p w14:paraId="49BE3A32"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29. </w:t>
      </w:r>
      <w:r w:rsidRPr="00135466">
        <w:rPr>
          <w:rFonts w:ascii="Verdana" w:hAnsi="Verdana"/>
          <w:noProof/>
          <w:sz w:val="20"/>
        </w:rPr>
        <w:tab/>
        <w:t>Wang H, Ziesche L, Frank O, Michael V, Martin M, Petersen J, Schulz S, Wagner-Döbler I, Tomasch J. 2014. The CtrA phosphorelay integrates differentiation and communication in the marine alphaproteobacterium Dinoroseobacter shibae. BMC Genomics 15:130.</w:t>
      </w:r>
    </w:p>
    <w:p w14:paraId="21CB7791"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30. </w:t>
      </w:r>
      <w:r w:rsidRPr="00135466">
        <w:rPr>
          <w:rFonts w:ascii="Verdana" w:hAnsi="Verdana"/>
          <w:noProof/>
          <w:sz w:val="20"/>
        </w:rPr>
        <w:tab/>
        <w:t>Dang H, Lovell CR. 2016. Microbial Surface Colonization and Biofilm Development in Marine Environments. Microbiol Mol Biol Rev 80:91–138.</w:t>
      </w:r>
    </w:p>
    <w:p w14:paraId="15B6C2A1"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31. </w:t>
      </w:r>
      <w:r w:rsidRPr="00135466">
        <w:rPr>
          <w:rFonts w:ascii="Verdana" w:hAnsi="Verdana"/>
          <w:noProof/>
          <w:sz w:val="20"/>
        </w:rPr>
        <w:tab/>
        <w:t>Buchan A, Mitchell A, Nathan Cude NW, Campagna S. 2016. Acyl-Homoserine Lactone-Based Quorum Sensing in Members of the Marine Bacterial Roseobacter Clade: Complex Cell-to-Cell Communication Controls Multiple Physiologies. Stress Environ Regul Gene Expr Adapt Bact 1:225–233.</w:t>
      </w:r>
    </w:p>
    <w:p w14:paraId="1F5562DF"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32. </w:t>
      </w:r>
      <w:r w:rsidRPr="00135466">
        <w:rPr>
          <w:rFonts w:ascii="Verdana" w:hAnsi="Verdana"/>
          <w:noProof/>
          <w:sz w:val="20"/>
        </w:rPr>
        <w:tab/>
        <w:t>Schaefer AL, Taylor TA, Beatty JT, Greenberg EP. 2002. Long-chain acyl-homoserine lactone quorum-sensing regulation of Rhodobacter capsulatus gene transfer agent production. J Bacteriol 184:6515–6521.</w:t>
      </w:r>
    </w:p>
    <w:p w14:paraId="29BECA52"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33. </w:t>
      </w:r>
      <w:r w:rsidRPr="00135466">
        <w:rPr>
          <w:rFonts w:ascii="Verdana" w:hAnsi="Verdana"/>
          <w:noProof/>
          <w:sz w:val="20"/>
        </w:rPr>
        <w:tab/>
        <w:t>Zan J, Liu Y, Fuqua C, Hill R. 2014. Acyl-Homoserine Lactone Quorum Sensing in the Roseobacter Clade. Int J Mol Sci 15:654–669.</w:t>
      </w:r>
    </w:p>
    <w:p w14:paraId="1764864E"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34. </w:t>
      </w:r>
      <w:r w:rsidRPr="00135466">
        <w:rPr>
          <w:rFonts w:ascii="Verdana" w:hAnsi="Verdana"/>
          <w:noProof/>
          <w:sz w:val="20"/>
        </w:rPr>
        <w:tab/>
        <w:t>Taylor MW, Schupp PJ, Baillie HJ, Charlton TS, De Nys R, Kjelleberg S, Steinberg PD. 2004. Evidence for acyl homoserine lactone signal production in bacteria associated with marine sponges. Appl Environ Microbiol 70:4387–4389.</w:t>
      </w:r>
    </w:p>
    <w:p w14:paraId="06812200"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35. </w:t>
      </w:r>
      <w:r w:rsidRPr="00135466">
        <w:rPr>
          <w:rFonts w:ascii="Verdana" w:hAnsi="Verdana"/>
          <w:noProof/>
          <w:sz w:val="20"/>
        </w:rPr>
        <w:tab/>
        <w:t>Zan J, Choi O, Meharena H, Uhlson CL, Churchill MEA, Hill RT, Fuqua C. 2015. A solo luxi-type gene directs acylhomoserine lactone synthesis and contributes to motility control in the marine sponge symbiont Ruegeria sp. KLH11. Microbiol (United Kingdom) 161:50–56.</w:t>
      </w:r>
    </w:p>
    <w:p w14:paraId="23020E4D"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lastRenderedPageBreak/>
        <w:t xml:space="preserve">36. </w:t>
      </w:r>
      <w:r w:rsidRPr="00135466">
        <w:rPr>
          <w:rFonts w:ascii="Verdana" w:hAnsi="Verdana"/>
          <w:noProof/>
          <w:sz w:val="20"/>
        </w:rPr>
        <w:tab/>
        <w:t>Koch B, Liljefors T, Persson T, Nielsen J, Kjelleberg S, Givskov M. 2005. The LuxR receptor: The sites of interaction with quorum-sensing signals and inhibitors. Microbiology 151:3589–3602.</w:t>
      </w:r>
    </w:p>
    <w:p w14:paraId="20EB7192"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37. </w:t>
      </w:r>
      <w:r w:rsidRPr="00135466">
        <w:rPr>
          <w:rFonts w:ascii="Verdana" w:hAnsi="Verdana"/>
          <w:noProof/>
          <w:sz w:val="20"/>
        </w:rPr>
        <w:tab/>
        <w:t>Wagner-Döbler I, Ballhausen B, Berger M, Brinkhoff T, Buchholz I, Bunk B, Cypionka H, Daniel R, Drepper T, Gerdts G, Hahnke S, Han C, Jahn D, Kalhoefer D, Kiss H, Klenk HP, Kyrpides N, Liebl W, Liesegang H, Meincke L, Pati A, Petersen J, Piekarski T, Pommerenke C, Pradella S, Pukall R, Rabus R, Stackebrandt E, Thole S, Thompson L, Tielen P, Tomasch J, Von Jan M, Wanphrut N, Wichels A, Zech H, Simon M. 2010. The complete genome sequence of the algal symbiont Dinoroseobacter shibae: A hitchhiker’s guide to life in the sea. ISME J 4:61–77.</w:t>
      </w:r>
    </w:p>
    <w:p w14:paraId="0370C077"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38. </w:t>
      </w:r>
      <w:r w:rsidRPr="00135466">
        <w:rPr>
          <w:rFonts w:ascii="Verdana" w:hAnsi="Verdana"/>
          <w:noProof/>
          <w:sz w:val="20"/>
        </w:rPr>
        <w:tab/>
        <w:t xml:space="preserve">Patzelt D, Wang H, Buchholz I, Rohde M, Gröbe L, Pradella S, Neumann A, Schulz S, Heyber S, Münch K, Münch R, Jahn D, Wagner-Döbler I, Tomasch J. 2013. You are what you talk: quorum sensing induces individual morphologies and cell division modes in </w:t>
      </w:r>
      <w:r w:rsidRPr="00135466">
        <w:rPr>
          <w:rFonts w:ascii="Verdana" w:hAnsi="Verdana"/>
          <w:i/>
          <w:iCs/>
          <w:noProof/>
          <w:sz w:val="20"/>
        </w:rPr>
        <w:t>Dinoroseobacter shibae</w:t>
      </w:r>
      <w:r w:rsidRPr="00135466">
        <w:rPr>
          <w:rFonts w:ascii="Verdana" w:hAnsi="Verdana"/>
          <w:noProof/>
          <w:sz w:val="20"/>
        </w:rPr>
        <w:t>. ISME J 7:2274–2286.</w:t>
      </w:r>
    </w:p>
    <w:p w14:paraId="17944137"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39. </w:t>
      </w:r>
      <w:r w:rsidRPr="00135466">
        <w:rPr>
          <w:rFonts w:ascii="Verdana" w:hAnsi="Verdana"/>
          <w:noProof/>
          <w:sz w:val="20"/>
        </w:rPr>
        <w:tab/>
        <w:t>Veening JW, Smits WK, Kuipers OP. 2008. Bistability, epigenetics, and bet-hedging in bacteria. Annu Rev Microbiol. Annu Rev Microbiol.</w:t>
      </w:r>
    </w:p>
    <w:p w14:paraId="2D96A65C"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40. </w:t>
      </w:r>
      <w:r w:rsidRPr="00135466">
        <w:rPr>
          <w:rFonts w:ascii="Verdana" w:hAnsi="Verdana"/>
          <w:noProof/>
          <w:sz w:val="20"/>
        </w:rPr>
        <w:tab/>
        <w:t xml:space="preserve">D’Alvise PW, Magdenoska O, Melchiorsen J, Nielsen KF, Gram L. 2014. Biofilm formation and antibiotic production in </w:t>
      </w:r>
      <w:r w:rsidRPr="00135466">
        <w:rPr>
          <w:rFonts w:ascii="Verdana" w:hAnsi="Verdana"/>
          <w:i/>
          <w:iCs/>
          <w:noProof/>
          <w:sz w:val="20"/>
        </w:rPr>
        <w:t xml:space="preserve">Ruegeria mobilis </w:t>
      </w:r>
      <w:r w:rsidRPr="00135466">
        <w:rPr>
          <w:rFonts w:ascii="Verdana" w:hAnsi="Verdana"/>
          <w:noProof/>
          <w:sz w:val="20"/>
        </w:rPr>
        <w:t>are influenced by intracellular concentrations of cyclic dimeric guanosinmonophosphate. Environ Microbiol 16:1252–1266.</w:t>
      </w:r>
    </w:p>
    <w:p w14:paraId="0778E6ED"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41. </w:t>
      </w:r>
      <w:r w:rsidRPr="00135466">
        <w:rPr>
          <w:rFonts w:ascii="Verdana" w:hAnsi="Verdana"/>
          <w:noProof/>
          <w:sz w:val="20"/>
        </w:rPr>
        <w:tab/>
        <w:t>Hmelo LR, Mooy BAS Van, Mincer TJ. 2012. Characterization of bacterial epibionts on the cyanobacterium Trichodesmium. Aquat Microb Ecol 67:1–14.</w:t>
      </w:r>
    </w:p>
    <w:p w14:paraId="443FBADC"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42. </w:t>
      </w:r>
      <w:r w:rsidRPr="00135466">
        <w:rPr>
          <w:rFonts w:ascii="Verdana" w:hAnsi="Verdana"/>
          <w:noProof/>
          <w:sz w:val="20"/>
        </w:rPr>
        <w:tab/>
        <w:t xml:space="preserve">Van Mooy BAS, Hmelo LR, Sofen LE, Campagna SR, May AL, Dyhrman ST, Heithoff A, Webb EA, Momper L, Mincer TJ. 2012. Quorum sensing control of phosphorus acquisition in </w:t>
      </w:r>
      <w:r w:rsidRPr="00135466">
        <w:rPr>
          <w:rFonts w:ascii="Verdana" w:hAnsi="Verdana"/>
          <w:i/>
          <w:iCs/>
          <w:noProof/>
          <w:sz w:val="20"/>
        </w:rPr>
        <w:t>Trichodesmium</w:t>
      </w:r>
      <w:r w:rsidRPr="00135466">
        <w:rPr>
          <w:rFonts w:ascii="Verdana" w:hAnsi="Verdana"/>
          <w:noProof/>
          <w:sz w:val="20"/>
        </w:rPr>
        <w:t xml:space="preserve"> consortia. ISME J 6:422–429.</w:t>
      </w:r>
    </w:p>
    <w:p w14:paraId="5BF05C91"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43. </w:t>
      </w:r>
      <w:r w:rsidRPr="00135466">
        <w:rPr>
          <w:rFonts w:ascii="Verdana" w:hAnsi="Verdana"/>
          <w:noProof/>
          <w:sz w:val="20"/>
        </w:rPr>
        <w:tab/>
        <w:t>Seyedsayamdost MR, Case RJ, Kolter R, Clardy J. 2011. The Jekyll-and-Hyde chemistry of Phaeobacter gallaeciensis. Nat Chem 3:331–335.</w:t>
      </w:r>
    </w:p>
    <w:p w14:paraId="2F1C0DEE"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44. </w:t>
      </w:r>
      <w:r w:rsidRPr="00135466">
        <w:rPr>
          <w:rFonts w:ascii="Verdana" w:hAnsi="Verdana"/>
          <w:noProof/>
          <w:sz w:val="20"/>
        </w:rPr>
        <w:tab/>
        <w:t xml:space="preserve">Cude WN, Mooney J, Tavanaei AA, Hadden MK, Frank AM, Gulvik CA, May AL, Buchan A. 2012. Production of the antimicrobial secondary metabolite indigoidine contributes to competitive surface colonization by the marine roseobacter </w:t>
      </w:r>
      <w:r w:rsidRPr="00135466">
        <w:rPr>
          <w:rFonts w:ascii="Verdana" w:hAnsi="Verdana"/>
          <w:i/>
          <w:iCs/>
          <w:noProof/>
          <w:sz w:val="20"/>
        </w:rPr>
        <w:t xml:space="preserve">Phaeobacter sp. </w:t>
      </w:r>
      <w:r w:rsidRPr="00135466">
        <w:rPr>
          <w:rFonts w:ascii="Verdana" w:hAnsi="Verdana"/>
          <w:noProof/>
          <w:sz w:val="20"/>
        </w:rPr>
        <w:t xml:space="preserve"> strain Y4I. Appl Environ Microbiol 78:4771–4780.</w:t>
      </w:r>
    </w:p>
    <w:p w14:paraId="624F2279"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45. </w:t>
      </w:r>
      <w:r w:rsidRPr="00135466">
        <w:rPr>
          <w:rFonts w:ascii="Verdana" w:hAnsi="Verdana"/>
          <w:noProof/>
          <w:sz w:val="20"/>
        </w:rPr>
        <w:tab/>
        <w:t>Quigley LNM, Edwards A, Steen AD, Buchan A, Fagervold SK. 2019. Characterization of the Interactive Effects of Labile and Recalcitrant Organic Matter on Microbial Growth and Metabolism. Front Microbiol 10:1–15.</w:t>
      </w:r>
    </w:p>
    <w:p w14:paraId="10EA72F2"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46. </w:t>
      </w:r>
      <w:r w:rsidRPr="00135466">
        <w:rPr>
          <w:rFonts w:ascii="Verdana" w:hAnsi="Verdana"/>
          <w:noProof/>
          <w:sz w:val="20"/>
        </w:rPr>
        <w:tab/>
        <w:t>Liu W, Røder HL, Madsen JS, Bjarnsholt T, Sørensen SJ, Burmølle M. 2016. Interspecific Bacterial Interactions are Reflected in Multispecies Biofilm Spatial Organization. Front Microbiol 7:1366.</w:t>
      </w:r>
    </w:p>
    <w:p w14:paraId="0D48727A" w14:textId="77777777" w:rsidR="00366007" w:rsidRPr="00135466" w:rsidRDefault="00366007" w:rsidP="00F8165F">
      <w:pPr>
        <w:widowControl w:val="0"/>
        <w:autoSpaceDE w:val="0"/>
        <w:autoSpaceDN w:val="0"/>
        <w:adjustRightInd w:val="0"/>
        <w:ind w:left="640" w:hanging="640"/>
        <w:rPr>
          <w:rFonts w:ascii="Verdana" w:hAnsi="Verdana"/>
          <w:noProof/>
          <w:sz w:val="20"/>
        </w:rPr>
      </w:pPr>
      <w:r w:rsidRPr="00135466">
        <w:rPr>
          <w:rFonts w:ascii="Verdana" w:hAnsi="Verdana"/>
          <w:noProof/>
          <w:sz w:val="20"/>
        </w:rPr>
        <w:t xml:space="preserve">47. </w:t>
      </w:r>
      <w:r w:rsidRPr="00135466">
        <w:rPr>
          <w:rFonts w:ascii="Verdana" w:hAnsi="Verdana"/>
          <w:noProof/>
          <w:sz w:val="20"/>
        </w:rPr>
        <w:tab/>
        <w:t>Liang KYH, Orata FD, Boucher YF, Case RJ. 2021. Roseobacters in a Sea of Poly- and Paraphyly: Whole Genome-Based Taxonomy of the Family Rhodobacteraceae and the Proposal for the Split of the “Roseobacter Clade” Into a Novel Family, Roseobacteraceae fam. nov. Front Microbiol 0:1635.</w:t>
      </w:r>
    </w:p>
    <w:p w14:paraId="2F5C6D84" w14:textId="77777777" w:rsidR="00366007" w:rsidRPr="00243109" w:rsidRDefault="00366007" w:rsidP="00677C01">
      <w:pPr>
        <w:spacing w:before="240"/>
        <w:jc w:val="both"/>
        <w:rPr>
          <w:rFonts w:ascii="Verdana" w:hAnsi="Verdana"/>
          <w:sz w:val="20"/>
          <w:szCs w:val="20"/>
        </w:rPr>
      </w:pPr>
    </w:p>
    <w:p w14:paraId="1D35F1A4" w14:textId="245BEFB9" w:rsidR="00D46E9B" w:rsidRDefault="00D46E9B" w:rsidP="00677C01">
      <w:pPr>
        <w:spacing w:before="240"/>
      </w:pPr>
      <w:r>
        <w:br w:type="page"/>
      </w:r>
    </w:p>
    <w:p w14:paraId="760864FE" w14:textId="77777777" w:rsidR="00D46E9B" w:rsidRPr="00641C6B" w:rsidRDefault="00D46E9B" w:rsidP="00677C01">
      <w:pPr>
        <w:spacing w:before="240"/>
        <w:rPr>
          <w:sz w:val="32"/>
          <w:szCs w:val="32"/>
        </w:rPr>
      </w:pPr>
    </w:p>
    <w:p w14:paraId="7F2B10D4" w14:textId="3D47B7BC" w:rsidR="00FF1665" w:rsidRPr="00C113F8" w:rsidRDefault="00825EBC" w:rsidP="00677C01">
      <w:pPr>
        <w:pStyle w:val="Heading1"/>
        <w:spacing w:before="240"/>
        <w:rPr>
          <w:rFonts w:ascii="Verdana" w:hAnsi="Verdana" w:cs="Times New Roman"/>
          <w:szCs w:val="28"/>
        </w:rPr>
      </w:pPr>
      <w:bookmarkStart w:id="9" w:name="_Toc83382592"/>
      <w:r w:rsidRPr="00C113F8">
        <w:rPr>
          <w:rFonts w:ascii="Verdana" w:hAnsi="Verdana" w:cs="Times New Roman"/>
          <w:szCs w:val="28"/>
        </w:rPr>
        <w:t>Cyclic di-GMP is integrated into a hierarchal quorum sensing network regulating antimicrobial production and biofilm formation in Roseobacter clade member</w:t>
      </w:r>
      <w:bookmarkEnd w:id="9"/>
    </w:p>
    <w:p w14:paraId="323198E4" w14:textId="77777777" w:rsidR="00FF1665" w:rsidRPr="00C51113" w:rsidRDefault="00FF1665" w:rsidP="00677C01">
      <w:pPr>
        <w:spacing w:before="240"/>
        <w:jc w:val="both"/>
        <w:rPr>
          <w:rFonts w:ascii="Verdana" w:hAnsi="Verdana" w:cs="Times New Roman"/>
          <w:sz w:val="18"/>
          <w:szCs w:val="18"/>
        </w:rPr>
      </w:pPr>
    </w:p>
    <w:p w14:paraId="622F527C" w14:textId="77777777" w:rsidR="00003F6A" w:rsidRPr="00C51113" w:rsidRDefault="00003F6A" w:rsidP="00677C01">
      <w:pPr>
        <w:pStyle w:val="Heading3"/>
      </w:pPr>
      <w:r w:rsidRPr="00C51113">
        <w:br w:type="page"/>
      </w:r>
    </w:p>
    <w:p w14:paraId="4C7C3FA1" w14:textId="6E18ACA0" w:rsidR="00FA75A5" w:rsidRPr="00AB51A9" w:rsidRDefault="00FA75A5" w:rsidP="00677C01">
      <w:pPr>
        <w:spacing w:before="240"/>
        <w:jc w:val="both"/>
        <w:rPr>
          <w:rFonts w:ascii="Verdana" w:hAnsi="Verdana" w:cs="Times New Roman"/>
          <w:sz w:val="20"/>
          <w:szCs w:val="20"/>
        </w:rPr>
      </w:pPr>
      <w:r w:rsidRPr="00AB51A9">
        <w:rPr>
          <w:rFonts w:ascii="Verdana" w:hAnsi="Verdana" w:cs="Times New Roman"/>
          <w:sz w:val="20"/>
          <w:szCs w:val="20"/>
        </w:rPr>
        <w:lastRenderedPageBreak/>
        <w:tab/>
        <w:t>A version of this chapter</w:t>
      </w:r>
      <w:r w:rsidR="00825EBC" w:rsidRPr="00AB51A9">
        <w:rPr>
          <w:rFonts w:ascii="Verdana" w:hAnsi="Verdana" w:cs="Times New Roman"/>
          <w:sz w:val="20"/>
          <w:szCs w:val="20"/>
        </w:rPr>
        <w:t xml:space="preserve"> </w:t>
      </w:r>
      <w:r w:rsidR="0022297D" w:rsidRPr="00AB51A9">
        <w:rPr>
          <w:rFonts w:ascii="Verdana" w:hAnsi="Verdana" w:cs="Times New Roman"/>
          <w:sz w:val="20"/>
          <w:szCs w:val="20"/>
        </w:rPr>
        <w:t xml:space="preserve">was originally written by April C. Armes and Alison Buchan and </w:t>
      </w:r>
      <w:r w:rsidR="008539C0" w:rsidRPr="00AB51A9">
        <w:rPr>
          <w:rFonts w:ascii="Verdana" w:hAnsi="Verdana" w:cs="Times New Roman"/>
          <w:sz w:val="20"/>
          <w:szCs w:val="20"/>
        </w:rPr>
        <w:t>has been</w:t>
      </w:r>
      <w:r w:rsidR="00CE44EA" w:rsidRPr="00AB51A9">
        <w:rPr>
          <w:rFonts w:ascii="Verdana" w:hAnsi="Verdana" w:cs="Times New Roman"/>
          <w:sz w:val="20"/>
          <w:szCs w:val="20"/>
        </w:rPr>
        <w:t xml:space="preserve"> </w:t>
      </w:r>
      <w:r w:rsidR="008539C0" w:rsidRPr="00AB51A9">
        <w:rPr>
          <w:rFonts w:ascii="Verdana" w:hAnsi="Verdana" w:cs="Times New Roman"/>
          <w:sz w:val="20"/>
          <w:szCs w:val="20"/>
        </w:rPr>
        <w:t xml:space="preserve">published </w:t>
      </w:r>
      <w:r w:rsidR="0022297D" w:rsidRPr="00AB51A9">
        <w:rPr>
          <w:rFonts w:ascii="Verdana" w:hAnsi="Verdana" w:cs="Times New Roman"/>
          <w:sz w:val="20"/>
          <w:szCs w:val="20"/>
        </w:rPr>
        <w:t xml:space="preserve">by </w:t>
      </w:r>
      <w:r w:rsidR="0022297D" w:rsidRPr="00AB51A9">
        <w:rPr>
          <w:rFonts w:ascii="Verdana" w:hAnsi="Verdana" w:cs="Times New Roman"/>
          <w:i/>
          <w:iCs/>
          <w:sz w:val="20"/>
          <w:szCs w:val="20"/>
        </w:rPr>
        <w:t>Frontiers in Marine Science</w:t>
      </w:r>
      <w:r w:rsidRPr="00AB51A9">
        <w:rPr>
          <w:rFonts w:ascii="Verdana" w:hAnsi="Verdana" w:cs="Times New Roman"/>
          <w:sz w:val="20"/>
          <w:szCs w:val="20"/>
        </w:rPr>
        <w:t>:</w:t>
      </w:r>
    </w:p>
    <w:p w14:paraId="0BD857CB" w14:textId="77777777" w:rsidR="0022297D" w:rsidRPr="00AB51A9" w:rsidRDefault="00FA75A5" w:rsidP="00677C01">
      <w:pPr>
        <w:spacing w:before="240"/>
        <w:jc w:val="both"/>
        <w:rPr>
          <w:rFonts w:ascii="Verdana" w:hAnsi="Verdana" w:cs="Times New Roman"/>
          <w:sz w:val="20"/>
          <w:szCs w:val="20"/>
        </w:rPr>
      </w:pPr>
      <w:r w:rsidRPr="00AB51A9">
        <w:rPr>
          <w:rFonts w:ascii="Verdana" w:hAnsi="Verdana" w:cs="Times New Roman"/>
          <w:sz w:val="20"/>
          <w:szCs w:val="20"/>
        </w:rPr>
        <w:tab/>
      </w:r>
    </w:p>
    <w:p w14:paraId="55A1E27F" w14:textId="7E96673C" w:rsidR="00FA75A5" w:rsidRPr="00AB51A9" w:rsidRDefault="0022297D" w:rsidP="00677C01">
      <w:pPr>
        <w:spacing w:before="240"/>
        <w:jc w:val="both"/>
        <w:rPr>
          <w:rFonts w:ascii="Verdana" w:hAnsi="Verdana" w:cs="Times New Roman"/>
          <w:sz w:val="20"/>
          <w:szCs w:val="20"/>
        </w:rPr>
      </w:pPr>
      <w:r w:rsidRPr="00AB51A9">
        <w:rPr>
          <w:rFonts w:ascii="Verdana" w:hAnsi="Verdana" w:cs="Times New Roman"/>
          <w:sz w:val="20"/>
          <w:szCs w:val="20"/>
        </w:rPr>
        <w:t>April C. Armes and Alison Buchan</w:t>
      </w:r>
      <w:r w:rsidR="00FA75A5" w:rsidRPr="00AB51A9">
        <w:rPr>
          <w:rFonts w:ascii="Verdana" w:hAnsi="Verdana" w:cs="Times New Roman"/>
          <w:sz w:val="20"/>
          <w:szCs w:val="20"/>
        </w:rPr>
        <w:t>. “</w:t>
      </w:r>
      <w:r w:rsidRPr="00AB51A9">
        <w:rPr>
          <w:rFonts w:ascii="Verdana" w:hAnsi="Verdana" w:cs="Times New Roman"/>
          <w:sz w:val="20"/>
          <w:szCs w:val="20"/>
        </w:rPr>
        <w:t xml:space="preserve">Cyclic-di-GMP is integrated into a hierarchal quorum sensing network regulating antimicrobial production and biofilm formation in Roseobacter Clade member </w:t>
      </w:r>
      <w:r w:rsidRPr="00AB51A9">
        <w:rPr>
          <w:rFonts w:ascii="Verdana" w:hAnsi="Verdana" w:cs="Times New Roman"/>
          <w:i/>
          <w:iCs/>
          <w:sz w:val="20"/>
          <w:szCs w:val="20"/>
        </w:rPr>
        <w:t>Rhodobacterales</w:t>
      </w:r>
      <w:r w:rsidRPr="00AB51A9">
        <w:rPr>
          <w:rFonts w:ascii="Verdana" w:hAnsi="Verdana" w:cs="Times New Roman"/>
          <w:sz w:val="20"/>
          <w:szCs w:val="20"/>
        </w:rPr>
        <w:t xml:space="preserve"> sp. Y4I</w:t>
      </w:r>
      <w:r w:rsidR="00FA75A5" w:rsidRPr="00AB51A9">
        <w:rPr>
          <w:rFonts w:ascii="Verdana" w:hAnsi="Verdana" w:cs="Times New Roman"/>
          <w:sz w:val="20"/>
          <w:szCs w:val="20"/>
        </w:rPr>
        <w:t xml:space="preserve">.” </w:t>
      </w:r>
      <w:r w:rsidRPr="00AB51A9">
        <w:rPr>
          <w:rFonts w:ascii="Verdana" w:hAnsi="Verdana" w:cs="Times New Roman"/>
          <w:i/>
          <w:sz w:val="20"/>
          <w:szCs w:val="20"/>
        </w:rPr>
        <w:t>Frontiers in Marine Science</w:t>
      </w:r>
      <w:r w:rsidR="00FA75A5" w:rsidRPr="00AB51A9">
        <w:rPr>
          <w:rFonts w:ascii="Verdana" w:hAnsi="Verdana" w:cs="Times New Roman"/>
          <w:sz w:val="20"/>
          <w:szCs w:val="20"/>
        </w:rPr>
        <w:t xml:space="preserve"> (20</w:t>
      </w:r>
      <w:r w:rsidRPr="00AB51A9">
        <w:rPr>
          <w:rFonts w:ascii="Verdana" w:hAnsi="Verdana" w:cs="Times New Roman"/>
          <w:sz w:val="20"/>
          <w:szCs w:val="20"/>
        </w:rPr>
        <w:t>21</w:t>
      </w:r>
      <w:r w:rsidR="00FA75A5" w:rsidRPr="00AB51A9">
        <w:rPr>
          <w:rFonts w:ascii="Verdana" w:hAnsi="Verdana" w:cs="Times New Roman"/>
          <w:sz w:val="20"/>
          <w:szCs w:val="20"/>
        </w:rPr>
        <w:t>)</w:t>
      </w:r>
      <w:r w:rsidRPr="00AB51A9">
        <w:rPr>
          <w:rFonts w:ascii="Verdana" w:hAnsi="Verdana" w:cs="Times New Roman"/>
          <w:sz w:val="20"/>
          <w:szCs w:val="20"/>
        </w:rPr>
        <w:t>.</w:t>
      </w:r>
      <w:r w:rsidR="00FA75A5" w:rsidRPr="00AB51A9">
        <w:rPr>
          <w:rFonts w:ascii="Verdana" w:hAnsi="Verdana" w:cs="Times New Roman"/>
          <w:sz w:val="20"/>
          <w:szCs w:val="20"/>
        </w:rPr>
        <w:t xml:space="preserve"> </w:t>
      </w:r>
    </w:p>
    <w:p w14:paraId="3E7B0844" w14:textId="77777777" w:rsidR="00387656" w:rsidRPr="00AB51A9" w:rsidRDefault="00387656" w:rsidP="00677C01">
      <w:pPr>
        <w:spacing w:before="240"/>
        <w:jc w:val="both"/>
        <w:rPr>
          <w:rFonts w:ascii="Verdana" w:hAnsi="Verdana" w:cs="Times New Roman"/>
          <w:sz w:val="20"/>
          <w:szCs w:val="20"/>
        </w:rPr>
      </w:pPr>
    </w:p>
    <w:p w14:paraId="10F8E249" w14:textId="7F3AE2E6" w:rsidR="00FA75A5" w:rsidRPr="00AB51A9" w:rsidRDefault="0022297D" w:rsidP="00677C01">
      <w:pPr>
        <w:spacing w:before="240"/>
        <w:ind w:firstLine="720"/>
        <w:jc w:val="both"/>
        <w:rPr>
          <w:rFonts w:ascii="Verdana" w:hAnsi="Verdana" w:cs="Times New Roman"/>
          <w:sz w:val="20"/>
          <w:szCs w:val="20"/>
        </w:rPr>
      </w:pPr>
      <w:r w:rsidRPr="00AB51A9">
        <w:rPr>
          <w:rFonts w:ascii="Verdana" w:hAnsi="Verdana" w:cs="Times New Roman"/>
          <w:sz w:val="20"/>
          <w:szCs w:val="20"/>
        </w:rPr>
        <w:t xml:space="preserve">A.C.A. and A. B. conceived and designed the experiments for </w:t>
      </w:r>
      <w:r w:rsidR="004B489D" w:rsidRPr="00AB51A9">
        <w:rPr>
          <w:rFonts w:ascii="Verdana" w:hAnsi="Verdana" w:cs="Times New Roman"/>
          <w:sz w:val="20"/>
          <w:szCs w:val="20"/>
        </w:rPr>
        <w:t>quantitative Reverse-Transcriptase Polymerase Chain Reaction (</w:t>
      </w:r>
      <w:proofErr w:type="spellStart"/>
      <w:r w:rsidR="004B489D" w:rsidRPr="00AB51A9">
        <w:rPr>
          <w:rFonts w:ascii="Verdana" w:hAnsi="Verdana" w:cs="Times New Roman"/>
          <w:sz w:val="20"/>
          <w:szCs w:val="20"/>
        </w:rPr>
        <w:t>qRT</w:t>
      </w:r>
      <w:proofErr w:type="spellEnd"/>
      <w:r w:rsidR="004B489D" w:rsidRPr="00AB51A9">
        <w:rPr>
          <w:rFonts w:ascii="Verdana" w:hAnsi="Verdana" w:cs="Times New Roman"/>
          <w:sz w:val="20"/>
          <w:szCs w:val="20"/>
        </w:rPr>
        <w:t>-</w:t>
      </w:r>
      <w:r w:rsidRPr="00AB51A9">
        <w:rPr>
          <w:rFonts w:ascii="Verdana" w:hAnsi="Verdana" w:cs="Times New Roman"/>
          <w:sz w:val="20"/>
          <w:szCs w:val="20"/>
        </w:rPr>
        <w:t>PCR</w:t>
      </w:r>
      <w:r w:rsidR="004B489D" w:rsidRPr="00AB51A9">
        <w:rPr>
          <w:rFonts w:ascii="Verdana" w:hAnsi="Verdana" w:cs="Times New Roman"/>
          <w:sz w:val="20"/>
          <w:szCs w:val="20"/>
        </w:rPr>
        <w:t>) and surface attachment and biofilm formation assays</w:t>
      </w:r>
      <w:r w:rsidRPr="00AB51A9">
        <w:rPr>
          <w:rFonts w:ascii="Verdana" w:hAnsi="Verdana" w:cs="Times New Roman"/>
          <w:sz w:val="20"/>
          <w:szCs w:val="20"/>
        </w:rPr>
        <w:t xml:space="preserve">. A.C. A. conceived and designed </w:t>
      </w:r>
      <w:r w:rsidR="004B489D" w:rsidRPr="00AB51A9">
        <w:rPr>
          <w:rFonts w:ascii="Verdana" w:hAnsi="Verdana" w:cs="Times New Roman"/>
          <w:sz w:val="20"/>
          <w:szCs w:val="20"/>
        </w:rPr>
        <w:t xml:space="preserve">experiments for acyl-homoserine lactone (AHL) add-back assays and bis-(3’-5’)-cyclic dimeric guanosine monophosphate (c-di-GMP) analysis. </w:t>
      </w:r>
      <w:r w:rsidRPr="00AB51A9">
        <w:rPr>
          <w:rFonts w:ascii="Verdana" w:hAnsi="Verdana" w:cs="Times New Roman"/>
          <w:sz w:val="20"/>
          <w:szCs w:val="20"/>
        </w:rPr>
        <w:t>A.C.A. conducted the experiments, carried out data analysis, generated figures,</w:t>
      </w:r>
      <w:r w:rsidR="004B489D" w:rsidRPr="00AB51A9">
        <w:rPr>
          <w:rFonts w:ascii="Verdana" w:hAnsi="Verdana" w:cs="Times New Roman"/>
          <w:sz w:val="20"/>
          <w:szCs w:val="20"/>
        </w:rPr>
        <w:t xml:space="preserve"> and wrote the manuscript. The manuscript was edited by A.C.A and A. B. </w:t>
      </w:r>
      <w:r w:rsidRPr="00AB51A9">
        <w:rPr>
          <w:rFonts w:ascii="Verdana" w:hAnsi="Verdana" w:cs="Times New Roman"/>
          <w:sz w:val="20"/>
          <w:szCs w:val="20"/>
        </w:rPr>
        <w:t xml:space="preserve"> </w:t>
      </w:r>
    </w:p>
    <w:p w14:paraId="370DCC3C" w14:textId="77777777" w:rsidR="00FA75A5" w:rsidRPr="00C51113" w:rsidRDefault="00FA75A5" w:rsidP="00677C01">
      <w:pPr>
        <w:spacing w:before="240"/>
        <w:jc w:val="both"/>
        <w:rPr>
          <w:rFonts w:ascii="Verdana" w:hAnsi="Verdana" w:cs="Times New Roman"/>
          <w:sz w:val="18"/>
          <w:szCs w:val="18"/>
        </w:rPr>
      </w:pPr>
    </w:p>
    <w:p w14:paraId="2760D8BD" w14:textId="227B96BA" w:rsidR="00FA75A5" w:rsidRPr="00AB51A9" w:rsidRDefault="00FA75A5" w:rsidP="00677C01">
      <w:pPr>
        <w:pStyle w:val="Heading2"/>
        <w:numPr>
          <w:ilvl w:val="0"/>
          <w:numId w:val="7"/>
        </w:numPr>
        <w:jc w:val="left"/>
        <w:rPr>
          <w:rFonts w:ascii="Verdana" w:hAnsi="Verdana" w:cs="Times New Roman"/>
          <w:sz w:val="24"/>
          <w:szCs w:val="24"/>
        </w:rPr>
      </w:pPr>
      <w:bookmarkStart w:id="10" w:name="_Toc289175826"/>
      <w:bookmarkStart w:id="11" w:name="_Toc83382593"/>
      <w:r w:rsidRPr="00AB51A9">
        <w:rPr>
          <w:rFonts w:ascii="Verdana" w:hAnsi="Verdana" w:cs="Times New Roman"/>
          <w:sz w:val="24"/>
          <w:szCs w:val="24"/>
        </w:rPr>
        <w:t>A</w:t>
      </w:r>
      <w:r w:rsidR="00FF1665" w:rsidRPr="00AB51A9">
        <w:rPr>
          <w:rFonts w:ascii="Verdana" w:hAnsi="Verdana" w:cs="Times New Roman"/>
          <w:sz w:val="24"/>
          <w:szCs w:val="24"/>
        </w:rPr>
        <w:t>bstract</w:t>
      </w:r>
      <w:bookmarkEnd w:id="10"/>
      <w:bookmarkEnd w:id="11"/>
      <w:r w:rsidR="003C7FC5" w:rsidRPr="00AB51A9">
        <w:rPr>
          <w:rFonts w:ascii="Verdana" w:hAnsi="Verdana" w:cs="Times New Roman"/>
          <w:sz w:val="24"/>
          <w:szCs w:val="24"/>
        </w:rPr>
        <w:tab/>
      </w:r>
    </w:p>
    <w:p w14:paraId="49679450" w14:textId="2989E7E9" w:rsidR="00FF1665" w:rsidRPr="00AB51A9" w:rsidRDefault="00FF1665" w:rsidP="00677C01">
      <w:pPr>
        <w:spacing w:before="240"/>
        <w:jc w:val="both"/>
        <w:rPr>
          <w:rFonts w:ascii="Verdana" w:hAnsi="Verdana" w:cs="Times New Roman"/>
          <w:sz w:val="20"/>
          <w:szCs w:val="20"/>
        </w:rPr>
      </w:pPr>
      <w:r w:rsidRPr="00C51113">
        <w:rPr>
          <w:rFonts w:ascii="Verdana" w:hAnsi="Verdana" w:cs="Times New Roman"/>
          <w:sz w:val="18"/>
          <w:szCs w:val="18"/>
        </w:rPr>
        <w:tab/>
      </w:r>
      <w:r w:rsidR="004B489D" w:rsidRPr="00AB51A9">
        <w:rPr>
          <w:rFonts w:ascii="Verdana" w:hAnsi="Verdana" w:cs="Times New Roman"/>
          <w:sz w:val="20"/>
          <w:szCs w:val="20"/>
        </w:rPr>
        <w:t xml:space="preserve">Microbial biofilms associated with marine particulate organic matter carry out transformations that influence local and regional biogeochemical cycles. Early microbial colonizers are often hypothesized to “set the stage” for biofilm structure, dynamics, and function via N-acetylated homoserine lactone (AHL)-mediated quorum sensing (QS). Production of AHLs, as well as antimicrobials, contributes to the colonization success of members of the Roseobacter clade. One member of this group of abundant marine bacteria, Rhodobacterales sp.Y4I, possesses two QS systems, </w:t>
      </w:r>
      <w:proofErr w:type="spellStart"/>
      <w:r w:rsidR="004B489D" w:rsidRPr="00AB51A9">
        <w:rPr>
          <w:rFonts w:ascii="Verdana" w:hAnsi="Verdana" w:cs="Times New Roman"/>
          <w:sz w:val="20"/>
          <w:szCs w:val="20"/>
        </w:rPr>
        <w:t>phaRI</w:t>
      </w:r>
      <w:proofErr w:type="spellEnd"/>
      <w:r w:rsidR="004B489D" w:rsidRPr="00AB51A9">
        <w:rPr>
          <w:rFonts w:ascii="Verdana" w:hAnsi="Verdana" w:cs="Times New Roman"/>
          <w:sz w:val="20"/>
          <w:szCs w:val="20"/>
        </w:rPr>
        <w:t xml:space="preserve"> (QS1) and </w:t>
      </w:r>
      <w:proofErr w:type="spellStart"/>
      <w:r w:rsidR="004B489D" w:rsidRPr="00AB51A9">
        <w:rPr>
          <w:rFonts w:ascii="Verdana" w:hAnsi="Verdana" w:cs="Times New Roman"/>
          <w:sz w:val="20"/>
          <w:szCs w:val="20"/>
        </w:rPr>
        <w:t>pgaRI</w:t>
      </w:r>
      <w:proofErr w:type="spellEnd"/>
      <w:r w:rsidR="004B489D" w:rsidRPr="00AB51A9">
        <w:rPr>
          <w:rFonts w:ascii="Verdana" w:hAnsi="Verdana" w:cs="Times New Roman"/>
          <w:sz w:val="20"/>
          <w:szCs w:val="20"/>
        </w:rPr>
        <w:t xml:space="preserve"> (QS2). Here, we characterize mutants in both QS systems to provide genetic evidence that the two systems work in hierarchical fashion to coordinate production of the antimicrobial indigoidine as well as biofilm formation. A mutation in </w:t>
      </w:r>
      <w:proofErr w:type="spellStart"/>
      <w:r w:rsidR="004B489D" w:rsidRPr="00AB51A9">
        <w:rPr>
          <w:rFonts w:ascii="Verdana" w:hAnsi="Verdana" w:cs="Times New Roman"/>
          <w:sz w:val="20"/>
          <w:szCs w:val="20"/>
        </w:rPr>
        <w:t>pgaR</w:t>
      </w:r>
      <w:proofErr w:type="spellEnd"/>
      <w:r w:rsidR="004B489D" w:rsidRPr="00AB51A9">
        <w:rPr>
          <w:rFonts w:ascii="Verdana" w:hAnsi="Verdana" w:cs="Times New Roman"/>
          <w:sz w:val="20"/>
          <w:szCs w:val="20"/>
        </w:rPr>
        <w:t xml:space="preserve"> (QS2) results in decreased expression of genes encoding both QS systems as well as those governing the biosynthesis of indigoidine.  In contrast, mutations in QS1 did not significantly influence gene expression of QS2. Addition of exogenous AHLs to QS1 and QS2 mutants led to partial restoration of indigoidine production (45-60% of WT) for QS1 but not QS2.  Mutational disruptions of QS1 had a more pronounced effect on biofilm development than those in QS2. Finally, we demonstrate that c-di-GMP levels are altered in QS and indigoidine biosynthesis Y4I mutants. Together, these results indicate that </w:t>
      </w:r>
      <w:proofErr w:type="spellStart"/>
      <w:r w:rsidR="004B489D" w:rsidRPr="00AB51A9">
        <w:rPr>
          <w:rFonts w:ascii="Verdana" w:hAnsi="Verdana" w:cs="Times New Roman"/>
          <w:sz w:val="20"/>
          <w:szCs w:val="20"/>
        </w:rPr>
        <w:t>pgaRI</w:t>
      </w:r>
      <w:proofErr w:type="spellEnd"/>
      <w:r w:rsidR="004B489D" w:rsidRPr="00AB51A9">
        <w:rPr>
          <w:rFonts w:ascii="Verdana" w:hAnsi="Verdana" w:cs="Times New Roman"/>
          <w:sz w:val="20"/>
          <w:szCs w:val="20"/>
        </w:rPr>
        <w:t xml:space="preserve"> (QS2) is at the top of a regulatory hierarchy governing indigoidine biosynthesis and that the global regulatory metabolite, c-di-GMP, is likely integrated into the QS circuitry of this strain. These findings provide mechanistic understanding of physiological processes that are important in elucidating factors driving competitiveness of roseobacters in nature.</w:t>
      </w:r>
    </w:p>
    <w:p w14:paraId="2A928F7E" w14:textId="539790F1" w:rsidR="00AB51A9" w:rsidRPr="00AB51A9" w:rsidRDefault="00AB51A9" w:rsidP="00677C01">
      <w:pPr>
        <w:spacing w:before="240"/>
        <w:rPr>
          <w:rFonts w:ascii="Verdana" w:hAnsi="Verdana" w:cs="Times New Roman"/>
          <w:sz w:val="20"/>
          <w:szCs w:val="20"/>
        </w:rPr>
      </w:pPr>
      <w:r w:rsidRPr="00AB51A9">
        <w:rPr>
          <w:rFonts w:ascii="Verdana" w:hAnsi="Verdana" w:cs="Times New Roman"/>
          <w:sz w:val="20"/>
          <w:szCs w:val="20"/>
        </w:rPr>
        <w:br w:type="page"/>
      </w:r>
    </w:p>
    <w:p w14:paraId="78A041EB" w14:textId="77777777" w:rsidR="00AB51A9" w:rsidRPr="00C51113" w:rsidRDefault="00AB51A9" w:rsidP="00677C01">
      <w:pPr>
        <w:spacing w:before="240"/>
        <w:jc w:val="both"/>
        <w:rPr>
          <w:rFonts w:ascii="Verdana" w:hAnsi="Verdana" w:cs="Times New Roman"/>
          <w:sz w:val="18"/>
          <w:szCs w:val="18"/>
        </w:rPr>
      </w:pPr>
    </w:p>
    <w:p w14:paraId="2CBDDCFE" w14:textId="45AB0BB4" w:rsidR="00FF1665" w:rsidRPr="00AB51A9" w:rsidRDefault="004B489D" w:rsidP="00677C01">
      <w:pPr>
        <w:pStyle w:val="Heading2"/>
        <w:numPr>
          <w:ilvl w:val="0"/>
          <w:numId w:val="7"/>
        </w:numPr>
        <w:jc w:val="left"/>
        <w:rPr>
          <w:rFonts w:ascii="Verdana" w:hAnsi="Verdana" w:cs="Times New Roman"/>
          <w:sz w:val="24"/>
          <w:szCs w:val="24"/>
        </w:rPr>
      </w:pPr>
      <w:bookmarkStart w:id="12" w:name="_Toc83382594"/>
      <w:r w:rsidRPr="00AB51A9">
        <w:rPr>
          <w:rFonts w:ascii="Verdana" w:hAnsi="Verdana" w:cs="Times New Roman"/>
          <w:sz w:val="24"/>
          <w:szCs w:val="24"/>
        </w:rPr>
        <w:t>Introduction</w:t>
      </w:r>
      <w:bookmarkEnd w:id="12"/>
    </w:p>
    <w:p w14:paraId="1B276FF7" w14:textId="3FBAE553" w:rsidR="00834C18" w:rsidRPr="00AB51A9" w:rsidRDefault="00834C18" w:rsidP="00677C01">
      <w:pPr>
        <w:spacing w:before="240"/>
        <w:ind w:firstLine="720"/>
        <w:jc w:val="both"/>
        <w:rPr>
          <w:rFonts w:ascii="Verdana" w:hAnsi="Verdana" w:cs="Times New Roman"/>
          <w:sz w:val="20"/>
          <w:szCs w:val="20"/>
        </w:rPr>
      </w:pPr>
      <w:r w:rsidRPr="00AB51A9">
        <w:rPr>
          <w:rFonts w:ascii="Verdana" w:hAnsi="Verdana" w:cs="Times New Roman"/>
          <w:sz w:val="20"/>
          <w:szCs w:val="20"/>
        </w:rPr>
        <w:t xml:space="preserve">Cell-to-cell signaling known as quorum sensing (QS) allows bacterial populations to coordinate gene expression. This coordination of gene expression typically occurs in a cell density dependent manner, through the production and recognition of small diffusible signaling molecules. A prevalent class of these molecules in Gram-negative Proteobacteria are </w:t>
      </w:r>
      <w:r w:rsidRPr="00AB51A9">
        <w:rPr>
          <w:rFonts w:ascii="Verdana" w:hAnsi="Verdana" w:cs="Times New Roman"/>
          <w:i/>
          <w:sz w:val="20"/>
          <w:szCs w:val="20"/>
        </w:rPr>
        <w:t>N-</w:t>
      </w:r>
      <w:r w:rsidRPr="00AB51A9">
        <w:rPr>
          <w:rFonts w:ascii="Verdana" w:hAnsi="Verdana" w:cs="Times New Roman"/>
          <w:sz w:val="20"/>
          <w:szCs w:val="20"/>
        </w:rPr>
        <w:t xml:space="preserve">acylhomoserine lactones (AHLs)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{"citationItems":[{"id":"ITEM-1","itemData":{"DOI":"10.1038/nrmicro.2016.89","ISSN":"17401534","PMID":"27510864","abstract":"Bacteria use quorum sensing to orchestrate gene expression programmes that underlie collective behaviours. Quorum sensing relies on the production, release, detection and group-level response to extracellular signalling molecules, which are called autoinducers. Recent work has discovered new autoinducers in Gram-negative bacteria, shown how these molecules are recognized by cognate receptors, revealed new regulatory components that are embedded in canonical signalling circuits and identified novel regulatory network designs. In this Review we examine how, together, these features of quorum sensing signal-response systems combine to control collective behaviours in Gram-negative bacteria and we discuss the implications for host-microbial associations and antibacterial therapy.","author":[{"dropping-particle":"","family":"Papenfort","given":"Kai","non-dropping-particle":"","parse-names":false,"suffix":""},{"dropping-particle":"","family":"Bassler","given":"Bonnie L.","non-dropping-particle":"","parse-names":false,"suffix":""}],"container-title":"Nature Reviews Microbiology","id":"ITEM-1","issue":"9","issued":{"date-parts":[["2016","9","1"]]},"note":"Has good background on QS, biofilms, and c-di-GMP. Also contains justification for studying QS in the context of a mixed species biofilm.","page":"576-588","publisher":"Nature Publishing Group","title":"Quorum sensing signal-response systems in Gram-negative bacteria","type":"article-journal","volume":"14"},"uris":["http://www.mendeley.com/documents/?uuid=236e7e42-2629-3045-b42b-7d978d526550"]}],"mendeley":{"formattedCitation":"(1)","plainTextFormattedCitation":"(1)","previouslyFormattedCitation":"(Papenfort and Bassler 2016)"},"properties":{"noteIndex":0},"schema":"https://github.com/citation-style-language/schema/raw/master/csl-citation.json"}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(1)</w:t>
      </w:r>
      <w:r w:rsidRPr="00AB51A9">
        <w:rPr>
          <w:rFonts w:ascii="Verdana" w:hAnsi="Verdana" w:cs="Times New Roman"/>
          <w:sz w:val="20"/>
          <w:szCs w:val="20"/>
        </w:rPr>
        <w:fldChar w:fldCharType="end"/>
      </w:r>
      <w:r w:rsidRPr="00AB51A9">
        <w:rPr>
          <w:rFonts w:ascii="Verdana" w:hAnsi="Verdana" w:cs="Times New Roman"/>
          <w:sz w:val="20"/>
          <w:szCs w:val="20"/>
        </w:rPr>
        <w:t>. AHL-based QS characteristically involves a two-component system consisting of a transcriptional regulator (denoted by -</w:t>
      </w:r>
      <w:r w:rsidRPr="00AB51A9">
        <w:rPr>
          <w:rFonts w:ascii="Verdana" w:hAnsi="Verdana" w:cs="Times New Roman"/>
          <w:i/>
          <w:sz w:val="20"/>
          <w:szCs w:val="20"/>
        </w:rPr>
        <w:t>R</w:t>
      </w:r>
      <w:r w:rsidRPr="00AB51A9">
        <w:rPr>
          <w:rFonts w:ascii="Verdana" w:hAnsi="Verdana" w:cs="Times New Roman"/>
          <w:sz w:val="20"/>
          <w:szCs w:val="20"/>
        </w:rPr>
        <w:t>) and an AHL synthase (designated as -</w:t>
      </w:r>
      <w:r w:rsidRPr="00AB51A9">
        <w:rPr>
          <w:rFonts w:ascii="Verdana" w:hAnsi="Verdana" w:cs="Times New Roman"/>
          <w:i/>
          <w:sz w:val="20"/>
          <w:szCs w:val="20"/>
        </w:rPr>
        <w:t>I)</w:t>
      </w:r>
      <w:r w:rsidRPr="00AB51A9">
        <w:rPr>
          <w:rFonts w:ascii="Verdana" w:hAnsi="Verdana" w:cs="Times New Roman"/>
          <w:sz w:val="20"/>
          <w:szCs w:val="20"/>
        </w:rPr>
        <w:t xml:space="preserve">. When bound to their cognate transcriptional regulator, AHLs can elicit global changes in gene expression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{"citationItems":[{"id":"ITEM-1","itemData":{"DOI":"10.1098/rstb.2007.2039","ISSN":"0962-8436","PMID":"17360280","abstract":"For many years bacteria were considered primarily as autonomous unicellular organisms with little capacity for collective behaviour. However, we now appreciate that bacterial cells are in fact, highly communicative. The generic term 'quorum sensing' has been adopted to describe the bacterial cell-to-cell communication mechanisms which co-ordinate gene expression usually, but not always, when the population has reached a high cell density. Quorum sensing depends on the synthesis of small molecules (often referred to as pheromones or autoinducers) that diffuse in and out of bacterial cells. As the bacterial population density increases, so does the synthesis of quorum sensing signal molecules, and consequently, their concentration in the external environment rises. Once a critical threshold concentration has been reached, a target sensor kinase or response regulator is activated (or repressed) so facilitating the expression of quorum sensing-dependent genes. Quorum sensing enables a bacterial population to mount a co-operative response that improves access to nutrients or specific environmental niches, promotes collective defence against other competitor prokaryotes or eukaryotic defence mechanisms and facilitates survival through differentiation into morphological forms better able to combat environmental threats. Quorum sensing also crosses the prokaryotic-eukaryotic boundary since quorum sensing-dependent signalling can be exploited or inactivated by both plants and mammals.","author":[{"dropping-particle":"","family":"Williams","given":"Paul","non-dropping-particle":"","parse-names":false,"suffix":""},{"dropping-particle":"","family":"Winzer","given":"Klaus","non-dropping-particle":"","parse-names":false,"suffix":""},{"dropping-particle":"","family":"Chan","given":"Weng C","non-dropping-particle":"","parse-names":false,"suffix":""},{"dropping-particle":"","family":"Cámara","given":"Miguel","non-dropping-particle":"","parse-names":false,"suffix":""}],"container-title":"Philosophical transactions of the Royal Society of London. Series B, Biological sciences","id":"ITEM-1","issue":"1483","issued":{"date-parts":[["2007","7","29"]]},"page":"1119-34","publisher":"The Royal Society","title":"Look who's talking: communication and quorum sensing in the bacterial world.","type":"article-journal","volume":"362"},"uris":["http://www.mendeley.com/documents/?uuid=a77c4d23-adea-31d4-a420-779eb77eefea"]}],"mendeley":{"formattedCitation":"(2)","plainTextFormattedCitation":"(2)","previouslyFormattedCitation":"(Williams et al. 2007)"},"properties":{"noteIndex":0},"schema":"https://github.com/citation-style-language/schema/raw/master/csl-citation.json"}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(2)</w:t>
      </w:r>
      <w:r w:rsidRPr="00AB51A9">
        <w:rPr>
          <w:rFonts w:ascii="Verdana" w:hAnsi="Verdana" w:cs="Times New Roman"/>
          <w:sz w:val="20"/>
          <w:szCs w:val="20"/>
        </w:rPr>
        <w:fldChar w:fldCharType="end"/>
      </w:r>
      <w:r w:rsidRPr="00AB51A9">
        <w:rPr>
          <w:rFonts w:ascii="Verdana" w:hAnsi="Verdana" w:cs="Times New Roman"/>
          <w:sz w:val="20"/>
          <w:szCs w:val="20"/>
        </w:rPr>
        <w:t xml:space="preserve">. In model biofilm forming representatives, QS has been shown to genetically regulate surface attachment and biofilm formation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{"citationItems":[{"id":"ITEM-1","itemData":{"DOI":"10.1046/j.1365-2958.2003.03688.x","ISSN":"0950382X","PMID":"14507367","abstract":"Multiple quorum-sensing circuits function in parallel to control virulence and biofilm formation in Vibrio cholerae. In contrast to other bacterial pathogens that induce virulence factor production and/or biofilm formation at high cell density in the presence of quorum-sensing autoinducers, V. cholerae represses these behaviours at high cell density. Consistent with this, we show here that V. cholerae strains 'locked' in the regulatory state mimicking low cell density are enhanced for biofilm production whereas mutants 'locked' in the regulatory state mimicking high cell density are incapable of producing biofilms. The quorum-sensing cascade we have identified in V. cholerae regulates the transcription of genes involved in exopolysaccharide production (EPS), and variants that produce EPS and form biofilms arise at high frequency from non-EPS, non-biofilm producing strains. Our data show that spontaneous mutation of the transcriptional regulator hapR is responsible for this effect. Several toxigenic strains of V. cholerae possess a naturally occurring frameshift mutation in hapR. Thus, the distinct environments occupied by this aquatic pathogen presumably include niches where cell-cell communication is crucial, as well as ones where loss of quorum sensing via hapR mutation confers a selective advantage. Bacterial biofilms could represent a complex habitat where such differentiation occurs.","author":[{"dropping-particle":"","family":"Hammer","given":"Brian K.","non-dropping-particle":"","parse-names":false,"suffix":""},{"dropping-particle":"","family":"Bassler","given":"Bonnie L.","non-dropping-particle":"","parse-names":false,"suffix":""}],"container-title":"Molecular Microbiology","id":"ITEM-1","issue":"1","issued":{"date-parts":[["2003","10","1"]]},"page":"101-104","publisher":"Blackwell Publishing Ltd","title":"Quorum sensing controls biofilm formation in &lt;i&gt;Vibrio cholerae&lt;/i&gt;","type":"article-journal","volume":"50"},"uris":["http://www.mendeley.com/documents/?uuid=e058b9fa-9715-4366-957e-8f301556d58b"]},{"id":"ITEM-2","itemData":{"DOI":"10.1016/J.IJMM.2006.01.036","ISSN":"1438-4221","abstract":"The opportunistic pathogen Pseudomonas aeruginosa possesses two N-acyl-homoserine lactone quorum-sensing systems that regulate large, overlapping sets of genes. Recent global transcriptome and proteome analyses provided a wealth of information about the identity of the regulated genes, N-acyl-homoserine lactone signal specificity, timing of induction, and environmental effects on gene expression. Quorum-sensing gene expression in P. aeruginosa is also embedded in a highly interconnected network of other regulatory systems with a high potential for integrating and responding to multiple environmental signals. Such epigenetic complexity may constitute the basis for the exceptional adaptibility of P. aeruginosa to diverse environments.","author":[{"dropping-particle":"","family":"Schuster","given":"Martin","non-dropping-particle":"","parse-names":false,"suffix":""},{"dropping-particle":"","family":"Peter Greenberg","given":"E.","non-dropping-particle":"","parse-names":false,"suffix":""}],"container-title":"International Journal of Medical Microbiology","id":"ITEM-2","issue":"2-3","issued":{"date-parts":[["2006","4","6"]]},"page":"73-81","publisher":"Urban &amp; Fischer","title":"A network of networks: Quorum-sensing gene regulation in &lt;i&gt;Pseudomonas aeruginosa&lt;/i&gt;","type":"article-journal","volume":"296"},"uris":["http://www.mendeley.com/documents/?uuid=21c921d4-7541-3311-b3fc-5b8b9f2bbc0b"]}],"mendeley":{"formattedCitation":"(3, 4)","plainTextFormattedCitation":"(3, 4)","previouslyFormattedCitation":"(Hammer and Bassler 2003; Schuster and Peter Greenberg 2006)"},"properties":{"noteIndex":0},"schema":"https://github.com/citation-style-language/schema/raw/master/csl-citation.json"}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(3, 4)</w:t>
      </w:r>
      <w:r w:rsidRPr="00AB51A9">
        <w:rPr>
          <w:rFonts w:ascii="Verdana" w:hAnsi="Verdana" w:cs="Times New Roman"/>
          <w:sz w:val="20"/>
          <w:szCs w:val="20"/>
        </w:rPr>
        <w:fldChar w:fldCharType="end"/>
      </w:r>
      <w:r w:rsidRPr="00AB51A9">
        <w:rPr>
          <w:rFonts w:ascii="Verdana" w:hAnsi="Verdana" w:cs="Times New Roman"/>
          <w:sz w:val="20"/>
          <w:szCs w:val="20"/>
        </w:rPr>
        <w:t xml:space="preserve">. Surface attachment and biofilm formation is also often modulated through intracellular signaling of a global secondary messenger of bis-(3’-5’)-cyclic dimeric guanosine monophosphate (c-di-GMP). Concentrations of c-di-GMP are influenced by environmental cues as well as cell-to-cell signaling in bacteria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{"citationItems":[{"id":"ITEM-1","itemData":{"DOI":"10.1128/MMBR.00043-12","author":[{"dropping-particle":"","family":"Römling","given":"Ute","non-dropping-particle":"","parse-names":false,"suffix":""},{"dropping-particle":"","family":"Galperin","given":"Michael Y","non-dropping-particle":"","parse-names":false,"suffix":""},{"dropping-particle":"","family":"Gomelsky","given":"Mark","non-dropping-particle":"","parse-names":false,"suffix":""}],"container-title":"Microbiology and Molecular Biology Reviews","id":"ITEM-1","issue":"1","issued":{"date-parts":[["2013"]]},"page":"1-52","title":"Cyclic di-GMP: the First 25 Years of a Universal Bacterial Second Messenger","type":"article-journal","volume":"77"},"uris":["http://www.mendeley.com/documents/?uuid=8b3e35b5-844d-4a49-b6bd-77b148a13eb2"]}],"mendeley":{"formattedCitation":"(5)","plainTextFormattedCitation":"(5)","previouslyFormattedCitation":"(Römling, Galperin, and Gomelsky 2013)"},"properties":{"noteIndex":0},"schema":"https://github.com/citation-style-language/schema/raw/master/csl-citation.json"}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(5)</w:t>
      </w:r>
      <w:r w:rsidRPr="00AB51A9">
        <w:rPr>
          <w:rFonts w:ascii="Verdana" w:hAnsi="Verdana" w:cs="Times New Roman"/>
          <w:sz w:val="20"/>
          <w:szCs w:val="20"/>
        </w:rPr>
        <w:fldChar w:fldCharType="end"/>
      </w:r>
      <w:r w:rsidRPr="00AB51A9">
        <w:rPr>
          <w:rFonts w:ascii="Verdana" w:hAnsi="Verdana" w:cs="Times New Roman"/>
          <w:sz w:val="20"/>
          <w:szCs w:val="20"/>
        </w:rPr>
        <w:t xml:space="preserve">. Indeed, c-di-GMP signaling is integrated in QS regulatory systems in model biofilm bacteria, such as </w:t>
      </w:r>
      <w:r w:rsidRPr="00AB51A9">
        <w:rPr>
          <w:rFonts w:ascii="Verdana" w:hAnsi="Verdana" w:cs="Times New Roman"/>
          <w:i/>
          <w:iCs/>
          <w:sz w:val="20"/>
          <w:szCs w:val="20"/>
        </w:rPr>
        <w:t xml:space="preserve">Pseudomonas aeruginosa </w:t>
      </w:r>
      <w:r w:rsidRPr="00AB51A9">
        <w:rPr>
          <w:rFonts w:ascii="Verdana" w:hAnsi="Verdana" w:cs="Times New Roman"/>
          <w:i/>
          <w:iCs/>
          <w:sz w:val="20"/>
          <w:szCs w:val="20"/>
        </w:rPr>
        <w:fldChar w:fldCharType="begin" w:fldLock="1"/>
      </w:r>
      <w:r w:rsidR="00B77EC7" w:rsidRPr="00AB51A9">
        <w:rPr>
          <w:rFonts w:ascii="Verdana" w:hAnsi="Verdana" w:cs="Times New Roman"/>
          <w:i/>
          <w:iCs/>
          <w:sz w:val="20"/>
          <w:szCs w:val="20"/>
        </w:rPr>
        <w:instrText>ADDIN CSL_CITATION {"citationItems":[{"id":"ITEM-1","itemData":{"DOI":"10.3389/fcimb.2017.00451","ISSN":"2235-2988","abstract":"Cyclic-di-GMP (c-di-GMP) is an intracellular secondary messenger which controls the biofilm life cycle in many bacterial species. High intracellular c-di-GMP content enhances biofilm formation via the reduction of motility and production of biofilm matrix, while low c-di-GMP content in biofilm cells leads to increased motility and biofilm dispersal. While the effect of high c-di-GMP levels on bacterial lifestyles is well studied, the physiology of cells at low c-di-GMP levels remains unclear. Here, we showed that Pseudomonas aeruginosa cells with high and low intracellular c-di-GMP contents possessed distinct transcriptome profiles. There were 535 genes being upregulated and 432 genes downregulated in cells with low c-di-GMP, as compared to cells with high c-di-GMP. Interestingly, both rhl and pqs quorum-sensing (QS) operons were expressed at higher levels in cells with low intracellular c-di-GMP content compared with cells with higher c-di-GMP content. The induced expression of pqs and rhl QS required a functional PqsR, the transcriptional regulator of pqs QS. Next, we observed increased production of pqs and rhl-regulated virulence factors, such as pyocyanin and rhamnolipids, in P. aeruginosa cells with low c-di-GMP levels, conferring them with increased intracellular survival rates and cytotoxicity against murine macrophages. Hence, our data suggested that low intracellular c-di-GMP levels in bacteria could induce QS-regulated virulence, in particular rhamnolipids that cripple the cellular components of the innate immune system.","author":[{"dropping-particle":"","family":"Lin Chua","given":"Song","non-dropping-particle":"","parse-names":false,"suffix":""},{"dropping-particle":"","family":"Liu","given":"Yang","non-dropping-particle":"","parse-names":false,"suffix":""},{"dropping-particle":"","family":"Li","given":"Yingying","non-dropping-particle":"","parse-names":false,"suffix":""},{"dropping-particle":"","family":"Jun Ting","given":"Hui","non-dropping-particle":"","parse-names":false,"suffix":""},{"dropping-particle":"","family":"Kohli","given":"Gurjeet S.","non-dropping-particle":"","parse-names":false,"suffix":""},{"dropping-particle":"","family":"Cai","given":"Zhao","non-dropping-particle":"","parse-names":false,"suffix":""},{"dropping-particle":"","family":"Suwanchaikasem","given":"Pipob","non-dropping-particle":"","parse-names":false,"suffix":""},{"dropping-particle":"","family":"Kau Kit Goh","given":"Kelvin","non-dropping-particle":"","parse-names":false,"suffix":""},{"dropping-particle":"","family":"Pin Ng","given":"Sean","non-dropping-particle":"","parse-names":false,"suffix":""},{"dropping-particle":"","family":"Tolker-Nielsen","given":"Tim","non-dropping-particle":"","parse-names":false,"suffix":""},{"dropping-particle":"","family":"Yang","given":"Liang","non-dropping-particle":"","parse-names":false,"suffix":""},{"dropping-particle":"","family":"Givskov","given":"Michael","non-dropping-particle":"","parse-names":false,"suffix":""}],"container-title":"Frontiers in Cellular and Infection Microbiology","id":"ITEM-1","issue":"OCT","issued":{"date-parts":[["2017","10","17"]]},"page":"451","publisher":"Frontiers Media S.A.","title":"Reduced Intracellular c-di-GMP Content Increases Expression of Quorum Sensing-Regulated Genes in &lt;i&gt;Pseudomonas aeruginosa&lt;/i&gt;","type":"article-journal","volume":"7"},"uris":["http://www.mendeley.com/documents/?uuid=3d8ca8dc-d50c-3269-a25d-6b121d1f3745"]}],"mendeley":{"formattedCitation":"(6)","plainTextFormattedCitation":"(6)","previouslyFormattedCitation":"(Lin Chua et al. 2017)"},"properties":{"noteIndex":0},"schema":"https://github.com/citation-style-language/schema/raw/master/csl-citation.json"}</w:instrText>
      </w:r>
      <w:r w:rsidRPr="00AB51A9">
        <w:rPr>
          <w:rFonts w:ascii="Verdana" w:hAnsi="Verdana" w:cs="Times New Roman"/>
          <w:i/>
          <w:iCs/>
          <w:sz w:val="20"/>
          <w:szCs w:val="20"/>
        </w:rPr>
        <w:fldChar w:fldCharType="separate"/>
      </w:r>
      <w:r w:rsidR="00B77EC7" w:rsidRPr="00AB51A9">
        <w:rPr>
          <w:rFonts w:ascii="Verdana" w:hAnsi="Verdana" w:cs="Times New Roman"/>
          <w:iCs/>
          <w:noProof/>
          <w:sz w:val="20"/>
          <w:szCs w:val="20"/>
        </w:rPr>
        <w:t>(6)</w:t>
      </w:r>
      <w:r w:rsidRPr="00AB51A9">
        <w:rPr>
          <w:rFonts w:ascii="Verdana" w:hAnsi="Verdana" w:cs="Times New Roman"/>
          <w:i/>
          <w:iCs/>
          <w:sz w:val="20"/>
          <w:szCs w:val="20"/>
        </w:rPr>
        <w:fldChar w:fldCharType="end"/>
      </w:r>
      <w:r w:rsidRPr="00AB51A9">
        <w:rPr>
          <w:rFonts w:ascii="Verdana" w:hAnsi="Verdana" w:cs="Times New Roman"/>
          <w:sz w:val="20"/>
          <w:szCs w:val="20"/>
        </w:rPr>
        <w:t xml:space="preserve">. Integration of this intracellular signaling molecule into QS architectures more tightly links cellular physiology with adaptive behaviors. </w:t>
      </w:r>
    </w:p>
    <w:p w14:paraId="52FF17B1" w14:textId="34CD232C" w:rsidR="00834C18" w:rsidRPr="00AB51A9" w:rsidRDefault="00834C18" w:rsidP="00677C01">
      <w:pPr>
        <w:spacing w:before="240"/>
        <w:jc w:val="both"/>
        <w:rPr>
          <w:rFonts w:ascii="Verdana" w:hAnsi="Verdana" w:cs="Times New Roman"/>
          <w:sz w:val="20"/>
          <w:szCs w:val="20"/>
        </w:rPr>
      </w:pPr>
      <w:r w:rsidRPr="00AB51A9">
        <w:rPr>
          <w:rFonts w:ascii="Verdana" w:hAnsi="Verdana" w:cs="Times New Roman"/>
          <w:sz w:val="20"/>
          <w:szCs w:val="20"/>
        </w:rPr>
        <w:tab/>
        <w:t xml:space="preserve">Members of the Roseobacter clade are competitive surface colonizers in diverse marine niches. This lineage of heterotrophic Alphaproteobacteria represent one of the most phylogenetically coherent, yet physiologically diverse, groups of marine bacteria. Roseobacters are among the most abundant, metabolically active, and aggressive surface colonizers in marine ecosystems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10.1007/s00203-008-0353-y","ISSN":"0302-8933","author":[{"dropping-particle":"","family":"Brinkhoff","given":"Thorsten","non-dropping-particle":"","parse-names":false,"suffix":""},{"dropping-particle":"","family":"Giebel","given":"Helge-Ansgar","non-dropping-particle":"","parse-names":false,"suffix":""},{"dropping-particle":"","family":"Simon","given":"Meinhard","non-dropping-particle":"","parse-names":false,"suffix":""}],"container-title":"Archives of Microbiology","id":"ITEM-1","issue":"6","issued":{"date-parts":[["2008","6","6"]]},"page":"531-539","publisher":"Springer-Verlag","title":"Diversity, ecology, and genomics of the Roseobacter clade: a short overview","type":"article-journal","volume":"189"},"uris":["http://www.mendeley.com/documents/?uuid=0e26e6c5-52a6-3433-89bd-c0ee129d628d"]}],"mendeley":{"formattedCitation":"(7)","plainTextFormattedCitation":"(7)","previouslyFormattedCitation":"(Brinkhoff, Giebel, and Simon 2008)"},"properties":{"noteIndex":0},"schema":"https://github.com/citation-style-language/schema/raw/master/csl-citation.json"}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(7)</w:t>
      </w:r>
      <w:r w:rsidRPr="00AB51A9">
        <w:rPr>
          <w:rFonts w:ascii="Verdana" w:hAnsi="Verdana" w:cs="Times New Roman"/>
          <w:sz w:val="20"/>
          <w:szCs w:val="20"/>
        </w:rPr>
        <w:fldChar w:fldCharType="end"/>
      </w:r>
      <w:r w:rsidRPr="00AB51A9">
        <w:rPr>
          <w:rFonts w:ascii="Verdana" w:hAnsi="Verdana" w:cs="Times New Roman"/>
          <w:sz w:val="20"/>
          <w:szCs w:val="20"/>
        </w:rPr>
        <w:t xml:space="preserve">. As such, members of this clade inhabit a wide range of niches and readily colonize surfaces both abiotic and biotic in nature, </w:t>
      </w:r>
      <w:r w:rsidRPr="00AB51A9">
        <w:rPr>
          <w:rFonts w:ascii="Verdana" w:hAnsi="Verdana" w:cs="Times New Roman"/>
          <w:i/>
          <w:sz w:val="20"/>
          <w:szCs w:val="20"/>
        </w:rPr>
        <w:t>e.g.</w:t>
      </w:r>
      <w:r w:rsidRPr="00AB51A9">
        <w:rPr>
          <w:rFonts w:ascii="Verdana" w:hAnsi="Verdana" w:cs="Times New Roman"/>
          <w:sz w:val="20"/>
          <w:szCs w:val="20"/>
        </w:rPr>
        <w:t xml:space="preserve"> sinking particulate organic matter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{"citationItems":[{"id":"ITEM-1","itemData":{"DOI":"10.1038/s41396-018-0259-x","ISSN":"1751-7362","abstract":"Sinking particles transport carbon and nutrients from the surface ocean into the deep sea and are considered hot spots for bacterial diversity and activity. In the oligotrophic oceans, nitrogen (N2)-fixing organisms (diazotrophs) are an important source of new N but the extent to which these organisms are present and exported on sinking particles is not well known. Sinking particles were collected every 6</w:instrText>
      </w:r>
      <w:r w:rsidR="00B77EC7" w:rsidRPr="00AB51A9">
        <w:rPr>
          <w:sz w:val="20"/>
          <w:szCs w:val="20"/>
        </w:rPr>
        <w:instrText> </w:instrText>
      </w:r>
      <w:r w:rsidR="00B77EC7" w:rsidRPr="00AB51A9">
        <w:rPr>
          <w:rFonts w:ascii="Verdana" w:hAnsi="Verdana" w:cs="Times New Roman"/>
          <w:sz w:val="20"/>
          <w:szCs w:val="20"/>
        </w:rPr>
        <w:instrText>h over a 2-day period using net traps deployed at 150</w:instrText>
      </w:r>
      <w:r w:rsidR="00B77EC7" w:rsidRPr="00AB51A9">
        <w:rPr>
          <w:sz w:val="20"/>
          <w:szCs w:val="20"/>
        </w:rPr>
        <w:instrText> </w:instrText>
      </w:r>
      <w:r w:rsidR="00B77EC7" w:rsidRPr="00AB51A9">
        <w:rPr>
          <w:rFonts w:ascii="Verdana" w:hAnsi="Verdana" w:cs="Times New Roman"/>
          <w:sz w:val="20"/>
          <w:szCs w:val="20"/>
        </w:rPr>
        <w:instrText>m in the North Pacific Subtropical Gyre. The bacterial community and composition of diazotrophs associated with individual and bulk sinking particles was assessed using 16S rRNA and nifH gene amplicon sequencing. The bacterial community composition in bulk particles remained remarkably consistent throughout time and space while large variations of individually picked particles were observed. This difference suggests that unique biogeochemical conditions within individual particles may offer distinct ecological niches for specialized bacterial taxa. Compared to surrounding seawater, particle samples were enriched in different size classes of globally significant N2-fixing cyanobacteria including Trichodesmium, symbionts of diatoms, and the unicellular cyanobacteria Crocosphaera and UCYN-A. The particles also contained nifH gene sequences of diverse non-cyanobacterial diazotrophs suggesting that particles could be loci for N2 fixation by heterotrophic bacteria. The results demonstrate that diverse diazotrophs were present on particles and that new N may thereby be directly exported from surface waters on sinking particles.","author":[{"dropping-particle":"","family":"Farnelid","given":"Hanna","non-dropping-particle":"","parse-names":false,"suffix":""},{"dropping-particle":"","family":"Turk-Kubo","given":"Kendra","non-dropping-particle":"","parse-names":false,"suffix":""},{"dropping-particle":"","family":"Ploug","given":"Helle","non-dropping-particle":"","parse-names":false,"suffix":""},{"dropping-particle":"","family":"Ossolinski","given":"Justin E.","non-dropping-particle":"","parse-names":false,"suffix":""},{"dropping-particle":"","family":"Collins","given":"James R.","non-dropping-particle":"","parse-names":false,"suffix":""},{"dropping-particle":"","family":"Mooy","given":"Benjamin A. S.","non-dropping-particle":"Van","parse-names":false,"suffix":""},{"dropping-particle":"","family":"Zehr","given":"Jonathan P.","non-dropping-particle":"","parse-names":false,"suffix":""}],"container-title":"The ISME Journal","id":"ITEM-1","issue":"1","issued":{"date-parts":[["2019","1","16"]]},"page":"170-182","publisher":"Nature Publishing Group","title":"Diverse diazotrophs are present on sinking particles in the North Pacific Subtropical Gyre","type":"article-journal","volume":"13"},"uris":["http://www.mendeley.com/documents/?uuid=5e7e4bc8-e970-3412-a623-7131a388f876"]}],"mendeley":{"formattedCitation":"(8)","plainTextFormattedCitation":"(8)","previouslyFormattedCitation":"(Farnelid et al. 2019)"},"properties":{"noteIndex":0},"schema":"https://github.com/citation-style-language/schema/raw/master/csl-citation.json"}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(8)</w:t>
      </w:r>
      <w:r w:rsidRPr="00AB51A9">
        <w:rPr>
          <w:rFonts w:ascii="Verdana" w:hAnsi="Verdana" w:cs="Times New Roman"/>
          <w:sz w:val="20"/>
          <w:szCs w:val="20"/>
        </w:rPr>
        <w:fldChar w:fldCharType="end"/>
      </w:r>
      <w:r w:rsidRPr="00AB51A9">
        <w:rPr>
          <w:rFonts w:ascii="Verdana" w:hAnsi="Verdana" w:cs="Times New Roman"/>
          <w:sz w:val="20"/>
          <w:szCs w:val="20"/>
        </w:rPr>
        <w:t xml:space="preserve">, </w:t>
      </w:r>
      <w:proofErr w:type="spellStart"/>
      <w:r w:rsidRPr="00AB51A9">
        <w:rPr>
          <w:rFonts w:ascii="Verdana" w:hAnsi="Verdana" w:cs="Times New Roman"/>
          <w:i/>
          <w:sz w:val="20"/>
          <w:szCs w:val="20"/>
        </w:rPr>
        <w:t>Trichodesmium</w:t>
      </w:r>
      <w:proofErr w:type="spellEnd"/>
      <w:r w:rsidRPr="00AB51A9">
        <w:rPr>
          <w:rFonts w:ascii="Verdana" w:hAnsi="Verdana" w:cs="Times New Roman"/>
          <w:i/>
          <w:sz w:val="20"/>
          <w:szCs w:val="20"/>
        </w:rPr>
        <w:t xml:space="preserve"> </w:t>
      </w:r>
      <w:r w:rsidRPr="00AB51A9">
        <w:rPr>
          <w:rFonts w:ascii="Verdana" w:hAnsi="Verdana" w:cs="Times New Roman"/>
          <w:sz w:val="20"/>
          <w:szCs w:val="20"/>
        </w:rPr>
        <w:t xml:space="preserve">colonies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{"citationItems":[{"id":"ITEM-1","itemData":{"DOI":"10.1038/ismej.2011.115","ISSN":"17517362","PMID":"21900966","author":[{"dropping-particle":"","family":"Mooy","given":"Benjamin A S","non-dropping-particle":"Van","parse-names":false,"suffix":""},{"dropping-particle":"","family":"Hmelo","given":"Laura R.","non-dropping-particle":"","parse-names":false,"suffix":""},{"dropping-particle":"","family":"Sofen","given":"Laura E.","non-dropping-particle":"","parse-names":false,"suffix":""},{"dropping-particle":"","family":"Campagna","given":"Shawn R.","non-dropping-particle":"","parse-names":false,"suffix":""},{"dropping-particle":"","family":"May","given":"Amanda L.","non-dropping-particle":"","parse-names":false,"suffix":""},{"dropping-particle":"","family":"Dyhrman","given":"Sonya T.","non-dropping-particle":"","parse-names":false,"suffix":""},{"dropping-particle":"","family":"Heithoff","given":"Abigail","non-dropping-particle":"","parse-names":false,"suffix":""},{"dropping-particle":"","family":"Webb","given":"Eric A.","non-dropping-particle":"","parse-names":false,"suffix":""},{"dropping-particle":"","family":"Momper","given":"Lily","non-dropping-particle":"","parse-names":false,"suffix":""},{"dropping-particle":"","family":"Mincer","given":"Tracy J.","non-dropping-particle":"","parse-names":false,"suffix":""}],"container-title":"ISME Journal","id":"ITEM-1","issue":"2","issued":{"date-parts":[["2012","2"]]},"page":"422-429","publisher":"Nature Publishing Group","title":"Quorum sensing control of phosphorus acquisition in &lt;i&gt;Trichodesmium&lt;/i&gt; consortia","type":"article-journal","volume":"6"},"uris":["http://www.mendeley.com/documents/?uuid=b260c708-f8d5-47a5-bc22-b8fea109fff5"]}],"mendeley":{"formattedCitation":"(9)","plainTextFormattedCitation":"(9)","previouslyFormattedCitation":"(Van Mooy et al. 2012)"},"properties":{"noteIndex":0},"schema":"https://github.com/citation-style-language/schema/raw/master/csl-citation.json"}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(9)</w:t>
      </w:r>
      <w:r w:rsidRPr="00AB51A9">
        <w:rPr>
          <w:rFonts w:ascii="Verdana" w:hAnsi="Verdana" w:cs="Times New Roman"/>
          <w:sz w:val="20"/>
          <w:szCs w:val="20"/>
        </w:rPr>
        <w:fldChar w:fldCharType="end"/>
      </w:r>
      <w:r w:rsidRPr="00AB51A9">
        <w:rPr>
          <w:rFonts w:ascii="Verdana" w:hAnsi="Verdana" w:cs="Times New Roman"/>
          <w:sz w:val="20"/>
          <w:szCs w:val="20"/>
        </w:rPr>
        <w:t xml:space="preserve">, and polymer test surfaces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{"citationItems":[{"id":"ITEM-1","itemData":{"DOI":"10.1128/aem.66.2.467-475.2000","ISSN":"0099-2240","PMID":"10653705","abstract":"The nearly universal colonization of surfaces in marine waters by bacteria and the formation of biofilms and biofouling communities have important implications for ecological function and industrial processes. However, the dynamics of surface attachment and colonization in situ, particularly during the early stages of biofilm establishment, are not well understood. Experimental surfaces that differed in their degrees of hydrophilicity or hydrophobicity were incubated in a salt marsh estuary tidal creek for 24 or 72 h. The organisms colonizing these surfaces were examined by using a cultivation-independent approach, amplified ribosomal DNA restriction analysis. The goals of this study were to assess the diversity of bacterial colonists involved in early succession on a variety of surfaces and to determine the phylogenetic affiliations of the most common early colonists. Substantial differences in the representation of different cloned ribosomal DNA sequences were found when the 24- and 72-h incubations were compared, indicating that some new organisms were recruited and some other organisms were lost. Phylogenetic analyses of the most common sequences recovered showed that the colonists were related to organisms known to inhabit surfaces or particles in marine systems. A total of 22 of the 26 clones sequenced were affiliated with the Roseobacter subgroup of the alpha subdivision of the division Proteobacteria (alpha-Proteobacteria), and most of these clones were recovered at a high frequency from all surfaces after 24 or 72 h of incubation. Two clones were affiliated with the Alteromonas group of the gamma-Proteobacteria and appeared to be involved only in the very early stages of colonization (within the first 24 h). A comparison of the colonization patterns on the test surfaces indicated that the early bacterial community succession rate and/or direction may be influenced by surface physicochemical properties. However, organisms belonging to the Roseobacter subgroup are ubiquitous and rapid colonizers of surfaces in coastal environments.","author":[{"dropping-particle":"","family":"Dang","given":"H","non-dropping-particle":"","parse-names":false,"suffix":""},{"dropping-particle":"","family":"Lovell","given":"C R","non-dropping-particle":"","parse-names":false,"suffix":""}],"container-title":"Applied and environmental microbiology","id":"ITEM-1","issue":"2","issued":{"date-parts":[["2000","2"]]},"page":"467-75","title":"Bacterial primary colonization and early succession on surfaces in marine waters as determined by amplified rRNA gene restriction analysis and sequence analysis of 16S rRNA genes.","type":"article-journal","volume":"66"},"uris":["http://www.mendeley.com/documents/?uuid=ae1cb107-ded7-3c26-a341-bcce1ad3e495"]}],"mendeley":{"formattedCitation":"(10)","plainTextFormattedCitation":"(10)","previouslyFormattedCitation":"(H Dang and Lovell 2000)"},"properties":{"noteIndex":0},"schema":"https://github.com/citation-style-language/schema/raw/master/csl-citation.json"}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(10)</w:t>
      </w:r>
      <w:r w:rsidRPr="00AB51A9">
        <w:rPr>
          <w:rFonts w:ascii="Verdana" w:hAnsi="Verdana" w:cs="Times New Roman"/>
          <w:sz w:val="20"/>
          <w:szCs w:val="20"/>
        </w:rPr>
        <w:fldChar w:fldCharType="end"/>
      </w:r>
      <w:r w:rsidRPr="00AB51A9">
        <w:rPr>
          <w:rFonts w:ascii="Verdana" w:hAnsi="Verdana" w:cs="Times New Roman"/>
          <w:sz w:val="20"/>
          <w:szCs w:val="20"/>
        </w:rPr>
        <w:t xml:space="preserve">. Recent genomic evidence suggests up to 87% of sequenced Roseobacter genomes contain at least one QS systems. Of those, half contain multiple QS systems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{"citationItems":[{"id":"ITEM-1","itemData":{"DOI":"10.3390/ijms15010654","ISSN":"1422-0067","PMID":"24402124","abstract":"Members of the Roseobacter clade are ecologically important and numerically abundant in coastal environments and can associate with marine invertebrates and nutrient-rich marine snow or organic particles, on which quorum sensing (QS) may play an important role. In this review, we summarize current research progress on roseobacterial acyl-homoserine lactone-based QS, particularly focusing on three relatively well-studied representatives, Phaeobacter inhibens DSM17395, the marine sponge symbiont Ruegeria sp. KLH11 and the dinoflagellate symbiont Dinoroseobacter shibae. Bioinformatic survey of luxI homologues revealed that over 80% of available roseobacterial genomes encode at least one luxI homologue, reflecting the significance of QS controlled regulatory pathways in adapting to the relevant marine environments. We also discuss several areas that warrant further investigation, including studies on the ecological role of these diverse QS pathways in natural environments.","author":[{"dropping-particle":"","family":"Zan","given":"Jindong","non-dropping-particle":"","parse-names":false,"suffix":""},{"dropping-particle":"","family":"Liu","given":"Yue","non-dropping-particle":"","parse-names":false,"suffix":""},{"dropping-particle":"","family":"Fuqua","given":"Clay","non-dropping-particle":"","parse-names":false,"suffix":""},{"dropping-particle":"","family":"Hill","given":"Russell","non-dropping-particle":"","parse-names":false,"suffix":""}],"container-title":"International Journal of Molecular Sciences","id":"ITEM-1","issue":"1","issued":{"date-parts":[["2014","1","7"]]},"page":"654-669","title":"Acyl-Homoserine Lactone Quorum Sensing in the Roseobacter Clade","type":"article-journal","volume":"15"},"uris":["http://www.mendeley.com/documents/?uuid=6a6d5a2d-f3a9-3ca3-bfbd-c3dc95862f42"]}],"mendeley":{"formattedCitation":"(11)","plainTextFormattedCitation":"(11)","previouslyFormattedCitation":"(Zan et al. 2014)"},"properties":{"noteIndex":0},"schema":"https://github.com/citation-style-language/schema/raw/master/csl-citation.json"}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(11)</w:t>
      </w:r>
      <w:r w:rsidRPr="00AB51A9">
        <w:rPr>
          <w:rFonts w:ascii="Verdana" w:hAnsi="Verdana" w:cs="Times New Roman"/>
          <w:sz w:val="20"/>
          <w:szCs w:val="20"/>
        </w:rPr>
        <w:fldChar w:fldCharType="end"/>
      </w:r>
      <w:r w:rsidRPr="00AB51A9">
        <w:rPr>
          <w:rFonts w:ascii="Verdana" w:hAnsi="Verdana" w:cs="Times New Roman"/>
          <w:sz w:val="20"/>
          <w:szCs w:val="20"/>
        </w:rPr>
        <w:t xml:space="preserve">. Despite the prevalence of QS systems identified in Roseobacter genomes, these systems have been studied in a limited number of strains. </w:t>
      </w:r>
    </w:p>
    <w:p w14:paraId="1F3CCDA6" w14:textId="045F7650" w:rsidR="00834C18" w:rsidRPr="00AB51A9" w:rsidRDefault="00834C18" w:rsidP="00677C01">
      <w:pPr>
        <w:spacing w:before="240"/>
        <w:ind w:firstLine="720"/>
        <w:jc w:val="both"/>
        <w:rPr>
          <w:rFonts w:ascii="Verdana" w:hAnsi="Verdana" w:cs="Times New Roman"/>
          <w:sz w:val="20"/>
          <w:szCs w:val="20"/>
        </w:rPr>
      </w:pPr>
      <w:r w:rsidRPr="00AB51A9">
        <w:rPr>
          <w:rFonts w:ascii="Verdana" w:hAnsi="Verdana" w:cs="Times New Roman"/>
          <w:sz w:val="20"/>
          <w:szCs w:val="20"/>
        </w:rPr>
        <w:t xml:space="preserve"> </w:t>
      </w:r>
      <w:r w:rsidRPr="00AB51A9">
        <w:rPr>
          <w:rFonts w:ascii="Verdana" w:hAnsi="Verdana" w:cs="Times New Roman"/>
          <w:i/>
          <w:iCs/>
          <w:sz w:val="20"/>
          <w:szCs w:val="20"/>
        </w:rPr>
        <w:t xml:space="preserve">Rhodobacterales sp. </w:t>
      </w:r>
      <w:r w:rsidRPr="00AB51A9">
        <w:rPr>
          <w:rFonts w:ascii="Verdana" w:hAnsi="Verdana" w:cs="Times New Roman"/>
          <w:sz w:val="20"/>
          <w:szCs w:val="20"/>
        </w:rPr>
        <w:t xml:space="preserve">Y4I shows promise as an emerging model organism to better understand the roles QS play in Roseobacter physiology. Isolated from a coastal marsh ecosystem in the southeastern United States, Y4I has been shown to be a competitive surface colonizer, prolific biofilm former, and a dominant member in mixed species mesocosm experiments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{"citationItems":[{"id":"ITEM-1","itemData":{"DOI":"10.1128/AEM.00297-12","ISBN":"0099-2240","ISSN":"00992240","PMID":"22582055","abstract":"Members of the Roseobacter lineage of marine bacteria are prolific surface colonizers in marine coastal environments, and antimicrobial secondary metabolite production has been hypothesized to provide a competitive advantage to colonizing roseobacters. Here, we report that the roseobacter Phaeobacter sp. strain Y4I produces the blue pigment indigoidine via a nonribosomal peptide synthase (NRPS)-based biosynthetic pathway encoded by a novel series of genetically linked genes: igiBCDFE. A Tn5-based random mutagenesis library of Y4I showed a perfect correlation between indigoidine production by the Phaeobacter strain and inhibition of Vibrio fischeri on agar plates, revealing a previously unrecognized bioactivity of this molecule. In addition, igiD null mutants (igiD encoding the indigoidine NRPS) were more resistant to hydrogen peroxide, less motile, and faster to colonize an artificial surface than the wild-type strain. Collectively, these data provide evidence for pleiotropic effects of indigoidine production in this strain. Gene expression assays support phenotypic observations and demonstrate that igiD gene expression is upregulated during growth on surfaces. Furthermore, competitive cocultures of V. fischeri and Y4I show that the production of indigoidine by Y4I significantly inhibits colonization of V. fischeri on surfaces. This study is the first to characterize a secondary metabolite produced by an NRPS in roseobacters.","author":[{"dropping-particle":"","family":"Cude","given":"W. Nathan","non-dropping-particle":"","parse-names":false,"suffix":""},{"dropping-particle":"","family":"Mooney","given":"Jason","non-dropping-particle":"","parse-names":false,"suffix":""},{"dropping-particle":"","family":"Tavanaei","given":"Arash A.","non-dropping-particle":"","parse-names":false,"suffix":""},{"dropping-particle":"","family":"Hadden","given":"Mary K.","non-dropping-particle":"","parse-names":false,"suffix":""},{"dropping-particle":"","family":"Frank","given":"Ashley M.","non-dropping-particle":"","parse-names":false,"suffix":""},{"dropping-particle":"","family":"Gulvik","given":"Christopher A.","non-dropping-particle":"","parse-names":false,"suffix":""},{"dropping-particle":"","family":"May","given":"Amanda L.","non-dropping-particle":"","parse-names":false,"suffix":""},{"dropping-particle":"","family":"Buchan","given":"Alison","non-dropping-particle":"","parse-names":false,"suffix":""}],"container-title":"Applied and Environmental Microbiology","id":"ITEM-1","issue":"14","issued":{"date-parts":[["2012"]]},"page":"4771-4780","title":"Production of the antimicrobial secondary metabolite indigoidine contributes to competitive surface colonization by the marine roseobacter &lt;i&gt;Phaeobacter sp. &lt;/i&gt; strain Y4I","type":"article-journal","volume":"78"},"uris":["http://www.mendeley.com/documents/?uuid=724a6358-e74e-4f7e-ae9f-a18df1b39f19"]},{"id":"ITEM-2","itemData":{"DOI":"10.3389/fmicb.2019.00493","author":[{"dropping-particle":"","family":"Quigley","given":"Lauren N M","non-dropping-particle":"","parse-names":false,"suffix":""},{"dropping-particle":"","family":"Edwards","given":"Abigail","non-dropping-particle":"","parse-names":false,"suffix":""},{"dropping-particle":"","family":"Steen","given":"Andrew D","non-dropping-particle":"","parse-names":false,"suffix":""},{"dropping-particle":"","family":"Buchan","given":"Alison","non-dropping-particle":"","parse-names":false,"suffix":""},{"dropping-particle":"","family":"Fagervold","given":"Sonja Kristine","non-dropping-particle":"","parse-names":false,"suffix":""}],"container-title":"Frontiers in microbiology","id":"ITEM-2","issue":"March","issued":{"date-parts":[["2019"]]},"page":"1-15","title":"Characterization of the Interactive Effects of Labile and Recalcitrant Organic Matter on Microbial Growth and Metabolism","type":"article-journal","volume":"10"},"uris":["http://www.mendeley.com/documents/?uuid=2dbf1693-0edc-440b-a793-5f5ca32bc13e"]}],"mendeley":{"formattedCitation":"(12, 13)","plainTextFormattedCitation":"(12, 13)","previouslyFormattedCitation":"(Cude et al. 2012; Quigley et al. 2019)"},"properties":{"noteIndex":0},"schema":"https://github.com/citation-style-language/schema/raw/master/csl-citation.json"}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(12, 13)</w:t>
      </w:r>
      <w:r w:rsidRPr="00AB51A9">
        <w:rPr>
          <w:rFonts w:ascii="Verdana" w:hAnsi="Verdana" w:cs="Times New Roman"/>
          <w:sz w:val="20"/>
          <w:szCs w:val="20"/>
        </w:rPr>
        <w:fldChar w:fldCharType="end"/>
      </w:r>
      <w:r w:rsidRPr="00AB51A9">
        <w:rPr>
          <w:rFonts w:ascii="Verdana" w:hAnsi="Verdana" w:cs="Times New Roman"/>
          <w:sz w:val="20"/>
          <w:szCs w:val="20"/>
        </w:rPr>
        <w:t>. Specifically, Y4I has been shown to have a competitive advantage against other marine bacteria</w:t>
      </w:r>
      <w:r w:rsidRPr="00AB51A9">
        <w:rPr>
          <w:rFonts w:ascii="Verdana" w:hAnsi="Verdana" w:cs="Times New Roman"/>
          <w:iCs/>
          <w:sz w:val="20"/>
          <w:szCs w:val="20"/>
        </w:rPr>
        <w:t xml:space="preserve">, including members of its own clade, when grown on a surface. This fitness advantage has been demonstrated to be linked to the production of the </w:t>
      </w:r>
      <w:r w:rsidRPr="00AB51A9">
        <w:rPr>
          <w:rFonts w:ascii="Verdana" w:hAnsi="Verdana" w:cs="Times New Roman"/>
          <w:sz w:val="20"/>
          <w:szCs w:val="20"/>
        </w:rPr>
        <w:t>blue-pigmented, redox reactive antimicrobial indigoidine</w:t>
      </w:r>
      <w:r w:rsidRPr="00AB51A9">
        <w:rPr>
          <w:rFonts w:ascii="Verdana" w:hAnsi="Verdana" w:cs="Times New Roman"/>
          <w:iCs/>
          <w:sz w:val="20"/>
          <w:szCs w:val="20"/>
        </w:rPr>
        <w:t xml:space="preserve"> </w:t>
      </w:r>
      <w:r w:rsidRPr="00AB51A9">
        <w:rPr>
          <w:rFonts w:ascii="Verdana" w:hAnsi="Verdana" w:cs="Times New Roman"/>
          <w:i/>
          <w:sz w:val="20"/>
          <w:szCs w:val="20"/>
        </w:rPr>
        <w:fldChar w:fldCharType="begin" w:fldLock="1"/>
      </w:r>
      <w:r w:rsidR="00B77EC7" w:rsidRPr="00AB51A9">
        <w:rPr>
          <w:rFonts w:ascii="Verdana" w:hAnsi="Verdana" w:cs="Times New Roman"/>
          <w:i/>
          <w:sz w:val="20"/>
          <w:szCs w:val="20"/>
        </w:rPr>
        <w:instrText>ADDIN CSL_CITATION {"citationItems":[{"id":"ITEM-1","itemData":{"DOI":"10.1128/AEM.00297-12","ISBN":"0099-2240","ISSN":"00992240","PMID":"22582055","abstract":"Members of the Roseobacter lineage of marine bacteria are prolific surface colonizers in marine coastal environments, and antimicrobial secondary metabolite production has been hypothesized to provide a competitive advantage to colonizing roseobacters. Here, we report that the roseobacter Phaeobacter sp. strain Y4I produces the blue pigment indigoidine via a nonribosomal peptide synthase (NRPS)-based biosynthetic pathway encoded by a novel series of genetically linked genes: igiBCDFE. A Tn5-based random mutagenesis library of Y4I showed a perfect correlation between indigoidine production by the Phaeobacter strain and inhibition of Vibrio fischeri on agar plates, revealing a previously unrecognized bioactivity of this molecule. In addition, igiD null mutants (igiD encoding the indigoidine NRPS) were more resistant to hydrogen peroxide, less motile, and faster to colonize an artificial surface than the wild-type strain. Collectively, these data provide evidence for pleiotropic effects of indigoidine production in this strain. Gene expression assays support phenotypic observations and demonstrate that igiD gene expression is upregulated during growth on surfaces. Furthermore, competitive cocultures of V. fischeri and Y4I show that the production of indigoidine by Y4I significantly inhibits colonization of V. fischeri on surfaces. This study is the first to characterize a secondary metabolite produced by an NRPS in roseobacters.","author":[{"dropping-particle":"","family":"Cude","given":"W. Nathan","non-dropping-particle":"","parse-names":false,"suffix":""},{"dropping-particle":"","family":"Mooney","given":"Jason","non-dropping-particle":"","parse-names":false,"suffix":""},{"dropping-particle":"","family":"Tavanaei","given":"Arash A.","non-dropping-particle":"","parse-names":false,"suffix":""},{"dropping-particle":"","family":"Hadden","given":"Mary K.","non-dropping-particle":"","parse-names":false,"suffix":""},{"dropping-particle":"","family":"Frank","given":"Ashley M.","non-dropping-particle":"","parse-names":false,"suffix":""},{"dropping-particle":"","family":"Gulvik","given":"Christopher A.","non-dropping-particle":"","parse-names":false,"suffix":""},{"dropping-particle":"","family":"May","given":"Amanda L.","non-dropping-particle":"","parse-names":false,"suffix":""},{"dropping-particle":"","family":"Buchan","given":"Alison","non-dropping-particle":"","parse-names":false,"suffix":""}],"container-title":"Applied and Environmental Microbiology","id":"ITEM-1","issue":"14","issued":{"date-parts":[["2012"]]},"page":"4771-4780","title":"Production of the antimicrobial secondary metabolite indigoidine contributes to competitive surface colonization by the marine roseobacter &lt;i&gt;Phaeobacter sp. &lt;/i&gt; strain Y4I","type":"article-journal","volume":"78"},"uris":["http://www.mendeley.com/documents/?uuid=724a6358-e74e-4f7e-ae9f-a18df1b39f19"]}],"mendeley":{"formattedCitation":"(12)","plainTextFormattedCitation":"(12)","previouslyFormattedCitation":"(Cude et al. 2012)"},"properties":{"noteIndex":0},"schema":"https://github.com/citation-style-language/schema/raw/master/csl-citation.json"}</w:instrText>
      </w:r>
      <w:r w:rsidRPr="00AB51A9">
        <w:rPr>
          <w:rFonts w:ascii="Verdana" w:hAnsi="Verdana" w:cs="Times New Roman"/>
          <w:i/>
          <w:sz w:val="20"/>
          <w:szCs w:val="20"/>
        </w:rPr>
        <w:fldChar w:fldCharType="separate"/>
      </w:r>
      <w:r w:rsidR="00B77EC7" w:rsidRPr="00AB51A9">
        <w:rPr>
          <w:rFonts w:ascii="Verdana" w:hAnsi="Verdana" w:cs="Times New Roman"/>
          <w:noProof/>
          <w:sz w:val="20"/>
          <w:szCs w:val="20"/>
        </w:rPr>
        <w:t>(12)</w:t>
      </w:r>
      <w:r w:rsidRPr="00AB51A9">
        <w:rPr>
          <w:rFonts w:ascii="Verdana" w:hAnsi="Verdana" w:cs="Times New Roman"/>
          <w:i/>
          <w:sz w:val="20"/>
          <w:szCs w:val="20"/>
        </w:rPr>
        <w:fldChar w:fldCharType="end"/>
      </w:r>
      <w:r w:rsidRPr="00AB51A9">
        <w:rPr>
          <w:rFonts w:ascii="Verdana" w:hAnsi="Verdana" w:cs="Times New Roman"/>
          <w:i/>
          <w:sz w:val="20"/>
          <w:szCs w:val="20"/>
        </w:rPr>
        <w:t xml:space="preserve">. </w:t>
      </w:r>
      <w:r w:rsidRPr="00AB51A9">
        <w:rPr>
          <w:rFonts w:ascii="Verdana" w:hAnsi="Verdana" w:cs="Times New Roman"/>
          <w:iCs/>
          <w:sz w:val="20"/>
          <w:szCs w:val="20"/>
        </w:rPr>
        <w:t>Indigoidine is regulated by two QS systems,</w:t>
      </w:r>
      <w:r w:rsidRPr="00AB51A9">
        <w:rPr>
          <w:rFonts w:ascii="Verdana" w:hAnsi="Verdana" w:cs="Times New Roman"/>
          <w:i/>
          <w:sz w:val="20"/>
          <w:szCs w:val="20"/>
        </w:rPr>
        <w:t xml:space="preserve"> </w:t>
      </w:r>
      <w:proofErr w:type="spellStart"/>
      <w:r w:rsidRPr="00AB51A9">
        <w:rPr>
          <w:rFonts w:ascii="Verdana" w:hAnsi="Verdana" w:cs="Times New Roman"/>
          <w:i/>
          <w:sz w:val="20"/>
          <w:szCs w:val="20"/>
        </w:rPr>
        <w:t>phaRI</w:t>
      </w:r>
      <w:proofErr w:type="spellEnd"/>
      <w:r w:rsidRPr="00AB51A9">
        <w:rPr>
          <w:rFonts w:ascii="Verdana" w:hAnsi="Verdana" w:cs="Times New Roman"/>
          <w:i/>
          <w:sz w:val="20"/>
          <w:szCs w:val="20"/>
        </w:rPr>
        <w:t xml:space="preserve"> </w:t>
      </w:r>
      <w:r w:rsidRPr="00AB51A9">
        <w:rPr>
          <w:rFonts w:ascii="Verdana" w:hAnsi="Verdana" w:cs="Times New Roman"/>
          <w:iCs/>
          <w:sz w:val="20"/>
          <w:szCs w:val="20"/>
        </w:rPr>
        <w:t xml:space="preserve">(QS1) and </w:t>
      </w:r>
      <w:proofErr w:type="spellStart"/>
      <w:r w:rsidRPr="00AB51A9">
        <w:rPr>
          <w:rFonts w:ascii="Verdana" w:hAnsi="Verdana" w:cs="Times New Roman"/>
          <w:i/>
          <w:sz w:val="20"/>
          <w:szCs w:val="20"/>
        </w:rPr>
        <w:t>pgaRI</w:t>
      </w:r>
      <w:proofErr w:type="spellEnd"/>
      <w:r w:rsidRPr="00AB51A9">
        <w:rPr>
          <w:rFonts w:ascii="Verdana" w:hAnsi="Verdana" w:cs="Times New Roman"/>
          <w:i/>
          <w:sz w:val="20"/>
          <w:szCs w:val="20"/>
        </w:rPr>
        <w:t xml:space="preserve"> </w:t>
      </w:r>
      <w:r w:rsidRPr="00AB51A9">
        <w:rPr>
          <w:rFonts w:ascii="Verdana" w:hAnsi="Verdana" w:cs="Times New Roman"/>
          <w:iCs/>
          <w:sz w:val="20"/>
          <w:szCs w:val="20"/>
        </w:rPr>
        <w:t xml:space="preserve">(QS2), in this strain. Previous studies demonstrated a </w:t>
      </w:r>
      <w:r w:rsidRPr="00AB51A9">
        <w:rPr>
          <w:rFonts w:ascii="Verdana" w:hAnsi="Verdana" w:cs="Times New Roman"/>
          <w:sz w:val="20"/>
          <w:szCs w:val="20"/>
        </w:rPr>
        <w:t xml:space="preserve">disruption of either QS system influences both indigoidine and AHL production. However, the contributions of each QS system to production of indigoidine were ambiguous due to the expression of a leaky phenotype in a QS1 mutant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{"citationItems":[{"id":"ITEM-1","itemData":{"DOI":"10.1128/AEM.02551-14","ISBN":"0099-2240","ISSN":"10985336","PMID":"25527537","abstract":"The marine roseobacter Phaeobacter sp. strain Y4I synthesizes the blue antimicrobial secondary metabolite indigoidine when grown in a biofilm or on agar plates. Prior studies suggested that indigoidine production may be, in part, regulated by cell-to-cell communication systems. Phaeobacter sp. strain Y4I possesses two luxR and luxI homologous N-acyl-L-homoserine lactone (AHL)-mediated cell-to-cell communication systems, designated pgaRI and phaRI. We show here that Y4I produces two dominant AHLs, the novel monounsaturated N-(3-hydroxydodecenoyl)-L-homoserine lactone (3OHC12:1-HSL) and the relatively common N-octanoyl-L-homoserine lactone (C8-HSL), and provide evidence that they are synthesized by PhaI and PgaI, respectively. A Tn5 insertional mutation in either genetic locus results in the abolishment (pgaR::Tn5) or reduction (phaR::Tn5) of pigment production. Motility defects and denser biofilms were also observed in these mutant backgrounds, suggesting an overlap in the functional roles of these systems. Production of the AHLs occurs at distinct points during growth on an agar surface and was determined by isotope dilution high-performance liquid chromatography–tandem mass spectrometry (ID-HPLC-MS/MS) analysis. Within 2 h of surface inoculation, only 3OHC12:1-HSL was detected in agar extracts. As surface-attached cells became established (at\u000210 h), the concentration of 3OHC12:1-HSL decreased, and the concentration of C8-HSL increased rapidly over 14 h. After longer (&gt;24-h) establishment periods, the concentrations of the two AHLs increased to and stabilized at\u000215 nM and \u0002600 nM for 3OHC12:1-HSL and C8-HSL, respectively. In contrast, the total amount of indigoidine increased steadily from undetectable to 642 \u0002Mby 48 h. Gene expression profiles of the AHL and indigoidine synthases (pgaI, phaI, and igiD) were consistent with their metabolite profiles. These data provide evidence that pgaRI and phaRI play overlapping roles in the regulation of indigoidine biosynthesis, and it is postulated that this allows Phaeobacter sp. strain Y4I to coordinate production of indigoidine with different growth-phase-dependent physiologies.","author":[{"dropping-particle":"","family":"Cude","given":"W. Nathan","non-dropping-particle":"","parse-names":false,"suffix":""},{"dropping-particle":"","family":"Prevatte","given":"Carson W.","non-dropping-particle":"","parse-names":false,"suffix":""},{"dropping-particle":"","family":"Hadden","given":"Mary K.","non-dropping-particle":"","parse-names":false,"suffix":""},{"dropping-particle":"","family":"May","given":"Amanda L.","non-dropping-particle":"","parse-names":false,"suffix":""},{"dropping-particle":"","family":"Smith","given":"Russell T.","non-dropping-particle":"","parse-names":false,"suffix":""},{"dropping-particle":"","family":"Swain","given":"Caleb L.","non-dropping-particle":"","parse-names":false,"suffix":""},{"dropping-particle":"","family":"Campagna","given":"Shawn R.","non-dropping-particle":"","parse-names":false,"suffix":""},{"dropping-particle":"","family":"Buchan","given":"Alison","non-dropping-particle":"","parse-names":false,"suffix":""}],"container-title":"Applied and Environmental Microbiology","id":"ITEM-1","issue":"4","issued":{"date-parts":[["2015"]]},"page":"1417-1425","title":"&lt;i&gt;Phaeobacter sp.&lt;/i&gt; strain Y4I utilizes two separate cell-to-cell communication systems to regulate production of the antimicrobial indigoidine","type":"article-journal","volume":"81"},"uris":["http://www.mendeley.com/documents/?uuid=35095d74-a8b3-4c92-850e-3ce548f6d528"]}],"mendeley":{"formattedCitation":"(14)","plainTextFormattedCitation":"(14)","previouslyFormattedCitation":"(Cude et al. 2015)"},"properties":{"noteIndex":0},"schema":"https://github.com/citation-style-language/schema/raw/master/csl-citation.json"}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(14)</w:t>
      </w:r>
      <w:r w:rsidRPr="00AB51A9">
        <w:rPr>
          <w:rFonts w:ascii="Verdana" w:hAnsi="Verdana" w:cs="Times New Roman"/>
          <w:sz w:val="20"/>
          <w:szCs w:val="20"/>
        </w:rPr>
        <w:fldChar w:fldCharType="end"/>
      </w:r>
      <w:r w:rsidRPr="00AB51A9">
        <w:rPr>
          <w:rFonts w:ascii="Verdana" w:hAnsi="Verdana" w:cs="Times New Roman"/>
          <w:sz w:val="20"/>
          <w:szCs w:val="20"/>
        </w:rPr>
        <w:t xml:space="preserve">. In addition, the regulatory network governing indigoidine biosynthesis is complex, particularly given that surface attachment is a prerequisite for its production, suggesting that cellular mechanisms beyond QS alone may play a role in coordinated cellular responses to environmental conditions. </w:t>
      </w:r>
      <w:r w:rsidRPr="00AB51A9">
        <w:rPr>
          <w:rFonts w:ascii="Verdana" w:hAnsi="Verdana" w:cs="Times New Roman"/>
          <w:bCs/>
          <w:sz w:val="20"/>
          <w:szCs w:val="20"/>
        </w:rPr>
        <w:t xml:space="preserve">Here, we assess the hierarchical organization of these two QS systems to coordinate production of the antimicrobial </w:t>
      </w:r>
      <w:r w:rsidRPr="00AB51A9">
        <w:rPr>
          <w:rFonts w:ascii="Verdana" w:hAnsi="Verdana" w:cs="Times New Roman"/>
          <w:sz w:val="20"/>
          <w:szCs w:val="20"/>
        </w:rPr>
        <w:t xml:space="preserve">indigoidine </w:t>
      </w:r>
      <w:r w:rsidRPr="00AB51A9">
        <w:rPr>
          <w:rFonts w:ascii="Verdana" w:hAnsi="Verdana" w:cs="Times New Roman"/>
          <w:bCs/>
          <w:sz w:val="20"/>
          <w:szCs w:val="20"/>
        </w:rPr>
        <w:t xml:space="preserve">and biofilm formation. We also present evidence that the secondary global messenger, c-di-GMP, is integrated into the complex regulatory network governing surface attachment and indigoidine production. </w:t>
      </w:r>
    </w:p>
    <w:p w14:paraId="46000442" w14:textId="77777777" w:rsidR="00236E6D" w:rsidRPr="00C51113" w:rsidRDefault="00236E6D" w:rsidP="00677C01">
      <w:pPr>
        <w:spacing w:before="240"/>
        <w:jc w:val="both"/>
        <w:rPr>
          <w:rFonts w:ascii="Verdana" w:hAnsi="Verdana" w:cs="Times New Roman"/>
          <w:sz w:val="18"/>
          <w:szCs w:val="18"/>
        </w:rPr>
      </w:pPr>
    </w:p>
    <w:p w14:paraId="09B02861" w14:textId="6708A955" w:rsidR="00236E6D" w:rsidRPr="00AB51A9" w:rsidRDefault="004B489D" w:rsidP="00677C01">
      <w:pPr>
        <w:pStyle w:val="Heading2"/>
        <w:numPr>
          <w:ilvl w:val="0"/>
          <w:numId w:val="7"/>
        </w:numPr>
        <w:jc w:val="left"/>
        <w:rPr>
          <w:rFonts w:ascii="Verdana" w:hAnsi="Verdana" w:cs="Times New Roman"/>
          <w:sz w:val="24"/>
          <w:szCs w:val="24"/>
        </w:rPr>
      </w:pPr>
      <w:bookmarkStart w:id="13" w:name="_Toc83382595"/>
      <w:r w:rsidRPr="00AB51A9">
        <w:rPr>
          <w:rFonts w:ascii="Verdana" w:hAnsi="Verdana" w:cs="Times New Roman"/>
          <w:sz w:val="24"/>
          <w:szCs w:val="24"/>
        </w:rPr>
        <w:t>Materials and Methods</w:t>
      </w:r>
      <w:bookmarkEnd w:id="13"/>
    </w:p>
    <w:p w14:paraId="5C3852FB" w14:textId="4D9C964A" w:rsidR="004B489D" w:rsidRPr="00AB51A9" w:rsidRDefault="004B489D" w:rsidP="00677C01">
      <w:pPr>
        <w:spacing w:before="240"/>
        <w:jc w:val="both"/>
        <w:rPr>
          <w:rFonts w:ascii="Verdana" w:hAnsi="Verdana" w:cs="Times New Roman"/>
          <w:b/>
          <w:bCs/>
          <w:i/>
          <w:iCs/>
          <w:sz w:val="20"/>
          <w:szCs w:val="20"/>
        </w:rPr>
      </w:pPr>
      <w:r w:rsidRPr="00AB51A9">
        <w:rPr>
          <w:rFonts w:ascii="Verdana" w:hAnsi="Verdana" w:cs="Times New Roman"/>
          <w:b/>
          <w:bCs/>
          <w:i/>
          <w:iCs/>
          <w:sz w:val="20"/>
          <w:szCs w:val="20"/>
        </w:rPr>
        <w:t>Strains, growth conditions, and maintenance</w:t>
      </w:r>
    </w:p>
    <w:p w14:paraId="0B3E6D3A" w14:textId="540E7C07" w:rsidR="004B489D" w:rsidRPr="00AB51A9" w:rsidRDefault="004B489D" w:rsidP="00677C01">
      <w:pPr>
        <w:spacing w:before="240"/>
        <w:jc w:val="both"/>
        <w:rPr>
          <w:rFonts w:ascii="Verdana" w:hAnsi="Verdana" w:cs="Times New Roman"/>
          <w:sz w:val="20"/>
          <w:szCs w:val="20"/>
        </w:rPr>
      </w:pPr>
      <w:r w:rsidRPr="00AB51A9">
        <w:rPr>
          <w:rFonts w:ascii="Verdana" w:hAnsi="Verdana" w:cs="Times New Roman"/>
          <w:i/>
          <w:sz w:val="20"/>
          <w:szCs w:val="20"/>
        </w:rPr>
        <w:t xml:space="preserve">Rhodobacterales </w:t>
      </w:r>
      <w:r w:rsidRPr="00AB51A9">
        <w:rPr>
          <w:rFonts w:ascii="Verdana" w:hAnsi="Verdana" w:cs="Times New Roman"/>
          <w:sz w:val="20"/>
          <w:szCs w:val="20"/>
        </w:rPr>
        <w:t xml:space="preserve">sp. Y4I was previously isolated from an estuary off the coast of Georgia in the southeastern United States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{"citationItems":[{"id":"ITEM-1","itemData":{"DOI":"10.1128/aem.70.3.1658-1668.2004","ISSN":"0099-2240","PMID":"15006791","abstract":"Members of the Roseobacter lineage, an ecologically important marine clade within the class alpha-Proteobacteria, harbor genes for the protocatechuate branch of the beta-ketoadipate pathway, a major catabolic route for lignin-related aromatic compounds. The genes of this pathway are typically clustered, although gene order varies among organisms. Here we characterize genes linked to pcaH and -G, which encode protocatechuate 3,4-dioxygenase, in eight closely related members of the Roseobacter lineage (pairwise 16S rRNA gene sequence identities, 92 to 99%). Sequence analysis of genomic fragments revealed five unique pca gene arrangements. Identical gene organization was found for isolates demonstrating species-level identity (i.e., &gt;99% 16S rRNA gene similarity). In one isolate, six functionally related genes were clustered: pcaQ, pobA, pcaD, pcaC, pcaH, and pcaG. The remaining seven isolates lacked at least one of these genes in their clusters, although the relative order of the remaining genes was preserved. Three genes (pcaC, -H, and -G) were physically linked in all isolates. A highly conserved open reading frame (ORF) was found immediately downstream of pcaG in all eight isolates. Reverse transcription-PCR analysis of RNA from one isolate, Silicibacter pomeroyi DSS-3, provides evidence that this ORF is coexpressed with upstream pca genes. The absence of this ORF in similar bacterial pca gene clusters from diverse microbes suggests a niche-specific role for its protein product in Roseobacter group members. Collectively, these comparisons of bacterial pca gene organization illuminate a complex evolutionary history and underscore the widespread ecological importance of the encoded beta-ketoadipate pathway.","author":[{"dropping-particle":"","family":"Buchan","given":"Alison","non-dropping-particle":"","parse-names":false,"suffix":""},{"dropping-particle":"","family":"Neidle","given":"Ellen L.","non-dropping-particle":"","parse-names":false,"suffix":""},{"dropping-particle":"","family":"Moran","given":"Mary Ann","non-dropping-particle":"","parse-names":false,"suffix":""}],"container-title":"Applied and environmental microbiology","id":"ITEM-1","issue":"3","issued":{"date-parts":[["2004","3"]]},"page":"1658-68","publisher":"American Society for Microbiology (ASM)","title":"Diverse Organization of Genes of the B-Ketoadipate Pathway in Members of the Marine Roseobacter Lineage","type":"article-journal","volume":"70"},"uris":["http://www.mendeley.com/documents/?uuid=9c084933-b36b-4246-91b7-66d6eca249ad"]},{"id":"ITEM-2","itemData":{"DOI":"10.1128/AEM.01508-09","ISSN":"1098-5336","PMID":"19666726","abstract":"The Roseobacter clade is a broadly distributed, abundant, and biogeochemically relevant group of marine bacteria. Representatives are often associated with organic surfaces in disparate marine environments, suggesting that a sessile lifestyle is central to the ecology of lineage members. The importance of surface association and colonization has been demonstrated recently for select strains, and it has been hypothesized that production of antimicrobial agents, cell density-dependent regulatory mechanisms, and morphological features contribute to the colonization success of roseobacters. Drawing on these studies, insight into a broad representation of strains is facilitated by the availability of a substantial collection of genome sequences that provides a holistic view of these features among clade members. These genome data often corroborate phenotypic data but also reveal significant variation in terms of gene content and synteny among group members, even among closely related strains (congeners and conspecifics). Thus, while detailed studies of representative strains are serving as models for how roseobacters transition between planktonic and sessile lifestyles, it is becoming clear that additional studies are needed if we are to have a more comprehensive view of how these transitions occur in different lineage members. This is important if we are to understand how associations with surfaces influence metabolic activities contributing to the cycling of carbon and nutrients in the world's oceans.","author":[{"dropping-particle":"","family":"Slightom","given":"Rachael N","non-dropping-particle":"","parse-names":false,"suffix":""},{"dropping-particle":"","family":"Buchan","given":"Alison","non-dropping-particle":"","parse-names":false,"suffix":""}],"container-title":"Applied and environmental microbiology","id":"ITEM-2","issue":"19","issued":{"date-parts":[["2009","10","1"]]},"page":"6027-37","publisher":"American Society for Microbiology","title":"Surface colonization by marine roseobacters: integrating genotype and phenotype.","type":"article-journal","volume":"75"},"uris":["http://www.mendeley.com/documents/?uuid=6f14c520-3128-3be4-83e7-4ea334726f4b"]}],"mendeley":{"formattedCitation":"(15, 16)","plainTextFormattedCitation":"(15, 16)","previouslyFormattedCitation":"(Buchan, Neidle, and Moran 2004; Slightom and Buchan 2009)"},"properties":{"noteIndex":0},"schema":"https://github.com/citation-style-language/schema/raw/master/csl-citation.json"}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(15, 16)</w:t>
      </w:r>
      <w:r w:rsidRPr="00AB51A9">
        <w:rPr>
          <w:rFonts w:ascii="Verdana" w:hAnsi="Verdana" w:cs="Times New Roman"/>
          <w:sz w:val="20"/>
          <w:szCs w:val="20"/>
        </w:rPr>
        <w:fldChar w:fldCharType="end"/>
      </w:r>
      <w:r w:rsidRPr="00AB51A9">
        <w:rPr>
          <w:rFonts w:ascii="Verdana" w:hAnsi="Verdana" w:cs="Times New Roman"/>
          <w:sz w:val="20"/>
          <w:szCs w:val="20"/>
        </w:rPr>
        <w:t xml:space="preserve">. Insertional mutants in either the indigoidine synthase gene, </w:t>
      </w:r>
      <w:proofErr w:type="spellStart"/>
      <w:r w:rsidRPr="00AB51A9">
        <w:rPr>
          <w:rFonts w:ascii="Verdana" w:hAnsi="Verdana" w:cs="Times New Roman"/>
          <w:i/>
          <w:sz w:val="20"/>
          <w:szCs w:val="20"/>
        </w:rPr>
        <w:t>igiD</w:t>
      </w:r>
      <w:proofErr w:type="spellEnd"/>
      <w:r w:rsidRPr="00AB51A9">
        <w:rPr>
          <w:rFonts w:ascii="Verdana" w:hAnsi="Verdana" w:cs="Times New Roman"/>
          <w:sz w:val="20"/>
          <w:szCs w:val="20"/>
        </w:rPr>
        <w:t>::Tn5-Km</w:t>
      </w:r>
      <w:r w:rsidRPr="00AB51A9">
        <w:rPr>
          <w:rFonts w:ascii="Verdana" w:hAnsi="Verdana" w:cs="Times New Roman"/>
          <w:sz w:val="20"/>
          <w:szCs w:val="20"/>
          <w:vertAlign w:val="superscript"/>
        </w:rPr>
        <w:t>R</w:t>
      </w:r>
      <w:r w:rsidRPr="00AB51A9">
        <w:rPr>
          <w:rFonts w:ascii="Verdana" w:hAnsi="Verdana" w:cs="Times New Roman"/>
          <w:sz w:val="20"/>
          <w:szCs w:val="20"/>
        </w:rPr>
        <w:t xml:space="preserve"> (formerly Y401BD4), or QS transcriptional regulators, </w:t>
      </w:r>
      <w:proofErr w:type="spellStart"/>
      <w:r w:rsidRPr="00AB51A9">
        <w:rPr>
          <w:rFonts w:ascii="Verdana" w:hAnsi="Verdana" w:cs="Times New Roman"/>
          <w:i/>
          <w:sz w:val="20"/>
          <w:szCs w:val="20"/>
        </w:rPr>
        <w:t>phaR</w:t>
      </w:r>
      <w:proofErr w:type="spellEnd"/>
      <w:r w:rsidRPr="00AB51A9">
        <w:rPr>
          <w:rFonts w:ascii="Verdana" w:hAnsi="Verdana" w:cs="Times New Roman"/>
          <w:sz w:val="20"/>
          <w:szCs w:val="20"/>
        </w:rPr>
        <w:t>::Tn5-Km</w:t>
      </w:r>
      <w:r w:rsidRPr="00AB51A9">
        <w:rPr>
          <w:rFonts w:ascii="Verdana" w:hAnsi="Verdana" w:cs="Times New Roman"/>
          <w:sz w:val="20"/>
          <w:szCs w:val="20"/>
          <w:vertAlign w:val="superscript"/>
        </w:rPr>
        <w:t>R</w:t>
      </w:r>
      <w:r w:rsidRPr="00AB51A9">
        <w:rPr>
          <w:rFonts w:ascii="Verdana" w:hAnsi="Verdana" w:cs="Times New Roman"/>
          <w:sz w:val="20"/>
          <w:szCs w:val="20"/>
        </w:rPr>
        <w:t xml:space="preserve"> (formerly Y412AE6) and </w:t>
      </w:r>
      <w:proofErr w:type="spellStart"/>
      <w:r w:rsidRPr="00AB51A9">
        <w:rPr>
          <w:rFonts w:ascii="Verdana" w:hAnsi="Verdana" w:cs="Times New Roman"/>
          <w:i/>
          <w:sz w:val="20"/>
          <w:szCs w:val="20"/>
        </w:rPr>
        <w:t>pgaR</w:t>
      </w:r>
      <w:proofErr w:type="spellEnd"/>
      <w:r w:rsidRPr="00AB51A9">
        <w:rPr>
          <w:rFonts w:ascii="Verdana" w:hAnsi="Verdana" w:cs="Times New Roman"/>
          <w:sz w:val="20"/>
          <w:szCs w:val="20"/>
        </w:rPr>
        <w:t>::Tn5-Km</w:t>
      </w:r>
      <w:r w:rsidRPr="00AB51A9">
        <w:rPr>
          <w:rFonts w:ascii="Verdana" w:hAnsi="Verdana" w:cs="Times New Roman"/>
          <w:sz w:val="20"/>
          <w:szCs w:val="20"/>
          <w:vertAlign w:val="superscript"/>
        </w:rPr>
        <w:t>R</w:t>
      </w:r>
      <w:r w:rsidRPr="00AB51A9">
        <w:rPr>
          <w:rFonts w:ascii="Verdana" w:hAnsi="Verdana" w:cs="Times New Roman"/>
          <w:sz w:val="20"/>
          <w:szCs w:val="20"/>
        </w:rPr>
        <w:t xml:space="preserve"> (formerly Y411CE4) were previously generated using a mini Tn5 transposon system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{"citationItems":[{"id":"ITEM-1","itemData":{"DOI":"10.1128/AEM.00297-12","ISBN":"0099-2240","ISSN":"00992240","PMID":"22582055","abstract":"Members of the Roseobacter lineage of marine bacteria are prolific surface colonizers in marine coastal environments, and antimicrobial secondary metabolite production has been hypothesized to provide a competitive advantage to colonizing roseobacters. Here, we report that the roseobacter Phaeobacter sp. strain Y4I produces the blue pigment indigoidine via a nonribosomal peptide synthase (NRPS)-based biosynthetic pathway encoded by a novel series of genetically linked genes: igiBCDFE. A Tn5-based random mutagenesis library of Y4I showed a perfect correlation between indigoidine production by the Phaeobacter strain and inhibition of Vibrio fischeri on agar plates, revealing a previously unrecognized bioactivity of this molecule. In addition, igiD null mutants (igiD encoding the indigoidine NRPS) were more resistant to hydrogen peroxide, less motile, and faster to colonize an artificial surface than the wild-type strain. Collectively, these data provide evidence for pleiotropic effects of indigoidine production in this strain. Gene expression assays support phenotypic observations and demonstrate that igiD gene expression is upregulated during growth on surfaces. Furthermore, competitive cocultures of V. fischeri and Y4I show that the production of indigoidine by Y4I significantly inhibits colonization of V. fischeri on surfaces. This study is the first to characterize a secondary metabolite produced by an NRPS in roseobacters.","author":[{"dropping-particle":"","family":"Cude","given":"W. Nathan","non-dropping-particle":"","parse-names":false,"suffix":""},{"dropping-particle":"","family":"Mooney","given":"Jason","non-dropping-particle":"","parse-names":false,"suffix":""},{"dropping-particle":"","family":"Tavanaei","given":"Arash A.","non-dropping-particle":"","parse-names":false,"suffix":""},{"dropping-particle":"","family":"Hadden","given":"Mary K.","non-dropping-particle":"","parse-names":false,"suffix":""},{"dropping-particle":"","family":"Frank","given":"Ashley M.","non-dropping-particle":"","parse-names":false,"suffix":""},{"dropping-particle":"","family":"Gulvik","given":"Christopher A.","non-dropping-particle":"","parse-names":false,"suffix":""},{"dropping-particle":"","family":"May","given":"Amanda L.","non-dropping-particle":"","parse-names":false,"suffix":""},{"dropping-particle":"","family":"Buchan","given":"Alison","non-dropping-particle":"","parse-names":false,"suffix":""}],"container-title":"Applied and Environmental Microbiology","id":"ITEM-1","issue":"14","issued":{"date-parts":[["2012"]]},"page":"4771-4780","title":"Production of the antimicrobial secondary metabolite indigoidine contributes to competitive surface colonization by the marine roseobacter &lt;i&gt;Phaeobacter sp. &lt;/i&gt; strain Y4I","type":"article-journal","volume":"78"},"uris":["http://www.mendeley.com/documents/?uuid=724a6358-e74e-4f7e-ae9f-a18df1b39f19"]}],"mendeley":{"formattedCitation":"(12)","plainTextFormattedCitation":"(12)","previouslyFormattedCitation":"(Cude et al. 2012)"},"properties":{"noteIndex":0},"schema":"https://github.com/citation-style-language/schema/raw/master/csl-citation.json"}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(12)</w:t>
      </w:r>
      <w:r w:rsidRPr="00AB51A9">
        <w:rPr>
          <w:rFonts w:ascii="Verdana" w:hAnsi="Verdana" w:cs="Times New Roman"/>
          <w:sz w:val="20"/>
          <w:szCs w:val="20"/>
        </w:rPr>
        <w:fldChar w:fldCharType="end"/>
      </w:r>
      <w:r w:rsidRPr="00AB51A9">
        <w:rPr>
          <w:rFonts w:ascii="Verdana" w:hAnsi="Verdana" w:cs="Times New Roman"/>
          <w:sz w:val="20"/>
          <w:szCs w:val="20"/>
        </w:rPr>
        <w:t xml:space="preserve">. </w:t>
      </w:r>
      <w:proofErr w:type="spellStart"/>
      <w:r w:rsidRPr="00AB51A9">
        <w:rPr>
          <w:rFonts w:ascii="Verdana" w:hAnsi="Verdana" w:cs="Times New Roman"/>
          <w:i/>
          <w:sz w:val="20"/>
          <w:szCs w:val="20"/>
        </w:rPr>
        <w:t>Aliivibrio</w:t>
      </w:r>
      <w:proofErr w:type="spellEnd"/>
      <w:r w:rsidRPr="00AB51A9">
        <w:rPr>
          <w:rFonts w:ascii="Verdana" w:hAnsi="Verdana" w:cs="Times New Roman"/>
          <w:i/>
          <w:sz w:val="20"/>
          <w:szCs w:val="20"/>
        </w:rPr>
        <w:t xml:space="preserve"> </w:t>
      </w:r>
      <w:proofErr w:type="spellStart"/>
      <w:r w:rsidRPr="00AB51A9">
        <w:rPr>
          <w:rFonts w:ascii="Verdana" w:hAnsi="Verdana" w:cs="Times New Roman"/>
          <w:i/>
          <w:sz w:val="20"/>
          <w:szCs w:val="20"/>
        </w:rPr>
        <w:t>fischeri</w:t>
      </w:r>
      <w:proofErr w:type="spellEnd"/>
      <w:r w:rsidRPr="00AB51A9">
        <w:rPr>
          <w:rFonts w:ascii="Verdana" w:hAnsi="Verdana" w:cs="Times New Roman"/>
          <w:i/>
          <w:sz w:val="20"/>
          <w:szCs w:val="20"/>
        </w:rPr>
        <w:t xml:space="preserve"> </w:t>
      </w:r>
      <w:r w:rsidRPr="00AB51A9">
        <w:rPr>
          <w:rFonts w:ascii="Verdana" w:hAnsi="Verdana" w:cs="Times New Roman"/>
          <w:sz w:val="20"/>
          <w:szCs w:val="20"/>
        </w:rPr>
        <w:t xml:space="preserve">ES114 (ATCC 700601) was kindly provided by Eric Stabb (University of Illinois). </w:t>
      </w:r>
      <w:r w:rsidRPr="00AB51A9">
        <w:rPr>
          <w:rFonts w:ascii="Verdana" w:hAnsi="Verdana" w:cs="Times New Roman"/>
          <w:i/>
          <w:sz w:val="20"/>
          <w:szCs w:val="20"/>
        </w:rPr>
        <w:t xml:space="preserve"> </w:t>
      </w:r>
      <w:r w:rsidRPr="00AB51A9">
        <w:rPr>
          <w:rFonts w:ascii="Verdana" w:hAnsi="Verdana" w:cs="Times New Roman"/>
          <w:sz w:val="20"/>
          <w:szCs w:val="20"/>
        </w:rPr>
        <w:t xml:space="preserve">Unless otherwise noted, all Y4I and </w:t>
      </w:r>
      <w:r w:rsidRPr="00AB51A9">
        <w:rPr>
          <w:rFonts w:ascii="Verdana" w:hAnsi="Verdana" w:cs="Times New Roman"/>
          <w:i/>
          <w:sz w:val="20"/>
          <w:szCs w:val="20"/>
        </w:rPr>
        <w:t xml:space="preserve">A. </w:t>
      </w:r>
      <w:proofErr w:type="spellStart"/>
      <w:r w:rsidRPr="00AB51A9">
        <w:rPr>
          <w:rFonts w:ascii="Verdana" w:hAnsi="Verdana" w:cs="Times New Roman"/>
          <w:i/>
          <w:sz w:val="20"/>
          <w:szCs w:val="20"/>
        </w:rPr>
        <w:t>fischeri</w:t>
      </w:r>
      <w:proofErr w:type="spellEnd"/>
      <w:r w:rsidRPr="00AB51A9">
        <w:rPr>
          <w:rFonts w:ascii="Verdana" w:hAnsi="Verdana" w:cs="Times New Roman"/>
          <w:i/>
          <w:sz w:val="20"/>
          <w:szCs w:val="20"/>
        </w:rPr>
        <w:t xml:space="preserve"> </w:t>
      </w:r>
      <w:r w:rsidRPr="00AB51A9">
        <w:rPr>
          <w:rFonts w:ascii="Verdana" w:hAnsi="Verdana" w:cs="Times New Roman"/>
          <w:sz w:val="20"/>
          <w:szCs w:val="20"/>
        </w:rPr>
        <w:t xml:space="preserve">strains were routinely grown in YTSS (per liter: 15g Sea Salts (Sigma) or Instant Ocean (Thermo Fisher Scientific), 4g tryptone, 2.5g yeast extract) and incubated at 30°C and 25°C, respectively. </w:t>
      </w:r>
      <w:r w:rsidRPr="00AB51A9">
        <w:rPr>
          <w:rFonts w:ascii="Verdana" w:hAnsi="Verdana" w:cs="Times New Roman"/>
          <w:i/>
          <w:sz w:val="20"/>
          <w:szCs w:val="20"/>
        </w:rPr>
        <w:t xml:space="preserve">Escherichia coli </w:t>
      </w:r>
      <w:r w:rsidRPr="00AB51A9">
        <w:rPr>
          <w:rFonts w:ascii="Verdana" w:hAnsi="Verdana" w:cs="Times New Roman"/>
          <w:sz w:val="20"/>
          <w:szCs w:val="20"/>
        </w:rPr>
        <w:t xml:space="preserve">BW20767, which is </w:t>
      </w:r>
      <w:proofErr w:type="spellStart"/>
      <w:r w:rsidRPr="00AB51A9">
        <w:rPr>
          <w:rFonts w:ascii="Verdana" w:hAnsi="Verdana" w:cs="Times New Roman"/>
          <w:i/>
          <w:sz w:val="20"/>
          <w:szCs w:val="20"/>
        </w:rPr>
        <w:t>pir</w:t>
      </w:r>
      <w:proofErr w:type="spellEnd"/>
      <w:r w:rsidRPr="00AB51A9">
        <w:rPr>
          <w:rFonts w:ascii="Verdana" w:hAnsi="Verdana" w:cs="Times New Roman"/>
          <w:sz w:val="20"/>
          <w:szCs w:val="20"/>
          <w:vertAlign w:val="superscript"/>
        </w:rPr>
        <w:t>+</w:t>
      </w:r>
      <w:r w:rsidRPr="00AB51A9">
        <w:rPr>
          <w:rFonts w:ascii="Verdana" w:hAnsi="Verdana" w:cs="Times New Roman"/>
          <w:sz w:val="20"/>
          <w:szCs w:val="20"/>
        </w:rPr>
        <w:t xml:space="preserve">, was maintained on Luria-Bertani (LB) and routinely grown at 37°C on LB unless otherwise noted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{"citationItems":[{"id":"ITEM-1","itemData":{"DOI":"10.1006/plas.1996.0001","ISSN":"0147619X","PMID":"8693022","abstract":"We describe several new cloning vectors for mutagenesis and allele replacement experiments. These plasmids have the R6K gamma DNA replication origin (oriR(R6K gamma) so they replicate only in bacteria supplying the pi replication protein (encoded by pir), and they can be maintained at low or high plasmid copy number by using Escherichia coli strains encoding either wild-type or mutant forms of pi. They also carry the RP4 transfer origin (oriT(RP4)) so they can be transferred by conjugation to a broad range of bacteria. Most of them encode lacZ alpha for blue-white color screening of colonies for ones with plasmids carrying inserts, as well as the f1 DNA replication origin for preparation of single-stranded DNA. Particular plasmids are especially useful for allele replacement experiments because they also encode a positive counterselectable marker. One set carries tetAR (from Tn10) that allows for positive selection of plasmid-free segregants as tetracycline-sensitive (TetS) recombinants. Another set carries sacB (from Bacillus subtilis) that allows selecting plasmid-free segregants as sucrose-resistant (SucR) ones. Accordingly, derivatives of these plasmids can be introduced into a non-pir host (via conjugative transfer, transformation, or electroporation), and integrants with the plasmid recombined into the chromosome via homologous sequences are selected using a plasmid antibiotic resistance marker. Plasmid-free segregants with an allele replacement can be subsequently selected as TetS or SucR recombinants. A number of additional features (including the presence of multiple cloning sites flanked by T3 and T7 RNA polymerase promoters) make these plasmids useful as general cloning vectors as well.","author":[{"dropping-particle":"","family":"Metcalf","given":"William W.","non-dropping-particle":"","parse-names":false,"suffix":""},{"dropping-particle":"","family":"Jiang","given":"Weihong","non-dropping-particle":"","parse-names":false,"suffix":""},{"dropping-particle":"","family":"Daniels","given":"Larry L.","non-dropping-particle":"","parse-names":false,"suffix":""},{"dropping-particle":"","family":"Kim","given":"Soo-Ki","non-dropping-particle":"","parse-names":false,"suffix":""},{"dropping-particle":"","family":"Haldimann","given":"Andreas","non-dropping-particle":"","parse-names":false,"suffix":""},{"dropping-particle":"","family":"Wanner","given":"Barry L.","non-dropping-particle":"","parse-names":false,"suffix":""}],"container-title":"Plasmid","id":"ITEM-1","issue":"1","issued":{"date-parts":[["1996","1"]]},"page":"1-13","title":"Conditionally Replicative and Conjugative Plasmids Carrying lacZα for Cloning, Mutagenesis, and Allele Replacement in Bacteria","type":"article-journal","volume":"35"},"uris":["http://www.mendeley.com/documents/?uuid=91cacc53-a311-3515-a434-495f6c9342b9"]}],"mendeley":{"formattedCitation":"(17)","plainTextFormattedCitation":"(17)","previouslyFormattedCitation":"(Metcalf et al. 1996)"},"properties":{"noteIndex":0},"schema":"https://github.com/citation-style-language/schema/raw/master/csl-citation.json"}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(17)</w:t>
      </w:r>
      <w:r w:rsidRPr="00AB51A9">
        <w:rPr>
          <w:rFonts w:ascii="Verdana" w:hAnsi="Verdana" w:cs="Times New Roman"/>
          <w:sz w:val="20"/>
          <w:szCs w:val="20"/>
        </w:rPr>
        <w:fldChar w:fldCharType="end"/>
      </w:r>
      <w:r w:rsidRPr="00AB51A9">
        <w:rPr>
          <w:rFonts w:ascii="Verdana" w:hAnsi="Verdana" w:cs="Times New Roman"/>
          <w:sz w:val="20"/>
          <w:szCs w:val="20"/>
        </w:rPr>
        <w:t xml:space="preserve">. </w:t>
      </w:r>
    </w:p>
    <w:p w14:paraId="4F18A3C8" w14:textId="589FFB6F" w:rsidR="004B489D" w:rsidRPr="00AB51A9" w:rsidRDefault="004B489D" w:rsidP="00677C01">
      <w:pPr>
        <w:spacing w:before="240"/>
        <w:jc w:val="both"/>
        <w:rPr>
          <w:rFonts w:ascii="Verdana" w:hAnsi="Verdana" w:cs="Times New Roman"/>
          <w:b/>
          <w:bCs/>
          <w:i/>
          <w:iCs/>
          <w:sz w:val="20"/>
          <w:szCs w:val="20"/>
        </w:rPr>
      </w:pPr>
      <w:r w:rsidRPr="00AB51A9">
        <w:rPr>
          <w:rFonts w:ascii="Verdana" w:hAnsi="Verdana" w:cs="Times New Roman"/>
          <w:b/>
          <w:bCs/>
          <w:i/>
          <w:iCs/>
          <w:sz w:val="20"/>
          <w:szCs w:val="20"/>
        </w:rPr>
        <w:t xml:space="preserve">Construction of </w:t>
      </w:r>
      <w:proofErr w:type="spellStart"/>
      <w:r w:rsidRPr="00AB51A9">
        <w:rPr>
          <w:rFonts w:ascii="Verdana" w:hAnsi="Verdana" w:cs="Times New Roman"/>
          <w:b/>
          <w:bCs/>
          <w:i/>
          <w:iCs/>
          <w:sz w:val="20"/>
          <w:szCs w:val="20"/>
        </w:rPr>
        <w:t>phaI</w:t>
      </w:r>
      <w:proofErr w:type="spellEnd"/>
      <w:r w:rsidRPr="00AB51A9">
        <w:rPr>
          <w:rFonts w:ascii="Verdana" w:hAnsi="Verdana" w:cs="Times New Roman"/>
          <w:b/>
          <w:bCs/>
          <w:i/>
          <w:iCs/>
          <w:sz w:val="20"/>
          <w:szCs w:val="20"/>
        </w:rPr>
        <w:t xml:space="preserve"> mutant using insertional mutagenesis</w:t>
      </w:r>
    </w:p>
    <w:p w14:paraId="0C7DBB6D" w14:textId="4771EF6B" w:rsidR="004B489D" w:rsidRPr="00AB51A9" w:rsidRDefault="004B489D" w:rsidP="00677C01">
      <w:pPr>
        <w:spacing w:before="240"/>
        <w:jc w:val="both"/>
        <w:rPr>
          <w:rFonts w:ascii="Verdana" w:hAnsi="Verdana" w:cs="Times New Roman"/>
          <w:sz w:val="20"/>
          <w:szCs w:val="20"/>
        </w:rPr>
      </w:pPr>
      <w:r w:rsidRPr="00AB51A9">
        <w:rPr>
          <w:rFonts w:ascii="Verdana" w:hAnsi="Verdana" w:cs="Times New Roman"/>
          <w:sz w:val="20"/>
          <w:szCs w:val="20"/>
        </w:rPr>
        <w:t xml:space="preserve">Insertional mutagenesis of the </w:t>
      </w:r>
      <w:proofErr w:type="spellStart"/>
      <w:r w:rsidRPr="00AB51A9">
        <w:rPr>
          <w:rFonts w:ascii="Verdana" w:hAnsi="Verdana" w:cs="Times New Roman"/>
          <w:i/>
          <w:sz w:val="20"/>
          <w:szCs w:val="20"/>
        </w:rPr>
        <w:t>phaI</w:t>
      </w:r>
      <w:proofErr w:type="spellEnd"/>
      <w:r w:rsidRPr="00AB51A9">
        <w:rPr>
          <w:rFonts w:ascii="Verdana" w:hAnsi="Verdana" w:cs="Times New Roman"/>
          <w:sz w:val="20"/>
          <w:szCs w:val="20"/>
        </w:rPr>
        <w:t xml:space="preserve"> (QS1) gene of strain Y4I was achieved using the </w:t>
      </w:r>
      <w:proofErr w:type="spellStart"/>
      <w:r w:rsidRPr="00AB51A9">
        <w:rPr>
          <w:rFonts w:ascii="Verdana" w:hAnsi="Verdana" w:cs="Times New Roman"/>
          <w:sz w:val="20"/>
          <w:szCs w:val="20"/>
        </w:rPr>
        <w:t>pKNOCK-KmR</w:t>
      </w:r>
      <w:proofErr w:type="spellEnd"/>
      <w:r w:rsidRPr="00AB51A9">
        <w:rPr>
          <w:rFonts w:ascii="Verdana" w:hAnsi="Verdana" w:cs="Times New Roman"/>
          <w:sz w:val="20"/>
          <w:szCs w:val="20"/>
        </w:rPr>
        <w:t xml:space="preserve"> plasmid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{"citationItems":[{"id":"ITEM-1","itemData":{"DOI":"10.2144/99265bm05","ISSN":"0736-6205","author":[{"dropping-particle":"","family":"Alexeyev","given":"Mikhail F.","non-dropping-particle":"","parse-names":false,"suffix":""}],"container-title":"BioTechniques","id":"ITEM-1","issue":"5","issued":{"date-parts":[["1999","5","22"]]},"page":"824-828","publisher":" Future Science Ltd London, UK ","title":"The pKNOCK Series of Broad-Host-Range Mobilizable Suicide Vectors for Gene Knockout and Targeted DNA Insertion into the Chromosome of Gram-Negative Bacteria","type":"article-journal","volume":"26"},"uris":["http://www.mendeley.com/documents/?uuid=2ef6d286-a2bc-455a-a8eb-8af0b90bfa2a"]}],"mendeley":{"formattedCitation":"(18)","plainTextFormattedCitation":"(18)","previouslyFormattedCitation":"(Alexeyev 1999)"},"properties":{"noteIndex":0},"schema":"https://github.com/citation-style-language/schema/raw/master/csl-citation.json"}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(18)</w:t>
      </w:r>
      <w:r w:rsidRPr="00AB51A9">
        <w:rPr>
          <w:rFonts w:ascii="Verdana" w:hAnsi="Verdana" w:cs="Times New Roman"/>
          <w:sz w:val="20"/>
          <w:szCs w:val="20"/>
        </w:rPr>
        <w:fldChar w:fldCharType="end"/>
      </w:r>
      <w:r w:rsidRPr="00AB51A9">
        <w:rPr>
          <w:rFonts w:ascii="Verdana" w:hAnsi="Verdana" w:cs="Times New Roman"/>
          <w:sz w:val="20"/>
          <w:szCs w:val="20"/>
        </w:rPr>
        <w:t xml:space="preserve">. Briefly, an internal fragment of </w:t>
      </w:r>
      <w:proofErr w:type="spellStart"/>
      <w:r w:rsidRPr="00AB51A9">
        <w:rPr>
          <w:rFonts w:ascii="Verdana" w:hAnsi="Verdana" w:cs="Times New Roman"/>
          <w:i/>
          <w:sz w:val="20"/>
          <w:szCs w:val="20"/>
        </w:rPr>
        <w:t>phaI</w:t>
      </w:r>
      <w:proofErr w:type="spellEnd"/>
      <w:r w:rsidRPr="00AB51A9">
        <w:rPr>
          <w:rFonts w:ascii="Verdana" w:hAnsi="Verdana" w:cs="Times New Roman"/>
          <w:sz w:val="20"/>
          <w:szCs w:val="20"/>
        </w:rPr>
        <w:t xml:space="preserve"> (302 bp) was PCR amplified using primers Y4I_3464_for and Y4I_3464_</w:t>
      </w:r>
      <w:proofErr w:type="gramStart"/>
      <w:r w:rsidRPr="00AB51A9">
        <w:rPr>
          <w:rFonts w:ascii="Verdana" w:hAnsi="Verdana" w:cs="Times New Roman"/>
          <w:sz w:val="20"/>
          <w:szCs w:val="20"/>
        </w:rPr>
        <w:t>rev  (</w:t>
      </w:r>
      <w:proofErr w:type="gramEnd"/>
      <w:r w:rsidRPr="00AB51A9">
        <w:rPr>
          <w:rFonts w:ascii="Verdana" w:hAnsi="Verdana" w:cs="Times New Roman"/>
          <w:sz w:val="20"/>
          <w:szCs w:val="20"/>
        </w:rPr>
        <w:t xml:space="preserve">Table S1)and ligated into the PCR cloning vector TA TOPO </w:t>
      </w:r>
      <w:proofErr w:type="spellStart"/>
      <w:r w:rsidRPr="00AB51A9">
        <w:rPr>
          <w:rFonts w:ascii="Verdana" w:hAnsi="Verdana" w:cs="Times New Roman"/>
          <w:sz w:val="20"/>
          <w:szCs w:val="20"/>
        </w:rPr>
        <w:t>pCR</w:t>
      </w:r>
      <w:proofErr w:type="spellEnd"/>
      <w:r w:rsidRPr="00AB51A9">
        <w:rPr>
          <w:rFonts w:ascii="Verdana" w:hAnsi="Verdana" w:cs="Times New Roman"/>
          <w:sz w:val="20"/>
          <w:szCs w:val="20"/>
        </w:rPr>
        <w:t xml:space="preserve"> 2.1 (Invitrogen, Carlsbad, CA) following manufacturer’s guidelines. The </w:t>
      </w:r>
      <w:proofErr w:type="spellStart"/>
      <w:r w:rsidRPr="00AB51A9">
        <w:rPr>
          <w:rFonts w:ascii="Verdana" w:hAnsi="Verdana" w:cs="Times New Roman"/>
          <w:i/>
          <w:sz w:val="20"/>
          <w:szCs w:val="20"/>
        </w:rPr>
        <w:t>phaI</w:t>
      </w:r>
      <w:proofErr w:type="spellEnd"/>
      <w:r w:rsidRPr="00AB51A9">
        <w:rPr>
          <w:rFonts w:ascii="Verdana" w:hAnsi="Verdana" w:cs="Times New Roman"/>
          <w:sz w:val="20"/>
          <w:szCs w:val="20"/>
        </w:rPr>
        <w:t xml:space="preserve">-containing plasmid was digested with </w:t>
      </w:r>
      <w:proofErr w:type="spellStart"/>
      <w:r w:rsidRPr="00AB51A9">
        <w:rPr>
          <w:rFonts w:ascii="Verdana" w:hAnsi="Verdana" w:cs="Times New Roman"/>
          <w:i/>
          <w:sz w:val="20"/>
          <w:szCs w:val="20"/>
        </w:rPr>
        <w:t>Bam</w:t>
      </w:r>
      <w:r w:rsidRPr="00AB51A9">
        <w:rPr>
          <w:rFonts w:ascii="Verdana" w:hAnsi="Verdana" w:cs="Times New Roman"/>
          <w:sz w:val="20"/>
          <w:szCs w:val="20"/>
        </w:rPr>
        <w:t>HI</w:t>
      </w:r>
      <w:proofErr w:type="spellEnd"/>
      <w:r w:rsidRPr="00AB51A9">
        <w:rPr>
          <w:rFonts w:ascii="Verdana" w:hAnsi="Verdana" w:cs="Times New Roman"/>
          <w:sz w:val="20"/>
          <w:szCs w:val="20"/>
        </w:rPr>
        <w:t xml:space="preserve"> and </w:t>
      </w:r>
      <w:proofErr w:type="spellStart"/>
      <w:r w:rsidRPr="00AB51A9">
        <w:rPr>
          <w:rFonts w:ascii="Verdana" w:hAnsi="Verdana" w:cs="Times New Roman"/>
          <w:i/>
          <w:sz w:val="20"/>
          <w:szCs w:val="20"/>
        </w:rPr>
        <w:t>Xho</w:t>
      </w:r>
      <w:r w:rsidRPr="00AB51A9">
        <w:rPr>
          <w:rFonts w:ascii="Verdana" w:hAnsi="Verdana" w:cs="Times New Roman"/>
          <w:sz w:val="20"/>
          <w:szCs w:val="20"/>
        </w:rPr>
        <w:t>I</w:t>
      </w:r>
      <w:proofErr w:type="spellEnd"/>
      <w:r w:rsidRPr="00AB51A9">
        <w:rPr>
          <w:rFonts w:ascii="Verdana" w:hAnsi="Verdana" w:cs="Times New Roman"/>
          <w:sz w:val="20"/>
          <w:szCs w:val="20"/>
        </w:rPr>
        <w:t xml:space="preserve">, liberating the </w:t>
      </w:r>
      <w:proofErr w:type="spellStart"/>
      <w:r w:rsidRPr="00AB51A9">
        <w:rPr>
          <w:rFonts w:ascii="Verdana" w:hAnsi="Verdana" w:cs="Times New Roman"/>
          <w:i/>
          <w:sz w:val="20"/>
          <w:szCs w:val="20"/>
        </w:rPr>
        <w:t>phaI</w:t>
      </w:r>
      <w:proofErr w:type="spellEnd"/>
      <w:r w:rsidRPr="00AB51A9">
        <w:rPr>
          <w:rFonts w:ascii="Verdana" w:hAnsi="Verdana" w:cs="Times New Roman"/>
          <w:sz w:val="20"/>
          <w:szCs w:val="20"/>
        </w:rPr>
        <w:t xml:space="preserve"> fragment with compatible cohesive ends suitable for ligation into linearized </w:t>
      </w:r>
      <w:proofErr w:type="spellStart"/>
      <w:r w:rsidRPr="00AB51A9">
        <w:rPr>
          <w:rFonts w:ascii="Verdana" w:hAnsi="Verdana" w:cs="Times New Roman"/>
          <w:sz w:val="20"/>
          <w:szCs w:val="20"/>
        </w:rPr>
        <w:t>pKNOCK-Km</w:t>
      </w:r>
      <w:r w:rsidRPr="00AB51A9">
        <w:rPr>
          <w:rFonts w:ascii="Verdana" w:hAnsi="Verdana" w:cs="Times New Roman"/>
          <w:sz w:val="20"/>
          <w:szCs w:val="20"/>
          <w:vertAlign w:val="superscript"/>
        </w:rPr>
        <w:t>R</w:t>
      </w:r>
      <w:proofErr w:type="spellEnd"/>
      <w:r w:rsidRPr="00AB51A9">
        <w:rPr>
          <w:rFonts w:ascii="Verdana" w:hAnsi="Verdana" w:cs="Times New Roman"/>
          <w:sz w:val="20"/>
          <w:szCs w:val="20"/>
        </w:rPr>
        <w:t xml:space="preserve">. The </w:t>
      </w:r>
      <w:proofErr w:type="spellStart"/>
      <w:r w:rsidRPr="00AB51A9">
        <w:rPr>
          <w:rFonts w:ascii="Verdana" w:hAnsi="Verdana" w:cs="Times New Roman"/>
          <w:i/>
          <w:sz w:val="20"/>
          <w:szCs w:val="20"/>
        </w:rPr>
        <w:t>phaI</w:t>
      </w:r>
      <w:r w:rsidRPr="00AB51A9">
        <w:rPr>
          <w:rFonts w:ascii="Verdana" w:hAnsi="Verdana" w:cs="Times New Roman"/>
          <w:sz w:val="20"/>
          <w:szCs w:val="20"/>
        </w:rPr>
        <w:t>-pKNOCK-Km</w:t>
      </w:r>
      <w:r w:rsidRPr="00AB51A9">
        <w:rPr>
          <w:rFonts w:ascii="Verdana" w:hAnsi="Verdana" w:cs="Times New Roman"/>
          <w:sz w:val="20"/>
          <w:szCs w:val="20"/>
          <w:vertAlign w:val="superscript"/>
        </w:rPr>
        <w:t>R</w:t>
      </w:r>
      <w:proofErr w:type="spellEnd"/>
      <w:r w:rsidRPr="00AB51A9" w:rsidDel="009370C0">
        <w:rPr>
          <w:rFonts w:ascii="Verdana" w:hAnsi="Verdana" w:cs="Times New Roman"/>
          <w:sz w:val="20"/>
          <w:szCs w:val="20"/>
        </w:rPr>
        <w:t xml:space="preserve"> </w:t>
      </w:r>
      <w:r w:rsidRPr="00AB51A9">
        <w:rPr>
          <w:rFonts w:ascii="Verdana" w:hAnsi="Verdana" w:cs="Times New Roman"/>
          <w:sz w:val="20"/>
          <w:szCs w:val="20"/>
        </w:rPr>
        <w:t xml:space="preserve">plasmid was introduced into Y4I via biparental mating with </w:t>
      </w:r>
      <w:r w:rsidRPr="00AB51A9">
        <w:rPr>
          <w:rFonts w:ascii="Verdana" w:hAnsi="Verdana" w:cs="Times New Roman"/>
          <w:i/>
          <w:sz w:val="20"/>
          <w:szCs w:val="20"/>
        </w:rPr>
        <w:t>E. coli</w:t>
      </w:r>
      <w:r w:rsidRPr="00AB51A9">
        <w:rPr>
          <w:rFonts w:ascii="Verdana" w:hAnsi="Verdana" w:cs="Times New Roman"/>
          <w:sz w:val="20"/>
          <w:szCs w:val="20"/>
        </w:rPr>
        <w:t xml:space="preserve"> strain BW20767. Counterselection for transconjugants was achieved on marine basal medium (MBM) with 2 mM </w:t>
      </w:r>
      <w:r w:rsidRPr="00AB51A9">
        <w:rPr>
          <w:rFonts w:ascii="Verdana" w:hAnsi="Verdana" w:cs="Times New Roman"/>
          <w:i/>
          <w:sz w:val="20"/>
          <w:szCs w:val="20"/>
        </w:rPr>
        <w:t>p</w:t>
      </w:r>
      <w:r w:rsidRPr="00AB51A9">
        <w:rPr>
          <w:rFonts w:ascii="Verdana" w:hAnsi="Verdana" w:cs="Times New Roman"/>
          <w:sz w:val="20"/>
          <w:szCs w:val="20"/>
        </w:rPr>
        <w:t>-hydroxybenzoate (POB) as  the sole carbon source and kanamycin (50 µg/mL) (per liter: 1.5% (</w:t>
      </w:r>
      <w:proofErr w:type="spellStart"/>
      <w:r w:rsidRPr="00AB51A9">
        <w:rPr>
          <w:rFonts w:ascii="Verdana" w:hAnsi="Verdana" w:cs="Times New Roman"/>
          <w:sz w:val="20"/>
          <w:szCs w:val="20"/>
        </w:rPr>
        <w:t>wt</w:t>
      </w:r>
      <w:proofErr w:type="spellEnd"/>
      <w:r w:rsidRPr="00AB51A9">
        <w:rPr>
          <w:rFonts w:ascii="Verdana" w:hAnsi="Verdana" w:cs="Times New Roman"/>
          <w:sz w:val="20"/>
          <w:szCs w:val="20"/>
        </w:rPr>
        <w:t xml:space="preserve">/vol) Sigma Sea Salts, 2.38 µM K2HPO4, 13.35 mM NH4Cl, 71 mM Tris-HCl (pH 7.5), 68 </w:t>
      </w:r>
      <w:proofErr w:type="spellStart"/>
      <w:r w:rsidRPr="00AB51A9">
        <w:rPr>
          <w:rFonts w:ascii="Verdana" w:hAnsi="Verdana" w:cs="Times New Roman"/>
          <w:sz w:val="20"/>
          <w:szCs w:val="20"/>
        </w:rPr>
        <w:t>μM</w:t>
      </w:r>
      <w:proofErr w:type="spellEnd"/>
      <w:r w:rsidRPr="00AB51A9">
        <w:rPr>
          <w:rFonts w:ascii="Verdana" w:hAnsi="Verdana" w:cs="Times New Roman"/>
          <w:sz w:val="20"/>
          <w:szCs w:val="20"/>
        </w:rPr>
        <w:t xml:space="preserve"> Fe-EDTA, trace metals and vitamins) at 30°C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{"citationItems":[{"id":"ITEM-1","itemData":{"DOI":"10.1099/00207713-47-3-773","ISSN":"00207713","author":[{"dropping-particle":"","family":"Gonzalez","given":"J. M.","non-dropping-particle":"","parse-names":false,"suffix":""},{"dropping-particle":"","family":"Mayer","given":"F.","non-dropping-particle":"","parse-names":false,"suffix":""},{"dropping-particle":"","family":"Moran","given":"M. A.","non-dropping-particle":"","parse-names":false,"suffix":""},{"dropping-particle":"","family":"Hodson","given":"R. E.","non-dropping-particle":"","parse-names":false,"suffix":""},{"dropping-particle":"","family":"Whitman","given":"W. B.","non-dropping-particle":"","parse-names":false,"suffix":""}],"container-title":"INTERNATIONAL JOURNAL OF SYSTEMATIC BACTERIOLOGY","id":"ITEM-1","issue":"3","issued":{"date-parts":[["1997"]]},"page":"773-780","title":"&lt;i&gt; Sagittula stellata &lt;/i&gt; gen. nov., sp. nov., a Lignin-Transforming Bacterium from a Coastal Environment","type":"article-journal","volume":"47"},"uris":["http://www.mendeley.com/documents/?uuid=9ad30dde-6b55-4379-a12d-a9e423972be4"]}],"mendeley":{"formattedCitation":"(19)","plainTextFormattedCitation":"(19)","previouslyFormattedCitation":"(Gonzalez et al. 1997)"},"properties":{"noteIndex":0},"schema":"https://github.com/citation-style-language/schema/raw/master/csl-citation.json"}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(19)</w:t>
      </w:r>
      <w:r w:rsidRPr="00AB51A9">
        <w:rPr>
          <w:rFonts w:ascii="Verdana" w:hAnsi="Verdana" w:cs="Times New Roman"/>
          <w:sz w:val="20"/>
          <w:szCs w:val="20"/>
        </w:rPr>
        <w:fldChar w:fldCharType="end"/>
      </w:r>
      <w:r w:rsidRPr="00AB51A9">
        <w:rPr>
          <w:rFonts w:ascii="Verdana" w:hAnsi="Verdana" w:cs="Times New Roman"/>
          <w:sz w:val="20"/>
          <w:szCs w:val="20"/>
        </w:rPr>
        <w:t xml:space="preserve">. The resulting mutant was PCR confirmed using primers </w:t>
      </w:r>
      <w:proofErr w:type="spellStart"/>
      <w:r w:rsidRPr="00AB51A9">
        <w:rPr>
          <w:rFonts w:ascii="Verdana" w:hAnsi="Verdana" w:cs="Times New Roman"/>
          <w:sz w:val="20"/>
          <w:szCs w:val="20"/>
        </w:rPr>
        <w:t>phaIF</w:t>
      </w:r>
      <w:proofErr w:type="spellEnd"/>
      <w:r w:rsidRPr="00AB51A9">
        <w:rPr>
          <w:rFonts w:ascii="Verdana" w:hAnsi="Verdana" w:cs="Times New Roman"/>
          <w:sz w:val="20"/>
          <w:szCs w:val="20"/>
        </w:rPr>
        <w:t xml:space="preserve"> and </w:t>
      </w:r>
      <w:proofErr w:type="spellStart"/>
      <w:r w:rsidRPr="00AB51A9">
        <w:rPr>
          <w:rFonts w:ascii="Verdana" w:hAnsi="Verdana" w:cs="Times New Roman"/>
          <w:sz w:val="20"/>
          <w:szCs w:val="20"/>
        </w:rPr>
        <w:t>phaIR</w:t>
      </w:r>
      <w:proofErr w:type="spellEnd"/>
      <w:r w:rsidRPr="00AB51A9">
        <w:rPr>
          <w:rFonts w:ascii="Verdana" w:hAnsi="Verdana" w:cs="Times New Roman"/>
          <w:sz w:val="20"/>
          <w:szCs w:val="20"/>
        </w:rPr>
        <w:t xml:space="preserve">. Orientation of </w:t>
      </w:r>
      <w:proofErr w:type="spellStart"/>
      <w:r w:rsidRPr="00AB51A9">
        <w:rPr>
          <w:rFonts w:ascii="Verdana" w:hAnsi="Verdana" w:cs="Times New Roman"/>
          <w:sz w:val="20"/>
          <w:szCs w:val="20"/>
        </w:rPr>
        <w:t>pKNOCK</w:t>
      </w:r>
      <w:proofErr w:type="spellEnd"/>
      <w:r w:rsidRPr="00AB51A9">
        <w:rPr>
          <w:rFonts w:ascii="Verdana" w:hAnsi="Verdana" w:cs="Times New Roman"/>
          <w:sz w:val="20"/>
          <w:szCs w:val="20"/>
        </w:rPr>
        <w:t xml:space="preserve"> insert was confirmed using two primer sets: (</w:t>
      </w:r>
      <w:proofErr w:type="spellStart"/>
      <w:r w:rsidRPr="00AB51A9">
        <w:rPr>
          <w:rFonts w:ascii="Verdana" w:hAnsi="Verdana" w:cs="Times New Roman"/>
          <w:sz w:val="20"/>
          <w:szCs w:val="20"/>
        </w:rPr>
        <w:t>i</w:t>
      </w:r>
      <w:proofErr w:type="spellEnd"/>
      <w:r w:rsidRPr="00AB51A9">
        <w:rPr>
          <w:rFonts w:ascii="Verdana" w:hAnsi="Verdana" w:cs="Times New Roman"/>
          <w:sz w:val="20"/>
          <w:szCs w:val="20"/>
        </w:rPr>
        <w:t xml:space="preserve">) </w:t>
      </w:r>
      <w:proofErr w:type="spellStart"/>
      <w:r w:rsidRPr="00AB51A9">
        <w:rPr>
          <w:rFonts w:ascii="Verdana" w:hAnsi="Verdana" w:cs="Times New Roman"/>
          <w:sz w:val="20"/>
          <w:szCs w:val="20"/>
        </w:rPr>
        <w:t>phaIF</w:t>
      </w:r>
      <w:proofErr w:type="spellEnd"/>
      <w:r w:rsidRPr="00AB51A9">
        <w:rPr>
          <w:rFonts w:ascii="Verdana" w:hAnsi="Verdana" w:cs="Times New Roman"/>
          <w:sz w:val="20"/>
          <w:szCs w:val="20"/>
        </w:rPr>
        <w:t xml:space="preserve"> and pKNOCK_746 and (ii) </w:t>
      </w:r>
      <w:proofErr w:type="spellStart"/>
      <w:r w:rsidRPr="00AB51A9">
        <w:rPr>
          <w:rFonts w:ascii="Verdana" w:hAnsi="Verdana" w:cs="Times New Roman"/>
          <w:sz w:val="20"/>
          <w:szCs w:val="20"/>
        </w:rPr>
        <w:t>phaIR</w:t>
      </w:r>
      <w:proofErr w:type="spellEnd"/>
      <w:r w:rsidRPr="00AB51A9">
        <w:rPr>
          <w:rFonts w:ascii="Verdana" w:hAnsi="Verdana" w:cs="Times New Roman"/>
          <w:sz w:val="20"/>
          <w:szCs w:val="20"/>
        </w:rPr>
        <w:t xml:space="preserve"> and pKNOCK_895 (Table S1). Finally, the mutant was verified by sequencing of the </w:t>
      </w:r>
      <w:proofErr w:type="spellStart"/>
      <w:r w:rsidRPr="00AB51A9">
        <w:rPr>
          <w:rFonts w:ascii="Verdana" w:hAnsi="Verdana" w:cs="Times New Roman"/>
          <w:i/>
          <w:sz w:val="20"/>
          <w:szCs w:val="20"/>
        </w:rPr>
        <w:t>phaI</w:t>
      </w:r>
      <w:proofErr w:type="spellEnd"/>
      <w:r w:rsidRPr="00AB51A9">
        <w:rPr>
          <w:rFonts w:ascii="Verdana" w:hAnsi="Verdana" w:cs="Times New Roman"/>
          <w:i/>
          <w:sz w:val="20"/>
          <w:szCs w:val="20"/>
        </w:rPr>
        <w:t xml:space="preserve"> </w:t>
      </w:r>
      <w:r w:rsidRPr="00AB51A9">
        <w:rPr>
          <w:rFonts w:ascii="Verdana" w:hAnsi="Verdana" w:cs="Times New Roman"/>
          <w:sz w:val="20"/>
          <w:szCs w:val="20"/>
        </w:rPr>
        <w:t xml:space="preserve">gene and designated </w:t>
      </w:r>
      <w:proofErr w:type="spellStart"/>
      <w:proofErr w:type="gramStart"/>
      <w:r w:rsidRPr="00AB51A9">
        <w:rPr>
          <w:rFonts w:ascii="Verdana" w:hAnsi="Verdana" w:cs="Times New Roman"/>
          <w:i/>
          <w:sz w:val="20"/>
          <w:szCs w:val="20"/>
        </w:rPr>
        <w:t>phaI</w:t>
      </w:r>
      <w:proofErr w:type="spellEnd"/>
      <w:r w:rsidRPr="00AB51A9">
        <w:rPr>
          <w:rFonts w:ascii="Verdana" w:hAnsi="Verdana" w:cs="Times New Roman"/>
          <w:sz w:val="20"/>
          <w:szCs w:val="20"/>
        </w:rPr>
        <w:t>::</w:t>
      </w:r>
      <w:proofErr w:type="spellStart"/>
      <w:proofErr w:type="gramEnd"/>
      <w:r w:rsidRPr="00AB51A9">
        <w:rPr>
          <w:rFonts w:ascii="Verdana" w:hAnsi="Verdana" w:cs="Times New Roman"/>
          <w:sz w:val="20"/>
          <w:szCs w:val="20"/>
        </w:rPr>
        <w:t>pKNOCK</w:t>
      </w:r>
      <w:proofErr w:type="spellEnd"/>
      <w:r w:rsidRPr="00AB51A9">
        <w:rPr>
          <w:rFonts w:ascii="Verdana" w:hAnsi="Verdana" w:cs="Times New Roman"/>
          <w:sz w:val="20"/>
          <w:szCs w:val="20"/>
        </w:rPr>
        <w:t xml:space="preserve">. </w:t>
      </w:r>
    </w:p>
    <w:p w14:paraId="612F8866" w14:textId="77777777" w:rsidR="004B489D" w:rsidRPr="00AB51A9" w:rsidRDefault="004B489D" w:rsidP="00677C01">
      <w:pPr>
        <w:spacing w:before="240"/>
        <w:jc w:val="both"/>
        <w:rPr>
          <w:rFonts w:ascii="Verdana" w:hAnsi="Verdana" w:cs="Times New Roman"/>
          <w:b/>
          <w:bCs/>
          <w:i/>
          <w:iCs/>
          <w:sz w:val="20"/>
          <w:szCs w:val="20"/>
        </w:rPr>
      </w:pPr>
      <w:r w:rsidRPr="00AB51A9">
        <w:rPr>
          <w:rFonts w:ascii="Verdana" w:hAnsi="Verdana" w:cs="Times New Roman"/>
          <w:b/>
          <w:bCs/>
          <w:i/>
          <w:iCs/>
          <w:sz w:val="20"/>
          <w:szCs w:val="20"/>
        </w:rPr>
        <w:t>Gene expression assays</w:t>
      </w:r>
    </w:p>
    <w:p w14:paraId="77909767" w14:textId="77777777" w:rsidR="004B489D" w:rsidRPr="00AB51A9" w:rsidRDefault="004B489D" w:rsidP="00677C01">
      <w:pPr>
        <w:spacing w:before="240"/>
        <w:jc w:val="both"/>
        <w:rPr>
          <w:rFonts w:ascii="Verdana" w:hAnsi="Verdana" w:cs="Times New Roman"/>
          <w:sz w:val="20"/>
          <w:szCs w:val="20"/>
        </w:rPr>
      </w:pPr>
      <w:r w:rsidRPr="00AB51A9">
        <w:rPr>
          <w:rFonts w:ascii="Verdana" w:hAnsi="Verdana" w:cs="Times New Roman"/>
          <w:sz w:val="20"/>
          <w:szCs w:val="20"/>
        </w:rPr>
        <w:t>RNA was isolated from cellular biomass scraped from agar (1.5%) plates and suspended in 1.5mL of β-</w:t>
      </w:r>
      <w:proofErr w:type="spellStart"/>
      <w:r w:rsidRPr="00AB51A9">
        <w:rPr>
          <w:rFonts w:ascii="Verdana" w:hAnsi="Verdana" w:cs="Times New Roman"/>
          <w:sz w:val="20"/>
          <w:szCs w:val="20"/>
        </w:rPr>
        <w:t>mercaptoethanol</w:t>
      </w:r>
      <w:proofErr w:type="spellEnd"/>
      <w:r w:rsidRPr="00AB51A9">
        <w:rPr>
          <w:rFonts w:ascii="Verdana" w:hAnsi="Verdana" w:cs="Times New Roman"/>
          <w:sz w:val="20"/>
          <w:szCs w:val="20"/>
        </w:rPr>
        <w:t xml:space="preserve">–RLT buffer (Qiagen, Germantown, MD). The suspension was transferred to a 2.0 mL screw cap tube containing 0.2 g of low-binding 200 </w:t>
      </w:r>
      <w:proofErr w:type="spellStart"/>
      <w:r w:rsidRPr="00AB51A9">
        <w:rPr>
          <w:rFonts w:ascii="Verdana" w:hAnsi="Verdana" w:cs="Times New Roman"/>
          <w:sz w:val="20"/>
          <w:szCs w:val="20"/>
        </w:rPr>
        <w:t>μm</w:t>
      </w:r>
      <w:proofErr w:type="spellEnd"/>
      <w:r w:rsidRPr="00AB51A9">
        <w:rPr>
          <w:rFonts w:ascii="Verdana" w:hAnsi="Verdana" w:cs="Times New Roman"/>
          <w:sz w:val="20"/>
          <w:szCs w:val="20"/>
        </w:rPr>
        <w:t xml:space="preserve"> zirconium beads (OPS Diagnostics, LLC, Lebanon, NJ). The vial was then subjected to vortex mixing at 13,000 rpm for 10 minutes and incubated in the water bath (70°C) for 5 minutes. Cell debris was </w:t>
      </w:r>
      <w:proofErr w:type="gramStart"/>
      <w:r w:rsidRPr="00AB51A9">
        <w:rPr>
          <w:rFonts w:ascii="Verdana" w:hAnsi="Verdana" w:cs="Times New Roman"/>
          <w:sz w:val="20"/>
          <w:szCs w:val="20"/>
        </w:rPr>
        <w:t>pelleted</w:t>
      </w:r>
      <w:proofErr w:type="gramEnd"/>
      <w:r w:rsidRPr="00AB51A9">
        <w:rPr>
          <w:rFonts w:ascii="Verdana" w:hAnsi="Verdana" w:cs="Times New Roman"/>
          <w:sz w:val="20"/>
          <w:szCs w:val="20"/>
        </w:rPr>
        <w:t xml:space="preserve"> and lysate was transferred into a clean 1.5 mL tube. Nucleic acids were precipitated using 700 </w:t>
      </w:r>
      <w:proofErr w:type="spellStart"/>
      <w:r w:rsidRPr="00AB51A9">
        <w:rPr>
          <w:rFonts w:ascii="Verdana" w:hAnsi="Verdana" w:cs="Times New Roman"/>
          <w:sz w:val="20"/>
          <w:szCs w:val="20"/>
        </w:rPr>
        <w:t>μL</w:t>
      </w:r>
      <w:proofErr w:type="spellEnd"/>
      <w:r w:rsidRPr="00AB51A9">
        <w:rPr>
          <w:rFonts w:ascii="Verdana" w:hAnsi="Verdana" w:cs="Times New Roman"/>
          <w:sz w:val="20"/>
          <w:szCs w:val="20"/>
        </w:rPr>
        <w:t xml:space="preserve"> volume of 70% ethanol. The lysate was then transferred to a RNeasy Mini spin column and RNA was isolated following the RNeasy </w:t>
      </w:r>
      <w:proofErr w:type="spellStart"/>
      <w:r w:rsidRPr="00AB51A9">
        <w:rPr>
          <w:rFonts w:ascii="Verdana" w:hAnsi="Verdana" w:cs="Times New Roman"/>
          <w:sz w:val="20"/>
          <w:szCs w:val="20"/>
        </w:rPr>
        <w:t>minikit</w:t>
      </w:r>
      <w:proofErr w:type="spellEnd"/>
      <w:r w:rsidRPr="00AB51A9">
        <w:rPr>
          <w:rFonts w:ascii="Verdana" w:hAnsi="Verdana" w:cs="Times New Roman"/>
          <w:sz w:val="20"/>
          <w:szCs w:val="20"/>
        </w:rPr>
        <w:t xml:space="preserve"> protocol (Qiagen, Germantown, MD). Turbo DNase (Invitrogen) was used to remove DNA from samples. Reverse transcriptase (RT) was performed using Moloney murine leukemia virus (M-MLV) reverse transcriptase following manufacture’s guidelines (Invitrogen). </w:t>
      </w:r>
      <w:bookmarkStart w:id="14" w:name="_Hlk71714028"/>
      <w:r w:rsidRPr="00AB51A9">
        <w:rPr>
          <w:rFonts w:ascii="Verdana" w:hAnsi="Verdana" w:cs="Times New Roman"/>
          <w:sz w:val="20"/>
          <w:szCs w:val="20"/>
        </w:rPr>
        <w:t>No RT controls were included to identify any residual DNA contamination in RNA samples.</w:t>
      </w:r>
      <w:bookmarkEnd w:id="14"/>
      <w:r w:rsidRPr="00AB51A9">
        <w:rPr>
          <w:rFonts w:ascii="Verdana" w:hAnsi="Verdana" w:cs="Times New Roman"/>
          <w:sz w:val="20"/>
          <w:szCs w:val="20"/>
        </w:rPr>
        <w:t xml:space="preserve"> Nucleic acid concentration was measured using a Nanodrop spectrophotometer (Nanodrop Technologies, Inc, Wilmington, DE). Total RNA was diluted to 6 ng/</w:t>
      </w:r>
      <w:proofErr w:type="spellStart"/>
      <w:r w:rsidRPr="00AB51A9">
        <w:rPr>
          <w:rFonts w:ascii="Verdana" w:hAnsi="Verdana" w:cs="Times New Roman"/>
          <w:sz w:val="20"/>
          <w:szCs w:val="20"/>
        </w:rPr>
        <w:t>μL</w:t>
      </w:r>
      <w:proofErr w:type="spellEnd"/>
      <w:r w:rsidRPr="00AB51A9">
        <w:rPr>
          <w:rFonts w:ascii="Verdana" w:hAnsi="Verdana" w:cs="Times New Roman"/>
          <w:sz w:val="20"/>
          <w:szCs w:val="20"/>
        </w:rPr>
        <w:t xml:space="preserve"> for use in assays. </w:t>
      </w:r>
    </w:p>
    <w:p w14:paraId="0EDBE8EA" w14:textId="68957A76" w:rsidR="004B489D" w:rsidRPr="00677C01" w:rsidRDefault="004B489D" w:rsidP="00677C01">
      <w:pPr>
        <w:spacing w:before="240"/>
        <w:jc w:val="both"/>
        <w:rPr>
          <w:rFonts w:ascii="Verdana" w:hAnsi="Verdana" w:cs="Times New Roman"/>
          <w:sz w:val="20"/>
          <w:szCs w:val="20"/>
        </w:rPr>
      </w:pPr>
      <w:r w:rsidRPr="00AB51A9">
        <w:rPr>
          <w:rFonts w:ascii="Verdana" w:hAnsi="Verdana" w:cs="Times New Roman"/>
          <w:sz w:val="20"/>
          <w:szCs w:val="20"/>
        </w:rPr>
        <w:lastRenderedPageBreak/>
        <w:t>Quantitative reverse transcription PCR (</w:t>
      </w:r>
      <w:proofErr w:type="spellStart"/>
      <w:r w:rsidRPr="00AB51A9">
        <w:rPr>
          <w:rFonts w:ascii="Verdana" w:hAnsi="Verdana" w:cs="Times New Roman"/>
          <w:sz w:val="20"/>
          <w:szCs w:val="20"/>
        </w:rPr>
        <w:t>qRT</w:t>
      </w:r>
      <w:proofErr w:type="spellEnd"/>
      <w:r w:rsidRPr="00AB51A9">
        <w:rPr>
          <w:rFonts w:ascii="Verdana" w:hAnsi="Verdana" w:cs="Times New Roman"/>
          <w:sz w:val="20"/>
          <w:szCs w:val="20"/>
        </w:rPr>
        <w:t xml:space="preserve">-PCR) was used to assess gene expression of </w:t>
      </w:r>
      <w:proofErr w:type="spellStart"/>
      <w:r w:rsidRPr="00AB51A9">
        <w:rPr>
          <w:rFonts w:ascii="Verdana" w:hAnsi="Verdana" w:cs="Times New Roman"/>
          <w:i/>
          <w:sz w:val="20"/>
          <w:szCs w:val="20"/>
        </w:rPr>
        <w:t>igiD</w:t>
      </w:r>
      <w:proofErr w:type="spellEnd"/>
      <w:r w:rsidRPr="00AB51A9">
        <w:rPr>
          <w:rFonts w:ascii="Verdana" w:hAnsi="Verdana" w:cs="Times New Roman"/>
          <w:sz w:val="20"/>
          <w:szCs w:val="20"/>
        </w:rPr>
        <w:t xml:space="preserve">, </w:t>
      </w:r>
      <w:proofErr w:type="spellStart"/>
      <w:r w:rsidRPr="00AB51A9">
        <w:rPr>
          <w:rFonts w:ascii="Verdana" w:hAnsi="Verdana" w:cs="Times New Roman"/>
          <w:i/>
          <w:sz w:val="20"/>
          <w:szCs w:val="20"/>
        </w:rPr>
        <w:t>phaR</w:t>
      </w:r>
      <w:proofErr w:type="spellEnd"/>
      <w:r w:rsidRPr="00AB51A9">
        <w:rPr>
          <w:rFonts w:ascii="Verdana" w:hAnsi="Verdana" w:cs="Times New Roman"/>
          <w:sz w:val="20"/>
          <w:szCs w:val="20"/>
        </w:rPr>
        <w:t xml:space="preserve">, </w:t>
      </w:r>
      <w:proofErr w:type="spellStart"/>
      <w:r w:rsidRPr="00AB51A9">
        <w:rPr>
          <w:rFonts w:ascii="Verdana" w:hAnsi="Verdana" w:cs="Times New Roman"/>
          <w:i/>
          <w:sz w:val="20"/>
          <w:szCs w:val="20"/>
        </w:rPr>
        <w:t>pgaR</w:t>
      </w:r>
      <w:proofErr w:type="spellEnd"/>
      <w:r w:rsidRPr="00AB51A9">
        <w:rPr>
          <w:rFonts w:ascii="Verdana" w:hAnsi="Verdana" w:cs="Times New Roman"/>
          <w:i/>
          <w:sz w:val="20"/>
          <w:szCs w:val="20"/>
        </w:rPr>
        <w:t xml:space="preserve">, </w:t>
      </w:r>
      <w:proofErr w:type="spellStart"/>
      <w:r w:rsidRPr="00AB51A9">
        <w:rPr>
          <w:rFonts w:ascii="Verdana" w:hAnsi="Verdana" w:cs="Times New Roman"/>
          <w:i/>
          <w:sz w:val="20"/>
          <w:szCs w:val="20"/>
        </w:rPr>
        <w:t>phaI</w:t>
      </w:r>
      <w:proofErr w:type="spellEnd"/>
      <w:r w:rsidRPr="00AB51A9">
        <w:rPr>
          <w:rFonts w:ascii="Verdana" w:hAnsi="Verdana" w:cs="Times New Roman"/>
          <w:sz w:val="20"/>
          <w:szCs w:val="20"/>
        </w:rPr>
        <w:t xml:space="preserve">, and </w:t>
      </w:r>
      <w:r w:rsidRPr="00AB51A9">
        <w:rPr>
          <w:rFonts w:ascii="Verdana" w:hAnsi="Verdana" w:cs="Times New Roman"/>
          <w:i/>
          <w:sz w:val="20"/>
          <w:szCs w:val="20"/>
        </w:rPr>
        <w:t xml:space="preserve">pgaI </w:t>
      </w:r>
      <w:r w:rsidRPr="00AB51A9">
        <w:rPr>
          <w:rFonts w:ascii="Verdana" w:hAnsi="Verdana" w:cs="Times New Roman"/>
          <w:sz w:val="20"/>
          <w:szCs w:val="20"/>
        </w:rPr>
        <w:t>in strains grown on agar plates for 24 hr. Position of gene disruptions and location of qPCR primer binding sites are presented in Table S2.  Amplified products ranged in size from 150 bp to 240 bp. All assays are normalized to three reference genes (</w:t>
      </w:r>
      <w:proofErr w:type="spellStart"/>
      <w:r w:rsidRPr="00AB51A9">
        <w:rPr>
          <w:rFonts w:ascii="Verdana" w:hAnsi="Verdana" w:cs="Times New Roman"/>
          <w:i/>
          <w:sz w:val="20"/>
          <w:szCs w:val="20"/>
        </w:rPr>
        <w:t>rpoC</w:t>
      </w:r>
      <w:proofErr w:type="spellEnd"/>
      <w:r w:rsidRPr="00AB51A9">
        <w:rPr>
          <w:rFonts w:ascii="Verdana" w:hAnsi="Verdana" w:cs="Times New Roman"/>
          <w:i/>
          <w:sz w:val="20"/>
          <w:szCs w:val="20"/>
        </w:rPr>
        <w:t xml:space="preserve">, </w:t>
      </w:r>
      <w:proofErr w:type="spellStart"/>
      <w:r w:rsidRPr="00AB51A9">
        <w:rPr>
          <w:rFonts w:ascii="Verdana" w:hAnsi="Verdana" w:cs="Times New Roman"/>
          <w:i/>
          <w:sz w:val="20"/>
          <w:szCs w:val="20"/>
        </w:rPr>
        <w:t>alaS</w:t>
      </w:r>
      <w:proofErr w:type="spellEnd"/>
      <w:r w:rsidRPr="00AB51A9">
        <w:rPr>
          <w:rFonts w:ascii="Verdana" w:hAnsi="Verdana" w:cs="Times New Roman"/>
          <w:sz w:val="20"/>
          <w:szCs w:val="20"/>
        </w:rPr>
        <w:t xml:space="preserve">, and </w:t>
      </w:r>
      <w:r w:rsidRPr="00AB51A9">
        <w:rPr>
          <w:rFonts w:ascii="Verdana" w:hAnsi="Verdana" w:cs="Times New Roman"/>
          <w:i/>
          <w:sz w:val="20"/>
          <w:szCs w:val="20"/>
        </w:rPr>
        <w:t>map</w:t>
      </w:r>
      <w:r w:rsidRPr="00AB51A9">
        <w:rPr>
          <w:rFonts w:ascii="Verdana" w:hAnsi="Verdana" w:cs="Times New Roman"/>
          <w:sz w:val="20"/>
          <w:szCs w:val="20"/>
        </w:rPr>
        <w:t xml:space="preserve">; Table S1). </w:t>
      </w:r>
      <w:proofErr w:type="spellStart"/>
      <w:r w:rsidRPr="00AB51A9">
        <w:rPr>
          <w:rFonts w:ascii="Verdana" w:hAnsi="Verdana" w:cs="Times New Roman"/>
          <w:sz w:val="20"/>
          <w:szCs w:val="20"/>
        </w:rPr>
        <w:t>qRT</w:t>
      </w:r>
      <w:proofErr w:type="spellEnd"/>
      <w:r w:rsidRPr="00AB51A9">
        <w:rPr>
          <w:rFonts w:ascii="Verdana" w:hAnsi="Verdana" w:cs="Times New Roman"/>
          <w:sz w:val="20"/>
          <w:szCs w:val="20"/>
        </w:rPr>
        <w:t xml:space="preserve">-PCR data analysis and the normalized relative transcripts quantities were calculated using the </w:t>
      </w:r>
      <w:proofErr w:type="spellStart"/>
      <w:r w:rsidRPr="00AB51A9">
        <w:rPr>
          <w:rFonts w:ascii="Verdana" w:hAnsi="Verdana" w:cs="Times New Roman"/>
          <w:sz w:val="20"/>
          <w:szCs w:val="20"/>
        </w:rPr>
        <w:t>qBASE</w:t>
      </w:r>
      <w:proofErr w:type="spellEnd"/>
      <w:r w:rsidRPr="00AB51A9">
        <w:rPr>
          <w:rFonts w:ascii="Verdana" w:hAnsi="Verdana" w:cs="Times New Roman"/>
          <w:sz w:val="20"/>
          <w:szCs w:val="20"/>
        </w:rPr>
        <w:t xml:space="preserve"> method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{"citationItems":[{"id":"ITEM-1","itemData":{"DOI":"10.1186/gb-2007-8-2-r19","ISSN":"14656906","abstract":"Although quantitative PCR (qPCR) is becoming the method of choice for expression profiling of selected genes, accurate and straightforward processing of the raw measurements remains a major hurdle. Here we outline advanced and universally applicable models for relative quantification and inter-run calibration with proper error propagation along the entire calculation track. These models and algorithms are implemented in qBase, a free program for the management and automated analysis of qPCR data.","author":[{"dropping-particle":"","family":"Hellemans","given":"Jan","non-dropping-particle":"","parse-names":false,"suffix":""},{"dropping-particle":"","family":"Mortier","given":"Geert","non-dropping-particle":"","parse-names":false,"suffix":""},{"dropping-particle":"","family":"Paepe","given":"Anne","non-dropping-particle":"De","parse-names":false,"suffix":""},{"dropping-particle":"","family":"Speleman","given":"Frank","non-dropping-particle":"","parse-names":false,"suffix":""},{"dropping-particle":"","family":"Vandesompele","given":"Jo","non-dropping-particle":"","parse-names":false,"suffix":""}],"container-title":"Genome Biology","id":"ITEM-1","issue":"2","issued":{"date-parts":[["2007","2","9"]]},"page":"19","publisher":"BioMed Central","title":"qBase relative quantification framework and software for management and automated analysis of real-time quantitative PCR data","type":"article-journal","volume":"8"},"uris":["http://www.mendeley.com/documents/?uuid=8c7b0235-940c-3ef8-be29-a1321ed96935"]}],"mendeley":{"formattedCitation":"(20)","plainTextFormattedCitation":"(20)","previouslyFormattedCitation":"(Hellemans et al. 2007)"},"properties":{"noteIndex":0},"schema":"https://github.com/citation-style-language/schema/raw/master/csl-citation.json"}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(20)</w:t>
      </w:r>
      <w:r w:rsidRPr="00AB51A9">
        <w:rPr>
          <w:rFonts w:ascii="Verdana" w:hAnsi="Verdana" w:cs="Times New Roman"/>
          <w:sz w:val="20"/>
          <w:szCs w:val="20"/>
        </w:rPr>
        <w:fldChar w:fldCharType="end"/>
      </w:r>
      <w:r w:rsidRPr="00AB51A9">
        <w:rPr>
          <w:rFonts w:ascii="Verdana" w:hAnsi="Verdana" w:cs="Times New Roman"/>
          <w:sz w:val="20"/>
          <w:szCs w:val="20"/>
        </w:rPr>
        <w:t xml:space="preserve">. </w:t>
      </w:r>
    </w:p>
    <w:p w14:paraId="76A6BF7D" w14:textId="64BF02D1" w:rsidR="004B489D" w:rsidRPr="00AB51A9" w:rsidRDefault="004B489D" w:rsidP="00677C01">
      <w:pPr>
        <w:spacing w:before="240"/>
        <w:jc w:val="both"/>
        <w:rPr>
          <w:rFonts w:ascii="Verdana" w:hAnsi="Verdana" w:cs="Times New Roman"/>
          <w:b/>
          <w:bCs/>
          <w:i/>
          <w:iCs/>
          <w:sz w:val="20"/>
          <w:szCs w:val="20"/>
        </w:rPr>
      </w:pPr>
      <w:r w:rsidRPr="00AB51A9">
        <w:rPr>
          <w:rFonts w:ascii="Verdana" w:hAnsi="Verdana" w:cs="Times New Roman"/>
          <w:b/>
          <w:bCs/>
          <w:i/>
          <w:iCs/>
          <w:sz w:val="20"/>
          <w:szCs w:val="20"/>
        </w:rPr>
        <w:t xml:space="preserve">Viable cell counts and total biomass on surface attached cultures </w:t>
      </w:r>
    </w:p>
    <w:p w14:paraId="760D0BCE" w14:textId="4AB81680" w:rsidR="004B489D" w:rsidRPr="00AB51A9" w:rsidRDefault="004B489D" w:rsidP="00677C01">
      <w:pPr>
        <w:spacing w:before="240"/>
        <w:jc w:val="both"/>
        <w:rPr>
          <w:rFonts w:ascii="Verdana" w:hAnsi="Verdana" w:cs="Times New Roman"/>
          <w:sz w:val="20"/>
          <w:szCs w:val="20"/>
        </w:rPr>
      </w:pPr>
      <w:r w:rsidRPr="00AB51A9">
        <w:rPr>
          <w:rFonts w:ascii="Verdana" w:hAnsi="Verdana" w:cs="Times New Roman"/>
          <w:sz w:val="20"/>
          <w:szCs w:val="20"/>
        </w:rPr>
        <w:t>To assess viability of surface attached cells, we inoculated a 96-well polystyrene plate (Costar, Corning Incorporated Corning, NY) containing a sterilized 4mm glass bead (Pyrex, Corning Incorporated Corning, NY) with Y4I variants at ~1 x 10</w:t>
      </w:r>
      <w:r w:rsidRPr="00AB51A9">
        <w:rPr>
          <w:rFonts w:ascii="Verdana" w:hAnsi="Verdana" w:cs="Times New Roman"/>
          <w:sz w:val="20"/>
          <w:szCs w:val="20"/>
          <w:vertAlign w:val="superscript"/>
        </w:rPr>
        <w:t>4</w:t>
      </w:r>
      <w:r w:rsidRPr="00AB51A9">
        <w:rPr>
          <w:rFonts w:ascii="Verdana" w:hAnsi="Verdana" w:cs="Times New Roman"/>
          <w:sz w:val="20"/>
          <w:szCs w:val="20"/>
        </w:rPr>
        <w:t xml:space="preserve"> cells/mL and incubated at 30° C.  Y4I variants were inoculated in biological and technical triplets. A duplicate of each plate was made to assess total biomass described below. Following 20, 44, and 48 </w:t>
      </w:r>
      <w:proofErr w:type="spellStart"/>
      <w:r w:rsidRPr="00AB51A9">
        <w:rPr>
          <w:rFonts w:ascii="Verdana" w:hAnsi="Verdana" w:cs="Times New Roman"/>
          <w:sz w:val="20"/>
          <w:szCs w:val="20"/>
        </w:rPr>
        <w:t>hrs</w:t>
      </w:r>
      <w:proofErr w:type="spellEnd"/>
      <w:r w:rsidRPr="00AB51A9">
        <w:rPr>
          <w:rFonts w:ascii="Verdana" w:hAnsi="Verdana" w:cs="Times New Roman"/>
          <w:sz w:val="20"/>
          <w:szCs w:val="20"/>
        </w:rPr>
        <w:t xml:space="preserve">, the glass bead was extracted from wells and cells were dislodged from beads as previously described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{"citationItems":[{"id":"ITEM-1","itemData":{"DOI":"10.1128/AEM.00297-12","ISBN":"0099-2240","ISSN":"00992240","PMID":"22582055","abstract":"Members of the Roseobacter lineage of marine bacteria are prolific surface colonizers in marine coastal environments, and antimicrobial secondary metabolite production has been hypothesized to provide a competitive advantage to colonizing roseobacters. Here, we report that the roseobacter Phaeobacter sp. strain Y4I produces the blue pigment indigoidine via a nonribosomal peptide synthase (NRPS)-based biosynthetic pathway encoded by a novel series of genetically linked genes: igiBCDFE. A Tn5-based random mutagenesis library of Y4I showed a perfect correlation between indigoidine production by the Phaeobacter strain and inhibition of Vibrio fischeri on agar plates, revealing a previously unrecognized bioactivity of this molecule. In addition, igiD null mutants (igiD encoding the indigoidine NRPS) were more resistant to hydrogen peroxide, less motile, and faster to colonize an artificial surface than the wild-type strain. Collectively, these data provide evidence for pleiotropic effects of indigoidine production in this strain. Gene expression assays support phenotypic observations and demonstrate that igiD gene expression is upregulated during growth on surfaces. Furthermore, competitive cocultures of V. fischeri and Y4I show that the production of indigoidine by Y4I significantly inhibits colonization of V. fischeri on surfaces. This study is the first to characterize a secondary metabolite produced by an NRPS in roseobacters.","author":[{"dropping-particle":"","family":"Cude","given":"W. Nathan","non-dropping-particle":"","parse-names":false,"suffix":""},{"dropping-particle":"","family":"Mooney","given":"Jason","non-dropping-particle":"","parse-names":false,"suffix":""},{"dropping-particle":"","family":"Tavanaei","given":"Arash A.","non-dropping-particle":"","parse-names":false,"suffix":""},{"dropping-particle":"","family":"Hadden","given":"Mary K.","non-dropping-particle":"","parse-names":false,"suffix":""},{"dropping-particle":"","family":"Frank","given":"Ashley M.","non-dropping-particle":"","parse-names":false,"suffix":""},{"dropping-particle":"","family":"Gulvik","given":"Christopher A.","non-dropping-particle":"","parse-names":false,"suffix":""},{"dropping-particle":"","family":"May","given":"Amanda L.","non-dropping-particle":"","parse-names":false,"suffix":""},{"dropping-particle":"","family":"Buchan","given":"Alison","non-dropping-particle":"","parse-names":false,"suffix":""}],"container-title":"Applied and Environmental Microbiology","id":"ITEM-1","issue":"14","issued":{"date-parts":[["2012"]]},"page":"4771-4780","title":"Production of the antimicrobial secondary metabolite indigoidine contributes to competitive surface colonization by the marine roseobacter &lt;i&gt;Phaeobacter sp. &lt;/i&gt; strain Y4I","type":"article-journal","volume":"78"},"uris":["http://www.mendeley.com/documents/?uuid=724a6358-e74e-4f7e-ae9f-a18df1b39f19"]}],"mendeley":{"formattedCitation":"(12)","plainTextFormattedCitation":"(12)","previouslyFormattedCitation":"(Cude et al. 2012)"},"properties":{"noteIndex":0},"schema":"https://github.com/citation-style-language/schema/raw/master/csl-citation.json"}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(12)</w:t>
      </w:r>
      <w:r w:rsidRPr="00AB51A9">
        <w:rPr>
          <w:rFonts w:ascii="Verdana" w:hAnsi="Verdana" w:cs="Times New Roman"/>
          <w:sz w:val="20"/>
          <w:szCs w:val="20"/>
        </w:rPr>
        <w:fldChar w:fldCharType="end"/>
      </w:r>
      <w:r w:rsidRPr="00AB51A9">
        <w:rPr>
          <w:rFonts w:ascii="Verdana" w:hAnsi="Verdana" w:cs="Times New Roman"/>
          <w:sz w:val="20"/>
          <w:szCs w:val="20"/>
        </w:rPr>
        <w:t xml:space="preserve">. Briefly, beads containing cell biomass were transferred to 2 mL plastic screw cap tubes containing 940 µL of 20% YTSS (per liter: 15 g Instant Ocean, 0.8 g tryptone, 0.5 g yeast extract) and 60 µL of 10% Tween20, submerged in a sonicating water bath and sonicated for 6 minutes at 40 kHz. Samples were then vortexed for ~30 s and diluted to perform viable cell counts. </w:t>
      </w:r>
    </w:p>
    <w:p w14:paraId="09415559" w14:textId="06013675" w:rsidR="004B489D" w:rsidRPr="00677C01" w:rsidRDefault="004B489D" w:rsidP="00677C01">
      <w:pPr>
        <w:spacing w:before="240"/>
        <w:jc w:val="both"/>
        <w:rPr>
          <w:rFonts w:ascii="Verdana" w:hAnsi="Verdana" w:cs="Times New Roman"/>
          <w:sz w:val="20"/>
          <w:szCs w:val="20"/>
        </w:rPr>
      </w:pPr>
      <w:r w:rsidRPr="00AB51A9">
        <w:rPr>
          <w:rFonts w:ascii="Verdana" w:hAnsi="Verdana" w:cs="Times New Roman"/>
          <w:sz w:val="20"/>
          <w:szCs w:val="20"/>
        </w:rPr>
        <w:t xml:space="preserve">Total biomass on surface attached cultures was assessed by performing a crystal violet stain on glass beads. Briefly, liquid was removed from wells containing glass beads. The beads were rinsed with 1.5 % sea salt solution (Instant Ocean), then extracted and moved to a clean 96-well plate containing 100 µL YTSS. Uninoculated glass beads served as a control. Crystal violet (25 µL) was added to all wells in the 96-well plate containing beads and incubated for 30 minutes at room temperature. Liquid was aspirated out of wells and stained beads were washed ~3X with 1.5% sea salt solution. Following wash, 200 µL of 95% EtOH was added to each well and allowed to sit for 1 </w:t>
      </w:r>
      <w:proofErr w:type="spellStart"/>
      <w:r w:rsidRPr="00AB51A9">
        <w:rPr>
          <w:rFonts w:ascii="Verdana" w:hAnsi="Verdana" w:cs="Times New Roman"/>
          <w:sz w:val="20"/>
          <w:szCs w:val="20"/>
        </w:rPr>
        <w:t>hr</w:t>
      </w:r>
      <w:proofErr w:type="spellEnd"/>
      <w:r w:rsidRPr="00AB51A9">
        <w:rPr>
          <w:rFonts w:ascii="Verdana" w:hAnsi="Verdana" w:cs="Times New Roman"/>
          <w:sz w:val="20"/>
          <w:szCs w:val="20"/>
        </w:rPr>
        <w:t xml:space="preserve"> to allow crystal violet to solubilize. Following solubilization, liquid was transferred to a clean 96-well plate and diluted 1:10 with 95% EtOH. Absorbance was read at 600 nm using a microplate reader (Bio Tek Instruments, Inc., Synergy HT Multi-Mode Microplate Reader, SN 270212).</w:t>
      </w:r>
    </w:p>
    <w:p w14:paraId="008F58C0" w14:textId="1256066E" w:rsidR="004B489D" w:rsidRPr="00AB51A9" w:rsidRDefault="004B489D" w:rsidP="00677C01">
      <w:pPr>
        <w:spacing w:before="240"/>
        <w:jc w:val="both"/>
        <w:rPr>
          <w:rFonts w:ascii="Verdana" w:hAnsi="Verdana" w:cs="Times New Roman"/>
          <w:b/>
          <w:bCs/>
          <w:i/>
          <w:iCs/>
          <w:sz w:val="20"/>
          <w:szCs w:val="20"/>
        </w:rPr>
      </w:pPr>
      <w:r w:rsidRPr="00AB51A9">
        <w:rPr>
          <w:rFonts w:ascii="Verdana" w:hAnsi="Verdana" w:cs="Times New Roman"/>
          <w:b/>
          <w:bCs/>
          <w:i/>
          <w:iCs/>
          <w:sz w:val="20"/>
          <w:szCs w:val="20"/>
        </w:rPr>
        <w:t>Cyclic-di-GMP extraction and quantification</w:t>
      </w:r>
    </w:p>
    <w:p w14:paraId="50BD9734" w14:textId="6A5F0C71" w:rsidR="00B77EC7" w:rsidRPr="00AB51A9" w:rsidRDefault="004B489D" w:rsidP="00677C01">
      <w:pPr>
        <w:spacing w:before="240"/>
        <w:jc w:val="both"/>
        <w:rPr>
          <w:rFonts w:ascii="Verdana" w:hAnsi="Verdana" w:cs="Times New Roman"/>
          <w:sz w:val="20"/>
          <w:szCs w:val="20"/>
        </w:rPr>
      </w:pPr>
      <w:r w:rsidRPr="00AB51A9">
        <w:rPr>
          <w:rFonts w:ascii="Verdana" w:hAnsi="Verdana" w:cs="Times New Roman"/>
          <w:sz w:val="20"/>
          <w:szCs w:val="20"/>
        </w:rPr>
        <w:t xml:space="preserve">Cyclic-di-GMP was extracted from cell biomass in liquid and growth on agar cultures using procedure adapted from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10.1128/JB.00020-17","author":[{"dropping-particle":"","family":"O'Neal","given":"Lindsey","non-dropping-particle":"","parse-names":false,"suffix":""},{"dropping-particle":"","family":"Ryu","given":"Min-hyung","non-dropping-particle":"","parse-names":false,"suffix":""},{"dropping-particle":"","family":"Gomelsky","given":"Mark","non-dropping-particle":"","parse-names":false,"suffix":""},{"dropping-particle":"","family":"Alexandre","given":"Gladys","non-dropping-particle":"","parse-names":false,"suffix":""}],"container-title":"Journal of Bacteriology","id":"ITEM-1","issue":"18","issued":{"date-parts":[["2017"]]},"page":"1-18","title":"Optogenetic Manipulation of Cyclic Receptor Activity in Azospirillum","type":"article-journal","volume":"199"},"uris":["http://www.mendeley.com/documents/?uuid=8bc64f93-e621-4ad7-910b-47a1a4b810d5"]}],"mendeley":{"formattedCitation":"(21)","plainTextFormattedCitation":"(21)","previouslyFormattedCitation":"(O’Neal et al. 2017)"},"properties":{"noteIndex":0},"schema":"https://github.com/citation-style-language/schema/raw/master/csl-citation.json"}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(21)</w:t>
      </w:r>
      <w:r w:rsidRPr="00AB51A9">
        <w:rPr>
          <w:rFonts w:ascii="Verdana" w:hAnsi="Verdana" w:cs="Times New Roman"/>
          <w:sz w:val="20"/>
          <w:szCs w:val="20"/>
        </w:rPr>
        <w:fldChar w:fldCharType="end"/>
      </w:r>
      <w:r w:rsidRPr="00AB51A9">
        <w:rPr>
          <w:rFonts w:ascii="Verdana" w:hAnsi="Verdana" w:cs="Times New Roman"/>
          <w:sz w:val="20"/>
          <w:szCs w:val="20"/>
        </w:rPr>
        <w:t xml:space="preserve">. For broth grown cultures, Y4I variants were grown in liquid YTSS at 30° C overnight, shaking in the dark. Cultures were reinoculated in YTSS and allowed to grow for 24 </w:t>
      </w:r>
      <w:proofErr w:type="spellStart"/>
      <w:r w:rsidRPr="00AB51A9">
        <w:rPr>
          <w:rFonts w:ascii="Verdana" w:hAnsi="Verdana" w:cs="Times New Roman"/>
          <w:sz w:val="20"/>
          <w:szCs w:val="20"/>
        </w:rPr>
        <w:t>hrs</w:t>
      </w:r>
      <w:proofErr w:type="spellEnd"/>
      <w:r w:rsidRPr="00AB51A9">
        <w:rPr>
          <w:rFonts w:ascii="Verdana" w:hAnsi="Verdana" w:cs="Times New Roman"/>
          <w:sz w:val="20"/>
          <w:szCs w:val="20"/>
        </w:rPr>
        <w:t xml:space="preserve"> under the same conditions. Following 24 </w:t>
      </w:r>
      <w:proofErr w:type="spellStart"/>
      <w:r w:rsidRPr="00AB51A9">
        <w:rPr>
          <w:rFonts w:ascii="Verdana" w:hAnsi="Verdana" w:cs="Times New Roman"/>
          <w:sz w:val="20"/>
          <w:szCs w:val="20"/>
        </w:rPr>
        <w:t>hrs</w:t>
      </w:r>
      <w:proofErr w:type="spellEnd"/>
      <w:r w:rsidRPr="00AB51A9">
        <w:rPr>
          <w:rFonts w:ascii="Verdana" w:hAnsi="Verdana" w:cs="Times New Roman"/>
          <w:sz w:val="20"/>
          <w:szCs w:val="20"/>
        </w:rPr>
        <w:t xml:space="preserve">, 10 mL of culture was pelleted by centrifugation (3 min at 8000 rpm). Supernatant was decanted, biomass was resuspended in 1 mL 1.5% sea salt solution and transferred to a 1.5 mL microcentrifuge tube. Biomass was pelleted again, and supernatant was removed by pipetting. For surface attached cultures, Y4I variants were grown in liquid YTSS at 30° C overnight, shaking in the dark. Liquid cultures were spotted (50 µL) onto YTSS agar and incubated for 24 </w:t>
      </w:r>
      <w:proofErr w:type="spellStart"/>
      <w:r w:rsidRPr="00AB51A9">
        <w:rPr>
          <w:rFonts w:ascii="Verdana" w:hAnsi="Verdana" w:cs="Times New Roman"/>
          <w:sz w:val="20"/>
          <w:szCs w:val="20"/>
        </w:rPr>
        <w:t>hrs</w:t>
      </w:r>
      <w:proofErr w:type="spellEnd"/>
      <w:r w:rsidRPr="00AB51A9">
        <w:rPr>
          <w:rFonts w:ascii="Verdana" w:hAnsi="Verdana" w:cs="Times New Roman"/>
          <w:sz w:val="20"/>
          <w:szCs w:val="20"/>
        </w:rPr>
        <w:t xml:space="preserve"> at 30° C. Biomass was scrapped from agar using cell scrappers and transferred to a 1.5 mL microcentrifuge tube. For Y4I variants in either growth medium technical replicates were combined, if necessary, to achieve an approximate biomass of ~0.04 g. Biomass was then suspended in 100 µL extraction buffer (40% methanol, 40% acetonitrile, and 0.1 M of N formic acid) per 0.04 g of biomass. Cell slurries were then incubated at -20° C for 30 minutes. Following incubation, cells slurries were centrifuged at 4° C (13000 rpm for 3 minutes) to remove insoluble material. Lysate was neutralized with 4 µL of 15% ammonium bicarbonate per 100 µL of sample and transferred to a clean 1.5 mL microcentrifuge tube. Cyclic-di-GMP was extracted from pellet again using 50 µL of extraction buffer per 0.04 g of initial biomass. Incubated for 30 minutes at -20° C, </w:t>
      </w:r>
      <w:r w:rsidRPr="00AB51A9">
        <w:rPr>
          <w:rFonts w:ascii="Verdana" w:hAnsi="Verdana" w:cs="Times New Roman"/>
          <w:sz w:val="20"/>
          <w:szCs w:val="20"/>
        </w:rPr>
        <w:lastRenderedPageBreak/>
        <w:t>centrifuged at 4° C at 13000 rpm for 3 minutes, and neutralized with 4 µL 15% ammonium bicarbonate and lysates were combined. Following extraction, samples were dried, and shipped for processing to the Mass Spectrometry and Metabolomics Core (Michigan State University). Samples were resuspended in ~160 µL of mobile phase A [(</w:t>
      </w:r>
      <w:r w:rsidRPr="00AB51A9">
        <w:rPr>
          <w:rFonts w:ascii="Verdana" w:hAnsi="Verdana" w:cs="Times New Roman"/>
          <w:color w:val="000000"/>
          <w:sz w:val="20"/>
          <w:szCs w:val="20"/>
        </w:rPr>
        <w:t>10 mM tributylamine +15 mM acetic acid) in 97:3/H</w:t>
      </w:r>
      <w:proofErr w:type="gramStart"/>
      <w:r w:rsidRPr="00AB51A9">
        <w:rPr>
          <w:rFonts w:ascii="Verdana" w:hAnsi="Verdana" w:cs="Times New Roman"/>
          <w:color w:val="000000"/>
          <w:sz w:val="20"/>
          <w:szCs w:val="20"/>
          <w:vertAlign w:val="subscript"/>
        </w:rPr>
        <w:t>2</w:t>
      </w:r>
      <w:r w:rsidRPr="00AB51A9">
        <w:rPr>
          <w:rFonts w:ascii="Verdana" w:hAnsi="Verdana" w:cs="Times New Roman"/>
          <w:color w:val="000000"/>
          <w:sz w:val="20"/>
          <w:szCs w:val="20"/>
        </w:rPr>
        <w:t>0:MeOH</w:t>
      </w:r>
      <w:proofErr w:type="gramEnd"/>
      <w:r w:rsidRPr="00AB51A9">
        <w:rPr>
          <w:rFonts w:ascii="Verdana" w:hAnsi="Verdana" w:cs="Times New Roman"/>
          <w:color w:val="000000"/>
          <w:sz w:val="20"/>
          <w:szCs w:val="20"/>
        </w:rPr>
        <w:t>].</w:t>
      </w:r>
      <w:r w:rsidRPr="00AB51A9">
        <w:rPr>
          <w:rFonts w:ascii="Verdana" w:hAnsi="Verdana" w:cs="Times New Roman"/>
          <w:sz w:val="20"/>
          <w:szCs w:val="20"/>
        </w:rPr>
        <w:t xml:space="preserve"> Fluorinated c-di-GMP (</w:t>
      </w:r>
      <w:r w:rsidRPr="00AB51A9">
        <w:rPr>
          <w:rFonts w:ascii="Verdana" w:hAnsi="Verdana" w:cs="Times New Roman"/>
          <w:color w:val="000000"/>
          <w:sz w:val="20"/>
          <w:szCs w:val="20"/>
        </w:rPr>
        <w:t xml:space="preserve">Difluoro 3'3'-c-di-GMP, </w:t>
      </w:r>
      <w:proofErr w:type="spellStart"/>
      <w:r w:rsidRPr="00AB51A9">
        <w:rPr>
          <w:rFonts w:ascii="Verdana" w:hAnsi="Verdana" w:cs="Times New Roman"/>
          <w:color w:val="000000"/>
          <w:sz w:val="20"/>
          <w:szCs w:val="20"/>
        </w:rPr>
        <w:t>InVivoGen</w:t>
      </w:r>
      <w:proofErr w:type="spellEnd"/>
      <w:r w:rsidRPr="00AB51A9">
        <w:rPr>
          <w:rFonts w:ascii="Verdana" w:hAnsi="Verdana" w:cs="Times New Roman"/>
          <w:color w:val="000000"/>
          <w:sz w:val="20"/>
          <w:szCs w:val="20"/>
        </w:rPr>
        <w:t xml:space="preserve">, San Diego, CA) </w:t>
      </w:r>
      <w:r w:rsidRPr="00AB51A9">
        <w:rPr>
          <w:rFonts w:ascii="Verdana" w:hAnsi="Verdana" w:cs="Times New Roman"/>
          <w:sz w:val="20"/>
          <w:szCs w:val="20"/>
        </w:rPr>
        <w:t xml:space="preserve">was added as internal standard prior to being analyzed using mass spectrometry. </w:t>
      </w:r>
    </w:p>
    <w:p w14:paraId="0CF9D73F" w14:textId="2F830758" w:rsidR="004B489D" w:rsidRPr="00AB51A9" w:rsidRDefault="004B489D" w:rsidP="00677C01">
      <w:pPr>
        <w:spacing w:before="240"/>
        <w:jc w:val="both"/>
        <w:rPr>
          <w:rFonts w:ascii="Verdana" w:hAnsi="Verdana" w:cs="Times New Roman"/>
          <w:b/>
          <w:bCs/>
          <w:i/>
          <w:iCs/>
          <w:sz w:val="20"/>
          <w:szCs w:val="20"/>
        </w:rPr>
      </w:pPr>
      <w:r w:rsidRPr="00AB51A9">
        <w:rPr>
          <w:rFonts w:ascii="Verdana" w:hAnsi="Verdana" w:cs="Times New Roman"/>
          <w:b/>
          <w:bCs/>
          <w:i/>
          <w:iCs/>
          <w:sz w:val="20"/>
          <w:szCs w:val="20"/>
        </w:rPr>
        <w:t>Growth Inhibition assays</w:t>
      </w:r>
    </w:p>
    <w:p w14:paraId="299E8CDF" w14:textId="39F34447" w:rsidR="00834C18" w:rsidRPr="00AB51A9" w:rsidRDefault="004B489D" w:rsidP="00677C01">
      <w:pPr>
        <w:spacing w:before="240"/>
        <w:jc w:val="both"/>
        <w:rPr>
          <w:rFonts w:ascii="Verdana" w:hAnsi="Verdana" w:cs="Times New Roman"/>
          <w:sz w:val="20"/>
          <w:szCs w:val="20"/>
        </w:rPr>
      </w:pPr>
      <w:r w:rsidRPr="00AB51A9">
        <w:rPr>
          <w:rFonts w:ascii="Verdana" w:hAnsi="Verdana" w:cs="Times New Roman"/>
          <w:sz w:val="20"/>
          <w:szCs w:val="20"/>
        </w:rPr>
        <w:t xml:space="preserve">Growth inhibition of </w:t>
      </w:r>
      <w:r w:rsidRPr="00AB51A9">
        <w:rPr>
          <w:rFonts w:ascii="Verdana" w:hAnsi="Verdana" w:cs="Times New Roman"/>
          <w:i/>
          <w:sz w:val="20"/>
          <w:szCs w:val="20"/>
        </w:rPr>
        <w:t xml:space="preserve">A. </w:t>
      </w:r>
      <w:proofErr w:type="spellStart"/>
      <w:r w:rsidRPr="00AB51A9">
        <w:rPr>
          <w:rFonts w:ascii="Verdana" w:hAnsi="Verdana" w:cs="Times New Roman"/>
          <w:i/>
          <w:sz w:val="20"/>
          <w:szCs w:val="20"/>
        </w:rPr>
        <w:t>fischeri</w:t>
      </w:r>
      <w:proofErr w:type="spellEnd"/>
      <w:r w:rsidRPr="00AB51A9">
        <w:rPr>
          <w:rFonts w:ascii="Verdana" w:hAnsi="Verdana" w:cs="Times New Roman"/>
          <w:i/>
          <w:sz w:val="20"/>
          <w:szCs w:val="20"/>
        </w:rPr>
        <w:t xml:space="preserve"> </w:t>
      </w:r>
      <w:r w:rsidRPr="00AB51A9">
        <w:rPr>
          <w:rFonts w:ascii="Verdana" w:hAnsi="Verdana" w:cs="Times New Roman"/>
          <w:sz w:val="20"/>
          <w:szCs w:val="20"/>
        </w:rPr>
        <w:t xml:space="preserve">by Y4I variants was assessed as previously reported (Cude 2012, 2015). Briefly, </w:t>
      </w:r>
      <w:r w:rsidRPr="00AB51A9">
        <w:rPr>
          <w:rFonts w:ascii="Verdana" w:hAnsi="Verdana" w:cs="Times New Roman"/>
          <w:i/>
          <w:sz w:val="20"/>
          <w:szCs w:val="20"/>
        </w:rPr>
        <w:t xml:space="preserve">A. </w:t>
      </w:r>
      <w:proofErr w:type="spellStart"/>
      <w:r w:rsidRPr="00AB51A9">
        <w:rPr>
          <w:rFonts w:ascii="Verdana" w:hAnsi="Verdana" w:cs="Times New Roman"/>
          <w:i/>
          <w:sz w:val="20"/>
          <w:szCs w:val="20"/>
        </w:rPr>
        <w:t>fischeri</w:t>
      </w:r>
      <w:proofErr w:type="spellEnd"/>
      <w:r w:rsidRPr="00AB51A9">
        <w:rPr>
          <w:rFonts w:ascii="Verdana" w:hAnsi="Verdana" w:cs="Times New Roman"/>
          <w:i/>
          <w:sz w:val="20"/>
          <w:szCs w:val="20"/>
        </w:rPr>
        <w:t xml:space="preserve"> </w:t>
      </w:r>
      <w:r w:rsidRPr="00AB51A9">
        <w:rPr>
          <w:rFonts w:ascii="Verdana" w:hAnsi="Verdana" w:cs="Times New Roman"/>
          <w:sz w:val="20"/>
          <w:szCs w:val="20"/>
        </w:rPr>
        <w:t xml:space="preserve">was grown overnight (23°C) to an optical density (OD) of 1.5 – 2.0 at 540 nm. Cultures of </w:t>
      </w:r>
      <w:r w:rsidRPr="00AB51A9">
        <w:rPr>
          <w:rFonts w:ascii="Verdana" w:hAnsi="Verdana" w:cs="Times New Roman"/>
          <w:i/>
          <w:sz w:val="20"/>
          <w:szCs w:val="20"/>
        </w:rPr>
        <w:t xml:space="preserve">A. </w:t>
      </w:r>
      <w:proofErr w:type="spellStart"/>
      <w:r w:rsidRPr="00AB51A9">
        <w:rPr>
          <w:rFonts w:ascii="Verdana" w:hAnsi="Verdana" w:cs="Times New Roman"/>
          <w:i/>
          <w:sz w:val="20"/>
          <w:szCs w:val="20"/>
        </w:rPr>
        <w:t>fischeri</w:t>
      </w:r>
      <w:proofErr w:type="spellEnd"/>
      <w:r w:rsidRPr="00AB51A9">
        <w:rPr>
          <w:rFonts w:ascii="Verdana" w:hAnsi="Verdana" w:cs="Times New Roman"/>
          <w:sz w:val="20"/>
          <w:szCs w:val="20"/>
        </w:rPr>
        <w:t xml:space="preserve"> were diluted 1000-fold and spread plated on to YTSS. Plates containing </w:t>
      </w:r>
      <w:r w:rsidRPr="00AB51A9">
        <w:rPr>
          <w:rFonts w:ascii="Verdana" w:hAnsi="Verdana" w:cs="Times New Roman"/>
          <w:i/>
          <w:sz w:val="20"/>
          <w:szCs w:val="20"/>
        </w:rPr>
        <w:t xml:space="preserve">A. </w:t>
      </w:r>
      <w:proofErr w:type="spellStart"/>
      <w:r w:rsidRPr="00AB51A9">
        <w:rPr>
          <w:rFonts w:ascii="Verdana" w:hAnsi="Verdana" w:cs="Times New Roman"/>
          <w:i/>
          <w:sz w:val="20"/>
          <w:szCs w:val="20"/>
        </w:rPr>
        <w:t>fischeri</w:t>
      </w:r>
      <w:proofErr w:type="spellEnd"/>
      <w:r w:rsidRPr="00AB51A9">
        <w:rPr>
          <w:rFonts w:ascii="Verdana" w:hAnsi="Verdana" w:cs="Times New Roman"/>
          <w:i/>
          <w:sz w:val="20"/>
          <w:szCs w:val="20"/>
        </w:rPr>
        <w:t xml:space="preserve"> </w:t>
      </w:r>
      <w:r w:rsidRPr="00AB51A9">
        <w:rPr>
          <w:rFonts w:ascii="Verdana" w:hAnsi="Verdana" w:cs="Times New Roman"/>
          <w:sz w:val="20"/>
          <w:szCs w:val="20"/>
        </w:rPr>
        <w:t xml:space="preserve">lawn </w:t>
      </w:r>
      <w:proofErr w:type="gramStart"/>
      <w:r w:rsidRPr="00AB51A9">
        <w:rPr>
          <w:rFonts w:ascii="Verdana" w:hAnsi="Verdana" w:cs="Times New Roman"/>
          <w:sz w:val="20"/>
          <w:szCs w:val="20"/>
        </w:rPr>
        <w:t>were allowed to</w:t>
      </w:r>
      <w:proofErr w:type="gramEnd"/>
      <w:r w:rsidRPr="00AB51A9">
        <w:rPr>
          <w:rFonts w:ascii="Verdana" w:hAnsi="Verdana" w:cs="Times New Roman"/>
          <w:sz w:val="20"/>
          <w:szCs w:val="20"/>
        </w:rPr>
        <w:t xml:space="preserve"> dry prior to spotting with Y4I variants. Y4I variants were grown to an OD of 0.6 at 540 nm and 10 µl spot plated on </w:t>
      </w:r>
      <w:r w:rsidRPr="00AB51A9">
        <w:rPr>
          <w:rFonts w:ascii="Verdana" w:hAnsi="Verdana" w:cs="Times New Roman"/>
          <w:i/>
          <w:sz w:val="20"/>
          <w:szCs w:val="20"/>
        </w:rPr>
        <w:t xml:space="preserve">A. </w:t>
      </w:r>
      <w:proofErr w:type="spellStart"/>
      <w:r w:rsidRPr="00AB51A9">
        <w:rPr>
          <w:rFonts w:ascii="Verdana" w:hAnsi="Verdana" w:cs="Times New Roman"/>
          <w:i/>
          <w:sz w:val="20"/>
          <w:szCs w:val="20"/>
        </w:rPr>
        <w:t>fischeri</w:t>
      </w:r>
      <w:proofErr w:type="spellEnd"/>
      <w:r w:rsidRPr="00AB51A9">
        <w:rPr>
          <w:rFonts w:ascii="Verdana" w:hAnsi="Verdana" w:cs="Times New Roman"/>
          <w:i/>
          <w:sz w:val="20"/>
          <w:szCs w:val="20"/>
        </w:rPr>
        <w:t xml:space="preserve"> </w:t>
      </w:r>
      <w:r w:rsidRPr="00AB51A9">
        <w:rPr>
          <w:rFonts w:ascii="Verdana" w:hAnsi="Verdana" w:cs="Times New Roman"/>
          <w:sz w:val="20"/>
          <w:szCs w:val="20"/>
        </w:rPr>
        <w:t xml:space="preserve">lawns and incubated at 27°C as growth rates of the two organisms are comparable at this temperature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{"citationItems":[{"id":"ITEM-1","itemData":{"DOI":"10.1128/AEM.00297-12","ISBN":"0099-2240","ISSN":"00992240","PMID":"22582055","abstract":"Members of the Roseobacter lineage of marine bacteria are prolific surface colonizers in marine coastal environments, and antimicrobial secondary metabolite production has been hypothesized to provide a competitive advantage to colonizing roseobacters. Here, we report that the roseobacter Phaeobacter sp. strain Y4I produces the blue pigment indigoidine via a nonribosomal peptide synthase (NRPS)-based biosynthetic pathway encoded by a novel series of genetically linked genes: igiBCDFE. A Tn5-based random mutagenesis library of Y4I showed a perfect correlation between indigoidine production by the Phaeobacter strain and inhibition of Vibrio fischeri on agar plates, revealing a previously unrecognized bioactivity of this molecule. In addition, igiD null mutants (igiD encoding the indigoidine NRPS) were more resistant to hydrogen peroxide, less motile, and faster to colonize an artificial surface than the wild-type strain. Collectively, these data provide evidence for pleiotropic effects of indigoidine production in this strain. Gene expression assays support phenotypic observations and demonstrate that igiD gene expression is upregulated during growth on surfaces. Furthermore, competitive cocultures of V. fischeri and Y4I show that the production of indigoidine by Y4I significantly inhibits colonization of V. fischeri on surfaces. This study is the first to characterize a secondary metabolite produced by an NRPS in roseobacters.","author":[{"dropping-particle":"","family":"Cude","given":"W. Nathan","non-dropping-particle":"","parse-names":false,"suffix":""},{"dropping-particle":"","family":"Mooney","given":"Jason","non-dropping-particle":"","parse-names":false,"suffix":""},{"dropping-particle":"","family":"Tavanaei","given":"Arash A.","non-dropping-particle":"","parse-names":false,"suffix":""},{"dropping-particle":"","family":"Hadden","given":"Mary K.","non-dropping-particle":"","parse-names":false,"suffix":""},{"dropping-particle":"","family":"Frank","given":"Ashley M.","non-dropping-particle":"","parse-names":false,"suffix":""},{"dropping-particle":"","family":"Gulvik","given":"Christopher A.","non-dropping-particle":"","parse-names":false,"suffix":""},{"dropping-particle":"","family":"May","given":"Amanda L.","non-dropping-particle":"","parse-names":false,"suffix":""},{"dropping-particle":"","family":"Buchan","given":"Alison","non-dropping-particle":"","parse-names":false,"suffix":""}],"container-title":"Applied and Environmental Microbiology","id":"ITEM-1","issue":"14","issued":{"date-parts":[["2012"]]},"page":"4771-4780","title":"Production of the antimicrobial secondary metabolite indigoidine contributes to competitive surface colonization by the marine roseobacter &lt;i&gt;Phaeobacter sp. &lt;/i&gt; strain Y4I","type":"article-journal","volume":"78"},"uris":["http://www.mendeley.com/documents/?uuid=724a6358-e74e-4f7e-ae9f-a18df1b39f19"]}],"mendeley":{"formattedCitation":"(12)","plainTextFormattedCitation":"(12)","previouslyFormattedCitation":"(Cude et al. 2012)"},"properties":{"noteIndex":0},"schema":"https://github.com/citation-style-language/schema/raw/master/csl-citation.json"}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(12)</w:t>
      </w:r>
      <w:r w:rsidRPr="00AB51A9">
        <w:rPr>
          <w:rFonts w:ascii="Verdana" w:hAnsi="Verdana" w:cs="Times New Roman"/>
          <w:sz w:val="20"/>
          <w:szCs w:val="20"/>
        </w:rPr>
        <w:fldChar w:fldCharType="end"/>
      </w:r>
      <w:r w:rsidRPr="00AB51A9">
        <w:rPr>
          <w:rFonts w:ascii="Verdana" w:hAnsi="Verdana" w:cs="Times New Roman"/>
          <w:sz w:val="20"/>
          <w:szCs w:val="20"/>
        </w:rPr>
        <w:t xml:space="preserve">. Zones of clearing around Y4I strains was assessed at 48 </w:t>
      </w:r>
      <w:proofErr w:type="spellStart"/>
      <w:r w:rsidRPr="00AB51A9">
        <w:rPr>
          <w:rFonts w:ascii="Verdana" w:hAnsi="Verdana" w:cs="Times New Roman"/>
          <w:sz w:val="20"/>
          <w:szCs w:val="20"/>
        </w:rPr>
        <w:t>hrs</w:t>
      </w:r>
      <w:proofErr w:type="spellEnd"/>
      <w:r w:rsidRPr="00AB51A9">
        <w:rPr>
          <w:rFonts w:ascii="Verdana" w:hAnsi="Verdana" w:cs="Times New Roman"/>
          <w:sz w:val="20"/>
          <w:szCs w:val="20"/>
        </w:rPr>
        <w:t xml:space="preserve"> post inoculation. </w:t>
      </w:r>
    </w:p>
    <w:p w14:paraId="4B5DD21F" w14:textId="77777777" w:rsidR="004B489D" w:rsidRPr="00AB51A9" w:rsidRDefault="004B489D" w:rsidP="00677C01">
      <w:pPr>
        <w:spacing w:before="240"/>
        <w:jc w:val="both"/>
        <w:rPr>
          <w:rFonts w:ascii="Verdana" w:hAnsi="Verdana" w:cs="Times New Roman"/>
          <w:b/>
          <w:bCs/>
          <w:i/>
          <w:iCs/>
          <w:sz w:val="20"/>
          <w:szCs w:val="20"/>
        </w:rPr>
      </w:pPr>
      <w:r w:rsidRPr="00AB51A9">
        <w:rPr>
          <w:rFonts w:ascii="Verdana" w:hAnsi="Verdana" w:cs="Times New Roman"/>
          <w:b/>
          <w:bCs/>
          <w:i/>
          <w:iCs/>
          <w:sz w:val="20"/>
          <w:szCs w:val="20"/>
        </w:rPr>
        <w:t xml:space="preserve">Exogenous AHL add-back assay and indigoidine quantification </w:t>
      </w:r>
    </w:p>
    <w:p w14:paraId="0D91F760" w14:textId="261225BD" w:rsidR="004B489D" w:rsidRPr="00677C01" w:rsidRDefault="004B489D" w:rsidP="00677C01">
      <w:pPr>
        <w:spacing w:before="240"/>
        <w:jc w:val="both"/>
        <w:rPr>
          <w:rFonts w:ascii="Verdana" w:hAnsi="Verdana" w:cs="Times New Roman"/>
          <w:b/>
          <w:sz w:val="20"/>
          <w:szCs w:val="20"/>
        </w:rPr>
      </w:pPr>
      <w:r w:rsidRPr="00AB51A9">
        <w:rPr>
          <w:rFonts w:ascii="Verdana" w:hAnsi="Verdana" w:cs="Times New Roman"/>
          <w:sz w:val="20"/>
          <w:szCs w:val="20"/>
        </w:rPr>
        <w:t>To test whether addition of exogenous AHLs could restore indigoidine production, we performed AHL add-back assays and measured indigoidine production in each Y4I variant. Y4I and variants were diluted from overnight cultures to an OD</w:t>
      </w:r>
      <w:r w:rsidRPr="00AB51A9">
        <w:rPr>
          <w:rFonts w:ascii="Verdana" w:hAnsi="Verdana" w:cs="Times New Roman"/>
          <w:sz w:val="20"/>
          <w:szCs w:val="20"/>
          <w:vertAlign w:val="subscript"/>
        </w:rPr>
        <w:t>540nm</w:t>
      </w:r>
      <w:r w:rsidRPr="00AB51A9">
        <w:rPr>
          <w:rFonts w:ascii="Verdana" w:hAnsi="Verdana" w:cs="Times New Roman"/>
          <w:sz w:val="20"/>
          <w:szCs w:val="20"/>
        </w:rPr>
        <w:t xml:space="preserve"> of approximately 0.2. This optical density corresponds to early exponential phase in Y4I strains. Cultures were then incubated at 30° C until late exponential phase (OD</w:t>
      </w:r>
      <w:r w:rsidRPr="00AB51A9">
        <w:rPr>
          <w:rFonts w:ascii="Verdana" w:hAnsi="Verdana" w:cs="Times New Roman"/>
          <w:sz w:val="20"/>
          <w:szCs w:val="20"/>
          <w:vertAlign w:val="subscript"/>
        </w:rPr>
        <w:t>540nm</w:t>
      </w:r>
      <w:r w:rsidRPr="00AB51A9">
        <w:rPr>
          <w:rFonts w:ascii="Verdana" w:hAnsi="Verdana" w:cs="Times New Roman"/>
          <w:sz w:val="20"/>
          <w:szCs w:val="20"/>
        </w:rPr>
        <w:t xml:space="preserve"> ~1.3) was reached. At this time, a final concentration of 13 </w:t>
      </w:r>
      <w:proofErr w:type="spellStart"/>
      <w:r w:rsidRPr="00AB51A9">
        <w:rPr>
          <w:rFonts w:ascii="Verdana" w:hAnsi="Verdana" w:cs="Times New Roman"/>
          <w:sz w:val="20"/>
          <w:szCs w:val="20"/>
        </w:rPr>
        <w:t>nM</w:t>
      </w:r>
      <w:proofErr w:type="spellEnd"/>
      <w:r w:rsidRPr="00AB51A9">
        <w:rPr>
          <w:rFonts w:ascii="Verdana" w:hAnsi="Verdana" w:cs="Times New Roman"/>
          <w:sz w:val="20"/>
          <w:szCs w:val="20"/>
        </w:rPr>
        <w:t xml:space="preserve"> 3OHC12:1-HSL was added to the liquid cultures. Technical replicates containing no added 3OHC12:1-HSL served as controls. All cultures were incubated at 30° C for approximately 16 </w:t>
      </w:r>
      <w:proofErr w:type="spellStart"/>
      <w:r w:rsidRPr="00AB51A9">
        <w:rPr>
          <w:rFonts w:ascii="Verdana" w:hAnsi="Verdana" w:cs="Times New Roman"/>
          <w:sz w:val="20"/>
          <w:szCs w:val="20"/>
        </w:rPr>
        <w:t>hrs</w:t>
      </w:r>
      <w:proofErr w:type="spellEnd"/>
      <w:r w:rsidRPr="00AB51A9">
        <w:rPr>
          <w:rFonts w:ascii="Verdana" w:hAnsi="Verdana" w:cs="Times New Roman"/>
          <w:sz w:val="20"/>
          <w:szCs w:val="20"/>
        </w:rPr>
        <w:t xml:space="preserve"> until cultures reached stationary phase (OD</w:t>
      </w:r>
      <w:r w:rsidRPr="00AB51A9">
        <w:rPr>
          <w:rFonts w:ascii="Verdana" w:hAnsi="Verdana" w:cs="Times New Roman"/>
          <w:sz w:val="20"/>
          <w:szCs w:val="20"/>
          <w:vertAlign w:val="subscript"/>
        </w:rPr>
        <w:t>540nm</w:t>
      </w:r>
      <w:r w:rsidRPr="00AB51A9">
        <w:rPr>
          <w:rFonts w:ascii="Verdana" w:hAnsi="Verdana" w:cs="Times New Roman"/>
          <w:sz w:val="20"/>
          <w:szCs w:val="20"/>
        </w:rPr>
        <w:t xml:space="preserve"> ~2.0). Following incubation, cultures were spot plated, in triplicate, onto YTSS agar containing a final concentration of 800 </w:t>
      </w:r>
      <w:proofErr w:type="spellStart"/>
      <w:r w:rsidRPr="00AB51A9">
        <w:rPr>
          <w:rFonts w:ascii="Verdana" w:hAnsi="Verdana" w:cs="Times New Roman"/>
          <w:sz w:val="20"/>
          <w:szCs w:val="20"/>
        </w:rPr>
        <w:t>nM</w:t>
      </w:r>
      <w:proofErr w:type="spellEnd"/>
      <w:r w:rsidRPr="00AB51A9">
        <w:rPr>
          <w:rFonts w:ascii="Verdana" w:hAnsi="Verdana" w:cs="Times New Roman"/>
          <w:sz w:val="20"/>
          <w:szCs w:val="20"/>
        </w:rPr>
        <w:t xml:space="preserve"> C8-HSL. All cultures were also spot plated on YTSS agar containing no C8-HSL. Spot plates were incubated at 30°C for 24 </w:t>
      </w:r>
      <w:proofErr w:type="spellStart"/>
      <w:r w:rsidRPr="00AB51A9">
        <w:rPr>
          <w:rFonts w:ascii="Verdana" w:hAnsi="Verdana" w:cs="Times New Roman"/>
          <w:sz w:val="20"/>
          <w:szCs w:val="20"/>
        </w:rPr>
        <w:t>hrs</w:t>
      </w:r>
      <w:proofErr w:type="spellEnd"/>
      <w:r w:rsidRPr="00AB51A9">
        <w:rPr>
          <w:rFonts w:ascii="Verdana" w:hAnsi="Verdana" w:cs="Times New Roman"/>
          <w:sz w:val="20"/>
          <w:szCs w:val="20"/>
        </w:rPr>
        <w:t xml:space="preserve"> (Fig S1). Following incubation, one set of technical replicates was sacrificed to quantify indigoidine as outlined previously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{"citationItems":[{"id":"ITEM-1","itemData":{"DOI":"10.1128/AEM.00297-12","ISBN":"0099-2240","ISSN":"00992240","PMID":"22582055","abstract":"Members of the Roseobacter lineage of marine bacteria are prolific surface colonizers in marine coastal environments, and antimicrobial secondary metabolite production has been hypothesized to provide a competitive advantage to colonizing roseobacters. Here, we report that the roseobacter Phaeobacter sp. strain Y4I produces the blue pigment indigoidine via a nonribosomal peptide synthase (NRPS)-based biosynthetic pathway encoded by a novel series of genetically linked genes: igiBCDFE. A Tn5-based random mutagenesis library of Y4I showed a perfect correlation between indigoidine production by the Phaeobacter strain and inhibition of Vibrio fischeri on agar plates, revealing a previously unrecognized bioactivity of this molecule. In addition, igiD null mutants (igiD encoding the indigoidine NRPS) were more resistant to hydrogen peroxide, less motile, and faster to colonize an artificial surface than the wild-type strain. Collectively, these data provide evidence for pleiotropic effects of indigoidine production in this strain. Gene expression assays support phenotypic observations and demonstrate that igiD gene expression is upregulated during growth on surfaces. Furthermore, competitive cocultures of V. fischeri and Y4I show that the production of indigoidine by Y4I significantly inhibits colonization of V. fischeri on surfaces. This study is the first to characterize a secondary metabolite produced by an NRPS in roseobacters.","author":[{"dropping-particle":"","family":"Cude","given":"W. Nathan","non-dropping-particle":"","parse-names":false,"suffix":""},{"dropping-particle":"","family":"Mooney","given":"Jason","non-dropping-particle":"","parse-names":false,"suffix":""},{"dropping-particle":"","family":"Tavanaei","given":"Arash A.","non-dropping-particle":"","parse-names":false,"suffix":""},{"dropping-particle":"","family":"Hadden","given":"Mary K.","non-dropping-particle":"","parse-names":false,"suffix":""},{"dropping-particle":"","family":"Frank","given":"Ashley M.","non-dropping-particle":"","parse-names":false,"suffix":""},{"dropping-particle":"","family":"Gulvik","given":"Christopher A.","non-dropping-particle":"","parse-names":false,"suffix":""},{"dropping-particle":"","family":"May","given":"Amanda L.","non-dropping-particle":"","parse-names":false,"suffix":""},{"dropping-particle":"","family":"Buchan","given":"Alison","non-dropping-particle":"","parse-names":false,"suffix":""}],"container-title":"Applied and Environmental Microbiology","id":"ITEM-1","issue":"14","issued":{"date-parts":[["2012"]]},"page":"4771-4780","title":"Production of the antimicrobial secondary metabolite indigoidine contributes to competitive surface colonization by the marine roseobacter &lt;i&gt;Phaeobacter sp. &lt;/i&gt; strain Y4I","type":"article-journal","volume":"78"},"uris":["http://www.mendeley.com/documents/?uuid=724a6358-e74e-4f7e-ae9f-a18df1b39f19"]}],"mendeley":{"formattedCitation":"(12)","plainTextFormattedCitation":"(12)","previouslyFormattedCitation":"(Cude et al. 2012)"},"properties":{"noteIndex":0},"schema":"https://github.com/citation-style-language/schema/raw/master/csl-citation.json"}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(12)</w:t>
      </w:r>
      <w:r w:rsidRPr="00AB51A9">
        <w:rPr>
          <w:rFonts w:ascii="Verdana" w:hAnsi="Verdana" w:cs="Times New Roman"/>
          <w:sz w:val="20"/>
          <w:szCs w:val="20"/>
        </w:rPr>
        <w:fldChar w:fldCharType="end"/>
      </w:r>
      <w:r w:rsidRPr="00AB51A9">
        <w:rPr>
          <w:rFonts w:ascii="Verdana" w:hAnsi="Verdana" w:cs="Times New Roman"/>
          <w:sz w:val="20"/>
          <w:szCs w:val="20"/>
        </w:rPr>
        <w:t xml:space="preserve">. Briefly, cells were scrapped from plates and solubilized in dimethyl sulfoxide (DMSO). To obtain purified pigment, the cells were lysed via sonication and cell debris were collect via centrifugation. Pigmented supernatant was passed through a 0.2 </w:t>
      </w:r>
      <w:proofErr w:type="spellStart"/>
      <w:r w:rsidRPr="00AB51A9">
        <w:rPr>
          <w:rFonts w:ascii="Verdana" w:hAnsi="Verdana" w:cs="Times New Roman"/>
          <w:sz w:val="20"/>
          <w:szCs w:val="20"/>
        </w:rPr>
        <w:t>μm</w:t>
      </w:r>
      <w:proofErr w:type="spellEnd"/>
      <w:r w:rsidRPr="00AB51A9">
        <w:rPr>
          <w:rFonts w:ascii="Verdana" w:hAnsi="Verdana" w:cs="Times New Roman"/>
          <w:sz w:val="20"/>
          <w:szCs w:val="20"/>
        </w:rPr>
        <w:t xml:space="preserve"> filter and transferred to a clean tube. Two </w:t>
      </w:r>
      <w:proofErr w:type="gramStart"/>
      <w:r w:rsidRPr="00AB51A9">
        <w:rPr>
          <w:rFonts w:ascii="Verdana" w:hAnsi="Verdana" w:cs="Times New Roman"/>
          <w:sz w:val="20"/>
          <w:szCs w:val="20"/>
        </w:rPr>
        <w:t>microliters</w:t>
      </w:r>
      <w:proofErr w:type="gramEnd"/>
      <w:r w:rsidRPr="00AB51A9">
        <w:rPr>
          <w:rFonts w:ascii="Verdana" w:hAnsi="Verdana" w:cs="Times New Roman"/>
          <w:sz w:val="20"/>
          <w:szCs w:val="20"/>
        </w:rPr>
        <w:t xml:space="preserve"> aliquots of the solubilized pigment were measured on a Nanodrop spectrometer (Thermo Fisher Scientific) at 612 nm. 3OHC12:1-HSL and C8-HSL were synthesized locally as described previously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{"citationItems":[{"id":"ITEM-1","itemData":{"DOI":"10.1128/AEM.02551-14","ISBN":"0099-2240","ISSN":"10985336","PMID":"25527537","abstract":"The marine roseobacter Phaeobacter sp. strain Y4I synthesizes the blue antimicrobial secondary metabolite indigoidine when grown in a biofilm or on agar plates. Prior studies suggested that indigoidine production may be, in part, regulated by cell-to-cell communication systems. Phaeobacter sp. strain Y4I possesses two luxR and luxI homologous N-acyl-L-homoserine lactone (AHL)-mediated cell-to-cell communication systems, designated pgaRI and phaRI. We show here that Y4I produces two dominant AHLs, the novel monounsaturated N-(3-hydroxydodecenoyl)-L-homoserine lactone (3OHC12:1-HSL) and the relatively common N-octanoyl-L-homoserine lactone (C8-HSL), and provide evidence that they are synthesized by PhaI and PgaI, respectively. A Tn5 insertional mutation in either genetic locus results in the abolishment (pgaR::Tn5) or reduction (phaR::Tn5) of pigment production. Motility defects and denser biofilms were also observed in these mutant backgrounds, suggesting an overlap in the functional roles of these systems. Production of the AHLs occurs at distinct points during growth on an agar surface and was determined by isotope dilution high-performance liquid chromatography–tandem mass spectrometry (ID-HPLC-MS/MS) analysis. Within 2 h of surface inoculation, only 3OHC12:1-HSL was detected in agar extracts. As surface-attached cells became established (at\u000210 h), the concentration of 3OHC12:1-HSL decreased, and the concentration of C8-HSL increased rapidly over 14 h. After longer (&gt;24-h) establishment periods, the concentrations of the two AHLs increased to and stabilized at\u000215 nM and \u0002600 nM for 3OHC12:1-HSL and C8-HSL, respectively. In contrast, the total amount of indigoidine increased steadily from undetectable to 642 \u0002Mby 48 h. Gene expression profiles of the AHL and indigoidine synthases (pgaI, phaI, and igiD) were consistent with their metabolite profiles. These data provide evidence that pgaRI and phaRI play overlapping roles in the regulation of indigoidine biosynthesis, and it is postulated that this allows Phaeobacter sp. strain Y4I to coordinate production of indigoidine with different growth-phase-dependent physiologies.","author":[{"dropping-particle":"","family":"Cude","given":"W. Nathan","non-dropping-particle":"","parse-names":false,"suffix":""},{"dropping-particle":"","family":"Prevatte","given":"Carson W.","non-dropping-particle":"","parse-names":false,"suffix":""},{"dropping-particle":"","family":"Hadden","given":"Mary K.","non-dropping-particle":"","parse-names":false,"suffix":""},{"dropping-particle":"","family":"May","given":"Amanda L.","non-dropping-particle":"","parse-names":false,"suffix":""},{"dropping-particle":"","family":"Smith","given":"Russell T.","non-dropping-particle":"","parse-names":false,"suffix":""},{"dropping-particle":"","family":"Swain","given":"Caleb L.","non-dropping-particle":"","parse-names":false,"suffix":""},{"dropping-particle":"","family":"Campagna","given":"Shawn R.","non-dropping-particle":"","parse-names":false,"suffix":""},{"dropping-particle":"","family":"Buchan","given":"Alison","non-dropping-particle":"","parse-names":false,"suffix":""}],"container-title":"Applied and Environmental Microbiology","id":"ITEM-1","issue":"4","issued":{"date-parts":[["2015"]]},"page":"1417-1425","title":"&lt;i&gt;Phaeobacter sp.&lt;/i&gt; strain Y4I utilizes two separate cell-to-cell communication systems to regulate production of the antimicrobial indigoidine","type":"article-journal","volume":"81"},"uris":["http://www.mendeley.com/documents/?uuid=35095d74-a8b3-4c92-850e-3ce548f6d528"]}],"mendeley":{"formattedCitation":"(14)","plainTextFormattedCitation":"(14)","previouslyFormattedCitation":"(Cude et al. 2015)"},"properties":{"noteIndex":0},"schema":"https://github.com/citation-style-language/schema/raw/master/csl-citation.json"}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(14)</w:t>
      </w:r>
      <w:r w:rsidRPr="00AB51A9">
        <w:rPr>
          <w:rFonts w:ascii="Verdana" w:hAnsi="Verdana" w:cs="Times New Roman"/>
          <w:sz w:val="20"/>
          <w:szCs w:val="20"/>
        </w:rPr>
        <w:fldChar w:fldCharType="end"/>
      </w:r>
      <w:r w:rsidRPr="00AB51A9">
        <w:rPr>
          <w:rFonts w:ascii="Verdana" w:hAnsi="Verdana" w:cs="Times New Roman"/>
          <w:sz w:val="20"/>
          <w:szCs w:val="20"/>
        </w:rPr>
        <w:t>.</w:t>
      </w:r>
    </w:p>
    <w:p w14:paraId="27C8DE51" w14:textId="56797BDF" w:rsidR="004B489D" w:rsidRPr="00AB51A9" w:rsidRDefault="004B489D" w:rsidP="00677C01">
      <w:pPr>
        <w:spacing w:before="240"/>
        <w:jc w:val="both"/>
        <w:rPr>
          <w:rFonts w:ascii="Verdana" w:hAnsi="Verdana" w:cs="Times New Roman"/>
          <w:b/>
          <w:bCs/>
          <w:i/>
          <w:iCs/>
          <w:sz w:val="20"/>
          <w:szCs w:val="20"/>
        </w:rPr>
      </w:pPr>
      <w:r w:rsidRPr="00AB51A9">
        <w:rPr>
          <w:rFonts w:ascii="Verdana" w:hAnsi="Verdana" w:cs="Times New Roman"/>
          <w:b/>
          <w:bCs/>
          <w:i/>
          <w:iCs/>
          <w:sz w:val="20"/>
          <w:szCs w:val="20"/>
        </w:rPr>
        <w:t>Statistical analysis</w:t>
      </w:r>
    </w:p>
    <w:p w14:paraId="28D8AA7B" w14:textId="46839AB3" w:rsidR="004B489D" w:rsidRPr="00AB51A9" w:rsidRDefault="004B489D" w:rsidP="00677C01">
      <w:pPr>
        <w:spacing w:before="240"/>
        <w:jc w:val="both"/>
        <w:rPr>
          <w:rFonts w:ascii="Verdana" w:hAnsi="Verdana" w:cs="Times New Roman"/>
          <w:sz w:val="20"/>
          <w:szCs w:val="20"/>
        </w:rPr>
      </w:pPr>
      <w:r w:rsidRPr="00AB51A9">
        <w:rPr>
          <w:rFonts w:ascii="Verdana" w:hAnsi="Verdana" w:cs="Times New Roman"/>
          <w:sz w:val="20"/>
          <w:szCs w:val="20"/>
        </w:rPr>
        <w:t>All data was analyzed and visualized using GraphPad Prism8 (</w:t>
      </w:r>
      <w:r w:rsidRPr="00AB51A9">
        <w:rPr>
          <w:rFonts w:ascii="Verdana" w:hAnsi="Verdana" w:cs="Times New Roman"/>
          <w:color w:val="000000"/>
          <w:sz w:val="20"/>
          <w:szCs w:val="20"/>
        </w:rPr>
        <w:t xml:space="preserve">GraphPad Software, La Jolla California USA, www.graphpad.com). </w:t>
      </w:r>
      <w:r w:rsidRPr="00AB51A9">
        <w:rPr>
          <w:rFonts w:ascii="Verdana" w:hAnsi="Verdana" w:cs="Times New Roman"/>
          <w:sz w:val="20"/>
          <w:szCs w:val="20"/>
        </w:rPr>
        <w:t xml:space="preserve">Two-way ANOVA with Dunnett’s test was performed on gene expression assay data. One-way ANOVA with Tukey’s test was used to determine statistical significance in quantitative biofilm assays and cyclic-di-GMP analysis. One-way ANOVA using Dunnett’s test was used to determine statistical significance on AHL add-back assays. Mixed effects analysis was performed on viable cell counts and total biomass assays using Dunnett’s and Tukey’s, respectively, for post-hoc analyses. Outliers were identified with 95% confidence using a robust nonlinear repression model (ROUT) </w:t>
      </w:r>
      <w:r w:rsidRPr="00AB51A9">
        <w:rPr>
          <w:rFonts w:ascii="Verdana" w:hAnsi="Verdana" w:cs="Times New Roman"/>
          <w:sz w:val="20"/>
          <w:szCs w:val="20"/>
        </w:rPr>
        <w:fldChar w:fldCharType="begin" w:fldLock="1"/>
      </w:r>
      <w:r w:rsidR="00B77EC7" w:rsidRPr="00AB51A9">
        <w:rPr>
          <w:rFonts w:ascii="Verdana" w:hAnsi="Verdana" w:cs="Times New Roman"/>
          <w:sz w:val="20"/>
          <w:szCs w:val="20"/>
        </w:rPr>
        <w:instrText>ADDIN CSL_CITATION {"citationItems":[{"id":"ITEM-1","itemData":{"DOI":"10.1186/1471-2105-7-123","ISSN":"14712105","author":[{"dropping-particle":"","family":"Motulsky","given":"Harvey J","non-dropping-particle":"","parse-names":false,"suffix":""},{"dropping-particle":"","family":"Brown","given":"Ronald E","non-dropping-particle":"","parse-names":false,"suffix":""}],"container-title":"BMC Bioinformatics","id":"ITEM-1","issue":"1","issued":{"date-parts":[["2006"]]},"page":"123","title":"Detecting outliers when fitting data with nonlinear regression – a new method based on robust nonlinear regression and the false discovery rate","type":"article-journal","volume":"7"},"uris":["http://www.mendeley.com/documents/?uuid=cb4d1501-77f8-3f76-b616-ba1aed687b3f"]}],"mendeley":{"formattedCitation":"(22)","plainTextFormattedCitation":"(22)","previouslyFormattedCitation":"(Motulsky and Brown 2006)"},"properties":{"noteIndex":0},"schema":"https://github.com/citation-style-language/schema/raw/master/csl-citation.json"}</w:instrText>
      </w:r>
      <w:r w:rsidRPr="00AB51A9">
        <w:rPr>
          <w:rFonts w:ascii="Verdana" w:hAnsi="Verdana" w:cs="Times New Roman"/>
          <w:sz w:val="20"/>
          <w:szCs w:val="20"/>
        </w:rPr>
        <w:fldChar w:fldCharType="separate"/>
      </w:r>
      <w:r w:rsidR="00B77EC7" w:rsidRPr="00AB51A9">
        <w:rPr>
          <w:rFonts w:ascii="Verdana" w:hAnsi="Verdana" w:cs="Times New Roman"/>
          <w:noProof/>
          <w:sz w:val="20"/>
          <w:szCs w:val="20"/>
        </w:rPr>
        <w:t>(22)</w:t>
      </w:r>
      <w:r w:rsidRPr="00AB51A9">
        <w:rPr>
          <w:rFonts w:ascii="Verdana" w:hAnsi="Verdana" w:cs="Times New Roman"/>
          <w:sz w:val="20"/>
          <w:szCs w:val="20"/>
        </w:rPr>
        <w:fldChar w:fldCharType="end"/>
      </w:r>
      <w:r w:rsidRPr="00AB51A9">
        <w:rPr>
          <w:rFonts w:ascii="Verdana" w:hAnsi="Verdana" w:cs="Times New Roman"/>
          <w:sz w:val="20"/>
          <w:szCs w:val="20"/>
        </w:rPr>
        <w:t>.</w:t>
      </w:r>
    </w:p>
    <w:p w14:paraId="10C434D0" w14:textId="77777777" w:rsidR="004B489D" w:rsidRPr="00C51113" w:rsidRDefault="004B489D" w:rsidP="00677C01">
      <w:pPr>
        <w:spacing w:before="240"/>
        <w:jc w:val="both"/>
        <w:rPr>
          <w:rFonts w:ascii="Verdana" w:hAnsi="Verdana" w:cs="Times New Roman"/>
          <w:b/>
          <w:bCs/>
          <w:sz w:val="18"/>
          <w:szCs w:val="18"/>
        </w:rPr>
      </w:pPr>
      <w:bookmarkStart w:id="15" w:name="_Toc289175849"/>
    </w:p>
    <w:p w14:paraId="681BB7C2" w14:textId="4BDC8F09" w:rsidR="004B489D" w:rsidRPr="005E3B94" w:rsidRDefault="004B489D" w:rsidP="00677C01">
      <w:pPr>
        <w:pStyle w:val="Heading2"/>
        <w:numPr>
          <w:ilvl w:val="0"/>
          <w:numId w:val="7"/>
        </w:numPr>
        <w:jc w:val="left"/>
        <w:rPr>
          <w:rFonts w:ascii="Verdana" w:hAnsi="Verdana" w:cs="Times New Roman"/>
          <w:sz w:val="24"/>
          <w:szCs w:val="24"/>
        </w:rPr>
      </w:pPr>
      <w:bookmarkStart w:id="16" w:name="_Toc83382596"/>
      <w:r w:rsidRPr="005E3B94">
        <w:rPr>
          <w:rFonts w:ascii="Verdana" w:hAnsi="Verdana" w:cs="Times New Roman"/>
          <w:sz w:val="24"/>
          <w:szCs w:val="24"/>
        </w:rPr>
        <w:lastRenderedPageBreak/>
        <w:t>Results</w:t>
      </w:r>
      <w:bookmarkEnd w:id="16"/>
    </w:p>
    <w:p w14:paraId="6A8FD171" w14:textId="0A2E3695" w:rsidR="00834C18" w:rsidRPr="00677C01" w:rsidRDefault="00834C18" w:rsidP="00677C01">
      <w:pPr>
        <w:spacing w:before="240"/>
        <w:ind w:firstLine="360"/>
        <w:jc w:val="both"/>
        <w:rPr>
          <w:rFonts w:ascii="Verdana" w:hAnsi="Verdana" w:cs="Times New Roman"/>
          <w:sz w:val="20"/>
          <w:szCs w:val="20"/>
        </w:rPr>
      </w:pPr>
      <w:r w:rsidRPr="005E3B94">
        <w:rPr>
          <w:rFonts w:ascii="Verdana" w:hAnsi="Verdana" w:cs="Times New Roman"/>
          <w:i/>
          <w:iCs/>
          <w:sz w:val="20"/>
          <w:szCs w:val="20"/>
        </w:rPr>
        <w:t xml:space="preserve">Rhodobacterales </w:t>
      </w:r>
      <w:r w:rsidRPr="005E3B94">
        <w:rPr>
          <w:rFonts w:ascii="Verdana" w:hAnsi="Verdana" w:cs="Times New Roman"/>
          <w:sz w:val="20"/>
          <w:szCs w:val="20"/>
        </w:rPr>
        <w:t xml:space="preserve">sp. Y4I possesses two QS systems: </w:t>
      </w:r>
      <w:proofErr w:type="spellStart"/>
      <w:r w:rsidRPr="005E3B94">
        <w:rPr>
          <w:rFonts w:ascii="Verdana" w:hAnsi="Verdana" w:cs="Times New Roman"/>
          <w:i/>
          <w:iCs/>
          <w:sz w:val="20"/>
          <w:szCs w:val="20"/>
        </w:rPr>
        <w:t>phaRI</w:t>
      </w:r>
      <w:proofErr w:type="spellEnd"/>
      <w:r w:rsidRPr="005E3B94">
        <w:rPr>
          <w:rFonts w:ascii="Verdana" w:hAnsi="Verdana" w:cs="Times New Roman"/>
          <w:sz w:val="20"/>
          <w:szCs w:val="20"/>
        </w:rPr>
        <w:t xml:space="preserve"> (QS1) and </w:t>
      </w:r>
      <w:proofErr w:type="spellStart"/>
      <w:r w:rsidRPr="005E3B94">
        <w:rPr>
          <w:rFonts w:ascii="Verdana" w:hAnsi="Verdana" w:cs="Times New Roman"/>
          <w:i/>
          <w:iCs/>
          <w:sz w:val="20"/>
          <w:szCs w:val="20"/>
        </w:rPr>
        <w:t>pgaRI</w:t>
      </w:r>
      <w:proofErr w:type="spellEnd"/>
      <w:r w:rsidRPr="005E3B94">
        <w:rPr>
          <w:rFonts w:ascii="Verdana" w:hAnsi="Verdana" w:cs="Times New Roman"/>
          <w:sz w:val="20"/>
          <w:szCs w:val="20"/>
        </w:rPr>
        <w:t xml:space="preserve"> (QS2). We have previously demonstrated that disruption of </w:t>
      </w:r>
      <w:proofErr w:type="spellStart"/>
      <w:r w:rsidRPr="005E3B94">
        <w:rPr>
          <w:rFonts w:ascii="Verdana" w:hAnsi="Verdana" w:cs="Times New Roman"/>
          <w:i/>
          <w:iCs/>
          <w:sz w:val="20"/>
          <w:szCs w:val="20"/>
        </w:rPr>
        <w:t>pgaR</w:t>
      </w:r>
      <w:proofErr w:type="spellEnd"/>
      <w:r w:rsidRPr="005E3B94">
        <w:rPr>
          <w:rFonts w:ascii="Verdana" w:hAnsi="Verdana" w:cs="Times New Roman"/>
          <w:sz w:val="20"/>
          <w:szCs w:val="20"/>
        </w:rPr>
        <w:t xml:space="preserve"> (QS2) results in undetectable levels of its cognate AHL, C8-HSL, which is synthesized by PgaI </w:t>
      </w:r>
      <w:r w:rsidRPr="005E3B94">
        <w:rPr>
          <w:rFonts w:ascii="Verdana" w:hAnsi="Verdana" w:cs="Times New Roman"/>
          <w:sz w:val="20"/>
          <w:szCs w:val="20"/>
        </w:rPr>
        <w:fldChar w:fldCharType="begin" w:fldLock="1"/>
      </w:r>
      <w:r w:rsidR="00B77EC7" w:rsidRPr="005E3B94">
        <w:rPr>
          <w:rFonts w:ascii="Verdana" w:hAnsi="Verdana" w:cs="Times New Roman"/>
          <w:sz w:val="20"/>
          <w:szCs w:val="20"/>
        </w:rPr>
        <w:instrText>ADDIN CSL_CITATION {"citationItems":[{"id":"ITEM-1","itemData":{"DOI":"10.1128/AEM.02551-14","ISBN":"0099-2240","ISSN":"10985336","PMID":"25527537","abstract":"The marine roseobacter Phaeobacter sp. strain Y4I synthesizes the blue antimicrobial secondary metabolite indigoidine when grown in a biofilm or on agar plates. Prior studies suggested that indigoidine production may be, in part, regulated by cell-to-cell communication systems. Phaeobacter sp. strain Y4I possesses two luxR and luxI homologous N-acyl-L-homoserine lactone (AHL)-mediated cell-to-cell communication systems, designated pgaRI and phaRI. We show here that Y4I produces two dominant AHLs, the novel monounsaturated N-(3-hydroxydodecenoyl)-L-homoserine lactone (3OHC12:1-HSL) and the relatively common N-octanoyl-L-homoserine lactone (C8-HSL), and provide evidence that they are synthesized by PhaI and PgaI, respectively. A Tn5 insertional mutation in either genetic locus results in the abolishment (pgaR::Tn5) or reduction (phaR::Tn5) of pigment production. Motility defects and denser biofilms were also observed in these mutant backgrounds, suggesting an overlap in the functional roles of these systems. Production of the AHLs occurs at distinct points during growth on an agar surface and was determined by isotope dilution high-performance liquid chromatography–tandem mass spectrometry (ID-HPLC-MS/MS) analysis. Within 2 h of surface inoculation, only 3OHC12:1-HSL was detected in agar extracts. As surface-attached cells became established (at\u000210 h), the concentration of 3OHC12:1-HSL decreased, and the concentration of C8-HSL increased rapidly over 14 h. After longer (&gt;24-h) establishment periods, the concentrations of the two AHLs increased to and stabilized at\u000215 nM and \u0002600 nM for 3OHC12:1-HSL and C8-HSL, respectively. In contrast, the total amount of indigoidine increased steadily from undetectable to 642 \u0002Mby 48 h. Gene expression profiles of the AHL and indigoidine synthases (pgaI, phaI, and igiD) were consistent with their metabolite profiles. These data provide evidence that pgaRI and phaRI play overlapping roles in the regulation of indigoidine biosynthesis, and it is postulated that this allows Phaeobacter sp. strain Y4I to coordinate production of indigoidine with different growth-phase-dependent physiologies.","author":[{"dropping-particle":"","family":"Cude","given":"W. Nathan","non-dropping-particle":"","parse-names":false,"suffix":""},{"dropping-particle":"","family":"Prevatte","given":"Carson W.","non-dropping-particle":"","parse-names":false,"suffix":""},{"dropping-particle":"","family":"Hadden","given":"Mary K.","non-dropping-particle":"","parse-names":false,"suffix":""},{"dropping-particle":"","family":"May","given":"Amanda L.","non-dropping-particle":"","parse-names":false,"suffix":""},{"dropping-particle":"","family":"Smith","given":"Russell T.","non-dropping-particle":"","parse-names":false,"suffix":""},{"dropping-particle":"","family":"Swain","given":"Caleb L.","non-dropping-particle":"","parse-names":false,"suffix":""},{"dropping-particle":"","family":"Campagna","given":"Shawn R.","non-dropping-particle":"","parse-names":false,"suffix":""},{"dropping-particle":"","family":"Buchan","given":"Alison","non-dropping-particle":"","parse-names":false,"suffix":""}],"container-title":"Applied and Environmental Microbiology","id":"ITEM-1","issue":"4","issued":{"date-parts":[["2015"]]},"page":"1417-1425","title":"&lt;i&gt;Phaeobacter sp.&lt;/i&gt; strain Y4I utilizes two separate cell-to-cell communication systems to regulate production of the antimicrobial indigoidine","type":"article-journal","volume":"81"},"uris":["http://www.mendeley.com/documents/?uuid=35095d74-a8b3-4c92-850e-3ce548f6d528"]}],"mendeley":{"formattedCitation":"(14)","plainTextFormattedCitation":"(14)","previouslyFormattedCitation":"(Cude et al. 2015)"},"properties":{"noteIndex":0},"schema":"https://github.com/citation-style-language/schema/raw/master/csl-citation.json"}</w:instrText>
      </w:r>
      <w:r w:rsidRPr="005E3B94">
        <w:rPr>
          <w:rFonts w:ascii="Verdana" w:hAnsi="Verdana" w:cs="Times New Roman"/>
          <w:sz w:val="20"/>
          <w:szCs w:val="20"/>
        </w:rPr>
        <w:fldChar w:fldCharType="separate"/>
      </w:r>
      <w:r w:rsidR="00B77EC7" w:rsidRPr="005E3B94">
        <w:rPr>
          <w:rFonts w:ascii="Verdana" w:hAnsi="Verdana" w:cs="Times New Roman"/>
          <w:noProof/>
          <w:sz w:val="20"/>
          <w:szCs w:val="20"/>
        </w:rPr>
        <w:t>(14)</w:t>
      </w:r>
      <w:r w:rsidRPr="005E3B94">
        <w:rPr>
          <w:rFonts w:ascii="Verdana" w:hAnsi="Verdana" w:cs="Times New Roman"/>
          <w:sz w:val="20"/>
          <w:szCs w:val="20"/>
        </w:rPr>
        <w:fldChar w:fldCharType="end"/>
      </w:r>
      <w:r w:rsidRPr="005E3B94">
        <w:rPr>
          <w:rFonts w:ascii="Verdana" w:hAnsi="Verdana" w:cs="Times New Roman"/>
          <w:sz w:val="20"/>
          <w:szCs w:val="20"/>
        </w:rPr>
        <w:t xml:space="preserve">. This result indicates that the insertional mutation in </w:t>
      </w:r>
      <w:proofErr w:type="spellStart"/>
      <w:r w:rsidRPr="005E3B94">
        <w:rPr>
          <w:rFonts w:ascii="Verdana" w:hAnsi="Verdana" w:cs="Times New Roman"/>
          <w:i/>
          <w:iCs/>
          <w:sz w:val="20"/>
          <w:szCs w:val="20"/>
        </w:rPr>
        <w:t>pgaR</w:t>
      </w:r>
      <w:proofErr w:type="spellEnd"/>
      <w:r w:rsidRPr="005E3B94">
        <w:rPr>
          <w:rFonts w:ascii="Verdana" w:hAnsi="Verdana" w:cs="Times New Roman"/>
          <w:sz w:val="20"/>
          <w:szCs w:val="20"/>
        </w:rPr>
        <w:t xml:space="preserve"> leads to downstream effects on </w:t>
      </w:r>
      <w:r w:rsidRPr="005E3B94">
        <w:rPr>
          <w:rFonts w:ascii="Verdana" w:hAnsi="Verdana" w:cs="Times New Roman"/>
          <w:i/>
          <w:iCs/>
          <w:sz w:val="20"/>
          <w:szCs w:val="20"/>
        </w:rPr>
        <w:t xml:space="preserve">pgaI </w:t>
      </w:r>
      <w:r w:rsidRPr="005E3B94">
        <w:rPr>
          <w:rFonts w:ascii="Verdana" w:hAnsi="Verdana" w:cs="Times New Roman"/>
          <w:sz w:val="20"/>
          <w:szCs w:val="20"/>
        </w:rPr>
        <w:t xml:space="preserve">expression. Indeed, this is confirmed by the gene expression data presented in a subsequent section. In contrast, disruption of </w:t>
      </w:r>
      <w:proofErr w:type="spellStart"/>
      <w:r w:rsidRPr="005E3B94">
        <w:rPr>
          <w:rFonts w:ascii="Verdana" w:hAnsi="Verdana" w:cs="Times New Roman"/>
          <w:i/>
          <w:iCs/>
          <w:sz w:val="20"/>
          <w:szCs w:val="20"/>
        </w:rPr>
        <w:t>phaR</w:t>
      </w:r>
      <w:proofErr w:type="spellEnd"/>
      <w:r w:rsidRPr="005E3B94">
        <w:rPr>
          <w:rFonts w:ascii="Verdana" w:hAnsi="Verdana" w:cs="Times New Roman"/>
          <w:sz w:val="20"/>
          <w:szCs w:val="20"/>
        </w:rPr>
        <w:t xml:space="preserve"> (QS1) results in detectable, albeit decreased levels, of its cognate AHL, 3OHC12:1-HSL. In addition, indigoidine production is impaired, but not abolished, in this mutant </w:t>
      </w:r>
      <w:r w:rsidRPr="005E3B94">
        <w:rPr>
          <w:rFonts w:ascii="Verdana" w:hAnsi="Verdana" w:cs="Times New Roman"/>
          <w:sz w:val="20"/>
          <w:szCs w:val="20"/>
        </w:rPr>
        <w:fldChar w:fldCharType="begin" w:fldLock="1"/>
      </w:r>
      <w:r w:rsidR="00B77EC7" w:rsidRPr="005E3B94">
        <w:rPr>
          <w:rFonts w:ascii="Verdana" w:hAnsi="Verdana" w:cs="Times New Roman"/>
          <w:sz w:val="20"/>
          <w:szCs w:val="20"/>
        </w:rPr>
        <w:instrText>ADDIN CSL_CITATION {"citationItems":[{"id":"ITEM-1","itemData":{"DOI":"10.1128/AEM.02551-14","ISBN":"0099-2240","ISSN":"10985336","PMID":"25527537","abstract":"The marine roseobacter Phaeobacter sp. strain Y4I synthesizes the blue antimicrobial secondary metabolite indigoidine when grown in a biofilm or on agar plates. Prior studies suggested that indigoidine production may be, in part, regulated by cell-to-cell communication systems. Phaeobacter sp. strain Y4I possesses two luxR and luxI homologous N-acyl-L-homoserine lactone (AHL)-mediated cell-to-cell communication systems, designated pgaRI and phaRI. We show here that Y4I produces two dominant AHLs, the novel monounsaturated N-(3-hydroxydodecenoyl)-L-homoserine lactone (3OHC12:1-HSL) and the relatively common N-octanoyl-L-homoserine lactone (C8-HSL), and provide evidence that they are synthesized by PhaI and PgaI, respectively. A Tn5 insertional mutation in either genetic locus results in the abolishment (pgaR::Tn5) or reduction (phaR::Tn5) of pigment production. Motility defects and denser biofilms were also observed in these mutant backgrounds, suggesting an overlap in the functional roles of these systems. Production of the AHLs occurs at distinct points during growth on an agar surface and was determined by isotope dilution high-performance liquid chromatography–tandem mass spectrometry (ID-HPLC-MS/MS) analysis. Within 2 h of surface inoculation, only 3OHC12:1-HSL was detected in agar extracts. As surface-attached cells became established (at\u000210 h), the concentration of 3OHC12:1-HSL decreased, and the concentration of C8-HSL increased rapidly over 14 h. After longer (&gt;24-h) establishment periods, the concentrations of the two AHLs increased to and stabilized at\u000215 nM and \u0002600 nM for 3OHC12:1-HSL and C8-HSL, respectively. In contrast, the total amount of indigoidine increased steadily from undetectable to 642 \u0002Mby 48 h. Gene expression profiles of the AHL and indigoidine synthases (pgaI, phaI, and igiD) were consistent with their metabolite profiles. These data provide evidence that pgaRI and phaRI play overlapping roles in the regulation of indigoidine biosynthesis, and it is postulated that this allows Phaeobacter sp. strain Y4I to coordinate production of indigoidine with different growth-phase-dependent physiologies.","author":[{"dropping-particle":"","family":"Cude","given":"W. Nathan","non-dropping-particle":"","parse-names":false,"suffix":""},{"dropping-particle":"","family":"Prevatte","given":"Carson W.","non-dropping-particle":"","parse-names":false,"suffix":""},{"dropping-particle":"","family":"Hadden","given":"Mary K.","non-dropping-particle":"","parse-names":false,"suffix":""},{"dropping-particle":"","family":"May","given":"Amanda L.","non-dropping-particle":"","parse-names":false,"suffix":""},{"dropping-particle":"","family":"Smith","given":"Russell T.","non-dropping-particle":"","parse-names":false,"suffix":""},{"dropping-particle":"","family":"Swain","given":"Caleb L.","non-dropping-particle":"","parse-names":false,"suffix":""},{"dropping-particle":"","family":"Campagna","given":"Shawn R.","non-dropping-particle":"","parse-names":false,"suffix":""},{"dropping-particle":"","family":"Buchan","given":"Alison","non-dropping-particle":"","parse-names":false,"suffix":""}],"container-title":"Applied and Environmental Microbiology","id":"ITEM-1","issue":"4","issued":{"date-parts":[["2015"]]},"page":"1417-1425","title":"&lt;i&gt;Phaeobacter sp.&lt;/i&gt; strain Y4I utilizes two separate cell-to-cell communication systems to regulate production of the antimicrobial indigoidine","type":"article-journal","volume":"81"},"uris":["http://www.mendeley.com/documents/?uuid=35095d74-a8b3-4c92-850e-3ce548f6d528"]}],"mendeley":{"formattedCitation":"(14)","plainTextFormattedCitation":"(14)","previouslyFormattedCitation":"(Cude et al. 2015)"},"properties":{"noteIndex":0},"schema":"https://github.com/citation-style-language/schema/raw/master/csl-citation.json"}</w:instrText>
      </w:r>
      <w:r w:rsidRPr="005E3B94">
        <w:rPr>
          <w:rFonts w:ascii="Verdana" w:hAnsi="Verdana" w:cs="Times New Roman"/>
          <w:sz w:val="20"/>
          <w:szCs w:val="20"/>
        </w:rPr>
        <w:fldChar w:fldCharType="separate"/>
      </w:r>
      <w:r w:rsidR="00B77EC7" w:rsidRPr="005E3B94">
        <w:rPr>
          <w:rFonts w:ascii="Verdana" w:hAnsi="Verdana" w:cs="Times New Roman"/>
          <w:noProof/>
          <w:sz w:val="20"/>
          <w:szCs w:val="20"/>
        </w:rPr>
        <w:t>(14)</w:t>
      </w:r>
      <w:r w:rsidRPr="005E3B94">
        <w:rPr>
          <w:rFonts w:ascii="Verdana" w:hAnsi="Verdana" w:cs="Times New Roman"/>
          <w:sz w:val="20"/>
          <w:szCs w:val="20"/>
        </w:rPr>
        <w:fldChar w:fldCharType="end"/>
      </w:r>
      <w:r w:rsidRPr="005E3B94">
        <w:rPr>
          <w:rFonts w:ascii="Verdana" w:hAnsi="Verdana" w:cs="Times New Roman"/>
          <w:sz w:val="20"/>
          <w:szCs w:val="20"/>
        </w:rPr>
        <w:t>. Thus, to fully elucidate the relative contributions of each QS system and to define the regulatory architecture governing indigoidine biosynthesis, we first generated a AHL synthase mutant in the QS1 system (</w:t>
      </w:r>
      <w:proofErr w:type="spellStart"/>
      <w:r w:rsidRPr="005E3B94">
        <w:rPr>
          <w:rFonts w:ascii="Verdana" w:hAnsi="Verdana" w:cs="Times New Roman"/>
          <w:i/>
          <w:iCs/>
          <w:sz w:val="20"/>
          <w:szCs w:val="20"/>
        </w:rPr>
        <w:t>phaRI</w:t>
      </w:r>
      <w:proofErr w:type="spellEnd"/>
      <w:r w:rsidRPr="005E3B94">
        <w:rPr>
          <w:rFonts w:ascii="Verdana" w:hAnsi="Verdana" w:cs="Times New Roman"/>
          <w:sz w:val="20"/>
          <w:szCs w:val="20"/>
        </w:rPr>
        <w:t xml:space="preserve">) in the marine isolate, </w:t>
      </w:r>
      <w:r w:rsidRPr="005E3B94">
        <w:rPr>
          <w:rFonts w:ascii="Verdana" w:hAnsi="Verdana" w:cs="Times New Roman"/>
          <w:i/>
          <w:iCs/>
          <w:sz w:val="20"/>
          <w:szCs w:val="20"/>
        </w:rPr>
        <w:t xml:space="preserve">Rhodobacterales </w:t>
      </w:r>
      <w:r w:rsidRPr="005E3B94">
        <w:rPr>
          <w:rFonts w:ascii="Verdana" w:hAnsi="Verdana" w:cs="Times New Roman"/>
          <w:sz w:val="20"/>
          <w:szCs w:val="20"/>
        </w:rPr>
        <w:t>sp. Y4I. We then assessed various phenotypes of this and previously generated mutants.</w:t>
      </w:r>
    </w:p>
    <w:p w14:paraId="68A3DC25" w14:textId="185A6261" w:rsidR="00834C18" w:rsidRPr="00677C01" w:rsidRDefault="00834C18" w:rsidP="00677C01">
      <w:pPr>
        <w:spacing w:before="240"/>
        <w:ind w:firstLine="360"/>
        <w:jc w:val="both"/>
        <w:rPr>
          <w:rFonts w:ascii="Verdana" w:hAnsi="Verdana" w:cs="Times New Roman"/>
          <w:sz w:val="20"/>
          <w:szCs w:val="20"/>
        </w:rPr>
      </w:pPr>
      <w:r w:rsidRPr="005E3B94">
        <w:rPr>
          <w:rFonts w:ascii="Verdana" w:hAnsi="Verdana" w:cs="Times New Roman"/>
          <w:b/>
          <w:bCs/>
          <w:sz w:val="20"/>
          <w:szCs w:val="20"/>
        </w:rPr>
        <w:t xml:space="preserve">The </w:t>
      </w:r>
      <w:proofErr w:type="spellStart"/>
      <w:r w:rsidRPr="005E3B94">
        <w:rPr>
          <w:rFonts w:ascii="Verdana" w:hAnsi="Verdana" w:cs="Times New Roman"/>
          <w:b/>
          <w:bCs/>
          <w:i/>
          <w:iCs/>
          <w:sz w:val="20"/>
          <w:szCs w:val="20"/>
        </w:rPr>
        <w:t>phaI</w:t>
      </w:r>
      <w:proofErr w:type="spellEnd"/>
      <w:r w:rsidRPr="005E3B94">
        <w:rPr>
          <w:rFonts w:ascii="Verdana" w:hAnsi="Verdana" w:cs="Times New Roman"/>
          <w:b/>
          <w:bCs/>
          <w:sz w:val="20"/>
          <w:szCs w:val="20"/>
        </w:rPr>
        <w:t xml:space="preserve"> mutant does not produce indigoidine and demonstrates increased biofilm formation. </w:t>
      </w:r>
      <w:r w:rsidRPr="005E3B94">
        <w:rPr>
          <w:rFonts w:ascii="Verdana" w:hAnsi="Verdana" w:cs="Times New Roman"/>
          <w:sz w:val="20"/>
          <w:szCs w:val="20"/>
        </w:rPr>
        <w:t xml:space="preserve">Unlike the </w:t>
      </w:r>
      <w:proofErr w:type="spellStart"/>
      <w:proofErr w:type="gramStart"/>
      <w:r w:rsidRPr="005E3B94">
        <w:rPr>
          <w:rFonts w:ascii="Verdana" w:hAnsi="Verdana" w:cs="Times New Roman"/>
          <w:i/>
          <w:iCs/>
          <w:sz w:val="20"/>
          <w:szCs w:val="20"/>
        </w:rPr>
        <w:t>phaR</w:t>
      </w:r>
      <w:proofErr w:type="spellEnd"/>
      <w:r w:rsidRPr="005E3B94">
        <w:rPr>
          <w:rFonts w:ascii="Verdana" w:hAnsi="Verdana" w:cs="Times New Roman"/>
          <w:sz w:val="20"/>
          <w:szCs w:val="20"/>
        </w:rPr>
        <w:t>::</w:t>
      </w:r>
      <w:proofErr w:type="gramEnd"/>
      <w:r w:rsidRPr="005E3B94">
        <w:rPr>
          <w:rFonts w:ascii="Verdana" w:hAnsi="Verdana" w:cs="Times New Roman"/>
          <w:sz w:val="20"/>
          <w:szCs w:val="20"/>
        </w:rPr>
        <w:t>Tn5-Km</w:t>
      </w:r>
      <w:r w:rsidRPr="005E3B94">
        <w:rPr>
          <w:rFonts w:ascii="Verdana" w:hAnsi="Verdana" w:cs="Times New Roman"/>
          <w:sz w:val="20"/>
          <w:szCs w:val="20"/>
          <w:vertAlign w:val="superscript"/>
        </w:rPr>
        <w:t>R</w:t>
      </w:r>
      <w:r w:rsidRPr="005E3B94">
        <w:rPr>
          <w:rFonts w:ascii="Verdana" w:hAnsi="Verdana" w:cs="Times New Roman"/>
          <w:sz w:val="20"/>
          <w:szCs w:val="20"/>
        </w:rPr>
        <w:t xml:space="preserve"> (QS1) mutant, </w:t>
      </w:r>
      <w:proofErr w:type="spellStart"/>
      <w:r w:rsidRPr="005E3B94">
        <w:rPr>
          <w:rFonts w:ascii="Verdana" w:hAnsi="Verdana" w:cs="Times New Roman"/>
          <w:i/>
          <w:iCs/>
          <w:sz w:val="20"/>
          <w:szCs w:val="20"/>
        </w:rPr>
        <w:t>phaI</w:t>
      </w:r>
      <w:proofErr w:type="spellEnd"/>
      <w:r w:rsidRPr="005E3B94">
        <w:rPr>
          <w:rFonts w:ascii="Verdana" w:hAnsi="Verdana" w:cs="Times New Roman"/>
          <w:sz w:val="20"/>
          <w:szCs w:val="20"/>
        </w:rPr>
        <w:t>::</w:t>
      </w:r>
      <w:proofErr w:type="spellStart"/>
      <w:r w:rsidRPr="005E3B94">
        <w:rPr>
          <w:rFonts w:ascii="Verdana" w:hAnsi="Verdana" w:cs="Times New Roman"/>
          <w:sz w:val="20"/>
          <w:szCs w:val="20"/>
        </w:rPr>
        <w:t>pKNOCK</w:t>
      </w:r>
      <w:proofErr w:type="spellEnd"/>
      <w:r w:rsidRPr="005E3B94">
        <w:rPr>
          <w:rFonts w:ascii="Verdana" w:hAnsi="Verdana" w:cs="Times New Roman"/>
          <w:sz w:val="20"/>
          <w:szCs w:val="20"/>
        </w:rPr>
        <w:t xml:space="preserve"> (QS1) does not produce detectable levels of its cognate AHL (data not shown) nor does it produce any visible levels of indigoidine, even after several days of incubation. Consistent with this phenotype, the mutant is unable to inhibit the growth of </w:t>
      </w:r>
      <w:r w:rsidRPr="005E3B94">
        <w:rPr>
          <w:rFonts w:ascii="Verdana" w:hAnsi="Verdana" w:cs="Times New Roman"/>
          <w:i/>
          <w:iCs/>
          <w:sz w:val="20"/>
          <w:szCs w:val="20"/>
        </w:rPr>
        <w:t xml:space="preserve">A. </w:t>
      </w:r>
      <w:proofErr w:type="spellStart"/>
      <w:r w:rsidRPr="005E3B94">
        <w:rPr>
          <w:rFonts w:ascii="Verdana" w:hAnsi="Verdana" w:cs="Times New Roman"/>
          <w:i/>
          <w:iCs/>
          <w:sz w:val="20"/>
          <w:szCs w:val="20"/>
        </w:rPr>
        <w:t>fischeri</w:t>
      </w:r>
      <w:proofErr w:type="spellEnd"/>
      <w:r w:rsidRPr="005E3B94">
        <w:rPr>
          <w:rFonts w:ascii="Verdana" w:hAnsi="Verdana" w:cs="Times New Roman"/>
          <w:i/>
          <w:iCs/>
          <w:sz w:val="20"/>
          <w:szCs w:val="20"/>
        </w:rPr>
        <w:t xml:space="preserve"> </w:t>
      </w:r>
      <w:r w:rsidRPr="005E3B94">
        <w:rPr>
          <w:rFonts w:ascii="Verdana" w:hAnsi="Verdana" w:cs="Times New Roman"/>
          <w:sz w:val="20"/>
          <w:szCs w:val="20"/>
        </w:rPr>
        <w:t xml:space="preserve">(Table 1). We also assessed whether insertional mutagenesis of </w:t>
      </w:r>
      <w:proofErr w:type="spellStart"/>
      <w:r w:rsidRPr="005E3B94">
        <w:rPr>
          <w:rFonts w:ascii="Verdana" w:hAnsi="Verdana" w:cs="Times New Roman"/>
          <w:i/>
          <w:iCs/>
          <w:sz w:val="20"/>
          <w:szCs w:val="20"/>
        </w:rPr>
        <w:t>phaI</w:t>
      </w:r>
      <w:proofErr w:type="spellEnd"/>
      <w:r w:rsidRPr="005E3B94">
        <w:rPr>
          <w:rFonts w:ascii="Verdana" w:hAnsi="Verdana" w:cs="Times New Roman"/>
          <w:i/>
          <w:iCs/>
          <w:sz w:val="20"/>
          <w:szCs w:val="20"/>
        </w:rPr>
        <w:t xml:space="preserve"> </w:t>
      </w:r>
      <w:r w:rsidRPr="005E3B94">
        <w:rPr>
          <w:rFonts w:ascii="Verdana" w:hAnsi="Verdana" w:cs="Times New Roman"/>
          <w:sz w:val="20"/>
          <w:szCs w:val="20"/>
        </w:rPr>
        <w:t xml:space="preserve">results in growth defects. Growth of </w:t>
      </w:r>
      <w:proofErr w:type="spellStart"/>
      <w:proofErr w:type="gramStart"/>
      <w:r w:rsidRPr="005E3B94">
        <w:rPr>
          <w:rFonts w:ascii="Verdana" w:hAnsi="Verdana" w:cs="Times New Roman"/>
          <w:i/>
          <w:iCs/>
          <w:sz w:val="20"/>
          <w:szCs w:val="20"/>
        </w:rPr>
        <w:t>phaI</w:t>
      </w:r>
      <w:proofErr w:type="spellEnd"/>
      <w:r w:rsidRPr="005E3B94">
        <w:rPr>
          <w:rFonts w:ascii="Verdana" w:hAnsi="Verdana" w:cs="Times New Roman"/>
          <w:sz w:val="20"/>
          <w:szCs w:val="20"/>
        </w:rPr>
        <w:t>::</w:t>
      </w:r>
      <w:proofErr w:type="spellStart"/>
      <w:proofErr w:type="gramEnd"/>
      <w:r w:rsidRPr="005E3B94">
        <w:rPr>
          <w:rFonts w:ascii="Verdana" w:hAnsi="Verdana" w:cs="Times New Roman"/>
          <w:sz w:val="20"/>
          <w:szCs w:val="20"/>
        </w:rPr>
        <w:t>pKNOCK</w:t>
      </w:r>
      <w:proofErr w:type="spellEnd"/>
      <w:r w:rsidRPr="005E3B94">
        <w:rPr>
          <w:rFonts w:ascii="Verdana" w:hAnsi="Verdana" w:cs="Times New Roman"/>
          <w:sz w:val="20"/>
          <w:szCs w:val="20"/>
        </w:rPr>
        <w:t xml:space="preserve"> in liquid culture was comparable to that of wildtype (Fig. S2A). Given that Y4I forms prolific biofilms and mutants in QS1, QS2, and the indigoidine synthase gene (</w:t>
      </w:r>
      <w:proofErr w:type="spellStart"/>
      <w:r w:rsidRPr="005E3B94">
        <w:rPr>
          <w:rFonts w:ascii="Verdana" w:hAnsi="Verdana" w:cs="Times New Roman"/>
          <w:i/>
          <w:iCs/>
          <w:sz w:val="20"/>
          <w:szCs w:val="20"/>
        </w:rPr>
        <w:t>igiD</w:t>
      </w:r>
      <w:proofErr w:type="spellEnd"/>
      <w:r w:rsidRPr="005E3B94">
        <w:rPr>
          <w:rFonts w:ascii="Verdana" w:hAnsi="Verdana" w:cs="Times New Roman"/>
          <w:sz w:val="20"/>
          <w:szCs w:val="20"/>
        </w:rPr>
        <w:t>)</w:t>
      </w:r>
      <w:r w:rsidRPr="005E3B94">
        <w:rPr>
          <w:rFonts w:ascii="Verdana" w:hAnsi="Verdana" w:cs="Times New Roman"/>
          <w:i/>
          <w:iCs/>
          <w:sz w:val="20"/>
          <w:szCs w:val="20"/>
        </w:rPr>
        <w:t xml:space="preserve"> </w:t>
      </w:r>
      <w:r w:rsidRPr="005E3B94">
        <w:rPr>
          <w:rFonts w:ascii="Verdana" w:hAnsi="Verdana" w:cs="Times New Roman"/>
          <w:sz w:val="20"/>
          <w:szCs w:val="20"/>
        </w:rPr>
        <w:t xml:space="preserve">previously demonstrated increased biofilm formation compared to wildtype, we tested biofilm formation in </w:t>
      </w:r>
      <w:proofErr w:type="spellStart"/>
      <w:proofErr w:type="gramStart"/>
      <w:r w:rsidRPr="005E3B94">
        <w:rPr>
          <w:rFonts w:ascii="Verdana" w:hAnsi="Verdana" w:cs="Times New Roman"/>
          <w:i/>
          <w:iCs/>
          <w:sz w:val="20"/>
          <w:szCs w:val="20"/>
        </w:rPr>
        <w:t>phaI</w:t>
      </w:r>
      <w:proofErr w:type="spellEnd"/>
      <w:r w:rsidRPr="005E3B94">
        <w:rPr>
          <w:rFonts w:ascii="Verdana" w:hAnsi="Verdana" w:cs="Times New Roman"/>
          <w:sz w:val="20"/>
          <w:szCs w:val="20"/>
        </w:rPr>
        <w:t>::</w:t>
      </w:r>
      <w:proofErr w:type="spellStart"/>
      <w:proofErr w:type="gramEnd"/>
      <w:r w:rsidRPr="005E3B94">
        <w:rPr>
          <w:rFonts w:ascii="Verdana" w:hAnsi="Verdana" w:cs="Times New Roman"/>
          <w:sz w:val="20"/>
          <w:szCs w:val="20"/>
        </w:rPr>
        <w:t>pKNOCK</w:t>
      </w:r>
      <w:proofErr w:type="spellEnd"/>
      <w:r w:rsidRPr="005E3B94">
        <w:rPr>
          <w:rFonts w:ascii="Verdana" w:hAnsi="Verdana" w:cs="Times New Roman"/>
          <w:sz w:val="20"/>
          <w:szCs w:val="20"/>
        </w:rPr>
        <w:t xml:space="preserve">. The </w:t>
      </w:r>
      <w:proofErr w:type="spellStart"/>
      <w:r w:rsidRPr="005E3B94">
        <w:rPr>
          <w:rFonts w:ascii="Verdana" w:hAnsi="Verdana" w:cs="Times New Roman"/>
          <w:i/>
          <w:iCs/>
          <w:sz w:val="20"/>
          <w:szCs w:val="20"/>
        </w:rPr>
        <w:t>phaI</w:t>
      </w:r>
      <w:proofErr w:type="spellEnd"/>
      <w:r w:rsidRPr="005E3B94">
        <w:rPr>
          <w:rFonts w:ascii="Verdana" w:hAnsi="Verdana" w:cs="Times New Roman"/>
          <w:sz w:val="20"/>
          <w:szCs w:val="20"/>
        </w:rPr>
        <w:t xml:space="preserve"> mutant has significantly increased biofilm formation relative to wildtype as well as the other mutants assayed (Fig. S2B). </w:t>
      </w:r>
    </w:p>
    <w:p w14:paraId="054B46F6" w14:textId="77777777" w:rsidR="00834C18" w:rsidRPr="005E3B94" w:rsidRDefault="00834C18" w:rsidP="00677C01">
      <w:pPr>
        <w:spacing w:before="240"/>
        <w:ind w:firstLine="360"/>
        <w:jc w:val="both"/>
        <w:rPr>
          <w:rFonts w:ascii="Verdana" w:hAnsi="Verdana" w:cs="Times New Roman"/>
          <w:sz w:val="20"/>
          <w:szCs w:val="20"/>
        </w:rPr>
      </w:pPr>
      <w:r w:rsidRPr="005E3B94">
        <w:rPr>
          <w:rFonts w:ascii="Verdana" w:hAnsi="Verdana" w:cs="Times New Roman"/>
          <w:b/>
          <w:iCs/>
          <w:sz w:val="20"/>
          <w:szCs w:val="20"/>
        </w:rPr>
        <w:t xml:space="preserve">Disruption in </w:t>
      </w:r>
      <w:proofErr w:type="spellStart"/>
      <w:r w:rsidRPr="005E3B94">
        <w:rPr>
          <w:rFonts w:ascii="Verdana" w:hAnsi="Verdana" w:cs="Times New Roman"/>
          <w:b/>
          <w:i/>
          <w:sz w:val="20"/>
          <w:szCs w:val="20"/>
        </w:rPr>
        <w:t>pgaRI</w:t>
      </w:r>
      <w:proofErr w:type="spellEnd"/>
      <w:r w:rsidRPr="005E3B94">
        <w:rPr>
          <w:rFonts w:ascii="Verdana" w:hAnsi="Verdana" w:cs="Times New Roman"/>
          <w:b/>
          <w:iCs/>
          <w:sz w:val="20"/>
          <w:szCs w:val="20"/>
        </w:rPr>
        <w:t xml:space="preserve"> (QS2) leads to a system wide decrease in QS and </w:t>
      </w:r>
      <w:proofErr w:type="spellStart"/>
      <w:r w:rsidRPr="005E3B94">
        <w:rPr>
          <w:rFonts w:ascii="Verdana" w:hAnsi="Verdana" w:cs="Times New Roman"/>
          <w:b/>
          <w:i/>
          <w:sz w:val="20"/>
          <w:szCs w:val="20"/>
        </w:rPr>
        <w:t>igiD</w:t>
      </w:r>
      <w:proofErr w:type="spellEnd"/>
      <w:r w:rsidRPr="005E3B94">
        <w:rPr>
          <w:rFonts w:ascii="Verdana" w:hAnsi="Verdana" w:cs="Times New Roman"/>
          <w:b/>
          <w:iCs/>
          <w:sz w:val="20"/>
          <w:szCs w:val="20"/>
        </w:rPr>
        <w:t xml:space="preserve"> gene expression</w:t>
      </w:r>
      <w:r w:rsidRPr="005E3B94">
        <w:rPr>
          <w:rFonts w:ascii="Verdana" w:hAnsi="Verdana" w:cs="Times New Roman"/>
          <w:b/>
          <w:i/>
          <w:sz w:val="20"/>
          <w:szCs w:val="20"/>
        </w:rPr>
        <w:t>.</w:t>
      </w:r>
      <w:r w:rsidRPr="005E3B94">
        <w:rPr>
          <w:rFonts w:ascii="Verdana" w:hAnsi="Verdana" w:cs="Times New Roman"/>
          <w:b/>
          <w:sz w:val="20"/>
          <w:szCs w:val="20"/>
        </w:rPr>
        <w:t xml:space="preserve"> </w:t>
      </w:r>
      <w:r w:rsidRPr="005E3B94">
        <w:rPr>
          <w:rFonts w:ascii="Verdana" w:hAnsi="Verdana" w:cs="Times New Roman"/>
          <w:sz w:val="20"/>
          <w:szCs w:val="20"/>
        </w:rPr>
        <w:t xml:space="preserve">To examine the QS regulatory network governing indigoidine biosynthesis in Y4I, </w:t>
      </w:r>
      <w:r w:rsidRPr="005E3B94">
        <w:rPr>
          <w:rFonts w:ascii="Verdana" w:hAnsi="Verdana" w:cs="Times New Roman"/>
          <w:bCs/>
          <w:sz w:val="20"/>
          <w:szCs w:val="20"/>
        </w:rPr>
        <w:t xml:space="preserve">we performed gene expression assays via </w:t>
      </w:r>
      <w:proofErr w:type="spellStart"/>
      <w:r w:rsidRPr="005E3B94">
        <w:rPr>
          <w:rFonts w:ascii="Verdana" w:hAnsi="Verdana" w:cs="Times New Roman"/>
          <w:bCs/>
          <w:sz w:val="20"/>
          <w:szCs w:val="20"/>
        </w:rPr>
        <w:t>qRT</w:t>
      </w:r>
      <w:proofErr w:type="spellEnd"/>
      <w:r w:rsidRPr="005E3B94">
        <w:rPr>
          <w:rFonts w:ascii="Verdana" w:hAnsi="Verdana" w:cs="Times New Roman"/>
          <w:bCs/>
          <w:sz w:val="20"/>
          <w:szCs w:val="20"/>
        </w:rPr>
        <w:t xml:space="preserve">-PCR </w:t>
      </w:r>
      <w:r w:rsidRPr="005E3B94">
        <w:rPr>
          <w:rFonts w:ascii="Verdana" w:hAnsi="Verdana" w:cs="Times New Roman"/>
          <w:sz w:val="20"/>
          <w:szCs w:val="20"/>
        </w:rPr>
        <w:t xml:space="preserve">on the following five genes: </w:t>
      </w:r>
      <w:proofErr w:type="spellStart"/>
      <w:r w:rsidRPr="005E3B94">
        <w:rPr>
          <w:rFonts w:ascii="Verdana" w:hAnsi="Verdana" w:cs="Times New Roman"/>
          <w:i/>
          <w:sz w:val="20"/>
          <w:szCs w:val="20"/>
        </w:rPr>
        <w:t>igiD</w:t>
      </w:r>
      <w:proofErr w:type="spellEnd"/>
      <w:r w:rsidRPr="005E3B94">
        <w:rPr>
          <w:rFonts w:ascii="Verdana" w:hAnsi="Verdana" w:cs="Times New Roman"/>
          <w:i/>
          <w:sz w:val="20"/>
          <w:szCs w:val="20"/>
        </w:rPr>
        <w:t xml:space="preserve"> </w:t>
      </w:r>
      <w:r w:rsidRPr="005E3B94">
        <w:rPr>
          <w:rFonts w:ascii="Verdana" w:hAnsi="Verdana" w:cs="Times New Roman"/>
          <w:sz w:val="20"/>
          <w:szCs w:val="20"/>
        </w:rPr>
        <w:t xml:space="preserve">(indigoidine synthase); </w:t>
      </w:r>
      <w:proofErr w:type="spellStart"/>
      <w:r w:rsidRPr="005E3B94">
        <w:rPr>
          <w:rFonts w:ascii="Verdana" w:hAnsi="Verdana" w:cs="Times New Roman"/>
          <w:i/>
          <w:sz w:val="20"/>
          <w:szCs w:val="20"/>
        </w:rPr>
        <w:t>phaR</w:t>
      </w:r>
      <w:proofErr w:type="spellEnd"/>
      <w:r w:rsidRPr="005E3B94">
        <w:rPr>
          <w:rFonts w:ascii="Verdana" w:hAnsi="Verdana" w:cs="Times New Roman"/>
          <w:i/>
          <w:sz w:val="20"/>
          <w:szCs w:val="20"/>
        </w:rPr>
        <w:t xml:space="preserve"> </w:t>
      </w:r>
      <w:r w:rsidRPr="005E3B94">
        <w:rPr>
          <w:rFonts w:ascii="Verdana" w:hAnsi="Verdana" w:cs="Times New Roman"/>
          <w:iCs/>
          <w:sz w:val="20"/>
          <w:szCs w:val="20"/>
        </w:rPr>
        <w:t>and</w:t>
      </w:r>
      <w:r w:rsidRPr="005E3B94">
        <w:rPr>
          <w:rFonts w:ascii="Verdana" w:hAnsi="Verdana" w:cs="Times New Roman"/>
          <w:i/>
          <w:sz w:val="20"/>
          <w:szCs w:val="20"/>
        </w:rPr>
        <w:t xml:space="preserve"> -I </w:t>
      </w:r>
      <w:r w:rsidRPr="005E3B94">
        <w:rPr>
          <w:rFonts w:ascii="Verdana" w:hAnsi="Verdana" w:cs="Times New Roman"/>
          <w:iCs/>
          <w:sz w:val="20"/>
          <w:szCs w:val="20"/>
        </w:rPr>
        <w:t xml:space="preserve">(QS1); and </w:t>
      </w:r>
      <w:proofErr w:type="spellStart"/>
      <w:r w:rsidRPr="005E3B94">
        <w:rPr>
          <w:rFonts w:ascii="Verdana" w:hAnsi="Verdana" w:cs="Times New Roman"/>
          <w:i/>
          <w:sz w:val="20"/>
          <w:szCs w:val="20"/>
        </w:rPr>
        <w:t>pgaR</w:t>
      </w:r>
      <w:proofErr w:type="spellEnd"/>
      <w:r w:rsidRPr="005E3B94">
        <w:rPr>
          <w:rFonts w:ascii="Verdana" w:hAnsi="Verdana" w:cs="Times New Roman"/>
          <w:i/>
          <w:sz w:val="20"/>
          <w:szCs w:val="20"/>
        </w:rPr>
        <w:t xml:space="preserve"> </w:t>
      </w:r>
      <w:r w:rsidRPr="005E3B94">
        <w:rPr>
          <w:rFonts w:ascii="Verdana" w:hAnsi="Verdana" w:cs="Times New Roman"/>
          <w:iCs/>
          <w:sz w:val="20"/>
          <w:szCs w:val="20"/>
        </w:rPr>
        <w:t>and</w:t>
      </w:r>
      <w:r w:rsidRPr="005E3B94">
        <w:rPr>
          <w:rFonts w:ascii="Verdana" w:hAnsi="Verdana" w:cs="Times New Roman"/>
          <w:i/>
          <w:sz w:val="20"/>
          <w:szCs w:val="20"/>
        </w:rPr>
        <w:t xml:space="preserve"> -I </w:t>
      </w:r>
      <w:r w:rsidRPr="005E3B94">
        <w:rPr>
          <w:rFonts w:ascii="Verdana" w:hAnsi="Verdana" w:cs="Times New Roman"/>
          <w:iCs/>
          <w:sz w:val="20"/>
          <w:szCs w:val="20"/>
        </w:rPr>
        <w:t>(QS2)</w:t>
      </w:r>
      <w:r w:rsidRPr="005E3B94">
        <w:rPr>
          <w:rFonts w:ascii="Verdana" w:hAnsi="Verdana" w:cs="Times New Roman"/>
          <w:i/>
          <w:sz w:val="20"/>
          <w:szCs w:val="20"/>
        </w:rPr>
        <w:t xml:space="preserve"> </w:t>
      </w:r>
      <w:r w:rsidRPr="005E3B94">
        <w:rPr>
          <w:rFonts w:ascii="Verdana" w:hAnsi="Verdana" w:cs="Times New Roman"/>
          <w:sz w:val="20"/>
          <w:szCs w:val="20"/>
        </w:rPr>
        <w:t xml:space="preserve">(Fig. 1). A disruption in the </w:t>
      </w:r>
      <w:proofErr w:type="spellStart"/>
      <w:r w:rsidRPr="005E3B94">
        <w:rPr>
          <w:rFonts w:ascii="Verdana" w:hAnsi="Verdana" w:cs="Times New Roman"/>
          <w:i/>
          <w:sz w:val="20"/>
          <w:szCs w:val="20"/>
        </w:rPr>
        <w:t>luxR</w:t>
      </w:r>
      <w:proofErr w:type="spellEnd"/>
      <w:r w:rsidRPr="005E3B94">
        <w:rPr>
          <w:rFonts w:ascii="Verdana" w:hAnsi="Verdana" w:cs="Times New Roman"/>
          <w:sz w:val="20"/>
          <w:szCs w:val="20"/>
        </w:rPr>
        <w:t xml:space="preserve"> homolog of QS2 (</w:t>
      </w:r>
      <w:proofErr w:type="spellStart"/>
      <w:r w:rsidRPr="005E3B94">
        <w:rPr>
          <w:rFonts w:ascii="Verdana" w:hAnsi="Verdana" w:cs="Times New Roman"/>
          <w:i/>
          <w:iCs/>
          <w:sz w:val="20"/>
          <w:szCs w:val="20"/>
        </w:rPr>
        <w:t>pgaRI</w:t>
      </w:r>
      <w:proofErr w:type="spellEnd"/>
      <w:r w:rsidRPr="005E3B94">
        <w:rPr>
          <w:rFonts w:ascii="Verdana" w:hAnsi="Verdana" w:cs="Times New Roman"/>
          <w:sz w:val="20"/>
          <w:szCs w:val="20"/>
        </w:rPr>
        <w:t xml:space="preserve">) resulted in decreased expression in all genes surveyed: a nearly 5-fold decrease in its own gene, more than 10-fold decrease in the </w:t>
      </w:r>
      <w:proofErr w:type="spellStart"/>
      <w:r w:rsidRPr="005E3B94">
        <w:rPr>
          <w:rFonts w:ascii="Verdana" w:hAnsi="Verdana" w:cs="Times New Roman"/>
          <w:i/>
          <w:iCs/>
          <w:sz w:val="20"/>
          <w:szCs w:val="20"/>
        </w:rPr>
        <w:t>luxI</w:t>
      </w:r>
      <w:proofErr w:type="spellEnd"/>
      <w:r w:rsidRPr="005E3B94">
        <w:rPr>
          <w:rFonts w:ascii="Verdana" w:hAnsi="Verdana" w:cs="Times New Roman"/>
          <w:i/>
          <w:iCs/>
          <w:sz w:val="20"/>
          <w:szCs w:val="20"/>
        </w:rPr>
        <w:t xml:space="preserve"> </w:t>
      </w:r>
      <w:r w:rsidRPr="005E3B94">
        <w:rPr>
          <w:rFonts w:ascii="Verdana" w:hAnsi="Verdana" w:cs="Times New Roman"/>
          <w:sz w:val="20"/>
          <w:szCs w:val="20"/>
        </w:rPr>
        <w:t xml:space="preserve">homolog of QS2, a 4-fold decrease in </w:t>
      </w:r>
      <w:proofErr w:type="spellStart"/>
      <w:r w:rsidRPr="005E3B94">
        <w:rPr>
          <w:rFonts w:ascii="Verdana" w:hAnsi="Verdana" w:cs="Times New Roman"/>
          <w:i/>
          <w:iCs/>
          <w:sz w:val="20"/>
          <w:szCs w:val="20"/>
        </w:rPr>
        <w:t>phaR</w:t>
      </w:r>
      <w:proofErr w:type="spellEnd"/>
      <w:r w:rsidRPr="005E3B94">
        <w:rPr>
          <w:rFonts w:ascii="Verdana" w:hAnsi="Verdana" w:cs="Times New Roman"/>
          <w:i/>
          <w:iCs/>
          <w:sz w:val="20"/>
          <w:szCs w:val="20"/>
        </w:rPr>
        <w:t>,</w:t>
      </w:r>
      <w:r w:rsidRPr="005E3B94">
        <w:rPr>
          <w:rFonts w:ascii="Verdana" w:hAnsi="Verdana" w:cs="Times New Roman"/>
          <w:sz w:val="20"/>
          <w:szCs w:val="20"/>
        </w:rPr>
        <w:t xml:space="preserve"> and a 2-fold decrease in </w:t>
      </w:r>
      <w:proofErr w:type="spellStart"/>
      <w:r w:rsidRPr="005E3B94">
        <w:rPr>
          <w:rFonts w:ascii="Verdana" w:hAnsi="Verdana" w:cs="Times New Roman"/>
          <w:i/>
          <w:iCs/>
          <w:sz w:val="20"/>
          <w:szCs w:val="20"/>
        </w:rPr>
        <w:t>phaI</w:t>
      </w:r>
      <w:proofErr w:type="spellEnd"/>
      <w:r w:rsidRPr="005E3B94">
        <w:rPr>
          <w:rFonts w:ascii="Verdana" w:hAnsi="Verdana" w:cs="Times New Roman"/>
          <w:sz w:val="20"/>
          <w:szCs w:val="20"/>
        </w:rPr>
        <w:t xml:space="preserve">. Furthermore, this disruption in </w:t>
      </w:r>
      <w:proofErr w:type="spellStart"/>
      <w:r w:rsidRPr="005E3B94">
        <w:rPr>
          <w:rFonts w:ascii="Verdana" w:hAnsi="Verdana" w:cs="Times New Roman"/>
          <w:i/>
          <w:iCs/>
          <w:sz w:val="20"/>
          <w:szCs w:val="20"/>
        </w:rPr>
        <w:t>pgaR</w:t>
      </w:r>
      <w:proofErr w:type="spellEnd"/>
      <w:r w:rsidRPr="005E3B94">
        <w:rPr>
          <w:rFonts w:ascii="Verdana" w:hAnsi="Verdana" w:cs="Times New Roman"/>
          <w:i/>
          <w:iCs/>
          <w:sz w:val="20"/>
          <w:szCs w:val="20"/>
        </w:rPr>
        <w:t xml:space="preserve"> </w:t>
      </w:r>
      <w:r w:rsidRPr="005E3B94">
        <w:rPr>
          <w:rFonts w:ascii="Verdana" w:hAnsi="Verdana" w:cs="Times New Roman"/>
          <w:sz w:val="20"/>
          <w:szCs w:val="20"/>
        </w:rPr>
        <w:t xml:space="preserve">led to more than 1000-fold decrease in </w:t>
      </w:r>
      <w:proofErr w:type="spellStart"/>
      <w:r w:rsidRPr="005E3B94">
        <w:rPr>
          <w:rFonts w:ascii="Verdana" w:hAnsi="Verdana" w:cs="Times New Roman"/>
          <w:i/>
          <w:iCs/>
          <w:sz w:val="20"/>
          <w:szCs w:val="20"/>
        </w:rPr>
        <w:t>igiD</w:t>
      </w:r>
      <w:proofErr w:type="spellEnd"/>
      <w:r w:rsidRPr="005E3B94">
        <w:rPr>
          <w:rFonts w:ascii="Verdana" w:hAnsi="Verdana" w:cs="Times New Roman"/>
          <w:i/>
          <w:iCs/>
          <w:sz w:val="20"/>
          <w:szCs w:val="20"/>
        </w:rPr>
        <w:t xml:space="preserve"> </w:t>
      </w:r>
      <w:r w:rsidRPr="005E3B94">
        <w:rPr>
          <w:rFonts w:ascii="Verdana" w:hAnsi="Verdana" w:cs="Times New Roman"/>
          <w:sz w:val="20"/>
          <w:szCs w:val="20"/>
        </w:rPr>
        <w:t xml:space="preserve">expression (Fig. 1A). </w:t>
      </w:r>
    </w:p>
    <w:p w14:paraId="33EE11BA" w14:textId="77777777" w:rsidR="00834C18" w:rsidRPr="005E3B94" w:rsidRDefault="00834C18" w:rsidP="00677C01">
      <w:pPr>
        <w:spacing w:before="240"/>
        <w:ind w:firstLine="720"/>
        <w:jc w:val="both"/>
        <w:rPr>
          <w:rFonts w:ascii="Verdana" w:hAnsi="Verdana" w:cs="Times New Roman"/>
          <w:sz w:val="20"/>
          <w:szCs w:val="20"/>
        </w:rPr>
      </w:pPr>
      <w:r w:rsidRPr="005E3B94">
        <w:rPr>
          <w:rFonts w:ascii="Verdana" w:hAnsi="Verdana" w:cs="Times New Roman"/>
          <w:sz w:val="20"/>
          <w:szCs w:val="20"/>
        </w:rPr>
        <w:t xml:space="preserve">Insertional disruption of </w:t>
      </w:r>
      <w:proofErr w:type="spellStart"/>
      <w:r w:rsidRPr="005E3B94">
        <w:rPr>
          <w:rFonts w:ascii="Verdana" w:hAnsi="Verdana" w:cs="Times New Roman"/>
          <w:i/>
          <w:iCs/>
          <w:sz w:val="20"/>
          <w:szCs w:val="20"/>
        </w:rPr>
        <w:t>phaR</w:t>
      </w:r>
      <w:proofErr w:type="spellEnd"/>
      <w:r w:rsidRPr="005E3B94">
        <w:rPr>
          <w:rFonts w:ascii="Verdana" w:hAnsi="Verdana" w:cs="Times New Roman"/>
          <w:sz w:val="20"/>
          <w:szCs w:val="20"/>
        </w:rPr>
        <w:t xml:space="preserve"> (QS1) resulted in a 2500-fold decrease of its own expression</w:t>
      </w:r>
      <w:r w:rsidRPr="005E3B94">
        <w:rPr>
          <w:rFonts w:ascii="Verdana" w:hAnsi="Verdana" w:cs="Times New Roman"/>
          <w:i/>
          <w:iCs/>
          <w:sz w:val="20"/>
          <w:szCs w:val="20"/>
        </w:rPr>
        <w:t>,</w:t>
      </w:r>
      <w:r w:rsidRPr="005E3B94">
        <w:rPr>
          <w:rFonts w:ascii="Verdana" w:hAnsi="Verdana" w:cs="Times New Roman"/>
          <w:sz w:val="20"/>
          <w:szCs w:val="20"/>
        </w:rPr>
        <w:t xml:space="preserve"> but only a ~3-fold decrease in expression of </w:t>
      </w:r>
      <w:proofErr w:type="spellStart"/>
      <w:r w:rsidRPr="005E3B94">
        <w:rPr>
          <w:rFonts w:ascii="Verdana" w:hAnsi="Verdana" w:cs="Times New Roman"/>
          <w:i/>
          <w:iCs/>
          <w:sz w:val="20"/>
          <w:szCs w:val="20"/>
        </w:rPr>
        <w:t>phaI</w:t>
      </w:r>
      <w:proofErr w:type="spellEnd"/>
      <w:r w:rsidRPr="005E3B94">
        <w:rPr>
          <w:rFonts w:ascii="Verdana" w:hAnsi="Verdana" w:cs="Times New Roman"/>
          <w:sz w:val="20"/>
          <w:szCs w:val="20"/>
        </w:rPr>
        <w:t xml:space="preserve">. Expression of </w:t>
      </w:r>
      <w:proofErr w:type="spellStart"/>
      <w:r w:rsidRPr="005E3B94">
        <w:rPr>
          <w:rFonts w:ascii="Verdana" w:hAnsi="Verdana" w:cs="Times New Roman"/>
          <w:i/>
          <w:iCs/>
          <w:sz w:val="20"/>
          <w:szCs w:val="20"/>
        </w:rPr>
        <w:t>igiD</w:t>
      </w:r>
      <w:proofErr w:type="spellEnd"/>
      <w:r w:rsidRPr="005E3B94">
        <w:rPr>
          <w:rFonts w:ascii="Verdana" w:hAnsi="Verdana" w:cs="Times New Roman"/>
          <w:sz w:val="20"/>
          <w:szCs w:val="20"/>
        </w:rPr>
        <w:t xml:space="preserve"> showed a 2-fold decrease compared to wildtype (Fig. 1B). Insertional mutagenesis in </w:t>
      </w:r>
      <w:proofErr w:type="spellStart"/>
      <w:r w:rsidRPr="005E3B94">
        <w:rPr>
          <w:rFonts w:ascii="Verdana" w:hAnsi="Verdana" w:cs="Times New Roman"/>
          <w:i/>
          <w:iCs/>
          <w:sz w:val="20"/>
          <w:szCs w:val="20"/>
        </w:rPr>
        <w:t>phaI</w:t>
      </w:r>
      <w:proofErr w:type="spellEnd"/>
      <w:r w:rsidRPr="005E3B94">
        <w:rPr>
          <w:rFonts w:ascii="Verdana" w:hAnsi="Verdana" w:cs="Times New Roman"/>
          <w:i/>
          <w:iCs/>
          <w:sz w:val="20"/>
          <w:szCs w:val="20"/>
        </w:rPr>
        <w:t xml:space="preserve"> </w:t>
      </w:r>
      <w:r w:rsidRPr="005E3B94">
        <w:rPr>
          <w:rFonts w:ascii="Verdana" w:hAnsi="Verdana" w:cs="Times New Roman"/>
          <w:sz w:val="20"/>
          <w:szCs w:val="20"/>
        </w:rPr>
        <w:t>resulted in an 8-fold decrease in expression of its own gene and a 4-fold decrease in</w:t>
      </w:r>
      <w:r w:rsidRPr="005E3B94">
        <w:rPr>
          <w:rFonts w:ascii="Verdana" w:hAnsi="Verdana" w:cs="Times New Roman"/>
          <w:i/>
          <w:iCs/>
          <w:sz w:val="20"/>
          <w:szCs w:val="20"/>
        </w:rPr>
        <w:t xml:space="preserve"> </w:t>
      </w:r>
      <w:proofErr w:type="spellStart"/>
      <w:r w:rsidRPr="005E3B94">
        <w:rPr>
          <w:rFonts w:ascii="Verdana" w:hAnsi="Verdana" w:cs="Times New Roman"/>
          <w:i/>
          <w:iCs/>
          <w:sz w:val="20"/>
          <w:szCs w:val="20"/>
        </w:rPr>
        <w:t>igiD</w:t>
      </w:r>
      <w:proofErr w:type="spellEnd"/>
      <w:r w:rsidRPr="005E3B94">
        <w:rPr>
          <w:rFonts w:ascii="Verdana" w:hAnsi="Verdana" w:cs="Times New Roman"/>
          <w:sz w:val="20"/>
          <w:szCs w:val="20"/>
        </w:rPr>
        <w:t xml:space="preserve"> expression (Fig. 1C). In the </w:t>
      </w:r>
      <w:proofErr w:type="spellStart"/>
      <w:proofErr w:type="gramStart"/>
      <w:r w:rsidRPr="005E3B94">
        <w:rPr>
          <w:rFonts w:ascii="Verdana" w:hAnsi="Verdana" w:cs="Times New Roman"/>
          <w:i/>
          <w:iCs/>
          <w:sz w:val="20"/>
          <w:szCs w:val="20"/>
        </w:rPr>
        <w:t>igiD</w:t>
      </w:r>
      <w:proofErr w:type="spellEnd"/>
      <w:r w:rsidRPr="005E3B94">
        <w:rPr>
          <w:rFonts w:ascii="Verdana" w:hAnsi="Verdana" w:cs="Times New Roman"/>
          <w:sz w:val="20"/>
          <w:szCs w:val="20"/>
        </w:rPr>
        <w:t>::</w:t>
      </w:r>
      <w:proofErr w:type="gramEnd"/>
      <w:r w:rsidRPr="005E3B94">
        <w:rPr>
          <w:rFonts w:ascii="Verdana" w:hAnsi="Verdana" w:cs="Times New Roman"/>
          <w:sz w:val="20"/>
          <w:szCs w:val="20"/>
        </w:rPr>
        <w:t>Tn5-Km</w:t>
      </w:r>
      <w:r w:rsidRPr="005E3B94">
        <w:rPr>
          <w:rFonts w:ascii="Verdana" w:hAnsi="Verdana" w:cs="Times New Roman"/>
          <w:sz w:val="20"/>
          <w:szCs w:val="20"/>
          <w:vertAlign w:val="superscript"/>
        </w:rPr>
        <w:t>R</w:t>
      </w:r>
      <w:r w:rsidRPr="005E3B94">
        <w:rPr>
          <w:rFonts w:ascii="Verdana" w:hAnsi="Verdana" w:cs="Times New Roman"/>
          <w:sz w:val="20"/>
          <w:szCs w:val="20"/>
        </w:rPr>
        <w:t xml:space="preserve"> mutant, expression of QS1 </w:t>
      </w:r>
      <w:r w:rsidRPr="005E3B94">
        <w:rPr>
          <w:rFonts w:ascii="Verdana" w:hAnsi="Verdana" w:cs="Times New Roman"/>
          <w:i/>
          <w:iCs/>
          <w:sz w:val="20"/>
          <w:szCs w:val="20"/>
        </w:rPr>
        <w:t>lux</w:t>
      </w:r>
      <w:r w:rsidRPr="005E3B94">
        <w:rPr>
          <w:rFonts w:ascii="Verdana" w:hAnsi="Verdana" w:cs="Times New Roman"/>
          <w:sz w:val="20"/>
          <w:szCs w:val="20"/>
        </w:rPr>
        <w:t xml:space="preserve"> homologs genes (</w:t>
      </w:r>
      <w:proofErr w:type="spellStart"/>
      <w:r w:rsidRPr="005E3B94">
        <w:rPr>
          <w:rFonts w:ascii="Verdana" w:hAnsi="Verdana" w:cs="Times New Roman"/>
          <w:i/>
          <w:iCs/>
          <w:sz w:val="20"/>
          <w:szCs w:val="20"/>
        </w:rPr>
        <w:t>phaRI</w:t>
      </w:r>
      <w:proofErr w:type="spellEnd"/>
      <w:r w:rsidRPr="005E3B94">
        <w:rPr>
          <w:rFonts w:ascii="Verdana" w:hAnsi="Verdana" w:cs="Times New Roman"/>
          <w:sz w:val="20"/>
          <w:szCs w:val="20"/>
        </w:rPr>
        <w:t xml:space="preserve">) showed a 2-fold reduction for both genes, while expression of the </w:t>
      </w:r>
      <w:proofErr w:type="spellStart"/>
      <w:r w:rsidRPr="005E3B94">
        <w:rPr>
          <w:rFonts w:ascii="Verdana" w:hAnsi="Verdana" w:cs="Times New Roman"/>
          <w:i/>
          <w:iCs/>
          <w:sz w:val="20"/>
          <w:szCs w:val="20"/>
        </w:rPr>
        <w:t>luxR</w:t>
      </w:r>
      <w:proofErr w:type="spellEnd"/>
      <w:r w:rsidRPr="005E3B94">
        <w:rPr>
          <w:rFonts w:ascii="Verdana" w:hAnsi="Verdana" w:cs="Times New Roman"/>
          <w:i/>
          <w:iCs/>
          <w:sz w:val="20"/>
          <w:szCs w:val="20"/>
        </w:rPr>
        <w:t xml:space="preserve"> </w:t>
      </w:r>
      <w:r w:rsidRPr="005E3B94">
        <w:rPr>
          <w:rFonts w:ascii="Verdana" w:hAnsi="Verdana" w:cs="Times New Roman"/>
          <w:sz w:val="20"/>
          <w:szCs w:val="20"/>
        </w:rPr>
        <w:t>homolog in QS2 (</w:t>
      </w:r>
      <w:proofErr w:type="spellStart"/>
      <w:r w:rsidRPr="005E3B94">
        <w:rPr>
          <w:rFonts w:ascii="Verdana" w:hAnsi="Verdana" w:cs="Times New Roman"/>
          <w:i/>
          <w:iCs/>
          <w:sz w:val="20"/>
          <w:szCs w:val="20"/>
        </w:rPr>
        <w:t>pgaR</w:t>
      </w:r>
      <w:proofErr w:type="spellEnd"/>
      <w:r w:rsidRPr="005E3B94">
        <w:rPr>
          <w:rFonts w:ascii="Verdana" w:hAnsi="Verdana" w:cs="Times New Roman"/>
          <w:sz w:val="20"/>
          <w:szCs w:val="20"/>
        </w:rPr>
        <w:t xml:space="preserve">) remained at wildtype levels. Insertional disruption of </w:t>
      </w:r>
      <w:proofErr w:type="spellStart"/>
      <w:r w:rsidRPr="005E3B94">
        <w:rPr>
          <w:rFonts w:ascii="Verdana" w:hAnsi="Verdana" w:cs="Times New Roman"/>
          <w:i/>
          <w:iCs/>
          <w:sz w:val="20"/>
          <w:szCs w:val="20"/>
        </w:rPr>
        <w:t>igiD</w:t>
      </w:r>
      <w:proofErr w:type="spellEnd"/>
      <w:r w:rsidRPr="005E3B94">
        <w:rPr>
          <w:rFonts w:ascii="Verdana" w:hAnsi="Verdana" w:cs="Times New Roman"/>
          <w:sz w:val="20"/>
          <w:szCs w:val="20"/>
        </w:rPr>
        <w:t xml:space="preserve"> resulted in a nearly 4-fold increase in </w:t>
      </w:r>
      <w:r w:rsidRPr="005E3B94">
        <w:rPr>
          <w:rFonts w:ascii="Verdana" w:hAnsi="Verdana" w:cs="Times New Roman"/>
          <w:i/>
          <w:iCs/>
          <w:sz w:val="20"/>
          <w:szCs w:val="20"/>
        </w:rPr>
        <w:t xml:space="preserve">pgaI </w:t>
      </w:r>
      <w:r w:rsidRPr="005E3B94">
        <w:rPr>
          <w:rFonts w:ascii="Verdana" w:hAnsi="Verdana" w:cs="Times New Roman"/>
          <w:sz w:val="20"/>
          <w:szCs w:val="20"/>
        </w:rPr>
        <w:t xml:space="preserve">(QS2) gene expression (Fig. 1D). </w:t>
      </w:r>
    </w:p>
    <w:p w14:paraId="4F2AD58D" w14:textId="73CF4F7F" w:rsidR="00834C18" w:rsidRPr="005E3B94" w:rsidRDefault="00834C18" w:rsidP="00677C01">
      <w:pPr>
        <w:spacing w:before="240"/>
        <w:ind w:firstLine="720"/>
        <w:jc w:val="both"/>
        <w:rPr>
          <w:rFonts w:ascii="Verdana" w:hAnsi="Verdana" w:cs="Times New Roman"/>
          <w:sz w:val="20"/>
          <w:szCs w:val="20"/>
        </w:rPr>
      </w:pPr>
      <w:r w:rsidRPr="005E3B94">
        <w:rPr>
          <w:rFonts w:ascii="Verdana" w:hAnsi="Verdana" w:cs="Times New Roman"/>
          <w:sz w:val="20"/>
          <w:szCs w:val="20"/>
        </w:rPr>
        <w:t>Disruption of either QS1 gene (</w:t>
      </w:r>
      <w:proofErr w:type="spellStart"/>
      <w:r w:rsidRPr="005E3B94">
        <w:rPr>
          <w:rFonts w:ascii="Verdana" w:hAnsi="Verdana" w:cs="Times New Roman"/>
          <w:i/>
          <w:iCs/>
          <w:sz w:val="20"/>
          <w:szCs w:val="20"/>
        </w:rPr>
        <w:t>phaR</w:t>
      </w:r>
      <w:proofErr w:type="spellEnd"/>
      <w:r w:rsidRPr="005E3B94">
        <w:rPr>
          <w:rFonts w:ascii="Verdana" w:hAnsi="Verdana" w:cs="Times New Roman"/>
          <w:i/>
          <w:iCs/>
          <w:sz w:val="20"/>
          <w:szCs w:val="20"/>
        </w:rPr>
        <w:t xml:space="preserve"> </w:t>
      </w:r>
      <w:r w:rsidRPr="005E3B94">
        <w:rPr>
          <w:rFonts w:ascii="Verdana" w:hAnsi="Verdana" w:cs="Times New Roman"/>
          <w:sz w:val="20"/>
          <w:szCs w:val="20"/>
        </w:rPr>
        <w:t>and</w:t>
      </w:r>
      <w:r w:rsidRPr="005E3B94">
        <w:rPr>
          <w:rFonts w:ascii="Verdana" w:hAnsi="Verdana" w:cs="Times New Roman"/>
          <w:i/>
          <w:iCs/>
          <w:sz w:val="20"/>
          <w:szCs w:val="20"/>
        </w:rPr>
        <w:t xml:space="preserve"> -I</w:t>
      </w:r>
      <w:r w:rsidRPr="005E3B94">
        <w:rPr>
          <w:rFonts w:ascii="Verdana" w:hAnsi="Verdana" w:cs="Times New Roman"/>
          <w:sz w:val="20"/>
          <w:szCs w:val="20"/>
        </w:rPr>
        <w:t xml:space="preserve">) led to greater variance in expression of the other assayed genes. For both mutants, a consistent variation is seen in the </w:t>
      </w:r>
      <w:r w:rsidRPr="005E3B94">
        <w:rPr>
          <w:rFonts w:ascii="Verdana" w:hAnsi="Verdana" w:cs="Times New Roman"/>
          <w:i/>
          <w:iCs/>
          <w:sz w:val="20"/>
          <w:szCs w:val="20"/>
        </w:rPr>
        <w:t xml:space="preserve">pgaI </w:t>
      </w:r>
      <w:r w:rsidRPr="005E3B94">
        <w:rPr>
          <w:rFonts w:ascii="Verdana" w:hAnsi="Verdana" w:cs="Times New Roman"/>
          <w:sz w:val="20"/>
          <w:szCs w:val="20"/>
        </w:rPr>
        <w:t xml:space="preserve">gene expression: in </w:t>
      </w:r>
      <w:proofErr w:type="spellStart"/>
      <w:proofErr w:type="gramStart"/>
      <w:r w:rsidRPr="005E3B94">
        <w:rPr>
          <w:rFonts w:ascii="Verdana" w:hAnsi="Verdana" w:cs="Times New Roman"/>
          <w:i/>
          <w:sz w:val="20"/>
          <w:szCs w:val="20"/>
        </w:rPr>
        <w:t>phaR</w:t>
      </w:r>
      <w:proofErr w:type="spellEnd"/>
      <w:r w:rsidRPr="005E3B94">
        <w:rPr>
          <w:rFonts w:ascii="Verdana" w:hAnsi="Verdana" w:cs="Times New Roman"/>
          <w:sz w:val="20"/>
          <w:szCs w:val="20"/>
        </w:rPr>
        <w:t>::</w:t>
      </w:r>
      <w:proofErr w:type="gramEnd"/>
      <w:r w:rsidRPr="005E3B94">
        <w:rPr>
          <w:rFonts w:ascii="Verdana" w:hAnsi="Verdana" w:cs="Times New Roman"/>
          <w:sz w:val="20"/>
          <w:szCs w:val="20"/>
        </w:rPr>
        <w:t>Tn5-Km</w:t>
      </w:r>
      <w:r w:rsidRPr="005E3B94">
        <w:rPr>
          <w:rFonts w:ascii="Verdana" w:hAnsi="Verdana" w:cs="Times New Roman"/>
          <w:sz w:val="20"/>
          <w:szCs w:val="20"/>
          <w:vertAlign w:val="superscript"/>
        </w:rPr>
        <w:t>R</w:t>
      </w:r>
      <w:r w:rsidRPr="005E3B94">
        <w:rPr>
          <w:rFonts w:ascii="Verdana" w:hAnsi="Verdana" w:cs="Times New Roman"/>
          <w:sz w:val="20"/>
          <w:szCs w:val="20"/>
        </w:rPr>
        <w:t xml:space="preserve">,  </w:t>
      </w:r>
      <w:r w:rsidRPr="005E3B94">
        <w:rPr>
          <w:rFonts w:ascii="Verdana" w:hAnsi="Verdana" w:cs="Times New Roman"/>
          <w:i/>
          <w:iCs/>
          <w:sz w:val="20"/>
          <w:szCs w:val="20"/>
        </w:rPr>
        <w:t xml:space="preserve">pgaI </w:t>
      </w:r>
      <w:r w:rsidRPr="005E3B94">
        <w:rPr>
          <w:rFonts w:ascii="Verdana" w:hAnsi="Verdana" w:cs="Times New Roman"/>
          <w:sz w:val="20"/>
          <w:szCs w:val="20"/>
        </w:rPr>
        <w:t>transcripts from more than 10-fold decrease to a nearly 2-fold increase</w:t>
      </w:r>
      <w:r w:rsidRPr="005E3B94" w:rsidDel="000C6B52">
        <w:rPr>
          <w:rFonts w:ascii="Verdana" w:hAnsi="Verdana" w:cs="Times New Roman"/>
          <w:sz w:val="20"/>
          <w:szCs w:val="20"/>
        </w:rPr>
        <w:t xml:space="preserve"> </w:t>
      </w:r>
      <w:r w:rsidRPr="005E3B94">
        <w:rPr>
          <w:rFonts w:ascii="Verdana" w:hAnsi="Verdana" w:cs="Times New Roman"/>
          <w:sz w:val="20"/>
          <w:szCs w:val="20"/>
        </w:rPr>
        <w:t xml:space="preserve">in across biological replicates (Fig. 1B). In </w:t>
      </w:r>
      <w:proofErr w:type="spellStart"/>
      <w:proofErr w:type="gramStart"/>
      <w:r w:rsidRPr="005E3B94">
        <w:rPr>
          <w:rFonts w:ascii="Verdana" w:hAnsi="Verdana" w:cs="Times New Roman"/>
          <w:i/>
          <w:iCs/>
          <w:sz w:val="20"/>
          <w:szCs w:val="20"/>
        </w:rPr>
        <w:t>phaI</w:t>
      </w:r>
      <w:proofErr w:type="spellEnd"/>
      <w:r w:rsidRPr="005E3B94">
        <w:rPr>
          <w:rFonts w:ascii="Verdana" w:hAnsi="Verdana" w:cs="Times New Roman"/>
          <w:sz w:val="20"/>
          <w:szCs w:val="20"/>
        </w:rPr>
        <w:t>::</w:t>
      </w:r>
      <w:proofErr w:type="spellStart"/>
      <w:proofErr w:type="gramEnd"/>
      <w:r w:rsidRPr="005E3B94">
        <w:rPr>
          <w:rFonts w:ascii="Verdana" w:hAnsi="Verdana" w:cs="Times New Roman"/>
          <w:sz w:val="20"/>
          <w:szCs w:val="20"/>
        </w:rPr>
        <w:t>pKNOCK</w:t>
      </w:r>
      <w:proofErr w:type="spellEnd"/>
      <w:r w:rsidRPr="005E3B94">
        <w:rPr>
          <w:rFonts w:ascii="Verdana" w:hAnsi="Verdana" w:cs="Times New Roman"/>
          <w:sz w:val="20"/>
          <w:szCs w:val="20"/>
        </w:rPr>
        <w:t xml:space="preserve">, </w:t>
      </w:r>
      <w:r w:rsidRPr="005E3B94">
        <w:rPr>
          <w:rFonts w:ascii="Verdana" w:hAnsi="Verdana" w:cs="Times New Roman"/>
          <w:i/>
          <w:iCs/>
          <w:sz w:val="20"/>
          <w:szCs w:val="20"/>
        </w:rPr>
        <w:t xml:space="preserve">pgaI </w:t>
      </w:r>
      <w:r w:rsidRPr="005E3B94">
        <w:rPr>
          <w:rFonts w:ascii="Verdana" w:hAnsi="Verdana" w:cs="Times New Roman"/>
          <w:sz w:val="20"/>
          <w:szCs w:val="20"/>
        </w:rPr>
        <w:t xml:space="preserve">transcripts range from a 5-fold decrease to a 5-fold increase across replicates (Fig. 1C). Variability within this mutant is consistent across multiple experimental assays, including biofilm formation, motility, and spontaneous pellicle formation (aka flocking) in liquid cultures (data not shown). </w:t>
      </w:r>
    </w:p>
    <w:p w14:paraId="394F58EA" w14:textId="14681129" w:rsidR="00834C18" w:rsidRPr="005E3B94" w:rsidRDefault="00834C18" w:rsidP="00677C01">
      <w:pPr>
        <w:spacing w:before="240"/>
        <w:ind w:firstLine="720"/>
        <w:jc w:val="both"/>
        <w:rPr>
          <w:rFonts w:ascii="Verdana" w:hAnsi="Verdana" w:cs="Times New Roman"/>
          <w:b/>
          <w:bCs/>
          <w:sz w:val="20"/>
          <w:szCs w:val="20"/>
        </w:rPr>
      </w:pPr>
      <w:r w:rsidRPr="005E3B94">
        <w:rPr>
          <w:rFonts w:ascii="Verdana" w:hAnsi="Verdana" w:cs="Times New Roman"/>
          <w:b/>
          <w:bCs/>
          <w:sz w:val="20"/>
          <w:szCs w:val="20"/>
        </w:rPr>
        <w:lastRenderedPageBreak/>
        <w:t xml:space="preserve">Exogenous Addition of AHLs Partially Restore Indigoidine Production in QS1 Mutants.  </w:t>
      </w:r>
      <w:r w:rsidRPr="005E3B94">
        <w:rPr>
          <w:rFonts w:ascii="Verdana" w:hAnsi="Verdana" w:cs="Times New Roman"/>
          <w:sz w:val="20"/>
          <w:szCs w:val="20"/>
        </w:rPr>
        <w:t xml:space="preserve">Given AHL concentrations are decreased in all QS mutants, we next tested to see if we could chemically complement these mutants with the exogenous addition of AHLs. To mimic previously characterized AHL concentrations in Y4I during different phases of growth </w:t>
      </w:r>
      <w:r w:rsidRPr="005E3B94">
        <w:rPr>
          <w:rFonts w:ascii="Verdana" w:hAnsi="Verdana" w:cs="Times New Roman"/>
          <w:sz w:val="20"/>
          <w:szCs w:val="20"/>
        </w:rPr>
        <w:fldChar w:fldCharType="begin" w:fldLock="1"/>
      </w:r>
      <w:r w:rsidR="00B77EC7" w:rsidRPr="005E3B94">
        <w:rPr>
          <w:rFonts w:ascii="Verdana" w:hAnsi="Verdana" w:cs="Times New Roman"/>
          <w:sz w:val="20"/>
          <w:szCs w:val="20"/>
        </w:rPr>
        <w:instrText>ADDIN CSL_CITATION {"citationItems":[{"id":"ITEM-1","itemData":{"DOI":"10.1128/AEM.02551-14","ISBN":"0099-2240","ISSN":"10985336","PMID":"25527537","abstract":"The marine roseobacter Phaeobacter sp. strain Y4I synthesizes the blue antimicrobial secondary metabolite indigoidine when grown in a biofilm or on agar plates. Prior studies suggested that indigoidine production may be, in part, regulated by cell-to-cell communication systems. Phaeobacter sp. strain Y4I possesses two luxR and luxI homologous N-acyl-L-homoserine lactone (AHL)-mediated cell-to-cell communication systems, designated pgaRI and phaRI. We show here that Y4I produces two dominant AHLs, the novel monounsaturated N-(3-hydroxydodecenoyl)-L-homoserine lactone (3OHC12:1-HSL) and the relatively common N-octanoyl-L-homoserine lactone (C8-HSL), and provide evidence that they are synthesized by PhaI and PgaI, respectively. A Tn5 insertional mutation in either genetic locus results in the abolishment (pgaR::Tn5) or reduction (phaR::Tn5) of pigment production. Motility defects and denser biofilms were also observed in these mutant backgrounds, suggesting an overlap in the functional roles of these systems. Production of the AHLs occurs at distinct points during growth on an agar surface and was determined by isotope dilution high-performance liquid chromatography–tandem mass spectrometry (ID-HPLC-MS/MS) analysis. Within 2 h of surface inoculation, only 3OHC12:1-HSL was detected in agar extracts. As surface-attached cells became established (at\u000210 h), the concentration of 3OHC12:1-HSL decreased, and the concentration of C8-HSL increased rapidly over 14 h. After longer (&gt;24-h) establishment periods, the concentrations of the two AHLs increased to and stabilized at\u000215 nM and \u0002600 nM for 3OHC12:1-HSL and C8-HSL, respectively. In contrast, the total amount of indigoidine increased steadily from undetectable to 642 \u0002Mby 48 h. Gene expression profiles of the AHL and indigoidine synthases (pgaI, phaI, and igiD) were consistent with their metabolite profiles. These data provide evidence that pgaRI and phaRI play overlapping roles in the regulation of indigoidine biosynthesis, and it is postulated that this allows Phaeobacter sp. strain Y4I to coordinate production of indigoidine with different growth-phase-dependent physiologies.","author":[{"dropping-particle":"","family":"Cude","given":"W. Nathan","non-dropping-particle":"","parse-names":false,"suffix":""},{"dropping-particle":"","family":"Prevatte","given":"Carson W.","non-dropping-particle":"","parse-names":false,"suffix":""},{"dropping-particle":"","family":"Hadden","given":"Mary K.","non-dropping-particle":"","parse-names":false,"suffix":""},{"dropping-particle":"","family":"May","given":"Amanda L.","non-dropping-particle":"","parse-names":false,"suffix":""},{"dropping-particle":"","family":"Smith","given":"Russell T.","non-dropping-particle":"","parse-names":false,"suffix":""},{"dropping-particle":"","family":"Swain","given":"Caleb L.","non-dropping-particle":"","parse-names":false,"suffix":""},{"dropping-particle":"","family":"Campagna","given":"Shawn R.","non-dropping-particle":"","parse-names":false,"suffix":""},{"dropping-particle":"","family":"Buchan","given":"Alison","non-dropping-particle":"","parse-names":false,"suffix":""}],"container-title":"Applied and Environmental Microbiology","id":"ITEM-1","issue":"4","issued":{"date-parts":[["2015"]]},"page":"1417-1425","title":"&lt;i&gt;Phaeobacter sp.&lt;/i&gt; strain Y4I utilizes two separate cell-to-cell communication systems to regulate production of the antimicrobial indigoidine","type":"article-journal","volume":"81"},"uris":["http://www.mendeley.com/documents/?uuid=35095d74-a8b3-4c92-850e-3ce548f6d528"]}],"mendeley":{"formattedCitation":"(14)","plainTextFormattedCitation":"(14)","previouslyFormattedCitation":"(Cude et al. 2015)"},"properties":{"noteIndex":0},"schema":"https://github.com/citation-style-language/schema/raw/master/csl-citation.json"}</w:instrText>
      </w:r>
      <w:r w:rsidRPr="005E3B94">
        <w:rPr>
          <w:rFonts w:ascii="Verdana" w:hAnsi="Verdana" w:cs="Times New Roman"/>
          <w:sz w:val="20"/>
          <w:szCs w:val="20"/>
        </w:rPr>
        <w:fldChar w:fldCharType="separate"/>
      </w:r>
      <w:r w:rsidR="00B77EC7" w:rsidRPr="005E3B94">
        <w:rPr>
          <w:rFonts w:ascii="Verdana" w:hAnsi="Verdana" w:cs="Times New Roman"/>
          <w:noProof/>
          <w:sz w:val="20"/>
          <w:szCs w:val="20"/>
        </w:rPr>
        <w:t>(14)</w:t>
      </w:r>
      <w:r w:rsidRPr="005E3B94">
        <w:rPr>
          <w:rFonts w:ascii="Verdana" w:hAnsi="Verdana" w:cs="Times New Roman"/>
          <w:sz w:val="20"/>
          <w:szCs w:val="20"/>
        </w:rPr>
        <w:fldChar w:fldCharType="end"/>
      </w:r>
      <w:r w:rsidRPr="005E3B94">
        <w:rPr>
          <w:rFonts w:ascii="Verdana" w:hAnsi="Verdana" w:cs="Times New Roman"/>
          <w:sz w:val="20"/>
          <w:szCs w:val="20"/>
        </w:rPr>
        <w:t xml:space="preserve">, 13 </w:t>
      </w:r>
      <w:proofErr w:type="spellStart"/>
      <w:r w:rsidRPr="005E3B94">
        <w:rPr>
          <w:rFonts w:ascii="Verdana" w:hAnsi="Verdana" w:cs="Times New Roman"/>
          <w:sz w:val="20"/>
          <w:szCs w:val="20"/>
        </w:rPr>
        <w:t>nM</w:t>
      </w:r>
      <w:proofErr w:type="spellEnd"/>
      <w:r w:rsidRPr="005E3B94">
        <w:rPr>
          <w:rFonts w:ascii="Verdana" w:hAnsi="Verdana" w:cs="Times New Roman"/>
          <w:sz w:val="20"/>
          <w:szCs w:val="20"/>
        </w:rPr>
        <w:t xml:space="preserve"> </w:t>
      </w:r>
      <w:bookmarkStart w:id="17" w:name="_Hlk62478618"/>
      <w:r w:rsidRPr="005E3B94">
        <w:rPr>
          <w:rFonts w:ascii="Verdana" w:hAnsi="Verdana" w:cs="Times New Roman"/>
          <w:sz w:val="20"/>
          <w:szCs w:val="20"/>
        </w:rPr>
        <w:t xml:space="preserve">3OHC12:1-HSL </w:t>
      </w:r>
      <w:bookmarkEnd w:id="17"/>
      <w:r w:rsidRPr="005E3B94">
        <w:rPr>
          <w:rFonts w:ascii="Verdana" w:hAnsi="Verdana" w:cs="Times New Roman"/>
          <w:sz w:val="20"/>
          <w:szCs w:val="20"/>
        </w:rPr>
        <w:t>was added to liquid cultures during late exponential phase (OD</w:t>
      </w:r>
      <w:r w:rsidRPr="005E3B94">
        <w:rPr>
          <w:rFonts w:ascii="Verdana" w:hAnsi="Verdana" w:cs="Times New Roman"/>
          <w:sz w:val="20"/>
          <w:szCs w:val="20"/>
          <w:vertAlign w:val="subscript"/>
        </w:rPr>
        <w:t>540nm</w:t>
      </w:r>
      <w:r w:rsidRPr="005E3B94">
        <w:rPr>
          <w:rFonts w:ascii="Verdana" w:hAnsi="Verdana" w:cs="Times New Roman"/>
          <w:sz w:val="20"/>
          <w:szCs w:val="20"/>
        </w:rPr>
        <w:t xml:space="preserve"> ~1.3). When cultures reached stationary phase (~16 </w:t>
      </w:r>
      <w:proofErr w:type="spellStart"/>
      <w:r w:rsidRPr="005E3B94">
        <w:rPr>
          <w:rFonts w:ascii="Verdana" w:hAnsi="Verdana" w:cs="Times New Roman"/>
          <w:sz w:val="20"/>
          <w:szCs w:val="20"/>
        </w:rPr>
        <w:t>hr</w:t>
      </w:r>
      <w:proofErr w:type="spellEnd"/>
      <w:r w:rsidRPr="005E3B94">
        <w:rPr>
          <w:rFonts w:ascii="Verdana" w:hAnsi="Verdana" w:cs="Times New Roman"/>
          <w:sz w:val="20"/>
          <w:szCs w:val="20"/>
        </w:rPr>
        <w:t xml:space="preserve"> following 3OHC12:1-HSL addition), they were spotted onto agar plates containing a concentration of 800 </w:t>
      </w:r>
      <w:proofErr w:type="spellStart"/>
      <w:r w:rsidRPr="005E3B94">
        <w:rPr>
          <w:rFonts w:ascii="Verdana" w:hAnsi="Verdana" w:cs="Times New Roman"/>
          <w:sz w:val="20"/>
          <w:szCs w:val="20"/>
        </w:rPr>
        <w:t>nM</w:t>
      </w:r>
      <w:proofErr w:type="spellEnd"/>
      <w:r w:rsidRPr="005E3B94">
        <w:rPr>
          <w:rFonts w:ascii="Verdana" w:hAnsi="Verdana" w:cs="Times New Roman"/>
          <w:sz w:val="20"/>
          <w:szCs w:val="20"/>
        </w:rPr>
        <w:t xml:space="preserve"> C8-HSL. To assess whether one AHL was driving indigoidine production, we also included 3OHC12:1-HSL and C8-HSL alone controls (Fig. S1 and Fig. 2). To determine whether exogenous addition of AHLs was able to rescue indigoidine production phenotype, we compared the absorbance of our AHL treated mutants to that of the no AHL control in our indigoidine null mutant</w:t>
      </w:r>
      <w:r w:rsidRPr="005E3B94">
        <w:rPr>
          <w:rFonts w:ascii="Verdana" w:hAnsi="Verdana" w:cs="Times New Roman"/>
          <w:i/>
          <w:sz w:val="20"/>
          <w:szCs w:val="20"/>
        </w:rPr>
        <w:t xml:space="preserve"> </w:t>
      </w:r>
      <w:r w:rsidRPr="005E3B94">
        <w:rPr>
          <w:rFonts w:ascii="Verdana" w:hAnsi="Verdana" w:cs="Times New Roman"/>
          <w:iCs/>
          <w:sz w:val="20"/>
          <w:szCs w:val="20"/>
        </w:rPr>
        <w:t>(</w:t>
      </w:r>
      <w:proofErr w:type="spellStart"/>
      <w:proofErr w:type="gramStart"/>
      <w:r w:rsidRPr="005E3B94">
        <w:rPr>
          <w:rFonts w:ascii="Verdana" w:hAnsi="Verdana" w:cs="Times New Roman"/>
          <w:i/>
          <w:sz w:val="20"/>
          <w:szCs w:val="20"/>
        </w:rPr>
        <w:t>igiD</w:t>
      </w:r>
      <w:proofErr w:type="spellEnd"/>
      <w:r w:rsidRPr="005E3B94">
        <w:rPr>
          <w:rFonts w:ascii="Verdana" w:hAnsi="Verdana" w:cs="Times New Roman"/>
          <w:sz w:val="20"/>
          <w:szCs w:val="20"/>
        </w:rPr>
        <w:t>::</w:t>
      </w:r>
      <w:proofErr w:type="gramEnd"/>
      <w:r w:rsidRPr="005E3B94">
        <w:rPr>
          <w:rFonts w:ascii="Verdana" w:hAnsi="Verdana" w:cs="Times New Roman"/>
          <w:sz w:val="20"/>
          <w:szCs w:val="20"/>
        </w:rPr>
        <w:t>Tn5-Km</w:t>
      </w:r>
      <w:r w:rsidRPr="005E3B94">
        <w:rPr>
          <w:rFonts w:ascii="Verdana" w:hAnsi="Verdana" w:cs="Times New Roman"/>
          <w:sz w:val="20"/>
          <w:szCs w:val="20"/>
          <w:vertAlign w:val="superscript"/>
        </w:rPr>
        <w:t>R</w:t>
      </w:r>
      <w:r w:rsidRPr="005E3B94">
        <w:rPr>
          <w:rFonts w:ascii="Verdana" w:hAnsi="Verdana" w:cs="Times New Roman"/>
          <w:sz w:val="20"/>
          <w:szCs w:val="20"/>
        </w:rPr>
        <w:t xml:space="preserve">) (Fig. 2). To assess significance in rescuing indigoidine production, we compared AHL treatments to no AHL treatments within mutant genotypes (Fig. 2). </w:t>
      </w:r>
    </w:p>
    <w:p w14:paraId="2CC7E290" w14:textId="778DDE7C" w:rsidR="00834C18" w:rsidRPr="005E3B94" w:rsidRDefault="00834C18" w:rsidP="00677C01">
      <w:pPr>
        <w:spacing w:before="240"/>
        <w:ind w:firstLine="720"/>
        <w:jc w:val="both"/>
        <w:rPr>
          <w:rFonts w:ascii="Verdana" w:hAnsi="Verdana" w:cs="Times New Roman"/>
          <w:sz w:val="20"/>
          <w:szCs w:val="20"/>
        </w:rPr>
      </w:pPr>
      <w:r w:rsidRPr="005E3B94">
        <w:rPr>
          <w:rFonts w:ascii="Verdana" w:hAnsi="Verdana" w:cs="Times New Roman"/>
          <w:sz w:val="20"/>
          <w:szCs w:val="20"/>
        </w:rPr>
        <w:t xml:space="preserve">Exogenous addition of AHLs did not produce any significant response in indigoidine production in wildtype, the indigoidine null mutant or the </w:t>
      </w:r>
      <w:proofErr w:type="spellStart"/>
      <w:r w:rsidRPr="005E3B94">
        <w:rPr>
          <w:rFonts w:ascii="Verdana" w:hAnsi="Verdana" w:cs="Times New Roman"/>
          <w:i/>
          <w:sz w:val="20"/>
          <w:szCs w:val="20"/>
        </w:rPr>
        <w:t>pgaR</w:t>
      </w:r>
      <w:proofErr w:type="spellEnd"/>
      <w:r w:rsidRPr="005E3B94">
        <w:rPr>
          <w:rFonts w:ascii="Verdana" w:hAnsi="Verdana" w:cs="Times New Roman"/>
          <w:sz w:val="20"/>
          <w:szCs w:val="20"/>
        </w:rPr>
        <w:t xml:space="preserve"> (QS2) mutant (Fig. 2A, 2B and 2E). Addition of 3OHC12:1-HSL (QS1) alone does not significantly restore pigment production in the </w:t>
      </w:r>
      <w:proofErr w:type="spellStart"/>
      <w:r w:rsidRPr="005E3B94">
        <w:rPr>
          <w:rFonts w:ascii="Verdana" w:hAnsi="Verdana" w:cs="Times New Roman"/>
          <w:i/>
          <w:iCs/>
          <w:sz w:val="20"/>
          <w:szCs w:val="20"/>
        </w:rPr>
        <w:t>phaR</w:t>
      </w:r>
      <w:proofErr w:type="spellEnd"/>
      <w:r w:rsidRPr="005E3B94">
        <w:rPr>
          <w:rFonts w:ascii="Verdana" w:hAnsi="Verdana" w:cs="Times New Roman"/>
          <w:sz w:val="20"/>
          <w:szCs w:val="20"/>
        </w:rPr>
        <w:t xml:space="preserve"> mutant, providing additional support for the non-functionality of </w:t>
      </w:r>
      <w:proofErr w:type="spellStart"/>
      <w:r w:rsidRPr="005E3B94">
        <w:rPr>
          <w:rFonts w:ascii="Verdana" w:hAnsi="Verdana" w:cs="Times New Roman"/>
          <w:sz w:val="20"/>
          <w:szCs w:val="20"/>
        </w:rPr>
        <w:t>PhaR</w:t>
      </w:r>
      <w:proofErr w:type="spellEnd"/>
      <w:r w:rsidRPr="005E3B94">
        <w:rPr>
          <w:rFonts w:ascii="Verdana" w:hAnsi="Verdana" w:cs="Times New Roman"/>
          <w:sz w:val="20"/>
          <w:szCs w:val="20"/>
        </w:rPr>
        <w:t xml:space="preserve"> in that strain (Fig 2C). Both </w:t>
      </w:r>
      <w:proofErr w:type="spellStart"/>
      <w:r w:rsidRPr="005E3B94">
        <w:rPr>
          <w:rFonts w:ascii="Verdana" w:hAnsi="Verdana" w:cs="Times New Roman"/>
          <w:i/>
          <w:iCs/>
          <w:sz w:val="20"/>
          <w:szCs w:val="20"/>
        </w:rPr>
        <w:t>phaI</w:t>
      </w:r>
      <w:proofErr w:type="spellEnd"/>
      <w:r w:rsidRPr="005E3B94">
        <w:rPr>
          <w:rFonts w:ascii="Verdana" w:hAnsi="Verdana" w:cs="Times New Roman"/>
          <w:sz w:val="20"/>
          <w:szCs w:val="20"/>
        </w:rPr>
        <w:t xml:space="preserve"> and </w:t>
      </w:r>
      <w:r w:rsidRPr="005E3B94">
        <w:rPr>
          <w:rFonts w:ascii="Verdana" w:hAnsi="Verdana" w:cs="Times New Roman"/>
          <w:i/>
          <w:iCs/>
          <w:sz w:val="20"/>
          <w:szCs w:val="20"/>
        </w:rPr>
        <w:t>-R</w:t>
      </w:r>
      <w:r w:rsidRPr="005E3B94">
        <w:rPr>
          <w:rFonts w:ascii="Verdana" w:hAnsi="Verdana" w:cs="Times New Roman"/>
          <w:sz w:val="20"/>
          <w:szCs w:val="20"/>
        </w:rPr>
        <w:t xml:space="preserve"> (QS1) mutants show some restoration of indigoidine production when supplied with exogenous C8-HSL.   When supplied with either AHL, but not both, the </w:t>
      </w:r>
      <w:proofErr w:type="spellStart"/>
      <w:r w:rsidRPr="005E3B94">
        <w:rPr>
          <w:rFonts w:ascii="Verdana" w:hAnsi="Verdana" w:cs="Times New Roman"/>
          <w:i/>
          <w:sz w:val="20"/>
          <w:szCs w:val="20"/>
        </w:rPr>
        <w:t>phaI</w:t>
      </w:r>
      <w:proofErr w:type="spellEnd"/>
      <w:r w:rsidRPr="005E3B94">
        <w:rPr>
          <w:rFonts w:ascii="Verdana" w:hAnsi="Verdana" w:cs="Times New Roman"/>
          <w:sz w:val="20"/>
          <w:szCs w:val="20"/>
        </w:rPr>
        <w:t xml:space="preserve"> mutant shows significantly increased indigoidine production. Interestingly, C8-HSL addition restores indigoidine production to 33% that of wildtype in the </w:t>
      </w:r>
      <w:proofErr w:type="spellStart"/>
      <w:r w:rsidRPr="005E3B94">
        <w:rPr>
          <w:rFonts w:ascii="Verdana" w:hAnsi="Verdana" w:cs="Times New Roman"/>
          <w:i/>
          <w:iCs/>
          <w:sz w:val="20"/>
          <w:szCs w:val="20"/>
        </w:rPr>
        <w:t>phaI</w:t>
      </w:r>
      <w:proofErr w:type="spellEnd"/>
      <w:r w:rsidRPr="005E3B94">
        <w:rPr>
          <w:rFonts w:ascii="Verdana" w:hAnsi="Verdana" w:cs="Times New Roman"/>
          <w:i/>
          <w:iCs/>
          <w:sz w:val="20"/>
          <w:szCs w:val="20"/>
        </w:rPr>
        <w:t xml:space="preserve"> </w:t>
      </w:r>
      <w:r w:rsidRPr="005E3B94">
        <w:rPr>
          <w:rFonts w:ascii="Verdana" w:hAnsi="Verdana" w:cs="Times New Roman"/>
          <w:sz w:val="20"/>
          <w:szCs w:val="20"/>
        </w:rPr>
        <w:t xml:space="preserve">mutant compared to the chemical complement of its own AHL (3OHC12:1-HSL) which restored production to 22% that of wildtype. Addition of both AHLs in combination resulted in less than 10% wildtype levels of indigoidine production in this mutant background (Fig 2D). </w:t>
      </w:r>
    </w:p>
    <w:p w14:paraId="40DAFC6A" w14:textId="5960F899" w:rsidR="00834C18" w:rsidRPr="005E3B94" w:rsidRDefault="00834C18" w:rsidP="00677C01">
      <w:pPr>
        <w:spacing w:before="240"/>
        <w:ind w:firstLine="720"/>
        <w:jc w:val="both"/>
        <w:rPr>
          <w:rFonts w:ascii="Verdana" w:hAnsi="Verdana" w:cs="Times New Roman"/>
          <w:sz w:val="20"/>
          <w:szCs w:val="20"/>
        </w:rPr>
      </w:pPr>
      <w:r w:rsidRPr="005E3B94">
        <w:rPr>
          <w:rFonts w:ascii="Verdana" w:hAnsi="Verdana" w:cs="Times New Roman"/>
          <w:b/>
          <w:bCs/>
          <w:sz w:val="20"/>
          <w:szCs w:val="20"/>
        </w:rPr>
        <w:t xml:space="preserve">Temporal Analysis Reveals Potential Role for QS in Biofilm Regulation. </w:t>
      </w:r>
      <w:r w:rsidRPr="005E3B94">
        <w:rPr>
          <w:rFonts w:ascii="Verdana" w:hAnsi="Verdana" w:cs="Times New Roman"/>
          <w:sz w:val="20"/>
          <w:szCs w:val="20"/>
        </w:rPr>
        <w:t xml:space="preserve">We next assessed whether alterations in the QS pathways also lead to differences in rates of surface colonization and biofilm formation.  The indigoidine biosynthesis mutant was included for reference in these assays. Quantification of viable surface attached cells over a 68-hr period revealed all mutants were impaired in their ability to either attach or grow on the surface during the initial growth phase (20 </w:t>
      </w:r>
      <w:proofErr w:type="spellStart"/>
      <w:r w:rsidRPr="005E3B94">
        <w:rPr>
          <w:rFonts w:ascii="Verdana" w:hAnsi="Verdana" w:cs="Times New Roman"/>
          <w:sz w:val="20"/>
          <w:szCs w:val="20"/>
        </w:rPr>
        <w:t>hr</w:t>
      </w:r>
      <w:proofErr w:type="spellEnd"/>
      <w:r w:rsidRPr="005E3B94">
        <w:rPr>
          <w:rFonts w:ascii="Verdana" w:hAnsi="Verdana" w:cs="Times New Roman"/>
          <w:sz w:val="20"/>
          <w:szCs w:val="20"/>
        </w:rPr>
        <w:t xml:space="preserve">). However, those differences were insignificant during later sampling efforts (Fig 3A). In contrast, quantification of biofilm biomass showed the opposite trend. All mutants were indistinguishable from wildtype at the 20 </w:t>
      </w:r>
      <w:proofErr w:type="spellStart"/>
      <w:r w:rsidRPr="005E3B94">
        <w:rPr>
          <w:rFonts w:ascii="Verdana" w:hAnsi="Verdana" w:cs="Times New Roman"/>
          <w:sz w:val="20"/>
          <w:szCs w:val="20"/>
        </w:rPr>
        <w:t>hr</w:t>
      </w:r>
      <w:proofErr w:type="spellEnd"/>
      <w:r w:rsidRPr="005E3B94">
        <w:rPr>
          <w:rFonts w:ascii="Verdana" w:hAnsi="Verdana" w:cs="Times New Roman"/>
          <w:sz w:val="20"/>
          <w:szCs w:val="20"/>
        </w:rPr>
        <w:t xml:space="preserve"> timepoint, but variation between and among wildtype and the mutants became pronounced with time. For example, both </w:t>
      </w:r>
      <w:proofErr w:type="spellStart"/>
      <w:r w:rsidRPr="005E3B94">
        <w:rPr>
          <w:rFonts w:ascii="Verdana" w:hAnsi="Verdana" w:cs="Times New Roman"/>
          <w:i/>
          <w:iCs/>
          <w:sz w:val="20"/>
          <w:szCs w:val="20"/>
        </w:rPr>
        <w:t>phaR</w:t>
      </w:r>
      <w:proofErr w:type="spellEnd"/>
      <w:r w:rsidRPr="005E3B94">
        <w:rPr>
          <w:rFonts w:ascii="Verdana" w:hAnsi="Verdana" w:cs="Times New Roman"/>
          <w:sz w:val="20"/>
          <w:szCs w:val="20"/>
        </w:rPr>
        <w:t xml:space="preserve"> (QS1) and </w:t>
      </w:r>
      <w:proofErr w:type="spellStart"/>
      <w:r w:rsidRPr="005E3B94">
        <w:rPr>
          <w:rFonts w:ascii="Verdana" w:hAnsi="Verdana" w:cs="Times New Roman"/>
          <w:i/>
          <w:iCs/>
          <w:sz w:val="20"/>
          <w:szCs w:val="20"/>
        </w:rPr>
        <w:t>pgaR</w:t>
      </w:r>
      <w:proofErr w:type="spellEnd"/>
      <w:r w:rsidRPr="005E3B94">
        <w:rPr>
          <w:rFonts w:ascii="Verdana" w:hAnsi="Verdana" w:cs="Times New Roman"/>
          <w:i/>
          <w:iCs/>
          <w:sz w:val="20"/>
          <w:szCs w:val="20"/>
        </w:rPr>
        <w:t xml:space="preserve"> </w:t>
      </w:r>
      <w:r w:rsidRPr="005E3B94">
        <w:rPr>
          <w:rFonts w:ascii="Verdana" w:hAnsi="Verdana" w:cs="Times New Roman"/>
          <w:sz w:val="20"/>
          <w:szCs w:val="20"/>
        </w:rPr>
        <w:t xml:space="preserve">(QS2) mutants show significantly elevated biofilm biomass relative to wildtype at 44 </w:t>
      </w:r>
      <w:proofErr w:type="spellStart"/>
      <w:r w:rsidRPr="005E3B94">
        <w:rPr>
          <w:rFonts w:ascii="Verdana" w:hAnsi="Verdana" w:cs="Times New Roman"/>
          <w:sz w:val="20"/>
          <w:szCs w:val="20"/>
        </w:rPr>
        <w:t>hr</w:t>
      </w:r>
      <w:proofErr w:type="spellEnd"/>
      <w:r w:rsidRPr="005E3B94">
        <w:rPr>
          <w:rFonts w:ascii="Verdana" w:hAnsi="Verdana" w:cs="Times New Roman"/>
          <w:sz w:val="20"/>
          <w:szCs w:val="20"/>
        </w:rPr>
        <w:t xml:space="preserve">, but these biofilms were not significantly different by the final time point (68 </w:t>
      </w:r>
      <w:proofErr w:type="spellStart"/>
      <w:r w:rsidRPr="005E3B94">
        <w:rPr>
          <w:rFonts w:ascii="Verdana" w:hAnsi="Verdana" w:cs="Times New Roman"/>
          <w:sz w:val="20"/>
          <w:szCs w:val="20"/>
        </w:rPr>
        <w:t>hr</w:t>
      </w:r>
      <w:proofErr w:type="spellEnd"/>
      <w:r w:rsidRPr="005E3B94">
        <w:rPr>
          <w:rFonts w:ascii="Verdana" w:hAnsi="Verdana" w:cs="Times New Roman"/>
          <w:sz w:val="20"/>
          <w:szCs w:val="20"/>
        </w:rPr>
        <w:t xml:space="preserve">). Conversely, </w:t>
      </w:r>
      <w:proofErr w:type="spellStart"/>
      <w:r w:rsidRPr="005E3B94">
        <w:rPr>
          <w:rFonts w:ascii="Verdana" w:hAnsi="Verdana" w:cs="Times New Roman"/>
          <w:i/>
          <w:iCs/>
          <w:sz w:val="20"/>
          <w:szCs w:val="20"/>
        </w:rPr>
        <w:t>phaI</w:t>
      </w:r>
      <w:proofErr w:type="spellEnd"/>
      <w:r w:rsidRPr="005E3B94">
        <w:rPr>
          <w:rFonts w:ascii="Verdana" w:hAnsi="Verdana" w:cs="Times New Roman"/>
          <w:sz w:val="20"/>
          <w:szCs w:val="20"/>
        </w:rPr>
        <w:t xml:space="preserve"> (QS1) mutant was indistinguishable from wildtype until the final time point, at which point it was 32-42% greater than wildtype and all other variants (Fig 3B). </w:t>
      </w:r>
    </w:p>
    <w:p w14:paraId="0B515F66" w14:textId="0A1EF28E" w:rsidR="00834C18" w:rsidRPr="005E3B94" w:rsidRDefault="00834C18" w:rsidP="00677C01">
      <w:pPr>
        <w:spacing w:before="240"/>
        <w:ind w:firstLine="360"/>
        <w:jc w:val="both"/>
        <w:rPr>
          <w:rFonts w:ascii="Verdana" w:hAnsi="Verdana" w:cs="Times New Roman"/>
          <w:sz w:val="20"/>
          <w:szCs w:val="20"/>
        </w:rPr>
      </w:pPr>
      <w:r w:rsidRPr="005E3B94">
        <w:rPr>
          <w:rFonts w:ascii="Verdana" w:hAnsi="Verdana" w:cs="Times New Roman"/>
          <w:b/>
          <w:bCs/>
          <w:sz w:val="20"/>
          <w:szCs w:val="20"/>
        </w:rPr>
        <w:t>Cyclic-di-GMP is higher in surface attached cultures and influenced by QS.</w:t>
      </w:r>
      <w:r w:rsidRPr="005E3B94">
        <w:rPr>
          <w:rFonts w:ascii="Verdana" w:hAnsi="Verdana" w:cs="Times New Roman"/>
          <w:sz w:val="20"/>
          <w:szCs w:val="20"/>
        </w:rPr>
        <w:t xml:space="preserve"> In many biofilm forming bacteria the global secondary messenger, c-di-GMP, is integrated into the regulatory network dictating the transition between motile and sessile lifestyles </w:t>
      </w:r>
      <w:r w:rsidRPr="005E3B94">
        <w:rPr>
          <w:rFonts w:ascii="Verdana" w:hAnsi="Verdana" w:cs="Times New Roman"/>
          <w:sz w:val="20"/>
          <w:szCs w:val="20"/>
        </w:rPr>
        <w:fldChar w:fldCharType="begin" w:fldLock="1"/>
      </w:r>
      <w:r w:rsidR="00B77EC7" w:rsidRPr="005E3B94">
        <w:rPr>
          <w:rFonts w:ascii="Verdana" w:hAnsi="Verdana" w:cs="Times New Roman"/>
          <w:sz w:val="20"/>
          <w:szCs w:val="20"/>
        </w:rPr>
        <w:instrText>ADDIN CSL_CITATION {"citationItems":[{"id":"ITEM-1","itemData":{"DOI":"10.1128/MMBR.00043-12","author":[{"dropping-particle":"","family":"Römling","given":"Ute","non-dropping-particle":"","parse-names":false,"suffix":""},{"dropping-particle":"","family":"Galperin","given":"Michael Y","non-dropping-particle":"","parse-names":false,"suffix":""},{"dropping-particle":"","family":"Gomelsky","given":"Mark","non-dropping-particle":"","parse-names":false,"suffix":""}],"container-title":"Microbiology and Molecular Biology Reviews","id":"ITEM-1","issue":"1","issued":{"date-parts":[["2013"]]},"page":"1-52","title":"Cyclic di-GMP: the First 25 Years of a Universal Bacterial Second Messenger","type":"article-journal","volume":"77"},"uris":["http://www.mendeley.com/documents/?uuid=8b3e35b5-844d-4a49-b6bd-77b148a13eb2"]}],"mendeley":{"formattedCitation":"(5)","plainTextFormattedCitation":"(5)","previouslyFormattedCitation":"(Römling, Galperin, and Gomelsky 2013)"},"properties":{"noteIndex":0},"schema":"https://github.com/citation-style-language/schema/raw/master/csl-citation.json"}</w:instrText>
      </w:r>
      <w:r w:rsidRPr="005E3B94">
        <w:rPr>
          <w:rFonts w:ascii="Verdana" w:hAnsi="Verdana" w:cs="Times New Roman"/>
          <w:sz w:val="20"/>
          <w:szCs w:val="20"/>
        </w:rPr>
        <w:fldChar w:fldCharType="separate"/>
      </w:r>
      <w:r w:rsidR="00B77EC7" w:rsidRPr="005E3B94">
        <w:rPr>
          <w:rFonts w:ascii="Verdana" w:hAnsi="Verdana" w:cs="Times New Roman"/>
          <w:noProof/>
          <w:sz w:val="20"/>
          <w:szCs w:val="20"/>
        </w:rPr>
        <w:t>(5)</w:t>
      </w:r>
      <w:r w:rsidRPr="005E3B94">
        <w:rPr>
          <w:rFonts w:ascii="Verdana" w:hAnsi="Verdana" w:cs="Times New Roman"/>
          <w:sz w:val="20"/>
          <w:szCs w:val="20"/>
        </w:rPr>
        <w:fldChar w:fldCharType="end"/>
      </w:r>
      <w:r w:rsidRPr="005E3B94">
        <w:rPr>
          <w:rFonts w:ascii="Verdana" w:hAnsi="Verdana" w:cs="Times New Roman"/>
          <w:sz w:val="20"/>
          <w:szCs w:val="20"/>
        </w:rPr>
        <w:t>. Thus, we wanted to investigate intracellular c-di-GMP concentrations in Y4I and the panel of QS and indigoidine mutants.</w:t>
      </w:r>
      <w:r w:rsidRPr="005E3B94" w:rsidDel="0093795A">
        <w:rPr>
          <w:rFonts w:ascii="Verdana" w:hAnsi="Verdana" w:cs="Times New Roman"/>
          <w:sz w:val="20"/>
          <w:szCs w:val="20"/>
        </w:rPr>
        <w:t xml:space="preserve"> </w:t>
      </w:r>
      <w:r w:rsidRPr="005E3B94">
        <w:rPr>
          <w:rFonts w:ascii="Verdana" w:hAnsi="Verdana" w:cs="Times New Roman"/>
          <w:sz w:val="20"/>
          <w:szCs w:val="20"/>
        </w:rPr>
        <w:t xml:space="preserve">C-di-GMP concentrations are significantly increased in agar grown Y4I cultures relative to broth cultures (Fig. 4A). Furthermore, all mutants have significantly reduced c-di-GMP concentrations, ranging from 15-33% of wildtype levels when strains are grown in liquid culture and 4-23% of wildtype when grown on agar surfaces (Fig 4B-C). </w:t>
      </w:r>
    </w:p>
    <w:p w14:paraId="5286B3E3" w14:textId="61318781" w:rsidR="009E631B" w:rsidRPr="005E3B94" w:rsidRDefault="009E631B" w:rsidP="00677C01">
      <w:pPr>
        <w:spacing w:before="240"/>
        <w:ind w:firstLine="720"/>
        <w:jc w:val="both"/>
        <w:rPr>
          <w:rFonts w:ascii="Verdana" w:hAnsi="Verdana" w:cs="Times New Roman"/>
          <w:sz w:val="20"/>
          <w:szCs w:val="20"/>
        </w:rPr>
      </w:pPr>
    </w:p>
    <w:p w14:paraId="442837FB" w14:textId="6DFA6E78" w:rsidR="009E631B" w:rsidRPr="005E3B94" w:rsidRDefault="009E631B" w:rsidP="00677C01">
      <w:pPr>
        <w:pStyle w:val="Heading2"/>
        <w:numPr>
          <w:ilvl w:val="0"/>
          <w:numId w:val="7"/>
        </w:numPr>
        <w:jc w:val="left"/>
        <w:rPr>
          <w:rFonts w:ascii="Verdana" w:hAnsi="Verdana" w:cs="Times New Roman"/>
          <w:sz w:val="24"/>
          <w:szCs w:val="24"/>
        </w:rPr>
      </w:pPr>
      <w:bookmarkStart w:id="18" w:name="_Toc83382597"/>
      <w:r w:rsidRPr="005E3B94">
        <w:rPr>
          <w:rFonts w:ascii="Verdana" w:hAnsi="Verdana" w:cs="Times New Roman"/>
          <w:sz w:val="24"/>
          <w:szCs w:val="24"/>
        </w:rPr>
        <w:lastRenderedPageBreak/>
        <w:t>Discussion</w:t>
      </w:r>
      <w:bookmarkEnd w:id="18"/>
      <w:r w:rsidRPr="005E3B94">
        <w:rPr>
          <w:rFonts w:ascii="Verdana" w:hAnsi="Verdana" w:cs="Times New Roman"/>
          <w:sz w:val="24"/>
          <w:szCs w:val="24"/>
        </w:rPr>
        <w:t xml:space="preserve"> </w:t>
      </w:r>
    </w:p>
    <w:p w14:paraId="728FF671" w14:textId="6503815D" w:rsidR="00834C18" w:rsidRPr="00F11D34" w:rsidRDefault="00834C18" w:rsidP="00677C01">
      <w:pPr>
        <w:spacing w:before="240"/>
        <w:ind w:firstLine="720"/>
        <w:jc w:val="both"/>
        <w:rPr>
          <w:rFonts w:ascii="Verdana" w:hAnsi="Verdana" w:cs="Times New Roman"/>
          <w:sz w:val="20"/>
          <w:szCs w:val="20"/>
        </w:rPr>
      </w:pPr>
      <w:r w:rsidRPr="00F11D34">
        <w:rPr>
          <w:rFonts w:ascii="Verdana" w:hAnsi="Verdana" w:cs="Times New Roman"/>
          <w:sz w:val="20"/>
          <w:szCs w:val="20"/>
        </w:rPr>
        <w:t xml:space="preserve">AHL-based QS networks are prevalent in members of the Roseobacter clade where they regulate physiologies predicted to be central to the ecological success of group members </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{"citationItems":[{"id":"ITEM-1","itemData":{"DOI":"10.3389/fmicb.2013.00336","ISSN":"1664302X","abstract":"Bacteria have been widely reported to use quorum sensing (QS) systems, which employ small diffusible metabolites to coordinate gene expression in a population density dependent manner. In Proteobacteria, the most commonly described QS signaling molecules are N-acyl-homoserine lactones (AHLs). Recent studies suggest that members of the abundant marine Roseobacter lineage possess AHL-based QS systems and are environmentally relevant models for relating QS to ecological success. As reviewed here, these studies suggest that the roles of QS in roseobacters are varied and complex. An analysis of the 43 publically available Roseobacter genomes shows conservation of QS protein sequences and overall gene topologies, providing support for the hypothesis that QS is a conserved and widespread trait in the clade.","author":[{"dropping-particle":"","family":"Cude","given":"W. Nathan","non-dropping-particle":"","parse-names":false,"suffix":""},{"dropping-particle":"","family":"Buchan","given":"Alison","non-dropping-particle":"","parse-names":false,"suffix":""}],"container-title":"Frontiers in Microbiology","id":"ITEM-1","issue":"NOV","issued":{"date-parts":[["2013"]]},"page":"336","publisher":"Frontiers Media SA","title":"Acyl-homoserine lactone-based quorum sensing in the Roseobacter clade: Complex cell-to-cell communication controls multiple physiologies","type":"article-journal","volume":"4"},"uris":["http://www.mendeley.com/documents/?uuid=1d90e5ff-0c49-3619-9a4f-107f57405e3f"]},{"id":"ITEM-2","itemData":{"DOI":"10.3390/ijms15010654","ISSN":"1422-0067","PMID":"24402124","abstract":"Members of the Roseobacter clade are ecologically important and numerically abundant in coastal environments and can associate with marine invertebrates and nutrient-rich marine snow or organic particles, on which quorum sensing (QS) may play an important role. In this review, we summarize current research progress on roseobacterial acyl-homoserine lactone-based QS, particularly focusing on three relatively well-studied representatives, Phaeobacter inhibens DSM17395, the marine sponge symbiont Ruegeria sp. KLH11 and the dinoflagellate symbiont Dinoroseobacter shibae. Bioinformatic survey of luxI homologues revealed that over 80% of available roseobacterial genomes encode at least one luxI homologue, reflecting the significance of QS controlled regulatory pathways in adapting to the relevant marine environments. We also discuss several areas that warrant further investigation, including studies on the ecological role of these diverse QS pathways in natural environments.","author":[{"dropping-particle":"","family":"Zan","given":"Jindong","non-dropping-particle":"","parse-names":false,"suffix":""},{"dropping-particle":"","family":"Liu","given":"Yue","non-dropping-particle":"","parse-names":false,"suffix":""},{"dropping-particle":"","family":"Fuqua","given":"Clay","non-dropping-particle":"","parse-names":false,"suffix":""},{"dropping-particle":"","family":"Hill","given":"Russell","non-dropping-particle":"","parse-names":false,"suffix":""}],"container-title":"International Journal of Molecular Sciences","id":"ITEM-2","issue":"1","issued":{"date-parts":[["2014","1","7"]]},"page":"654-669","title":"Acyl-Homoserine Lactone Quorum Sensing in the Roseobacter Clade","type":"article-journal","volume":"15"},"uris":["http://www.mendeley.com/documents/?uuid=6a6d5a2d-f3a9-3ca3-bfbd-c3dc95862f42"]}],"mendeley":{"formattedCitation":"(11, 23)","plainTextFormattedCitation":"(11, 23)","previouslyFormattedCitation":"(Cude and Buchan 2013; Zan et al. 2014)"},"properties":{"noteIndex":0},"schema":"https://github.com/citation-style-language/schema/raw/master/csl-citation.json"}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(11, 23)</w:t>
      </w:r>
      <w:r w:rsidRPr="00F11D34">
        <w:rPr>
          <w:rFonts w:ascii="Verdana" w:hAnsi="Verdana" w:cs="Times New Roman"/>
          <w:sz w:val="20"/>
          <w:szCs w:val="20"/>
        </w:rPr>
        <w:fldChar w:fldCharType="end"/>
      </w:r>
      <w:r w:rsidRPr="00F11D34">
        <w:rPr>
          <w:rFonts w:ascii="Verdana" w:hAnsi="Verdana" w:cs="Times New Roman"/>
          <w:sz w:val="20"/>
          <w:szCs w:val="20"/>
        </w:rPr>
        <w:t>. The high incidence of multiple QS systems in individual strains presents opportunity for different QS network architectures and signaling circuities to have evolved, the extent of which has not been fully evaluated for roseobacters. From studies of diverse microbes, three defined QS network architectures have been proposed and provide a valuable comparative framework: (</w:t>
      </w:r>
      <w:proofErr w:type="spellStart"/>
      <w:r w:rsidRPr="00F11D34">
        <w:rPr>
          <w:rFonts w:ascii="Verdana" w:hAnsi="Verdana" w:cs="Times New Roman"/>
          <w:sz w:val="20"/>
          <w:szCs w:val="20"/>
        </w:rPr>
        <w:t>i</w:t>
      </w:r>
      <w:proofErr w:type="spellEnd"/>
      <w:r w:rsidRPr="00F11D34">
        <w:rPr>
          <w:rFonts w:ascii="Verdana" w:hAnsi="Verdana" w:cs="Times New Roman"/>
          <w:sz w:val="20"/>
          <w:szCs w:val="20"/>
        </w:rPr>
        <w:t xml:space="preserve">) ‘One-to-One’ system, in which a single receptor responding to a single signal controls the entire QS response; (ii) ‘Many-to-One’ parallel circuit, in which information contained in multiple autoinducers are integrated together to control the QS response; and (iii) ‘Many-to-One’ hierarchical system, in which many QS receptors are connected in a signaling cascade </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{"citationItems":[{"id":"ITEM-1","itemData":{"DOI":"10.1093/femsre/fuw014","ISSN":"1574-6976","PMID":"27354348","abstract":"Quorum sensing (QS) is a microbial cell-to-cell communication process that relies on the production and detection of chemical signals called autoinducers (AIs) to monitor cell density and species complexity in the population. QS allows bacteria to behave as a cohesive group and coordinate collective behaviors. While most QS receptors display high specificity to their AI ligands, others are quite promiscuous in signal detection. How do specific QS receptors respond to their cognate signals with high fidelity? Why do some receptors maintain low signal recognition specificity? In addition, many QS systems are composed of multiple intersecting signaling pathways: what are the benefits of preserving such a complex signaling network when a simple linear 'one-to-one' regulatory pathway seems sufficient to monitor cell density? Here, we will discuss different molecular mechanisms employed by various QS systems that ensure productive and specific QS responses. Moreover, the network architectures of some well-characterized QS circuits will be reviewed to understand how the wiring of different regulatory components achieves different biological goals.","author":[{"dropping-particle":"","family":"Hawver","given":"Lisa A","non-dropping-particle":"","parse-names":false,"suffix":""},{"dropping-particle":"","family":"Jung","given":"Sarah A","non-dropping-particle":"","parse-names":false,"suffix":""},{"dropping-particle":"","family":"Ng","given":"Wai-Leung","non-dropping-particle":"","parse-names":false,"suffix":""}],"container-title":"FEMS microbiology reviews","id":"ITEM-1","issue":"5","issued":{"date-parts":[["2016"]]},"page":"738-52","publisher":"Oxford University Press","title":"Specificity and complexity in bacterial quorum-sensing systems.","type":"article-journal","volume":"40"},"uris":["http://www.mendeley.com/documents/?uuid=e3d447e3-98bb-4e1b-abb9-94a2d1d5e7d8"]}],"mendeley":{"formattedCitation":"(24)","plainTextFormattedCitation":"(24)","previouslyFormattedCitation":"(Hawver, Jung, and Ng 2016)"},"properties":{"noteIndex":0},"schema":"https://github.com/citation-style-language/schema/raw/master/csl-citation.json"}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(24)</w:t>
      </w:r>
      <w:r w:rsidRPr="00F11D34">
        <w:rPr>
          <w:rFonts w:ascii="Verdana" w:hAnsi="Verdana" w:cs="Times New Roman"/>
          <w:sz w:val="20"/>
          <w:szCs w:val="20"/>
        </w:rPr>
        <w:fldChar w:fldCharType="end"/>
      </w:r>
      <w:r w:rsidRPr="00F11D34">
        <w:rPr>
          <w:rFonts w:ascii="Verdana" w:hAnsi="Verdana" w:cs="Times New Roman"/>
          <w:sz w:val="20"/>
          <w:szCs w:val="20"/>
        </w:rPr>
        <w:t xml:space="preserve">. Of the handful of Roseobacters that have been genetically characterized with regards to QS, two appear to employ a hierarchal regulatory circuit: </w:t>
      </w:r>
      <w:proofErr w:type="spellStart"/>
      <w:r w:rsidRPr="00F11D34">
        <w:rPr>
          <w:rFonts w:ascii="Verdana" w:hAnsi="Verdana" w:cs="Times New Roman"/>
          <w:i/>
          <w:sz w:val="20"/>
          <w:szCs w:val="20"/>
        </w:rPr>
        <w:t>Ruegeria</w:t>
      </w:r>
      <w:proofErr w:type="spellEnd"/>
      <w:r w:rsidRPr="00F11D34">
        <w:rPr>
          <w:rFonts w:ascii="Verdana" w:hAnsi="Verdana" w:cs="Times New Roman"/>
          <w:i/>
          <w:sz w:val="20"/>
          <w:szCs w:val="20"/>
        </w:rPr>
        <w:t xml:space="preserve"> </w:t>
      </w:r>
      <w:proofErr w:type="spellStart"/>
      <w:r w:rsidRPr="00F11D34">
        <w:rPr>
          <w:rFonts w:ascii="Verdana" w:hAnsi="Verdana" w:cs="Times New Roman"/>
          <w:i/>
          <w:iCs/>
          <w:sz w:val="20"/>
          <w:szCs w:val="20"/>
        </w:rPr>
        <w:t>mobilis</w:t>
      </w:r>
      <w:proofErr w:type="spellEnd"/>
      <w:r w:rsidRPr="00F11D34">
        <w:rPr>
          <w:rFonts w:ascii="Verdana" w:hAnsi="Verdana" w:cs="Times New Roman"/>
          <w:sz w:val="20"/>
          <w:szCs w:val="20"/>
        </w:rPr>
        <w:t xml:space="preserve"> KLH11 </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{"citationItems":[{"id":"ITEM-1","itemData":{"DOI":"10.1111/j.1365-2958.2012.08149.x","ISSN":"0950382X","PMID":"22742196","abstract":"Bacteria isolated from marine sponges, including the Silicibacter-Ruegeria (SR) subgroup of the Roseobacter clade, produce N-acylhomoserine lactone (AHL) quorum sensing signal molecules. This study is the first detailed analysis of AHL quorum sensing in sponge-associated bacteria, specifically Ruegeria sp. KLH11, from the sponge Mycale laxissima. Two pairs of luxR and luxI homologues and one solo luxI homologue were identified and designated ssaRI, ssbRI and sscI (sponge-associated symbiont locus A, B and C, luxR or luxI homologue). SsaI produced predominantly long-chain 3-oxo-AHLs and both SsbI and SscI specified 3-OH-AHLs. Addition of exogenous AHLs to KLH11 increased the expression of ssaI but not ssaR, ssbI or ssbR, and genetic analyses revealed a complex interconnected arrangement between SsaRI and SsbRI systems. Interestingly, flagellar motility was abolished in the ssaI and ssaR mutants, with the flagellar biosynthesis genes under strict SsaRI control, and active motility only at high culture density. Conversely, ssaI and ssaR mutants formed more robust biofilms than wild-type KLH11. AHLs and the ssaI transcript were detected in M. laxissima extracts, suggesting that AHL signalling contributes to the decision between motility and sessility and that it may also facilitate acclimation to different environments that include the sponge host.","author":[{"dropping-particle":"","family":"Zan","given":"Jindong","non-dropping-particle":"","parse-names":false,"suffix":""},{"dropping-particle":"","family":"Cicirelli","given":"Elisha M.","non-dropping-particle":"","parse-names":false,"suffix":""},{"dropping-particle":"","family":"Mohamed","given":"Naglaa M.","non-dropping-particle":"","parse-names":false,"suffix":""},{"dropping-particle":"","family":"Sibhatu","given":"Hiruy","non-dropping-particle":"","parse-names":false,"suffix":""},{"dropping-particle":"","family":"Kroll","given":"Stephanie","non-dropping-particle":"","parse-names":false,"suffix":""},{"dropping-particle":"","family":"Choi","given":"Okhee Ohkee","non-dropping-particle":"","parse-names":false,"suffix":""},{"dropping-particle":"","family":"Uhlson","given":"Charis L.","non-dropping-particle":"","parse-names":false,"suffix":""},{"dropping-particle":"","family":"Wysoczynski","given":"Christina L.","non-dropping-particle":"","parse-names":false,"suffix":""},{"dropping-particle":"","family":"Murphy","given":"Robert C.","non-dropping-particle":"","parse-names":false,"suffix":""},{"dropping-particle":"","family":"Churchill","given":"Mair E. A.","non-dropping-particle":"","parse-names":false,"suffix":""},{"dropping-particle":"","family":"Hill","given":"Russell T.","non-dropping-particle":"","parse-names":false,"suffix":""},{"dropping-particle":"","family":"Fuqua","given":"Clay","non-dropping-particle":"","parse-names":false,"suffix":""},{"dropping-particle":"","family":"Choi","given":"Okhee Ohkee","non-dropping-particle":"","parse-names":false,"suffix":""},{"dropping-particle":"","family":"Uhlson","given":"Charis L.","non-dropping-particle":"","parse-names":false,"suffix":""},{"dropping-particle":"","family":"Wysoczynski","given":"Christina L.","non-dropping-particle":"","parse-names":false,"suffix":""},{"dropping-particle":"","family":"Wysoczinski","given":"Christina L","non-dropping-particle":"","parse-names":false,"suffix":""},{"dropping-particle":"","family":"Murphy","given":"Robert C.","non-dropping-particle":"","parse-names":false,"suffix":""},{"dropping-particle":"","family":"Churchill","given":"Mair E. A.","non-dropping-particle":"","parse-names":false,"suffix":""},{"dropping-particle":"","family":"Hill","given":"Russell T.","non-dropping-particle":"","parse-names":false,"suffix":""},{"dropping-particle":"","family":"Fuqua","given":"Clay","non-dropping-particle":"","parse-names":false,"suffix":""},{"dropping-particle":"","family":"Choi","given":"Okhee Ohkee","non-dropping-particle":"","parse-names":false,"suffix":""},{"dropping-particle":"","family":"Uhlson","given":"Charis L.","non-dropping-particle":"","parse-names":false,"suffix":""},{"dropping-particle":"","family":"Wysoczynski","given":"Christina L.","non-dropping-particle":"","parse-names":false,"suffix":""},{"dropping-particle":"","family":"Wysoczinski","given":"Christina L","non-dropping-particle":"","parse-names":false,"suffix":""},{"dropping-particle":"","family":"Murphy","given":"Robert C.","non-dropping-particle":"","parse-names":false,"suffix":""},{"dropping-particle":"","family":"Churchill","given":"Mair E. A.","non-dropping-particle":"","parse-names":false,"suffix":""},{"dropping-particle":"","family":"Hill","given":"Russell T.","non-dropping-particle":"","parse-names":false,"suffix":""},{"dropping-particle":"","family":"Fuqua","given":"Clay","non-dropping-particle":"","parse-names":false,"suffix":""}],"container-title":"Molecular Microbiology","id":"ITEM-1","issue":"5","issued":{"date-parts":[["2012","9","1"]]},"page":"916-933","publisher":"NIH Public Access","title":"A complex LuxR-LuxI type quorum sensing network in a roseobacterial marine sponge symbiont activates flagellar motility and inhibits biofilm formation.","type":"article-journal","volume":"85"},"uris":["http://www.mendeley.com/documents/?uuid=2f37ab94-5048-4319-adf9-aa43eb0a2898"]}],"mendeley":{"formattedCitation":"(25)","plainTextFormattedCitation":"(25)","previouslyFormattedCitation":"(Zan et al. 2012)"},"properties":{"noteIndex":0},"schema":"https://github.com/citation-style-language/schema/raw/master/csl-citation.json"}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(25)</w:t>
      </w:r>
      <w:r w:rsidRPr="00F11D34">
        <w:rPr>
          <w:rFonts w:ascii="Verdana" w:hAnsi="Verdana" w:cs="Times New Roman"/>
          <w:sz w:val="20"/>
          <w:szCs w:val="20"/>
        </w:rPr>
        <w:fldChar w:fldCharType="end"/>
      </w:r>
      <w:r w:rsidRPr="00F11D34">
        <w:rPr>
          <w:rFonts w:ascii="Verdana" w:hAnsi="Verdana" w:cs="Times New Roman"/>
          <w:sz w:val="20"/>
          <w:szCs w:val="20"/>
        </w:rPr>
        <w:t xml:space="preserve"> and </w:t>
      </w:r>
      <w:proofErr w:type="spellStart"/>
      <w:r w:rsidRPr="00F11D34">
        <w:rPr>
          <w:rFonts w:ascii="Verdana" w:hAnsi="Verdana" w:cs="Times New Roman"/>
          <w:i/>
          <w:sz w:val="20"/>
          <w:szCs w:val="20"/>
        </w:rPr>
        <w:t>Dinoroseobacter</w:t>
      </w:r>
      <w:proofErr w:type="spellEnd"/>
      <w:r w:rsidRPr="00F11D34">
        <w:rPr>
          <w:rFonts w:ascii="Verdana" w:hAnsi="Verdana" w:cs="Times New Roman"/>
          <w:i/>
          <w:sz w:val="20"/>
          <w:szCs w:val="20"/>
        </w:rPr>
        <w:t xml:space="preserve"> </w:t>
      </w:r>
      <w:proofErr w:type="spellStart"/>
      <w:r w:rsidRPr="00F11D34">
        <w:rPr>
          <w:rFonts w:ascii="Verdana" w:hAnsi="Verdana" w:cs="Times New Roman"/>
          <w:i/>
          <w:sz w:val="20"/>
          <w:szCs w:val="20"/>
        </w:rPr>
        <w:t>shibae</w:t>
      </w:r>
      <w:proofErr w:type="spellEnd"/>
      <w:r w:rsidRPr="00F11D34">
        <w:rPr>
          <w:rFonts w:ascii="Verdana" w:hAnsi="Verdana" w:cs="Times New Roman"/>
          <w:i/>
          <w:sz w:val="20"/>
          <w:szCs w:val="20"/>
        </w:rPr>
        <w:t xml:space="preserve"> </w:t>
      </w:r>
      <w:r w:rsidRPr="00F11D34">
        <w:rPr>
          <w:rFonts w:ascii="Verdana" w:hAnsi="Verdana" w:cs="Times New Roman"/>
          <w:i/>
          <w:sz w:val="20"/>
          <w:szCs w:val="20"/>
        </w:rPr>
        <w:fldChar w:fldCharType="begin" w:fldLock="1"/>
      </w:r>
      <w:r w:rsidR="00B77EC7" w:rsidRPr="00F11D34">
        <w:rPr>
          <w:rFonts w:ascii="Verdana" w:hAnsi="Verdana" w:cs="Times New Roman"/>
          <w:i/>
          <w:sz w:val="20"/>
          <w:szCs w:val="20"/>
        </w:rPr>
        <w:instrText>ADDIN CSL_CITATION {"citationItems":[{"id":"ITEM-1","itemData":{"DOI":"10.3389/fmicb.2019.00803","ISSN":"1664-302X","PMID":"31031742","abstract":"Quorum sensing (QS) coordinates population wide gene expression of bacterial species. Highly adaptive traits like gene transfer agents (GTA), morphological heterogeneity, type 4 secretion systems (T4SS), and flagella are QS controlled in Dinoroseobacter shibae, a Roseobacter model organism. Its QS regulatory network is integrated with the CtrA phosphorelay that controls cell division in alphaproteobacteria. To elucidate the network topology, we analyzed the transcriptional response of the QS-negative D. shibae strain ΔluxI1 toward externally added autoinducer (AI) over a time period of 3 h. The signaling cascade is initiated by the CtrA phosphorelay, followed by the QS genes and other target genes, including the second messenger c-di-GMP, competence, flagella and pili. Identification of transcription factor binding sites in promoters of QS induced genes revealed the integration of QS, CtrA phosphorelay and the SOS stress response mediated by LexA. The concentration of regulatory genes located close to the origin or terminus of replication suggests that gene regulation and replication are tightly coupled. Indeed, addition of AI first stimulates and then represses replication. The restart of replication comes along with increased c-di-GMP levels. We propose a model in which QS induces replication followed by differentiation into GTA producing and non-producing cells. CtrA-activity is controlled by the c-di-GMP level, allowing some of the daughter cells to replicate again. The size of the GTA producing subpopulation is tightly controlled by QS via the AI Synthase LuxI2. Finally, induction of the SOS response allows for integration of GTA DNA into the host chromosome.","author":[{"dropping-particle":"","family":"Koppenhöfer","given":"Sonja","non-dropping-particle":"","parse-names":false,"suffix":""},{"dropping-particle":"","family":"Wang","given":"Hui","non-dropping-particle":"","parse-names":false,"suffix":""},{"dropping-particle":"","family":"Scharfe","given":"Maren","non-dropping-particle":"","parse-names":false,"suffix":""},{"dropping-particle":"","family":"Kaever","given":"Volkhard","non-dropping-particle":"","parse-names":false,"suffix":""},{"dropping-particle":"","family":"Wagner-Döbler","given":"Irene","non-dropping-particle":"","parse-names":false,"suffix":""},{"dropping-particle":"","family":"Tomasch","given":"Jürgen","non-dropping-particle":"","parse-names":false,"suffix":""}],"container-title":"Frontiers in microbiology","id":"ITEM-1","issued":{"date-parts":[["2019"]]},"page":"803","publisher":"Frontiers Media SA","title":"Integrated Transcriptional Regulatory Network of Quorum Sensing, Replication Control, and SOS Response in &lt;i&gt; Dinoroseobacter shibae &lt;/i&gt;.","type":"article-journal","volume":"10"},"uris":["http://www.mendeley.com/documents/?uuid=cbf2fbe5-daa0-3bb2-8f30-945bab429941"]}],"mendeley":{"formattedCitation":"(26)","plainTextFormattedCitation":"(26)","previouslyFormattedCitation":"(Koppenhöfer et al. 2019)"},"properties":{"noteIndex":0},"schema":"https://github.com/citation-style-language/schema/raw/master/csl-citation.json"}</w:instrText>
      </w:r>
      <w:r w:rsidRPr="00F11D34">
        <w:rPr>
          <w:rFonts w:ascii="Verdana" w:hAnsi="Verdana" w:cs="Times New Roman"/>
          <w:i/>
          <w:sz w:val="20"/>
          <w:szCs w:val="20"/>
        </w:rPr>
        <w:fldChar w:fldCharType="separate"/>
      </w:r>
      <w:r w:rsidR="00B77EC7" w:rsidRPr="00F11D34">
        <w:rPr>
          <w:rFonts w:ascii="Verdana" w:hAnsi="Verdana" w:cs="Times New Roman"/>
          <w:noProof/>
          <w:sz w:val="20"/>
          <w:szCs w:val="20"/>
        </w:rPr>
        <w:t>(26)</w:t>
      </w:r>
      <w:r w:rsidRPr="00F11D34">
        <w:rPr>
          <w:rFonts w:ascii="Verdana" w:hAnsi="Verdana" w:cs="Times New Roman"/>
          <w:i/>
          <w:sz w:val="20"/>
          <w:szCs w:val="20"/>
        </w:rPr>
        <w:fldChar w:fldCharType="end"/>
      </w:r>
      <w:r w:rsidRPr="00F11D34">
        <w:rPr>
          <w:rFonts w:ascii="Verdana" w:hAnsi="Verdana" w:cs="Times New Roman"/>
          <w:i/>
          <w:sz w:val="20"/>
          <w:szCs w:val="20"/>
        </w:rPr>
        <w:t>.</w:t>
      </w:r>
      <w:r w:rsidRPr="00F11D34">
        <w:rPr>
          <w:rFonts w:ascii="Verdana" w:hAnsi="Verdana" w:cs="Times New Roman"/>
          <w:sz w:val="20"/>
          <w:szCs w:val="20"/>
        </w:rPr>
        <w:t xml:space="preserve"> A third, </w:t>
      </w:r>
      <w:proofErr w:type="spellStart"/>
      <w:r w:rsidRPr="00F11D34">
        <w:rPr>
          <w:rFonts w:ascii="Verdana" w:hAnsi="Verdana" w:cs="Times New Roman"/>
          <w:i/>
          <w:sz w:val="20"/>
          <w:szCs w:val="20"/>
        </w:rPr>
        <w:t>Phaeobacter</w:t>
      </w:r>
      <w:proofErr w:type="spellEnd"/>
      <w:r w:rsidRPr="00F11D34">
        <w:rPr>
          <w:rFonts w:ascii="Verdana" w:hAnsi="Verdana" w:cs="Times New Roman"/>
          <w:i/>
          <w:sz w:val="20"/>
          <w:szCs w:val="20"/>
        </w:rPr>
        <w:t xml:space="preserve"> </w:t>
      </w:r>
      <w:proofErr w:type="spellStart"/>
      <w:r w:rsidRPr="00F11D34">
        <w:rPr>
          <w:rFonts w:ascii="Verdana" w:hAnsi="Verdana" w:cs="Times New Roman"/>
          <w:i/>
          <w:sz w:val="20"/>
          <w:szCs w:val="20"/>
        </w:rPr>
        <w:t>inhibens</w:t>
      </w:r>
      <w:proofErr w:type="spellEnd"/>
      <w:r w:rsidRPr="00F11D34">
        <w:rPr>
          <w:rFonts w:ascii="Verdana" w:hAnsi="Verdana" w:cs="Times New Roman"/>
          <w:sz w:val="20"/>
          <w:szCs w:val="20"/>
        </w:rPr>
        <w:t xml:space="preserve">, appears to employ a parallel regulatory circuit to regulate the production of the antimicrobial </w:t>
      </w:r>
      <w:proofErr w:type="spellStart"/>
      <w:r w:rsidRPr="00F11D34">
        <w:rPr>
          <w:rFonts w:ascii="Verdana" w:hAnsi="Verdana" w:cs="Times New Roman"/>
          <w:sz w:val="20"/>
          <w:szCs w:val="20"/>
        </w:rPr>
        <w:t>trophodithietic</w:t>
      </w:r>
      <w:proofErr w:type="spellEnd"/>
      <w:r w:rsidRPr="00F11D34">
        <w:rPr>
          <w:rFonts w:ascii="Verdana" w:hAnsi="Verdana" w:cs="Times New Roman"/>
          <w:sz w:val="20"/>
          <w:szCs w:val="20"/>
        </w:rPr>
        <w:t xml:space="preserve"> acid </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{"citationItems":[{"id":"ITEM-1","itemData":{"DOI":"10.1038/s41598-017-00784-7","ISSN":"20452322","PMID":"28389641","abstract":"Antibiotics are typically regarded as microbial weapons, but whereas their function at concentrations lethal for bacteria is often well characterized, the role of antibiotics at much lower concentrations as possibly found under natural conditions remains poorly understood. By using whole-transcriptome analyses and phenotypic screenings of the marine bacterium Phaeobacter inhibens we found that the broad-spectrum antibiotic tropodithietic acid (TDA) causes the same regulatory effects in quorum sensing (QS) as the common signaling molecule N-acyl-homoserine lactone (AHL) at concentrations 100-fold lower than the minimal inhibitory concentration against bacteria. Our results show that TDA has a significant impact on the expression of ~10% of the total genes of P. inhibens, in the same manner as the AHL. Furthermore, TDA needs the AHL associated LuxR-type transcriptional regulator, just as the AHL molecule. Low concentrations of antibiotics can obviously have a strong influence on the global gene expression of the bacterium that produces it and drastically change the metabolism and behaviour of the bacterium. For P. inhibens this includes motility, biofilm formation and antibiotic production, all important for settlement on new host-associated surfaces. Our results demonstrate that bacteria can produce antibiotics not only to antagonise other bacteria, but also to mediate QS like endogenous AHL molecules.","author":[{"dropping-particle":"","family":"Beyersmann","given":"Paul G.","non-dropping-particle":"","parse-names":false,"suffix":""},{"dropping-particle":"","family":"Tomasch","given":"Jörgen Jürgen","non-dropping-particle":"","parse-names":false,"suffix":""},{"dropping-particle":"","family":"Son","given":"Kwangmin","non-dropping-particle":"","parse-names":false,"suffix":""},{"dropping-particle":"","family":"Stocker","given":"Roman","non-dropping-particle":"","parse-names":false,"suffix":""},{"dropping-particle":"","family":"Göker","given":"Markus","non-dropping-particle":"","parse-names":false,"suffix":""},{"dropping-particle":"","family":"Wagner-Döbler","given":"Irene","non-dropping-particle":"","parse-names":false,"suffix":""},{"dropping-particle":"","family":"Simon","given":"Meinhard","non-dropping-particle":"","parse-names":false,"suffix":""},{"dropping-particle":"","family":"Brinkhoff","given":"Thorsten","non-dropping-particle":"","parse-names":false,"suffix":""}],"container-title":"Scientific Reports","id":"ITEM-1","issue":"1","issued":{"date-parts":[["2017","12","7"]]},"page":"730","publisher":"Nature Publishing Group","title":"Dual function of tropodithietic acid as antibiotic and signaling molecule in global gene regulation of the probiotic bacterium &lt;i&gt;Phaeobacter inhibens&lt;/i&gt;","type":"article-journal","volume":"7"},"uris":["http://www.mendeley.com/documents/?uuid=f857a498-a8d6-4bcc-bf41-d07ac400a199"]}],"mendeley":{"formattedCitation":"(27)","plainTextFormattedCitation":"(27)","previouslyFormattedCitation":"(Beyersmann et al. 2017)"},"properties":{"noteIndex":0},"schema":"https://github.com/citation-style-language/schema/raw/master/csl-citation.json"}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(27)</w:t>
      </w:r>
      <w:r w:rsidRPr="00F11D34">
        <w:rPr>
          <w:rFonts w:ascii="Verdana" w:hAnsi="Verdana" w:cs="Times New Roman"/>
          <w:sz w:val="20"/>
          <w:szCs w:val="20"/>
        </w:rPr>
        <w:fldChar w:fldCharType="end"/>
      </w:r>
      <w:r w:rsidRPr="00F11D34">
        <w:rPr>
          <w:rFonts w:ascii="Verdana" w:hAnsi="Verdana" w:cs="Times New Roman"/>
          <w:sz w:val="20"/>
          <w:szCs w:val="20"/>
        </w:rPr>
        <w:t xml:space="preserve">. Here, we propose that Y4I uses a ‘Many-to-One’ hierarchal QS circuit to mediate indigoidine production and biofilm formation. We also provide evidence for integration of a global regulatory metabolite (c-di-GMP) into this QS circuitry. </w:t>
      </w:r>
    </w:p>
    <w:p w14:paraId="17EE4636" w14:textId="77777777" w:rsidR="00834C18" w:rsidRPr="00F11D34" w:rsidRDefault="00834C18" w:rsidP="00677C01">
      <w:pPr>
        <w:spacing w:before="240"/>
        <w:ind w:firstLine="720"/>
        <w:jc w:val="both"/>
        <w:rPr>
          <w:rFonts w:ascii="Verdana" w:hAnsi="Verdana" w:cs="Times New Roman"/>
          <w:sz w:val="20"/>
          <w:szCs w:val="20"/>
        </w:rPr>
      </w:pPr>
      <w:r w:rsidRPr="00F11D34">
        <w:rPr>
          <w:rFonts w:ascii="Verdana" w:hAnsi="Verdana" w:cs="Times New Roman"/>
          <w:sz w:val="20"/>
          <w:szCs w:val="20"/>
        </w:rPr>
        <w:t>Several lines of evidence suggest that QS2 (</w:t>
      </w:r>
      <w:proofErr w:type="spellStart"/>
      <w:r w:rsidRPr="00F11D34">
        <w:rPr>
          <w:rFonts w:ascii="Verdana" w:hAnsi="Verdana" w:cs="Times New Roman"/>
          <w:i/>
          <w:iCs/>
          <w:sz w:val="20"/>
          <w:szCs w:val="20"/>
        </w:rPr>
        <w:t>pgaRI</w:t>
      </w:r>
      <w:proofErr w:type="spellEnd"/>
      <w:r w:rsidRPr="00F11D34">
        <w:rPr>
          <w:rFonts w:ascii="Verdana" w:hAnsi="Verdana" w:cs="Times New Roman"/>
          <w:sz w:val="20"/>
          <w:szCs w:val="20"/>
        </w:rPr>
        <w:t xml:space="preserve">) is at the top of the hierarchical regulatory network that integrates input from QS1 to govern indigoidine biosynthesis. Expression of both QS systems and the indigoidine synthase gene, </w:t>
      </w:r>
      <w:proofErr w:type="spellStart"/>
      <w:r w:rsidRPr="00F11D34">
        <w:rPr>
          <w:rFonts w:ascii="Verdana" w:hAnsi="Verdana" w:cs="Times New Roman"/>
          <w:i/>
          <w:iCs/>
          <w:sz w:val="20"/>
          <w:szCs w:val="20"/>
        </w:rPr>
        <w:t>igiD</w:t>
      </w:r>
      <w:proofErr w:type="spellEnd"/>
      <w:r w:rsidRPr="00F11D34">
        <w:rPr>
          <w:rFonts w:ascii="Verdana" w:hAnsi="Verdana" w:cs="Times New Roman"/>
          <w:sz w:val="20"/>
          <w:szCs w:val="20"/>
        </w:rPr>
        <w:t>, is negatively influenced when the QS2 transcriptional regulator (</w:t>
      </w:r>
      <w:proofErr w:type="spellStart"/>
      <w:r w:rsidRPr="00F11D34">
        <w:rPr>
          <w:rFonts w:ascii="Verdana" w:hAnsi="Verdana" w:cs="Times New Roman"/>
          <w:i/>
          <w:iCs/>
          <w:sz w:val="20"/>
          <w:szCs w:val="20"/>
        </w:rPr>
        <w:t>pgaR</w:t>
      </w:r>
      <w:proofErr w:type="spellEnd"/>
      <w:r w:rsidRPr="00F11D34">
        <w:rPr>
          <w:rFonts w:ascii="Verdana" w:hAnsi="Verdana" w:cs="Times New Roman"/>
          <w:sz w:val="20"/>
          <w:szCs w:val="20"/>
        </w:rPr>
        <w:t>) is disrupted. This mutant is also null for its cognate AHL. In contrast, disruption of either QS1 component (</w:t>
      </w:r>
      <w:proofErr w:type="spellStart"/>
      <w:r w:rsidRPr="00F11D34">
        <w:rPr>
          <w:rFonts w:ascii="Verdana" w:hAnsi="Verdana" w:cs="Times New Roman"/>
          <w:i/>
          <w:iCs/>
          <w:sz w:val="20"/>
          <w:szCs w:val="20"/>
        </w:rPr>
        <w:t>phaR</w:t>
      </w:r>
      <w:proofErr w:type="spellEnd"/>
      <w:r w:rsidRPr="00F11D34">
        <w:rPr>
          <w:rFonts w:ascii="Verdana" w:hAnsi="Verdana" w:cs="Times New Roman"/>
          <w:i/>
          <w:iCs/>
          <w:sz w:val="20"/>
          <w:szCs w:val="20"/>
        </w:rPr>
        <w:t xml:space="preserve"> </w:t>
      </w:r>
      <w:r w:rsidRPr="00F11D34">
        <w:rPr>
          <w:rFonts w:ascii="Verdana" w:hAnsi="Verdana" w:cs="Times New Roman"/>
          <w:sz w:val="20"/>
          <w:szCs w:val="20"/>
        </w:rPr>
        <w:t>or</w:t>
      </w:r>
      <w:r w:rsidRPr="00F11D34">
        <w:rPr>
          <w:rFonts w:ascii="Verdana" w:hAnsi="Verdana" w:cs="Times New Roman"/>
          <w:i/>
          <w:iCs/>
          <w:sz w:val="20"/>
          <w:szCs w:val="20"/>
        </w:rPr>
        <w:t xml:space="preserve"> -I</w:t>
      </w:r>
      <w:r w:rsidRPr="00F11D34">
        <w:rPr>
          <w:rFonts w:ascii="Verdana" w:hAnsi="Verdana" w:cs="Times New Roman"/>
          <w:sz w:val="20"/>
          <w:szCs w:val="20"/>
        </w:rPr>
        <w:t xml:space="preserve">) has no significant effect on gene expression of QS2 components, though </w:t>
      </w:r>
      <w:r w:rsidRPr="00F11D34">
        <w:rPr>
          <w:rFonts w:ascii="Verdana" w:hAnsi="Verdana" w:cs="Times New Roman"/>
          <w:i/>
          <w:iCs/>
          <w:sz w:val="20"/>
          <w:szCs w:val="20"/>
        </w:rPr>
        <w:t>pgaI</w:t>
      </w:r>
      <w:r w:rsidRPr="00F11D34">
        <w:rPr>
          <w:rFonts w:ascii="Verdana" w:hAnsi="Verdana" w:cs="Times New Roman"/>
          <w:sz w:val="20"/>
          <w:szCs w:val="20"/>
        </w:rPr>
        <w:t xml:space="preserve"> expression shows considerable and consistent variation across biological replicates in both QS1 mutants.  We postulate that the variation in </w:t>
      </w:r>
      <w:r w:rsidRPr="00F11D34">
        <w:rPr>
          <w:rFonts w:ascii="Verdana" w:hAnsi="Verdana" w:cs="Times New Roman"/>
          <w:i/>
          <w:sz w:val="20"/>
          <w:szCs w:val="20"/>
        </w:rPr>
        <w:t xml:space="preserve">pgaI </w:t>
      </w:r>
      <w:r w:rsidRPr="00F11D34">
        <w:rPr>
          <w:rFonts w:ascii="Verdana" w:hAnsi="Verdana" w:cs="Times New Roman"/>
          <w:sz w:val="20"/>
          <w:szCs w:val="20"/>
        </w:rPr>
        <w:t xml:space="preserve">expression is a manifestation of global scale </w:t>
      </w:r>
      <w:proofErr w:type="spellStart"/>
      <w:r w:rsidRPr="00F11D34">
        <w:rPr>
          <w:rFonts w:ascii="Verdana" w:hAnsi="Verdana" w:cs="Times New Roman"/>
          <w:sz w:val="20"/>
          <w:szCs w:val="20"/>
        </w:rPr>
        <w:t>misregulation</w:t>
      </w:r>
      <w:proofErr w:type="spellEnd"/>
      <w:r w:rsidRPr="00F11D34">
        <w:rPr>
          <w:rFonts w:ascii="Verdana" w:hAnsi="Verdana" w:cs="Times New Roman"/>
          <w:sz w:val="20"/>
          <w:szCs w:val="20"/>
        </w:rPr>
        <w:t xml:space="preserve"> resulting in some degree of stochasticity within these mutants. This suggests a role for the QS1 system in regulatory homeostasis in this strain. Generation and study of a </w:t>
      </w:r>
      <w:r w:rsidRPr="00F11D34">
        <w:rPr>
          <w:rFonts w:ascii="Verdana" w:hAnsi="Verdana" w:cs="Times New Roman"/>
          <w:i/>
          <w:iCs/>
          <w:sz w:val="20"/>
          <w:szCs w:val="20"/>
        </w:rPr>
        <w:t>pgaI</w:t>
      </w:r>
      <w:r w:rsidRPr="00F11D34">
        <w:rPr>
          <w:rFonts w:ascii="Verdana" w:hAnsi="Verdana" w:cs="Times New Roman"/>
          <w:sz w:val="20"/>
          <w:szCs w:val="20"/>
        </w:rPr>
        <w:t xml:space="preserve"> mutant would further support this finding.</w:t>
      </w:r>
    </w:p>
    <w:p w14:paraId="2B085485" w14:textId="66D83241" w:rsidR="00834C18" w:rsidRPr="00F11D34" w:rsidRDefault="00834C18" w:rsidP="00677C01">
      <w:pPr>
        <w:spacing w:before="240"/>
        <w:ind w:firstLine="720"/>
        <w:jc w:val="both"/>
        <w:rPr>
          <w:rFonts w:ascii="Verdana" w:hAnsi="Verdana" w:cs="Times New Roman"/>
          <w:strike/>
          <w:sz w:val="20"/>
          <w:szCs w:val="20"/>
        </w:rPr>
      </w:pPr>
      <w:r w:rsidRPr="00F11D34">
        <w:rPr>
          <w:rFonts w:ascii="Verdana" w:hAnsi="Verdana" w:cs="Times New Roman"/>
          <w:sz w:val="20"/>
          <w:szCs w:val="20"/>
        </w:rPr>
        <w:t xml:space="preserve">The phenotypic response of the mutants to exogenous AHL additions provide further evidence for the predominant role of QS2 as well as </w:t>
      </w:r>
      <w:proofErr w:type="gramStart"/>
      <w:r w:rsidRPr="00F11D34">
        <w:rPr>
          <w:rFonts w:ascii="Verdana" w:hAnsi="Verdana" w:cs="Times New Roman"/>
          <w:sz w:val="20"/>
          <w:szCs w:val="20"/>
        </w:rPr>
        <w:t>cross-signaling</w:t>
      </w:r>
      <w:proofErr w:type="gramEnd"/>
      <w:r w:rsidRPr="00F11D34">
        <w:rPr>
          <w:rFonts w:ascii="Verdana" w:hAnsi="Verdana" w:cs="Times New Roman"/>
          <w:sz w:val="20"/>
          <w:szCs w:val="20"/>
        </w:rPr>
        <w:t xml:space="preserve"> between the two QS systems. With regards to indigoidine production, the QS2 mutant (</w:t>
      </w:r>
      <w:proofErr w:type="spellStart"/>
      <w:r w:rsidRPr="00F11D34">
        <w:rPr>
          <w:rFonts w:ascii="Verdana" w:hAnsi="Verdana" w:cs="Times New Roman"/>
          <w:i/>
          <w:iCs/>
          <w:sz w:val="20"/>
          <w:szCs w:val="20"/>
        </w:rPr>
        <w:t>pgaR</w:t>
      </w:r>
      <w:proofErr w:type="spellEnd"/>
      <w:r w:rsidRPr="00F11D34">
        <w:rPr>
          <w:rFonts w:ascii="Verdana" w:hAnsi="Verdana" w:cs="Times New Roman"/>
          <w:sz w:val="20"/>
          <w:szCs w:val="20"/>
        </w:rPr>
        <w:t>) is unresponsive to any of the AHL additions. However, both QS1 mutants can be partially restored for this phenotype. When supplied with exogenous C8-HSL (QS2), indigoidine production is evident in both QS1 (</w:t>
      </w:r>
      <w:proofErr w:type="spellStart"/>
      <w:r w:rsidRPr="00F11D34">
        <w:rPr>
          <w:rFonts w:ascii="Verdana" w:hAnsi="Verdana" w:cs="Times New Roman"/>
          <w:i/>
          <w:iCs/>
          <w:sz w:val="20"/>
          <w:szCs w:val="20"/>
        </w:rPr>
        <w:t>phaRI</w:t>
      </w:r>
      <w:proofErr w:type="spellEnd"/>
      <w:r w:rsidRPr="00F11D34">
        <w:rPr>
          <w:rFonts w:ascii="Verdana" w:hAnsi="Verdana" w:cs="Times New Roman"/>
          <w:sz w:val="20"/>
          <w:szCs w:val="20"/>
        </w:rPr>
        <w:t xml:space="preserve">) mutants. Addition of its own cognate AHL (3OHC12:1-HSL) results in partial restoration of indigoidine in the </w:t>
      </w:r>
      <w:proofErr w:type="spellStart"/>
      <w:r w:rsidRPr="00F11D34">
        <w:rPr>
          <w:rFonts w:ascii="Verdana" w:hAnsi="Verdana" w:cs="Times New Roman"/>
          <w:i/>
          <w:iCs/>
          <w:sz w:val="20"/>
          <w:szCs w:val="20"/>
        </w:rPr>
        <w:t>phaI</w:t>
      </w:r>
      <w:proofErr w:type="spellEnd"/>
      <w:r w:rsidRPr="00F11D34">
        <w:rPr>
          <w:rFonts w:ascii="Verdana" w:hAnsi="Verdana" w:cs="Times New Roman"/>
          <w:sz w:val="20"/>
          <w:szCs w:val="20"/>
        </w:rPr>
        <w:t xml:space="preserve"> mutant. However, addition of both AHLs does not restore pigment production. That both AHLs in combination are unable to chemically complement indigoidine production is intriguing. One explanation for this result could lie in the promiscuous nature of AHLs and their receptors. Alternations in the length and degree of saturation in acyl chain structures impact binding affinity of the transcriptional regulator, influencing the genetic response </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10.1093/nar/gkv1076","ISSN":"0305-1048","author":[{"dropping-particle":"","family":"Rajput","given":"Akanksha","non-dropping-particle":"","parse-names":false,"suffix":""},{"dropping-particle":"","family":"Kaur","given":"Karambir","non-dropping-particle":"","parse-names":false,"suffix":""},{"dropping-particle":"","family":"Kumar","given":"Manoj","non-dropping-particle":"","parse-names":false,"suffix":""}],"container-title":"Nucleic Acids Research","id":"ITEM-1","issue":"D1","issued":{"date-parts":[["2016","1","4"]]},"page":"634-639","publisher":"Oxford University Press","title":"SigMol: repertoire of quorum sensing signaling molecules in prokaryotes","type":"article-journal","volume":"44"},"uris":["http://www.mendeley.com/documents/?uuid=48f988c4-9a38-3e7f-ad0b-6e9b1c9450a0"]},{"id":"ITEM-2","itemData":{"DOI":"10.1021/cr1000817","ISBN":"0000000000000","ISSN":"0009-2665","PMID":"21125993","author":[{"dropping-particle":"","family":"Churchill","given":"Mair E. A.","non-dropping-particle":"","parse-names":false,"suffix":""},{"dropping-particle":"","family":"Chen","given":"Lingling","non-dropping-particle":"","parse-names":false,"suffix":""}],"container-title":"Chemical Reviews","id":"ITEM-2","issue":"1","issued":{"date-parts":[["2011","1","12"]]},"page":"68-85","title":"Structural Basis of Acyl-homoserine Lactone-Dependent Signaling","type":"article-journal","volume":"111"},"uris":["http://www.mendeley.com/documents/?uuid=45b140fa-b2be-4bf4-a1c5-710865f1ac27"]}],"mendeley":{"formattedCitation":"(28, 29)","plainTextFormattedCitation":"(28, 29)","previouslyFormattedCitation":"(Rajput, Kaur, and Kumar 2016; Churchill and Chen 2011)"},"properties":{"noteIndex":0},"schema":"https://github.com/citation-style-language/schema/raw/master/csl-citation.json"}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(28, 29)</w:t>
      </w:r>
      <w:r w:rsidRPr="00F11D34">
        <w:rPr>
          <w:rFonts w:ascii="Verdana" w:hAnsi="Verdana" w:cs="Times New Roman"/>
          <w:sz w:val="20"/>
          <w:szCs w:val="20"/>
        </w:rPr>
        <w:fldChar w:fldCharType="end"/>
      </w:r>
      <w:r w:rsidRPr="00F11D34">
        <w:rPr>
          <w:rFonts w:ascii="Verdana" w:hAnsi="Verdana" w:cs="Times New Roman"/>
          <w:sz w:val="20"/>
          <w:szCs w:val="20"/>
        </w:rPr>
        <w:t xml:space="preserve">.  Simultaneous addition of both AHLs may oversaturate the system, resulting in promiscuous binding of the transcriptional regulators and disruption of the regulatory network. Indeed, addition of AHL structural analogs is a proposed mechanism for combating bacterial pathogens reliant on QS for virulence </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{"citationItems":[{"id":"ITEM-1","itemData":{"DOI":"10.1128/mmbr.00046-12","ISSN":"1092-2172","PMID":"23471618","abstract":"Cell-cell communication, or quorum sensing, is a widespread phenomenon in bacteria that is used to coordinate gene expression among local populations. Its use by bacterial pathogens to regulate genes that promote invasion, defense, and spread has been particularly well documented. With the ongoing emergence of antibiotic-resistant pathogens, there is a current need for development of alternative therapeutic strategies. An antivirulence approach by which quorum sensing is impeded has caught on as a viable means to manipulate bacterial processes, especially pathogenic traits that are harmful to human and animal health and agricultural productivity. The identification and development of chemical compounds and enzymes that facilitate quorum-sensing inhibition (QSI) by targeting signaling molecules, signal biogenesis, or signal detection are reviewed here. Overall, the evidence suggests that QSI therapy may be efficacious against some, but not necessarily all, bacterial pathogens, and several failures and ongoing concerns that may steer future studies in productive directions are discussed. Nevertheless, various QSI successes have rightfully perpetuated excitement surrounding new potential therapies, and this review highlights promising QSI leads in disrupting pathogenesis in both plants and animals.","author":[{"dropping-particle":"","family":"LaSarre","given":"B.","non-dropping-particle":"","parse-names":false,"suffix":""},{"dropping-particle":"","family":"Federle","given":"M. J.","non-dropping-particle":"","parse-names":false,"suffix":""}],"container-title":"Microbiology and Molecular Biology Reviews","id":"ITEM-1","issue":"1","issued":{"date-parts":[["2013","3","1"]]},"page":"73-111","publisher":"American Society for Microbiology","title":"Exploiting Quorum Sensing To Confuse Bacterial Pathogens","type":"article-journal","volume":"77"},"uris":["http://www.mendeley.com/documents/?uuid=0d9c8d3e-27be-3622-a0ca-048932063cb4"]}],"mendeley":{"formattedCitation":"(30)","plainTextFormattedCitation":"(30)","previouslyFormattedCitation":"(LaSarre and Federle 2013)"},"properties":{"noteIndex":0},"schema":"https://github.com/citation-style-language/schema/raw/master/csl-citation.json"}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(30)</w:t>
      </w:r>
      <w:r w:rsidRPr="00F11D34">
        <w:rPr>
          <w:rFonts w:ascii="Verdana" w:hAnsi="Verdana" w:cs="Times New Roman"/>
          <w:sz w:val="20"/>
          <w:szCs w:val="20"/>
        </w:rPr>
        <w:fldChar w:fldCharType="end"/>
      </w:r>
      <w:r w:rsidRPr="00F11D34">
        <w:rPr>
          <w:rFonts w:ascii="Verdana" w:hAnsi="Verdana" w:cs="Times New Roman"/>
          <w:sz w:val="20"/>
          <w:szCs w:val="20"/>
        </w:rPr>
        <w:t>.  Genetic complementation of these mutants would enhance confidence in the results and help elucidate the mechanism underlying the results presented here.</w:t>
      </w:r>
    </w:p>
    <w:p w14:paraId="0617C662" w14:textId="7FDA9480" w:rsidR="00E431A4" w:rsidRPr="00677C01" w:rsidRDefault="00834C18" w:rsidP="00677C01">
      <w:pPr>
        <w:spacing w:before="240"/>
        <w:jc w:val="both"/>
        <w:rPr>
          <w:rFonts w:ascii="Verdana" w:hAnsi="Verdana" w:cs="Times New Roman"/>
          <w:sz w:val="20"/>
          <w:szCs w:val="20"/>
          <w:highlight w:val="yellow"/>
        </w:rPr>
      </w:pPr>
      <w:r w:rsidRPr="00F11D34">
        <w:rPr>
          <w:rFonts w:ascii="Verdana" w:hAnsi="Verdana" w:cs="Times New Roman"/>
          <w:sz w:val="20"/>
          <w:szCs w:val="20"/>
        </w:rPr>
        <w:tab/>
        <w:t xml:space="preserve">The two QS mutants exhibit temporal differences regarding biofilm formation, indicating a role for this regulatory network in surface colonization and biofilm dynamics in Y4I.  This finding is consistent with studies in other bacteria where QS can influence all stages </w:t>
      </w:r>
      <w:r w:rsidRPr="00F11D34">
        <w:rPr>
          <w:rFonts w:ascii="Verdana" w:hAnsi="Verdana" w:cs="Times New Roman"/>
          <w:sz w:val="20"/>
          <w:szCs w:val="20"/>
        </w:rPr>
        <w:lastRenderedPageBreak/>
        <w:t xml:space="preserve">of biofilm progression: from attachment and recruitment to maturation and dispersal </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{"citationItems":[{"id":"ITEM-1","itemData":{"DOI":"10.1038/nrmicro2695","ISBN":"1740-1534 (Electronic)\\r1740-1526 (Linking)","ISSN":"17401526","PMID":"22120588","abstract":"In most environments, bacteria reside primarily in biofilms, which are social consortia of cells that are embedded in an extracellular matrix and undergo developmental programmes resulting in a predictable biofilm 'life cycle'. Recent research on many different bacterial species has now shown that the final stage in this life cycle includes the production and release of differentiated dispersal cells. The formation of these cells and their eventual dispersal is initiated through diverse and remarkably sophisticated mechanisms, suggesting that there are strong evolutionary pressures for dispersal from an otherwise largely sessile biofilm. The evolutionary aspect of biofilm dispersal is now being explored through the integration of molecular microbiology with eukaryotic ecological and evolutionary theory, which provides a broad conceptual framework for the diversity of specific mechanisms underlying biofilm dispersal. Here, we review recent progress in this emerging field and suggest that the merging of detailed molecular mechanisms with ecological theory will significantly advance our understanding of biofilm biology and ecology.","author":[{"dropping-particle":"","family":"McDougald","given":"Diane","non-dropping-particle":"","parse-names":false,"suffix":""},{"dropping-particle":"","family":"Rice","given":"Scott A.","non-dropping-particle":"","parse-names":false,"suffix":""},{"dropping-particle":"","family":"Barraud","given":"Nicolas","non-dropping-particle":"","parse-names":false,"suffix":""},{"dropping-particle":"","family":"Steinberg","given":"Peter D.","non-dropping-particle":"","parse-names":false,"suffix":""},{"dropping-particle":"","family":"Kjelleberg","given":"Staffan","non-dropping-particle":"","parse-names":false,"suffix":""}],"container-title":"Nature Reviews Microbiology","id":"ITEM-1","issue":"1","issued":{"date-parts":[["2012"]]},"page":"39-50","publisher":"Nature Publishing Group","title":"Should we stay or should we go: Mechanisms and ecological consequences for biofilm dispersal","type":"article-journal","volume":"10"},"uris":["http://www.mendeley.com/documents/?uuid=01752c49-1cde-4d0a-b2d4-d1b29db0f554"]},{"id":"ITEM-2","itemData":{"DOI":"10.1128/MMBR.00037-15","ISSN":"1098-5557","PMID":"26700108","abstract":"Biotic and abiotic surfaces in marine waters are rapidly colonized by microorganisms. Surface colonization and subsequent biofilm formation and development provide numerous advantages to these organisms and support critical ecological and biogeochemical functions in the changing marine environment. Microbial surface association also contributes to deleterious effects such as biofouling, biocorrosion, and the persistence and transmission of harmful or pathogenic microorganisms and their genetic determinants. The processes and mechanisms of colonization as well as key players among the surface-associated microbiota have been studied for several decades. Accumulating evidence indicates that specific cell-surface, cell-cell, and interpopulation interactions shape the composition, structure, spatiotemporal dynamics, and functions of surface-associated microbial communities. Several key microbial processes and mechanisms, including (i) surface, population, and community sensing and signaling, (ii) intraspecies and interspecies communication and interaction, and (iii) the regulatory balance between cooperation and competition, have been identified as critical for the microbial surface association lifestyle. In this review, recent progress in the study of marine microbial surface colonization and biofilm development is synthesized and discussed. Major gaps in our knowledge remain. We pose questions for targeted investigation of surface-specific community-level microbial features, answers to which would advance our understanding of surface-associated microbial community ecology and the biogeochemical functions of these communities at levels from molecular mechanistic details through systems biological integration.","author":[{"dropping-particle":"","family":"Dang","given":"Hongyue","non-dropping-particle":"","parse-names":false,"suffix":""},{"dropping-particle":"","family":"Lovell","given":"Charles R","non-dropping-particle":"","parse-names":false,"suffix":""}],"container-title":"Microbiology and Molecular Biology Reviews","id":"ITEM-2","issue":"1","issued":{"date-parts":[["2016","3"]]},"page":"91-138","publisher":"American Society for Microbiology (ASM)","title":"Microbial surface colonization and biofilm development in marine environments","type":"article-journal","volume":"80"},"uris":["http://www.mendeley.com/documents/?uuid=761ce033-2bd5-423e-bfa3-cfa2b24cf965"]}],"mendeley":{"formattedCitation":"(31, 32)","plainTextFormattedCitation":"(31, 32)","previouslyFormattedCitation":"(McDougald et al. 2012; Hongyue Dang and Lovell 2016)"},"properties":{"noteIndex":0},"schema":"https://github.com/citation-style-language/schema/raw/master/csl-citation.json"}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(31, 32)</w:t>
      </w:r>
      <w:r w:rsidRPr="00F11D34">
        <w:rPr>
          <w:rFonts w:ascii="Verdana" w:hAnsi="Verdana" w:cs="Times New Roman"/>
          <w:sz w:val="20"/>
          <w:szCs w:val="20"/>
        </w:rPr>
        <w:fldChar w:fldCharType="end"/>
      </w:r>
      <w:r w:rsidRPr="00F11D34">
        <w:rPr>
          <w:rFonts w:ascii="Verdana" w:hAnsi="Verdana" w:cs="Times New Roman"/>
          <w:sz w:val="20"/>
          <w:szCs w:val="20"/>
        </w:rPr>
        <w:t xml:space="preserve">. By monitoring Y4I biofilm formation over the course ~70 hours, the cyclical nature of this growth modality is evident. Comparison between and amongst mutant and wildtype strains reveals a degree of </w:t>
      </w:r>
      <w:proofErr w:type="spellStart"/>
      <w:r w:rsidRPr="00F11D34">
        <w:rPr>
          <w:rFonts w:ascii="Verdana" w:hAnsi="Verdana" w:cs="Times New Roman"/>
          <w:sz w:val="20"/>
          <w:szCs w:val="20"/>
        </w:rPr>
        <w:t>asynchronicity</w:t>
      </w:r>
      <w:proofErr w:type="spellEnd"/>
      <w:r w:rsidRPr="00F11D34">
        <w:rPr>
          <w:rFonts w:ascii="Verdana" w:hAnsi="Verdana" w:cs="Times New Roman"/>
          <w:sz w:val="20"/>
          <w:szCs w:val="20"/>
        </w:rPr>
        <w:t xml:space="preserve"> in the biofilm mass of QS mutants, supporting a role for QS in mediating periodic biofilm dispersal.  QS-regulated biofilm dispersion has been proposed to prevent overcrowding in the sponge symbiont </w:t>
      </w:r>
      <w:r w:rsidRPr="00F11D34">
        <w:rPr>
          <w:rFonts w:ascii="Verdana" w:hAnsi="Verdana" w:cs="Times New Roman"/>
          <w:i/>
          <w:iCs/>
          <w:sz w:val="20"/>
          <w:szCs w:val="20"/>
        </w:rPr>
        <w:t xml:space="preserve">R. </w:t>
      </w:r>
      <w:proofErr w:type="spellStart"/>
      <w:r w:rsidRPr="00F11D34">
        <w:rPr>
          <w:rFonts w:ascii="Verdana" w:hAnsi="Verdana" w:cs="Times New Roman"/>
          <w:i/>
          <w:iCs/>
          <w:sz w:val="20"/>
          <w:szCs w:val="20"/>
        </w:rPr>
        <w:t>mobilis</w:t>
      </w:r>
      <w:proofErr w:type="spellEnd"/>
      <w:r w:rsidRPr="00F11D34">
        <w:rPr>
          <w:rFonts w:ascii="Verdana" w:hAnsi="Verdana" w:cs="Times New Roman"/>
          <w:i/>
          <w:iCs/>
          <w:sz w:val="20"/>
          <w:szCs w:val="20"/>
        </w:rPr>
        <w:t xml:space="preserve"> </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{"citationItems":[{"id":"ITEM-1","itemData":{"DOI":"10.3390/ijms15010654","ISSN":"1422-0067","PMID":"24402124","abstract":"Members of the Roseobacter clade are ecologically important and numerically abundant in coastal environments and can associate with marine invertebrates and nutrient-rich marine snow or organic particles, on which quorum sensing (QS) may play an important role. In this review, we summarize current research progress on roseobacterial acyl-homoserine lactone-based QS, particularly focusing on three relatively well-studied representatives, Phaeobacter inhibens DSM17395, the marine sponge symbiont Ruegeria sp. KLH11 and the dinoflagellate symbiont Dinoroseobacter shibae. Bioinformatic survey of luxI homologues revealed that over 80% of available roseobacterial genomes encode at least one luxI homologue, reflecting the significance of QS controlled regulatory pathways in adapting to the relevant marine environments. We also discuss several areas that warrant further investigation, including studies on the ecological role of these diverse QS pathways in natural environments.","author":[{"dropping-particle":"","family":"Zan","given":"Jindong","non-dropping-particle":"","parse-names":false,"suffix":""},{"dropping-particle":"","family":"Liu","given":"Yue","non-dropping-particle":"","parse-names":false,"suffix":""},{"dropping-particle":"","family":"Fuqua","given":"Clay","non-dropping-particle":"","parse-names":false,"suffix":""},{"dropping-particle":"","family":"Hill","given":"Russell","non-dropping-particle":"","parse-names":false,"suffix":""}],"container-title":"International Journal of Molecular Sciences","id":"ITEM-1","issue":"1","issued":{"date-parts":[["2014","1","7"]]},"page":"654-669","title":"Acyl-Homoserine Lactone Quorum Sensing in the Roseobacter Clade","type":"article-journal","volume":"15"},"uris":["http://www.mendeley.com/documents/?uuid=6a6d5a2d-f3a9-3ca3-bfbd-c3dc95862f42"]}],"mendeley":{"formattedCitation":"(11)","plainTextFormattedCitation":"(11)","previouslyFormattedCitation":"(Zan et al. 2014)"},"properties":{"noteIndex":0},"schema":"https://github.com/citation-style-language/schema/raw/master/csl-citation.json"}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(11)</w:t>
      </w:r>
      <w:r w:rsidRPr="00F11D34">
        <w:rPr>
          <w:rFonts w:ascii="Verdana" w:hAnsi="Verdana" w:cs="Times New Roman"/>
          <w:sz w:val="20"/>
          <w:szCs w:val="20"/>
        </w:rPr>
        <w:fldChar w:fldCharType="end"/>
      </w:r>
      <w:r w:rsidRPr="00F11D34">
        <w:rPr>
          <w:rFonts w:ascii="Verdana" w:hAnsi="Verdana" w:cs="Times New Roman"/>
          <w:sz w:val="20"/>
          <w:szCs w:val="20"/>
        </w:rPr>
        <w:t xml:space="preserve">. Furthermore, induction of biofilm dispersal via QS in </w:t>
      </w:r>
      <w:r w:rsidRPr="00F11D34">
        <w:rPr>
          <w:rFonts w:ascii="Verdana" w:hAnsi="Verdana" w:cs="Times New Roman"/>
          <w:i/>
          <w:iCs/>
          <w:sz w:val="20"/>
          <w:szCs w:val="20"/>
        </w:rPr>
        <w:t xml:space="preserve">P. </w:t>
      </w:r>
      <w:proofErr w:type="spellStart"/>
      <w:r w:rsidRPr="00F11D34">
        <w:rPr>
          <w:rFonts w:ascii="Verdana" w:hAnsi="Verdana" w:cs="Times New Roman"/>
          <w:i/>
          <w:iCs/>
          <w:sz w:val="20"/>
          <w:szCs w:val="20"/>
        </w:rPr>
        <w:t>inhibins</w:t>
      </w:r>
      <w:proofErr w:type="spellEnd"/>
      <w:r w:rsidRPr="00F11D34">
        <w:rPr>
          <w:rFonts w:ascii="Verdana" w:hAnsi="Verdana" w:cs="Times New Roman"/>
          <w:sz w:val="20"/>
          <w:szCs w:val="20"/>
        </w:rPr>
        <w:t xml:space="preserve"> is thought to contribute to the switch between mutualism (attachment) and pathogenesis (dispersion) with its host </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{"citationItems":[{"id":"ITEM-1","itemData":{"DOI":"10.1038/s41598-017-00784-7","ISSN":"20452322","PMID":"28389641","abstract":"Antibiotics are typically regarded as microbial weapons, but whereas their function at concentrations lethal for bacteria is often well characterized, the role of antibiotics at much lower concentrations as possibly found under natural conditions remains poorly understood. By using whole-transcriptome analyses and phenotypic screenings of the marine bacterium Phaeobacter inhibens we found that the broad-spectrum antibiotic tropodithietic acid (TDA) causes the same regulatory effects in quorum sensing (QS) as the common signaling molecule N-acyl-homoserine lactone (AHL) at concentrations 100-fold lower than the minimal inhibitory concentration against bacteria. Our results show that TDA has a significant impact on the expression of ~10% of the total genes of P. inhibens, in the same manner as the AHL. Furthermore, TDA needs the AHL associated LuxR-type transcriptional regulator, just as the AHL molecule. Low concentrations of antibiotics can obviously have a strong influence on the global gene expression of the bacterium that produces it and drastically change the metabolism and behaviour of the bacterium. For P. inhibens this includes motility, biofilm formation and antibiotic production, all important for settlement on new host-associated surfaces. Our results demonstrate that bacteria can produce antibiotics not only to antagonise other bacteria, but also to mediate QS like endogenous AHL molecules.","author":[{"dropping-particle":"","family":"Beyersmann","given":"Paul G.","non-dropping-particle":"","parse-names":false,"suffix":""},{"dropping-particle":"","family":"Tomasch","given":"Jörgen Jürgen","non-dropping-particle":"","parse-names":false,"suffix":""},{"dropping-particle":"","family":"Son","given":"Kwangmin","non-dropping-particle":"","parse-names":false,"suffix":""},{"dropping-particle":"","family":"Stocker","given":"Roman","non-dropping-particle":"","parse-names":false,"suffix":""},{"dropping-particle":"","family":"Göker","given":"Markus","non-dropping-particle":"","parse-names":false,"suffix":""},{"dropping-particle":"","family":"Wagner-Döbler","given":"Irene","non-dropping-particle":"","parse-names":false,"suffix":""},{"dropping-particle":"","family":"Simon","given":"Meinhard","non-dropping-particle":"","parse-names":false,"suffix":""},{"dropping-particle":"","family":"Brinkhoff","given":"Thorsten","non-dropping-particle":"","parse-names":false,"suffix":""}],"container-title":"Scientific Reports","id":"ITEM-1","issue":"1","issued":{"date-parts":[["2017","12","7"]]},"page":"730","publisher":"Nature Publishing Group","title":"Dual function of tropodithietic acid as antibiotic and signaling molecule in global gene regulation of the probiotic bacterium &lt;i&gt;Phaeobacter inhibens&lt;/i&gt;","type":"article-journal","volume":"7"},"uris":["http://www.mendeley.com/documents/?uuid=f857a498-a8d6-4bcc-bf41-d07ac400a199"]}],"mendeley":{"formattedCitation":"(27)","plainTextFormattedCitation":"(27)","previouslyFormattedCitation":"(Beyersmann et al. 2017)"},"properties":{"noteIndex":0},"schema":"https://github.com/citation-style-language/schema/raw/master/csl-citation.json"}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(27)</w:t>
      </w:r>
      <w:r w:rsidRPr="00F11D34">
        <w:rPr>
          <w:rFonts w:ascii="Verdana" w:hAnsi="Verdana" w:cs="Times New Roman"/>
          <w:sz w:val="20"/>
          <w:szCs w:val="20"/>
        </w:rPr>
        <w:fldChar w:fldCharType="end"/>
      </w:r>
      <w:r w:rsidRPr="00F11D34">
        <w:rPr>
          <w:rFonts w:ascii="Verdana" w:hAnsi="Verdana" w:cs="Times New Roman"/>
          <w:sz w:val="20"/>
          <w:szCs w:val="20"/>
        </w:rPr>
        <w:t xml:space="preserve">.  The production of the Y4I QS1 signal (3OHC12:1-HSL) is biphasic across the growth cycle, highest during lag and late stationary phases of growth. A previous interpretation of these data was that this AHL represents an important signal when cell growth is relatively static and, thus, may impart information on metabolic status </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{"citationItems":[{"id":"ITEM-1","itemData":{"DOI":"10.1128/AEM.02551-14","ISBN":"0099-2240","ISSN":"10985336","PMID":"25527537","abstract":"The marine roseobacter Phaeobacter sp. strain Y4I synthesizes the blue antimicrobial secondary metabolite indigoidine when grown in a biofilm or on agar plates. Prior studies suggested that indigoidine production may be, in part, regulated by cell-to-cell communication systems. Phaeobacter sp. strain Y4I possesses two luxR and luxI homologous N-acyl-L-homoserine lactone (AHL)-mediated cell-to-cell communication systems, designated pgaRI and phaRI. We show here that Y4I produces two dominant AHLs, the novel monounsaturated N-(3-hydroxydodecenoyl)-L-homoserine lactone (3OHC12:1-HSL) and the relatively common N-octanoyl-L-homoserine lactone (C8-HSL), and provide evidence that they are synthesized by PhaI and PgaI, respectively. A Tn5 insertional mutation in either genetic locus results in the abolishment (pgaR::Tn5) or reduction (phaR::Tn5) of pigment production. Motility defects and denser biofilms were also observed in these mutant backgrounds, suggesting an overlap in the functional roles of these systems. Production of the AHLs occurs at distinct points during growth on an agar surface and was determined by isotope dilution high-performance liquid chromatography–tandem mass spectrometry (ID-HPLC-MS/MS) analysis. Within 2 h of surface inoculation, only 3OHC12:1-HSL was detected in agar extracts. As surface-attached cells became established (at\u000210 h), the concentration of 3OHC12:1-HSL decreased, and the concentration of C8-HSL increased rapidly over 14 h. After longer (&gt;24-h) establishment periods, the concentrations of the two AHLs increased to and stabilized at\u000215 nM and \u0002600 nM for 3OHC12:1-HSL and C8-HSL, respectively. In contrast, the total amount of indigoidine increased steadily from undetectable to 642 \u0002Mby 48 h. Gene expression profiles of the AHL and indigoidine synthases (pgaI, phaI, and igiD) were consistent with their metabolite profiles. These data provide evidence that pgaRI and phaRI play overlapping roles in the regulation of indigoidine biosynthesis, and it is postulated that this allows Phaeobacter sp. strain Y4I to coordinate production of indigoidine with different growth-phase-dependent physiologies.","author":[{"dropping-particle":"","family":"Cude","given":"W. Nathan","non-dropping-particle":"","parse-names":false,"suffix":""},{"dropping-particle":"","family":"Prevatte","given":"Carson W.","non-dropping-particle":"","parse-names":false,"suffix":""},{"dropping-particle":"","family":"Hadden","given":"Mary K.","non-dropping-particle":"","parse-names":false,"suffix":""},{"dropping-particle":"","family":"May","given":"Amanda L.","non-dropping-particle":"","parse-names":false,"suffix":""},{"dropping-particle":"","family":"Smith","given":"Russell T.","non-dropping-particle":"","parse-names":false,"suffix":""},{"dropping-particle":"","family":"Swain","given":"Caleb L.","non-dropping-particle":"","parse-names":false,"suffix":""},{"dropping-particle":"","family":"Campagna","given":"Shawn R.","non-dropping-particle":"","parse-names":false,"suffix":""},{"dropping-particle":"","family":"Buchan","given":"Alison","non-dropping-particle":"","parse-names":false,"suffix":""}],"container-title":"Applied and Environmental Microbiology","id":"ITEM-1","issue":"4","issued":{"date-parts":[["2015"]]},"page":"1417-1425","title":"&lt;i&gt;Phaeobacter sp.&lt;/i&gt; strain Y4I utilizes two separate cell-to-cell communication systems to regulate production of the antimicrobial indigoidine","type":"article-journal","volume":"81"},"uris":["http://www.mendeley.com/documents/?uuid=35095d74-a8b3-4c92-850e-3ce548f6d528"]}],"mendeley":{"formattedCitation":"(14)","plainTextFormattedCitation":"(14)","previouslyFormattedCitation":"(Cude et al. 2015)"},"properties":{"noteIndex":0},"schema":"https://github.com/citation-style-language/schema/raw/master/csl-citation.json"}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(14)</w:t>
      </w:r>
      <w:r w:rsidRPr="00F11D34">
        <w:rPr>
          <w:rFonts w:ascii="Verdana" w:hAnsi="Verdana" w:cs="Times New Roman"/>
          <w:sz w:val="20"/>
          <w:szCs w:val="20"/>
        </w:rPr>
        <w:fldChar w:fldCharType="end"/>
      </w:r>
      <w:r w:rsidRPr="00F11D34">
        <w:rPr>
          <w:rFonts w:ascii="Verdana" w:hAnsi="Verdana" w:cs="Times New Roman"/>
          <w:sz w:val="20"/>
          <w:szCs w:val="20"/>
        </w:rPr>
        <w:t xml:space="preserve">. This interpretation combined with data presented here suggests a role for cellular metabolic status in biofilm dynamics, particularly dispersion. Indeed, this topic has recently gained attention for pathogenic microbes </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{"citationItems":[{"id":"ITEM-1","itemData":{"DOI":"10.1038/s41579-020-0385-0","ISSN":"17401534","PMID":"32533131","abstract":"The formation of microbial biofilms enables single planktonic cells to assume a multicellular mode of growth. During dispersion, the final step of the biofilm life cycle, single cells egress from the biofilm to resume a planktonic lifestyle. As the planktonic state is considered to be more vulnerable to antimicrobial agents and immune responses, dispersion is being considered a promising avenue for biofilm control. In this Review, we discuss conditions that lead to dispersion and the mechanisms by which native and environmental cues contribute to dispersion. We also explore recent findings on the role of matrix degradation in the dispersion process, and the distinct phenotype of dispersed cells. Last, we discuss the translational and therapeutic potential of dispersing bacteria during infection.","author":[{"dropping-particle":"","family":"Rumbaugh","given":"Kendra P.","non-dropping-particle":"","parse-names":false,"suffix":""},{"dropping-particle":"","family":"Sauer","given":"Karin","non-dropping-particle":"","parse-names":false,"suffix":""}],"container-title":"Nature Reviews Microbiology","id":"ITEM-1","issue":"10","issued":{"date-parts":[["2020","10","1"]]},"page":"571-586","publisher":"Nature Research","title":"Biofilm dispersion","type":"article","volume":"18"},"uris":["http://www.mendeley.com/documents/?uuid=7631af58-3fd3-4253-8fab-8f7d54cb99ba"]}],"mendeley":{"formattedCitation":"(33)","plainTextFormattedCitation":"(33)","previouslyFormattedCitation":"(Rumbaugh and Sauer 2020)"},"properties":{"noteIndex":0},"schema":"https://github.com/citation-style-language/schema/raw/master/csl-citation.json"}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(33)</w:t>
      </w:r>
      <w:r w:rsidRPr="00F11D34">
        <w:rPr>
          <w:rFonts w:ascii="Verdana" w:hAnsi="Verdana" w:cs="Times New Roman"/>
          <w:sz w:val="20"/>
          <w:szCs w:val="20"/>
        </w:rPr>
        <w:fldChar w:fldCharType="end"/>
      </w:r>
      <w:r w:rsidRPr="00F11D34">
        <w:rPr>
          <w:rFonts w:ascii="Verdana" w:hAnsi="Verdana" w:cs="Times New Roman"/>
          <w:sz w:val="20"/>
          <w:szCs w:val="20"/>
        </w:rPr>
        <w:t xml:space="preserve">.  </w:t>
      </w:r>
    </w:p>
    <w:p w14:paraId="6B037CB3" w14:textId="2052085E" w:rsidR="00834C18" w:rsidRPr="00F11D34" w:rsidRDefault="00834C18" w:rsidP="00677C01">
      <w:pPr>
        <w:spacing w:before="240"/>
        <w:jc w:val="both"/>
        <w:rPr>
          <w:rFonts w:ascii="Verdana" w:hAnsi="Verdana" w:cs="Times New Roman"/>
          <w:b/>
          <w:bCs/>
          <w:i/>
          <w:iCs/>
          <w:sz w:val="20"/>
          <w:szCs w:val="20"/>
        </w:rPr>
      </w:pPr>
      <w:r w:rsidRPr="00F11D34">
        <w:rPr>
          <w:rFonts w:ascii="Verdana" w:hAnsi="Verdana" w:cs="Times New Roman"/>
          <w:b/>
          <w:bCs/>
          <w:i/>
          <w:iCs/>
          <w:sz w:val="20"/>
          <w:szCs w:val="20"/>
        </w:rPr>
        <w:t>C-di-GMP is integrated into QS network</w:t>
      </w:r>
    </w:p>
    <w:p w14:paraId="6FDD0B55" w14:textId="77777777" w:rsidR="00E431A4" w:rsidRPr="00F11D34" w:rsidRDefault="00834C18" w:rsidP="00677C01">
      <w:pPr>
        <w:spacing w:before="240"/>
        <w:ind w:firstLine="720"/>
        <w:jc w:val="both"/>
        <w:rPr>
          <w:rFonts w:ascii="Verdana" w:hAnsi="Verdana" w:cs="Times New Roman"/>
          <w:sz w:val="20"/>
          <w:szCs w:val="20"/>
        </w:rPr>
      </w:pPr>
      <w:r w:rsidRPr="00F11D34">
        <w:rPr>
          <w:rFonts w:ascii="Verdana" w:hAnsi="Verdana" w:cs="Times New Roman"/>
          <w:sz w:val="20"/>
          <w:szCs w:val="20"/>
        </w:rPr>
        <w:t xml:space="preserve">The global secondary messenger, c-di-GMP, relays information in response to metabolic state and environmental cues. This metabolite has been shown to modulate biofilm dispersal in many bacteria </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{"citationItems":[{"id":"ITEM-1","itemData":{"DOI":"10.1074/jbc.R115.711507","ISSN":"1083351X","PMID":"27129226","abstract":"The cyclic di-GMP (c-di-GMP) second messenger represents a signaling system that regulates many bacterial behaviors and is of key importance for driving the lifestyle switch between motile loner cells and biofilm formers. This review provides an up-to-date compendium of c-di-GMP pathways connected to biofilm formation, biofilm-associated motilities, and other functionalities in the ubiquitous and opportunistic human pathogen Pseudomonas aeruginosa. This bacterium is frequently adopted as a model organism to study bacterial biofilm formation. Importantly, its versatility and adaptation capabilities are linked with a broad range of complex regulatory networks, including a large set of genes involved in c-di-MP biosynthesis, degradation, and transmission.","author":[{"dropping-particle":"","family":"Valentini","given":"Martina","non-dropping-particle":"","parse-names":false,"suffix":""},{"dropping-particle":"","family":"Filloux","given":"Alain","non-dropping-particle":"","parse-names":false,"suffix":""}],"container-title":"Journal of Biological Chemistry","id":"ITEM-1","issue":"24","issued":{"date-parts":[["2016","6","10"]]},"page":"12547-12555","publisher":"American Society for Biochemistry and Molecular Biology Inc.","title":"Biofilms and Cyclic di-GMP (c-di-GMP) signaling: Lessons from &lt;i&gt;Pseudomonas aeruginosa&lt;/i&gt; and other bacteria","type":"article-journal","volume":"291"},"uris":["http://www.mendeley.com/documents/?uuid=8d494044-6b20-371d-ba2b-f2c276c7a4b9"]},{"id":"ITEM-2","itemData":{"DOI":"10.1038/s41579-020-0385-0","ISSN":"17401534","PMID":"32533131","abstract":"The formation of microbial biofilms enables single planktonic cells to assume a multicellular mode of growth. During dispersion, the final step of the biofilm life cycle, single cells egress from the biofilm to resume a planktonic lifestyle. As the planktonic state is considered to be more vulnerable to antimicrobial agents and immune responses, dispersion is being considered a promising avenue for biofilm control. In this Review, we discuss conditions that lead to dispersion and the mechanisms by which native and environmental cues contribute to dispersion. We also explore recent findings on the role of matrix degradation in the dispersion process, and the distinct phenotype of dispersed cells. Last, we discuss the translational and therapeutic potential of dispersing bacteria during infection.","author":[{"dropping-particle":"","family":"Rumbaugh","given":"Kendra P.","non-dropping-particle":"","parse-names":false,"suffix":""},{"dropping-particle":"","family":"Sauer","given":"Karin","non-dropping-particle":"","parse-names":false,"suffix":""}],"container-title":"Nature Reviews Microbiology","id":"ITEM-2","issue":"10","issued":{"date-parts":[["2020","10","1"]]},"page":"571-586","publisher":"Nature Research","title":"Biofilm dispersion","type":"article","volume":"18"},"uris":["http://www.mendeley.com/documents/?uuid=7631af58-3fd3-4253-8fab-8f7d54cb99ba"]}],"mendeley":{"formattedCitation":"(33, 34)","plainTextFormattedCitation":"(33, 34)","previouslyFormattedCitation":"(Valentini and Filloux 2016; Rumbaugh and Sauer 2020)"},"properties":{"noteIndex":0},"schema":"https://github.com/citation-style-language/schema/raw/master/csl-citation.json"}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(33, 34)</w:t>
      </w:r>
      <w:r w:rsidRPr="00F11D34">
        <w:rPr>
          <w:rFonts w:ascii="Verdana" w:hAnsi="Verdana" w:cs="Times New Roman"/>
          <w:sz w:val="20"/>
          <w:szCs w:val="20"/>
        </w:rPr>
        <w:fldChar w:fldCharType="end"/>
      </w:r>
      <w:r w:rsidRPr="00F11D34">
        <w:rPr>
          <w:rFonts w:ascii="Verdana" w:hAnsi="Verdana" w:cs="Times New Roman"/>
          <w:sz w:val="20"/>
          <w:szCs w:val="20"/>
        </w:rPr>
        <w:t xml:space="preserve">. Consistent with the  general paradigm </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{"citationItems":[{"id":"ITEM-1","itemData":{"DOI":"10.1128/MMBR.00043-12","author":[{"dropping-particle":"","family":"Römling","given":"Ute","non-dropping-particle":"","parse-names":false,"suffix":""},{"dropping-particle":"","family":"Galperin","given":"Michael Y","non-dropping-particle":"","parse-names":false,"suffix":""},{"dropping-particle":"","family":"Gomelsky","given":"Mark","non-dropping-particle":"","parse-names":false,"suffix":""}],"container-title":"Microbiology and Molecular Biology Reviews","id":"ITEM-1","issue":"1","issued":{"date-parts":[["2013"]]},"page":"1-52","title":"Cyclic di-GMP: the First 25 Years of a Universal Bacterial Second Messenger","type":"article-journal","volume":"77"},"uris":["http://www.mendeley.com/documents/?uuid=8b3e35b5-844d-4a49-b6bd-77b148a13eb2"]}],"mendeley":{"formattedCitation":"(5)","plainTextFormattedCitation":"(5)","previouslyFormattedCitation":"(Römling, Galperin, and Gomelsky 2013)"},"properties":{"noteIndex":0},"schema":"https://github.com/citation-style-language/schema/raw/master/csl-citation.json"}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(5)</w:t>
      </w:r>
      <w:r w:rsidRPr="00F11D34">
        <w:rPr>
          <w:rFonts w:ascii="Verdana" w:hAnsi="Verdana" w:cs="Times New Roman"/>
          <w:sz w:val="20"/>
          <w:szCs w:val="20"/>
        </w:rPr>
        <w:fldChar w:fldCharType="end"/>
      </w:r>
      <w:r w:rsidRPr="00F11D34">
        <w:rPr>
          <w:rFonts w:ascii="Verdana" w:hAnsi="Verdana" w:cs="Times New Roman"/>
          <w:sz w:val="20"/>
          <w:szCs w:val="20"/>
        </w:rPr>
        <w:t>,</w:t>
      </w:r>
      <w:r w:rsidRPr="00F11D34" w:rsidDel="008D72A2">
        <w:rPr>
          <w:rFonts w:ascii="Verdana" w:hAnsi="Verdana" w:cs="Times New Roman"/>
          <w:sz w:val="20"/>
          <w:szCs w:val="20"/>
        </w:rPr>
        <w:t xml:space="preserve"> </w:t>
      </w:r>
      <w:r w:rsidRPr="00F11D34">
        <w:rPr>
          <w:rFonts w:ascii="Verdana" w:hAnsi="Verdana" w:cs="Times New Roman"/>
          <w:sz w:val="20"/>
          <w:szCs w:val="20"/>
        </w:rPr>
        <w:t xml:space="preserve"> intracellular c-di-GMP concentrations in Y4I correlate with growth modality: they are elevated in surface-grown cultures relative to liquid cultures. C-di-GMP concentrations are not only altered in Y4I strains with disruptions in either QS system but also the indigoidine biosynthesis mutant, suggestive of a direct link between these secondary metabolites. In fact, glutamate has been shown to play a key role in  biofilm formation by regulating intercellular pools of c-di-GMP in </w:t>
      </w:r>
      <w:r w:rsidRPr="00F11D34">
        <w:rPr>
          <w:rFonts w:ascii="Verdana" w:hAnsi="Verdana" w:cs="Times New Roman"/>
          <w:i/>
          <w:iCs/>
          <w:sz w:val="20"/>
          <w:szCs w:val="20"/>
        </w:rPr>
        <w:t xml:space="preserve">P. aeruginosa </w:t>
      </w:r>
      <w:r w:rsidRPr="00F11D34">
        <w:rPr>
          <w:rFonts w:ascii="Verdana" w:hAnsi="Verdana" w:cs="Times New Roman"/>
          <w:i/>
          <w:iCs/>
          <w:sz w:val="20"/>
          <w:szCs w:val="20"/>
        </w:rPr>
        <w:fldChar w:fldCharType="begin" w:fldLock="1"/>
      </w:r>
      <w:r w:rsidR="00B77EC7" w:rsidRPr="00F11D34">
        <w:rPr>
          <w:rFonts w:ascii="Verdana" w:hAnsi="Verdana" w:cs="Times New Roman"/>
          <w:i/>
          <w:iCs/>
          <w:sz w:val="20"/>
          <w:szCs w:val="20"/>
        </w:rPr>
        <w:instrText>ADDIN CSL_CITATION {"citationItems":[{"id":"ITEM-1","itemData":{"DOI":"10.1128/JB.05346-11","abstract":"Although little is known regarding the mechanism of biofilm dispersion, it is becoming clear that this process coincides with alteration of cyclic di-GMP (c-di-GMP) levels. Here, we demonstrate that dispersion by Pseudomonas aeruginosa in response to sudden changes in nutrient concentrations resulted in increased phosphodiesterase activity and reduction of c-di-GMP levels compared to biofilm and planktonic cells. By screening mutants inactivated in genes encoding EAL domains for nutrient-induced dispersion, we identified in addition to the previously reported rbdA mutant a second mutant, the dipA strain (PA5017 [dispersion-induced phosphodiesterase A]), to be dispersion deficient in response to glutamate, nitric oxide, ammonium chloride , and mercury chloride. Using biochemical and in vivo studies, we show that DipA associates with the membrane and exhibits phosphodiesterase activity but no detectable diguanylate cyclase activity. Consistent with these data, a dipA mutant exhibited reduced swarming motility, increased initial attachment, and polysaccharide production but only somewhat increased biofilm formation and c-di-GMP levels. DipA harbors an N-terminal GAF (cGMP-specific phosphodiesterases, adenylyl cyclases, and FhlA) domain and two EAL motifs within or near the C-terminal EAL domain. Mutational analyses of the two EAL motifs of DipA suggest that both are important for the observed phosphodiesterase activity and dispersion, while the GAF domain modulated DipA function both in vivo and in vitro without being required for phosphodiesterase activity. Dispersion was found to require protein synthesis and resulted in increased dipA expression and reduction of c-di-GMP levels. We propose a role of DipA in enabling dispersion in P. aeruginosa biofilms.","author":[{"dropping-particle":"","family":"Roy","given":"Ankita Basu","non-dropping-particle":"","parse-names":false,"suffix":""},{"dropping-particle":"","family":"Petrova","given":"Olga E","non-dropping-particle":"","parse-names":false,"suffix":""},{"dropping-particle":"","family":"Sauer","given":"Karin","non-dropping-particle":"","parse-names":false,"suffix":""}],"container-title":"Journal of Bacteriology","id":"ITEM-1","issue":"11","issued":{"date-parts":[["2012"]]},"page":"2904-2915","title":"The Phosphodiesterase DipA (PA5017) Is Essential for Pseudomonas aeruginosa Biofilm Dispersion","type":"article-journal","volume":"194"},"uris":["http://www.mendeley.com/documents/?uuid=d5155e33-c84c-38d6-ac56-4ee1c13e86ae"]},{"id":"ITEM-2","itemData":{"DOI":"10.1111/mmi.12802","ISSN":"0950382X","abstract":"Dispersion enables the transition from the biofilm to the planktonic growth state in response to various cues. While several Pseudomonas aeruginosa proteins, including BdlA and the c-di-GMP phosphodiesterases DipA, RbdA, and NbdA, have been shown to be required for dispersion to occur, little is known about dispersion cue sensing and the signalling translating these cues into the modulation c-di-GMP levels to enable dispersion. Using glutamate-induced dispersion as a model, we report that dispersion-inducing nutrient cues are sensed via an outside-in signalling mechanism by the diguanylate cyclase NicD belonging to a family of seven transmembrane (7TM) receptors. NicD directly interacts with BdlA and the phosphodiesterase DipA, with NicD, BdlA, and DipA being part of the same pathway required for dispersion. Glutamate sensing by NicD results in NicD dephosphorylation and increased cyclase activity. Active NicD contributes to the non-processive proteolysis and activation of BdlA via phosphorylation and temporarily elevated c-di-GMP levels. BdlA, in turn, activates DipA, resulting in the overall reduction of c-di-GMP levels. Our results provide a basis for understanding the signalling mechanism based on NicD to induce biofilm dispersion that may be applicable to various biofilm-forming species and may have implications for the control of biofilm-related infections.","author":[{"dropping-particle":"","family":"Roy","given":"Ankita Basu","non-dropping-particle":"","parse-names":false,"suffix":""},{"dropping-particle":"","family":"Sauer","given":"Karin","non-dropping-particle":"","parse-names":false,"suffix":""}],"container-title":"Molecular Microbiology","id":"ITEM-2","issue":"4","issued":{"date-parts":[["2014","11","1"]]},"page":"771-793","publisher":"Blackwell Publishing Ltd","title":"Diguanylate cyclase NicD-based signalling mechanism of nutrient-induced dispersion by P seudomonas aeruginosa","type":"article-journal","volume":"94"},"uris":["http://www.mendeley.com/documents/?uuid=bce99e30-e01a-325c-807d-53d85816732b"]}],"mendeley":{"formattedCitation":"(35, 36)","plainTextFormattedCitation":"(35, 36)","previouslyFormattedCitation":"(Roy, Petrova, and Sauer 2012; Roy and Sauer 2014)"},"properties":{"noteIndex":0},"schema":"https://github.com/citation-style-language/schema/raw/master/csl-citation.json"}</w:instrText>
      </w:r>
      <w:r w:rsidRPr="00F11D34">
        <w:rPr>
          <w:rFonts w:ascii="Verdana" w:hAnsi="Verdana" w:cs="Times New Roman"/>
          <w:i/>
          <w:iCs/>
          <w:sz w:val="20"/>
          <w:szCs w:val="20"/>
        </w:rPr>
        <w:fldChar w:fldCharType="separate"/>
      </w:r>
      <w:r w:rsidR="00B77EC7" w:rsidRPr="00F11D34">
        <w:rPr>
          <w:rFonts w:ascii="Verdana" w:hAnsi="Verdana" w:cs="Times New Roman"/>
          <w:iCs/>
          <w:noProof/>
          <w:sz w:val="20"/>
          <w:szCs w:val="20"/>
        </w:rPr>
        <w:t>(35, 36)</w:t>
      </w:r>
      <w:r w:rsidRPr="00F11D34">
        <w:rPr>
          <w:rFonts w:ascii="Verdana" w:hAnsi="Verdana" w:cs="Times New Roman"/>
          <w:i/>
          <w:iCs/>
          <w:sz w:val="20"/>
          <w:szCs w:val="20"/>
        </w:rPr>
        <w:fldChar w:fldCharType="end"/>
      </w:r>
      <w:r w:rsidRPr="00F11D34">
        <w:rPr>
          <w:rFonts w:ascii="Verdana" w:hAnsi="Verdana" w:cs="Times New Roman"/>
          <w:sz w:val="20"/>
          <w:szCs w:val="20"/>
        </w:rPr>
        <w:t xml:space="preserve">. In Y4I, glutamate is an essential precursor for indigoidine </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{"citationItems":[{"id":"ITEM-1","itemData":{"DOI":"10.1007/BF00406851","ISBN":"0003-9276 (Print)","ISSN":"03028933","PMID":"14347925","abstract":"Die extracelluläre Abscheidung eines unlöslichen blauen Pigments (Indigoidin) wurde zuerst bei Pseudomonas indigofera beobachtet. Historisch wird auf die verschiedenen Benennungen dieses Bakteriums eingegangen. Beschrieben wird die Darstellung blauer Farbstoffe aus Kulturen verschiedener Bakterien. Die von Corynebacterium insidiosum, Arthrobacter atrocyaneus und Arthrobacter polychromogenes gebildeten Pigmente sind identisch mit Indigoidin von P. indigofera. Die Identität wird bewiesen durch physikalische und chemische Vergleiche der Pigmente und ihrer Derivate. Der Name Indigoidin, der früher nur für das Pigment von P. indigofera verwendet wurde, wird nun unabhängig von der Herkunft des Pigments benützt.","author":[{"dropping-particle":"","family":"Kuhn","given":"Richard","non-dropping-particle":"","parse-names":false,"suffix":""},{"dropping-particle":"","family":"Starr","given":"Mortimer P.","non-dropping-particle":"","parse-names":false,"suffix":""},{"dropping-particle":"","family":"Kuhn","given":"Daisy A.","non-dropping-particle":"","parse-names":false,"suffix":""},{"dropping-particle":"","family":"Bauer","given":"Helmut","non-dropping-particle":"","parse-names":false,"suffix":""},{"dropping-particle":"","family":"Knackmuss","given":"Hans-Joachim Joachim","non-dropping-particle":"","parse-names":false,"suffix":""}],"container-title":"Archiv für Mikrobiologie","id":"ITEM-1","issue":"1","issued":{"date-parts":[["1965"]]},"page":"71-84","title":"Indigoidine and other bacterial pigments related to 3,3′-bipyridyl","type":"article-journal","volume":"51"},"uris":["http://www.mendeley.com/documents/?uuid=f3172547-b0da-4b82-bfef-1217147e81e4"]},{"id":"ITEM-2","itemData":{"DOI":"10.1128/AEM.00297-12","ISBN":"0099-2240","ISSN":"00992240","PMID":"22582055","abstract":"Members of the Roseobacter lineage of marine bacteria are prolific surface colonizers in marine coastal environments, and antimicrobial secondary metabolite production has been hypothesized to provide a competitive advantage to colonizing roseobacters. Here, we report that the roseobacter Phaeobacter sp. strain Y4I produces the blue pigment indigoidine via a nonribosomal peptide synthase (NRPS)-based biosynthetic pathway encoded by a novel series of genetically linked genes: igiBCDFE. A Tn5-based random mutagenesis library of Y4I showed a perfect correlation between indigoidine production by the Phaeobacter strain and inhibition of Vibrio fischeri on agar plates, revealing a previously unrecognized bioactivity of this molecule. In addition, igiD null mutants (igiD encoding the indigoidine NRPS) were more resistant to hydrogen peroxide, less motile, and faster to colonize an artificial surface than the wild-type strain. Collectively, these data provide evidence for pleiotropic effects of indigoidine production in this strain. Gene expression assays support phenotypic observations and demonstrate that igiD gene expression is upregulated during growth on surfaces. Furthermore, competitive cocultures of V. fischeri and Y4I show that the production of indigoidine by Y4I significantly inhibits colonization of V. fischeri on surfaces. This study is the first to characterize a secondary metabolite produced by an NRPS in roseobacters.","author":[{"dropping-particle":"","family":"Cude","given":"W. Nathan","non-dropping-particle":"","parse-names":false,"suffix":""},{"dropping-particle":"","family":"Mooney","given":"Jason","non-dropping-particle":"","parse-names":false,"suffix":""},{"dropping-particle":"","family":"Tavanaei","given":"Arash A.","non-dropping-particle":"","parse-names":false,"suffix":""},{"dropping-particle":"","family":"Hadden","given":"Mary K.","non-dropping-particle":"","parse-names":false,"suffix":""},{"dropping-particle":"","family":"Frank","given":"Ashley M.","non-dropping-particle":"","parse-names":false,"suffix":""},{"dropping-particle":"","family":"Gulvik","given":"Christopher A.","non-dropping-particle":"","parse-names":false,"suffix":""},{"dropping-particle":"","family":"May","given":"Amanda L.","non-dropping-particle":"","parse-names":false,"suffix":""},{"dropping-particle":"","family":"Buchan","given":"Alison","non-dropping-particle":"","parse-names":false,"suffix":""}],"container-title":"Applied and Environmental Microbiology","id":"ITEM-2","issue":"14","issued":{"date-parts":[["2012"]]},"page":"4771-4780","title":"Production of the antimicrobial secondary metabolite indigoidine contributes to competitive surface colonization by the marine roseobacter &lt;i&gt;Phaeobacter sp. &lt;/i&gt; strain Y4I","type":"article-journal","volume":"78"},"uris":["http://www.mendeley.com/documents/?uuid=724a6358-e74e-4f7e-ae9f-a18df1b39f19"]},{"id":"ITEM-3","itemData":{"DOI":"10.1007/s10482-016-0814-2","ISSN":"15729699","abstract":"We investigated previously under explored cold aquatic environments of Andean Patagonia, Argentina. Oily sheens similar to an oil spill are frequently observed at the surface of water in creeks and small ponds in these places. Chemical analysis of a water sample revealed the occurrence of high concentrations of iron and the presence of a free insoluble indigoidine-derived pigment. A blue pigment-producing bacterium (strain EB) was isolated from the water sample and identified as Vogesella sp. by molecular analysis. The isolate was able to produce indigoidine and another derived-pigment (here called cryoindigoidine) with strong antifreeze properties. The production of the pigments depended on the cell growth at cold temperatures (below 15 °C), as well as on the attachment of cells to solid surfaces, and iron limitation in the media. The pigments produced by strain EB showed an inhibitory effect on the growth of diverse microorganisms such as Candida albicans, Escherichia coli and Staphylococcus aureus. In addition, pigmented cells were more tolerant to freezing than non-pigmented cells, suggesting a role of cryoindigoidine/indigoidine as a cold-protectant molecule. The possible roles of the pigments in strain EB physiology and its interactions with the iron-rich environment from which the isolate was obtained are discussed. Results of this study suggested an active role of strain EB in the investigated iron-oxidizing ecosystem.","author":[{"dropping-particle":"","family":"Day","given":"Paula Arrúa","non-dropping-particle":"","parse-names":false,"suffix":""},{"dropping-particle":"","family":"Villalba","given":"María S.","non-dropping-particle":"","parse-names":false,"suffix":""},{"dropping-particle":"","family":"Herrero","given":"O. Marisa","non-dropping-particle":"","parse-names":false,"suffix":""},{"dropping-particle":"","family":"Arancibia","given":"Luz Alejandra","non-dropping-particle":"","parse-names":false,"suffix":""},{"dropping-particle":"","family":"Alvarez","given":"Héctor M.","non-dropping-particle":"","parse-names":false,"suffix":""}],"container-title":"Antonie van Leeuwenhoek, International Journal of General and Molecular Microbiology","id":"ITEM-3","issue":"3","issued":{"date-parts":[["2017","3","1"]]},"page":"415-428","publisher":"Springer Netherlands","title":"Formation of indigoidine derived-pigments contributes to the adaptation of &lt;i&gt; Vogesella sp.&lt;/i&gt; strain EB to cold aquatic iron-oxidizing environments","type":"article-journal","volume":"110"},"uris":["http://www.mendeley.com/documents/?uuid=2b78c32f-925e-3e17-8d5d-41f33a52a3dd"]}],"mendeley":{"formattedCitation":"(12, 37, 38)","plainTextFormattedCitation":"(12, 37, 38)","previouslyFormattedCitation":"(Kuhn et al. 1965; Cude et al. 2012; Day et al. 2017)"},"properties":{"noteIndex":0},"schema":"https://github.com/citation-style-language/schema/raw/master/csl-citation.json"}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(12, 37, 38)</w:t>
      </w:r>
      <w:r w:rsidRPr="00F11D34">
        <w:rPr>
          <w:rFonts w:ascii="Verdana" w:hAnsi="Verdana" w:cs="Times New Roman"/>
          <w:sz w:val="20"/>
          <w:szCs w:val="20"/>
        </w:rPr>
        <w:fldChar w:fldCharType="end"/>
      </w:r>
      <w:r w:rsidRPr="00F11D34">
        <w:rPr>
          <w:rFonts w:ascii="Verdana" w:hAnsi="Verdana" w:cs="Times New Roman"/>
          <w:sz w:val="20"/>
          <w:szCs w:val="20"/>
        </w:rPr>
        <w:t xml:space="preserve">. Thus, the integration of c-di-GMP and QS signaling pathways may provide an avenue for convergence of information on cellular status from different central metabolic pathways in Y4I.  </w:t>
      </w:r>
    </w:p>
    <w:p w14:paraId="79FA5C49" w14:textId="21B31FF0" w:rsidR="00834C18" w:rsidRPr="00F11D34" w:rsidRDefault="00834C18" w:rsidP="00677C01">
      <w:pPr>
        <w:spacing w:before="240"/>
        <w:ind w:firstLine="720"/>
        <w:jc w:val="both"/>
        <w:rPr>
          <w:rFonts w:ascii="Verdana" w:hAnsi="Verdana" w:cs="Times New Roman"/>
          <w:sz w:val="20"/>
          <w:szCs w:val="20"/>
        </w:rPr>
      </w:pPr>
      <w:r w:rsidRPr="00F11D34">
        <w:rPr>
          <w:rFonts w:ascii="Verdana" w:hAnsi="Verdana" w:cs="Times New Roman"/>
          <w:sz w:val="20"/>
          <w:szCs w:val="20"/>
        </w:rPr>
        <w:t>Integration of c-di-GMP with bacterial regulatory signaling pathways is not uncommon. For example,</w:t>
      </w:r>
      <w:r w:rsidRPr="00F11D34" w:rsidDel="00AF522B">
        <w:rPr>
          <w:rFonts w:ascii="Verdana" w:hAnsi="Verdana" w:cs="Times New Roman"/>
          <w:sz w:val="20"/>
          <w:szCs w:val="20"/>
        </w:rPr>
        <w:t xml:space="preserve"> </w:t>
      </w:r>
      <w:r w:rsidRPr="00F11D34">
        <w:rPr>
          <w:rFonts w:ascii="Verdana" w:hAnsi="Verdana" w:cs="Times New Roman"/>
          <w:sz w:val="20"/>
          <w:szCs w:val="20"/>
        </w:rPr>
        <w:t xml:space="preserve">in several Alphaproteobacteria, c-di-GMP contributes to the regulation of the biphasic swim-stick switch controlled by the </w:t>
      </w:r>
      <w:proofErr w:type="spellStart"/>
      <w:r w:rsidRPr="00F11D34">
        <w:rPr>
          <w:rFonts w:ascii="Verdana" w:hAnsi="Verdana" w:cs="Times New Roman"/>
          <w:sz w:val="20"/>
          <w:szCs w:val="20"/>
        </w:rPr>
        <w:t>CtrA</w:t>
      </w:r>
      <w:proofErr w:type="spellEnd"/>
      <w:r w:rsidRPr="00F11D34">
        <w:rPr>
          <w:rFonts w:ascii="Verdana" w:hAnsi="Verdana" w:cs="Times New Roman"/>
          <w:sz w:val="20"/>
          <w:szCs w:val="20"/>
        </w:rPr>
        <w:t xml:space="preserve"> phosphorelay “master regulator” system </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{"citationItems":[{"id":"ITEM-1","itemData":{"DOI":"10.1101/gad.289504","ISSN":"08909369","abstract":"Pole development is coordinated with the Caulobacter crescentus cell cycle by two-component signaling proteins. We show that an unusual response regulator, PleD, is required for polar differentiation and is sequestered to the cell pole only when it is activated by phosphorylation. Dynamic localization of PleD to the cell pole provides a mechanism to temporally and spatially control the signaling output of PleD during development. Targeting of PleD to the cell pole is coupled to the activation of a C-terminal guanylate cyclase domain, which catalyzes the synthesis of cyclic di-guanosine monophosphate. We propose that the local action of this novel-type guanylate cyclase might constitute a general regulatory principle in bacterial growth and development.","author":[{"dropping-particle":"","family":"Paul","given":"Ralf","non-dropping-particle":"","parse-names":false,"suffix":""},{"dropping-particle":"","family":"Weiser","given":"Stefan","non-dropping-particle":"","parse-names":false,"suffix":""},{"dropping-particle":"","family":"Amiot","given":"Nicholas C.","non-dropping-particle":"","parse-names":false,"suffix":""},{"dropping-particle":"","family":"Chan","given":"Carmen","non-dropping-particle":"","parse-names":false,"suffix":""},{"dropping-particle":"","family":"Schirmer","given":"Tilman","non-dropping-particle":"","parse-names":false,"suffix":""},{"dropping-particle":"","family":"Giese","given":"Bernd","non-dropping-particle":"","parse-names":false,"suffix":""},{"dropping-particle":"","family":"Jenal","given":"Urs","non-dropping-particle":"","parse-names":false,"suffix":""}],"container-title":"Genes and Development","id":"ITEM-1","issue":"6","issued":{"date-parts":[["2004","3","15"]]},"page":"715-727","title":"Cell cycle-dependent dynamic localization of a bacterial response regulator with a novel di-guanylate cyclase output domain","type":"article-journal","volume":"18"},"uris":["http://www.mendeley.com/documents/?uuid=b0fafdf9-1c58-386b-9b60-dc94d4fd8ea5"]},{"id":"ITEM-2","itemData":{"DOI":"10.1128/JB.05932-11","ISSN":"00219193","abstract":"Caulobacter crescentus differentiates from a motile, foraging swarmer cell into a sessile, replication-competent stalked cell during its cell cycle. This developmental transition is inhibited by nutrient deprivation to favor the motile swarmer state. We identify two cell cycle regulatory signals, ppGpp and polyphosphate (polyP), that inhibit the swarmer-to-stalked transition in both complex and glucose-exhausted media, thereby increasing the proportion of swarmer cells in mixed culture. Upon depletion of available carbon, swarmer cells lacking the ability to synthesize ppGpp or polyP improperly initiate chromosome replication, proteolyze the replication inhibitor CtrA, localize the cell fate determinant DivJ, and develop polar stalks. Furthermore, we show that swarmer cells produce more ppGpp than stalked cells upon starvation. These results provide evidence that ppGpp and polyP are cell-type-specific developmental regulators. © 2012, American Society for Microbiology.","author":[{"dropping-particle":"","family":"Boutte","given":"Cara C.","non-dropping-particle":"","parse-names":false,"suffix":""},{"dropping-particle":"","family":"Henry","given":"Jonathan T.","non-dropping-particle":"","parse-names":false,"suffix":""},{"dropping-particle":"","family":"Crosson","given":"Sean","non-dropping-particle":"","parse-names":false,"suffix":""}],"container-title":"Journal of Bacteriology","id":"ITEM-2","issue":"1","issued":{"date-parts":[["2011"]]},"page":"28-35","title":"ppGpp and polyphosphate modulate cell cycle progression in Caulobacter crescentus","type":"article-journal","volume":"194"},"uris":["http://www.mendeley.com/documents/?uuid=0eb759ee-6209-399e-bd67-24edd2f4a47c"]},{"id":"ITEM-3","itemData":{"DOI":"10.1111/1462-2920.12265","ISBN":"1462-2912","ISSN":"14622920","PMID":"24118907","abstract":"In many species of the marine Roseobacter clade, periods of attached life, in association with phytoplankton or particles, are interspersed with planktonic phases. The purpose of this study was to determine whether shifts between motile and sessile life in the globally abundant Roseobacter clade species Ruegeria mobilis are associated with intracellular concentrations of the signal compound cyclic dimeric guanosinmonophosphate (c-di-GMP), which in bacteria regulates transitions between motile and sessile life stages. Genes for diguanylate cyclases and phosphodiesterases, which are involved in c-di-GMP signalling, were found in the genome of R. mobilis strain F1926. Ion pair chromatography-tandem mass spectrometry revealed 20-fold higher c-di-GMP concentrations per cell in biofilm-containing cultures than in planktonic cells. An introduced diguanylate cyclase gene increased c-di-GMP and enhanced biofilm formation and production of the potent antibiotic tropodithietic acid (TDA). An introduced phosphodiesterase gene decreased c-di-GMP and reduced biofilm formation and TDA production. tdaC, a key gene for TDA biosynthesis, was expressed only in attached or biofilm-forming cells, and expression was induced immediately after initial attachment. In conclusion, c-di-GMP signalling controls biofilm formation and biofilm-associated traits in R. mobilis and, as suggested by presence of GGDEF and EAL domain protein genes, also in other Roseobacter clade species.","author":[{"dropping-particle":"","family":"D'Alvise","given":"Paul W.","non-dropping-particle":"","parse-names":false,"suffix":""},{"dropping-particle":"","family":"Magdenoska","given":"Olivera","non-dropping-particle":"","parse-names":false,"suffix":""},{"dropping-particle":"","family":"Melchiorsen","given":"Jette","non-dropping-particle":"","parse-names":false,"suffix":""},{"dropping-particle":"","family":"Nielsen","given":"Kristian F.","non-dropping-particle":"","parse-names":false,"suffix":""},{"dropping-particle":"","family":"Gram","given":"Lone","non-dropping-particle":"","parse-names":false,"suffix":""}],"container-title":"Environmental Microbiology","id":"ITEM-3","issue":"5","issued":{"date-parts":[["2014","5"]]},"page":"1252-1266","title":"Biofilm formation and antibiotic production in &lt;i&gt;Ruegeria mobilis &lt;/i&gt;are influenced by intracellular concentrations of cyclic dimeric guanosinmonophosphate","type":"article-journal","volume":"16"},"uris":["http://www.mendeley.com/documents/?uuid=c5b49d09-1304-4b59-844d-47aeb6327072"]},{"id":"ITEM-4","itemData":{"DOI":"10.3389/fmicb.2018.03304","ISSN":"1664-302X","abstract":"Quorum sensing (QS) promotes in situ extracellular enzyme (EE) activity via the exogenous signal N-acylhomoserine lactone (AHL), which facilitates marine particle degradation, but the species that engage in this regulatory mechanism remain unclear. Here, we obtained AHL-producing and AHL-degrading strains from marine particles. The strain Ruegeria mobilis Rm01 of the Roseobacter group (RBG), which was capable of both AHL producing and degrading, was chosen to represent these strains. We demonstrated that Rm01 possessed a complex QS network comprising AHL-based QS and quorum quenching (QQ) systems and autoinducer-2 (AI-2) perception system. Rm01 was able to respond to multiple exogenous QS signals through the QS network. By applying self-generated AHLs and non-self-generated AHLs and AI-2 QS signal molecules, we modulated biofilm formation and lipase production in Rm01, which reflected the coordination of bacterial metabolism with that of other species via eavesdropping on exogenous QS signals. These results suggest that R. mobilis might be one of the participators that could regulate EE activities by responding to QS signals in marine particles.","author":[{"dropping-particle":"","family":"Su","given":"Ying","non-dropping-particle":"","parse-names":false,"suffix":""},{"dropping-particle":"","family":"Tang","given":"Kaihao","non-dropping-particle":"","parse-names":false,"suffix":""},{"dropping-particle":"","family":"Liu","given":"Jiwen","non-dropping-particle":"","parse-names":false,"suffix":""},{"dropping-particle":"","family":"Wang","given":"Yan","non-dropping-particle":"","parse-names":false,"suffix":""},{"dropping-particle":"","family":"Zheng","given":"Yanfen","non-dropping-particle":"","parse-names":false,"suffix":""},{"dropping-particle":"","family":"Zhang","given":"Xiao-Hua","non-dropping-particle":"","parse-names":false,"suffix":""}],"container-title":"Frontiers in Microbiology","id":"ITEM-4","issue":"JAN","issued":{"date-parts":[["2019","1","9"]]},"page":"3304","publisher":"Frontiers Media S.A.","title":"Quorum Sensing System of &lt;i&gt;Ruegeria mobilis&lt;/i&gt; Rm01 Controls Lipase and Biofilm Formation","type":"article-journal","volume":"9"},"uris":["http://www.mendeley.com/documents/?uuid=abee078b-c9b4-34b1-bb7c-dc111753448b"]},{"id":"ITEM-5","itemData":{"DOI":"10.3389/fmicb.2019.00803","ISSN":"1664-302X","PMID":"31031742","abstract":"Quorum sensing (QS) coordinates population wide gene expression of bacterial species. Highly adaptive traits like gene transfer agents (GTA), morphological heterogeneity, type 4 secretion systems (T4SS), and flagella are QS controlled in Dinoroseobacter shibae, a Roseobacter model organism. Its QS regulatory network is integrated with the CtrA phosphorelay that controls cell division in alphaproteobacteria. To elucidate the network topology, we analyzed the transcriptional response of the QS-negative D. shibae strain ΔluxI1 toward externally added autoinducer (AI) over a time period of 3 h. The signaling cascade is initiated by the CtrA phosphorelay, followed by the QS genes and other target genes, including the second messenger c-di-GMP, competence, flagella and pili. Identification of transcription factor binding sites in promoters of QS induced genes revealed the integration of QS, CtrA phosphorelay and the SOS stress response mediated by LexA. The concentration of regulatory genes located close to the origin or terminus of replication suggests that gene regulation and replication are tightly coupled. Indeed, addition of AI first stimulates and then represses replication. The restart of replication comes along with increased c-di-GMP levels. We propose a model in which QS induces replication followed by differentiation into GTA producing and non-producing cells. CtrA-activity is controlled by the c-di-GMP level, allowing some of the daughter cells to replicate again. The size of the GTA producing subpopulation is tightly controlled by QS via the AI Synthase LuxI2. Finally, induction of the SOS response allows for integration of GTA DNA into the host chromosome.","author":[{"dropping-particle":"","family":"Koppenhöfer","given":"Sonja","non-dropping-particle":"","parse-names":false,"suffix":""},{"dropping-particle":"","family":"Wang","given":"Hui","non-dropping-particle":"","parse-names":false,"suffix":""},{"dropping-particle":"","family":"Scharfe","given":"Maren","non-dropping-particle":"","parse-names":false,"suffix":""},{"dropping-particle":"","family":"Kaever","given":"Volkhard","non-dropping-particle":"","parse-names":false,"suffix":""},{"dropping-particle":"","family":"Wagner-Döbler","given":"Irene","non-dropping-particle":"","parse-names":false,"suffix":""},{"dropping-particle":"","family":"Tomasch","given":"Jürgen","non-dropping-particle":"","parse-names":false,"suffix":""}],"container-title":"Frontiers in microbiology","id":"ITEM-5","issued":{"date-parts":[["2019"]]},"page":"803","publisher":"Frontiers Media SA","title":"Integrated Transcriptional Regulatory Network of Quorum Sensing, Replication Control, and SOS Response in &lt;i&gt; Dinoroseobacter shibae &lt;/i&gt;.","type":"article-journal","volume":"10"},"uris":["http://www.mendeley.com/documents/?uuid=cbf2fbe5-daa0-3bb2-8f30-945bab429941"]}],"mendeley":{"formattedCitation":"(26, 39–42)","plainTextFormattedCitation":"(26, 39–42)","previouslyFormattedCitation":"(Paul et al. 2004; Boutte, Henry, and Crosson 2011; D’Alvise et al. 2014; Su et al. 2019; Koppenhöfer et al. 2019)"},"properties":{"noteIndex":0},"schema":"https://github.com/citation-style-language/schema/raw/master/csl-citation.json"}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(26, 39–42)</w:t>
      </w:r>
      <w:r w:rsidRPr="00F11D34">
        <w:rPr>
          <w:rFonts w:ascii="Verdana" w:hAnsi="Verdana" w:cs="Times New Roman"/>
          <w:sz w:val="20"/>
          <w:szCs w:val="20"/>
        </w:rPr>
        <w:fldChar w:fldCharType="end"/>
      </w:r>
      <w:r w:rsidRPr="00F11D34">
        <w:rPr>
          <w:rFonts w:ascii="Verdana" w:hAnsi="Verdana" w:cs="Times New Roman"/>
          <w:sz w:val="20"/>
          <w:szCs w:val="20"/>
        </w:rPr>
        <w:t xml:space="preserve">. It is plausible that c-di-GMP and the </w:t>
      </w:r>
      <w:proofErr w:type="spellStart"/>
      <w:r w:rsidRPr="00F11D34">
        <w:rPr>
          <w:rFonts w:ascii="Verdana" w:hAnsi="Verdana" w:cs="Times New Roman"/>
          <w:sz w:val="20"/>
          <w:szCs w:val="20"/>
        </w:rPr>
        <w:t>CtrA</w:t>
      </w:r>
      <w:proofErr w:type="spellEnd"/>
      <w:r w:rsidRPr="00F11D34">
        <w:rPr>
          <w:rFonts w:ascii="Verdana" w:hAnsi="Verdana" w:cs="Times New Roman"/>
          <w:sz w:val="20"/>
          <w:szCs w:val="20"/>
        </w:rPr>
        <w:t xml:space="preserve"> phosphorelay system are also integrated into the QS regulatory network architecture governing indigoidine biosynthesis in Y4I.  Indeed, we have found a putative DNA binding half-site for the master regulator, </w:t>
      </w:r>
      <w:proofErr w:type="spellStart"/>
      <w:r w:rsidRPr="00F11D34">
        <w:rPr>
          <w:rFonts w:ascii="Verdana" w:hAnsi="Verdana" w:cs="Times New Roman"/>
          <w:sz w:val="20"/>
          <w:szCs w:val="20"/>
        </w:rPr>
        <w:t>CtrA</w:t>
      </w:r>
      <w:proofErr w:type="spellEnd"/>
      <w:r w:rsidRPr="00F11D34">
        <w:rPr>
          <w:rFonts w:ascii="Verdana" w:hAnsi="Verdana" w:cs="Times New Roman"/>
          <w:sz w:val="20"/>
          <w:szCs w:val="20"/>
        </w:rPr>
        <w:t>, located in the QS2 (</w:t>
      </w:r>
      <w:proofErr w:type="spellStart"/>
      <w:r w:rsidRPr="00F11D34">
        <w:rPr>
          <w:rFonts w:ascii="Verdana" w:hAnsi="Verdana" w:cs="Times New Roman"/>
          <w:i/>
          <w:iCs/>
          <w:sz w:val="20"/>
          <w:szCs w:val="20"/>
        </w:rPr>
        <w:t>pgaRI</w:t>
      </w:r>
      <w:proofErr w:type="spellEnd"/>
      <w:r w:rsidRPr="00F11D34">
        <w:rPr>
          <w:rFonts w:ascii="Verdana" w:hAnsi="Verdana" w:cs="Times New Roman"/>
          <w:sz w:val="20"/>
          <w:szCs w:val="20"/>
        </w:rPr>
        <w:t xml:space="preserve">) operon (Fig S3). Furthermore, integration of the </w:t>
      </w:r>
      <w:proofErr w:type="spellStart"/>
      <w:r w:rsidRPr="00F11D34">
        <w:rPr>
          <w:rFonts w:ascii="Verdana" w:hAnsi="Verdana" w:cs="Times New Roman"/>
          <w:sz w:val="20"/>
          <w:szCs w:val="20"/>
        </w:rPr>
        <w:t>CtrA</w:t>
      </w:r>
      <w:proofErr w:type="spellEnd"/>
      <w:r w:rsidRPr="00F11D34">
        <w:rPr>
          <w:rFonts w:ascii="Verdana" w:hAnsi="Verdana" w:cs="Times New Roman"/>
          <w:sz w:val="20"/>
          <w:szCs w:val="20"/>
        </w:rPr>
        <w:t xml:space="preserve"> and QS has been demonstrated in other roseobacters. In </w:t>
      </w:r>
      <w:r w:rsidRPr="00F11D34">
        <w:rPr>
          <w:rFonts w:ascii="Verdana" w:hAnsi="Verdana" w:cs="Times New Roman"/>
          <w:i/>
          <w:sz w:val="20"/>
          <w:szCs w:val="20"/>
        </w:rPr>
        <w:t xml:space="preserve">R. </w:t>
      </w:r>
      <w:proofErr w:type="spellStart"/>
      <w:r w:rsidRPr="00F11D34">
        <w:rPr>
          <w:rFonts w:ascii="Verdana" w:hAnsi="Verdana" w:cs="Times New Roman"/>
          <w:i/>
          <w:iCs/>
          <w:sz w:val="20"/>
          <w:szCs w:val="20"/>
        </w:rPr>
        <w:t>mobilis</w:t>
      </w:r>
      <w:proofErr w:type="spellEnd"/>
      <w:r w:rsidRPr="00F11D34">
        <w:rPr>
          <w:rFonts w:ascii="Verdana" w:hAnsi="Verdana" w:cs="Times New Roman"/>
          <w:sz w:val="20"/>
          <w:szCs w:val="20"/>
        </w:rPr>
        <w:t xml:space="preserve">, QS regulates the lifestyle switch from motile (swim) to sessile (stick) by controlling the expression of </w:t>
      </w:r>
      <w:proofErr w:type="spellStart"/>
      <w:r w:rsidRPr="00F11D34">
        <w:rPr>
          <w:rFonts w:ascii="Verdana" w:hAnsi="Verdana" w:cs="Times New Roman"/>
          <w:sz w:val="20"/>
          <w:szCs w:val="20"/>
        </w:rPr>
        <w:t>CtrA</w:t>
      </w:r>
      <w:proofErr w:type="spellEnd"/>
      <w:r w:rsidRPr="00F11D34">
        <w:rPr>
          <w:rFonts w:ascii="Verdana" w:hAnsi="Verdana" w:cs="Times New Roman"/>
          <w:sz w:val="20"/>
          <w:szCs w:val="20"/>
        </w:rPr>
        <w:t xml:space="preserve"> </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{"citationItems":[{"id":"ITEM-1","itemData":{"DOI":"10.1371/journal.pone.0066346","ISBN":"1932-6203","ISSN":"1932-6203","PMID":"23825536","abstract":"Bacteria respond to their environment via signal transduction pathways, often two-component type systems that function through phosphotransfer to control expression of specific genes. Phosphorelays are derived from two-component systems but are comprised of additional components. The essential cckA-chpT-ctrA phosphorelay in Caulobacter crescentus has been well studied and is important in orchestrating the cell cycle, polar development and flagellar biogenesis. Although cckA, chpT and ctrA homologues are widespread among the Alphaproteobacteria, relatively few is known about their function in the large and ecologically significant Roseobacter clade of the Rhodobacterales. In this study the cckA-chpT-ctrA system of the marine sponge symbiont Ruegeria sp. KLH11 was investigated. Our results reveal that the cckA, chpT and ctrA genes positively control flagellar biosynthesis. In contrast to C. crescentus, the cckA, chpT and ctrA genes in Ruegeria sp. KLH11 are non-essential and do not affect bacterial growth. Gene fusion and transcript analyses provide evidence for ctrA autoregulation and the control of motility-related genes. In KLH11, flagellar motility is controlled by the SsaRI system and acylhomoserine lactone (AHL) quorum sensing. SsaR and long chain AHLs are required for cckA, chpT and ctrA gene expression, providing a regulatory link between flagellar locomotion and population density in KLH11.","author":[{"dropping-particle":"","family":"Zan","given":"Jindong","non-dropping-particle":"","parse-names":false,"suffix":""},{"dropping-particle":"","family":"Heindl","given":"Jason E.","non-dropping-particle":"","parse-names":false,"suffix":""},{"dropping-particle":"","family":"Liu","given":"Yue","non-dropping-particle":"","parse-names":false,"suffix":""},{"dropping-particle":"","family":"Fuqua","given":"Clay","non-dropping-particle":"","parse-names":false,"suffix":""},{"dropping-particle":"","family":"Hill","given":"Russell T.","non-dropping-particle":"","parse-names":false,"suffix":""}],"container-title":"PLoS ONE","editor":[{"dropping-particle":"","family":"Otto","given":"Michael","non-dropping-particle":"","parse-names":false,"suffix":""}],"id":"ITEM-1","issue":"6","issued":{"date-parts":[["2013","6","25"]]},"page":"e66346","title":"The CckA-ChpT-CtrA Phosphorelay System Is Regulated by Quorum Sensing and Controls Flagellar Motility in the Marine Sponge Symbiont Ruegeria sp. KLH11","type":"article-journal","volume":"8"},"uris":["http://www.mendeley.com/documents/?uuid=55005926-7d20-4327-b808-553879925eac"]}],"mendeley":{"formattedCitation":"(43)","plainTextFormattedCitation":"(43)","previouslyFormattedCitation":"(Zan et al. 2013)"},"properties":{"noteIndex":0},"schema":"https://github.com/citation-style-language/schema/raw/master/csl-citation.json"}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(43)</w:t>
      </w:r>
      <w:r w:rsidRPr="00F11D34">
        <w:rPr>
          <w:rFonts w:ascii="Verdana" w:hAnsi="Verdana" w:cs="Times New Roman"/>
          <w:sz w:val="20"/>
          <w:szCs w:val="20"/>
        </w:rPr>
        <w:fldChar w:fldCharType="end"/>
      </w:r>
      <w:r w:rsidRPr="00F11D34">
        <w:rPr>
          <w:rFonts w:ascii="Verdana" w:hAnsi="Verdana" w:cs="Times New Roman"/>
          <w:sz w:val="20"/>
          <w:szCs w:val="20"/>
        </w:rPr>
        <w:t xml:space="preserve">. Previous studies have shown that c-di-GMP is also integrated into the QS of </w:t>
      </w:r>
      <w:r w:rsidRPr="00F11D34">
        <w:rPr>
          <w:rFonts w:ascii="Verdana" w:hAnsi="Verdana" w:cs="Times New Roman"/>
          <w:i/>
          <w:sz w:val="20"/>
          <w:szCs w:val="20"/>
        </w:rPr>
        <w:t>D.</w:t>
      </w:r>
      <w:r w:rsidRPr="00F11D34">
        <w:rPr>
          <w:rFonts w:ascii="Verdana" w:hAnsi="Verdana" w:cs="Times New Roman"/>
          <w:sz w:val="20"/>
          <w:szCs w:val="20"/>
        </w:rPr>
        <w:t xml:space="preserve"> </w:t>
      </w:r>
      <w:proofErr w:type="spellStart"/>
      <w:r w:rsidRPr="00F11D34">
        <w:rPr>
          <w:rFonts w:ascii="Verdana" w:hAnsi="Verdana" w:cs="Times New Roman"/>
          <w:i/>
          <w:sz w:val="20"/>
          <w:szCs w:val="20"/>
        </w:rPr>
        <w:t>shibae</w:t>
      </w:r>
      <w:proofErr w:type="spellEnd"/>
      <w:r w:rsidRPr="00F11D34">
        <w:rPr>
          <w:rFonts w:ascii="Verdana" w:hAnsi="Verdana" w:cs="Times New Roman"/>
          <w:sz w:val="20"/>
          <w:szCs w:val="20"/>
        </w:rPr>
        <w:t xml:space="preserve"> </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{"citationItems":[{"id":"ITEM-1","itemData":{"DOI":"10.1186/1471-2164-15-130","ISBN":"1471-2164","ISSN":"1471-2164","PMID":"24524855","abstract":"BACKGROUND: Dinoroseobacter shibae, a member of the Roseobacter clade abundant in marine environments, maintains morphological heterogeneity throughout growth, with small cells dividing by binary fission and large cells dividing by budding from one or both cell poles. This morphological heterogeneity is lost if the quorum sensing (QS) system is silenced, concurrent with a decreased expression of the CtrA phosphorelay, a regulatory system conserved in Alphaproteobacteria and the master regulator of the Caulobacter crescentus cell cycle. It consists of the sensor histidine kinase CckA, the phosphotransferase ChpT and the transcriptional regulator CtrA. Here we tested if the QS induced differentiation of D. shibae is mediated by the CtrA phosphorelay.\\n\\nRESULTS: Mutants for ctrA, chpT and cckA showed almost homogeneous cell morphology and divided by binary fission. For ctrA and chpT, expression in trans on a plasmid caused the fraction of cells containing more than two chromosome equivalents to increase above wild-type level, indicating that gene copy number directly controls chromosome number. Transcriptome analysis revealed that CtrA is a master regulator for flagellar biosynthesis and has a great influence on the transition to stationary phase. Interestingly, the expression of the autoinducer synthase genes luxI2 and luxI3 was strongly reduced in all three mutants, resulting in loss of biosynthesis of acylated homoserine-lactones with C14 side-chain, but could be restored by expressing these genes in trans. Several phylogenetic clusters of Alphaproteobacteria revealed a CtrA binding site in the promoters of QS genes, including Roseobacters and Rhizobia.\\n\\nCONCLUSIONS: The CtrA phosphorelay induces differentiation of a marine Roseobacter strain that is strikingly different from that of C. crescentus. Instead of a tightly regulated cell cycle and a switch between two morphotypes, the morphology and cell division of Dinoroseobacter shibae are highly heterogeneous. We discovered for the first time that the CtrA phosphorelay controls the biosynthesis of signaling molecules. Thus cell-cell communication and differentiation are interlinked in this organism. This may be a common strategy, since we found a similar genetic set-up in other species in the ecologically relevant group of Alphaproteobacteria. D. shibae will be a valuable model organism to study bacterial differentiation into pleomorphic cells.","author":[{"dropping-particle":"","family":"Wang","given":"Hui","non-dropping-particle":"","parse-names":false,"suffix":""},{"dropping-particle":"","family":"Ziesche","given":"Lisa","non-dropping-particle":"","parse-names":false,"suffix":""},{"dropping-particle":"","family":"Frank","given":"Oliver","non-dropping-particle":"","parse-names":false,"suffix":""},{"dropping-particle":"","family":"Michael","given":"Victoria","non-dropping-particle":"","parse-names":false,"suffix":""},{"dropping-particle":"","family":"Martin","given":"Madeleine","non-dropping-particle":"","parse-names":false,"suffix":""},{"dropping-particle":"","family":"Petersen","given":"Jörn","non-dropping-particle":"","parse-names":false,"suffix":""},{"dropping-particle":"","family":"Schulz","given":"Stefan","non-dropping-particle":"","parse-names":false,"suffix":""},{"dropping-particle":"","family":"Wagner-Döbler","given":"Irene","non-dropping-particle":"","parse-names":false,"suffix":""},{"dropping-particle":"","family":"Tomasch","given":"Jürgen","non-dropping-particle":"","parse-names":false,"suffix":""}],"container-title":"BMC Genomics","id":"ITEM-1","issue":"1","issued":{"date-parts":[["2014"]]},"page":"130","title":"The CtrA phosphorelay integrates differentiation and communication in the marine alphaproteobacterium Dinoroseobacter shibae","type":"article-journal","volume":"15"},"uris":["http://www.mendeley.com/documents/?uuid=6ee7231c-ca84-3445-ab67-cb1c6d73da86"]}],"mendeley":{"formattedCitation":"(44)","plainTextFormattedCitation":"(44)","previouslyFormattedCitation":"(Wang et al. 2014)"},"properties":{"noteIndex":0},"schema":"https://github.com/citation-style-language/schema/raw/master/csl-citation.json"}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(44)</w:t>
      </w:r>
      <w:r w:rsidRPr="00F11D34">
        <w:rPr>
          <w:rFonts w:ascii="Verdana" w:hAnsi="Verdana" w:cs="Times New Roman"/>
          <w:sz w:val="20"/>
          <w:szCs w:val="20"/>
        </w:rPr>
        <w:fldChar w:fldCharType="end"/>
      </w:r>
      <w:r w:rsidRPr="00F11D34">
        <w:rPr>
          <w:rFonts w:ascii="Verdana" w:hAnsi="Verdana" w:cs="Times New Roman"/>
          <w:sz w:val="20"/>
          <w:szCs w:val="20"/>
        </w:rPr>
        <w:t xml:space="preserve"> and regulates the expression of </w:t>
      </w:r>
      <w:proofErr w:type="spellStart"/>
      <w:r w:rsidRPr="00F11D34">
        <w:rPr>
          <w:rFonts w:ascii="Verdana" w:hAnsi="Verdana" w:cs="Times New Roman"/>
          <w:i/>
          <w:sz w:val="20"/>
          <w:szCs w:val="20"/>
        </w:rPr>
        <w:t>ctrA</w:t>
      </w:r>
      <w:proofErr w:type="spellEnd"/>
      <w:r w:rsidRPr="00F11D34">
        <w:rPr>
          <w:rFonts w:ascii="Verdana" w:hAnsi="Verdana" w:cs="Times New Roman"/>
          <w:sz w:val="20"/>
          <w:szCs w:val="20"/>
        </w:rPr>
        <w:t xml:space="preserve"> in a related </w:t>
      </w:r>
      <w:proofErr w:type="spellStart"/>
      <w:r w:rsidRPr="00F11D34">
        <w:rPr>
          <w:rFonts w:ascii="Verdana" w:hAnsi="Verdana" w:cs="Times New Roman"/>
          <w:sz w:val="20"/>
          <w:szCs w:val="20"/>
        </w:rPr>
        <w:t>alphaproteobacterium</w:t>
      </w:r>
      <w:proofErr w:type="spellEnd"/>
      <w:r w:rsidRPr="00F11D34">
        <w:rPr>
          <w:rFonts w:ascii="Verdana" w:hAnsi="Verdana" w:cs="Times New Roman"/>
          <w:sz w:val="20"/>
          <w:szCs w:val="20"/>
        </w:rPr>
        <w:t xml:space="preserve">, </w:t>
      </w:r>
      <w:proofErr w:type="spellStart"/>
      <w:r w:rsidRPr="00F11D34">
        <w:rPr>
          <w:rFonts w:ascii="Verdana" w:hAnsi="Verdana" w:cs="Times New Roman"/>
          <w:i/>
          <w:sz w:val="20"/>
          <w:szCs w:val="20"/>
        </w:rPr>
        <w:t>Rhodobacter</w:t>
      </w:r>
      <w:proofErr w:type="spellEnd"/>
      <w:r w:rsidRPr="00F11D34">
        <w:rPr>
          <w:rFonts w:ascii="Verdana" w:hAnsi="Verdana" w:cs="Times New Roman"/>
          <w:i/>
          <w:sz w:val="20"/>
          <w:szCs w:val="20"/>
        </w:rPr>
        <w:t xml:space="preserve"> </w:t>
      </w:r>
      <w:proofErr w:type="spellStart"/>
      <w:r w:rsidRPr="00F11D34">
        <w:rPr>
          <w:rFonts w:ascii="Verdana" w:hAnsi="Verdana" w:cs="Times New Roman"/>
          <w:i/>
          <w:sz w:val="20"/>
          <w:szCs w:val="20"/>
        </w:rPr>
        <w:t>capsulatus</w:t>
      </w:r>
      <w:proofErr w:type="spellEnd"/>
      <w:r w:rsidRPr="00F11D34">
        <w:rPr>
          <w:rFonts w:ascii="Verdana" w:hAnsi="Verdana" w:cs="Times New Roman"/>
          <w:sz w:val="20"/>
          <w:szCs w:val="20"/>
        </w:rPr>
        <w:t xml:space="preserve"> </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{"citationItems":[{"id":"ITEM-1","itemData":{"DOI":"10.1099/mic.0.062349-0","ISSN":"1465-2080","PMID":"23154973","abstract":"The Rhodobacter capsulatus response regulator CtrA controls the expression of 227 genes, some of which are upregulated by both the phosphorylated and unphosphorylated forms of CtrA. Therefore, CtrA concentration alone, regardless of phosphorylation state, may determine expression of downstream genes, yet little is known about the regulation of ctrA in R. capsulatus. In this study we used a ctrA : : lacZ fusion plasmid to study the effects of medium composition, growth conditions and growth phase on R. capsulatus ctrA gene expression. These experiments indicate that ctrA expression is higher when cultures are grown in phototrophic (anaerobic) conditions compared with chemotrophic (aerobic) conditions, and is higher when grown in a minimal medium compared with a rich medium. We used several mutants to investigate possible regulatory pathways, and found that in R. capsulatus ctrA is not autoregulated but is regulated by a quorum-sensing system. The expression of ctrA increased as cell cultures moved through exponential phase and into stationary phase, with high levels of expression persisting long after culture turbidity plateaued. Although this growth phase-dependent pattern of expression was also observed in a quorum-sensing mutant, the magnitude of ctrA expression was about 50% of the wild-type strain at all phases. Furthermore, reduction of phosphate concentration in the growth medium decreased ctrA expression in a culture density-independent manner, whereas reduction of malic acid (carbon source) or ammonium (nitrogen source) concentration had no effect. The regulation of ctrA expression in R. capsulatus appears to require the coordination of multiple pathways involved in detecting a variety of environmental conditions.","author":[{"dropping-particle":"","family":"Leung","given":"Molly M","non-dropping-particle":"","parse-names":false,"suffix":""},{"dropping-particle":"","family":"Brimacombe","given":"Cedric A","non-dropping-particle":"","parse-names":false,"suffix":""},{"dropping-particle":"","family":"Beatty","given":"J Thomas","non-dropping-particle":"","parse-names":false,"suffix":""}],"container-title":"Microbiology (Reading, England)","id":"ITEM-1","issue":"Pt 1","issued":{"date-parts":[["2013","1"]]},"page":"96-106","publisher":"PMC Canada manuscript submission","title":"Transcriptional regulation of the &lt;i&gt; Rhodobacter capsulatus &lt;/i&gt; response regulator CtrA.","type":"article-journal","volume":"159"},"uris":["http://www.mendeley.com/documents/?uuid=1c3df4aa-c1a3-3644-9fdc-7b44d5d78b38"]}],"mendeley":{"formattedCitation":"(45)","plainTextFormattedCitation":"(45)","previouslyFormattedCitation":"(Leung, Brimacombe, and Beatty 2013)"},"properties":{"noteIndex":0},"schema":"https://github.com/citation-style-language/schema/raw/master/csl-citation.json"}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(45)</w:t>
      </w:r>
      <w:r w:rsidRPr="00F11D34">
        <w:rPr>
          <w:rFonts w:ascii="Verdana" w:hAnsi="Verdana" w:cs="Times New Roman"/>
          <w:sz w:val="20"/>
          <w:szCs w:val="20"/>
        </w:rPr>
        <w:fldChar w:fldCharType="end"/>
      </w:r>
      <w:r w:rsidRPr="00F11D34">
        <w:rPr>
          <w:rFonts w:ascii="Verdana" w:hAnsi="Verdana" w:cs="Times New Roman"/>
          <w:sz w:val="20"/>
          <w:szCs w:val="20"/>
        </w:rPr>
        <w:t xml:space="preserve">. Thus, integration of these central signaling pathways may be a mechanism utilized by members of the Roseobacter clade to aid in their colonization success. </w:t>
      </w:r>
    </w:p>
    <w:p w14:paraId="491BADFC" w14:textId="32C57351" w:rsidR="00E431A4" w:rsidRPr="00F11D34" w:rsidRDefault="00834C18" w:rsidP="00677C01">
      <w:pPr>
        <w:spacing w:before="240"/>
        <w:jc w:val="both"/>
        <w:rPr>
          <w:rFonts w:ascii="Verdana" w:hAnsi="Verdana" w:cs="Times New Roman"/>
          <w:sz w:val="20"/>
          <w:szCs w:val="20"/>
        </w:rPr>
      </w:pPr>
      <w:r w:rsidRPr="00F11D34">
        <w:rPr>
          <w:rFonts w:ascii="Verdana" w:hAnsi="Verdana" w:cs="Times New Roman"/>
          <w:sz w:val="20"/>
          <w:szCs w:val="20"/>
        </w:rPr>
        <w:tab/>
      </w:r>
      <w:proofErr w:type="gramStart"/>
      <w:r w:rsidRPr="00F11D34">
        <w:rPr>
          <w:rFonts w:ascii="Verdana" w:hAnsi="Verdana" w:cs="Times New Roman"/>
          <w:sz w:val="20"/>
          <w:szCs w:val="20"/>
        </w:rPr>
        <w:t>In an effort to</w:t>
      </w:r>
      <w:proofErr w:type="gramEnd"/>
      <w:r w:rsidRPr="00F11D34">
        <w:rPr>
          <w:rFonts w:ascii="Verdana" w:hAnsi="Verdana" w:cs="Times New Roman"/>
          <w:sz w:val="20"/>
          <w:szCs w:val="20"/>
        </w:rPr>
        <w:t xml:space="preserve"> better contextualize the regulatory network architecture that may govern these key Roseobacter physiologies in marine ecosystems, we present a working model that integrates the key players discussed here (Fig. 5). Implicit in this model is a connection between metabolism and physiology. Quorum sensing molecules are dependent on metabolic precursors  </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{"citationItems":[{"id":"ITEM-1","itemData":{"DOI":"10.1016/J.TIM.2015.05.007","ISSN":"0966-842X","PMID":"26072043","abstract":"Bacterial quorum sensing (QS)-dependent gene expression is a dynamic response to cell density. Bacteria produce costly public goods for the benefit of the population as a whole. As an example, QS rewires cellular metabolism to produce oxalate (a public good) to enable survival during the stationary phase in Burkholderia glumae, Burkholderia thailandensis, and Burkholderia pseudomallei. Recent reports showed that QS serves as a metabolic brake to maintain homeostatic primary metabolism in B. glumae and readjusts the central metabolism of Pseudomonas aeruginosa. In this review, we emphasize the dynamics and complexity of the control of gene expression by QS and discuss the metabolic costs and possible metabolic options to sustain cooperativity. We then focus on how QS influences bacterial central metabolism.","author":[{"dropping-particle":"","family":"Goo","given":"Eunhye","non-dropping-particle":"","parse-names":false,"suffix":""},{"dropping-particle":"","family":"An","given":"Jae Hyung","non-dropping-particle":"","parse-names":false,"suffix":""},{"dropping-particle":"","family":"Kang","given":"Yongsung","non-dropping-particle":"","parse-names":false,"suffix":""},{"dropping-particle":"","family":"Hwang","given":"Ingyu","non-dropping-particle":"","parse-names":false,"suffix":""}],"container-title":"Trends in Microbiology","id":"ITEM-1","issue":"9","issued":{"date-parts":[["2015","9","1"]]},"page":"567-576","publisher":"Elsevier Current Trends","title":"Control of bacterial metabolism by quorum sensing","type":"article-journal","volume":"23"},"uris":["http://www.mendeley.com/documents/?uuid=9de961ff-c348-4244-a4b5-605e6880f0c5"]}],"mendeley":{"formattedCitation":"(46)","plainTextFormattedCitation":"(46)","previouslyFormattedCitation":"(Goo et al. 2015)"},"properties":{"noteIndex":0},"schema":"https://github.com/citation-style-language/schema/raw/master/csl-citation.json"}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(46)</w:t>
      </w:r>
      <w:r w:rsidRPr="00F11D34">
        <w:rPr>
          <w:rFonts w:ascii="Verdana" w:hAnsi="Verdana" w:cs="Times New Roman"/>
          <w:sz w:val="20"/>
          <w:szCs w:val="20"/>
        </w:rPr>
        <w:fldChar w:fldCharType="end"/>
      </w:r>
      <w:r w:rsidRPr="00F11D34">
        <w:rPr>
          <w:rFonts w:ascii="Verdana" w:hAnsi="Verdana" w:cs="Times New Roman"/>
          <w:sz w:val="20"/>
          <w:szCs w:val="20"/>
        </w:rPr>
        <w:t xml:space="preserve">. Additionally, c-di-GMP, a key intermediate linked to metabolic state has been demonstrated to regulate QS, either directly or indirectly, in Alphaproteobacteria </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{"citationItems":[{"id":"ITEM-1","itemData":{"DOI":"10.1038/nrmicro2109","ISBN":"1740-1534 (Electronic)\\r1740-1526 (Linking)","ISSN":"17401526","PMID":"19287449","abstract":"On the stage of bacterial signal transduction and regulation, bis-(3'-5')-cyclic dimeric guanosine monophosphate (c-di-GMP) has long played the part of Sleeping Beauty. c-di-GMP was first described in 1987, but only recently was it recognized that the enzymes that 'make and break' it are not only ubiquitous in the bacterial world, but are found in many species in huge numbers. As a key player in the decision between the motile planktonic and sedentary biofilm-associated bacterial 'lifestyles', c-di-GMP binds to an unprecedented range of effector components and controls diverse targets, including transcription, the activities of enzymes and larger cellular structures. This Review focuses on emerging principles of c-di-GMP signalling using selected systems in different bacteria as examples.","author":[{"dropping-particle":"","family":"Hengge","given":"Regine","non-dropping-particle":"","parse-names":false,"suffix":""}],"container-title":"Nature Reviews Microbiology","id":"ITEM-1","issue":"4","issued":{"date-parts":[["2009"]]},"page":"263-273","publisher":"Nature Publishing Group","title":"Principles of c-di-GMP signalling in bacteria","type":"article-journal","volume":"7"},"uris":["http://www.mendeley.com/documents/?uuid=d0054f83-c896-47ab-bd81-46cd534fcb1a"]},{"id":"ITEM-2","itemData":{"DOI":"10.1038/nrmicro2695","ISBN":"1740-1534 (Electronic)\\r1740-1526 (Linking)","ISSN":"17401526","PMID":"22120588","abstract":"In most environments, bacteria reside primarily in biofilms, which are social consortia of cells that are embedded in an extracellular matrix and undergo developmental programmes resulting in a predictable biofilm 'life cycle'. Recent research on many different bacterial species has now shown that the final stage in this life cycle includes the production and release of differentiated dispersal cells. The formation of these cells and their eventual dispersal is initiated through diverse and remarkably sophisticated mechanisms, suggesting that there are strong evolutionary pressures for dispersal from an otherwise largely sessile biofilm. The evolutionary aspect of biofilm dispersal is now being explored through the integration of molecular microbiology with eukaryotic ecological and evolutionary theory, which provides a broad conceptual framework for the diversity of specific mechanisms underlying biofilm dispersal. Here, we review recent progress in this emerging field and suggest that the merging of detailed molecular mechanisms with ecological theory will significantly advance our understanding of biofilm biology and ecology.","author":[{"dropping-particle":"","family":"McDougald","given":"Diane","non-dropping-particle":"","parse-names":false,"suffix":""},{"dropping-particle":"","family":"Rice","given":"Scott A.","non-dropping-particle":"","parse-names":false,"suffix":""},{"dropping-particle":"","family":"Barraud","given":"Nicolas","non-dropping-particle":"","parse-names":false,"suffix":""},{"dropping-particle":"","family":"Steinberg","given":"Peter D.","non-dropping-particle":"","parse-names":false,"suffix":""},{"dropping-particle":"","family":"Kjelleberg","given":"Staffan","non-dropping-particle":"","parse-names":false,"suffix":""}],"container-title":"Nature Reviews Microbiology","id":"ITEM-2","issue":"1","issued":{"date-parts":[["2012"]]},"page":"39-50","publisher":"Nature Publishing Group","title":"Should we stay or should we go: Mechanisms and ecological consequences for biofilm dispersal","type":"article-journal","volume":"10"},"uris":["http://www.mendeley.com/documents/?uuid=01752c49-1cde-4d0a-b2d4-d1b29db0f554"]},{"id":"ITEM-3","itemData":{"DOI":"10.1111/1462-2920.12265","ISBN":"1462-2912","ISSN":"14622920","PMID":"24118907","abstract":"In many species of the marine Roseobacter clade, periods of attached life, in association with phytoplankton or particles, are interspersed with planktonic phases. The purpose of this study was to determine whether shifts between motile and sessile life in the globally abundant Roseobacter clade species Ruegeria mobilis are associated with intracellular concentrations of the signal compound cyclic dimeric guanosinmonophosphate (c-di-GMP), which in bacteria regulates transitions between motile and sessile life stages. Genes for diguanylate cyclases and phosphodiesterases, which are involved in c-di-GMP signalling, were found in the genome of R. mobilis strain F1926. Ion pair chromatography-tandem mass spectrometry revealed 20-fold higher c-di-GMP concentrations per cell in biofilm-containing cultures than in planktonic cells. An introduced diguanylate cyclase gene increased c-di-GMP and enhanced biofilm formation and production of the potent antibiotic tropodithietic acid (TDA). An introduced phosphodiesterase gene decreased c-di-GMP and reduced biofilm formation and TDA production. tdaC, a key gene for TDA biosynthesis, was expressed only in attached or biofilm-forming cells, and expression was induced immediately after initial attachment. In conclusion, c-di-GMP signalling controls biofilm formation and biofilm-associated traits in R. mobilis and, as suggested by presence of GGDEF and EAL domain protein genes, also in other Roseobacter clade species.","author":[{"dropping-particle":"","family":"D'Alvise","given":"Paul W.","non-dropping-particle":"","parse-names":false,"suffix":""},{"dropping-particle":"","family":"Magdenoska","given":"Olivera","non-dropping-particle":"","parse-names":false,"suffix":""},{"dropping-particle":"","family":"Melchiorsen","given":"Jette","non-dropping-particle":"","parse-names":false,"suffix":""},{"dropping-particle":"","family":"Nielsen","given":"Kristian F.","non-dropping-particle":"","parse-names":false,"suffix":""},{"dropping-particle":"","family":"Gram","given":"Lone","non-dropping-particle":"","parse-names":false,"suffix":""}],"container-title":"Environmental Microbiology","id":"ITEM-3","issue":"5","issued":{"date-parts":[["2014","5"]]},"page":"1252-1266","title":"Biofilm formation and antibiotic production in &lt;i&gt;Ruegeria mobilis &lt;/i&gt;are influenced by intracellular concentrations of cyclic dimeric guanosinmonophosphate","type":"article-journal","volume":"16"},"uris":["http://www.mendeley.com/documents/?uuid=c5b49d09-1304-4b59-844d-47aeb6327072"]}],"mendeley":{"formattedCitation":"(31, 41, 47)","plainTextFormattedCitation":"(31, 41, 47)","previouslyFormattedCitation":"(Hengge 2009; McDougald et al. 2012; D’Alvise et al. 2014)"},"properties":{"noteIndex":0},"schema":"https://github.com/citation-style-language/schema/raw/master/csl-citation.json"}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(31, 41, 47)</w:t>
      </w:r>
      <w:r w:rsidRPr="00F11D34">
        <w:rPr>
          <w:rFonts w:ascii="Verdana" w:hAnsi="Verdana" w:cs="Times New Roman"/>
          <w:sz w:val="20"/>
          <w:szCs w:val="20"/>
        </w:rPr>
        <w:fldChar w:fldCharType="end"/>
      </w:r>
      <w:r w:rsidRPr="00F11D34">
        <w:rPr>
          <w:rFonts w:ascii="Verdana" w:hAnsi="Verdana" w:cs="Times New Roman"/>
          <w:sz w:val="20"/>
          <w:szCs w:val="20"/>
        </w:rPr>
        <w:t xml:space="preserve">. We postulate this mechanism of regulation applies to the QS networks in Y4I. We also hypothesize a role for the </w:t>
      </w:r>
      <w:proofErr w:type="spellStart"/>
      <w:r w:rsidRPr="00F11D34">
        <w:rPr>
          <w:rFonts w:ascii="Verdana" w:hAnsi="Verdana" w:cs="Times New Roman"/>
          <w:sz w:val="20"/>
          <w:szCs w:val="20"/>
        </w:rPr>
        <w:t>CtrA</w:t>
      </w:r>
      <w:proofErr w:type="spellEnd"/>
      <w:r w:rsidRPr="00F11D34">
        <w:rPr>
          <w:rFonts w:ascii="Verdana" w:hAnsi="Verdana" w:cs="Times New Roman"/>
          <w:sz w:val="20"/>
          <w:szCs w:val="20"/>
        </w:rPr>
        <w:t xml:space="preserve"> phosphorelay system in regulating surface growth associated physiologies, including attachment, </w:t>
      </w:r>
      <w:proofErr w:type="spellStart"/>
      <w:r w:rsidRPr="00F11D34">
        <w:rPr>
          <w:rFonts w:ascii="Verdana" w:hAnsi="Verdana" w:cs="Times New Roman"/>
          <w:sz w:val="20"/>
          <w:szCs w:val="20"/>
        </w:rPr>
        <w:t>mechanosensing</w:t>
      </w:r>
      <w:proofErr w:type="spellEnd"/>
      <w:r w:rsidRPr="00F11D34">
        <w:rPr>
          <w:rFonts w:ascii="Verdana" w:hAnsi="Verdana" w:cs="Times New Roman"/>
          <w:sz w:val="20"/>
          <w:szCs w:val="20"/>
        </w:rPr>
        <w:t xml:space="preserve">, flagella and </w:t>
      </w:r>
      <w:r w:rsidRPr="00F11D34">
        <w:rPr>
          <w:rFonts w:ascii="Verdana" w:hAnsi="Verdana" w:cs="Times New Roman"/>
          <w:sz w:val="20"/>
          <w:szCs w:val="20"/>
        </w:rPr>
        <w:lastRenderedPageBreak/>
        <w:t xml:space="preserve">biofilm formation in Y4I </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{"citationItems":[{"id":"ITEM-1","itemData":{"DOI":"10.1093/femsre/fuy019","ISSN":"15746976","PMID":"29733367","abstract":"The α-proteobacteria are a fascinating group of free-living, symbiotic and pathogenic organisms, including the Brucella genus, which is responsible for a worldwide zoonosis. One common feature of α-proteobacteria is the presence of a conserved response regulator called CtrA, first described in the model bacterium Caulobacter crescentus, where it controls gene expression at different stages of the cell cycle. Here, we focus on Brucella abortus and other intracellular α-proteobacteria in order to better assess the potential role of CtrA in the infectious context. Comparative genomic analyses of the CtrA control pathway revealed the conservation of specific modules, as well as the acquisition of new factors during evolution. The comparison of CtrA regulons also suggests that specific clades of α-proteobacteria acquired distinct functions under its control, depending on the essentiality of the transcription factor. Other CtrA-controlled functions, for instance motility and DNA repair, are proposed to be more ancestral. Altogether, these analyses provide an interesting example of the plasticity of a regulation network, subject to the constraints of inherent imperatives such as cell division and the adaptations to diversified environmental niches.","author":[{"dropping-particle":"","family":"Poncin","given":"Katy","non-dropping-particle":"","parse-names":false,"suffix":""},{"dropping-particle":"","family":"Gillet","given":"Sébastien","non-dropping-particle":"","parse-names":false,"suffix":""},{"dropping-particle":"","family":"Bolle","given":"Xavier","non-dropping-particle":"De","parse-names":false,"suffix":""}],"container-title":"FEMS microbiology reviews","id":"ITEM-1","issue":"4","issued":{"date-parts":[["2018","7","1"]]},"page":"500-513","publisher":"NLM (Medline)","title":"Learning from the master: targets and functions of the CtrA response regulator in &lt;i&gt;Brucella abortus&lt;/i&gt; and other alpha-proteobacteria","type":"article","volume":"42"},"uris":["http://www.mendeley.com/documents/?uuid=eb03cdf0-6423-32ef-b72e-a3f5152a6710"]}],"mendeley":{"formattedCitation":"(48)","plainTextFormattedCitation":"(48)","previouslyFormattedCitation":"(Poncin, Gillet, and De Bolle 2018)"},"properties":{"noteIndex":0},"schema":"https://github.com/citation-style-language/schema/raw/master/csl-citation.json"}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(48)</w:t>
      </w:r>
      <w:r w:rsidRPr="00F11D34">
        <w:rPr>
          <w:rFonts w:ascii="Verdana" w:hAnsi="Verdana" w:cs="Times New Roman"/>
          <w:sz w:val="20"/>
          <w:szCs w:val="20"/>
        </w:rPr>
        <w:fldChar w:fldCharType="end"/>
      </w:r>
      <w:r w:rsidRPr="00F11D34">
        <w:rPr>
          <w:rFonts w:ascii="Verdana" w:hAnsi="Verdana" w:cs="Times New Roman"/>
          <w:sz w:val="20"/>
          <w:szCs w:val="20"/>
        </w:rPr>
        <w:t xml:space="preserve">. We anticipate future studies will more fully elucidate the extent and nature of c-di-GMP and </w:t>
      </w:r>
      <w:proofErr w:type="spellStart"/>
      <w:r w:rsidRPr="00F11D34">
        <w:rPr>
          <w:rFonts w:ascii="Verdana" w:hAnsi="Verdana" w:cs="Times New Roman"/>
          <w:sz w:val="20"/>
          <w:szCs w:val="20"/>
        </w:rPr>
        <w:t>CtrA</w:t>
      </w:r>
      <w:proofErr w:type="spellEnd"/>
      <w:r w:rsidRPr="00F11D34">
        <w:rPr>
          <w:rFonts w:ascii="Verdana" w:hAnsi="Verdana" w:cs="Times New Roman"/>
          <w:sz w:val="20"/>
          <w:szCs w:val="20"/>
        </w:rPr>
        <w:t xml:space="preserve"> to antimicrobial production and biofilm in this strain. </w:t>
      </w:r>
    </w:p>
    <w:p w14:paraId="68886267" w14:textId="1539D2C0" w:rsidR="00E431A4" w:rsidRPr="00F11D34" w:rsidRDefault="00834C18" w:rsidP="00677C01">
      <w:pPr>
        <w:spacing w:before="240"/>
        <w:jc w:val="both"/>
        <w:rPr>
          <w:rFonts w:ascii="Verdana" w:hAnsi="Verdana" w:cs="Times New Roman"/>
          <w:b/>
          <w:bCs/>
          <w:i/>
          <w:iCs/>
          <w:sz w:val="20"/>
          <w:szCs w:val="20"/>
        </w:rPr>
      </w:pPr>
      <w:r w:rsidRPr="00F11D34">
        <w:rPr>
          <w:rFonts w:ascii="Verdana" w:hAnsi="Verdana" w:cs="Times New Roman"/>
          <w:b/>
          <w:bCs/>
          <w:i/>
          <w:iCs/>
          <w:sz w:val="20"/>
          <w:szCs w:val="20"/>
        </w:rPr>
        <w:t>Ecological Context of QS Signaling Dynamics</w:t>
      </w:r>
    </w:p>
    <w:p w14:paraId="17DAEF91" w14:textId="3C43C14E" w:rsidR="00834C18" w:rsidRPr="00F11D34" w:rsidRDefault="00834C18" w:rsidP="00677C01">
      <w:pPr>
        <w:spacing w:before="240"/>
        <w:ind w:firstLine="720"/>
        <w:jc w:val="both"/>
        <w:rPr>
          <w:rFonts w:ascii="Verdana" w:hAnsi="Verdana" w:cs="Times New Roman"/>
          <w:sz w:val="20"/>
          <w:szCs w:val="20"/>
        </w:rPr>
      </w:pPr>
      <w:r w:rsidRPr="00F11D34">
        <w:rPr>
          <w:rFonts w:ascii="Verdana" w:hAnsi="Verdana" w:cs="Times New Roman"/>
          <w:sz w:val="20"/>
          <w:szCs w:val="20"/>
        </w:rPr>
        <w:t>QS has been shown to contribute to competitive physiologies, such as biofilm formation and antimicrobial production, in members of the Roseobacter clade (e.g.</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{"citationItems":[{"id":"ITEM-1","itemData":{"DOI":"10.1128/JB.05818-11","ISSN":"0021-9193","PMID":"21949069","abstract":"The production of N-acyl homoserine lactones (AHLs) is widely distributed within the marine Roseobacter clade, and it was proposed that AHL-mediated quorum sensing (QS) is one of the most common cell-to-cell communication mechanisms in roseobacters. The traits regulated by AHL-mediated QS are yet not known for members of the Roseobacter clade, but production of the antibiotic tropodithietic acid (TDA) was supposed to be controlled by AHL-mediated QS in Phaeobacter spp. We describe here for the first time the functional role of luxR and luxI homologous genes of an organism of the Roseobacter clade, i.e., pgaR and pgaI in Phaeobacter gallaeciensis. Our results demonstrate that the AHL synthase gene pgaI is responsible for production of N-3-hydroxydecanoylhomoserine lactone (3OHC(10)-HSL). Insertion mutants of pgaI and pgaR are both deficient in TDA biosynthesis and the formation of a yellow-brown pigment when grown in liquid marine broth medium. This indicates that in P. gallaeciensis the production of both secondary metabolites is controlled by AHL-mediated QS. Quantitative real-time PCR showed that the transcription level of tdaA, which encodes an essential transcriptional regulator for TDA biosynthesis, decreased 28- and 51-fold in pgaI and pgaR genetic backgrounds, respectively. These results suggest that both the response regulator PgaR and the 3OHC(10)-HSL produced by PgaI induce expression of tdaA, which in turn positively regulates expression of the tda genes. Moreover, we confirmed that TDA can also act as autoinducer in P. gallaeciensis, as previously described for Silicibacter sp. strain TM1040, but only in the presence of the response regulator PgaR.","author":[{"dropping-particle":"","family":"Berger","given":"M.","non-dropping-particle":"","parse-names":false,"suffix":""},{"dropping-particle":"","family":"Neumann","given":"A.","non-dropping-particle":"","parse-names":false,"suffix":""},{"dropping-particle":"","family":"Schulz","given":"S.","non-dropping-particle":"","parse-names":false,"suffix":""},{"dropping-particle":"","family":"Simon","given":"M.","non-dropping-particle":"","parse-names":false,"suffix":""},{"dropping-particle":"","family":"Brinkhoff","given":"T.","non-dropping-particle":"","parse-names":false,"suffix":""}],"container-title":"Journal of Bacteriology","id":"ITEM-1","issue":"23","issued":{"date-parts":[["2011","12","1"]]},"page":"6576-6585","title":"Tropodithietic Acid Production in &lt;i&gt;Phaeobacter gallaeciensis&lt;/i&gt; Is Regulated by N-Acyl Homoserine Lactone-Mediated Quorum Sensing","type":"article-journal","volume":"193"},"uris":["http://www.mendeley.com/documents/?uuid=75c52dbb-3769-4817-aa87-8f18c5e47913"]},{"id":"ITEM-2","itemData":{"DOI":"10.1038/s41598-017-00784-7","ISSN":"20452322","PMID":"28389641","abstract":"Antibiotics are typically regarded as microbial weapons, but whereas their function at concentrations lethal for bacteria is often well characterized, the role of antibiotics at much lower concentrations as possibly found under natural conditions remains poorly understood. By using whole-transcriptome analyses and phenotypic screenings of the marine bacterium Phaeobacter inhibens we found that the broad-spectrum antibiotic tropodithietic acid (TDA) causes the same regulatory effects in quorum sensing (QS) as the common signaling molecule N-acyl-homoserine lactone (AHL) at concentrations 100-fold lower than the minimal inhibitory concentration against bacteria. Our results show that TDA has a significant impact on the expression of ~10% of the total genes of P. inhibens, in the same manner as the AHL. Furthermore, TDA needs the AHL associated LuxR-type transcriptional regulator, just as the AHL molecule. Low concentrations of antibiotics can obviously have a strong influence on the global gene expression of the bacterium that produces it and drastically change the metabolism and behaviour of the bacterium. For P. inhibens this includes motility, biofilm formation and antibiotic production, all important for settlement on new host-associated surfaces. Our results demonstrate that bacteria can produce antibiotics not only to antagonise other bacteria, but also to mediate QS like endogenous AHL molecules.","author":[{"dropping-particle":"","family":"Beyersmann","given":"Paul G.","non-dropping-particle":"","parse-names":false,"suffix":""},{"dropping-particle":"","family":"Tomasch","given":"Jörgen Jürgen","non-dropping-particle":"","parse-names":false,"suffix":""},{"dropping-particle":"","family":"Son","given":"Kwangmin","non-dropping-particle":"","parse-names":false,"suffix":""},{"dropping-particle":"","family":"Stocker","given":"Roman","non-dropping-particle":"","parse-names":false,"suffix":""},{"dropping-particle":"","family":"Göker","given":"Markus","non-dropping-particle":"","parse-names":false,"suffix":""},{"dropping-particle":"","family":"Wagner-Döbler","given":"Irene","non-dropping-particle":"","parse-names":false,"suffix":""},{"dropping-particle":"","family":"Simon","given":"Meinhard","non-dropping-particle":"","parse-names":false,"suffix":""},{"dropping-particle":"","family":"Brinkhoff","given":"Thorsten","non-dropping-particle":"","parse-names":false,"suffix":""}],"container-title":"Scientific Reports","id":"ITEM-2","issue":"1","issued":{"date-parts":[["2017","12","7"]]},"page":"730","publisher":"Nature Publishing Group","title":"Dual function of tropodithietic acid as antibiotic and signaling molecule in global gene regulation of the probiotic bacterium &lt;i&gt;Phaeobacter inhibens&lt;/i&gt;","type":"article-journal","volume":"7"},"uris":["http://www.mendeley.com/documents/?uuid=f857a498-a8d6-4bcc-bf41-d07ac400a199"]},{"id":"ITEM-3","itemData":{"DOI":"10.1128/AEM.00449-06","ISSN":"0099-2240","PMID":"16885308","abstract":"Pseudalteromonas tunicata and Roseobacter gallaeciensis are biofilm-forming marine bacteria that are often found in association with the surface of the green alga Ulva australis. They are thought to benefit the plant host by producing inhibitory compounds that are active against common fouling organisms. We investigated factors that influence the ability of P. tunicata and R. gallaeciensis to attach to and colonize the plant surface and also the competitive interactions that occur between these organisms and other isolates from U. australis during biofilm formation on the plant surface. A surprisingly high number of P. tunicata cells, at least 10(8) cells ml(-1), were required for colonization and establishment of a population of cells that persists on axenic surfaces of U. australis. Factors that enhanced colonization of P. tunicata included inoculation in the dark and pregrowth of inocula in medium containing cellobiose as the sole carbon source (cellulose is a major surface polymer of U. australis). It was also found that P. tunicata requires the presence of a mixed microbial community to colonize effectively. In contrast, R. gallaeciensis effectively colonized the plant surface under all conditions tested. Studies of competitive interactions on the plant surface revealed that P. tunicata was numerically dominant compared with all other bacterial isolates tested (except R. gallaeciensis), and this dominance was linked to production of the antibacterial protein AlpP. Generally, P. tunicata was able to coexist with competing strains, and each strain existed as microcolonies in spatially segregated regions of the plant. R. gallaeciensis was numerically dominant compared with all strains tested and was able to invade and disperse preestablished biofilms. This study highlighted the fact that microbial colonization of U. australis surfaces is a dynamic process and demonstrated the differences in colonization strategies exhibited by the epiphytic bacteria P. tunicata and R. gallaeciensis.","author":[{"dropping-particle":"","family":"Rao","given":"Dhana","non-dropping-particle":"","parse-names":false,"suffix":""},{"dropping-particle":"","family":"Webb","given":"Jeremy S","non-dropping-particle":"","parse-names":false,"suffix":""},{"dropping-particle":"","family":"Kjelleberg","given":"Staffan","non-dropping-particle":"","parse-names":false,"suffix":""}],"container-title":"Applied and environmental microbiology","id":"ITEM-3","issue":"8","issued":{"date-parts":[["2006","8","1"]]},"page":"5547-55","publisher":"American Society for Microbiology","title":"Microbial colonization and competition on the marine alga &lt;i&gt;Ulva australis &lt;/i&gt;.","type":"article-journal","volume":"72"},"uris":["http://www.mendeley.com/documents/?uuid=d60d268e-3d68-3b9d-aa95-12e11b377db4"]}],"mendeley":{"formattedCitation":"(27, 49, 50)","plainTextFormattedCitation":"(27, 49, 50)","previouslyFormattedCitation":"(Berger et al. 2011; Beyersmann et al. 2017; Rao, Webb, and Kjelleberg 2006)"},"properties":{"noteIndex":0},"schema":"https://github.com/citation-style-language/schema/raw/master/csl-citation.json"}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(27, 49, 50)</w:t>
      </w:r>
      <w:r w:rsidRPr="00F11D34">
        <w:rPr>
          <w:rFonts w:ascii="Verdana" w:hAnsi="Verdana" w:cs="Times New Roman"/>
          <w:sz w:val="20"/>
          <w:szCs w:val="20"/>
        </w:rPr>
        <w:fldChar w:fldCharType="end"/>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{"citationItems":[{"id":"ITEM-1","itemData":{"DOI":"10.3390/ijms15010654","ISSN":"1422-0067","PMID":"24402124","abstract":"Members of the Roseobacter clade are ecologically important and numerically abundant in coastal environments and can associate with marine invertebrates and nutrient-rich marine snow or organic particles, on which quorum sensing (QS) may play an important role. In this review, we summarize current research progress on roseobacterial acyl-homoserine lactone-based QS, particularly focusing on three relatively well-studied representatives, Phaeobacter inhibens DSM17395, the marine sponge symbiont Ruegeria sp. KLH11 and the dinoflagellate symbiont Dinoroseobacter shibae. Bioinformatic survey of luxI homologues revealed that over 80% of available roseobacterial genomes encode at least one luxI homologue, reflecting the significance of QS controlled regulatory pathways in adapting to the relevant marine environments. We also discuss several areas that warrant further investigation, including studies on the ecological role of these diverse QS pathways in natural environments.","author":[{"dropping-particle":"","family":"Zan","given":"Jindong","non-dropping-particle":"","parse-names":false,"suffix":""},{"dropping-particle":"","family":"Liu","given":"Yue","non-dropping-particle":"","parse-names":false,"suffix":""},{"dropping-particle":"","family":"Fuqua","given":"Clay","non-dropping-particle":"","parse-names":false,"suffix":""},{"dropping-particle":"","family":"Hill","given":"Russell","non-dropping-particle":"","parse-names":false,"suffix":""}],"container-title":"International Journal of Molecular Sciences","id":"ITEM-1","issue":"1","issued":{"date-parts":[["2014","1","7"]]},"page":"654-669","title":"Acyl-Homoserine Lactone Quorum Sensing in the Roseobacter Clade","type":"article-journal","volume":"15"},"uris":["http://www.mendeley.com/documents/?uuid=6a6d5a2d-f3a9-3ca3-bfbd-c3dc95862f42"]}],"mendeley":{"formattedCitation":"(11)","manualFormatting":"and reviewed in Zan et al., 2014)","plainTextFormattedCitation":"(11)","previouslyFormattedCitation":"(Zan et al. 2014)"},"properties":{"noteIndex":0},"schema":"https://github.com/citation-style-language/schema/raw/master/csl-citation.json"}</w:instrText>
      </w:r>
      <w:r w:rsidRPr="00F11D34">
        <w:rPr>
          <w:rFonts w:ascii="Verdana" w:hAnsi="Verdana" w:cs="Times New Roman"/>
          <w:sz w:val="20"/>
          <w:szCs w:val="20"/>
        </w:rPr>
        <w:fldChar w:fldCharType="separate"/>
      </w:r>
      <w:r w:rsidRPr="00F11D34">
        <w:rPr>
          <w:rFonts w:ascii="Verdana" w:hAnsi="Verdana" w:cs="Times New Roman"/>
          <w:noProof/>
          <w:sz w:val="20"/>
          <w:szCs w:val="20"/>
        </w:rPr>
        <w:t>and reviewed in Zan et al., 2014)</w:t>
      </w:r>
      <w:r w:rsidRPr="00F11D34">
        <w:rPr>
          <w:rFonts w:ascii="Verdana" w:hAnsi="Verdana" w:cs="Times New Roman"/>
          <w:sz w:val="20"/>
          <w:szCs w:val="20"/>
        </w:rPr>
        <w:fldChar w:fldCharType="end"/>
      </w:r>
      <w:r w:rsidRPr="00F11D34">
        <w:rPr>
          <w:rFonts w:ascii="Verdana" w:hAnsi="Verdana" w:cs="Times New Roman"/>
          <w:sz w:val="20"/>
          <w:szCs w:val="20"/>
        </w:rPr>
        <w:t xml:space="preserve">. Here, we provide evidence that Y4I employs a hierarchical QS circuit to mediate biofilm formation and indigoidine production. At the top of the hierarchical network in Y4I is one of the most common marine signaling molecules: C8-HSL </w:t>
      </w:r>
      <w:r w:rsidRPr="00F11D34" w:rsidDel="007E654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{"citationItems":[{"id":"ITEM-1","itemData":{"DOI":"10.1111/j.1462-2920.2007.01431.x","ISBN":"1462-2920 (Electronic)\\n1462-2912 (Linking)","ISSN":"14622912","PMID":"18211268","abstract":"Marine sponges are hosts to diverse and dense bacterial communities and thus provide a potential environment for quorum sensing. Quorum sensing, a key factor in cell-cell communication and bacterial colonization of higher animals, might be involved in the symbiotic interactions between bacteria and their sponge hosts. Given that marine Proteobacteria are known to produce N-acyl homoserine lactone (AHL) signal molecules, we tested the production of AHLs by Alpha- and Gammaproteobacteria isolated from marine sponges Mycale laxissima and Ircinia strobilina and the surrounding water column. We used three different AHL biodetection systems in diffusion assays: Chromobacterium violaceum, Agrobacterium tumefaciens and Sinorhizobium meliloti with optimal sensitivity to short-chain (C4-C6), moderate-chain (C8-C12) and long-chain (&gt;or= C14) AHLs respectively. Thirteen of 23 isolates from M. laxissima and five of 25 isolates from I. strobilina were found to produce AHLs. Signals were detected from two of eight proteobacterial strains from the water column. Thin-layer chromatographic assays based on the A. tumefaciens reporter system were utilized to determine the AHL profiles of the positive isolates. The types and amounts of AHLs synthesized varied considerably among the strains. Small ribosomal rRNA gene sequencing revealed that the AHL-producing alphaproteobacterial isolates were mainly from the Silicibacter-Ruegeria subgroup of the Roseobacter clade. Two-dimensional gel electrophoresis (2DGE)-based proteomic analyses were congruent with phylogenetic relationships but provided higher resolution to differentiate these closely related AHL-producing strains.","author":[{"dropping-particle":"","family":"Mohamed","given":"Naglaa M.","non-dropping-particle":"","parse-names":false,"suffix":""},{"dropping-particle":"","family":"Cicirelli","given":"Elisha M.","non-dropping-particle":"","parse-names":false,"suffix":""},{"dropping-particle":"","family":"Kan","given":"Jinjun","non-dropping-particle":"","parse-names":false,"suffix":""},{"dropping-particle":"","family":"Chen","given":"Feng","non-dropping-particle":"","parse-names":false,"suffix":""},{"dropping-particle":"","family":"Fuqua","given":"Clay","non-dropping-particle":"","parse-names":false,"suffix":""},{"dropping-particle":"","family":"Hill","given":"Russell T.","non-dropping-particle":"","parse-names":false,"suffix":""}],"container-title":"Environmental Microbiology","id":"ITEM-1","issue":"1","issued":{"date-parts":[["2008","9","5"]]},"page":"75-86","publisher":"John Wiley &amp; Sons, Ltd (10.1111)","title":"Diversity and quorum-sensing signal production of Proteobacteria associated with marine sponges","type":"article-journal","volume":"10"},"uris":["http://www.mendeley.com/documents/?uuid=e41aceb4-0f35-4a20-b8a7-2bbbaf6e89f1"]},{"id":"ITEM-2","itemData":{"DOI":"10.1128/AEM.00297-12","ISBN":"0099-2240","ISSN":"00992240","PMID":"22582055","abstract":"Members of the Roseobacter lineage of marine bacteria are prolific surface colonizers in marine coastal environments, and antimicrobial secondary metabolite production has been hypothesized to provide a competitive advantage to colonizing roseobacters. Here, we report that the roseobacter Phaeobacter sp. strain Y4I produces the blue pigment indigoidine via a nonribosomal peptide synthase (NRPS)-based biosynthetic pathway encoded by a novel series of genetically linked genes: igiBCDFE. A Tn5-based random mutagenesis library of Y4I showed a perfect correlation between indigoidine production by the Phaeobacter strain and inhibition of Vibrio fischeri on agar plates, revealing a previously unrecognized bioactivity of this molecule. In addition, igiD null mutants (igiD encoding the indigoidine NRPS) were more resistant to hydrogen peroxide, less motile, and faster to colonize an artificial surface than the wild-type strain. Collectively, these data provide evidence for pleiotropic effects of indigoidine production in this strain. Gene expression assays support phenotypic observations and demonstrate that igiD gene expression is upregulated during growth on surfaces. Furthermore, competitive cocultures of V. fischeri and Y4I show that the production of indigoidine by Y4I significantly inhibits colonization of V. fischeri on surfaces. This study is the first to characterize a secondary metabolite produced by an NRPS in roseobacters.","author":[{"dropping-particle":"","family":"Cude","given":"W. Nathan","non-dropping-particle":"","parse-names":false,"suffix":""},{"dropping-particle":"","family":"Mooney","given":"Jason","non-dropping-particle":"","parse-names":false,"suffix":""},{"dropping-particle":"","family":"Tavanaei","given":"Arash A.","non-dropping-particle":"","parse-names":false,"suffix":""},{"dropping-particle":"","family":"Hadden","given":"Mary K.","non-dropping-particle":"","parse-names":false,"suffix":""},{"dropping-particle":"","family":"Frank","given":"Ashley M.","non-dropping-particle":"","parse-names":false,"suffix":""},{"dropping-particle":"","family":"Gulvik","given":"Christopher A.","non-dropping-particle":"","parse-names":false,"suffix":""},{"dropping-particle":"","family":"May","given":"Amanda L.","non-dropping-particle":"","parse-names":false,"suffix":""},{"dropping-particle":"","family":"Buchan","given":"Alison","non-dropping-particle":"","parse-names":false,"suffix":""}],"container-title":"Applied and Environmental Microbiology","id":"ITEM-2","issue":"14","issued":{"date-parts":[["2012"]]},"page":"4771-4780","title":"Production of the antimicrobial secondary metabolite indigoidine contributes to competitive surface colonization by the marine roseobacter &lt;i&gt;Phaeobacter sp. &lt;/i&gt; strain Y4I","type":"article-journal","volume":"78"},"uris":["http://www.mendeley.com/documents/?uuid=724a6358-e74e-4f7e-ae9f-a18df1b39f19"]},{"id":"ITEM-3","itemData":{"DOI":"10.3389/fmicb.2016.01342","ISSN":"1664-302X","PMID":"27660622","abstract":"Female members of many cephalopod species house a bacterial consortium in the accessory nidamental gland (ANG), part of the reproductive system. These bacteria are deposited into eggs that are then laid in the environment where they must develop unprotected from predation, pathogens, and fouling. In this study, we characterized the genome and secondary metabolite production of Leisingera sp. JC1, a member of the roseobacter clade (Rhodobacteraceae) of Alphaproteobacteria isolated from the jelly coat of eggs from the Hawaiian bobtail squid, Euprymna scolopes. Whole genome sequencing and MLSA analysis revealed that Leisingera sp. JC1 falls within a group of roseobacters associated with squid ANGs. Genome and biochemical analyses revealed the potential for and production of a number of secondary metabolites, including siderophores and acyl-homoserine lactones involved with quorum sensing. The complete biosynthetic gene cluster for the pigment indigoidine was detected in the genome and mass spectrometry confirmed the production of this compound. Furthermore, we investigated the production of indigoidine under co-culture conditions with Vibrio fischeri, the light organ symbiont of E. scolopes, and with other vibrios. Finally, both Leisingera sp. JC1 and secondary metabolite extracts of this strain had differential antimicrobial activity against a number of marine vibrios, suggesting that Leisingera sp. JC1 may play a role in host defense against other marine bacteria either in the eggs and/or ANG. These data also suggest that indigoidine may be partially, but not wholly, responsible for the antimicrobial activity of this squid-associated bacterium.","author":[{"dropping-particle":"","family":"Gromek","given":"Samantha M.","non-dropping-particle":"","parse-names":false,"suffix":""},{"dropping-particle":"","family":"Suria","given":"Andrea M.","non-dropping-particle":"","parse-names":false,"suffix":""},{"dropping-particle":"","family":"Fullmer","given":"Matthew S.","non-dropping-particle":"","parse-names":false,"suffix":""},{"dropping-particle":"","family":"Garcia","given":"Jillian L.","non-dropping-particle":"","parse-names":false,"suffix":""},{"dropping-particle":"","family":"Gogarten","given":"Johann Peter","non-dropping-particle":"","parse-names":false,"suffix":""},{"dropping-particle":"V.","family":"Nyholm","given":"Spencer","non-dropping-particle":"","parse-names":false,"suffix":""},{"dropping-particle":"","family":"Balunas","given":"Marcy J.","non-dropping-particle":"","parse-names":false,"suffix":""}],"container-title":"Frontiers in Microbiology","id":"ITEM-3","issued":{"date-parts":[["2016","9","8"]]},"note":"From Duplicate 1 (Leisingera sp. JC1, a bacterial isolate from hawaiian bobtail squid eggs, produces indigoidine and differentially inhibits vibrios - Gromek, Samantha M.; Suria, Andrea M.; Fullmer, Matthew S.; Garcia, Jillian L.; Gogarten, Johann Peter; Nyholm, Spencer V.; Balunas, Marcy J.)\n\nJC1 is a roseobacter species associated with squid eggs that also produces indigoidine! Furthermore, it produces an HSL - N-3-oxohexanoyl HSL -  that is similar Vibrio species AI-1. It seems to me that roseobacters like to hijack Vibrio HSLs, perhaps they are more closely associated than we realize?  \nThe paper also mentions that several of the genes for indigoidine in JC1 are homologous to Y4I, but more importantly mentions that JC1 does not have the genes to modify indigoidine like Y4I. Could this be evidence that indigodine is the antimicrobial and leucoindigoidine has another purpose??","page":"1342","title":"Leisingera sp. JC1, a Bacterial Isolate from Hawaiian Bobtail Squid Eggs, Produces Indigoidine and Differentially Inhibits Vibrios","type":"article-journal","volume":"7"},"uris":["http://www.mendeley.com/documents/?uuid=78882c65-ec38-4602-90fc-61e90a306af6"]},{"id":"ITEM-4","itemData":{"DOI":"10.1002/cbic.200500189","ISSN":"14394227","author":[{"dropping-particle":"","family":"Wagner-Döbler","given":"Irene","non-dropping-particle":"","parse-names":false,"suffix":""},{"dropping-particle":"","family":"Thiel","given":"Verena","non-dropping-particle":"","parse-names":false,"suffix":""},{"dropping-particle":"","family":"Eberl","given":"Leo","non-dropping-particle":"","parse-names":false,"suffix":""},{"dropping-particle":"","family":"Allgaier","given":"Martin","non-dropping-particle":"","parse-names":false,"suffix":""},{"dropping-particle":"","family":"Bodor","given":"Agnes","non-dropping-particle":"","parse-names":false,"suffix":""},{"dropping-particle":"","family":"Meyer","given":"Sandra","non-dropping-particle":"","parse-names":false,"suffix":""},{"dropping-particle":"","family":"Ebner","given":"Sabrina","non-dropping-particle":"","parse-names":false,"suffix":""},{"dropping-particle":"","family":"Hennig","given":"Andreas","non-dropping-particle":"","parse-names":false,"suffix":""},{"dropping-particle":"","family":"Pukall","given":"Rüdiger","non-dropping-particle":"","parse-names":false,"suffix":""},{"dropping-particle":"","family":"Schulz","given":"Stefan","non-dropping-particle":"","parse-names":false,"suffix":""}],"container-title":"ChemBioChem","id":"ITEM-4","issue":"12","issued":{"date-parts":[["2005","12","2"]]},"page":"2195-2206","publisher":"John Wiley &amp; Sons, Ltd","title":"Discovery of Complex Mixtures of Novel Long-Chain Quorum Sensing Signals in Free-Living and Host-Associated Marine Alphaproteobacteria","type":"article-journal","volume":"6"},"uris":["http://www.mendeley.com/documents/?uuid=42194ae9-e488-3450-9623-1e32a3252029"]},{"id":"ITEM-5","itemData":{"DOI":"10.3762/bjoc.14.112","ISSN":"1860-5397","PMID":"29977398","abstract":"N -Acylhomoserine lactones (AHLs) are important bacterial messengers, mediating different bacterial traits by quorum sensing in a cell-density dependent manner. AHLs are also produced by many bacteria of the marine Roseobacter group, which constitutes a large group within the marine microbiome. Often, specific mixtures of AHLs differing in chain length and oxidation status are produced by bacteria, but how the biosynthetic enzymes, LuxI homologs, are selecting the correct acyl precursors is largely unknown. We have analyzed the AHL production in Dinoroseobacter shibae and three Phaeobacter inhibens strains, revealing strain-specific mixtures. Although large differences were present between the species, the fatty acid profiles, the pool for the acyl precursors for AHL biosynthesis, were very similar. To test the acyl-chain selectivity, the three enzymes LuxI 1 and LuxI 2 from D. shibae DFL-12 as well as PgaI 2 from P. inhibens DSM 17395 were heterologously expressed in E. coli and the enzymes isolated for in vitro incubation experiments. The enzymes readily accepted shortened acyl coenzyme A analogs, N -pantothenoylcysteamine thioesters of fatty acids (PCEs). Fifteen PCEs were synthesized, varying in chain length from C 4 to C 20 , the degree of unsaturation and also including unusual acid esters, e.g., 2 E ,11 Z -C18:2-PCE. The latter served as a precursor of the major AHL of D. shibae DFL-12 LuxI 1 , 2 E ,11 Z -C18:2-homoserine lactone (HSL). Incubation experiments revealed that PgaI 2 accepts all substrates except C 4 and C 20 -PCE. Competition experiments demonstrated a preference of this enzyme for C 10 and C 12 PCEs. In contrast, the LuxI enzymes of D. shibae are more selective. While 2 E ,11 Z -C18:2-PCE is preferentially accepted by LuxI 1 , all other PCEs were not, except for the shorter, saturated C 10 –C 14 -PCEs. The AHL synthase LuxI 2 accepted only C 14 PCE and 3-hydroxydecanoyl-PCE. In summary, chain-length selectivity in AHLs can vary between different AHL enzymes. Both, a broad substrate acceptance and tuned specificity occur in the investigated enzymes.","author":[{"dropping-particle":"","family":"Ziesche","given":"Lisa","non-dropping-particle":"","parse-names":false,"suffix":""},{"dropping-particle":"","family":"Rinkel","given":"Jan","non-dropping-particle":"","parse-names":false,"suffix":""},{"dropping-particle":"","family":"Dickschat","given":"Jeroen S","non-dropping-particle":"","parse-names":false,"suffix":""},{"dropping-particle":"","family":"Schulz","given":"Stefan","non-dropping-particle":"","parse-names":false,"suffix":""}],"container-title":"Beilstein Journal of Organic Chemistry","id":"ITEM-5","issue":"1","issued":{"date-parts":[["2018","6","5"]]},"page":"1309-1316","publisher":"Beilstein-Institut","title":"Acyl-group specificity of AHL synthases involved in quorum-sensing in Roseobacter group bacteria","type":"article-journal","volume":"14"},"uris":["http://www.mendeley.com/documents/?uuid=3d0ec4da-b2bc-4e0d-9421-44fb7c487bda"]},{"id":"ITEM-6","itemData":{"DOI":"10.3389/fmars.2016.00055","ISSN":"2296-7745","abstract":"The concentration of atmospheric carbon dioxide is directly linked to the sinking of photosynthetically derived particulate organic carbon (POC) from surface waters to deep waters. This process, known as the marine biological carbon pump, removes carbon from exchange with the atmosphere, thus regulating global climate. Recent evidence suggests that microbial chemical communication systems (e.g. quorum sensing) amongst heterotrophic bacteria associated with sinking POC, significantly influences their hydrolytic enzyme activity and, as such, may affect the efficiency of the biological carbon pump. Here, we present data showing that a class of quorum sensing molecules, acylated homeserine lactones (AHLs) substantially impact hydrolytic phosphatase, aminopeptidase, and lipase activity in samples of sinking particles collected from the Atlantic and Pacific Ocean. Incubations of sinking particles amended with exogenous AHLs showed both stimulated and inhibited rates of activity after 24 hours of incubation, suggesting a critical link between bacterial AHL signaling mechanisms and the rate of POC degradation. Further experiments reveal that hydrolytic pathways could be affected within a few hours of amendment with AHLs, suggesting that microbial communities are able to dynamically modify their metabolic pathways in response to perceived quorum sensing. Finally, the concentration of the AHL amendment also affected hydrolytic activity. Our results indicated that quorum sensing has the potential to influence hydrolytic activity in a range of oceanic environments, but response also vary significantly as a function of the type of AHL, their concentration, and response time. AHL-based quorum sensing may be thought of as a global language among marine bacteria, but it is highly complex.","author":[{"dropping-particle":"","family":"Krupke","given":"Andreas","non-dropping-particle":"","parse-names":false,"suffix":""},{"dropping-particle":"","family":"Hmelo","given":"Laura R.","non-dropping-particle":"","parse-names":false,"suffix":""},{"dropping-particle":"","family":"Ossolinski","given":"Justin E.","non-dropping-particle":"","parse-names":false,"suffix":""},{"dropping-particle":"","family":"Mincer","given":"Tracy J.","non-dropping-particle":"","parse-names":false,"suffix":""},{"dropping-particle":"","family":"Mooy","given":"Benjamin A. S.","non-dropping-particle":"Van","parse-names":false,"suffix":""}],"container-title":"Frontiers in Marine Science","id":"ITEM-6","issued":{"date-parts":[["2016","5","6"]]},"note":"C8-HSL alternative (3OC8) elicits respones from bacteria associated with sinking particles more frequently than unsubstitued AHLs","page":"55","publisher":"Frontiers","title":"Quorum Sensing Plays a Complex Role in Regulating the Enzyme Hydrolysis Activity of Microbes Associated with Sinking Particles in the Ocean","type":"article-journal","volume":"3"},"uris":["http://www.mendeley.com/documents/?uuid=ae670d03-3000-3e6f-a683-563315995d57"]}],"mendeley":{"formattedCitation":"(12, 51–55)","plainTextFormattedCitation":"(12, 51–55)","previouslyFormattedCitation":"(Mohamed et al. 2008; Cude et al. 2012; Gromek et al. 2016; Wagner-Döbler et al. 2005; Ziesche et al. 2018; Krupke et al. 2016)"},"properties":{"noteIndex":0},"schema":"https://github.com/citation-style-language/schema/raw/master/csl-citation.json"}</w:instrText>
      </w:r>
      <w:r w:rsidRPr="00F11D34" w:rsidDel="007E6544">
        <w:rPr>
          <w:rFonts w:ascii="Verdana" w:hAnsi="Verdana" w:cs="Times New Roman"/>
          <w:sz w:val="20"/>
          <w:szCs w:val="20"/>
        </w:rPr>
        <w:fldChar w:fldCharType="separate"/>
      </w:r>
      <w:r w:rsidR="00B77EC7" w:rsidRPr="00F11D34">
        <w:rPr>
          <w:rFonts w:ascii="Verdana" w:hAnsi="Verdana" w:cs="Times New Roman"/>
          <w:noProof/>
          <w:sz w:val="20"/>
          <w:szCs w:val="20"/>
        </w:rPr>
        <w:t>(12, 51–55)</w:t>
      </w:r>
      <w:r w:rsidRPr="00F11D34" w:rsidDel="007E6544">
        <w:rPr>
          <w:rFonts w:ascii="Verdana" w:hAnsi="Verdana" w:cs="Times New Roman"/>
          <w:sz w:val="20"/>
          <w:szCs w:val="20"/>
        </w:rPr>
        <w:fldChar w:fldCharType="end"/>
      </w:r>
      <w:r w:rsidRPr="00F11D34" w:rsidDel="007E6544">
        <w:rPr>
          <w:rFonts w:ascii="Verdana" w:hAnsi="Verdana" w:cs="Times New Roman"/>
          <w:sz w:val="20"/>
          <w:szCs w:val="20"/>
        </w:rPr>
        <w:t>.</w:t>
      </w:r>
      <w:r w:rsidRPr="00F11D34">
        <w:rPr>
          <w:rFonts w:ascii="Verdana" w:hAnsi="Verdana" w:cs="Times New Roman"/>
          <w:sz w:val="20"/>
          <w:szCs w:val="20"/>
        </w:rPr>
        <w:t xml:space="preserve"> It is</w:t>
      </w:r>
      <w:r w:rsidRPr="00F11D34" w:rsidDel="007E6544">
        <w:rPr>
          <w:rFonts w:ascii="Verdana" w:hAnsi="Verdana" w:cs="Times New Roman"/>
          <w:sz w:val="20"/>
          <w:szCs w:val="20"/>
        </w:rPr>
        <w:t xml:space="preserve"> </w:t>
      </w:r>
      <w:r w:rsidRPr="00F11D34">
        <w:rPr>
          <w:rFonts w:ascii="Verdana" w:hAnsi="Verdana" w:cs="Times New Roman"/>
          <w:sz w:val="20"/>
          <w:szCs w:val="20"/>
        </w:rPr>
        <w:t xml:space="preserve">intriguing that this dominant AHL, which is produced by a number of aquatic microorganisms, including </w:t>
      </w:r>
      <w:r w:rsidRPr="00F11D34">
        <w:rPr>
          <w:rFonts w:ascii="Verdana" w:hAnsi="Verdana" w:cs="Times New Roman"/>
          <w:i/>
          <w:sz w:val="20"/>
          <w:szCs w:val="20"/>
        </w:rPr>
        <w:t xml:space="preserve">A. </w:t>
      </w:r>
      <w:proofErr w:type="spellStart"/>
      <w:r w:rsidRPr="00F11D34">
        <w:rPr>
          <w:rFonts w:ascii="Verdana" w:hAnsi="Verdana" w:cs="Times New Roman"/>
          <w:i/>
          <w:sz w:val="20"/>
          <w:szCs w:val="20"/>
        </w:rPr>
        <w:t>fischeri</w:t>
      </w:r>
      <w:proofErr w:type="spellEnd"/>
      <w:r w:rsidRPr="00F11D34">
        <w:rPr>
          <w:rFonts w:ascii="Verdana" w:hAnsi="Verdana" w:cs="Times New Roman"/>
          <w:i/>
          <w:sz w:val="20"/>
          <w:szCs w:val="20"/>
        </w:rPr>
        <w:t xml:space="preserve"> </w:t>
      </w:r>
      <w:r w:rsidRPr="00F11D34">
        <w:rPr>
          <w:rFonts w:ascii="Verdana" w:hAnsi="Verdana" w:cs="Times New Roman"/>
          <w:iCs/>
          <w:sz w:val="20"/>
          <w:szCs w:val="20"/>
        </w:rPr>
        <w:t>and</w:t>
      </w:r>
      <w:r w:rsidRPr="00F11D34">
        <w:rPr>
          <w:rFonts w:ascii="Verdana" w:hAnsi="Verdana" w:cs="Times New Roman"/>
          <w:i/>
          <w:sz w:val="20"/>
          <w:szCs w:val="20"/>
        </w:rPr>
        <w:t xml:space="preserve"> A. </w:t>
      </w:r>
      <w:proofErr w:type="spellStart"/>
      <w:r w:rsidRPr="00F11D34">
        <w:rPr>
          <w:rFonts w:ascii="Verdana" w:hAnsi="Verdana" w:cs="Times New Roman"/>
          <w:i/>
          <w:sz w:val="20"/>
          <w:szCs w:val="20"/>
        </w:rPr>
        <w:t>anguillarum</w:t>
      </w:r>
      <w:proofErr w:type="spellEnd"/>
      <w:r w:rsidRPr="00F11D34">
        <w:rPr>
          <w:rFonts w:ascii="Verdana" w:hAnsi="Verdana" w:cs="Times New Roman"/>
          <w:i/>
          <w:sz w:val="20"/>
          <w:szCs w:val="20"/>
        </w:rPr>
        <w:t>,</w:t>
      </w:r>
      <w:r w:rsidRPr="00F11D34">
        <w:rPr>
          <w:rFonts w:ascii="Verdana" w:hAnsi="Verdana" w:cs="Times New Roman"/>
          <w:sz w:val="20"/>
          <w:szCs w:val="20"/>
        </w:rPr>
        <w:t xml:space="preserve"> is also required for indigoidine biosynthesis in Y4I, which inhibits the growth of both of these species </w:t>
      </w:r>
      <w:r w:rsidRPr="00F11D34">
        <w:rPr>
          <w:rFonts w:ascii="Verdana" w:hAnsi="Verdana" w:cs="Times New Roman"/>
          <w:sz w:val="20"/>
          <w:szCs w:val="20"/>
        </w:rPr>
        <w:fldChar w:fldCharType="begin" w:fldLock="1"/>
      </w:r>
      <w:r w:rsidR="00B77EC7" w:rsidRPr="00F11D34">
        <w:rPr>
          <w:rFonts w:ascii="Verdana" w:hAnsi="Verdana" w:cs="Times New Roman"/>
          <w:sz w:val="20"/>
          <w:szCs w:val="20"/>
        </w:rPr>
        <w:instrText>ADDIN CSL_CITATION {"citationItems":[{"id":"ITEM-1","itemData":{"DOI":"10.1111/j.1365-2672.2011.05199.x","ISSN":"13645072","abstract":"Aims: To assess the diversity in production of acylated homoserine lactones (AHLs) among Vibrio spp and related species. Methods and Results: A total of 106 isolates, with representatives of 28 Vibrio spp and related species, were investigated for the production of AHLs. For this, a rapid method for the screening of AHLs was developed based on the use of bacterial biosensors using a double-layer microplate assay. At least one bacterial biosensor was activated in 20 species, Agrobacterium tumefaciens being the most frequently activated biosensor. One isolate of Vibrio anguillarum, Vibrio rotiferianus and Vibrio metschnikovii activated the Chromobacterium violaceum biosensor, which is not common among the Vibrionaceae family. For those species with more than one isolate, the biosensor activation profile was the same except for two species, V. anguillarum and V. metschnikovii, which varied among the different isolates. Conclusions: AHL production was observed in the majority of the studied species, with a diverse biosensor activation profile. Significance and Impact of the Study: The high diversity in AHL production is in consistence with the high diversity in ecological niches of the Vibrionaceae family. The absence of AHL detection in eight species warrants further work on their quorum-sensing systems. © 2011 The Authors. Journal of Applied Microbiology © 2011 The Society for Applied Microbiology.","author":[{"dropping-particle":"","family":"García-Aljaro","given":"C.","non-dropping-particle":"","parse-names":false,"suffix":""},{"dropping-particle":"","family":"Vargas-Cespedes","given":"G.J.","non-dropping-particle":"","parse-names":false,"suffix":""},{"dropping-particle":"","family":"Blanch","given":"A.R.","non-dropping-particle":"","parse-names":false,"suffix":""}],"container-title":"Journal of Applied Microbiology","id":"ITEM-1","issue":"2","issued":{"date-parts":[["2012","2","1"]]},"page":"383-389","publisher":"John Wiley &amp; Sons, Ltd","title":"Detection of acylated homoserine lactones produced by &lt;i&gt; Vibrio spp. &lt;/i&gt; and related species isolated from water and aquatic organisms","type":"article-journal","volume":"112"},"uris":["http://www.mendeley.com/documents/?uuid=72535ec5-ebc2-315d-9c15-40f5d992236d"]},{"id":"ITEM-2","itemData":{"DOI":"10.3390/ijms140816386","ISSN":"1422-0067","PMID":"23965960","author":[{"dropping-particle":"","family":"Verma","given":"Subhash C.","non-dropping-particle":"","parse-names":false,"suffix":""},{"dropping-particle":"","family":"Miyashiro","given":"Tim","non-dropping-particle":"","parse-names":false,"suffix":""}],"container-title":"International journal of molecular sciences","id":"ITEM-2","issue":"8","issued":{"date-parts":[["2013","8","7"]]},"page":"16386-16401","publisher":"Multidisciplinary Digital Publishing Institute (MDPI)","title":"Quorum Sensing in the Squid-Vibrio Symbiosis","type":"article-journal","volume":"14"},"uris":["http://www.mendeley.com/documents/?uuid=b0d2fd8d-c1ab-44ff-832f-3434e265fe49"]},{"id":"ITEM-3","itemData":{"DOI":"10.1128/AEM.02551-14","ISBN":"0099-2240","ISSN":"10985336","PMID":"25527537","abstract":"The marine roseobacter Phaeobacter sp. strain Y4I synthesizes the blue antimicrobial secondary metabolite indigoidine when grown in a biofilm or on agar plates. Prior studies suggested that indigoidine production may be, in part, regulated by cell-to-cell communication systems. Phaeobacter sp. strain Y4I possesses two luxR and luxI homologous N-acyl-L-homoserine lactone (AHL)-mediated cell-to-cell communication systems, designated pgaRI and phaRI. We show here that Y4I produces two dominant AHLs, the novel monounsaturated N-(3-hydroxydodecenoyl)-L-homoserine lactone (3OHC12:1-HSL) and the relatively common N-octanoyl-L-homoserine lactone (C8-HSL), and provide evidence that they are synthesized by PhaI and PgaI, respectively. A Tn5 insertional mutation in either genetic locus results in the abolishment (pgaR::Tn5) or reduction (phaR::Tn5) of pigment production. Motility defects and denser biofilms were also observed in these mutant backgrounds, suggesting an overlap in the functional roles of these systems. Production of the AHLs occurs at distinct points during growth on an agar surface and was determined by isotope dilution high-performance liquid chromatography–tandem mass spectrometry (ID-HPLC-MS/MS) analysis. Within 2 h of surface inoculation, only 3OHC12:1-HSL was detected in agar extracts. As surface-attached cells became established (at\u000210 h), the concentration of 3OHC12:1-HSL decreased, and the concentration of C8-HSL increased rapidly over 14 h. After longer (&gt;24-h) establishment periods, the concentrations of the two AHLs increased to and stabilized at\u000215 nM and \u0002600 nM for 3OHC12:1-HSL and C8-HSL, respectively. In contrast, the total amount of indigoidine increased steadily from undetectable to 642 \u0002Mby 48 h. Gene expression profiles of the AHL and indigoidine synthases (pgaI, phaI, and igiD) were consistent with their metabolite profiles. These data provide evidence that pgaRI and phaRI play overlapping roles in the regulation of indigoidine biosynthesis, and it is postulated that this allows Phaeobacter sp. strain Y4I to coordinate production of indigoidine with different growth-phase-dependent physiologies.","author":[{"dropping-particle":"","family":"Cude","given":"W. Nathan","non-dropping-particle":"","parse-names":false,"suffix":""},{"dropping-particle":"","family":"Prevatte","given":"Carson W.","non-dropping-particle":"","parse-names":false,"suffix":""},{"dropping-particle":"","family":"Hadden","given":"Mary K.","non-dropping-particle":"","parse-names":false,"suffix":""},{"dropping-particle":"","family":"May","given":"Amanda L.","non-dropping-particle":"","parse-names":false,"suffix":""},{"dropping-particle":"","family":"Smith","given":"Russell T.","non-dropping-particle":"","parse-names":false,"suffix":""},{"dropping-particle":"","family":"Swain","given":"Caleb L.","non-dropping-particle":"","parse-names":false,"suffix":""},{"dropping-particle":"","family":"Campagna","given":"Shawn R.","non-dropping-particle":"","parse-names":false,"suffix":""},{"dropping-particle":"","family":"Buchan","given":"Alison","non-dropping-particle":"","parse-names":false,"suffix":""}],"container-title":"Applied and Environmental Microbiology","id":"ITEM-3","issue":"4","issued":{"date-parts":[["2015"]]},"page":"1417-1425","title":"&lt;i&gt;Phaeobacter sp.&lt;/i&gt; strain Y4I utilizes two separate cell-to-cell communication systems to regulate production of the antimicrobial indigoidine","type":"article-journal","volume":"81"},"uris":["http://www.mendeley.com/documents/?uuid=35095d74-a8b3-4c92-850e-3ce548f6d528"]}],"mendeley":{"formattedCitation":"(14, 56, 57)","plainTextFormattedCitation":"(14, 56, 57)","previouslyFormattedCitation":"(García-Aljaro, Vargas-Cespedes, and Blanch 2012; Verma and Miyashiro 2013; Cude et al. 2015)"},"properties":{"noteIndex":0},"schema":"https://github.com/citation-style-language/schema/raw/master/csl-citation.json"}</w:instrText>
      </w:r>
      <w:r w:rsidRPr="00F11D34">
        <w:rPr>
          <w:rFonts w:ascii="Verdana" w:hAnsi="Verdana" w:cs="Times New Roman"/>
          <w:sz w:val="20"/>
          <w:szCs w:val="20"/>
        </w:rPr>
        <w:fldChar w:fldCharType="separate"/>
      </w:r>
      <w:r w:rsidR="00B77EC7" w:rsidRPr="00F11D34">
        <w:rPr>
          <w:rFonts w:ascii="Verdana" w:hAnsi="Verdana" w:cs="Times New Roman"/>
          <w:noProof/>
          <w:sz w:val="20"/>
          <w:szCs w:val="20"/>
        </w:rPr>
        <w:t>(14, 56, 57)</w:t>
      </w:r>
      <w:r w:rsidRPr="00F11D34">
        <w:rPr>
          <w:rFonts w:ascii="Verdana" w:hAnsi="Verdana" w:cs="Times New Roman"/>
          <w:sz w:val="20"/>
          <w:szCs w:val="20"/>
        </w:rPr>
        <w:fldChar w:fldCharType="end"/>
      </w:r>
      <w:r w:rsidRPr="00F11D34">
        <w:rPr>
          <w:rFonts w:ascii="Verdana" w:hAnsi="Verdana" w:cs="Times New Roman"/>
          <w:sz w:val="20"/>
          <w:szCs w:val="20"/>
        </w:rPr>
        <w:t xml:space="preserve">. Given the universality of C8-HSL, the exploitation of this ubiquitous signaling molecule by Y4I may be central to its successful competitive strategies. </w:t>
      </w:r>
    </w:p>
    <w:p w14:paraId="0E5B97F8" w14:textId="78096B4F" w:rsidR="006446B7" w:rsidRPr="00F11D34" w:rsidRDefault="006446B7" w:rsidP="00677C01">
      <w:pPr>
        <w:spacing w:before="240"/>
        <w:jc w:val="both"/>
        <w:rPr>
          <w:rFonts w:ascii="Verdana" w:hAnsi="Verdana" w:cs="Times New Roman"/>
          <w:sz w:val="20"/>
          <w:szCs w:val="20"/>
        </w:rPr>
      </w:pPr>
      <w:r w:rsidRPr="00F11D34">
        <w:rPr>
          <w:rFonts w:ascii="Verdana" w:hAnsi="Verdana" w:cs="Times New Roman"/>
          <w:sz w:val="20"/>
          <w:szCs w:val="20"/>
        </w:rPr>
        <w:br w:type="page"/>
      </w:r>
    </w:p>
    <w:p w14:paraId="1C66A216" w14:textId="77777777" w:rsidR="006446B7" w:rsidRPr="00C51113" w:rsidRDefault="006446B7" w:rsidP="00677C01">
      <w:pPr>
        <w:spacing w:before="240"/>
        <w:ind w:firstLine="720"/>
        <w:jc w:val="both"/>
        <w:rPr>
          <w:rFonts w:ascii="Verdana" w:hAnsi="Verdana" w:cs="Times New Roman"/>
          <w:sz w:val="18"/>
          <w:szCs w:val="18"/>
        </w:rPr>
      </w:pPr>
    </w:p>
    <w:p w14:paraId="4BE45F4E" w14:textId="50D548B2" w:rsidR="00834C18" w:rsidRPr="00F8165F" w:rsidRDefault="00FF1665" w:rsidP="00F8165F">
      <w:pPr>
        <w:pStyle w:val="Heading2"/>
        <w:numPr>
          <w:ilvl w:val="0"/>
          <w:numId w:val="7"/>
        </w:numPr>
        <w:jc w:val="left"/>
        <w:rPr>
          <w:rFonts w:ascii="Verdana" w:hAnsi="Verdana" w:cs="Times New Roman"/>
          <w:sz w:val="24"/>
          <w:szCs w:val="24"/>
        </w:rPr>
      </w:pPr>
      <w:bookmarkStart w:id="19" w:name="_Toc289175831"/>
      <w:bookmarkStart w:id="20" w:name="_Toc83382598"/>
      <w:bookmarkEnd w:id="15"/>
      <w:r w:rsidRPr="00F11D34">
        <w:rPr>
          <w:rFonts w:ascii="Verdana" w:hAnsi="Verdana" w:cs="Times New Roman"/>
          <w:sz w:val="24"/>
          <w:szCs w:val="24"/>
        </w:rPr>
        <w:t>References</w:t>
      </w:r>
      <w:bookmarkEnd w:id="19"/>
      <w:bookmarkEnd w:id="20"/>
    </w:p>
    <w:p w14:paraId="5B17D50E" w14:textId="03A88AE1" w:rsidR="00B77EC7" w:rsidRPr="00F8165F" w:rsidRDefault="00834C18"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sz w:val="20"/>
          <w:szCs w:val="20"/>
        </w:rPr>
        <w:fldChar w:fldCharType="begin" w:fldLock="1"/>
      </w:r>
      <w:r w:rsidRPr="00F8165F">
        <w:rPr>
          <w:rFonts w:ascii="Verdana" w:hAnsi="Verdana" w:cs="Times New Roman"/>
          <w:sz w:val="20"/>
          <w:szCs w:val="20"/>
        </w:rPr>
        <w:instrText xml:space="preserve">ADDIN Mendeley Bibliography CSL_BIBLIOGRAPHY </w:instrText>
      </w:r>
      <w:r w:rsidRPr="00F8165F">
        <w:rPr>
          <w:rFonts w:ascii="Verdana" w:hAnsi="Verdana" w:cs="Times New Roman"/>
          <w:sz w:val="20"/>
          <w:szCs w:val="20"/>
        </w:rPr>
        <w:fldChar w:fldCharType="separate"/>
      </w:r>
      <w:r w:rsidR="00B77EC7" w:rsidRPr="00F8165F">
        <w:rPr>
          <w:rFonts w:ascii="Verdana" w:hAnsi="Verdana" w:cs="Times New Roman"/>
          <w:noProof/>
          <w:sz w:val="20"/>
          <w:szCs w:val="20"/>
        </w:rPr>
        <w:t xml:space="preserve">1. </w:t>
      </w:r>
      <w:r w:rsidR="00B77EC7" w:rsidRPr="00F8165F">
        <w:rPr>
          <w:rFonts w:ascii="Verdana" w:hAnsi="Verdana" w:cs="Times New Roman"/>
          <w:noProof/>
          <w:sz w:val="20"/>
          <w:szCs w:val="20"/>
        </w:rPr>
        <w:tab/>
        <w:t>Papenfort K, Bassler BL. 2016. Quorum sensing signal-response systems in Gram-negative bacteria. Nat Rev Microbiol 14:576–588.</w:t>
      </w:r>
    </w:p>
    <w:p w14:paraId="3C556C21"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2. </w:t>
      </w:r>
      <w:r w:rsidRPr="00F8165F">
        <w:rPr>
          <w:rFonts w:ascii="Verdana" w:hAnsi="Verdana" w:cs="Times New Roman"/>
          <w:noProof/>
          <w:sz w:val="20"/>
          <w:szCs w:val="20"/>
        </w:rPr>
        <w:tab/>
        <w:t>Williams P, Winzer K, Chan WC, Cámara M. 2007. Look who’s talking: communication and quorum sensing in the bacterial world. Philos Trans R Soc Lond B Biol Sci 362:1119–34.</w:t>
      </w:r>
    </w:p>
    <w:p w14:paraId="3421F300"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3. </w:t>
      </w:r>
      <w:r w:rsidRPr="00F8165F">
        <w:rPr>
          <w:rFonts w:ascii="Verdana" w:hAnsi="Verdana" w:cs="Times New Roman"/>
          <w:noProof/>
          <w:sz w:val="20"/>
          <w:szCs w:val="20"/>
        </w:rPr>
        <w:tab/>
        <w:t xml:space="preserve">Hammer BK, Bassler BL. 2003. Quorum sensing controls biofilm formation in </w:t>
      </w:r>
      <w:r w:rsidRPr="00F8165F">
        <w:rPr>
          <w:rFonts w:ascii="Verdana" w:hAnsi="Verdana" w:cs="Times New Roman"/>
          <w:i/>
          <w:iCs/>
          <w:noProof/>
          <w:sz w:val="20"/>
          <w:szCs w:val="20"/>
        </w:rPr>
        <w:t>Vibrio cholerae</w:t>
      </w:r>
      <w:r w:rsidRPr="00F8165F">
        <w:rPr>
          <w:rFonts w:ascii="Verdana" w:hAnsi="Verdana" w:cs="Times New Roman"/>
          <w:noProof/>
          <w:sz w:val="20"/>
          <w:szCs w:val="20"/>
        </w:rPr>
        <w:t>. Mol Microbiol 50:101–104.</w:t>
      </w:r>
    </w:p>
    <w:p w14:paraId="157405A5"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4. </w:t>
      </w:r>
      <w:r w:rsidRPr="00F8165F">
        <w:rPr>
          <w:rFonts w:ascii="Verdana" w:hAnsi="Verdana" w:cs="Times New Roman"/>
          <w:noProof/>
          <w:sz w:val="20"/>
          <w:szCs w:val="20"/>
        </w:rPr>
        <w:tab/>
        <w:t xml:space="preserve">Schuster M, Peter Greenberg E. 2006. A network of networks: Quorum-sensing gene regulation in </w:t>
      </w:r>
      <w:r w:rsidRPr="00F8165F">
        <w:rPr>
          <w:rFonts w:ascii="Verdana" w:hAnsi="Verdana" w:cs="Times New Roman"/>
          <w:i/>
          <w:iCs/>
          <w:noProof/>
          <w:sz w:val="20"/>
          <w:szCs w:val="20"/>
        </w:rPr>
        <w:t>Pseudomonas aeruginosa</w:t>
      </w:r>
      <w:r w:rsidRPr="00F8165F">
        <w:rPr>
          <w:rFonts w:ascii="Verdana" w:hAnsi="Verdana" w:cs="Times New Roman"/>
          <w:noProof/>
          <w:sz w:val="20"/>
          <w:szCs w:val="20"/>
        </w:rPr>
        <w:t>. Int J Med Microbiol 296:73–81.</w:t>
      </w:r>
    </w:p>
    <w:p w14:paraId="1F0938BA"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5. </w:t>
      </w:r>
      <w:r w:rsidRPr="00F8165F">
        <w:rPr>
          <w:rFonts w:ascii="Verdana" w:hAnsi="Verdana" w:cs="Times New Roman"/>
          <w:noProof/>
          <w:sz w:val="20"/>
          <w:szCs w:val="20"/>
        </w:rPr>
        <w:tab/>
        <w:t>Römling U, Galperin MY, Gomelsky M. 2013. Cyclic di-GMP: the First 25 Years of a Universal Bacterial Second Messenger. Microbiol Mol Biol Rev 77:1–52.</w:t>
      </w:r>
    </w:p>
    <w:p w14:paraId="3FD1EA5F"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6. </w:t>
      </w:r>
      <w:r w:rsidRPr="00F8165F">
        <w:rPr>
          <w:rFonts w:ascii="Verdana" w:hAnsi="Verdana" w:cs="Times New Roman"/>
          <w:noProof/>
          <w:sz w:val="20"/>
          <w:szCs w:val="20"/>
        </w:rPr>
        <w:tab/>
        <w:t xml:space="preserve">Lin Chua S, Liu Y, Li Y, Jun Ting H, Kohli GS, Cai Z, Suwanchaikasem P, Kau Kit Goh K, Pin Ng S, Tolker-Nielsen T, Yang L, Givskov M. 2017. Reduced Intracellular c-di-GMP Content Increases Expression of Quorum Sensing-Regulated Genes in </w:t>
      </w:r>
      <w:r w:rsidRPr="00F8165F">
        <w:rPr>
          <w:rFonts w:ascii="Verdana" w:hAnsi="Verdana" w:cs="Times New Roman"/>
          <w:i/>
          <w:iCs/>
          <w:noProof/>
          <w:sz w:val="20"/>
          <w:szCs w:val="20"/>
        </w:rPr>
        <w:t>Pseudomonas aeruginosa</w:t>
      </w:r>
      <w:r w:rsidRPr="00F8165F">
        <w:rPr>
          <w:rFonts w:ascii="Verdana" w:hAnsi="Verdana" w:cs="Times New Roman"/>
          <w:noProof/>
          <w:sz w:val="20"/>
          <w:szCs w:val="20"/>
        </w:rPr>
        <w:t>. Front Cell Infect Microbiol 7:451.</w:t>
      </w:r>
    </w:p>
    <w:p w14:paraId="73191E31"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7. </w:t>
      </w:r>
      <w:r w:rsidRPr="00F8165F">
        <w:rPr>
          <w:rFonts w:ascii="Verdana" w:hAnsi="Verdana" w:cs="Times New Roman"/>
          <w:noProof/>
          <w:sz w:val="20"/>
          <w:szCs w:val="20"/>
        </w:rPr>
        <w:tab/>
        <w:t>Brinkhoff T, Giebel H-A, Simon M. 2008. Diversity, ecology, and genomics of the Roseobacter clade: a short overview. Arch Microbiol 189:531–539.</w:t>
      </w:r>
    </w:p>
    <w:p w14:paraId="25A83C48"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8. </w:t>
      </w:r>
      <w:r w:rsidRPr="00F8165F">
        <w:rPr>
          <w:rFonts w:ascii="Verdana" w:hAnsi="Verdana" w:cs="Times New Roman"/>
          <w:noProof/>
          <w:sz w:val="20"/>
          <w:szCs w:val="20"/>
        </w:rPr>
        <w:tab/>
        <w:t>Farnelid H, Turk-Kubo K, Ploug H, Ossolinski JE, Collins JR, Van Mooy BAS, Zehr JP. 2019. Diverse diazotrophs are present on sinking particles in the North Pacific Subtropical Gyre. ISME J 13:170–182.</w:t>
      </w:r>
    </w:p>
    <w:p w14:paraId="421D6103"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9. </w:t>
      </w:r>
      <w:r w:rsidRPr="00F8165F">
        <w:rPr>
          <w:rFonts w:ascii="Verdana" w:hAnsi="Verdana" w:cs="Times New Roman"/>
          <w:noProof/>
          <w:sz w:val="20"/>
          <w:szCs w:val="20"/>
        </w:rPr>
        <w:tab/>
        <w:t xml:space="preserve">Van Mooy BAS, Hmelo LR, Sofen LE, Campagna SR, May AL, Dyhrman ST, Heithoff A, Webb EA, Momper L, Mincer TJ. 2012. Quorum sensing control of phosphorus acquisition in </w:t>
      </w:r>
      <w:r w:rsidRPr="00F8165F">
        <w:rPr>
          <w:rFonts w:ascii="Verdana" w:hAnsi="Verdana" w:cs="Times New Roman"/>
          <w:i/>
          <w:iCs/>
          <w:noProof/>
          <w:sz w:val="20"/>
          <w:szCs w:val="20"/>
        </w:rPr>
        <w:t>Trichodesmium</w:t>
      </w:r>
      <w:r w:rsidRPr="00F8165F">
        <w:rPr>
          <w:rFonts w:ascii="Verdana" w:hAnsi="Verdana" w:cs="Times New Roman"/>
          <w:noProof/>
          <w:sz w:val="20"/>
          <w:szCs w:val="20"/>
        </w:rPr>
        <w:t xml:space="preserve"> consortia. ISME J 6:422–429.</w:t>
      </w:r>
    </w:p>
    <w:p w14:paraId="7C1F752C"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10. </w:t>
      </w:r>
      <w:r w:rsidRPr="00F8165F">
        <w:rPr>
          <w:rFonts w:ascii="Verdana" w:hAnsi="Verdana" w:cs="Times New Roman"/>
          <w:noProof/>
          <w:sz w:val="20"/>
          <w:szCs w:val="20"/>
        </w:rPr>
        <w:tab/>
        <w:t>Dang H, Lovell CR. 2000. Bacterial primary colonization and early succession on surfaces in marine waters as determined by amplified rRNA gene restriction analysis and sequence analysis of 16S rRNA genes. Appl Environ Microbiol 66:467–75.</w:t>
      </w:r>
    </w:p>
    <w:p w14:paraId="5DDF04F4"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11. </w:t>
      </w:r>
      <w:r w:rsidRPr="00F8165F">
        <w:rPr>
          <w:rFonts w:ascii="Verdana" w:hAnsi="Verdana" w:cs="Times New Roman"/>
          <w:noProof/>
          <w:sz w:val="20"/>
          <w:szCs w:val="20"/>
        </w:rPr>
        <w:tab/>
        <w:t>Zan J, Liu Y, Fuqua C, Hill R. 2014. Acyl-Homoserine Lactone Quorum Sensing in the Roseobacter Clade. Int J Mol Sci 15:654–669.</w:t>
      </w:r>
    </w:p>
    <w:p w14:paraId="4FCDFB1A"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12. </w:t>
      </w:r>
      <w:r w:rsidRPr="00F8165F">
        <w:rPr>
          <w:rFonts w:ascii="Verdana" w:hAnsi="Verdana" w:cs="Times New Roman"/>
          <w:noProof/>
          <w:sz w:val="20"/>
          <w:szCs w:val="20"/>
        </w:rPr>
        <w:tab/>
        <w:t xml:space="preserve">Cude WN, Mooney J, Tavanaei AA, Hadden MK, Frank AM, Gulvik CA, May AL, Buchan A. 2012. Production of the antimicrobial secondary metabolite indigoidine contributes to competitive surface colonization by the marine roseobacter </w:t>
      </w:r>
      <w:r w:rsidRPr="00F8165F">
        <w:rPr>
          <w:rFonts w:ascii="Verdana" w:hAnsi="Verdana" w:cs="Times New Roman"/>
          <w:i/>
          <w:iCs/>
          <w:noProof/>
          <w:sz w:val="20"/>
          <w:szCs w:val="20"/>
        </w:rPr>
        <w:t xml:space="preserve">Phaeobacter sp. </w:t>
      </w:r>
      <w:r w:rsidRPr="00F8165F">
        <w:rPr>
          <w:rFonts w:ascii="Verdana" w:hAnsi="Verdana" w:cs="Times New Roman"/>
          <w:noProof/>
          <w:sz w:val="20"/>
          <w:szCs w:val="20"/>
        </w:rPr>
        <w:t xml:space="preserve"> strain Y4I. Appl Environ Microbiol 78:4771–4780.</w:t>
      </w:r>
    </w:p>
    <w:p w14:paraId="2C26F4F4"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13. </w:t>
      </w:r>
      <w:r w:rsidRPr="00F8165F">
        <w:rPr>
          <w:rFonts w:ascii="Verdana" w:hAnsi="Verdana" w:cs="Times New Roman"/>
          <w:noProof/>
          <w:sz w:val="20"/>
          <w:szCs w:val="20"/>
        </w:rPr>
        <w:tab/>
        <w:t>Quigley LNM, Edwards A, Steen AD, Buchan A, Fagervold SK. 2019. Characterization of the Interactive Effects of Labile and Recalcitrant Organic Matter on Microbial Growth and Metabolism. Front Microbiol 10:1–15.</w:t>
      </w:r>
    </w:p>
    <w:p w14:paraId="6D900CAE"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14. </w:t>
      </w:r>
      <w:r w:rsidRPr="00F8165F">
        <w:rPr>
          <w:rFonts w:ascii="Verdana" w:hAnsi="Verdana" w:cs="Times New Roman"/>
          <w:noProof/>
          <w:sz w:val="20"/>
          <w:szCs w:val="20"/>
        </w:rPr>
        <w:tab/>
        <w:t xml:space="preserve">Cude WN, Prevatte CW, Hadden MK, May AL, Smith RT, Swain CL, Campagna SR, Buchan A. 2015. </w:t>
      </w:r>
      <w:r w:rsidRPr="00F8165F">
        <w:rPr>
          <w:rFonts w:ascii="Verdana" w:hAnsi="Verdana" w:cs="Times New Roman"/>
          <w:i/>
          <w:iCs/>
          <w:noProof/>
          <w:sz w:val="20"/>
          <w:szCs w:val="20"/>
        </w:rPr>
        <w:t>Phaeobacter sp.</w:t>
      </w:r>
      <w:r w:rsidRPr="00F8165F">
        <w:rPr>
          <w:rFonts w:ascii="Verdana" w:hAnsi="Verdana" w:cs="Times New Roman"/>
          <w:noProof/>
          <w:sz w:val="20"/>
          <w:szCs w:val="20"/>
        </w:rPr>
        <w:t xml:space="preserve"> strain Y4I utilizes two separate cell-to-cell communication systems to regulate production of the antimicrobial indigoidine. Appl Environ Microbiol 81:1417–1425.</w:t>
      </w:r>
    </w:p>
    <w:p w14:paraId="4A435975"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15. </w:t>
      </w:r>
      <w:r w:rsidRPr="00F8165F">
        <w:rPr>
          <w:rFonts w:ascii="Verdana" w:hAnsi="Verdana" w:cs="Times New Roman"/>
          <w:noProof/>
          <w:sz w:val="20"/>
          <w:szCs w:val="20"/>
        </w:rPr>
        <w:tab/>
        <w:t>Buchan A, Neidle EL, Moran MA. 2004. Diverse Organization of Genes of the B-Ketoadipate Pathway in Members of the Marine Roseobacter Lineage. Appl Environ Microbiol 70:1658–68.</w:t>
      </w:r>
    </w:p>
    <w:p w14:paraId="14CBCD3A"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16. </w:t>
      </w:r>
      <w:r w:rsidRPr="00F8165F">
        <w:rPr>
          <w:rFonts w:ascii="Verdana" w:hAnsi="Verdana" w:cs="Times New Roman"/>
          <w:noProof/>
          <w:sz w:val="20"/>
          <w:szCs w:val="20"/>
        </w:rPr>
        <w:tab/>
        <w:t>Slightom RN, Buchan A. 2009. Surface colonization by marine roseobacters: integrating genotype and phenotype. Appl Environ Microbiol 75:6027–37.</w:t>
      </w:r>
    </w:p>
    <w:p w14:paraId="698CD6E0"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17. </w:t>
      </w:r>
      <w:r w:rsidRPr="00F8165F">
        <w:rPr>
          <w:rFonts w:ascii="Verdana" w:hAnsi="Verdana" w:cs="Times New Roman"/>
          <w:noProof/>
          <w:sz w:val="20"/>
          <w:szCs w:val="20"/>
        </w:rPr>
        <w:tab/>
        <w:t>Metcalf WW, Jiang W, Daniels LL, Kim S-K, Haldimann A, Wanner BL. 1996. Conditionally Replicative and Conjugative Plasmids Carrying lacZα for Cloning, Mutagenesis, and Allele Replacement in Bacteria. Plasmid 35:1–13.</w:t>
      </w:r>
    </w:p>
    <w:p w14:paraId="5B1C410A"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18. </w:t>
      </w:r>
      <w:r w:rsidRPr="00F8165F">
        <w:rPr>
          <w:rFonts w:ascii="Verdana" w:hAnsi="Verdana" w:cs="Times New Roman"/>
          <w:noProof/>
          <w:sz w:val="20"/>
          <w:szCs w:val="20"/>
        </w:rPr>
        <w:tab/>
        <w:t>Alexeyev MF. 1999. The pKNOCK Series of Broad-Host-Range Mobilizable Suicide Vectors for Gene Knockout and Targeted DNA Insertion into the Chromosome of Gram-</w:t>
      </w:r>
      <w:r w:rsidRPr="00F8165F">
        <w:rPr>
          <w:rFonts w:ascii="Verdana" w:hAnsi="Verdana" w:cs="Times New Roman"/>
          <w:noProof/>
          <w:sz w:val="20"/>
          <w:szCs w:val="20"/>
        </w:rPr>
        <w:lastRenderedPageBreak/>
        <w:t>Negative Bacteria. Biotechniques 26:824–828.</w:t>
      </w:r>
    </w:p>
    <w:p w14:paraId="65F80B86"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19. </w:t>
      </w:r>
      <w:r w:rsidRPr="00F8165F">
        <w:rPr>
          <w:rFonts w:ascii="Verdana" w:hAnsi="Verdana" w:cs="Times New Roman"/>
          <w:noProof/>
          <w:sz w:val="20"/>
          <w:szCs w:val="20"/>
        </w:rPr>
        <w:tab/>
        <w:t xml:space="preserve">Gonzalez JM, Mayer F, Moran MA, Hodson RE, Whitman WB. 1997. </w:t>
      </w:r>
      <w:r w:rsidRPr="00F8165F">
        <w:rPr>
          <w:rFonts w:ascii="Verdana" w:hAnsi="Verdana" w:cs="Times New Roman"/>
          <w:i/>
          <w:iCs/>
          <w:noProof/>
          <w:sz w:val="20"/>
          <w:szCs w:val="20"/>
        </w:rPr>
        <w:t xml:space="preserve"> Sagittula stellata </w:t>
      </w:r>
      <w:r w:rsidRPr="00F8165F">
        <w:rPr>
          <w:rFonts w:ascii="Verdana" w:hAnsi="Verdana" w:cs="Times New Roman"/>
          <w:noProof/>
          <w:sz w:val="20"/>
          <w:szCs w:val="20"/>
        </w:rPr>
        <w:t xml:space="preserve"> gen. nov., sp. nov., a Lignin-Transforming Bacterium from a Coastal Environment. Int J Syst Bacteriol 47:773–780.</w:t>
      </w:r>
    </w:p>
    <w:p w14:paraId="77DF0D49"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20. </w:t>
      </w:r>
      <w:r w:rsidRPr="00F8165F">
        <w:rPr>
          <w:rFonts w:ascii="Verdana" w:hAnsi="Verdana" w:cs="Times New Roman"/>
          <w:noProof/>
          <w:sz w:val="20"/>
          <w:szCs w:val="20"/>
        </w:rPr>
        <w:tab/>
        <w:t>Hellemans J, Mortier G, De Paepe A, Speleman F, Vandesompele J. 2007. qBase relative quantification framework and software for management and automated analysis of real-time quantitative PCR data. Genome Biol 8:19.</w:t>
      </w:r>
    </w:p>
    <w:p w14:paraId="430DA227"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21. </w:t>
      </w:r>
      <w:r w:rsidRPr="00F8165F">
        <w:rPr>
          <w:rFonts w:ascii="Verdana" w:hAnsi="Verdana" w:cs="Times New Roman"/>
          <w:noProof/>
          <w:sz w:val="20"/>
          <w:szCs w:val="20"/>
        </w:rPr>
        <w:tab/>
        <w:t>O’Neal L, Ryu M, Gomelsky M, Alexandre G. 2017. Optogenetic Manipulation of Cyclic Receptor Activity in Azospirillum. J Bacteriol 199:1–18.</w:t>
      </w:r>
    </w:p>
    <w:p w14:paraId="7D129D16"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22. </w:t>
      </w:r>
      <w:r w:rsidRPr="00F8165F">
        <w:rPr>
          <w:rFonts w:ascii="Verdana" w:hAnsi="Verdana" w:cs="Times New Roman"/>
          <w:noProof/>
          <w:sz w:val="20"/>
          <w:szCs w:val="20"/>
        </w:rPr>
        <w:tab/>
        <w:t>Motulsky HJ, Brown RE. 2006. Detecting outliers when fitting data with nonlinear regression – a new method based on robust nonlinear regression and the false discovery rate. BMC Bioinformatics 7:123.</w:t>
      </w:r>
    </w:p>
    <w:p w14:paraId="4E215CE9"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23. </w:t>
      </w:r>
      <w:r w:rsidRPr="00F8165F">
        <w:rPr>
          <w:rFonts w:ascii="Verdana" w:hAnsi="Verdana" w:cs="Times New Roman"/>
          <w:noProof/>
          <w:sz w:val="20"/>
          <w:szCs w:val="20"/>
        </w:rPr>
        <w:tab/>
        <w:t>Cude WN, Buchan A. 2013. Acyl-homoserine lactone-based quorum sensing in the Roseobacter clade: Complex cell-to-cell communication controls multiple physiologies. Front Microbiol 4:336.</w:t>
      </w:r>
    </w:p>
    <w:p w14:paraId="70F643AA"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24. </w:t>
      </w:r>
      <w:r w:rsidRPr="00F8165F">
        <w:rPr>
          <w:rFonts w:ascii="Verdana" w:hAnsi="Verdana" w:cs="Times New Roman"/>
          <w:noProof/>
          <w:sz w:val="20"/>
          <w:szCs w:val="20"/>
        </w:rPr>
        <w:tab/>
        <w:t>Hawver LA, Jung SA, Ng W-L. 2016. Specificity and complexity in bacterial quorum-sensing systems. FEMS Microbiol Rev 40:738–52.</w:t>
      </w:r>
    </w:p>
    <w:p w14:paraId="328EB59D"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25. </w:t>
      </w:r>
      <w:r w:rsidRPr="00F8165F">
        <w:rPr>
          <w:rFonts w:ascii="Verdana" w:hAnsi="Verdana" w:cs="Times New Roman"/>
          <w:noProof/>
          <w:sz w:val="20"/>
          <w:szCs w:val="20"/>
        </w:rPr>
        <w:tab/>
        <w:t>Zan J, Cicirelli EM, Mohamed NM, Sibhatu H, Kroll S, Choi OO, Uhlson CL, Wysoczynski CL, Murphy RC, Churchill MEA, Hill RT, Fuqua C, Choi OO, Uhlson CL, Wysoczynski CL, Wysoczinski CL, Murphy RC, Churchill MEA, Hill RT, Fuqua C, Choi OO, Uhlson CL, Wysoczynski CL, Wysoczinski CL, Murphy RC, Churchill MEA, Hill RT, Fuqua C. 2012. A complex LuxR-LuxI type quorum sensing network in a roseobacterial marine sponge symbiont activates flagellar motility and inhibits biofilm formation. Mol Microbiol 85:916–933.</w:t>
      </w:r>
    </w:p>
    <w:p w14:paraId="27DA0E65"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26. </w:t>
      </w:r>
      <w:r w:rsidRPr="00F8165F">
        <w:rPr>
          <w:rFonts w:ascii="Verdana" w:hAnsi="Verdana" w:cs="Times New Roman"/>
          <w:noProof/>
          <w:sz w:val="20"/>
          <w:szCs w:val="20"/>
        </w:rPr>
        <w:tab/>
        <w:t xml:space="preserve">Koppenhöfer S, Wang H, Scharfe M, Kaever V, Wagner-Döbler I, Tomasch J. 2019. Integrated Transcriptional Regulatory Network of Quorum Sensing, Replication Control, and SOS Response in </w:t>
      </w:r>
      <w:r w:rsidRPr="00F8165F">
        <w:rPr>
          <w:rFonts w:ascii="Verdana" w:hAnsi="Verdana" w:cs="Times New Roman"/>
          <w:i/>
          <w:iCs/>
          <w:noProof/>
          <w:sz w:val="20"/>
          <w:szCs w:val="20"/>
        </w:rPr>
        <w:t xml:space="preserve"> Dinoroseobacter shibae </w:t>
      </w:r>
      <w:r w:rsidRPr="00F8165F">
        <w:rPr>
          <w:rFonts w:ascii="Verdana" w:hAnsi="Verdana" w:cs="Times New Roman"/>
          <w:noProof/>
          <w:sz w:val="20"/>
          <w:szCs w:val="20"/>
        </w:rPr>
        <w:t>. Front Microbiol 10:803.</w:t>
      </w:r>
    </w:p>
    <w:p w14:paraId="736701AB"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27. </w:t>
      </w:r>
      <w:r w:rsidRPr="00F8165F">
        <w:rPr>
          <w:rFonts w:ascii="Verdana" w:hAnsi="Verdana" w:cs="Times New Roman"/>
          <w:noProof/>
          <w:sz w:val="20"/>
          <w:szCs w:val="20"/>
        </w:rPr>
        <w:tab/>
        <w:t xml:space="preserve">Beyersmann PG, Tomasch JJ, Son K, Stocker R, Göker M, Wagner-Döbler I, Simon M, Brinkhoff T. 2017. Dual function of tropodithietic acid as antibiotic and signaling molecule in global gene regulation of the probiotic bacterium </w:t>
      </w:r>
      <w:r w:rsidRPr="00F8165F">
        <w:rPr>
          <w:rFonts w:ascii="Verdana" w:hAnsi="Verdana" w:cs="Times New Roman"/>
          <w:i/>
          <w:iCs/>
          <w:noProof/>
          <w:sz w:val="20"/>
          <w:szCs w:val="20"/>
        </w:rPr>
        <w:t>Phaeobacter inhibens</w:t>
      </w:r>
      <w:r w:rsidRPr="00F8165F">
        <w:rPr>
          <w:rFonts w:ascii="Verdana" w:hAnsi="Verdana" w:cs="Times New Roman"/>
          <w:noProof/>
          <w:sz w:val="20"/>
          <w:szCs w:val="20"/>
        </w:rPr>
        <w:t>. Sci Rep 7:730.</w:t>
      </w:r>
    </w:p>
    <w:p w14:paraId="51B7FA2D"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28. </w:t>
      </w:r>
      <w:r w:rsidRPr="00F8165F">
        <w:rPr>
          <w:rFonts w:ascii="Verdana" w:hAnsi="Verdana" w:cs="Times New Roman"/>
          <w:noProof/>
          <w:sz w:val="20"/>
          <w:szCs w:val="20"/>
        </w:rPr>
        <w:tab/>
        <w:t>Rajput A, Kaur K, Kumar M. 2016. SigMol: repertoire of quorum sensing signaling molecules in prokaryotes. Nucleic Acids Res 44:634–639.</w:t>
      </w:r>
    </w:p>
    <w:p w14:paraId="1A057055"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29. </w:t>
      </w:r>
      <w:r w:rsidRPr="00F8165F">
        <w:rPr>
          <w:rFonts w:ascii="Verdana" w:hAnsi="Verdana" w:cs="Times New Roman"/>
          <w:noProof/>
          <w:sz w:val="20"/>
          <w:szCs w:val="20"/>
        </w:rPr>
        <w:tab/>
        <w:t>Churchill MEA, Chen L. 2011. Structural Basis of Acyl-homoserine Lactone-Dependent Signaling. Chem Rev 111:68–85.</w:t>
      </w:r>
    </w:p>
    <w:p w14:paraId="5DB33A81"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30. </w:t>
      </w:r>
      <w:r w:rsidRPr="00F8165F">
        <w:rPr>
          <w:rFonts w:ascii="Verdana" w:hAnsi="Verdana" w:cs="Times New Roman"/>
          <w:noProof/>
          <w:sz w:val="20"/>
          <w:szCs w:val="20"/>
        </w:rPr>
        <w:tab/>
        <w:t>LaSarre B, Federle MJ. 2013. Exploiting Quorum Sensing To Confuse Bacterial Pathogens. Microbiol Mol Biol Rev 77:73–111.</w:t>
      </w:r>
    </w:p>
    <w:p w14:paraId="3FD84799"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31. </w:t>
      </w:r>
      <w:r w:rsidRPr="00F8165F">
        <w:rPr>
          <w:rFonts w:ascii="Verdana" w:hAnsi="Verdana" w:cs="Times New Roman"/>
          <w:noProof/>
          <w:sz w:val="20"/>
          <w:szCs w:val="20"/>
        </w:rPr>
        <w:tab/>
        <w:t>McDougald D, Rice SA, Barraud N, Steinberg PD, Kjelleberg S. 2012. Should we stay or should we go: Mechanisms and ecological consequences for biofilm dispersal. Nat Rev Microbiol 10:39–50.</w:t>
      </w:r>
    </w:p>
    <w:p w14:paraId="673F7F2A"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32. </w:t>
      </w:r>
      <w:r w:rsidRPr="00F8165F">
        <w:rPr>
          <w:rFonts w:ascii="Verdana" w:hAnsi="Verdana" w:cs="Times New Roman"/>
          <w:noProof/>
          <w:sz w:val="20"/>
          <w:szCs w:val="20"/>
        </w:rPr>
        <w:tab/>
        <w:t>Dang H, Lovell CR. 2016. Microbial surface colonization and biofilm development in marine environments. Microbiol Mol Biol Rev 80:91–138.</w:t>
      </w:r>
    </w:p>
    <w:p w14:paraId="09FE4C26"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33. </w:t>
      </w:r>
      <w:r w:rsidRPr="00F8165F">
        <w:rPr>
          <w:rFonts w:ascii="Verdana" w:hAnsi="Verdana" w:cs="Times New Roman"/>
          <w:noProof/>
          <w:sz w:val="20"/>
          <w:szCs w:val="20"/>
        </w:rPr>
        <w:tab/>
        <w:t>Rumbaugh KP, Sauer K. 2020. Biofilm dispersion. Nat Rev Microbiol. Nature Research.</w:t>
      </w:r>
    </w:p>
    <w:p w14:paraId="7BBBF1C4"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34. </w:t>
      </w:r>
      <w:r w:rsidRPr="00F8165F">
        <w:rPr>
          <w:rFonts w:ascii="Verdana" w:hAnsi="Verdana" w:cs="Times New Roman"/>
          <w:noProof/>
          <w:sz w:val="20"/>
          <w:szCs w:val="20"/>
        </w:rPr>
        <w:tab/>
        <w:t xml:space="preserve">Valentini M, Filloux A. 2016. Biofilms and Cyclic di-GMP (c-di-GMP) signaling: Lessons from </w:t>
      </w:r>
      <w:r w:rsidRPr="00F8165F">
        <w:rPr>
          <w:rFonts w:ascii="Verdana" w:hAnsi="Verdana" w:cs="Times New Roman"/>
          <w:i/>
          <w:iCs/>
          <w:noProof/>
          <w:sz w:val="20"/>
          <w:szCs w:val="20"/>
        </w:rPr>
        <w:t>Pseudomonas aeruginosa</w:t>
      </w:r>
      <w:r w:rsidRPr="00F8165F">
        <w:rPr>
          <w:rFonts w:ascii="Verdana" w:hAnsi="Verdana" w:cs="Times New Roman"/>
          <w:noProof/>
          <w:sz w:val="20"/>
          <w:szCs w:val="20"/>
        </w:rPr>
        <w:t xml:space="preserve"> and other bacteria. J Biol Chem 291:12547–12555.</w:t>
      </w:r>
    </w:p>
    <w:p w14:paraId="7436F398"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35. </w:t>
      </w:r>
      <w:r w:rsidRPr="00F8165F">
        <w:rPr>
          <w:rFonts w:ascii="Verdana" w:hAnsi="Verdana" w:cs="Times New Roman"/>
          <w:noProof/>
          <w:sz w:val="20"/>
          <w:szCs w:val="20"/>
        </w:rPr>
        <w:tab/>
        <w:t>Roy AB, Petrova OE, Sauer K. 2012. The Phosphodiesterase DipA (PA5017) Is Essential for Pseudomonas aeruginosa Biofilm Dispersion. J Bacteriol 194:2904–2915.</w:t>
      </w:r>
    </w:p>
    <w:p w14:paraId="7B2C171C"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36. </w:t>
      </w:r>
      <w:r w:rsidRPr="00F8165F">
        <w:rPr>
          <w:rFonts w:ascii="Verdana" w:hAnsi="Verdana" w:cs="Times New Roman"/>
          <w:noProof/>
          <w:sz w:val="20"/>
          <w:szCs w:val="20"/>
        </w:rPr>
        <w:tab/>
        <w:t>Roy AB, Sauer K. 2014. Diguanylate cyclase NicD-based signalling mechanism of nutrient-induced dispersion by P seudomonas aeruginosa. Mol Microbiol 94:771–793.</w:t>
      </w:r>
    </w:p>
    <w:p w14:paraId="657F87FA"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37. </w:t>
      </w:r>
      <w:r w:rsidRPr="00F8165F">
        <w:rPr>
          <w:rFonts w:ascii="Verdana" w:hAnsi="Verdana" w:cs="Times New Roman"/>
          <w:noProof/>
          <w:sz w:val="20"/>
          <w:szCs w:val="20"/>
        </w:rPr>
        <w:tab/>
        <w:t>Kuhn R, Starr MP, Kuhn DA, Bauer H, Knackmuss H-JJ. 1965. Indigoidine and other bacterial pigments related to 3,3′-bipyridyl. Arch Mikrobiol 51:71–84.</w:t>
      </w:r>
    </w:p>
    <w:p w14:paraId="689076EE"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38. </w:t>
      </w:r>
      <w:r w:rsidRPr="00F8165F">
        <w:rPr>
          <w:rFonts w:ascii="Verdana" w:hAnsi="Verdana" w:cs="Times New Roman"/>
          <w:noProof/>
          <w:sz w:val="20"/>
          <w:szCs w:val="20"/>
        </w:rPr>
        <w:tab/>
        <w:t xml:space="preserve">Day PA, Villalba MS, Herrero OM, Arancibia LA, Alvarez HM. 2017. Formation of indigoidine derived-pigments contributes to the adaptation of </w:t>
      </w:r>
      <w:r w:rsidRPr="00F8165F">
        <w:rPr>
          <w:rFonts w:ascii="Verdana" w:hAnsi="Verdana" w:cs="Times New Roman"/>
          <w:i/>
          <w:iCs/>
          <w:noProof/>
          <w:sz w:val="20"/>
          <w:szCs w:val="20"/>
        </w:rPr>
        <w:t xml:space="preserve"> Vogesella sp.</w:t>
      </w:r>
      <w:r w:rsidRPr="00F8165F">
        <w:rPr>
          <w:rFonts w:ascii="Verdana" w:hAnsi="Verdana" w:cs="Times New Roman"/>
          <w:noProof/>
          <w:sz w:val="20"/>
          <w:szCs w:val="20"/>
        </w:rPr>
        <w:t xml:space="preserve"> strain EB </w:t>
      </w:r>
      <w:r w:rsidRPr="00F8165F">
        <w:rPr>
          <w:rFonts w:ascii="Verdana" w:hAnsi="Verdana" w:cs="Times New Roman"/>
          <w:noProof/>
          <w:sz w:val="20"/>
          <w:szCs w:val="20"/>
        </w:rPr>
        <w:lastRenderedPageBreak/>
        <w:t>to cold aquatic iron-oxidizing environments. Antonie van Leeuwenhoek, Int J Gen Mol Microbiol 110:415–428.</w:t>
      </w:r>
    </w:p>
    <w:p w14:paraId="092F84FF"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39. </w:t>
      </w:r>
      <w:r w:rsidRPr="00F8165F">
        <w:rPr>
          <w:rFonts w:ascii="Verdana" w:hAnsi="Verdana" w:cs="Times New Roman"/>
          <w:noProof/>
          <w:sz w:val="20"/>
          <w:szCs w:val="20"/>
        </w:rPr>
        <w:tab/>
        <w:t>Paul R, Weiser S, Amiot NC, Chan C, Schirmer T, Giese B, Jenal U. 2004. Cell cycle-dependent dynamic localization of a bacterial response regulator with a novel di-guanylate cyclase output domain. Genes Dev 18:715–727.</w:t>
      </w:r>
    </w:p>
    <w:p w14:paraId="7F0DD9C3"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40. </w:t>
      </w:r>
      <w:r w:rsidRPr="00F8165F">
        <w:rPr>
          <w:rFonts w:ascii="Verdana" w:hAnsi="Verdana" w:cs="Times New Roman"/>
          <w:noProof/>
          <w:sz w:val="20"/>
          <w:szCs w:val="20"/>
        </w:rPr>
        <w:tab/>
        <w:t>Boutte CC, Henry JT, Crosson S. 2011. ppGpp and polyphosphate modulate cell cycle progression in Caulobacter crescentus. J Bacteriol 194:28–35.</w:t>
      </w:r>
    </w:p>
    <w:p w14:paraId="516817B5"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41. </w:t>
      </w:r>
      <w:r w:rsidRPr="00F8165F">
        <w:rPr>
          <w:rFonts w:ascii="Verdana" w:hAnsi="Verdana" w:cs="Times New Roman"/>
          <w:noProof/>
          <w:sz w:val="20"/>
          <w:szCs w:val="20"/>
        </w:rPr>
        <w:tab/>
        <w:t xml:space="preserve">D’Alvise PW, Magdenoska O, Melchiorsen J, Nielsen KF, Gram L. 2014. Biofilm formation and antibiotic production in </w:t>
      </w:r>
      <w:r w:rsidRPr="00F8165F">
        <w:rPr>
          <w:rFonts w:ascii="Verdana" w:hAnsi="Verdana" w:cs="Times New Roman"/>
          <w:i/>
          <w:iCs/>
          <w:noProof/>
          <w:sz w:val="20"/>
          <w:szCs w:val="20"/>
        </w:rPr>
        <w:t xml:space="preserve">Ruegeria mobilis </w:t>
      </w:r>
      <w:r w:rsidRPr="00F8165F">
        <w:rPr>
          <w:rFonts w:ascii="Verdana" w:hAnsi="Verdana" w:cs="Times New Roman"/>
          <w:noProof/>
          <w:sz w:val="20"/>
          <w:szCs w:val="20"/>
        </w:rPr>
        <w:t>are influenced by intracellular concentrations of cyclic dimeric guanosinmonophosphate. Environ Microbiol 16:1252–1266.</w:t>
      </w:r>
    </w:p>
    <w:p w14:paraId="21625CFD"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42. </w:t>
      </w:r>
      <w:r w:rsidRPr="00F8165F">
        <w:rPr>
          <w:rFonts w:ascii="Verdana" w:hAnsi="Verdana" w:cs="Times New Roman"/>
          <w:noProof/>
          <w:sz w:val="20"/>
          <w:szCs w:val="20"/>
        </w:rPr>
        <w:tab/>
        <w:t xml:space="preserve">Su Y, Tang K, Liu J, Wang Y, Zheng Y, Zhang X-H. 2019. Quorum Sensing System of </w:t>
      </w:r>
      <w:r w:rsidRPr="00F8165F">
        <w:rPr>
          <w:rFonts w:ascii="Verdana" w:hAnsi="Verdana" w:cs="Times New Roman"/>
          <w:i/>
          <w:iCs/>
          <w:noProof/>
          <w:sz w:val="20"/>
          <w:szCs w:val="20"/>
        </w:rPr>
        <w:t>Ruegeria mobilis</w:t>
      </w:r>
      <w:r w:rsidRPr="00F8165F">
        <w:rPr>
          <w:rFonts w:ascii="Verdana" w:hAnsi="Verdana" w:cs="Times New Roman"/>
          <w:noProof/>
          <w:sz w:val="20"/>
          <w:szCs w:val="20"/>
        </w:rPr>
        <w:t xml:space="preserve"> Rm01 Controls Lipase and Biofilm Formation. Front Microbiol 9:3304.</w:t>
      </w:r>
    </w:p>
    <w:p w14:paraId="55960E68"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43. </w:t>
      </w:r>
      <w:r w:rsidRPr="00F8165F">
        <w:rPr>
          <w:rFonts w:ascii="Verdana" w:hAnsi="Verdana" w:cs="Times New Roman"/>
          <w:noProof/>
          <w:sz w:val="20"/>
          <w:szCs w:val="20"/>
        </w:rPr>
        <w:tab/>
        <w:t>Zan J, Heindl JE, Liu Y, Fuqua C, Hill RT. 2013. The CckA-ChpT-CtrA Phosphorelay System Is Regulated by Quorum Sensing and Controls Flagellar Motility in the Marine Sponge Symbiont Ruegeria sp. KLH11. PLoS One 8:e66346.</w:t>
      </w:r>
    </w:p>
    <w:p w14:paraId="78B383F8"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44. </w:t>
      </w:r>
      <w:r w:rsidRPr="00F8165F">
        <w:rPr>
          <w:rFonts w:ascii="Verdana" w:hAnsi="Verdana" w:cs="Times New Roman"/>
          <w:noProof/>
          <w:sz w:val="20"/>
          <w:szCs w:val="20"/>
        </w:rPr>
        <w:tab/>
        <w:t>Wang H, Ziesche L, Frank O, Michael V, Martin M, Petersen J, Schulz S, Wagner-Döbler I, Tomasch J. 2014. The CtrA phosphorelay integrates differentiation and communication in the marine alphaproteobacterium Dinoroseobacter shibae. BMC Genomics 15:130.</w:t>
      </w:r>
    </w:p>
    <w:p w14:paraId="19DAB948"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45. </w:t>
      </w:r>
      <w:r w:rsidRPr="00F8165F">
        <w:rPr>
          <w:rFonts w:ascii="Verdana" w:hAnsi="Verdana" w:cs="Times New Roman"/>
          <w:noProof/>
          <w:sz w:val="20"/>
          <w:szCs w:val="20"/>
        </w:rPr>
        <w:tab/>
        <w:t xml:space="preserve">Leung MM, Brimacombe CA, Beatty JT. 2013. Transcriptional regulation of the </w:t>
      </w:r>
      <w:r w:rsidRPr="00F8165F">
        <w:rPr>
          <w:rFonts w:ascii="Verdana" w:hAnsi="Verdana" w:cs="Times New Roman"/>
          <w:i/>
          <w:iCs/>
          <w:noProof/>
          <w:sz w:val="20"/>
          <w:szCs w:val="20"/>
        </w:rPr>
        <w:t xml:space="preserve"> Rhodobacter capsulatus </w:t>
      </w:r>
      <w:r w:rsidRPr="00F8165F">
        <w:rPr>
          <w:rFonts w:ascii="Verdana" w:hAnsi="Verdana" w:cs="Times New Roman"/>
          <w:noProof/>
          <w:sz w:val="20"/>
          <w:szCs w:val="20"/>
        </w:rPr>
        <w:t xml:space="preserve"> response regulator CtrA. Microbiology 159:96–106.</w:t>
      </w:r>
    </w:p>
    <w:p w14:paraId="7702C01E"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46. </w:t>
      </w:r>
      <w:r w:rsidRPr="00F8165F">
        <w:rPr>
          <w:rFonts w:ascii="Verdana" w:hAnsi="Verdana" w:cs="Times New Roman"/>
          <w:noProof/>
          <w:sz w:val="20"/>
          <w:szCs w:val="20"/>
        </w:rPr>
        <w:tab/>
        <w:t>Goo E, An JH, Kang Y, Hwang I. 2015. Control of bacterial metabolism by quorum sensing. Trends Microbiol 23:567–576.</w:t>
      </w:r>
    </w:p>
    <w:p w14:paraId="3F912B3F"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47. </w:t>
      </w:r>
      <w:r w:rsidRPr="00F8165F">
        <w:rPr>
          <w:rFonts w:ascii="Verdana" w:hAnsi="Verdana" w:cs="Times New Roman"/>
          <w:noProof/>
          <w:sz w:val="20"/>
          <w:szCs w:val="20"/>
        </w:rPr>
        <w:tab/>
        <w:t>Hengge R. 2009. Principles of c-di-GMP signalling in bacteria. Nat Rev Microbiol 7:263–273.</w:t>
      </w:r>
    </w:p>
    <w:p w14:paraId="3F34DC8A"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48. </w:t>
      </w:r>
      <w:r w:rsidRPr="00F8165F">
        <w:rPr>
          <w:rFonts w:ascii="Verdana" w:hAnsi="Verdana" w:cs="Times New Roman"/>
          <w:noProof/>
          <w:sz w:val="20"/>
          <w:szCs w:val="20"/>
        </w:rPr>
        <w:tab/>
        <w:t xml:space="preserve">Poncin K, Gillet S, De Bolle X. 2018. Learning from the master: targets and functions of the CtrA response regulator in </w:t>
      </w:r>
      <w:r w:rsidRPr="00F8165F">
        <w:rPr>
          <w:rFonts w:ascii="Verdana" w:hAnsi="Verdana" w:cs="Times New Roman"/>
          <w:i/>
          <w:iCs/>
          <w:noProof/>
          <w:sz w:val="20"/>
          <w:szCs w:val="20"/>
        </w:rPr>
        <w:t>Brucella abortus</w:t>
      </w:r>
      <w:r w:rsidRPr="00F8165F">
        <w:rPr>
          <w:rFonts w:ascii="Verdana" w:hAnsi="Verdana" w:cs="Times New Roman"/>
          <w:noProof/>
          <w:sz w:val="20"/>
          <w:szCs w:val="20"/>
        </w:rPr>
        <w:t xml:space="preserve"> and other alpha-proteobacteria. FEMS Microbiol Rev. NLM (Medline).</w:t>
      </w:r>
    </w:p>
    <w:p w14:paraId="69FD6D00"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49. </w:t>
      </w:r>
      <w:r w:rsidRPr="00F8165F">
        <w:rPr>
          <w:rFonts w:ascii="Verdana" w:hAnsi="Verdana" w:cs="Times New Roman"/>
          <w:noProof/>
          <w:sz w:val="20"/>
          <w:szCs w:val="20"/>
        </w:rPr>
        <w:tab/>
        <w:t xml:space="preserve">Berger M, Neumann A, Schulz S, Simon M, Brinkhoff T. 2011. Tropodithietic Acid Production in </w:t>
      </w:r>
      <w:r w:rsidRPr="00F8165F">
        <w:rPr>
          <w:rFonts w:ascii="Verdana" w:hAnsi="Verdana" w:cs="Times New Roman"/>
          <w:i/>
          <w:iCs/>
          <w:noProof/>
          <w:sz w:val="20"/>
          <w:szCs w:val="20"/>
        </w:rPr>
        <w:t>Phaeobacter gallaeciensis</w:t>
      </w:r>
      <w:r w:rsidRPr="00F8165F">
        <w:rPr>
          <w:rFonts w:ascii="Verdana" w:hAnsi="Verdana" w:cs="Times New Roman"/>
          <w:noProof/>
          <w:sz w:val="20"/>
          <w:szCs w:val="20"/>
        </w:rPr>
        <w:t xml:space="preserve"> Is Regulated by N-Acyl Homoserine Lactone-Mediated Quorum Sensing. J Bacteriol 193:6576–6585.</w:t>
      </w:r>
    </w:p>
    <w:p w14:paraId="3A4B9528"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50. </w:t>
      </w:r>
      <w:r w:rsidRPr="00F8165F">
        <w:rPr>
          <w:rFonts w:ascii="Verdana" w:hAnsi="Verdana" w:cs="Times New Roman"/>
          <w:noProof/>
          <w:sz w:val="20"/>
          <w:szCs w:val="20"/>
        </w:rPr>
        <w:tab/>
        <w:t xml:space="preserve">Rao D, Webb JS, Kjelleberg S. 2006. Microbial colonization and competition on the marine alga </w:t>
      </w:r>
      <w:r w:rsidRPr="00F8165F">
        <w:rPr>
          <w:rFonts w:ascii="Verdana" w:hAnsi="Verdana" w:cs="Times New Roman"/>
          <w:i/>
          <w:iCs/>
          <w:noProof/>
          <w:sz w:val="20"/>
          <w:szCs w:val="20"/>
        </w:rPr>
        <w:t xml:space="preserve">Ulva australis </w:t>
      </w:r>
      <w:r w:rsidRPr="00F8165F">
        <w:rPr>
          <w:rFonts w:ascii="Verdana" w:hAnsi="Verdana" w:cs="Times New Roman"/>
          <w:noProof/>
          <w:sz w:val="20"/>
          <w:szCs w:val="20"/>
        </w:rPr>
        <w:t>. Appl Environ Microbiol 72:5547–55.</w:t>
      </w:r>
    </w:p>
    <w:p w14:paraId="00A5F88D"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51. </w:t>
      </w:r>
      <w:r w:rsidRPr="00F8165F">
        <w:rPr>
          <w:rFonts w:ascii="Verdana" w:hAnsi="Verdana" w:cs="Times New Roman"/>
          <w:noProof/>
          <w:sz w:val="20"/>
          <w:szCs w:val="20"/>
        </w:rPr>
        <w:tab/>
        <w:t>Mohamed NM, Cicirelli EM, Kan J, Chen F, Fuqua C, Hill RT. 2008. Diversity and quorum-sensing signal production of Proteobacteria associated with marine sponges. Environ Microbiol 10:75–86.</w:t>
      </w:r>
    </w:p>
    <w:p w14:paraId="7A3CE49A"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52. </w:t>
      </w:r>
      <w:r w:rsidRPr="00F8165F">
        <w:rPr>
          <w:rFonts w:ascii="Verdana" w:hAnsi="Verdana" w:cs="Times New Roman"/>
          <w:noProof/>
          <w:sz w:val="20"/>
          <w:szCs w:val="20"/>
        </w:rPr>
        <w:tab/>
        <w:t>Gromek SM, Suria AM, Fullmer MS, Garcia JL, Gogarten JP, Nyholm S V., Balunas MJ. 2016. Leisingera sp. JC1, a Bacterial Isolate from Hawaiian Bobtail Squid Eggs, Produces Indigoidine and Differentially Inhibits Vibrios. Front Microbiol 7:1342.</w:t>
      </w:r>
    </w:p>
    <w:p w14:paraId="0D1AEEAC"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53. </w:t>
      </w:r>
      <w:r w:rsidRPr="00F8165F">
        <w:rPr>
          <w:rFonts w:ascii="Verdana" w:hAnsi="Verdana" w:cs="Times New Roman"/>
          <w:noProof/>
          <w:sz w:val="20"/>
          <w:szCs w:val="20"/>
        </w:rPr>
        <w:tab/>
        <w:t>Wagner-Döbler I, Thiel V, Eberl L, Allgaier M, Bodor A, Meyer S, Ebner S, Hennig A, Pukall R, Schulz S. 2005. Discovery of Complex Mixtures of Novel Long-Chain Quorum Sensing Signals in Free-Living and Host-Associated Marine Alphaproteobacteria. ChemBioChem 6:2195–2206.</w:t>
      </w:r>
    </w:p>
    <w:p w14:paraId="5D42EBC3"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54. </w:t>
      </w:r>
      <w:r w:rsidRPr="00F8165F">
        <w:rPr>
          <w:rFonts w:ascii="Verdana" w:hAnsi="Verdana" w:cs="Times New Roman"/>
          <w:noProof/>
          <w:sz w:val="20"/>
          <w:szCs w:val="20"/>
        </w:rPr>
        <w:tab/>
        <w:t>Ziesche L, Rinkel J, Dickschat JS, Schulz S. 2018. Acyl-group specificity of AHL synthases involved in quorum-sensing in Roseobacter group bacteria. Beilstein J Org Chem 14:1309–1316.</w:t>
      </w:r>
    </w:p>
    <w:p w14:paraId="6B5B8947"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55. </w:t>
      </w:r>
      <w:r w:rsidRPr="00F8165F">
        <w:rPr>
          <w:rFonts w:ascii="Verdana" w:hAnsi="Verdana" w:cs="Times New Roman"/>
          <w:noProof/>
          <w:sz w:val="20"/>
          <w:szCs w:val="20"/>
        </w:rPr>
        <w:tab/>
        <w:t>Krupke A, Hmelo LR, Ossolinski JE, Mincer TJ, Van Mooy BAS. 2016. Quorum Sensing Plays a Complex Role in Regulating the Enzyme Hydrolysis Activity of Microbes Associated with Sinking Particles in the Ocean. Front Mar Sci 3:55.</w:t>
      </w:r>
    </w:p>
    <w:p w14:paraId="31AE6925"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t xml:space="preserve">56. </w:t>
      </w:r>
      <w:r w:rsidRPr="00F8165F">
        <w:rPr>
          <w:rFonts w:ascii="Verdana" w:hAnsi="Verdana" w:cs="Times New Roman"/>
          <w:noProof/>
          <w:sz w:val="20"/>
          <w:szCs w:val="20"/>
        </w:rPr>
        <w:tab/>
        <w:t xml:space="preserve">García-Aljaro C, Vargas-Cespedes GJ, Blanch AR. 2012. Detection of acylated homoserine lactones produced by </w:t>
      </w:r>
      <w:r w:rsidRPr="00F8165F">
        <w:rPr>
          <w:rFonts w:ascii="Verdana" w:hAnsi="Verdana" w:cs="Times New Roman"/>
          <w:i/>
          <w:iCs/>
          <w:noProof/>
          <w:sz w:val="20"/>
          <w:szCs w:val="20"/>
        </w:rPr>
        <w:t xml:space="preserve"> Vibrio spp. </w:t>
      </w:r>
      <w:r w:rsidRPr="00F8165F">
        <w:rPr>
          <w:rFonts w:ascii="Verdana" w:hAnsi="Verdana" w:cs="Times New Roman"/>
          <w:noProof/>
          <w:sz w:val="20"/>
          <w:szCs w:val="20"/>
        </w:rPr>
        <w:t xml:space="preserve"> and related species isolated from water and aquatic organisms. J Appl Microbiol 112:383–389.</w:t>
      </w:r>
    </w:p>
    <w:p w14:paraId="0B049021" w14:textId="77777777" w:rsidR="00B77EC7" w:rsidRPr="00F8165F" w:rsidRDefault="00B77EC7" w:rsidP="00F8165F">
      <w:pPr>
        <w:widowControl w:val="0"/>
        <w:autoSpaceDE w:val="0"/>
        <w:autoSpaceDN w:val="0"/>
        <w:adjustRightInd w:val="0"/>
        <w:ind w:left="640" w:hanging="640"/>
        <w:jc w:val="both"/>
        <w:rPr>
          <w:rFonts w:ascii="Verdana" w:hAnsi="Verdana" w:cs="Times New Roman"/>
          <w:noProof/>
          <w:sz w:val="20"/>
          <w:szCs w:val="20"/>
        </w:rPr>
      </w:pPr>
      <w:r w:rsidRPr="00F8165F">
        <w:rPr>
          <w:rFonts w:ascii="Verdana" w:hAnsi="Verdana" w:cs="Times New Roman"/>
          <w:noProof/>
          <w:sz w:val="20"/>
          <w:szCs w:val="20"/>
        </w:rPr>
        <w:lastRenderedPageBreak/>
        <w:t xml:space="preserve">57. </w:t>
      </w:r>
      <w:r w:rsidRPr="00F8165F">
        <w:rPr>
          <w:rFonts w:ascii="Verdana" w:hAnsi="Verdana" w:cs="Times New Roman"/>
          <w:noProof/>
          <w:sz w:val="20"/>
          <w:szCs w:val="20"/>
        </w:rPr>
        <w:tab/>
        <w:t>Verma SC, Miyashiro T. 2013. Quorum Sensing in the Squid-Vibrio Symbiosis. Int J Mol Sci 14:16386–16401.</w:t>
      </w:r>
    </w:p>
    <w:p w14:paraId="29CE75CF" w14:textId="197AE618" w:rsidR="00834C18" w:rsidRPr="00F8165F" w:rsidRDefault="00834C18" w:rsidP="00F8165F">
      <w:pPr>
        <w:jc w:val="both"/>
        <w:rPr>
          <w:rFonts w:ascii="Verdana" w:hAnsi="Verdana" w:cs="Times New Roman"/>
          <w:sz w:val="20"/>
          <w:szCs w:val="20"/>
        </w:rPr>
      </w:pPr>
      <w:r w:rsidRPr="00F8165F">
        <w:rPr>
          <w:rFonts w:ascii="Verdana" w:hAnsi="Verdana" w:cs="Times New Roman"/>
          <w:sz w:val="20"/>
          <w:szCs w:val="20"/>
        </w:rPr>
        <w:fldChar w:fldCharType="end"/>
      </w:r>
    </w:p>
    <w:p w14:paraId="64798418" w14:textId="24CD72B8" w:rsidR="00834C18" w:rsidRPr="00F8165F" w:rsidRDefault="00975E37" w:rsidP="00F8165F">
      <w:pPr>
        <w:pStyle w:val="Heading2"/>
        <w:spacing w:before="0"/>
        <w:jc w:val="both"/>
        <w:rPr>
          <w:rFonts w:ascii="Verdana" w:hAnsi="Verdana" w:cs="Times New Roman"/>
          <w:sz w:val="20"/>
          <w:szCs w:val="20"/>
        </w:rPr>
      </w:pPr>
      <w:r w:rsidRPr="00F8165F">
        <w:rPr>
          <w:rFonts w:ascii="Verdana" w:hAnsi="Verdana" w:cs="Times New Roman"/>
          <w:sz w:val="20"/>
          <w:szCs w:val="20"/>
        </w:rPr>
        <w:br w:type="page"/>
      </w:r>
      <w:bookmarkStart w:id="21" w:name="_Toc289175832"/>
    </w:p>
    <w:p w14:paraId="78B6B09E" w14:textId="4A38408B" w:rsidR="00834C18" w:rsidRPr="00F11D34" w:rsidRDefault="00834C18" w:rsidP="00677C01">
      <w:pPr>
        <w:pStyle w:val="Heading2"/>
        <w:rPr>
          <w:rFonts w:ascii="Verdana" w:hAnsi="Verdana" w:cs="Times New Roman"/>
          <w:sz w:val="24"/>
          <w:szCs w:val="24"/>
        </w:rPr>
      </w:pPr>
      <w:bookmarkStart w:id="22" w:name="_Toc83382599"/>
      <w:r w:rsidRPr="00F11D34">
        <w:rPr>
          <w:rFonts w:ascii="Verdana" w:hAnsi="Verdana" w:cs="Times New Roman"/>
          <w:sz w:val="24"/>
          <w:szCs w:val="24"/>
        </w:rPr>
        <w:lastRenderedPageBreak/>
        <w:t>Appendix: Tables</w:t>
      </w:r>
      <w:bookmarkEnd w:id="22"/>
    </w:p>
    <w:p w14:paraId="0284C051" w14:textId="2E98D44E" w:rsidR="00834C18" w:rsidRPr="00C51113" w:rsidRDefault="00834C18" w:rsidP="00677C01">
      <w:pPr>
        <w:spacing w:before="240"/>
        <w:jc w:val="both"/>
        <w:rPr>
          <w:rFonts w:ascii="Verdana" w:hAnsi="Verdana"/>
          <w:sz w:val="18"/>
          <w:szCs w:val="18"/>
        </w:rPr>
      </w:pPr>
    </w:p>
    <w:p w14:paraId="0BBA727C" w14:textId="77777777" w:rsidR="00965D91" w:rsidRDefault="00960B7E" w:rsidP="00677C01">
      <w:pPr>
        <w:pStyle w:val="Caption"/>
        <w:spacing w:before="240"/>
        <w:jc w:val="both"/>
      </w:pPr>
      <w:r w:rsidRPr="00C51113">
        <w:rPr>
          <w:rFonts w:ascii="Verdana" w:hAnsi="Verdana"/>
          <w:sz w:val="18"/>
          <w:szCs w:val="18"/>
        </w:rPr>
        <w:t xml:space="preserve"> </w:t>
      </w:r>
      <w:r w:rsidRPr="00C51113">
        <w:rPr>
          <w:rFonts w:ascii="Verdana" w:hAnsi="Verdana" w:cs="Times New Roman"/>
          <w:sz w:val="18"/>
          <w:szCs w:val="18"/>
        </w:rPr>
        <w:t xml:space="preserve"> </w:t>
      </w:r>
    </w:p>
    <w:p w14:paraId="0AC6AFAE" w14:textId="60A4D7A3" w:rsidR="00965D91" w:rsidRPr="00451577" w:rsidRDefault="00965D91" w:rsidP="00677C01">
      <w:pPr>
        <w:pStyle w:val="Caption"/>
        <w:spacing w:before="240"/>
        <w:jc w:val="both"/>
        <w:rPr>
          <w:rFonts w:ascii="Verdana" w:hAnsi="Verdana"/>
          <w:sz w:val="20"/>
          <w:szCs w:val="20"/>
        </w:rPr>
      </w:pPr>
      <w:bookmarkStart w:id="23" w:name="_Toc83387909"/>
      <w:r w:rsidRPr="00451577">
        <w:rPr>
          <w:rFonts w:ascii="Verdana" w:hAnsi="Verdana"/>
          <w:sz w:val="20"/>
          <w:szCs w:val="20"/>
        </w:rPr>
        <w:t xml:space="preserve">Table </w:t>
      </w:r>
      <w:r w:rsidR="00F8165F">
        <w:rPr>
          <w:rFonts w:ascii="Verdana" w:hAnsi="Verdana"/>
          <w:sz w:val="20"/>
          <w:szCs w:val="20"/>
        </w:rPr>
        <w:fldChar w:fldCharType="begin"/>
      </w:r>
      <w:r w:rsidR="00F8165F">
        <w:rPr>
          <w:rFonts w:ascii="Verdana" w:hAnsi="Verdana"/>
          <w:sz w:val="20"/>
          <w:szCs w:val="20"/>
        </w:rPr>
        <w:instrText xml:space="preserve"> STYLEREF 1 \s </w:instrText>
      </w:r>
      <w:r w:rsidR="00F8165F">
        <w:rPr>
          <w:rFonts w:ascii="Verdana" w:hAnsi="Verdana"/>
          <w:sz w:val="20"/>
          <w:szCs w:val="20"/>
        </w:rPr>
        <w:fldChar w:fldCharType="separate"/>
      </w:r>
      <w:r w:rsidR="00F8165F">
        <w:rPr>
          <w:rFonts w:ascii="Verdana" w:hAnsi="Verdana"/>
          <w:noProof/>
          <w:sz w:val="20"/>
          <w:szCs w:val="20"/>
        </w:rPr>
        <w:t>2</w:t>
      </w:r>
      <w:r w:rsidR="00F8165F">
        <w:rPr>
          <w:rFonts w:ascii="Verdana" w:hAnsi="Verdana"/>
          <w:sz w:val="20"/>
          <w:szCs w:val="20"/>
        </w:rPr>
        <w:fldChar w:fldCharType="end"/>
      </w:r>
      <w:r w:rsidR="00F8165F">
        <w:rPr>
          <w:rFonts w:ascii="Verdana" w:hAnsi="Verdana"/>
          <w:sz w:val="20"/>
          <w:szCs w:val="20"/>
        </w:rPr>
        <w:t>.</w:t>
      </w:r>
      <w:r w:rsidR="00F8165F">
        <w:rPr>
          <w:rFonts w:ascii="Verdana" w:hAnsi="Verdana"/>
          <w:sz w:val="20"/>
          <w:szCs w:val="20"/>
        </w:rPr>
        <w:fldChar w:fldCharType="begin"/>
      </w:r>
      <w:r w:rsidR="00F8165F">
        <w:rPr>
          <w:rFonts w:ascii="Verdana" w:hAnsi="Verdana"/>
          <w:sz w:val="20"/>
          <w:szCs w:val="20"/>
        </w:rPr>
        <w:instrText xml:space="preserve"> SEQ Table \* ARABIC \s 1 </w:instrText>
      </w:r>
      <w:r w:rsidR="00F8165F">
        <w:rPr>
          <w:rFonts w:ascii="Verdana" w:hAnsi="Verdana"/>
          <w:sz w:val="20"/>
          <w:szCs w:val="20"/>
        </w:rPr>
        <w:fldChar w:fldCharType="separate"/>
      </w:r>
      <w:r w:rsidR="00F8165F">
        <w:rPr>
          <w:rFonts w:ascii="Verdana" w:hAnsi="Verdana"/>
          <w:noProof/>
          <w:sz w:val="20"/>
          <w:szCs w:val="20"/>
        </w:rPr>
        <w:t>1</w:t>
      </w:r>
      <w:r w:rsidR="00F8165F">
        <w:rPr>
          <w:rFonts w:ascii="Verdana" w:hAnsi="Verdana"/>
          <w:sz w:val="20"/>
          <w:szCs w:val="20"/>
        </w:rPr>
        <w:fldChar w:fldCharType="end"/>
      </w:r>
      <w:r w:rsidRPr="00451577">
        <w:rPr>
          <w:rFonts w:ascii="Verdana" w:hAnsi="Verdana"/>
          <w:sz w:val="20"/>
          <w:szCs w:val="20"/>
        </w:rPr>
        <w:t xml:space="preserve"> Y4I variant phenotypes</w:t>
      </w:r>
      <w:bookmarkEnd w:id="23"/>
    </w:p>
    <w:p w14:paraId="1980353C" w14:textId="77777777" w:rsidR="0092091F" w:rsidRPr="00C51113" w:rsidRDefault="0092091F" w:rsidP="00677C01">
      <w:pPr>
        <w:spacing w:before="240"/>
        <w:jc w:val="both"/>
        <w:rPr>
          <w:rFonts w:ascii="Verdana" w:hAnsi="Verdana"/>
          <w:sz w:val="18"/>
          <w:szCs w:val="18"/>
        </w:rPr>
      </w:pPr>
    </w:p>
    <w:tbl>
      <w:tblPr>
        <w:tblStyle w:val="GridTable1Light-Accent3"/>
        <w:tblpPr w:leftFromText="180" w:rightFromText="180" w:vertAnchor="page" w:horzAnchor="margin" w:tblpY="3621"/>
        <w:tblW w:w="9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810"/>
        <w:gridCol w:w="1800"/>
        <w:gridCol w:w="1710"/>
        <w:gridCol w:w="1929"/>
        <w:gridCol w:w="1761"/>
      </w:tblGrid>
      <w:tr w:rsidR="00F8165F" w:rsidRPr="00C51113" w14:paraId="2062FE27" w14:textId="77777777" w:rsidTr="00F8165F">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1530" w:type="dxa"/>
            <w:tcBorders>
              <w:top w:val="nil"/>
              <w:left w:val="nil"/>
              <w:bottom w:val="single" w:sz="4" w:space="0" w:color="auto"/>
              <w:right w:val="nil"/>
            </w:tcBorders>
          </w:tcPr>
          <w:p w14:paraId="359A5EEC" w14:textId="77777777" w:rsidR="00F8165F" w:rsidRPr="00C51113" w:rsidRDefault="00F8165F" w:rsidP="00F8165F">
            <w:pPr>
              <w:spacing w:before="240"/>
              <w:jc w:val="both"/>
              <w:rPr>
                <w:rFonts w:ascii="Verdana" w:hAnsi="Verdana" w:cs="Times New Roman"/>
                <w:b w:val="0"/>
                <w:bCs w:val="0"/>
                <w:sz w:val="18"/>
                <w:szCs w:val="18"/>
              </w:rPr>
            </w:pPr>
          </w:p>
        </w:tc>
        <w:tc>
          <w:tcPr>
            <w:tcW w:w="810" w:type="dxa"/>
            <w:tcBorders>
              <w:top w:val="single" w:sz="8" w:space="0" w:color="auto"/>
              <w:left w:val="nil"/>
              <w:bottom w:val="single" w:sz="4" w:space="0" w:color="auto"/>
              <w:right w:val="nil"/>
            </w:tcBorders>
          </w:tcPr>
          <w:p w14:paraId="7E385EEB" w14:textId="77777777" w:rsidR="00F8165F" w:rsidRPr="00C51113" w:rsidRDefault="00F8165F" w:rsidP="00F8165F">
            <w:pPr>
              <w:spacing w:before="24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sz w:val="18"/>
                <w:szCs w:val="18"/>
              </w:rPr>
            </w:pPr>
            <w:r w:rsidRPr="00C51113">
              <w:rPr>
                <w:rFonts w:ascii="Verdana" w:hAnsi="Verdana" w:cs="Times New Roman"/>
                <w:sz w:val="18"/>
                <w:szCs w:val="18"/>
              </w:rPr>
              <w:t>WT</w:t>
            </w:r>
          </w:p>
        </w:tc>
        <w:tc>
          <w:tcPr>
            <w:tcW w:w="1800" w:type="dxa"/>
            <w:tcBorders>
              <w:top w:val="single" w:sz="8" w:space="0" w:color="auto"/>
              <w:left w:val="nil"/>
              <w:bottom w:val="single" w:sz="4" w:space="0" w:color="auto"/>
              <w:right w:val="nil"/>
            </w:tcBorders>
          </w:tcPr>
          <w:p w14:paraId="539E5FBF" w14:textId="77777777" w:rsidR="00F8165F" w:rsidRPr="00C51113" w:rsidRDefault="00F8165F" w:rsidP="00F8165F">
            <w:pPr>
              <w:spacing w:before="24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sz w:val="18"/>
                <w:szCs w:val="18"/>
              </w:rPr>
            </w:pPr>
            <w:proofErr w:type="spellStart"/>
            <w:proofErr w:type="gramStart"/>
            <w:r w:rsidRPr="00C51113">
              <w:rPr>
                <w:rFonts w:ascii="Verdana" w:hAnsi="Verdana" w:cs="Times New Roman"/>
                <w:i/>
                <w:iCs/>
                <w:sz w:val="18"/>
                <w:szCs w:val="18"/>
              </w:rPr>
              <w:t>pgaR</w:t>
            </w:r>
            <w:proofErr w:type="spellEnd"/>
            <w:r w:rsidRPr="00C51113">
              <w:rPr>
                <w:rFonts w:ascii="Verdana" w:hAnsi="Verdana" w:cs="Times New Roman"/>
                <w:sz w:val="18"/>
                <w:szCs w:val="18"/>
              </w:rPr>
              <w:t>::</w:t>
            </w:r>
            <w:proofErr w:type="gramEnd"/>
            <w:r w:rsidRPr="00C51113">
              <w:rPr>
                <w:rFonts w:ascii="Verdana" w:hAnsi="Verdana" w:cs="Times New Roman"/>
                <w:sz w:val="18"/>
                <w:szCs w:val="18"/>
              </w:rPr>
              <w:t>Tn5-Km</w:t>
            </w:r>
            <w:r w:rsidRPr="00C51113">
              <w:rPr>
                <w:rFonts w:ascii="Verdana" w:hAnsi="Verdana" w:cs="Times New Roman"/>
                <w:sz w:val="18"/>
                <w:szCs w:val="18"/>
                <w:vertAlign w:val="superscript"/>
              </w:rPr>
              <w:t>R</w:t>
            </w:r>
          </w:p>
        </w:tc>
        <w:tc>
          <w:tcPr>
            <w:tcW w:w="1710" w:type="dxa"/>
            <w:tcBorders>
              <w:top w:val="single" w:sz="8" w:space="0" w:color="auto"/>
              <w:left w:val="nil"/>
              <w:bottom w:val="single" w:sz="4" w:space="0" w:color="auto"/>
              <w:right w:val="nil"/>
            </w:tcBorders>
          </w:tcPr>
          <w:p w14:paraId="7DCBFE52" w14:textId="77777777" w:rsidR="00F8165F" w:rsidRPr="00C51113" w:rsidRDefault="00F8165F" w:rsidP="00F8165F">
            <w:pPr>
              <w:spacing w:before="24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sz w:val="18"/>
                <w:szCs w:val="18"/>
              </w:rPr>
            </w:pPr>
            <w:proofErr w:type="spellStart"/>
            <w:proofErr w:type="gramStart"/>
            <w:r w:rsidRPr="00C51113">
              <w:rPr>
                <w:rFonts w:ascii="Verdana" w:hAnsi="Verdana" w:cs="Times New Roman"/>
                <w:i/>
                <w:iCs/>
                <w:sz w:val="18"/>
                <w:szCs w:val="18"/>
              </w:rPr>
              <w:t>phaR</w:t>
            </w:r>
            <w:proofErr w:type="spellEnd"/>
            <w:r w:rsidRPr="00C51113">
              <w:rPr>
                <w:rFonts w:ascii="Verdana" w:hAnsi="Verdana" w:cs="Times New Roman"/>
                <w:sz w:val="18"/>
                <w:szCs w:val="18"/>
              </w:rPr>
              <w:t>::</w:t>
            </w:r>
            <w:proofErr w:type="gramEnd"/>
            <w:r w:rsidRPr="00C51113">
              <w:rPr>
                <w:rFonts w:ascii="Verdana" w:hAnsi="Verdana" w:cs="Times New Roman"/>
                <w:sz w:val="18"/>
                <w:szCs w:val="18"/>
              </w:rPr>
              <w:t>Tn5-Km</w:t>
            </w:r>
            <w:r w:rsidRPr="00C51113">
              <w:rPr>
                <w:rFonts w:ascii="Verdana" w:hAnsi="Verdana" w:cs="Times New Roman"/>
                <w:sz w:val="18"/>
                <w:szCs w:val="18"/>
                <w:vertAlign w:val="superscript"/>
              </w:rPr>
              <w:t>R</w:t>
            </w:r>
          </w:p>
        </w:tc>
        <w:tc>
          <w:tcPr>
            <w:tcW w:w="1929" w:type="dxa"/>
            <w:tcBorders>
              <w:top w:val="single" w:sz="8" w:space="0" w:color="auto"/>
              <w:left w:val="nil"/>
              <w:bottom w:val="single" w:sz="4" w:space="0" w:color="auto"/>
              <w:right w:val="nil"/>
            </w:tcBorders>
          </w:tcPr>
          <w:p w14:paraId="15E88B20" w14:textId="77777777" w:rsidR="00F8165F" w:rsidRPr="00C51113" w:rsidRDefault="00F8165F" w:rsidP="00F8165F">
            <w:pPr>
              <w:spacing w:before="24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sz w:val="18"/>
                <w:szCs w:val="18"/>
              </w:rPr>
            </w:pPr>
            <w:proofErr w:type="spellStart"/>
            <w:proofErr w:type="gramStart"/>
            <w:r w:rsidRPr="00C51113">
              <w:rPr>
                <w:rFonts w:ascii="Verdana" w:hAnsi="Verdana" w:cs="Times New Roman"/>
                <w:i/>
                <w:iCs/>
                <w:sz w:val="18"/>
                <w:szCs w:val="18"/>
              </w:rPr>
              <w:t>phaI</w:t>
            </w:r>
            <w:proofErr w:type="spellEnd"/>
            <w:r w:rsidRPr="00C51113">
              <w:rPr>
                <w:rFonts w:ascii="Verdana" w:hAnsi="Verdana" w:cs="Times New Roman"/>
                <w:sz w:val="18"/>
                <w:szCs w:val="18"/>
              </w:rPr>
              <w:t>::</w:t>
            </w:r>
            <w:proofErr w:type="spellStart"/>
            <w:proofErr w:type="gramEnd"/>
            <w:r w:rsidRPr="00C51113">
              <w:rPr>
                <w:rFonts w:ascii="Verdana" w:hAnsi="Verdana" w:cs="Times New Roman"/>
                <w:sz w:val="18"/>
                <w:szCs w:val="18"/>
              </w:rPr>
              <w:t>pKNOCK</w:t>
            </w:r>
            <w:proofErr w:type="spellEnd"/>
          </w:p>
        </w:tc>
        <w:tc>
          <w:tcPr>
            <w:tcW w:w="1761" w:type="dxa"/>
            <w:tcBorders>
              <w:top w:val="single" w:sz="8" w:space="0" w:color="auto"/>
              <w:left w:val="nil"/>
              <w:bottom w:val="single" w:sz="4" w:space="0" w:color="auto"/>
              <w:right w:val="nil"/>
            </w:tcBorders>
          </w:tcPr>
          <w:p w14:paraId="152DFD81" w14:textId="77777777" w:rsidR="00F8165F" w:rsidRPr="00C51113" w:rsidRDefault="00F8165F" w:rsidP="00F8165F">
            <w:pPr>
              <w:spacing w:before="240"/>
              <w:jc w:val="both"/>
              <w:cnfStyle w:val="100000000000" w:firstRow="1" w:lastRow="0" w:firstColumn="0" w:lastColumn="0" w:oddVBand="0" w:evenVBand="0" w:oddHBand="0" w:evenHBand="0" w:firstRowFirstColumn="0" w:firstRowLastColumn="0" w:lastRowFirstColumn="0" w:lastRowLastColumn="0"/>
              <w:rPr>
                <w:rFonts w:ascii="Verdana" w:hAnsi="Verdana" w:cs="Times New Roman"/>
                <w:sz w:val="18"/>
                <w:szCs w:val="18"/>
              </w:rPr>
            </w:pPr>
            <w:proofErr w:type="spellStart"/>
            <w:proofErr w:type="gramStart"/>
            <w:r w:rsidRPr="00C51113">
              <w:rPr>
                <w:rFonts w:ascii="Verdana" w:hAnsi="Verdana" w:cs="Times New Roman"/>
                <w:i/>
                <w:iCs/>
                <w:sz w:val="18"/>
                <w:szCs w:val="18"/>
              </w:rPr>
              <w:t>igiD</w:t>
            </w:r>
            <w:proofErr w:type="spellEnd"/>
            <w:r w:rsidRPr="00C51113">
              <w:rPr>
                <w:rFonts w:ascii="Verdana" w:hAnsi="Verdana" w:cs="Times New Roman"/>
                <w:sz w:val="18"/>
                <w:szCs w:val="18"/>
              </w:rPr>
              <w:t>::</w:t>
            </w:r>
            <w:proofErr w:type="gramEnd"/>
            <w:r w:rsidRPr="00C51113">
              <w:rPr>
                <w:rFonts w:ascii="Verdana" w:hAnsi="Verdana" w:cs="Times New Roman"/>
                <w:sz w:val="18"/>
                <w:szCs w:val="18"/>
              </w:rPr>
              <w:t>Tn5-Km</w:t>
            </w:r>
            <w:r w:rsidRPr="00C51113">
              <w:rPr>
                <w:rFonts w:ascii="Verdana" w:hAnsi="Verdana" w:cs="Times New Roman"/>
                <w:sz w:val="18"/>
                <w:szCs w:val="18"/>
                <w:vertAlign w:val="superscript"/>
              </w:rPr>
              <w:t>R</w:t>
            </w:r>
          </w:p>
        </w:tc>
      </w:tr>
      <w:tr w:rsidR="00F8165F" w:rsidRPr="00C51113" w14:paraId="250D2854" w14:textId="77777777" w:rsidTr="00F8165F">
        <w:trPr>
          <w:trHeight w:val="856"/>
        </w:trPr>
        <w:tc>
          <w:tcPr>
            <w:cnfStyle w:val="001000000000" w:firstRow="0" w:lastRow="0" w:firstColumn="1" w:lastColumn="0" w:oddVBand="0" w:evenVBand="0" w:oddHBand="0" w:evenHBand="0" w:firstRowFirstColumn="0" w:firstRowLastColumn="0" w:lastRowFirstColumn="0" w:lastRowLastColumn="0"/>
            <w:tcW w:w="1530" w:type="dxa"/>
            <w:tcBorders>
              <w:top w:val="single" w:sz="4" w:space="0" w:color="auto"/>
              <w:left w:val="nil"/>
              <w:bottom w:val="nil"/>
              <w:right w:val="nil"/>
            </w:tcBorders>
          </w:tcPr>
          <w:p w14:paraId="10BCF22A" w14:textId="77777777" w:rsidR="00F8165F" w:rsidRPr="00C51113" w:rsidRDefault="00F8165F" w:rsidP="00F8165F">
            <w:pPr>
              <w:spacing w:before="240"/>
              <w:jc w:val="both"/>
              <w:rPr>
                <w:rFonts w:ascii="Verdana" w:hAnsi="Verdana" w:cs="Times New Roman"/>
                <w:b w:val="0"/>
                <w:bCs w:val="0"/>
                <w:sz w:val="18"/>
                <w:szCs w:val="18"/>
              </w:rPr>
            </w:pPr>
            <w:r w:rsidRPr="00C51113">
              <w:rPr>
                <w:rFonts w:ascii="Verdana" w:hAnsi="Verdana" w:cs="Times New Roman"/>
                <w:sz w:val="18"/>
                <w:szCs w:val="18"/>
              </w:rPr>
              <w:t xml:space="preserve">Indigoidine </w:t>
            </w:r>
            <w:proofErr w:type="spellStart"/>
            <w:r w:rsidRPr="00C51113">
              <w:rPr>
                <w:rFonts w:ascii="Verdana" w:hAnsi="Verdana" w:cs="Times New Roman"/>
                <w:sz w:val="18"/>
                <w:szCs w:val="18"/>
              </w:rPr>
              <w:t>Production</w:t>
            </w:r>
            <w:r w:rsidRPr="00C51113">
              <w:rPr>
                <w:rFonts w:ascii="Verdana" w:hAnsi="Verdana" w:cs="Times New Roman"/>
                <w:sz w:val="18"/>
                <w:szCs w:val="18"/>
                <w:vertAlign w:val="superscript"/>
              </w:rPr>
              <w:t>a</w:t>
            </w:r>
            <w:proofErr w:type="spellEnd"/>
          </w:p>
        </w:tc>
        <w:tc>
          <w:tcPr>
            <w:tcW w:w="810" w:type="dxa"/>
            <w:tcBorders>
              <w:top w:val="single" w:sz="4" w:space="0" w:color="auto"/>
              <w:left w:val="nil"/>
              <w:bottom w:val="nil"/>
              <w:right w:val="nil"/>
            </w:tcBorders>
            <w:vAlign w:val="center"/>
          </w:tcPr>
          <w:p w14:paraId="3BA3007D" w14:textId="77777777" w:rsidR="00F8165F" w:rsidRPr="00C51113" w:rsidRDefault="00F8165F" w:rsidP="00F8165F">
            <w:pPr>
              <w:spacing w:before="24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sidRPr="00C51113">
              <w:rPr>
                <w:rFonts w:ascii="Verdana" w:hAnsi="Verdana" w:cs="Times New Roman"/>
                <w:sz w:val="18"/>
                <w:szCs w:val="18"/>
              </w:rPr>
              <w:t>+</w:t>
            </w:r>
          </w:p>
        </w:tc>
        <w:tc>
          <w:tcPr>
            <w:tcW w:w="1800" w:type="dxa"/>
            <w:tcBorders>
              <w:top w:val="single" w:sz="4" w:space="0" w:color="auto"/>
              <w:left w:val="nil"/>
              <w:bottom w:val="nil"/>
              <w:right w:val="nil"/>
            </w:tcBorders>
            <w:vAlign w:val="center"/>
          </w:tcPr>
          <w:p w14:paraId="77567CF8" w14:textId="77777777" w:rsidR="00F8165F" w:rsidRPr="00C51113" w:rsidRDefault="00F8165F" w:rsidP="00F8165F">
            <w:pPr>
              <w:spacing w:before="24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sidRPr="00C51113">
              <w:rPr>
                <w:rFonts w:ascii="Verdana" w:hAnsi="Verdana" w:cs="Times New Roman"/>
                <w:sz w:val="18"/>
                <w:szCs w:val="18"/>
              </w:rPr>
              <w:t>-</w:t>
            </w:r>
          </w:p>
        </w:tc>
        <w:tc>
          <w:tcPr>
            <w:tcW w:w="1710" w:type="dxa"/>
            <w:tcBorders>
              <w:top w:val="single" w:sz="4" w:space="0" w:color="auto"/>
              <w:left w:val="nil"/>
              <w:bottom w:val="nil"/>
              <w:right w:val="nil"/>
            </w:tcBorders>
            <w:vAlign w:val="center"/>
          </w:tcPr>
          <w:p w14:paraId="4C0533D3" w14:textId="77777777" w:rsidR="00F8165F" w:rsidRPr="00C51113" w:rsidRDefault="00F8165F" w:rsidP="00F8165F">
            <w:pPr>
              <w:spacing w:before="24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sidRPr="00C51113">
              <w:rPr>
                <w:rFonts w:ascii="Verdana" w:hAnsi="Verdana" w:cs="Times New Roman"/>
                <w:sz w:val="18"/>
                <w:szCs w:val="18"/>
              </w:rPr>
              <w:t>+/-</w:t>
            </w:r>
          </w:p>
        </w:tc>
        <w:tc>
          <w:tcPr>
            <w:tcW w:w="1929" w:type="dxa"/>
            <w:tcBorders>
              <w:top w:val="single" w:sz="4" w:space="0" w:color="auto"/>
              <w:left w:val="nil"/>
              <w:bottom w:val="nil"/>
              <w:right w:val="nil"/>
            </w:tcBorders>
            <w:vAlign w:val="center"/>
          </w:tcPr>
          <w:p w14:paraId="7EA1F7B2" w14:textId="77777777" w:rsidR="00F8165F" w:rsidRPr="00C51113" w:rsidRDefault="00F8165F" w:rsidP="00F8165F">
            <w:pPr>
              <w:spacing w:before="24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sidRPr="00C51113">
              <w:rPr>
                <w:rFonts w:ascii="Verdana" w:hAnsi="Verdana" w:cs="Times New Roman"/>
                <w:sz w:val="18"/>
                <w:szCs w:val="18"/>
              </w:rPr>
              <w:t>-</w:t>
            </w:r>
          </w:p>
        </w:tc>
        <w:tc>
          <w:tcPr>
            <w:tcW w:w="1761" w:type="dxa"/>
            <w:tcBorders>
              <w:top w:val="single" w:sz="4" w:space="0" w:color="auto"/>
              <w:left w:val="nil"/>
              <w:bottom w:val="nil"/>
              <w:right w:val="nil"/>
            </w:tcBorders>
            <w:vAlign w:val="center"/>
          </w:tcPr>
          <w:p w14:paraId="26A863E6" w14:textId="77777777" w:rsidR="00F8165F" w:rsidRPr="00C51113" w:rsidRDefault="00F8165F" w:rsidP="00F8165F">
            <w:pPr>
              <w:spacing w:before="24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sidRPr="00C51113">
              <w:rPr>
                <w:rFonts w:ascii="Verdana" w:hAnsi="Verdana" w:cs="Times New Roman"/>
                <w:sz w:val="18"/>
                <w:szCs w:val="18"/>
              </w:rPr>
              <w:t>-</w:t>
            </w:r>
          </w:p>
        </w:tc>
      </w:tr>
      <w:tr w:rsidR="00F8165F" w:rsidRPr="00C51113" w14:paraId="5EA92D9A" w14:textId="77777777" w:rsidTr="00F8165F">
        <w:trPr>
          <w:trHeight w:val="915"/>
        </w:trPr>
        <w:tc>
          <w:tcPr>
            <w:cnfStyle w:val="001000000000" w:firstRow="0" w:lastRow="0" w:firstColumn="1" w:lastColumn="0" w:oddVBand="0" w:evenVBand="0" w:oddHBand="0" w:evenHBand="0" w:firstRowFirstColumn="0" w:firstRowLastColumn="0" w:lastRowFirstColumn="0" w:lastRowLastColumn="0"/>
            <w:tcW w:w="1530" w:type="dxa"/>
            <w:tcBorders>
              <w:top w:val="nil"/>
              <w:left w:val="nil"/>
              <w:bottom w:val="single" w:sz="8" w:space="0" w:color="auto"/>
              <w:right w:val="nil"/>
            </w:tcBorders>
          </w:tcPr>
          <w:p w14:paraId="04D0D3B8" w14:textId="77777777" w:rsidR="00F8165F" w:rsidRPr="00C51113" w:rsidRDefault="00F8165F" w:rsidP="00F8165F">
            <w:pPr>
              <w:spacing w:before="240"/>
              <w:jc w:val="both"/>
              <w:rPr>
                <w:rFonts w:ascii="Verdana" w:hAnsi="Verdana" w:cs="Times New Roman"/>
                <w:b w:val="0"/>
                <w:bCs w:val="0"/>
                <w:i/>
                <w:iCs/>
                <w:sz w:val="18"/>
                <w:szCs w:val="18"/>
              </w:rPr>
            </w:pPr>
            <w:r w:rsidRPr="00C51113">
              <w:rPr>
                <w:rFonts w:ascii="Verdana" w:hAnsi="Verdana" w:cs="Times New Roman"/>
                <w:sz w:val="18"/>
                <w:szCs w:val="18"/>
              </w:rPr>
              <w:t xml:space="preserve">Growth </w:t>
            </w:r>
            <w:proofErr w:type="spellStart"/>
            <w:r w:rsidRPr="00C51113">
              <w:rPr>
                <w:rFonts w:ascii="Verdana" w:hAnsi="Verdana" w:cs="Times New Roman"/>
                <w:sz w:val="18"/>
                <w:szCs w:val="18"/>
              </w:rPr>
              <w:t>Inhibition</w:t>
            </w:r>
            <w:r w:rsidRPr="00C51113">
              <w:rPr>
                <w:rFonts w:ascii="Verdana" w:hAnsi="Verdana" w:cs="Times New Roman"/>
                <w:sz w:val="18"/>
                <w:szCs w:val="18"/>
                <w:vertAlign w:val="superscript"/>
              </w:rPr>
              <w:t>b</w:t>
            </w:r>
            <w:proofErr w:type="spellEnd"/>
            <w:r w:rsidRPr="00C51113">
              <w:rPr>
                <w:rFonts w:ascii="Verdana" w:hAnsi="Verdana" w:cs="Times New Roman"/>
                <w:sz w:val="18"/>
                <w:szCs w:val="18"/>
              </w:rPr>
              <w:t xml:space="preserve"> </w:t>
            </w:r>
          </w:p>
        </w:tc>
        <w:tc>
          <w:tcPr>
            <w:tcW w:w="810" w:type="dxa"/>
            <w:tcBorders>
              <w:top w:val="nil"/>
              <w:left w:val="nil"/>
              <w:bottom w:val="single" w:sz="8" w:space="0" w:color="auto"/>
              <w:right w:val="nil"/>
            </w:tcBorders>
            <w:vAlign w:val="center"/>
          </w:tcPr>
          <w:p w14:paraId="5A56EBF8" w14:textId="77777777" w:rsidR="00F8165F" w:rsidRPr="00C51113" w:rsidRDefault="00F8165F" w:rsidP="00F8165F">
            <w:pPr>
              <w:spacing w:before="24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sidRPr="00C51113">
              <w:rPr>
                <w:rFonts w:ascii="Verdana" w:hAnsi="Verdana" w:cs="Times New Roman"/>
                <w:sz w:val="18"/>
                <w:szCs w:val="18"/>
              </w:rPr>
              <w:t>+</w:t>
            </w:r>
          </w:p>
        </w:tc>
        <w:tc>
          <w:tcPr>
            <w:tcW w:w="1800" w:type="dxa"/>
            <w:tcBorders>
              <w:top w:val="nil"/>
              <w:left w:val="nil"/>
              <w:bottom w:val="single" w:sz="8" w:space="0" w:color="auto"/>
              <w:right w:val="nil"/>
            </w:tcBorders>
            <w:vAlign w:val="center"/>
          </w:tcPr>
          <w:p w14:paraId="53A776CA" w14:textId="77777777" w:rsidR="00F8165F" w:rsidRPr="00C51113" w:rsidRDefault="00F8165F" w:rsidP="00F8165F">
            <w:pPr>
              <w:spacing w:before="24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sidRPr="00C51113">
              <w:rPr>
                <w:rFonts w:ascii="Verdana" w:hAnsi="Verdana" w:cs="Times New Roman"/>
                <w:sz w:val="18"/>
                <w:szCs w:val="18"/>
              </w:rPr>
              <w:t>-</w:t>
            </w:r>
          </w:p>
        </w:tc>
        <w:tc>
          <w:tcPr>
            <w:tcW w:w="1710" w:type="dxa"/>
            <w:tcBorders>
              <w:top w:val="nil"/>
              <w:left w:val="nil"/>
              <w:bottom w:val="single" w:sz="8" w:space="0" w:color="auto"/>
              <w:right w:val="nil"/>
            </w:tcBorders>
            <w:vAlign w:val="center"/>
          </w:tcPr>
          <w:p w14:paraId="5A84FA39" w14:textId="77777777" w:rsidR="00F8165F" w:rsidRPr="00C51113" w:rsidRDefault="00F8165F" w:rsidP="00F8165F">
            <w:pPr>
              <w:spacing w:before="24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sidRPr="00C51113">
              <w:rPr>
                <w:rFonts w:ascii="Verdana" w:hAnsi="Verdana" w:cs="Times New Roman"/>
                <w:sz w:val="18"/>
                <w:szCs w:val="18"/>
              </w:rPr>
              <w:t>-</w:t>
            </w:r>
          </w:p>
        </w:tc>
        <w:tc>
          <w:tcPr>
            <w:tcW w:w="1929" w:type="dxa"/>
            <w:tcBorders>
              <w:top w:val="nil"/>
              <w:left w:val="nil"/>
              <w:bottom w:val="single" w:sz="8" w:space="0" w:color="auto"/>
              <w:right w:val="nil"/>
            </w:tcBorders>
            <w:vAlign w:val="center"/>
          </w:tcPr>
          <w:p w14:paraId="3A804A8D" w14:textId="77777777" w:rsidR="00F8165F" w:rsidRPr="00C51113" w:rsidRDefault="00F8165F" w:rsidP="00F8165F">
            <w:pPr>
              <w:spacing w:before="24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sidRPr="00C51113">
              <w:rPr>
                <w:rFonts w:ascii="Verdana" w:hAnsi="Verdana" w:cs="Times New Roman"/>
                <w:sz w:val="18"/>
                <w:szCs w:val="18"/>
              </w:rPr>
              <w:t>-</w:t>
            </w:r>
          </w:p>
        </w:tc>
        <w:tc>
          <w:tcPr>
            <w:tcW w:w="1761" w:type="dxa"/>
            <w:tcBorders>
              <w:top w:val="nil"/>
              <w:left w:val="nil"/>
              <w:bottom w:val="single" w:sz="8" w:space="0" w:color="auto"/>
              <w:right w:val="nil"/>
            </w:tcBorders>
            <w:vAlign w:val="center"/>
          </w:tcPr>
          <w:p w14:paraId="66B8E800" w14:textId="77777777" w:rsidR="00F8165F" w:rsidRPr="00C51113" w:rsidRDefault="00F8165F" w:rsidP="00F8165F">
            <w:pPr>
              <w:spacing w:before="240"/>
              <w:jc w:val="both"/>
              <w:cnfStyle w:val="000000000000" w:firstRow="0" w:lastRow="0" w:firstColumn="0" w:lastColumn="0" w:oddVBand="0" w:evenVBand="0" w:oddHBand="0" w:evenHBand="0" w:firstRowFirstColumn="0" w:firstRowLastColumn="0" w:lastRowFirstColumn="0" w:lastRowLastColumn="0"/>
              <w:rPr>
                <w:rFonts w:ascii="Verdana" w:hAnsi="Verdana" w:cs="Times New Roman"/>
                <w:sz w:val="18"/>
                <w:szCs w:val="18"/>
              </w:rPr>
            </w:pPr>
            <w:r w:rsidRPr="00C51113">
              <w:rPr>
                <w:rFonts w:ascii="Verdana" w:hAnsi="Verdana" w:cs="Times New Roman"/>
                <w:sz w:val="18"/>
                <w:szCs w:val="18"/>
              </w:rPr>
              <w:t>-</w:t>
            </w:r>
          </w:p>
        </w:tc>
      </w:tr>
    </w:tbl>
    <w:p w14:paraId="5F31208A" w14:textId="77777777" w:rsidR="00B77EC7" w:rsidRPr="00C51113" w:rsidRDefault="00B77EC7" w:rsidP="00677C01">
      <w:pPr>
        <w:spacing w:before="240"/>
        <w:jc w:val="both"/>
        <w:rPr>
          <w:rFonts w:ascii="Verdana" w:hAnsi="Verdana" w:cs="Times New Roman"/>
          <w:b/>
          <w:bCs/>
          <w:sz w:val="18"/>
          <w:szCs w:val="18"/>
        </w:rPr>
      </w:pPr>
    </w:p>
    <w:p w14:paraId="7ABA4A49" w14:textId="77777777" w:rsidR="00B77EC7" w:rsidRPr="00C51113" w:rsidRDefault="00B77EC7" w:rsidP="00677C01">
      <w:pPr>
        <w:spacing w:before="240"/>
        <w:jc w:val="both"/>
        <w:rPr>
          <w:rFonts w:ascii="Verdana" w:hAnsi="Verdana" w:cs="Times New Roman"/>
          <w:sz w:val="18"/>
          <w:szCs w:val="18"/>
        </w:rPr>
      </w:pPr>
      <w:proofErr w:type="spellStart"/>
      <w:r w:rsidRPr="00C51113">
        <w:rPr>
          <w:rFonts w:ascii="Verdana" w:hAnsi="Verdana" w:cs="Times New Roman"/>
          <w:sz w:val="18"/>
          <w:szCs w:val="18"/>
          <w:vertAlign w:val="superscript"/>
        </w:rPr>
        <w:t>a</w:t>
      </w:r>
      <w:r w:rsidRPr="00C51113">
        <w:rPr>
          <w:rFonts w:ascii="Verdana" w:hAnsi="Verdana" w:cs="Times New Roman"/>
          <w:sz w:val="18"/>
          <w:szCs w:val="18"/>
        </w:rPr>
        <w:t>Indigoidine</w:t>
      </w:r>
      <w:proofErr w:type="spellEnd"/>
      <w:r w:rsidRPr="00C51113">
        <w:rPr>
          <w:rFonts w:ascii="Verdana" w:hAnsi="Verdana" w:cs="Times New Roman"/>
          <w:sz w:val="18"/>
          <w:szCs w:val="18"/>
        </w:rPr>
        <w:t xml:space="preserve"> production was rated by appearance of coloration of colonies following inoculation at 48 </w:t>
      </w:r>
      <w:proofErr w:type="spellStart"/>
      <w:r w:rsidRPr="00C51113">
        <w:rPr>
          <w:rFonts w:ascii="Verdana" w:hAnsi="Verdana" w:cs="Times New Roman"/>
          <w:sz w:val="18"/>
          <w:szCs w:val="18"/>
        </w:rPr>
        <w:t>hrs</w:t>
      </w:r>
      <w:proofErr w:type="spellEnd"/>
      <w:r w:rsidRPr="00C51113">
        <w:rPr>
          <w:rFonts w:ascii="Verdana" w:hAnsi="Verdana" w:cs="Times New Roman"/>
          <w:sz w:val="18"/>
          <w:szCs w:val="18"/>
        </w:rPr>
        <w:t xml:space="preserve"> (+), within 5 days (+/-), or not at all (-) during incubation. </w:t>
      </w:r>
    </w:p>
    <w:p w14:paraId="5004562D" w14:textId="57C0D1E6" w:rsidR="00B77EC7" w:rsidRPr="00C51113" w:rsidRDefault="00B77EC7" w:rsidP="00677C01">
      <w:pPr>
        <w:spacing w:before="240"/>
        <w:jc w:val="both"/>
        <w:rPr>
          <w:rFonts w:ascii="Verdana" w:hAnsi="Verdana" w:cs="Times New Roman"/>
          <w:b/>
          <w:bCs/>
          <w:iCs/>
          <w:sz w:val="18"/>
          <w:szCs w:val="18"/>
        </w:rPr>
      </w:pPr>
      <w:proofErr w:type="spellStart"/>
      <w:r w:rsidRPr="00C51113">
        <w:rPr>
          <w:rFonts w:ascii="Verdana" w:hAnsi="Verdana" w:cs="Times New Roman"/>
          <w:sz w:val="18"/>
          <w:szCs w:val="18"/>
          <w:vertAlign w:val="superscript"/>
        </w:rPr>
        <w:t>b</w:t>
      </w:r>
      <w:r w:rsidRPr="00C51113">
        <w:rPr>
          <w:rFonts w:ascii="Verdana" w:hAnsi="Verdana" w:cs="Times New Roman"/>
          <w:sz w:val="18"/>
          <w:szCs w:val="18"/>
        </w:rPr>
        <w:t>Growth</w:t>
      </w:r>
      <w:proofErr w:type="spellEnd"/>
      <w:r w:rsidRPr="00C51113">
        <w:rPr>
          <w:rFonts w:ascii="Verdana" w:hAnsi="Verdana" w:cs="Times New Roman"/>
          <w:sz w:val="18"/>
          <w:szCs w:val="18"/>
        </w:rPr>
        <w:t xml:space="preserve"> inhibition of </w:t>
      </w:r>
      <w:proofErr w:type="spellStart"/>
      <w:r w:rsidRPr="00C51113">
        <w:rPr>
          <w:rFonts w:ascii="Verdana" w:hAnsi="Verdana" w:cs="Times New Roman"/>
          <w:i/>
          <w:iCs/>
          <w:sz w:val="18"/>
          <w:szCs w:val="18"/>
        </w:rPr>
        <w:t>Aliivibrio</w:t>
      </w:r>
      <w:proofErr w:type="spellEnd"/>
      <w:r w:rsidRPr="00C51113">
        <w:rPr>
          <w:rFonts w:ascii="Verdana" w:hAnsi="Verdana" w:cs="Times New Roman"/>
          <w:sz w:val="18"/>
          <w:szCs w:val="18"/>
        </w:rPr>
        <w:t xml:space="preserve"> </w:t>
      </w:r>
      <w:proofErr w:type="spellStart"/>
      <w:r w:rsidRPr="00C51113">
        <w:rPr>
          <w:rFonts w:ascii="Verdana" w:hAnsi="Verdana" w:cs="Times New Roman"/>
          <w:i/>
          <w:iCs/>
          <w:sz w:val="18"/>
          <w:szCs w:val="18"/>
        </w:rPr>
        <w:t>fischeri</w:t>
      </w:r>
      <w:proofErr w:type="spellEnd"/>
      <w:r w:rsidRPr="00C51113">
        <w:rPr>
          <w:rFonts w:ascii="Verdana" w:hAnsi="Verdana" w:cs="Times New Roman"/>
          <w:sz w:val="18"/>
          <w:szCs w:val="18"/>
        </w:rPr>
        <w:t xml:space="preserve"> was either (+) if a zone of clearing was present or (-) if there was no zone of clearing.</w:t>
      </w:r>
      <w:r w:rsidRPr="00C51113">
        <w:rPr>
          <w:rFonts w:ascii="Verdana" w:hAnsi="Verdana" w:cs="Times New Roman"/>
          <w:sz w:val="18"/>
          <w:szCs w:val="18"/>
        </w:rPr>
        <w:br w:type="page"/>
      </w:r>
    </w:p>
    <w:p w14:paraId="678702E9" w14:textId="7A3D80A2" w:rsidR="007818F7" w:rsidRPr="00F11D34" w:rsidRDefault="00834C18" w:rsidP="00677C01">
      <w:pPr>
        <w:pStyle w:val="Heading2"/>
        <w:rPr>
          <w:rFonts w:ascii="Verdana" w:hAnsi="Verdana" w:cs="Times New Roman"/>
          <w:sz w:val="20"/>
          <w:szCs w:val="20"/>
        </w:rPr>
      </w:pPr>
      <w:bookmarkStart w:id="24" w:name="_Toc83382600"/>
      <w:r w:rsidRPr="00F11D34">
        <w:rPr>
          <w:rFonts w:ascii="Verdana" w:hAnsi="Verdana" w:cs="Times New Roman"/>
          <w:sz w:val="20"/>
          <w:szCs w:val="20"/>
        </w:rPr>
        <w:lastRenderedPageBreak/>
        <w:t>Appendix: Figures</w:t>
      </w:r>
      <w:bookmarkEnd w:id="24"/>
    </w:p>
    <w:p w14:paraId="48CB5718" w14:textId="77777777" w:rsidR="0092091F" w:rsidRPr="00C51113" w:rsidRDefault="007818F7" w:rsidP="00677C01">
      <w:pPr>
        <w:keepNext/>
        <w:spacing w:before="240"/>
        <w:jc w:val="both"/>
        <w:rPr>
          <w:rFonts w:ascii="Verdana" w:hAnsi="Verdana"/>
          <w:sz w:val="18"/>
          <w:szCs w:val="18"/>
        </w:rPr>
      </w:pPr>
      <w:r w:rsidRPr="00C51113">
        <w:rPr>
          <w:rFonts w:ascii="Verdana" w:hAnsi="Verdana" w:cs="Times New Roman"/>
          <w:noProof/>
          <w:sz w:val="18"/>
          <w:szCs w:val="18"/>
        </w:rPr>
        <w:drawing>
          <wp:inline distT="0" distB="0" distL="0" distR="0" wp14:anchorId="1D3C42A1" wp14:editId="4285CC15">
            <wp:extent cx="5486400" cy="393573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3935730"/>
                    </a:xfrm>
                    <a:prstGeom prst="rect">
                      <a:avLst/>
                    </a:prstGeom>
                    <a:noFill/>
                    <a:ln>
                      <a:noFill/>
                    </a:ln>
                  </pic:spPr>
                </pic:pic>
              </a:graphicData>
            </a:graphic>
          </wp:inline>
        </w:drawing>
      </w:r>
    </w:p>
    <w:p w14:paraId="7DAAB022" w14:textId="4FA5BE0C" w:rsidR="00576B5A" w:rsidRPr="00F11D34" w:rsidRDefault="00431865" w:rsidP="00677C01">
      <w:pPr>
        <w:pStyle w:val="Caption"/>
        <w:spacing w:before="240"/>
        <w:jc w:val="both"/>
        <w:rPr>
          <w:rFonts w:ascii="Verdana" w:hAnsi="Verdana" w:cs="Times New Roman"/>
          <w:b w:val="0"/>
          <w:bCs w:val="0"/>
          <w:sz w:val="20"/>
          <w:szCs w:val="20"/>
        </w:rPr>
      </w:pPr>
      <w:bookmarkStart w:id="25" w:name="_Toc83383924"/>
      <w:r w:rsidRPr="00F11D34">
        <w:rPr>
          <w:rFonts w:ascii="Verdana" w:hAnsi="Verdana"/>
          <w:sz w:val="20"/>
          <w:szCs w:val="20"/>
        </w:rPr>
        <w:t xml:space="preserve">Figure </w:t>
      </w:r>
      <w:r w:rsidR="00975C53">
        <w:rPr>
          <w:rFonts w:ascii="Verdana" w:hAnsi="Verdana"/>
          <w:sz w:val="20"/>
          <w:szCs w:val="20"/>
        </w:rPr>
        <w:fldChar w:fldCharType="begin"/>
      </w:r>
      <w:r w:rsidR="00975C53">
        <w:rPr>
          <w:rFonts w:ascii="Verdana" w:hAnsi="Verdana"/>
          <w:sz w:val="20"/>
          <w:szCs w:val="20"/>
        </w:rPr>
        <w:instrText xml:space="preserve"> STYLEREF 1 \s </w:instrText>
      </w:r>
      <w:r w:rsidR="00975C53">
        <w:rPr>
          <w:rFonts w:ascii="Verdana" w:hAnsi="Verdana"/>
          <w:sz w:val="20"/>
          <w:szCs w:val="20"/>
        </w:rPr>
        <w:fldChar w:fldCharType="separate"/>
      </w:r>
      <w:r w:rsidR="00975C53">
        <w:rPr>
          <w:rFonts w:ascii="Verdana" w:hAnsi="Verdana"/>
          <w:noProof/>
          <w:sz w:val="20"/>
          <w:szCs w:val="20"/>
        </w:rPr>
        <w:t>2</w:t>
      </w:r>
      <w:r w:rsidR="00975C53">
        <w:rPr>
          <w:rFonts w:ascii="Verdana" w:hAnsi="Verdana"/>
          <w:sz w:val="20"/>
          <w:szCs w:val="20"/>
        </w:rPr>
        <w:fldChar w:fldCharType="end"/>
      </w:r>
      <w:r w:rsidR="00975C53">
        <w:rPr>
          <w:rFonts w:ascii="Verdana" w:hAnsi="Verdana"/>
          <w:sz w:val="20"/>
          <w:szCs w:val="20"/>
        </w:rPr>
        <w:t>.</w:t>
      </w:r>
      <w:r w:rsidR="00975C53">
        <w:rPr>
          <w:rFonts w:ascii="Verdana" w:hAnsi="Verdana"/>
          <w:sz w:val="20"/>
          <w:szCs w:val="20"/>
        </w:rPr>
        <w:fldChar w:fldCharType="begin"/>
      </w:r>
      <w:r w:rsidR="00975C53">
        <w:rPr>
          <w:rFonts w:ascii="Verdana" w:hAnsi="Verdana"/>
          <w:sz w:val="20"/>
          <w:szCs w:val="20"/>
        </w:rPr>
        <w:instrText xml:space="preserve"> SEQ Figure \* ARABIC \s 1 </w:instrText>
      </w:r>
      <w:r w:rsidR="00975C53">
        <w:rPr>
          <w:rFonts w:ascii="Verdana" w:hAnsi="Verdana"/>
          <w:sz w:val="20"/>
          <w:szCs w:val="20"/>
        </w:rPr>
        <w:fldChar w:fldCharType="separate"/>
      </w:r>
      <w:r w:rsidR="00975C53">
        <w:rPr>
          <w:rFonts w:ascii="Verdana" w:hAnsi="Verdana"/>
          <w:noProof/>
          <w:sz w:val="20"/>
          <w:szCs w:val="20"/>
        </w:rPr>
        <w:t>1</w:t>
      </w:r>
      <w:r w:rsidR="00975C53">
        <w:rPr>
          <w:rFonts w:ascii="Verdana" w:hAnsi="Verdana"/>
          <w:sz w:val="20"/>
          <w:szCs w:val="20"/>
        </w:rPr>
        <w:fldChar w:fldCharType="end"/>
      </w:r>
      <w:r w:rsidRPr="00451577">
        <w:rPr>
          <w:rFonts w:ascii="Verdana" w:hAnsi="Verdana"/>
          <w:sz w:val="20"/>
          <w:szCs w:val="20"/>
        </w:rPr>
        <w:t xml:space="preserve"> Gene expression of </w:t>
      </w:r>
      <w:proofErr w:type="spellStart"/>
      <w:r w:rsidRPr="00451577">
        <w:rPr>
          <w:rFonts w:ascii="Verdana" w:hAnsi="Verdana"/>
          <w:sz w:val="20"/>
          <w:szCs w:val="20"/>
        </w:rPr>
        <w:t>luxRI</w:t>
      </w:r>
      <w:proofErr w:type="spellEnd"/>
      <w:r w:rsidRPr="00451577">
        <w:rPr>
          <w:rFonts w:ascii="Verdana" w:hAnsi="Verdana"/>
          <w:sz w:val="20"/>
          <w:szCs w:val="20"/>
        </w:rPr>
        <w:t xml:space="preserve"> homologs and </w:t>
      </w:r>
      <w:proofErr w:type="spellStart"/>
      <w:r w:rsidRPr="00451577">
        <w:rPr>
          <w:rFonts w:ascii="Verdana" w:hAnsi="Verdana"/>
          <w:sz w:val="20"/>
          <w:szCs w:val="20"/>
        </w:rPr>
        <w:t>igiD</w:t>
      </w:r>
      <w:proofErr w:type="spellEnd"/>
      <w:r w:rsidRPr="00451577">
        <w:rPr>
          <w:rFonts w:ascii="Verdana" w:hAnsi="Verdana"/>
          <w:sz w:val="20"/>
          <w:szCs w:val="20"/>
        </w:rPr>
        <w:t xml:space="preserve"> synthase from agar grown cultures.</w:t>
      </w:r>
      <w:r w:rsidRPr="00F11D34">
        <w:rPr>
          <w:rFonts w:ascii="Verdana" w:hAnsi="Verdana"/>
          <w:sz w:val="20"/>
          <w:szCs w:val="20"/>
        </w:rPr>
        <w:t xml:space="preserve"> </w:t>
      </w:r>
      <w:r w:rsidR="00576B5A" w:rsidRPr="00F11D34">
        <w:rPr>
          <w:rFonts w:ascii="Verdana" w:hAnsi="Verdana"/>
          <w:b w:val="0"/>
          <w:bCs w:val="0"/>
          <w:sz w:val="20"/>
          <w:szCs w:val="20"/>
        </w:rPr>
        <w:t xml:space="preserve">Relative gene expression for </w:t>
      </w:r>
      <w:proofErr w:type="spellStart"/>
      <w:proofErr w:type="gramStart"/>
      <w:r w:rsidR="00576B5A" w:rsidRPr="00F11D34">
        <w:rPr>
          <w:rFonts w:ascii="Verdana" w:hAnsi="Verdana"/>
          <w:b w:val="0"/>
          <w:bCs w:val="0"/>
          <w:sz w:val="20"/>
          <w:szCs w:val="20"/>
        </w:rPr>
        <w:t>pgaR</w:t>
      </w:r>
      <w:bookmarkStart w:id="26" w:name="OLE_LINK2"/>
      <w:proofErr w:type="spellEnd"/>
      <w:r w:rsidR="00576B5A" w:rsidRPr="00F11D34">
        <w:rPr>
          <w:rFonts w:ascii="Verdana" w:hAnsi="Verdana"/>
          <w:b w:val="0"/>
          <w:bCs w:val="0"/>
          <w:sz w:val="20"/>
          <w:szCs w:val="20"/>
        </w:rPr>
        <w:t>::</w:t>
      </w:r>
      <w:proofErr w:type="gramEnd"/>
      <w:r w:rsidR="00576B5A" w:rsidRPr="00F11D34">
        <w:rPr>
          <w:rFonts w:ascii="Verdana" w:hAnsi="Verdana"/>
          <w:b w:val="0"/>
          <w:bCs w:val="0"/>
          <w:sz w:val="20"/>
          <w:szCs w:val="20"/>
        </w:rPr>
        <w:t xml:space="preserve">Tn5-KmR </w:t>
      </w:r>
      <w:bookmarkEnd w:id="26"/>
      <w:r w:rsidR="00576B5A" w:rsidRPr="00F11D34">
        <w:rPr>
          <w:rFonts w:ascii="Verdana" w:hAnsi="Verdana"/>
          <w:b w:val="0"/>
          <w:bCs w:val="0"/>
          <w:sz w:val="20"/>
          <w:szCs w:val="20"/>
        </w:rPr>
        <w:t xml:space="preserve">(A), </w:t>
      </w:r>
      <w:proofErr w:type="spellStart"/>
      <w:r w:rsidR="00576B5A" w:rsidRPr="00F11D34">
        <w:rPr>
          <w:rFonts w:ascii="Verdana" w:hAnsi="Verdana"/>
          <w:b w:val="0"/>
          <w:bCs w:val="0"/>
          <w:sz w:val="20"/>
          <w:szCs w:val="20"/>
        </w:rPr>
        <w:t>phaR</w:t>
      </w:r>
      <w:proofErr w:type="spellEnd"/>
      <w:r w:rsidR="00576B5A" w:rsidRPr="00F11D34">
        <w:rPr>
          <w:rFonts w:ascii="Verdana" w:hAnsi="Verdana"/>
          <w:b w:val="0"/>
          <w:bCs w:val="0"/>
          <w:sz w:val="20"/>
          <w:szCs w:val="20"/>
        </w:rPr>
        <w:t xml:space="preserve">::Tn5-KmR (B), </w:t>
      </w:r>
      <w:proofErr w:type="spellStart"/>
      <w:r w:rsidR="00576B5A" w:rsidRPr="00F11D34">
        <w:rPr>
          <w:rFonts w:ascii="Verdana" w:hAnsi="Verdana"/>
          <w:b w:val="0"/>
          <w:bCs w:val="0"/>
          <w:sz w:val="20"/>
          <w:szCs w:val="20"/>
        </w:rPr>
        <w:t>phaI</w:t>
      </w:r>
      <w:proofErr w:type="spellEnd"/>
      <w:r w:rsidR="00576B5A" w:rsidRPr="00F11D34">
        <w:rPr>
          <w:rFonts w:ascii="Verdana" w:hAnsi="Verdana"/>
          <w:b w:val="0"/>
          <w:bCs w:val="0"/>
          <w:sz w:val="20"/>
          <w:szCs w:val="20"/>
        </w:rPr>
        <w:t>::</w:t>
      </w:r>
      <w:proofErr w:type="spellStart"/>
      <w:r w:rsidR="00576B5A" w:rsidRPr="00F11D34">
        <w:rPr>
          <w:rFonts w:ascii="Verdana" w:hAnsi="Verdana"/>
          <w:b w:val="0"/>
          <w:bCs w:val="0"/>
          <w:sz w:val="20"/>
          <w:szCs w:val="20"/>
        </w:rPr>
        <w:t>pKNOCK</w:t>
      </w:r>
      <w:proofErr w:type="spellEnd"/>
      <w:r w:rsidR="00576B5A" w:rsidRPr="00F11D34">
        <w:rPr>
          <w:rFonts w:ascii="Verdana" w:hAnsi="Verdana"/>
          <w:b w:val="0"/>
          <w:bCs w:val="0"/>
          <w:sz w:val="20"/>
          <w:szCs w:val="20"/>
        </w:rPr>
        <w:t xml:space="preserve"> (C), </w:t>
      </w:r>
      <w:proofErr w:type="spellStart"/>
      <w:r w:rsidR="00576B5A" w:rsidRPr="00F11D34">
        <w:rPr>
          <w:rFonts w:ascii="Verdana" w:hAnsi="Verdana"/>
          <w:b w:val="0"/>
          <w:bCs w:val="0"/>
          <w:sz w:val="20"/>
          <w:szCs w:val="20"/>
        </w:rPr>
        <w:t>igiD</w:t>
      </w:r>
      <w:proofErr w:type="spellEnd"/>
      <w:r w:rsidR="00576B5A" w:rsidRPr="00F11D34">
        <w:rPr>
          <w:rFonts w:ascii="Verdana" w:hAnsi="Verdana"/>
          <w:b w:val="0"/>
          <w:bCs w:val="0"/>
          <w:sz w:val="20"/>
          <w:szCs w:val="20"/>
        </w:rPr>
        <w:t>::Tn5-KmR (D). Gene expression was normalized to three housekeeping genes (</w:t>
      </w:r>
      <w:proofErr w:type="spellStart"/>
      <w:r w:rsidR="00576B5A" w:rsidRPr="00F11D34">
        <w:rPr>
          <w:rFonts w:ascii="Verdana" w:hAnsi="Verdana"/>
          <w:b w:val="0"/>
          <w:bCs w:val="0"/>
          <w:sz w:val="20"/>
          <w:szCs w:val="20"/>
        </w:rPr>
        <w:t>rpoC</w:t>
      </w:r>
      <w:proofErr w:type="spellEnd"/>
      <w:r w:rsidR="00576B5A" w:rsidRPr="00F11D34">
        <w:rPr>
          <w:rFonts w:ascii="Verdana" w:hAnsi="Verdana"/>
          <w:b w:val="0"/>
          <w:bCs w:val="0"/>
          <w:sz w:val="20"/>
          <w:szCs w:val="20"/>
        </w:rPr>
        <w:t xml:space="preserve">, </w:t>
      </w:r>
      <w:proofErr w:type="spellStart"/>
      <w:r w:rsidR="00576B5A" w:rsidRPr="00F11D34">
        <w:rPr>
          <w:rFonts w:ascii="Verdana" w:hAnsi="Verdana"/>
          <w:b w:val="0"/>
          <w:bCs w:val="0"/>
          <w:sz w:val="20"/>
          <w:szCs w:val="20"/>
        </w:rPr>
        <w:t>alaS</w:t>
      </w:r>
      <w:proofErr w:type="spellEnd"/>
      <w:r w:rsidR="00576B5A" w:rsidRPr="00F11D34">
        <w:rPr>
          <w:rFonts w:ascii="Verdana" w:hAnsi="Verdana"/>
          <w:b w:val="0"/>
          <w:bCs w:val="0"/>
          <w:sz w:val="20"/>
          <w:szCs w:val="20"/>
        </w:rPr>
        <w:t>, and map) and expressed relative to WT, set to 1. Each data point represents the average of three technical replicates and errors bars represent standard deviations between three biological replicates. Statistical significance was calculated using a two-way ANOVA (</w:t>
      </w:r>
      <w:bookmarkStart w:id="27" w:name="OLE_LINK1"/>
      <w:r w:rsidR="00576B5A" w:rsidRPr="00F11D34">
        <w:rPr>
          <w:rFonts w:ascii="Verdana" w:hAnsi="Verdana"/>
          <w:b w:val="0"/>
          <w:bCs w:val="0"/>
          <w:sz w:val="20"/>
          <w:szCs w:val="20"/>
        </w:rPr>
        <w:t>p &lt; 0.05 [*], 0.01 [**], 0.001 [***], 0.0001 [****]).</w:t>
      </w:r>
      <w:bookmarkEnd w:id="25"/>
      <w:bookmarkEnd w:id="27"/>
    </w:p>
    <w:p w14:paraId="41FA131D" w14:textId="18340BC8" w:rsidR="007818F7" w:rsidRPr="00E579EE" w:rsidRDefault="007818F7" w:rsidP="00677C01">
      <w:pPr>
        <w:spacing w:before="240"/>
        <w:jc w:val="both"/>
        <w:rPr>
          <w:rFonts w:ascii="Verdana" w:hAnsi="Verdana" w:cs="Times New Roman"/>
          <w:iCs/>
          <w:sz w:val="18"/>
          <w:szCs w:val="18"/>
        </w:rPr>
      </w:pPr>
    </w:p>
    <w:p w14:paraId="104EAEAF" w14:textId="77777777" w:rsidR="00576B5A" w:rsidRPr="00C51113" w:rsidRDefault="000C3F22" w:rsidP="00677C01">
      <w:pPr>
        <w:keepNext/>
        <w:spacing w:before="240"/>
        <w:jc w:val="both"/>
        <w:rPr>
          <w:rFonts w:ascii="Verdana" w:hAnsi="Verdana"/>
          <w:sz w:val="18"/>
          <w:szCs w:val="18"/>
        </w:rPr>
      </w:pPr>
      <w:r w:rsidRPr="00C51113">
        <w:rPr>
          <w:rFonts w:ascii="Verdana" w:hAnsi="Verdana"/>
          <w:noProof/>
          <w:sz w:val="18"/>
          <w:szCs w:val="18"/>
        </w:rPr>
        <w:lastRenderedPageBreak/>
        <w:drawing>
          <wp:inline distT="0" distB="0" distL="0" distR="0" wp14:anchorId="76119895" wp14:editId="079E2119">
            <wp:extent cx="5486400" cy="376110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86400" cy="3761105"/>
                    </a:xfrm>
                    <a:prstGeom prst="rect">
                      <a:avLst/>
                    </a:prstGeom>
                    <a:noFill/>
                    <a:ln>
                      <a:noFill/>
                    </a:ln>
                  </pic:spPr>
                </pic:pic>
              </a:graphicData>
            </a:graphic>
          </wp:inline>
        </w:drawing>
      </w:r>
    </w:p>
    <w:p w14:paraId="0946DA99" w14:textId="56682E56" w:rsidR="00576B5A" w:rsidRPr="00451577" w:rsidRDefault="00811F7B" w:rsidP="00677C01">
      <w:pPr>
        <w:spacing w:before="240"/>
        <w:jc w:val="both"/>
        <w:rPr>
          <w:rFonts w:ascii="Verdana" w:hAnsi="Verdana"/>
          <w:sz w:val="18"/>
          <w:szCs w:val="18"/>
        </w:rPr>
      </w:pPr>
      <w:bookmarkStart w:id="28" w:name="_Toc83383925"/>
      <w:r w:rsidRPr="00451577">
        <w:rPr>
          <w:rFonts w:ascii="Verdana" w:hAnsi="Verdana"/>
          <w:b/>
          <w:bCs/>
          <w:sz w:val="20"/>
          <w:szCs w:val="20"/>
        </w:rPr>
        <w:t xml:space="preserve">Figure </w:t>
      </w:r>
      <w:r w:rsidR="00975C53">
        <w:rPr>
          <w:rFonts w:ascii="Verdana" w:hAnsi="Verdana"/>
          <w:b/>
          <w:bCs/>
          <w:sz w:val="20"/>
          <w:szCs w:val="20"/>
        </w:rPr>
        <w:fldChar w:fldCharType="begin"/>
      </w:r>
      <w:r w:rsidR="00975C53">
        <w:rPr>
          <w:rFonts w:ascii="Verdana" w:hAnsi="Verdana"/>
          <w:b/>
          <w:bCs/>
          <w:sz w:val="20"/>
          <w:szCs w:val="20"/>
        </w:rPr>
        <w:instrText xml:space="preserve"> STYLEREF 1 \s </w:instrText>
      </w:r>
      <w:r w:rsidR="00975C53">
        <w:rPr>
          <w:rFonts w:ascii="Verdana" w:hAnsi="Verdana"/>
          <w:b/>
          <w:bCs/>
          <w:sz w:val="20"/>
          <w:szCs w:val="20"/>
        </w:rPr>
        <w:fldChar w:fldCharType="separate"/>
      </w:r>
      <w:r w:rsidR="00975C53">
        <w:rPr>
          <w:rFonts w:ascii="Verdana" w:hAnsi="Verdana"/>
          <w:b/>
          <w:bCs/>
          <w:noProof/>
          <w:sz w:val="20"/>
          <w:szCs w:val="20"/>
        </w:rPr>
        <w:t>2</w:t>
      </w:r>
      <w:r w:rsidR="00975C53">
        <w:rPr>
          <w:rFonts w:ascii="Verdana" w:hAnsi="Verdana"/>
          <w:b/>
          <w:bCs/>
          <w:sz w:val="20"/>
          <w:szCs w:val="20"/>
        </w:rPr>
        <w:fldChar w:fldCharType="end"/>
      </w:r>
      <w:r w:rsidR="00975C53">
        <w:rPr>
          <w:rFonts w:ascii="Verdana" w:hAnsi="Verdana"/>
          <w:b/>
          <w:bCs/>
          <w:sz w:val="20"/>
          <w:szCs w:val="20"/>
        </w:rPr>
        <w:t>.</w:t>
      </w:r>
      <w:r w:rsidR="00975C53">
        <w:rPr>
          <w:rFonts w:ascii="Verdana" w:hAnsi="Verdana"/>
          <w:b/>
          <w:bCs/>
          <w:sz w:val="20"/>
          <w:szCs w:val="20"/>
        </w:rPr>
        <w:fldChar w:fldCharType="begin"/>
      </w:r>
      <w:r w:rsidR="00975C53">
        <w:rPr>
          <w:rFonts w:ascii="Verdana" w:hAnsi="Verdana"/>
          <w:b/>
          <w:bCs/>
          <w:sz w:val="20"/>
          <w:szCs w:val="20"/>
        </w:rPr>
        <w:instrText xml:space="preserve"> SEQ Figure \* ARABIC \s 1 </w:instrText>
      </w:r>
      <w:r w:rsidR="00975C53">
        <w:rPr>
          <w:rFonts w:ascii="Verdana" w:hAnsi="Verdana"/>
          <w:b/>
          <w:bCs/>
          <w:sz w:val="20"/>
          <w:szCs w:val="20"/>
        </w:rPr>
        <w:fldChar w:fldCharType="separate"/>
      </w:r>
      <w:r w:rsidR="00975C53">
        <w:rPr>
          <w:rFonts w:ascii="Verdana" w:hAnsi="Verdana"/>
          <w:b/>
          <w:bCs/>
          <w:noProof/>
          <w:sz w:val="20"/>
          <w:szCs w:val="20"/>
        </w:rPr>
        <w:t>2</w:t>
      </w:r>
      <w:r w:rsidR="00975C53">
        <w:rPr>
          <w:rFonts w:ascii="Verdana" w:hAnsi="Verdana"/>
          <w:b/>
          <w:bCs/>
          <w:sz w:val="20"/>
          <w:szCs w:val="20"/>
        </w:rPr>
        <w:fldChar w:fldCharType="end"/>
      </w:r>
      <w:r w:rsidR="00E617FD" w:rsidRPr="00451577">
        <w:rPr>
          <w:rFonts w:ascii="Verdana" w:eastAsia="Calibri" w:hAnsi="Verdana"/>
          <w:b/>
          <w:bCs/>
          <w:sz w:val="20"/>
          <w:szCs w:val="20"/>
        </w:rPr>
        <w:t xml:space="preserve"> Indigoidine production in response to growth-phase dependent AHL exogenous addition. </w:t>
      </w:r>
      <w:r w:rsidR="00AC6FC9" w:rsidRPr="00451577">
        <w:rPr>
          <w:rFonts w:ascii="Verdana" w:eastAsia="Calibri" w:hAnsi="Verdana"/>
          <w:sz w:val="20"/>
          <w:szCs w:val="20"/>
        </w:rPr>
        <w:t xml:space="preserve">Indigoidine quantification in Y4I variants: WT (A), </w:t>
      </w:r>
      <w:proofErr w:type="spellStart"/>
      <w:proofErr w:type="gramStart"/>
      <w:r w:rsidR="00AC6FC9" w:rsidRPr="00451577">
        <w:rPr>
          <w:rFonts w:ascii="Verdana" w:eastAsia="Calibri" w:hAnsi="Verdana"/>
          <w:sz w:val="20"/>
          <w:szCs w:val="20"/>
        </w:rPr>
        <w:t>phaR</w:t>
      </w:r>
      <w:proofErr w:type="spellEnd"/>
      <w:r w:rsidR="00AC6FC9" w:rsidRPr="00451577">
        <w:rPr>
          <w:rFonts w:ascii="Verdana" w:eastAsia="Calibri" w:hAnsi="Verdana"/>
          <w:sz w:val="20"/>
          <w:szCs w:val="20"/>
        </w:rPr>
        <w:t>::</w:t>
      </w:r>
      <w:proofErr w:type="gramEnd"/>
      <w:r w:rsidR="00AC6FC9" w:rsidRPr="00451577">
        <w:rPr>
          <w:rFonts w:ascii="Verdana" w:eastAsia="Calibri" w:hAnsi="Verdana"/>
          <w:sz w:val="20"/>
          <w:szCs w:val="20"/>
        </w:rPr>
        <w:t xml:space="preserve">Tn5-KMR (B), and </w:t>
      </w:r>
      <w:proofErr w:type="spellStart"/>
      <w:r w:rsidR="00AC6FC9" w:rsidRPr="00451577">
        <w:rPr>
          <w:rFonts w:ascii="Verdana" w:eastAsia="Calibri" w:hAnsi="Verdana"/>
          <w:sz w:val="20"/>
          <w:szCs w:val="20"/>
        </w:rPr>
        <w:t>phaI</w:t>
      </w:r>
      <w:proofErr w:type="spellEnd"/>
      <w:r w:rsidR="00AC6FC9" w:rsidRPr="00451577">
        <w:rPr>
          <w:rFonts w:ascii="Verdana" w:eastAsia="Calibri" w:hAnsi="Verdana"/>
          <w:sz w:val="20"/>
          <w:szCs w:val="20"/>
        </w:rPr>
        <w:t>::</w:t>
      </w:r>
      <w:proofErr w:type="spellStart"/>
      <w:r w:rsidR="00AC6FC9" w:rsidRPr="00451577">
        <w:rPr>
          <w:rFonts w:ascii="Verdana" w:eastAsia="Calibri" w:hAnsi="Verdana"/>
          <w:sz w:val="20"/>
          <w:szCs w:val="20"/>
        </w:rPr>
        <w:t>pKNOCK</w:t>
      </w:r>
      <w:proofErr w:type="spellEnd"/>
      <w:r w:rsidR="00AC6FC9" w:rsidRPr="00451577">
        <w:rPr>
          <w:rFonts w:ascii="Verdana" w:eastAsia="Calibri" w:hAnsi="Verdana"/>
          <w:sz w:val="20"/>
          <w:szCs w:val="20"/>
        </w:rPr>
        <w:t xml:space="preserve"> (C) following exogenous addition of AHLs, denoted as C8-HSL (Green), 3OHC12:1-HSL (Orange), Both AHLs (Blue), and no AHLs (Gray). Indigoidine quantification was normalized to biomass and compared to no AHL control in the </w:t>
      </w:r>
      <w:proofErr w:type="spellStart"/>
      <w:proofErr w:type="gramStart"/>
      <w:r w:rsidR="00AC6FC9" w:rsidRPr="00451577">
        <w:rPr>
          <w:rFonts w:ascii="Verdana" w:eastAsia="Calibri" w:hAnsi="Verdana"/>
          <w:sz w:val="20"/>
          <w:szCs w:val="20"/>
        </w:rPr>
        <w:t>igiD</w:t>
      </w:r>
      <w:proofErr w:type="spellEnd"/>
      <w:r w:rsidR="00AC6FC9" w:rsidRPr="00451577">
        <w:rPr>
          <w:rFonts w:ascii="Verdana" w:eastAsia="Calibri" w:hAnsi="Verdana"/>
          <w:sz w:val="20"/>
          <w:szCs w:val="20"/>
        </w:rPr>
        <w:t>::</w:t>
      </w:r>
      <w:proofErr w:type="gramEnd"/>
      <w:r w:rsidR="00AC6FC9" w:rsidRPr="00451577">
        <w:rPr>
          <w:rFonts w:ascii="Verdana" w:eastAsia="Calibri" w:hAnsi="Verdana"/>
          <w:sz w:val="20"/>
          <w:szCs w:val="20"/>
        </w:rPr>
        <w:t xml:space="preserve">Tn5-KmR mutant (red dotted line). Error bars represent standard deviations from the mean of three biological replicates. Statistical significance was calculated by comparing AHL treatments to the no AHL control within strain genotypes. Asterisks represent statistical difference (p &lt; 0.01). Data for the </w:t>
      </w:r>
      <w:proofErr w:type="spellStart"/>
      <w:r w:rsidR="00AC6FC9" w:rsidRPr="00451577">
        <w:rPr>
          <w:rFonts w:ascii="Verdana" w:eastAsia="Calibri" w:hAnsi="Verdana"/>
          <w:sz w:val="20"/>
          <w:szCs w:val="20"/>
        </w:rPr>
        <w:t>pgaR</w:t>
      </w:r>
      <w:proofErr w:type="spellEnd"/>
      <w:r w:rsidR="00AC6FC9" w:rsidRPr="00451577">
        <w:rPr>
          <w:rFonts w:ascii="Verdana" w:eastAsia="Calibri" w:hAnsi="Verdana"/>
          <w:sz w:val="20"/>
          <w:szCs w:val="20"/>
        </w:rPr>
        <w:t xml:space="preserve"> and </w:t>
      </w:r>
      <w:proofErr w:type="spellStart"/>
      <w:r w:rsidR="00AC6FC9" w:rsidRPr="00451577">
        <w:rPr>
          <w:rFonts w:ascii="Verdana" w:eastAsia="Calibri" w:hAnsi="Verdana"/>
          <w:sz w:val="20"/>
          <w:szCs w:val="20"/>
        </w:rPr>
        <w:t>igiD</w:t>
      </w:r>
      <w:proofErr w:type="spellEnd"/>
      <w:r w:rsidR="00AC6FC9" w:rsidRPr="00451577">
        <w:rPr>
          <w:rFonts w:ascii="Verdana" w:eastAsia="Calibri" w:hAnsi="Verdana"/>
          <w:sz w:val="20"/>
          <w:szCs w:val="20"/>
        </w:rPr>
        <w:t xml:space="preserve"> mutants can be found in Figure S3.</w:t>
      </w:r>
      <w:bookmarkEnd w:id="28"/>
    </w:p>
    <w:p w14:paraId="00EF3BCE" w14:textId="77777777" w:rsidR="00576B5A" w:rsidRPr="00C51113" w:rsidRDefault="00576B5A" w:rsidP="00677C01">
      <w:pPr>
        <w:spacing w:before="240"/>
        <w:jc w:val="both"/>
        <w:rPr>
          <w:rFonts w:ascii="Verdana" w:hAnsi="Verdana"/>
          <w:sz w:val="18"/>
          <w:szCs w:val="18"/>
        </w:rPr>
      </w:pPr>
    </w:p>
    <w:p w14:paraId="12E279C0" w14:textId="00C4DC3F" w:rsidR="00CA4B74" w:rsidRPr="00AC6FC9" w:rsidRDefault="000C3F22" w:rsidP="00677C01">
      <w:pPr>
        <w:pStyle w:val="Caption"/>
        <w:spacing w:before="240"/>
        <w:jc w:val="both"/>
        <w:rPr>
          <w:rFonts w:ascii="Verdana" w:hAnsi="Verdana"/>
          <w:sz w:val="20"/>
          <w:szCs w:val="20"/>
        </w:rPr>
      </w:pPr>
      <w:r w:rsidRPr="00C51113">
        <w:rPr>
          <w:rFonts w:ascii="Verdana" w:hAnsi="Verdana" w:cs="Times New Roman"/>
          <w:sz w:val="18"/>
          <w:szCs w:val="18"/>
        </w:rPr>
        <w:br w:type="page"/>
      </w:r>
      <w:r w:rsidR="00162B10" w:rsidRPr="00AC6FC9">
        <w:rPr>
          <w:rFonts w:ascii="Verdana" w:hAnsi="Verdana" w:cs="Times New Roman"/>
          <w:b w:val="0"/>
          <w:bCs w:val="0"/>
          <w:noProof/>
          <w:sz w:val="20"/>
          <w:szCs w:val="20"/>
        </w:rPr>
        <w:lastRenderedPageBreak/>
        <w:drawing>
          <wp:anchor distT="0" distB="0" distL="114300" distR="114300" simplePos="0" relativeHeight="251658240" behindDoc="0" locked="0" layoutInCell="1" allowOverlap="1" wp14:anchorId="7E292258" wp14:editId="4827D1D6">
            <wp:simplePos x="0" y="0"/>
            <wp:positionH relativeFrom="column">
              <wp:posOffset>-537210</wp:posOffset>
            </wp:positionH>
            <wp:positionV relativeFrom="paragraph">
              <wp:posOffset>123105</wp:posOffset>
            </wp:positionV>
            <wp:extent cx="6567584" cy="2294093"/>
            <wp:effectExtent l="0" t="0" r="0" b="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567584" cy="2294093"/>
                    </a:xfrm>
                    <a:prstGeom prst="rect">
                      <a:avLst/>
                    </a:prstGeom>
                    <a:noFill/>
                    <a:ln>
                      <a:noFill/>
                    </a:ln>
                  </pic:spPr>
                </pic:pic>
              </a:graphicData>
            </a:graphic>
          </wp:anchor>
        </w:drawing>
      </w:r>
      <w:r w:rsidR="00162B10" w:rsidRPr="00AC6FC9">
        <w:rPr>
          <w:rFonts w:ascii="Verdana" w:hAnsi="Verdana" w:cs="Times New Roman"/>
          <w:sz w:val="20"/>
          <w:szCs w:val="20"/>
        </w:rPr>
        <w:t xml:space="preserve"> </w:t>
      </w:r>
    </w:p>
    <w:p w14:paraId="12125B70" w14:textId="71EB2009" w:rsidR="000C3F22" w:rsidRPr="00AC6FC9" w:rsidRDefault="00811F7B" w:rsidP="00677C01">
      <w:pPr>
        <w:pStyle w:val="Caption"/>
        <w:spacing w:before="240"/>
        <w:jc w:val="both"/>
        <w:rPr>
          <w:sz w:val="28"/>
          <w:szCs w:val="28"/>
        </w:rPr>
      </w:pPr>
      <w:bookmarkStart w:id="29" w:name="_Toc83383926"/>
      <w:r w:rsidRPr="00451577">
        <w:rPr>
          <w:rFonts w:ascii="Verdana" w:hAnsi="Verdana"/>
          <w:sz w:val="20"/>
          <w:szCs w:val="20"/>
        </w:rPr>
        <w:t xml:space="preserve">Figure </w:t>
      </w:r>
      <w:r w:rsidR="00975C53">
        <w:rPr>
          <w:rFonts w:ascii="Verdana" w:hAnsi="Verdana"/>
          <w:sz w:val="20"/>
          <w:szCs w:val="20"/>
        </w:rPr>
        <w:fldChar w:fldCharType="begin"/>
      </w:r>
      <w:r w:rsidR="00975C53">
        <w:rPr>
          <w:rFonts w:ascii="Verdana" w:hAnsi="Verdana"/>
          <w:sz w:val="20"/>
          <w:szCs w:val="20"/>
        </w:rPr>
        <w:instrText xml:space="preserve"> STYLEREF 1 \s </w:instrText>
      </w:r>
      <w:r w:rsidR="00975C53">
        <w:rPr>
          <w:rFonts w:ascii="Verdana" w:hAnsi="Verdana"/>
          <w:sz w:val="20"/>
          <w:szCs w:val="20"/>
        </w:rPr>
        <w:fldChar w:fldCharType="separate"/>
      </w:r>
      <w:r w:rsidR="00975C53">
        <w:rPr>
          <w:rFonts w:ascii="Verdana" w:hAnsi="Verdana"/>
          <w:noProof/>
          <w:sz w:val="20"/>
          <w:szCs w:val="20"/>
        </w:rPr>
        <w:t>2</w:t>
      </w:r>
      <w:r w:rsidR="00975C53">
        <w:rPr>
          <w:rFonts w:ascii="Verdana" w:hAnsi="Verdana"/>
          <w:sz w:val="20"/>
          <w:szCs w:val="20"/>
        </w:rPr>
        <w:fldChar w:fldCharType="end"/>
      </w:r>
      <w:r w:rsidR="00975C53">
        <w:rPr>
          <w:rFonts w:ascii="Verdana" w:hAnsi="Verdana"/>
          <w:sz w:val="20"/>
          <w:szCs w:val="20"/>
        </w:rPr>
        <w:t>.</w:t>
      </w:r>
      <w:r w:rsidR="00975C53">
        <w:rPr>
          <w:rFonts w:ascii="Verdana" w:hAnsi="Verdana"/>
          <w:sz w:val="20"/>
          <w:szCs w:val="20"/>
        </w:rPr>
        <w:fldChar w:fldCharType="begin"/>
      </w:r>
      <w:r w:rsidR="00975C53">
        <w:rPr>
          <w:rFonts w:ascii="Verdana" w:hAnsi="Verdana"/>
          <w:sz w:val="20"/>
          <w:szCs w:val="20"/>
        </w:rPr>
        <w:instrText xml:space="preserve"> SEQ Figure \* ARABIC \s 1 </w:instrText>
      </w:r>
      <w:r w:rsidR="00975C53">
        <w:rPr>
          <w:rFonts w:ascii="Verdana" w:hAnsi="Verdana"/>
          <w:sz w:val="20"/>
          <w:szCs w:val="20"/>
        </w:rPr>
        <w:fldChar w:fldCharType="separate"/>
      </w:r>
      <w:r w:rsidR="00975C53">
        <w:rPr>
          <w:rFonts w:ascii="Verdana" w:hAnsi="Verdana"/>
          <w:noProof/>
          <w:sz w:val="20"/>
          <w:szCs w:val="20"/>
        </w:rPr>
        <w:t>3</w:t>
      </w:r>
      <w:r w:rsidR="00975C53">
        <w:rPr>
          <w:rFonts w:ascii="Verdana" w:hAnsi="Verdana"/>
          <w:sz w:val="20"/>
          <w:szCs w:val="20"/>
        </w:rPr>
        <w:fldChar w:fldCharType="end"/>
      </w:r>
      <w:r w:rsidR="00E617FD" w:rsidRPr="00451577">
        <w:rPr>
          <w:rFonts w:ascii="Verdana" w:hAnsi="Verdana"/>
          <w:sz w:val="20"/>
          <w:szCs w:val="20"/>
        </w:rPr>
        <w:t xml:space="preserve"> </w:t>
      </w:r>
      <w:r w:rsidR="00E617FD" w:rsidRPr="00AC6FC9">
        <w:rPr>
          <w:rFonts w:ascii="Verdana" w:hAnsi="Verdana"/>
          <w:sz w:val="20"/>
          <w:szCs w:val="20"/>
        </w:rPr>
        <w:t>Surface Colonization and Biofilm production over time in Y4I mutants.</w:t>
      </w:r>
      <w:r w:rsidR="00C51113" w:rsidRPr="00AC6FC9">
        <w:rPr>
          <w:rFonts w:ascii="Verdana" w:hAnsi="Verdana"/>
          <w:sz w:val="20"/>
          <w:szCs w:val="20"/>
        </w:rPr>
        <w:t xml:space="preserve"> </w:t>
      </w:r>
      <w:r w:rsidR="000C3F22" w:rsidRPr="00AC6FC9">
        <w:rPr>
          <w:rFonts w:ascii="Verdana" w:hAnsi="Verdana" w:cs="Times New Roman"/>
          <w:b w:val="0"/>
          <w:bCs w:val="0"/>
          <w:sz w:val="20"/>
          <w:szCs w:val="20"/>
        </w:rPr>
        <w:t>Viable cell counts of surface attached cultures in Y4I variants (A). Each data point represents the average of three biological and three technical replicates. Data was normalized to cell abundance in liquid culture at the time of inoculation. Error bars represent the standard error of the mean of biological and technical triplicates. The asterisks denote statistical significance from WT at that time point (P &lt; 0.05 [*], 0.01 [**], 0.001 [***]). Total biofilm of surface attached cultures in Y4I variants as determined by crystal violet assay (B). Data is representative of the mean of three biological and three technical replicates. Letters that are not shared represent significant difference (p &lt; 0.05). Error bars represent the standard deviation from the mean.</w:t>
      </w:r>
      <w:bookmarkEnd w:id="29"/>
      <w:r w:rsidR="000C3F22" w:rsidRPr="00AC6FC9">
        <w:rPr>
          <w:rFonts w:ascii="Verdana" w:hAnsi="Verdana" w:cs="Times New Roman"/>
          <w:b w:val="0"/>
          <w:bCs w:val="0"/>
          <w:sz w:val="20"/>
          <w:szCs w:val="20"/>
        </w:rPr>
        <w:t xml:space="preserve">  </w:t>
      </w:r>
    </w:p>
    <w:p w14:paraId="036B930A" w14:textId="77777777" w:rsidR="000C3F22" w:rsidRPr="00C51113" w:rsidRDefault="00B77EC7" w:rsidP="00677C01">
      <w:pPr>
        <w:spacing w:before="240"/>
        <w:jc w:val="both"/>
        <w:rPr>
          <w:rFonts w:ascii="Verdana" w:hAnsi="Verdana" w:cs="Times New Roman"/>
          <w:sz w:val="18"/>
          <w:szCs w:val="18"/>
        </w:rPr>
      </w:pPr>
      <w:r w:rsidRPr="00C51113">
        <w:rPr>
          <w:rFonts w:ascii="Verdana" w:hAnsi="Verdana" w:cs="Times New Roman"/>
          <w:sz w:val="18"/>
          <w:szCs w:val="18"/>
        </w:rPr>
        <w:br w:type="page"/>
      </w:r>
      <w:bookmarkStart w:id="30" w:name="_Hlk62482387"/>
    </w:p>
    <w:p w14:paraId="327A5F92" w14:textId="2B53FFB1" w:rsidR="00576B5A" w:rsidRPr="00C51113" w:rsidRDefault="00C51113" w:rsidP="00677C01">
      <w:pPr>
        <w:keepNext/>
        <w:spacing w:before="240"/>
        <w:jc w:val="both"/>
        <w:rPr>
          <w:rFonts w:ascii="Verdana" w:hAnsi="Verdana"/>
          <w:sz w:val="18"/>
          <w:szCs w:val="18"/>
        </w:rPr>
      </w:pPr>
      <w:r w:rsidRPr="00C51113">
        <w:rPr>
          <w:rFonts w:ascii="Verdana" w:hAnsi="Verdana" w:cs="Times New Roman"/>
          <w:noProof/>
          <w:sz w:val="18"/>
          <w:szCs w:val="18"/>
        </w:rPr>
        <w:lastRenderedPageBreak/>
        <w:drawing>
          <wp:inline distT="0" distB="0" distL="0" distR="0" wp14:anchorId="5085046A" wp14:editId="1A072B8E">
            <wp:extent cx="5257700" cy="416052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258235" cy="4160943"/>
                    </a:xfrm>
                    <a:prstGeom prst="rect">
                      <a:avLst/>
                    </a:prstGeom>
                    <a:noFill/>
                    <a:ln>
                      <a:noFill/>
                    </a:ln>
                  </pic:spPr>
                </pic:pic>
              </a:graphicData>
            </a:graphic>
          </wp:inline>
        </w:drawing>
      </w:r>
    </w:p>
    <w:p w14:paraId="28FC96C8" w14:textId="77777777" w:rsidR="00D20704" w:rsidRPr="00C51113" w:rsidRDefault="00D20704" w:rsidP="00677C01">
      <w:pPr>
        <w:pStyle w:val="Caption"/>
        <w:spacing w:before="240"/>
        <w:jc w:val="both"/>
        <w:rPr>
          <w:rFonts w:ascii="Verdana" w:hAnsi="Verdana" w:cs="Times New Roman"/>
          <w:sz w:val="18"/>
          <w:szCs w:val="18"/>
        </w:rPr>
      </w:pPr>
    </w:p>
    <w:p w14:paraId="7DEAAE35" w14:textId="77777777" w:rsidR="00C51113" w:rsidRPr="00451577" w:rsidRDefault="00C51113" w:rsidP="00677C01">
      <w:pPr>
        <w:pStyle w:val="Caption"/>
        <w:spacing w:before="240"/>
        <w:jc w:val="both"/>
        <w:rPr>
          <w:rFonts w:ascii="Verdana" w:hAnsi="Verdana" w:cs="Times New Roman"/>
          <w:sz w:val="20"/>
          <w:szCs w:val="20"/>
        </w:rPr>
      </w:pPr>
    </w:p>
    <w:p w14:paraId="03BDFD77" w14:textId="3D77A3DC" w:rsidR="000C3F22" w:rsidRPr="00451577" w:rsidRDefault="00811F7B" w:rsidP="00677C01">
      <w:pPr>
        <w:spacing w:before="240"/>
        <w:jc w:val="both"/>
        <w:rPr>
          <w:rFonts w:ascii="Verdana" w:hAnsi="Verdana" w:cs="Times New Roman"/>
          <w:sz w:val="20"/>
          <w:szCs w:val="20"/>
        </w:rPr>
      </w:pPr>
      <w:bookmarkStart w:id="31" w:name="_Toc83383927"/>
      <w:r w:rsidRPr="00451577">
        <w:rPr>
          <w:rFonts w:ascii="Verdana" w:hAnsi="Verdana"/>
          <w:b/>
          <w:bCs/>
          <w:sz w:val="20"/>
          <w:szCs w:val="20"/>
        </w:rPr>
        <w:t xml:space="preserve">Figure </w:t>
      </w:r>
      <w:r w:rsidR="00975C53">
        <w:rPr>
          <w:rFonts w:ascii="Verdana" w:hAnsi="Verdana"/>
          <w:b/>
          <w:bCs/>
          <w:sz w:val="20"/>
          <w:szCs w:val="20"/>
        </w:rPr>
        <w:fldChar w:fldCharType="begin"/>
      </w:r>
      <w:r w:rsidR="00975C53">
        <w:rPr>
          <w:rFonts w:ascii="Verdana" w:hAnsi="Verdana"/>
          <w:b/>
          <w:bCs/>
          <w:sz w:val="20"/>
          <w:szCs w:val="20"/>
        </w:rPr>
        <w:instrText xml:space="preserve"> STYLEREF 1 \s </w:instrText>
      </w:r>
      <w:r w:rsidR="00975C53">
        <w:rPr>
          <w:rFonts w:ascii="Verdana" w:hAnsi="Verdana"/>
          <w:b/>
          <w:bCs/>
          <w:sz w:val="20"/>
          <w:szCs w:val="20"/>
        </w:rPr>
        <w:fldChar w:fldCharType="separate"/>
      </w:r>
      <w:r w:rsidR="00975C53">
        <w:rPr>
          <w:rFonts w:ascii="Verdana" w:hAnsi="Verdana"/>
          <w:b/>
          <w:bCs/>
          <w:noProof/>
          <w:sz w:val="20"/>
          <w:szCs w:val="20"/>
        </w:rPr>
        <w:t>2</w:t>
      </w:r>
      <w:r w:rsidR="00975C53">
        <w:rPr>
          <w:rFonts w:ascii="Verdana" w:hAnsi="Verdana"/>
          <w:b/>
          <w:bCs/>
          <w:sz w:val="20"/>
          <w:szCs w:val="20"/>
        </w:rPr>
        <w:fldChar w:fldCharType="end"/>
      </w:r>
      <w:r w:rsidR="00975C53">
        <w:rPr>
          <w:rFonts w:ascii="Verdana" w:hAnsi="Verdana"/>
          <w:b/>
          <w:bCs/>
          <w:sz w:val="20"/>
          <w:szCs w:val="20"/>
        </w:rPr>
        <w:t>.</w:t>
      </w:r>
      <w:r w:rsidR="00975C53">
        <w:rPr>
          <w:rFonts w:ascii="Verdana" w:hAnsi="Verdana"/>
          <w:b/>
          <w:bCs/>
          <w:sz w:val="20"/>
          <w:szCs w:val="20"/>
        </w:rPr>
        <w:fldChar w:fldCharType="begin"/>
      </w:r>
      <w:r w:rsidR="00975C53">
        <w:rPr>
          <w:rFonts w:ascii="Verdana" w:hAnsi="Verdana"/>
          <w:b/>
          <w:bCs/>
          <w:sz w:val="20"/>
          <w:szCs w:val="20"/>
        </w:rPr>
        <w:instrText xml:space="preserve"> SEQ Figure \* ARABIC \s 1 </w:instrText>
      </w:r>
      <w:r w:rsidR="00975C53">
        <w:rPr>
          <w:rFonts w:ascii="Verdana" w:hAnsi="Verdana"/>
          <w:b/>
          <w:bCs/>
          <w:sz w:val="20"/>
          <w:szCs w:val="20"/>
        </w:rPr>
        <w:fldChar w:fldCharType="separate"/>
      </w:r>
      <w:r w:rsidR="00975C53">
        <w:rPr>
          <w:rFonts w:ascii="Verdana" w:hAnsi="Verdana"/>
          <w:b/>
          <w:bCs/>
          <w:noProof/>
          <w:sz w:val="20"/>
          <w:szCs w:val="20"/>
        </w:rPr>
        <w:t>4</w:t>
      </w:r>
      <w:r w:rsidR="00975C53">
        <w:rPr>
          <w:rFonts w:ascii="Verdana" w:hAnsi="Verdana"/>
          <w:b/>
          <w:bCs/>
          <w:sz w:val="20"/>
          <w:szCs w:val="20"/>
        </w:rPr>
        <w:fldChar w:fldCharType="end"/>
      </w:r>
      <w:r w:rsidR="00E617FD" w:rsidRPr="00451577">
        <w:rPr>
          <w:rFonts w:ascii="Verdana" w:hAnsi="Verdana"/>
          <w:b/>
          <w:bCs/>
          <w:sz w:val="20"/>
          <w:szCs w:val="20"/>
        </w:rPr>
        <w:t xml:space="preserve"> </w:t>
      </w:r>
      <w:r w:rsidRPr="00451577">
        <w:rPr>
          <w:rFonts w:ascii="Verdana" w:hAnsi="Verdana"/>
          <w:b/>
          <w:bCs/>
          <w:sz w:val="20"/>
          <w:szCs w:val="20"/>
        </w:rPr>
        <w:t>Cyclic-di-GMP concentrations in broth and agar grown cultures.</w:t>
      </w:r>
      <w:r w:rsidR="003800B9" w:rsidRPr="00451577">
        <w:rPr>
          <w:rFonts w:ascii="Verdana" w:hAnsi="Verdana"/>
          <w:sz w:val="20"/>
          <w:szCs w:val="20"/>
        </w:rPr>
        <w:t xml:space="preserve"> </w:t>
      </w:r>
      <w:r w:rsidR="00FB359F" w:rsidRPr="00451577">
        <w:rPr>
          <w:rFonts w:ascii="Verdana" w:hAnsi="Verdana"/>
          <w:sz w:val="20"/>
          <w:szCs w:val="20"/>
        </w:rPr>
        <w:t>A comparison of intracellular cyclic-di-GMP concentration in WT cultures grown on agar and in broth culture (A). Intracellular c-di-GMP concentration of Y4I variants grown on broth (B) and in agar culture (C) are shown.  Each data point represents the average of three technical replicates. Error bars represent the standard deviation of the mean. Asterisks represent statistical significance (p &lt; 0.05 [*], 0.001 [***], 0.0001 [****]).</w:t>
      </w:r>
      <w:bookmarkEnd w:id="31"/>
      <w:r w:rsidR="00FB359F" w:rsidRPr="00451577">
        <w:rPr>
          <w:rFonts w:ascii="Verdana" w:hAnsi="Verdana"/>
          <w:sz w:val="20"/>
          <w:szCs w:val="20"/>
        </w:rPr>
        <w:t xml:space="preserve">  </w:t>
      </w:r>
      <w:bookmarkEnd w:id="30"/>
    </w:p>
    <w:p w14:paraId="038FE701" w14:textId="77777777" w:rsidR="00B77EC7" w:rsidRPr="00C51113" w:rsidRDefault="00B77EC7" w:rsidP="00677C01">
      <w:pPr>
        <w:spacing w:before="240"/>
        <w:jc w:val="both"/>
        <w:rPr>
          <w:rFonts w:ascii="Verdana" w:hAnsi="Verdana" w:cs="Times New Roman"/>
          <w:b/>
          <w:bCs/>
          <w:sz w:val="18"/>
          <w:szCs w:val="18"/>
        </w:rPr>
      </w:pPr>
    </w:p>
    <w:p w14:paraId="788440B8" w14:textId="77777777" w:rsidR="000C3F22" w:rsidRPr="00C51113" w:rsidRDefault="000C3F22" w:rsidP="00677C01">
      <w:pPr>
        <w:spacing w:before="240"/>
        <w:jc w:val="both"/>
        <w:rPr>
          <w:rFonts w:ascii="Verdana" w:hAnsi="Verdana" w:cs="Times New Roman"/>
          <w:sz w:val="18"/>
          <w:szCs w:val="18"/>
        </w:rPr>
      </w:pPr>
      <w:r w:rsidRPr="00C51113">
        <w:rPr>
          <w:rFonts w:ascii="Verdana" w:hAnsi="Verdana" w:cs="Times New Roman"/>
          <w:sz w:val="18"/>
          <w:szCs w:val="18"/>
        </w:rPr>
        <w:br w:type="page"/>
      </w:r>
    </w:p>
    <w:p w14:paraId="5C9ACF20" w14:textId="77777777" w:rsidR="00576B5A" w:rsidRPr="00C51113" w:rsidRDefault="000C3F22" w:rsidP="00677C01">
      <w:pPr>
        <w:keepNext/>
        <w:spacing w:before="240"/>
        <w:jc w:val="both"/>
        <w:rPr>
          <w:rFonts w:ascii="Verdana" w:hAnsi="Verdana"/>
          <w:sz w:val="18"/>
          <w:szCs w:val="18"/>
        </w:rPr>
      </w:pPr>
      <w:r w:rsidRPr="00C51113">
        <w:rPr>
          <w:rFonts w:ascii="Verdana" w:hAnsi="Verdana" w:cs="Times New Roman"/>
          <w:noProof/>
          <w:sz w:val="18"/>
          <w:szCs w:val="18"/>
        </w:rPr>
        <w:lastRenderedPageBreak/>
        <w:drawing>
          <wp:inline distT="0" distB="0" distL="0" distR="0" wp14:anchorId="4D1AD0B7" wp14:editId="168E517E">
            <wp:extent cx="5486400" cy="5215890"/>
            <wp:effectExtent l="0" t="0" r="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486400" cy="5215890"/>
                    </a:xfrm>
                    <a:prstGeom prst="rect">
                      <a:avLst/>
                    </a:prstGeom>
                    <a:noFill/>
                    <a:ln>
                      <a:noFill/>
                    </a:ln>
                  </pic:spPr>
                </pic:pic>
              </a:graphicData>
            </a:graphic>
          </wp:inline>
        </w:drawing>
      </w:r>
    </w:p>
    <w:p w14:paraId="34D59A8F" w14:textId="7CDDB524" w:rsidR="000C3F22" w:rsidRPr="00451577" w:rsidRDefault="00576B5A" w:rsidP="00677C01">
      <w:pPr>
        <w:pStyle w:val="Caption"/>
        <w:spacing w:before="240"/>
        <w:jc w:val="both"/>
        <w:rPr>
          <w:rFonts w:ascii="Verdana" w:hAnsi="Verdana"/>
          <w:sz w:val="20"/>
          <w:szCs w:val="20"/>
        </w:rPr>
      </w:pPr>
      <w:bookmarkStart w:id="32" w:name="_Toc83383928"/>
      <w:r w:rsidRPr="00FB359F">
        <w:rPr>
          <w:rFonts w:ascii="Verdana" w:hAnsi="Verdana" w:cs="Times New Roman"/>
          <w:sz w:val="20"/>
          <w:szCs w:val="20"/>
        </w:rPr>
        <w:t xml:space="preserve">Figure </w:t>
      </w:r>
      <w:r w:rsidR="00975C53">
        <w:rPr>
          <w:rFonts w:ascii="Verdana" w:hAnsi="Verdana" w:cs="Times New Roman"/>
          <w:sz w:val="20"/>
          <w:szCs w:val="20"/>
        </w:rPr>
        <w:fldChar w:fldCharType="begin"/>
      </w:r>
      <w:r w:rsidR="00975C53">
        <w:rPr>
          <w:rFonts w:ascii="Verdana" w:hAnsi="Verdana" w:cs="Times New Roman"/>
          <w:sz w:val="20"/>
          <w:szCs w:val="20"/>
        </w:rPr>
        <w:instrText xml:space="preserve"> STYLEREF 1 \s </w:instrText>
      </w:r>
      <w:r w:rsidR="00975C53">
        <w:rPr>
          <w:rFonts w:ascii="Verdana" w:hAnsi="Verdana" w:cs="Times New Roman"/>
          <w:sz w:val="20"/>
          <w:szCs w:val="20"/>
        </w:rPr>
        <w:fldChar w:fldCharType="separate"/>
      </w:r>
      <w:r w:rsidR="00975C53">
        <w:rPr>
          <w:rFonts w:ascii="Verdana" w:hAnsi="Verdana" w:cs="Times New Roman"/>
          <w:noProof/>
          <w:sz w:val="20"/>
          <w:szCs w:val="20"/>
        </w:rPr>
        <w:t>2</w:t>
      </w:r>
      <w:r w:rsidR="00975C53">
        <w:rPr>
          <w:rFonts w:ascii="Verdana" w:hAnsi="Verdana" w:cs="Times New Roman"/>
          <w:sz w:val="20"/>
          <w:szCs w:val="20"/>
        </w:rPr>
        <w:fldChar w:fldCharType="end"/>
      </w:r>
      <w:r w:rsidR="00975C53">
        <w:rPr>
          <w:rFonts w:ascii="Verdana" w:hAnsi="Verdana" w:cs="Times New Roman"/>
          <w:sz w:val="20"/>
          <w:szCs w:val="20"/>
        </w:rPr>
        <w:t>.</w:t>
      </w:r>
      <w:r w:rsidR="00975C53">
        <w:rPr>
          <w:rFonts w:ascii="Verdana" w:hAnsi="Verdana" w:cs="Times New Roman"/>
          <w:sz w:val="20"/>
          <w:szCs w:val="20"/>
        </w:rPr>
        <w:fldChar w:fldCharType="begin"/>
      </w:r>
      <w:r w:rsidR="00975C53">
        <w:rPr>
          <w:rFonts w:ascii="Verdana" w:hAnsi="Verdana" w:cs="Times New Roman"/>
          <w:sz w:val="20"/>
          <w:szCs w:val="20"/>
        </w:rPr>
        <w:instrText xml:space="preserve"> SEQ Figure \* ARABIC \s 1 </w:instrText>
      </w:r>
      <w:r w:rsidR="00975C53">
        <w:rPr>
          <w:rFonts w:ascii="Verdana" w:hAnsi="Verdana" w:cs="Times New Roman"/>
          <w:sz w:val="20"/>
          <w:szCs w:val="20"/>
        </w:rPr>
        <w:fldChar w:fldCharType="separate"/>
      </w:r>
      <w:r w:rsidR="00975C53">
        <w:rPr>
          <w:rFonts w:ascii="Verdana" w:hAnsi="Verdana" w:cs="Times New Roman"/>
          <w:noProof/>
          <w:sz w:val="20"/>
          <w:szCs w:val="20"/>
        </w:rPr>
        <w:t>5</w:t>
      </w:r>
      <w:r w:rsidR="00975C53">
        <w:rPr>
          <w:rFonts w:ascii="Verdana" w:hAnsi="Verdana" w:cs="Times New Roman"/>
          <w:sz w:val="20"/>
          <w:szCs w:val="20"/>
        </w:rPr>
        <w:fldChar w:fldCharType="end"/>
      </w:r>
      <w:r w:rsidRPr="00FB359F">
        <w:rPr>
          <w:rFonts w:ascii="Verdana" w:hAnsi="Verdana" w:cs="Times New Roman"/>
          <w:sz w:val="20"/>
          <w:szCs w:val="20"/>
        </w:rPr>
        <w:t xml:space="preserve"> Working model of the regulatory network governing key physiologies in strain Y4I.</w:t>
      </w:r>
      <w:bookmarkEnd w:id="32"/>
      <w:r w:rsidR="00967D4C" w:rsidRPr="00FB359F">
        <w:rPr>
          <w:rFonts w:ascii="Verdana" w:hAnsi="Verdana" w:cs="Times New Roman"/>
          <w:sz w:val="20"/>
          <w:szCs w:val="20"/>
        </w:rPr>
        <w:t xml:space="preserve"> </w:t>
      </w:r>
      <w:r w:rsidR="000C3F22" w:rsidRPr="00F8165F">
        <w:rPr>
          <w:rFonts w:ascii="Verdana" w:hAnsi="Verdana"/>
          <w:b w:val="0"/>
          <w:bCs w:val="0"/>
          <w:sz w:val="20"/>
          <w:szCs w:val="20"/>
        </w:rPr>
        <w:t xml:space="preserve">Left panel shows genetic regulation during growth at low cell densities when Y4I is growing planktonically. During this growth modality, 3OHC12:1-HSL (QS1) concentrations are </w:t>
      </w:r>
      <w:proofErr w:type="gramStart"/>
      <w:r w:rsidR="000C3F22" w:rsidRPr="00F8165F">
        <w:rPr>
          <w:rFonts w:ascii="Verdana" w:hAnsi="Verdana"/>
          <w:b w:val="0"/>
          <w:bCs w:val="0"/>
          <w:sz w:val="20"/>
          <w:szCs w:val="20"/>
        </w:rPr>
        <w:t>highest</w:t>
      </w:r>
      <w:proofErr w:type="gramEnd"/>
      <w:r w:rsidR="000C3F22" w:rsidRPr="00F8165F">
        <w:rPr>
          <w:rFonts w:ascii="Verdana" w:hAnsi="Verdana"/>
          <w:b w:val="0"/>
          <w:bCs w:val="0"/>
          <w:sz w:val="20"/>
          <w:szCs w:val="20"/>
        </w:rPr>
        <w:t xml:space="preserve"> and we hypothesize that surface growth associated genes (e.g., </w:t>
      </w:r>
      <w:proofErr w:type="spellStart"/>
      <w:r w:rsidR="000C3F22" w:rsidRPr="00F8165F">
        <w:rPr>
          <w:rFonts w:ascii="Verdana" w:hAnsi="Verdana"/>
          <w:b w:val="0"/>
          <w:bCs w:val="0"/>
          <w:sz w:val="20"/>
          <w:szCs w:val="20"/>
        </w:rPr>
        <w:t>mechanosensing</w:t>
      </w:r>
      <w:proofErr w:type="spellEnd"/>
      <w:r w:rsidR="000C3F22" w:rsidRPr="00F8165F">
        <w:rPr>
          <w:rFonts w:ascii="Verdana" w:hAnsi="Verdana"/>
          <w:b w:val="0"/>
          <w:bCs w:val="0"/>
          <w:sz w:val="20"/>
          <w:szCs w:val="20"/>
        </w:rPr>
        <w:t xml:space="preserve">, attachment, biofilm formation, flagella biosynthesis, and/or </w:t>
      </w:r>
      <w:proofErr w:type="spellStart"/>
      <w:r w:rsidR="000C3F22" w:rsidRPr="00F8165F">
        <w:rPr>
          <w:rFonts w:ascii="Verdana" w:hAnsi="Verdana"/>
          <w:b w:val="0"/>
          <w:bCs w:val="0"/>
          <w:sz w:val="20"/>
          <w:szCs w:val="20"/>
        </w:rPr>
        <w:t>ctrA</w:t>
      </w:r>
      <w:proofErr w:type="spellEnd"/>
      <w:r w:rsidR="000C3F22" w:rsidRPr="00F8165F">
        <w:rPr>
          <w:rFonts w:ascii="Verdana" w:hAnsi="Verdana"/>
          <w:b w:val="0"/>
          <w:bCs w:val="0"/>
          <w:sz w:val="20"/>
          <w:szCs w:val="20"/>
        </w:rPr>
        <w:t xml:space="preserve"> phosphorelay) are repressed, either directly or indirectly through QS1. Right panel shows genetic regulation during growth on a surface. It is predicted that when concentrations of C8-HSL are highest, QS2 represses expression of QS1, either directly or indirectly, allowing for the transcription of surface growth associated genes. Both c-di-GMP and </w:t>
      </w:r>
      <w:proofErr w:type="spellStart"/>
      <w:r w:rsidR="000C3F22" w:rsidRPr="00F8165F">
        <w:rPr>
          <w:rFonts w:ascii="Verdana" w:hAnsi="Verdana"/>
          <w:b w:val="0"/>
          <w:bCs w:val="0"/>
          <w:sz w:val="20"/>
          <w:szCs w:val="20"/>
        </w:rPr>
        <w:t>CtrA</w:t>
      </w:r>
      <w:proofErr w:type="spellEnd"/>
      <w:r w:rsidR="000C3F22" w:rsidRPr="00F8165F">
        <w:rPr>
          <w:rFonts w:ascii="Verdana" w:hAnsi="Verdana"/>
          <w:b w:val="0"/>
          <w:bCs w:val="0"/>
          <w:sz w:val="20"/>
          <w:szCs w:val="20"/>
        </w:rPr>
        <w:t xml:space="preserve"> are expected to play a role in activating surface-growth associated genes, though the specific mechanism of this regulation is currently unknown. Black lines are indicative of activation while red represents inhibition. Solid lines represent known pathways, while dotted lines are hypothesized.</w:t>
      </w:r>
      <w:r w:rsidR="000C3F22" w:rsidRPr="00451577">
        <w:rPr>
          <w:rFonts w:ascii="Verdana" w:hAnsi="Verdana"/>
          <w:b w:val="0"/>
          <w:bCs w:val="0"/>
          <w:sz w:val="20"/>
          <w:szCs w:val="20"/>
        </w:rPr>
        <w:t xml:space="preserve">  </w:t>
      </w:r>
    </w:p>
    <w:p w14:paraId="5506369A" w14:textId="5A7EB563" w:rsidR="000C3F22" w:rsidRPr="00C51113" w:rsidRDefault="000C3F22" w:rsidP="00677C01">
      <w:pPr>
        <w:spacing w:before="240"/>
        <w:jc w:val="both"/>
        <w:rPr>
          <w:rFonts w:ascii="Verdana" w:hAnsi="Verdana" w:cs="Times New Roman"/>
          <w:b/>
          <w:bCs/>
          <w:iCs/>
          <w:sz w:val="18"/>
          <w:szCs w:val="18"/>
        </w:rPr>
      </w:pPr>
      <w:r w:rsidRPr="00C51113">
        <w:rPr>
          <w:rFonts w:ascii="Verdana" w:hAnsi="Verdana" w:cs="Times New Roman"/>
          <w:sz w:val="18"/>
          <w:szCs w:val="18"/>
        </w:rPr>
        <w:br w:type="page"/>
      </w:r>
    </w:p>
    <w:p w14:paraId="23FCE9DA" w14:textId="6AC67EA9" w:rsidR="0092091F" w:rsidRPr="00C51113" w:rsidRDefault="00975E37" w:rsidP="00677C01">
      <w:pPr>
        <w:pStyle w:val="Heading2"/>
        <w:rPr>
          <w:rFonts w:ascii="Verdana" w:hAnsi="Verdana" w:cs="Times New Roman"/>
          <w:sz w:val="18"/>
          <w:szCs w:val="18"/>
        </w:rPr>
      </w:pPr>
      <w:bookmarkStart w:id="33" w:name="_Toc83382601"/>
      <w:r w:rsidRPr="00C51113">
        <w:rPr>
          <w:rFonts w:ascii="Verdana" w:hAnsi="Verdana" w:cs="Times New Roman"/>
          <w:sz w:val="18"/>
          <w:szCs w:val="18"/>
        </w:rPr>
        <w:lastRenderedPageBreak/>
        <w:t>Appendix</w:t>
      </w:r>
      <w:bookmarkEnd w:id="21"/>
      <w:r w:rsidR="004B489D" w:rsidRPr="00C51113">
        <w:rPr>
          <w:rFonts w:ascii="Verdana" w:hAnsi="Verdana" w:cs="Times New Roman"/>
          <w:sz w:val="18"/>
          <w:szCs w:val="18"/>
        </w:rPr>
        <w:t>: Supplemental Materials</w:t>
      </w:r>
      <w:bookmarkStart w:id="34" w:name="_Toc289175833"/>
      <w:bookmarkEnd w:id="33"/>
    </w:p>
    <w:p w14:paraId="049B0A7A" w14:textId="67FA3F8C" w:rsidR="0092091F" w:rsidRPr="00F8165F" w:rsidRDefault="00554C9F" w:rsidP="00677C01">
      <w:pPr>
        <w:pStyle w:val="Caption"/>
        <w:spacing w:before="240"/>
        <w:jc w:val="both"/>
        <w:rPr>
          <w:rFonts w:ascii="Verdana" w:hAnsi="Verdana"/>
          <w:b w:val="0"/>
          <w:bCs w:val="0"/>
          <w:sz w:val="20"/>
          <w:szCs w:val="20"/>
        </w:rPr>
      </w:pPr>
      <w:bookmarkStart w:id="35" w:name="_Toc80349824"/>
      <w:r w:rsidRPr="00F8165F">
        <w:rPr>
          <w:rFonts w:ascii="Verdana" w:hAnsi="Verdana"/>
          <w:sz w:val="20"/>
          <w:szCs w:val="20"/>
        </w:rPr>
        <w:t xml:space="preserve">Table S </w:t>
      </w:r>
      <w:r w:rsidR="00DF407F" w:rsidRPr="00F8165F">
        <w:rPr>
          <w:rFonts w:ascii="Verdana" w:hAnsi="Verdana"/>
          <w:sz w:val="20"/>
          <w:szCs w:val="20"/>
        </w:rPr>
        <w:fldChar w:fldCharType="begin"/>
      </w:r>
      <w:r w:rsidR="00DF407F" w:rsidRPr="00F8165F">
        <w:rPr>
          <w:rFonts w:ascii="Verdana" w:hAnsi="Verdana"/>
          <w:sz w:val="20"/>
          <w:szCs w:val="20"/>
        </w:rPr>
        <w:instrText xml:space="preserve"> STYLEREF 1 \s </w:instrText>
      </w:r>
      <w:r w:rsidR="00DF407F" w:rsidRPr="00F8165F">
        <w:rPr>
          <w:rFonts w:ascii="Verdana" w:hAnsi="Verdana"/>
          <w:sz w:val="20"/>
          <w:szCs w:val="20"/>
        </w:rPr>
        <w:fldChar w:fldCharType="separate"/>
      </w:r>
      <w:r w:rsidRPr="00F8165F">
        <w:rPr>
          <w:rFonts w:ascii="Verdana" w:hAnsi="Verdana"/>
          <w:noProof/>
          <w:sz w:val="20"/>
          <w:szCs w:val="20"/>
        </w:rPr>
        <w:t>2</w:t>
      </w:r>
      <w:r w:rsidR="00DF407F" w:rsidRPr="00F8165F">
        <w:rPr>
          <w:rFonts w:ascii="Verdana" w:hAnsi="Verdana"/>
          <w:noProof/>
          <w:sz w:val="20"/>
          <w:szCs w:val="20"/>
        </w:rPr>
        <w:fldChar w:fldCharType="end"/>
      </w:r>
      <w:r w:rsidRPr="00F8165F">
        <w:rPr>
          <w:rFonts w:ascii="Verdana" w:hAnsi="Verdana"/>
          <w:sz w:val="20"/>
          <w:szCs w:val="20"/>
        </w:rPr>
        <w:t>.</w:t>
      </w:r>
      <w:r w:rsidR="00DF407F" w:rsidRPr="00F8165F">
        <w:rPr>
          <w:rFonts w:ascii="Verdana" w:hAnsi="Verdana"/>
          <w:sz w:val="20"/>
          <w:szCs w:val="20"/>
        </w:rPr>
        <w:fldChar w:fldCharType="begin"/>
      </w:r>
      <w:r w:rsidR="00DF407F" w:rsidRPr="00F8165F">
        <w:rPr>
          <w:rFonts w:ascii="Verdana" w:hAnsi="Verdana"/>
          <w:sz w:val="20"/>
          <w:szCs w:val="20"/>
        </w:rPr>
        <w:instrText xml:space="preserve"> SEQ Table_S \* ARABIC \s 1 </w:instrText>
      </w:r>
      <w:r w:rsidR="00DF407F" w:rsidRPr="00F8165F">
        <w:rPr>
          <w:rFonts w:ascii="Verdana" w:hAnsi="Verdana"/>
          <w:sz w:val="20"/>
          <w:szCs w:val="20"/>
        </w:rPr>
        <w:fldChar w:fldCharType="separate"/>
      </w:r>
      <w:r w:rsidRPr="00F8165F">
        <w:rPr>
          <w:rFonts w:ascii="Verdana" w:hAnsi="Verdana"/>
          <w:noProof/>
          <w:sz w:val="20"/>
          <w:szCs w:val="20"/>
        </w:rPr>
        <w:t>1</w:t>
      </w:r>
      <w:r w:rsidR="00DF407F" w:rsidRPr="00F8165F">
        <w:rPr>
          <w:rFonts w:ascii="Verdana" w:hAnsi="Verdana"/>
          <w:noProof/>
          <w:sz w:val="20"/>
          <w:szCs w:val="20"/>
        </w:rPr>
        <w:fldChar w:fldCharType="end"/>
      </w:r>
      <w:r w:rsidRPr="00F8165F">
        <w:rPr>
          <w:rFonts w:ascii="Verdana" w:hAnsi="Verdana" w:cs="Times New Roman"/>
          <w:sz w:val="20"/>
          <w:szCs w:val="20"/>
        </w:rPr>
        <w:t>. Table of primers.</w:t>
      </w:r>
      <w:r w:rsidR="0092091F" w:rsidRPr="00F8165F">
        <w:rPr>
          <w:rFonts w:ascii="Verdana" w:hAnsi="Verdana" w:cs="Times New Roman"/>
          <w:sz w:val="20"/>
          <w:szCs w:val="20"/>
        </w:rPr>
        <w:t xml:space="preserve"> </w:t>
      </w:r>
      <w:r w:rsidR="0092091F" w:rsidRPr="00F8165F">
        <w:rPr>
          <w:rFonts w:ascii="Verdana" w:hAnsi="Verdana"/>
          <w:b w:val="0"/>
          <w:bCs w:val="0"/>
          <w:sz w:val="20"/>
          <w:szCs w:val="20"/>
        </w:rPr>
        <w:t xml:space="preserve">Primers used in this study for gene expression analysis and construction of </w:t>
      </w:r>
      <w:proofErr w:type="spellStart"/>
      <w:r w:rsidR="0092091F" w:rsidRPr="00F8165F">
        <w:rPr>
          <w:rFonts w:ascii="Verdana" w:hAnsi="Verdana"/>
          <w:b w:val="0"/>
          <w:bCs w:val="0"/>
          <w:sz w:val="20"/>
          <w:szCs w:val="20"/>
        </w:rPr>
        <w:t>phaI</w:t>
      </w:r>
      <w:proofErr w:type="spellEnd"/>
      <w:r w:rsidR="0092091F" w:rsidRPr="00F8165F">
        <w:rPr>
          <w:rFonts w:ascii="Verdana" w:hAnsi="Verdana"/>
          <w:b w:val="0"/>
          <w:bCs w:val="0"/>
          <w:sz w:val="20"/>
          <w:szCs w:val="20"/>
        </w:rPr>
        <w:t xml:space="preserve"> mutant.  Primer sets are listed together, sharing a </w:t>
      </w:r>
      <w:proofErr w:type="gramStart"/>
      <w:r w:rsidR="0092091F" w:rsidRPr="00F8165F">
        <w:rPr>
          <w:rFonts w:ascii="Verdana" w:hAnsi="Verdana"/>
          <w:b w:val="0"/>
          <w:bCs w:val="0"/>
          <w:sz w:val="20"/>
          <w:szCs w:val="20"/>
        </w:rPr>
        <w:t>prefix</w:t>
      </w:r>
      <w:proofErr w:type="gramEnd"/>
      <w:r w:rsidR="0092091F" w:rsidRPr="00F8165F">
        <w:rPr>
          <w:rFonts w:ascii="Verdana" w:hAnsi="Verdana"/>
          <w:b w:val="0"/>
          <w:bCs w:val="0"/>
          <w:sz w:val="20"/>
          <w:szCs w:val="20"/>
        </w:rPr>
        <w:t xml:space="preserve"> and designated with either “for” or “F” to indicate forward primer or “rev” or “R” to indicate reverse primer.</w:t>
      </w:r>
      <w:bookmarkEnd w:id="35"/>
    </w:p>
    <w:tbl>
      <w:tblPr>
        <w:tblpPr w:leftFromText="180" w:rightFromText="180" w:vertAnchor="text" w:horzAnchor="margin" w:tblpXSpec="center" w:tblpY="399"/>
        <w:tblW w:w="9879" w:type="dxa"/>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Look w:val="04A0" w:firstRow="1" w:lastRow="0" w:firstColumn="1" w:lastColumn="0" w:noHBand="0" w:noVBand="1"/>
      </w:tblPr>
      <w:tblGrid>
        <w:gridCol w:w="2240"/>
        <w:gridCol w:w="3679"/>
        <w:gridCol w:w="897"/>
        <w:gridCol w:w="1223"/>
        <w:gridCol w:w="1876"/>
      </w:tblGrid>
      <w:tr w:rsidR="0092091F" w:rsidRPr="00C51113" w14:paraId="3009BACF" w14:textId="77777777" w:rsidTr="00677C01">
        <w:trPr>
          <w:trHeight w:val="750"/>
        </w:trPr>
        <w:tc>
          <w:tcPr>
            <w:tcW w:w="2204" w:type="dxa"/>
            <w:tcBorders>
              <w:top w:val="single" w:sz="4" w:space="0" w:color="000000"/>
              <w:left w:val="single" w:sz="4" w:space="0" w:color="000000"/>
              <w:bottom w:val="single" w:sz="4" w:space="0" w:color="000000"/>
              <w:right w:val="nil"/>
            </w:tcBorders>
            <w:shd w:val="clear" w:color="auto" w:fill="000000"/>
            <w:noWrap/>
            <w:hideMark/>
          </w:tcPr>
          <w:p w14:paraId="4CFCEE66" w14:textId="77777777" w:rsidR="0092091F" w:rsidRPr="00C51113" w:rsidRDefault="0092091F" w:rsidP="00677C01">
            <w:pPr>
              <w:spacing w:before="240"/>
              <w:jc w:val="both"/>
              <w:rPr>
                <w:rFonts w:ascii="Verdana" w:hAnsi="Verdana"/>
                <w:b/>
                <w:bCs/>
                <w:color w:val="FFFFFF"/>
                <w:sz w:val="18"/>
                <w:szCs w:val="18"/>
              </w:rPr>
            </w:pPr>
            <w:r w:rsidRPr="00C51113">
              <w:rPr>
                <w:rFonts w:ascii="Verdana" w:hAnsi="Verdana"/>
                <w:b/>
                <w:bCs/>
                <w:color w:val="FFFFFF"/>
                <w:sz w:val="18"/>
                <w:szCs w:val="18"/>
              </w:rPr>
              <w:t>Primer Name</w:t>
            </w:r>
          </w:p>
        </w:tc>
        <w:tc>
          <w:tcPr>
            <w:tcW w:w="3679" w:type="dxa"/>
            <w:tcBorders>
              <w:top w:val="single" w:sz="4" w:space="0" w:color="000000"/>
              <w:left w:val="nil"/>
              <w:bottom w:val="single" w:sz="4" w:space="0" w:color="000000"/>
              <w:right w:val="nil"/>
            </w:tcBorders>
            <w:shd w:val="clear" w:color="auto" w:fill="000000"/>
            <w:noWrap/>
            <w:hideMark/>
          </w:tcPr>
          <w:p w14:paraId="1E529ED1" w14:textId="77777777" w:rsidR="0092091F" w:rsidRPr="00C51113" w:rsidRDefault="0092091F" w:rsidP="00677C01">
            <w:pPr>
              <w:spacing w:before="240"/>
              <w:jc w:val="both"/>
              <w:rPr>
                <w:rFonts w:ascii="Verdana" w:hAnsi="Verdana"/>
                <w:b/>
                <w:bCs/>
                <w:color w:val="FFFFFF"/>
                <w:sz w:val="18"/>
                <w:szCs w:val="18"/>
              </w:rPr>
            </w:pPr>
            <w:r w:rsidRPr="00C51113">
              <w:rPr>
                <w:rFonts w:ascii="Verdana" w:hAnsi="Verdana"/>
                <w:b/>
                <w:bCs/>
                <w:color w:val="FFFFFF"/>
                <w:sz w:val="18"/>
                <w:szCs w:val="18"/>
              </w:rPr>
              <w:t>Sequence</w:t>
            </w:r>
          </w:p>
        </w:tc>
        <w:tc>
          <w:tcPr>
            <w:tcW w:w="897" w:type="dxa"/>
            <w:tcBorders>
              <w:top w:val="single" w:sz="4" w:space="0" w:color="000000"/>
              <w:left w:val="nil"/>
              <w:bottom w:val="single" w:sz="4" w:space="0" w:color="000000"/>
              <w:right w:val="nil"/>
            </w:tcBorders>
            <w:shd w:val="clear" w:color="auto" w:fill="000000"/>
            <w:noWrap/>
            <w:hideMark/>
          </w:tcPr>
          <w:p w14:paraId="62A370A5" w14:textId="77777777" w:rsidR="0092091F" w:rsidRPr="00C51113" w:rsidRDefault="0092091F" w:rsidP="00677C01">
            <w:pPr>
              <w:spacing w:before="240"/>
              <w:jc w:val="both"/>
              <w:rPr>
                <w:rFonts w:ascii="Verdana" w:hAnsi="Verdana"/>
                <w:b/>
                <w:bCs/>
                <w:color w:val="FFFFFF"/>
                <w:sz w:val="18"/>
                <w:szCs w:val="18"/>
              </w:rPr>
            </w:pPr>
            <w:r w:rsidRPr="00C51113">
              <w:rPr>
                <w:rFonts w:ascii="Verdana" w:hAnsi="Verdana"/>
                <w:b/>
                <w:bCs/>
                <w:color w:val="FFFFFF"/>
                <w:sz w:val="18"/>
                <w:szCs w:val="18"/>
              </w:rPr>
              <w:t>TM</w:t>
            </w:r>
          </w:p>
        </w:tc>
        <w:tc>
          <w:tcPr>
            <w:tcW w:w="1223" w:type="dxa"/>
            <w:tcBorders>
              <w:top w:val="single" w:sz="4" w:space="0" w:color="000000"/>
              <w:left w:val="nil"/>
              <w:bottom w:val="single" w:sz="4" w:space="0" w:color="000000"/>
              <w:right w:val="nil"/>
            </w:tcBorders>
            <w:shd w:val="clear" w:color="auto" w:fill="000000"/>
            <w:hideMark/>
          </w:tcPr>
          <w:p w14:paraId="3325570A" w14:textId="77777777" w:rsidR="0092091F" w:rsidRPr="00C51113" w:rsidRDefault="0092091F" w:rsidP="00677C01">
            <w:pPr>
              <w:spacing w:before="240"/>
              <w:jc w:val="both"/>
              <w:rPr>
                <w:rFonts w:ascii="Verdana" w:hAnsi="Verdana"/>
                <w:b/>
                <w:bCs/>
                <w:color w:val="FFFFFF"/>
                <w:sz w:val="18"/>
                <w:szCs w:val="18"/>
              </w:rPr>
            </w:pPr>
            <w:r w:rsidRPr="00C51113">
              <w:rPr>
                <w:rFonts w:ascii="Verdana" w:hAnsi="Verdana"/>
                <w:b/>
                <w:bCs/>
                <w:color w:val="FFFFFF"/>
                <w:sz w:val="18"/>
                <w:szCs w:val="18"/>
              </w:rPr>
              <w:t>Product size</w:t>
            </w:r>
          </w:p>
        </w:tc>
        <w:tc>
          <w:tcPr>
            <w:tcW w:w="1876" w:type="dxa"/>
            <w:tcBorders>
              <w:top w:val="single" w:sz="4" w:space="0" w:color="000000"/>
              <w:left w:val="nil"/>
              <w:bottom w:val="single" w:sz="4" w:space="0" w:color="000000"/>
              <w:right w:val="single" w:sz="4" w:space="0" w:color="000000"/>
            </w:tcBorders>
            <w:shd w:val="clear" w:color="auto" w:fill="000000"/>
            <w:noWrap/>
            <w:hideMark/>
          </w:tcPr>
          <w:p w14:paraId="3A88E018" w14:textId="77777777" w:rsidR="0092091F" w:rsidRPr="00C51113" w:rsidRDefault="0092091F" w:rsidP="00677C01">
            <w:pPr>
              <w:spacing w:before="240"/>
              <w:jc w:val="both"/>
              <w:rPr>
                <w:rFonts w:ascii="Verdana" w:hAnsi="Verdana"/>
                <w:b/>
                <w:bCs/>
                <w:color w:val="FFFFFF"/>
                <w:sz w:val="18"/>
                <w:szCs w:val="18"/>
              </w:rPr>
            </w:pPr>
            <w:r w:rsidRPr="00C51113">
              <w:rPr>
                <w:rFonts w:ascii="Verdana" w:hAnsi="Verdana"/>
                <w:b/>
                <w:bCs/>
                <w:color w:val="FFFFFF"/>
                <w:sz w:val="18"/>
                <w:szCs w:val="18"/>
              </w:rPr>
              <w:t>Source</w:t>
            </w:r>
          </w:p>
        </w:tc>
      </w:tr>
      <w:tr w:rsidR="0092091F" w:rsidRPr="00C51113" w14:paraId="7C454240" w14:textId="77777777" w:rsidTr="00677C01">
        <w:trPr>
          <w:trHeight w:hRule="exact" w:val="450"/>
        </w:trPr>
        <w:tc>
          <w:tcPr>
            <w:tcW w:w="2204"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0050529F" w14:textId="77777777" w:rsidR="0092091F" w:rsidRPr="00C51113" w:rsidRDefault="0092091F" w:rsidP="00677C01">
            <w:pPr>
              <w:spacing w:before="240"/>
              <w:jc w:val="both"/>
              <w:rPr>
                <w:rFonts w:ascii="Verdana" w:hAnsi="Verdana"/>
                <w:b/>
                <w:bCs/>
                <w:color w:val="000000"/>
                <w:sz w:val="18"/>
                <w:szCs w:val="18"/>
              </w:rPr>
            </w:pPr>
            <w:proofErr w:type="spellStart"/>
            <w:r w:rsidRPr="00C51113">
              <w:rPr>
                <w:rFonts w:ascii="Verdana" w:hAnsi="Verdana"/>
                <w:b/>
                <w:bCs/>
                <w:color w:val="000000"/>
                <w:sz w:val="18"/>
                <w:szCs w:val="18"/>
              </w:rPr>
              <w:t>map_for</w:t>
            </w:r>
            <w:proofErr w:type="spellEnd"/>
          </w:p>
        </w:tc>
        <w:tc>
          <w:tcPr>
            <w:tcW w:w="3679"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247E52D0"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GTG TTC CAC GCC CCG CCC AAC</w:t>
            </w:r>
          </w:p>
        </w:tc>
        <w:tc>
          <w:tcPr>
            <w:tcW w:w="897"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1D3BC01F"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70.4</w:t>
            </w:r>
          </w:p>
        </w:tc>
        <w:tc>
          <w:tcPr>
            <w:tcW w:w="1223"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18461CDC" w14:textId="77777777" w:rsidR="0092091F" w:rsidRPr="00C51113" w:rsidRDefault="0092091F" w:rsidP="00677C01">
            <w:pPr>
              <w:spacing w:before="240"/>
              <w:jc w:val="both"/>
              <w:rPr>
                <w:rFonts w:ascii="Verdana" w:hAnsi="Verdana"/>
                <w:color w:val="000000"/>
                <w:sz w:val="18"/>
                <w:szCs w:val="18"/>
              </w:rPr>
            </w:pPr>
          </w:p>
        </w:tc>
        <w:tc>
          <w:tcPr>
            <w:tcW w:w="1876"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54CDF538"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noProof/>
                <w:color w:val="000000"/>
                <w:sz w:val="18"/>
                <w:szCs w:val="18"/>
              </w:rPr>
              <w:t>Cude et al., 2012</w:t>
            </w:r>
          </w:p>
        </w:tc>
      </w:tr>
      <w:tr w:rsidR="0092091F" w:rsidRPr="00C51113" w14:paraId="164B018A" w14:textId="77777777" w:rsidTr="00677C01">
        <w:trPr>
          <w:trHeight w:hRule="exact" w:val="450"/>
        </w:trPr>
        <w:tc>
          <w:tcPr>
            <w:tcW w:w="2204" w:type="dxa"/>
            <w:tcBorders>
              <w:top w:val="single" w:sz="4" w:space="0" w:color="666666"/>
              <w:left w:val="single" w:sz="4" w:space="0" w:color="666666"/>
              <w:bottom w:val="single" w:sz="4" w:space="0" w:color="666666"/>
              <w:right w:val="single" w:sz="4" w:space="0" w:color="666666"/>
            </w:tcBorders>
            <w:shd w:val="clear" w:color="auto" w:fill="auto"/>
            <w:noWrap/>
            <w:hideMark/>
          </w:tcPr>
          <w:p w14:paraId="080B9A73" w14:textId="77777777" w:rsidR="0092091F" w:rsidRPr="00C51113" w:rsidRDefault="0092091F" w:rsidP="00677C01">
            <w:pPr>
              <w:spacing w:before="240"/>
              <w:jc w:val="both"/>
              <w:rPr>
                <w:rFonts w:ascii="Verdana" w:hAnsi="Verdana"/>
                <w:b/>
                <w:bCs/>
                <w:color w:val="000000"/>
                <w:sz w:val="18"/>
                <w:szCs w:val="18"/>
              </w:rPr>
            </w:pPr>
            <w:proofErr w:type="spellStart"/>
            <w:r w:rsidRPr="00C51113">
              <w:rPr>
                <w:rFonts w:ascii="Verdana" w:hAnsi="Verdana"/>
                <w:b/>
                <w:bCs/>
                <w:color w:val="000000"/>
                <w:sz w:val="18"/>
                <w:szCs w:val="18"/>
              </w:rPr>
              <w:t>map_rev</w:t>
            </w:r>
            <w:proofErr w:type="spellEnd"/>
          </w:p>
        </w:tc>
        <w:tc>
          <w:tcPr>
            <w:tcW w:w="3679" w:type="dxa"/>
            <w:tcBorders>
              <w:top w:val="single" w:sz="4" w:space="0" w:color="666666"/>
              <w:left w:val="single" w:sz="4" w:space="0" w:color="666666"/>
              <w:bottom w:val="single" w:sz="4" w:space="0" w:color="666666"/>
              <w:right w:val="single" w:sz="4" w:space="0" w:color="666666"/>
            </w:tcBorders>
            <w:shd w:val="clear" w:color="auto" w:fill="auto"/>
            <w:hideMark/>
          </w:tcPr>
          <w:p w14:paraId="4030D15E"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CCC GGC CGG TGA CAG GGT GAA</w:t>
            </w:r>
          </w:p>
        </w:tc>
        <w:tc>
          <w:tcPr>
            <w:tcW w:w="897" w:type="dxa"/>
            <w:tcBorders>
              <w:top w:val="single" w:sz="4" w:space="0" w:color="666666"/>
              <w:left w:val="single" w:sz="4" w:space="0" w:color="666666"/>
              <w:bottom w:val="single" w:sz="4" w:space="0" w:color="666666"/>
              <w:right w:val="single" w:sz="4" w:space="0" w:color="666666"/>
            </w:tcBorders>
            <w:shd w:val="clear" w:color="auto" w:fill="auto"/>
            <w:noWrap/>
            <w:hideMark/>
          </w:tcPr>
          <w:p w14:paraId="2BDCE7B4"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70.4</w:t>
            </w:r>
          </w:p>
        </w:tc>
        <w:tc>
          <w:tcPr>
            <w:tcW w:w="1223" w:type="dxa"/>
            <w:tcBorders>
              <w:top w:val="single" w:sz="4" w:space="0" w:color="666666"/>
              <w:left w:val="single" w:sz="4" w:space="0" w:color="666666"/>
              <w:bottom w:val="single" w:sz="4" w:space="0" w:color="666666"/>
              <w:right w:val="single" w:sz="4" w:space="0" w:color="666666"/>
            </w:tcBorders>
            <w:shd w:val="clear" w:color="auto" w:fill="auto"/>
            <w:noWrap/>
            <w:hideMark/>
          </w:tcPr>
          <w:p w14:paraId="54B1B516"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200bp</w:t>
            </w:r>
          </w:p>
        </w:tc>
        <w:tc>
          <w:tcPr>
            <w:tcW w:w="1876" w:type="dxa"/>
            <w:tcBorders>
              <w:top w:val="single" w:sz="4" w:space="0" w:color="666666"/>
              <w:left w:val="single" w:sz="4" w:space="0" w:color="666666"/>
              <w:bottom w:val="single" w:sz="4" w:space="0" w:color="666666"/>
              <w:right w:val="single" w:sz="4" w:space="0" w:color="666666"/>
            </w:tcBorders>
            <w:shd w:val="clear" w:color="auto" w:fill="auto"/>
            <w:noWrap/>
            <w:hideMark/>
          </w:tcPr>
          <w:p w14:paraId="407CFEE2"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Cude et al., 2012</w:t>
            </w:r>
          </w:p>
        </w:tc>
      </w:tr>
      <w:tr w:rsidR="0092091F" w:rsidRPr="00C51113" w14:paraId="5592AC32" w14:textId="77777777" w:rsidTr="00677C01">
        <w:trPr>
          <w:trHeight w:hRule="exact" w:val="450"/>
        </w:trPr>
        <w:tc>
          <w:tcPr>
            <w:tcW w:w="2204"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5686D204" w14:textId="77777777" w:rsidR="0092091F" w:rsidRPr="00C51113" w:rsidRDefault="0092091F" w:rsidP="00677C01">
            <w:pPr>
              <w:spacing w:before="240"/>
              <w:jc w:val="both"/>
              <w:rPr>
                <w:rFonts w:ascii="Verdana" w:hAnsi="Verdana"/>
                <w:b/>
                <w:bCs/>
                <w:color w:val="000000"/>
                <w:sz w:val="18"/>
                <w:szCs w:val="18"/>
              </w:rPr>
            </w:pPr>
            <w:proofErr w:type="spellStart"/>
            <w:r w:rsidRPr="00C51113">
              <w:rPr>
                <w:rFonts w:ascii="Verdana" w:hAnsi="Verdana"/>
                <w:b/>
                <w:bCs/>
                <w:color w:val="000000"/>
                <w:sz w:val="18"/>
                <w:szCs w:val="18"/>
              </w:rPr>
              <w:t>rpoC_for</w:t>
            </w:r>
            <w:proofErr w:type="spellEnd"/>
          </w:p>
        </w:tc>
        <w:tc>
          <w:tcPr>
            <w:tcW w:w="3679"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0D33B6DA"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CGG CGC TGA AGC GAT CCG TGA</w:t>
            </w:r>
          </w:p>
        </w:tc>
        <w:tc>
          <w:tcPr>
            <w:tcW w:w="897"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13FA830B"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68.4</w:t>
            </w:r>
          </w:p>
        </w:tc>
        <w:tc>
          <w:tcPr>
            <w:tcW w:w="1223"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0C81F92B" w14:textId="77777777" w:rsidR="0092091F" w:rsidRPr="00C51113" w:rsidRDefault="0092091F" w:rsidP="00677C01">
            <w:pPr>
              <w:spacing w:before="240"/>
              <w:jc w:val="both"/>
              <w:rPr>
                <w:rFonts w:ascii="Verdana" w:hAnsi="Verdana"/>
                <w:color w:val="000000"/>
                <w:sz w:val="18"/>
                <w:szCs w:val="18"/>
              </w:rPr>
            </w:pPr>
          </w:p>
        </w:tc>
        <w:tc>
          <w:tcPr>
            <w:tcW w:w="1876"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714094A0"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Cude et al., 2012</w:t>
            </w:r>
          </w:p>
        </w:tc>
      </w:tr>
      <w:tr w:rsidR="0092091F" w:rsidRPr="00C51113" w14:paraId="02387BFB" w14:textId="77777777" w:rsidTr="00677C01">
        <w:trPr>
          <w:trHeight w:hRule="exact" w:val="450"/>
        </w:trPr>
        <w:tc>
          <w:tcPr>
            <w:tcW w:w="2204" w:type="dxa"/>
            <w:tcBorders>
              <w:top w:val="single" w:sz="4" w:space="0" w:color="666666"/>
              <w:left w:val="single" w:sz="4" w:space="0" w:color="666666"/>
              <w:bottom w:val="single" w:sz="4" w:space="0" w:color="666666"/>
              <w:right w:val="single" w:sz="4" w:space="0" w:color="666666"/>
            </w:tcBorders>
            <w:shd w:val="clear" w:color="auto" w:fill="auto"/>
            <w:noWrap/>
            <w:hideMark/>
          </w:tcPr>
          <w:p w14:paraId="76E4CD8E" w14:textId="77777777" w:rsidR="0092091F" w:rsidRPr="00C51113" w:rsidRDefault="0092091F" w:rsidP="00677C01">
            <w:pPr>
              <w:spacing w:before="240"/>
              <w:jc w:val="both"/>
              <w:rPr>
                <w:rFonts w:ascii="Verdana" w:hAnsi="Verdana"/>
                <w:b/>
                <w:bCs/>
                <w:color w:val="000000"/>
                <w:sz w:val="18"/>
                <w:szCs w:val="18"/>
              </w:rPr>
            </w:pPr>
            <w:proofErr w:type="spellStart"/>
            <w:r w:rsidRPr="00C51113">
              <w:rPr>
                <w:rFonts w:ascii="Verdana" w:hAnsi="Verdana"/>
                <w:b/>
                <w:bCs/>
                <w:color w:val="000000"/>
                <w:sz w:val="18"/>
                <w:szCs w:val="18"/>
              </w:rPr>
              <w:t>rpoC_rev</w:t>
            </w:r>
            <w:proofErr w:type="spellEnd"/>
          </w:p>
        </w:tc>
        <w:tc>
          <w:tcPr>
            <w:tcW w:w="3679" w:type="dxa"/>
            <w:tcBorders>
              <w:top w:val="single" w:sz="4" w:space="0" w:color="666666"/>
              <w:left w:val="single" w:sz="4" w:space="0" w:color="666666"/>
              <w:bottom w:val="single" w:sz="4" w:space="0" w:color="666666"/>
              <w:right w:val="single" w:sz="4" w:space="0" w:color="666666"/>
            </w:tcBorders>
            <w:shd w:val="clear" w:color="auto" w:fill="auto"/>
            <w:noWrap/>
            <w:hideMark/>
          </w:tcPr>
          <w:p w14:paraId="42AEC728"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CCG GAC GGT TGC CCG ATT CCA</w:t>
            </w:r>
          </w:p>
        </w:tc>
        <w:tc>
          <w:tcPr>
            <w:tcW w:w="897" w:type="dxa"/>
            <w:tcBorders>
              <w:top w:val="single" w:sz="4" w:space="0" w:color="666666"/>
              <w:left w:val="single" w:sz="4" w:space="0" w:color="666666"/>
              <w:bottom w:val="single" w:sz="4" w:space="0" w:color="666666"/>
              <w:right w:val="single" w:sz="4" w:space="0" w:color="666666"/>
            </w:tcBorders>
            <w:shd w:val="clear" w:color="auto" w:fill="auto"/>
            <w:noWrap/>
            <w:hideMark/>
          </w:tcPr>
          <w:p w14:paraId="461B2C10"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68.4</w:t>
            </w:r>
          </w:p>
        </w:tc>
        <w:tc>
          <w:tcPr>
            <w:tcW w:w="1223" w:type="dxa"/>
            <w:tcBorders>
              <w:top w:val="single" w:sz="4" w:space="0" w:color="666666"/>
              <w:left w:val="single" w:sz="4" w:space="0" w:color="666666"/>
              <w:bottom w:val="single" w:sz="4" w:space="0" w:color="666666"/>
              <w:right w:val="single" w:sz="4" w:space="0" w:color="666666"/>
            </w:tcBorders>
            <w:shd w:val="clear" w:color="auto" w:fill="auto"/>
            <w:noWrap/>
            <w:hideMark/>
          </w:tcPr>
          <w:p w14:paraId="1B76362F"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200bp</w:t>
            </w:r>
          </w:p>
        </w:tc>
        <w:tc>
          <w:tcPr>
            <w:tcW w:w="1876" w:type="dxa"/>
            <w:tcBorders>
              <w:top w:val="single" w:sz="4" w:space="0" w:color="666666"/>
              <w:left w:val="single" w:sz="4" w:space="0" w:color="666666"/>
              <w:bottom w:val="single" w:sz="4" w:space="0" w:color="666666"/>
              <w:right w:val="single" w:sz="4" w:space="0" w:color="666666"/>
            </w:tcBorders>
            <w:shd w:val="clear" w:color="auto" w:fill="auto"/>
            <w:noWrap/>
            <w:hideMark/>
          </w:tcPr>
          <w:p w14:paraId="210970C8"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Cude et al., 2012</w:t>
            </w:r>
          </w:p>
        </w:tc>
      </w:tr>
      <w:tr w:rsidR="0092091F" w:rsidRPr="00C51113" w14:paraId="6DD3B754" w14:textId="77777777" w:rsidTr="00677C01">
        <w:trPr>
          <w:trHeight w:hRule="exact" w:val="450"/>
        </w:trPr>
        <w:tc>
          <w:tcPr>
            <w:tcW w:w="2204"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4BF8FF0F" w14:textId="77777777" w:rsidR="0092091F" w:rsidRPr="00C51113" w:rsidRDefault="0092091F" w:rsidP="00677C01">
            <w:pPr>
              <w:spacing w:before="240"/>
              <w:jc w:val="both"/>
              <w:rPr>
                <w:rFonts w:ascii="Verdana" w:hAnsi="Verdana"/>
                <w:b/>
                <w:bCs/>
                <w:color w:val="000000"/>
                <w:sz w:val="18"/>
                <w:szCs w:val="18"/>
              </w:rPr>
            </w:pPr>
            <w:proofErr w:type="spellStart"/>
            <w:r w:rsidRPr="00C51113">
              <w:rPr>
                <w:rFonts w:ascii="Verdana" w:hAnsi="Verdana"/>
                <w:b/>
                <w:bCs/>
                <w:color w:val="000000"/>
                <w:sz w:val="18"/>
                <w:szCs w:val="18"/>
              </w:rPr>
              <w:t>alaS_for</w:t>
            </w:r>
            <w:proofErr w:type="spellEnd"/>
          </w:p>
        </w:tc>
        <w:tc>
          <w:tcPr>
            <w:tcW w:w="3679"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2A5DC91B"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GCT GTG GGC GGA GGG GCA ATG</w:t>
            </w:r>
          </w:p>
        </w:tc>
        <w:tc>
          <w:tcPr>
            <w:tcW w:w="897"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6AF8D571"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70.4</w:t>
            </w:r>
          </w:p>
        </w:tc>
        <w:tc>
          <w:tcPr>
            <w:tcW w:w="1223"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67213893" w14:textId="77777777" w:rsidR="0092091F" w:rsidRPr="00C51113" w:rsidRDefault="0092091F" w:rsidP="00677C01">
            <w:pPr>
              <w:spacing w:before="240"/>
              <w:jc w:val="both"/>
              <w:rPr>
                <w:rFonts w:ascii="Verdana" w:hAnsi="Verdana"/>
                <w:color w:val="000000"/>
                <w:sz w:val="18"/>
                <w:szCs w:val="18"/>
              </w:rPr>
            </w:pPr>
          </w:p>
        </w:tc>
        <w:tc>
          <w:tcPr>
            <w:tcW w:w="1876"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0084483B"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Cude et al., 2012</w:t>
            </w:r>
          </w:p>
        </w:tc>
      </w:tr>
      <w:tr w:rsidR="0092091F" w:rsidRPr="00C51113" w14:paraId="6A60D095" w14:textId="77777777" w:rsidTr="00677C01">
        <w:trPr>
          <w:trHeight w:hRule="exact" w:val="450"/>
        </w:trPr>
        <w:tc>
          <w:tcPr>
            <w:tcW w:w="2204" w:type="dxa"/>
            <w:tcBorders>
              <w:top w:val="single" w:sz="4" w:space="0" w:color="666666"/>
              <w:left w:val="single" w:sz="4" w:space="0" w:color="666666"/>
              <w:bottom w:val="single" w:sz="4" w:space="0" w:color="666666"/>
              <w:right w:val="single" w:sz="4" w:space="0" w:color="666666"/>
            </w:tcBorders>
            <w:shd w:val="clear" w:color="auto" w:fill="auto"/>
            <w:noWrap/>
            <w:hideMark/>
          </w:tcPr>
          <w:p w14:paraId="6E2CFEAF" w14:textId="77777777" w:rsidR="0092091F" w:rsidRPr="00C51113" w:rsidRDefault="0092091F" w:rsidP="00677C01">
            <w:pPr>
              <w:spacing w:before="240"/>
              <w:jc w:val="both"/>
              <w:rPr>
                <w:rFonts w:ascii="Verdana" w:hAnsi="Verdana"/>
                <w:b/>
                <w:bCs/>
                <w:color w:val="000000"/>
                <w:sz w:val="18"/>
                <w:szCs w:val="18"/>
              </w:rPr>
            </w:pPr>
            <w:proofErr w:type="spellStart"/>
            <w:r w:rsidRPr="00C51113">
              <w:rPr>
                <w:rFonts w:ascii="Verdana" w:hAnsi="Verdana"/>
                <w:b/>
                <w:bCs/>
                <w:color w:val="000000"/>
                <w:sz w:val="18"/>
                <w:szCs w:val="18"/>
              </w:rPr>
              <w:t>alaS_rev</w:t>
            </w:r>
            <w:proofErr w:type="spellEnd"/>
          </w:p>
        </w:tc>
        <w:tc>
          <w:tcPr>
            <w:tcW w:w="3679" w:type="dxa"/>
            <w:tcBorders>
              <w:top w:val="single" w:sz="4" w:space="0" w:color="666666"/>
              <w:left w:val="single" w:sz="4" w:space="0" w:color="666666"/>
              <w:bottom w:val="single" w:sz="4" w:space="0" w:color="666666"/>
              <w:right w:val="single" w:sz="4" w:space="0" w:color="666666"/>
            </w:tcBorders>
            <w:shd w:val="clear" w:color="auto" w:fill="auto"/>
            <w:noWrap/>
            <w:hideMark/>
          </w:tcPr>
          <w:p w14:paraId="4F337DFA"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GCC GAT CGA ACC GCC GGT GAC</w:t>
            </w:r>
          </w:p>
        </w:tc>
        <w:tc>
          <w:tcPr>
            <w:tcW w:w="897" w:type="dxa"/>
            <w:tcBorders>
              <w:top w:val="single" w:sz="4" w:space="0" w:color="666666"/>
              <w:left w:val="single" w:sz="4" w:space="0" w:color="666666"/>
              <w:bottom w:val="single" w:sz="4" w:space="0" w:color="666666"/>
              <w:right w:val="single" w:sz="4" w:space="0" w:color="666666"/>
            </w:tcBorders>
            <w:shd w:val="clear" w:color="auto" w:fill="auto"/>
            <w:noWrap/>
            <w:hideMark/>
          </w:tcPr>
          <w:p w14:paraId="0574CA26"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70.4</w:t>
            </w:r>
          </w:p>
        </w:tc>
        <w:tc>
          <w:tcPr>
            <w:tcW w:w="1223" w:type="dxa"/>
            <w:tcBorders>
              <w:top w:val="single" w:sz="4" w:space="0" w:color="666666"/>
              <w:left w:val="single" w:sz="4" w:space="0" w:color="666666"/>
              <w:bottom w:val="single" w:sz="4" w:space="0" w:color="666666"/>
              <w:right w:val="single" w:sz="4" w:space="0" w:color="666666"/>
            </w:tcBorders>
            <w:shd w:val="clear" w:color="auto" w:fill="auto"/>
            <w:noWrap/>
            <w:hideMark/>
          </w:tcPr>
          <w:p w14:paraId="6C7BBD9D"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200bp</w:t>
            </w:r>
          </w:p>
        </w:tc>
        <w:tc>
          <w:tcPr>
            <w:tcW w:w="1876" w:type="dxa"/>
            <w:tcBorders>
              <w:top w:val="single" w:sz="4" w:space="0" w:color="666666"/>
              <w:left w:val="single" w:sz="4" w:space="0" w:color="666666"/>
              <w:bottom w:val="single" w:sz="4" w:space="0" w:color="666666"/>
              <w:right w:val="single" w:sz="4" w:space="0" w:color="666666"/>
            </w:tcBorders>
            <w:shd w:val="clear" w:color="auto" w:fill="auto"/>
            <w:noWrap/>
            <w:hideMark/>
          </w:tcPr>
          <w:p w14:paraId="62261782"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Cude et al., 2012</w:t>
            </w:r>
          </w:p>
        </w:tc>
      </w:tr>
      <w:tr w:rsidR="0092091F" w:rsidRPr="00C51113" w14:paraId="7F1ABB93" w14:textId="77777777" w:rsidTr="00677C01">
        <w:trPr>
          <w:trHeight w:hRule="exact" w:val="450"/>
        </w:trPr>
        <w:tc>
          <w:tcPr>
            <w:tcW w:w="2204" w:type="dxa"/>
            <w:tcBorders>
              <w:top w:val="single" w:sz="4" w:space="0" w:color="666666"/>
              <w:left w:val="single" w:sz="4" w:space="0" w:color="666666"/>
              <w:bottom w:val="single" w:sz="4" w:space="0" w:color="666666"/>
              <w:right w:val="single" w:sz="4" w:space="0" w:color="666666"/>
            </w:tcBorders>
            <w:shd w:val="clear" w:color="auto" w:fill="CCCCCC"/>
            <w:noWrap/>
            <w:hideMark/>
          </w:tcPr>
          <w:tbl>
            <w:tblPr>
              <w:tblW w:w="2008" w:type="dxa"/>
              <w:tblCellMar>
                <w:left w:w="0" w:type="dxa"/>
                <w:right w:w="0" w:type="dxa"/>
              </w:tblCellMar>
              <w:tblLook w:val="04A0" w:firstRow="1" w:lastRow="0" w:firstColumn="1" w:lastColumn="0" w:noHBand="0" w:noVBand="1"/>
            </w:tblPr>
            <w:tblGrid>
              <w:gridCol w:w="2024"/>
            </w:tblGrid>
            <w:tr w:rsidR="0092091F" w:rsidRPr="00C51113" w14:paraId="62C9DBC4" w14:textId="77777777" w:rsidTr="00677C01">
              <w:trPr>
                <w:trHeight w:val="474"/>
              </w:trPr>
              <w:tc>
                <w:tcPr>
                  <w:tcW w:w="2008" w:type="dxa"/>
                  <w:tcBorders>
                    <w:top w:val="nil"/>
                    <w:left w:val="nil"/>
                    <w:bottom w:val="nil"/>
                    <w:right w:val="nil"/>
                  </w:tcBorders>
                  <w:shd w:val="clear" w:color="auto" w:fill="auto"/>
                  <w:noWrap/>
                  <w:vAlign w:val="bottom"/>
                  <w:hideMark/>
                </w:tcPr>
                <w:p w14:paraId="1F2ED5B9" w14:textId="77777777" w:rsidR="0092091F" w:rsidRPr="00C51113" w:rsidRDefault="0092091F" w:rsidP="00677C01">
                  <w:pPr>
                    <w:framePr w:hSpace="180" w:wrap="around" w:vAnchor="text" w:hAnchor="margin" w:xAlign="center" w:y="399"/>
                    <w:spacing w:before="240"/>
                    <w:jc w:val="both"/>
                    <w:rPr>
                      <w:rFonts w:ascii="Verdana" w:hAnsi="Verdana"/>
                      <w:b/>
                      <w:bCs/>
                      <w:color w:val="000000"/>
                      <w:sz w:val="18"/>
                      <w:szCs w:val="18"/>
                    </w:rPr>
                  </w:pPr>
                  <w:r w:rsidRPr="00C51113">
                    <w:rPr>
                      <w:rFonts w:ascii="Verdana" w:hAnsi="Verdana"/>
                      <w:b/>
                      <w:bCs/>
                      <w:color w:val="000000"/>
                      <w:sz w:val="18"/>
                      <w:szCs w:val="18"/>
                    </w:rPr>
                    <w:t>Y4I_3464_for</w:t>
                  </w:r>
                </w:p>
              </w:tc>
            </w:tr>
          </w:tbl>
          <w:p w14:paraId="7500EBEE" w14:textId="77777777" w:rsidR="0092091F" w:rsidRPr="00C51113" w:rsidRDefault="0092091F" w:rsidP="00677C01">
            <w:pPr>
              <w:spacing w:before="240"/>
              <w:jc w:val="both"/>
              <w:rPr>
                <w:rFonts w:ascii="Verdana" w:hAnsi="Verdana"/>
                <w:b/>
                <w:bCs/>
                <w:color w:val="000000"/>
                <w:sz w:val="18"/>
                <w:szCs w:val="18"/>
              </w:rPr>
            </w:pPr>
          </w:p>
        </w:tc>
        <w:tc>
          <w:tcPr>
            <w:tcW w:w="3679"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3F6801B9"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GGC AAG ATC CAG GGC ATA C</w:t>
            </w:r>
          </w:p>
        </w:tc>
        <w:tc>
          <w:tcPr>
            <w:tcW w:w="897"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1416DE37"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60.44</w:t>
            </w:r>
          </w:p>
        </w:tc>
        <w:tc>
          <w:tcPr>
            <w:tcW w:w="1223"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4C57ACCF" w14:textId="77777777" w:rsidR="0092091F" w:rsidRPr="00C51113" w:rsidRDefault="0092091F" w:rsidP="00677C01">
            <w:pPr>
              <w:spacing w:before="240"/>
              <w:jc w:val="both"/>
              <w:rPr>
                <w:rFonts w:ascii="Verdana" w:hAnsi="Verdana"/>
                <w:color w:val="000000"/>
                <w:sz w:val="18"/>
                <w:szCs w:val="18"/>
              </w:rPr>
            </w:pPr>
          </w:p>
        </w:tc>
        <w:tc>
          <w:tcPr>
            <w:tcW w:w="1876"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5A8D7051"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This study</w:t>
            </w:r>
          </w:p>
        </w:tc>
      </w:tr>
      <w:tr w:rsidR="0092091F" w:rsidRPr="00C51113" w14:paraId="010B4FBC" w14:textId="77777777" w:rsidTr="00677C01">
        <w:trPr>
          <w:trHeight w:hRule="exact" w:val="450"/>
        </w:trPr>
        <w:tc>
          <w:tcPr>
            <w:tcW w:w="2204" w:type="dxa"/>
            <w:tcBorders>
              <w:top w:val="single" w:sz="4" w:space="0" w:color="666666"/>
              <w:left w:val="single" w:sz="4" w:space="0" w:color="666666"/>
              <w:bottom w:val="single" w:sz="4" w:space="0" w:color="666666"/>
              <w:right w:val="single" w:sz="4" w:space="0" w:color="666666"/>
            </w:tcBorders>
            <w:shd w:val="clear" w:color="auto" w:fill="auto"/>
            <w:noWrap/>
            <w:hideMark/>
          </w:tcPr>
          <w:tbl>
            <w:tblPr>
              <w:tblW w:w="2008" w:type="dxa"/>
              <w:tblCellMar>
                <w:left w:w="0" w:type="dxa"/>
                <w:right w:w="0" w:type="dxa"/>
              </w:tblCellMar>
              <w:tblLook w:val="04A0" w:firstRow="1" w:lastRow="0" w:firstColumn="1" w:lastColumn="0" w:noHBand="0" w:noVBand="1"/>
            </w:tblPr>
            <w:tblGrid>
              <w:gridCol w:w="2024"/>
            </w:tblGrid>
            <w:tr w:rsidR="0092091F" w:rsidRPr="00C51113" w14:paraId="33F6CC75" w14:textId="77777777" w:rsidTr="00677C01">
              <w:trPr>
                <w:trHeight w:val="466"/>
              </w:trPr>
              <w:tc>
                <w:tcPr>
                  <w:tcW w:w="2008" w:type="dxa"/>
                  <w:tcBorders>
                    <w:top w:val="nil"/>
                    <w:left w:val="nil"/>
                    <w:bottom w:val="nil"/>
                    <w:right w:val="nil"/>
                  </w:tcBorders>
                  <w:shd w:val="clear" w:color="auto" w:fill="auto"/>
                  <w:noWrap/>
                  <w:vAlign w:val="bottom"/>
                  <w:hideMark/>
                </w:tcPr>
                <w:p w14:paraId="3F9AE2AD" w14:textId="77777777" w:rsidR="0092091F" w:rsidRPr="00C51113" w:rsidRDefault="0092091F" w:rsidP="00677C01">
                  <w:pPr>
                    <w:framePr w:hSpace="180" w:wrap="around" w:vAnchor="text" w:hAnchor="margin" w:xAlign="center" w:y="399"/>
                    <w:spacing w:before="240"/>
                    <w:jc w:val="both"/>
                    <w:rPr>
                      <w:rFonts w:ascii="Verdana" w:hAnsi="Verdana"/>
                      <w:b/>
                      <w:bCs/>
                      <w:color w:val="000000"/>
                      <w:sz w:val="18"/>
                      <w:szCs w:val="18"/>
                    </w:rPr>
                  </w:pPr>
                  <w:r w:rsidRPr="00C51113">
                    <w:rPr>
                      <w:rFonts w:ascii="Verdana" w:hAnsi="Verdana"/>
                      <w:b/>
                      <w:bCs/>
                      <w:color w:val="000000"/>
                      <w:sz w:val="18"/>
                      <w:szCs w:val="18"/>
                    </w:rPr>
                    <w:t>Y4I_3464_rev</w:t>
                  </w:r>
                </w:p>
              </w:tc>
            </w:tr>
          </w:tbl>
          <w:p w14:paraId="1E0E7488" w14:textId="77777777" w:rsidR="0092091F" w:rsidRPr="00C51113" w:rsidRDefault="0092091F" w:rsidP="00677C01">
            <w:pPr>
              <w:spacing w:before="240"/>
              <w:jc w:val="both"/>
              <w:rPr>
                <w:rFonts w:ascii="Verdana" w:hAnsi="Verdana"/>
                <w:b/>
                <w:bCs/>
                <w:color w:val="000000"/>
                <w:sz w:val="18"/>
                <w:szCs w:val="18"/>
              </w:rPr>
            </w:pPr>
          </w:p>
        </w:tc>
        <w:tc>
          <w:tcPr>
            <w:tcW w:w="3679" w:type="dxa"/>
            <w:tcBorders>
              <w:top w:val="single" w:sz="4" w:space="0" w:color="666666"/>
              <w:left w:val="single" w:sz="4" w:space="0" w:color="666666"/>
              <w:bottom w:val="single" w:sz="4" w:space="0" w:color="666666"/>
              <w:right w:val="single" w:sz="4" w:space="0" w:color="666666"/>
            </w:tcBorders>
            <w:shd w:val="clear" w:color="auto" w:fill="auto"/>
            <w:noWrap/>
            <w:hideMark/>
          </w:tcPr>
          <w:p w14:paraId="2B993895"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ATC AGG AAC GAC CGG TAC TC</w:t>
            </w:r>
          </w:p>
        </w:tc>
        <w:tc>
          <w:tcPr>
            <w:tcW w:w="897" w:type="dxa"/>
            <w:tcBorders>
              <w:top w:val="single" w:sz="4" w:space="0" w:color="666666"/>
              <w:left w:val="single" w:sz="4" w:space="0" w:color="666666"/>
              <w:bottom w:val="single" w:sz="4" w:space="0" w:color="666666"/>
              <w:right w:val="single" w:sz="4" w:space="0" w:color="666666"/>
            </w:tcBorders>
            <w:shd w:val="clear" w:color="auto" w:fill="auto"/>
            <w:noWrap/>
            <w:hideMark/>
          </w:tcPr>
          <w:p w14:paraId="301C884B"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59.02</w:t>
            </w:r>
          </w:p>
        </w:tc>
        <w:tc>
          <w:tcPr>
            <w:tcW w:w="1223" w:type="dxa"/>
            <w:tcBorders>
              <w:top w:val="single" w:sz="4" w:space="0" w:color="666666"/>
              <w:left w:val="single" w:sz="4" w:space="0" w:color="666666"/>
              <w:bottom w:val="single" w:sz="4" w:space="0" w:color="666666"/>
              <w:right w:val="single" w:sz="4" w:space="0" w:color="666666"/>
            </w:tcBorders>
            <w:shd w:val="clear" w:color="auto" w:fill="auto"/>
            <w:noWrap/>
            <w:hideMark/>
          </w:tcPr>
          <w:p w14:paraId="51A568C1"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302bp</w:t>
            </w:r>
          </w:p>
        </w:tc>
        <w:tc>
          <w:tcPr>
            <w:tcW w:w="1876" w:type="dxa"/>
            <w:tcBorders>
              <w:top w:val="single" w:sz="4" w:space="0" w:color="666666"/>
              <w:left w:val="single" w:sz="4" w:space="0" w:color="666666"/>
              <w:bottom w:val="single" w:sz="4" w:space="0" w:color="666666"/>
              <w:right w:val="single" w:sz="4" w:space="0" w:color="666666"/>
            </w:tcBorders>
            <w:shd w:val="clear" w:color="auto" w:fill="auto"/>
            <w:noWrap/>
            <w:hideMark/>
          </w:tcPr>
          <w:p w14:paraId="51B0A734"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This study</w:t>
            </w:r>
          </w:p>
        </w:tc>
      </w:tr>
      <w:tr w:rsidR="0092091F" w:rsidRPr="00C51113" w14:paraId="211ED899" w14:textId="77777777" w:rsidTr="00677C01">
        <w:trPr>
          <w:trHeight w:hRule="exact" w:val="450"/>
        </w:trPr>
        <w:tc>
          <w:tcPr>
            <w:tcW w:w="2204"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29FE8A9B" w14:textId="77777777" w:rsidR="0092091F" w:rsidRPr="00C51113" w:rsidRDefault="0092091F" w:rsidP="00677C01">
            <w:pPr>
              <w:spacing w:before="240"/>
              <w:jc w:val="both"/>
              <w:rPr>
                <w:rFonts w:ascii="Verdana" w:hAnsi="Verdana"/>
                <w:b/>
                <w:bCs/>
                <w:color w:val="000000"/>
                <w:sz w:val="18"/>
                <w:szCs w:val="18"/>
              </w:rPr>
            </w:pPr>
            <w:r w:rsidRPr="00C51113">
              <w:rPr>
                <w:rFonts w:ascii="Verdana" w:hAnsi="Verdana"/>
                <w:b/>
                <w:bCs/>
                <w:color w:val="000000"/>
                <w:sz w:val="18"/>
                <w:szCs w:val="18"/>
              </w:rPr>
              <w:t>phaI_qPCR_for1</w:t>
            </w:r>
          </w:p>
        </w:tc>
        <w:tc>
          <w:tcPr>
            <w:tcW w:w="3679"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251835B4"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CAG CCT TGG CGC CTC GGA AA</w:t>
            </w:r>
          </w:p>
        </w:tc>
        <w:tc>
          <w:tcPr>
            <w:tcW w:w="897"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2CD0EDC1"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66.6</w:t>
            </w:r>
          </w:p>
        </w:tc>
        <w:tc>
          <w:tcPr>
            <w:tcW w:w="1223"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663DDF83" w14:textId="77777777" w:rsidR="0092091F" w:rsidRPr="00C51113" w:rsidRDefault="0092091F" w:rsidP="00677C01">
            <w:pPr>
              <w:spacing w:before="240"/>
              <w:jc w:val="both"/>
              <w:rPr>
                <w:rFonts w:ascii="Verdana" w:hAnsi="Verdana"/>
                <w:color w:val="000000"/>
                <w:sz w:val="18"/>
                <w:szCs w:val="18"/>
              </w:rPr>
            </w:pPr>
          </w:p>
        </w:tc>
        <w:tc>
          <w:tcPr>
            <w:tcW w:w="1876"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6EB49757"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noProof/>
                <w:color w:val="000000"/>
                <w:sz w:val="18"/>
                <w:szCs w:val="18"/>
              </w:rPr>
              <w:t>Cude et al., 2015</w:t>
            </w:r>
          </w:p>
        </w:tc>
      </w:tr>
      <w:tr w:rsidR="0092091F" w:rsidRPr="00C51113" w14:paraId="77143748" w14:textId="77777777" w:rsidTr="00677C01">
        <w:trPr>
          <w:trHeight w:hRule="exact" w:val="450"/>
        </w:trPr>
        <w:tc>
          <w:tcPr>
            <w:tcW w:w="2204" w:type="dxa"/>
            <w:tcBorders>
              <w:top w:val="single" w:sz="4" w:space="0" w:color="666666"/>
              <w:left w:val="single" w:sz="4" w:space="0" w:color="666666"/>
              <w:bottom w:val="single" w:sz="4" w:space="0" w:color="666666"/>
              <w:right w:val="single" w:sz="4" w:space="0" w:color="666666"/>
            </w:tcBorders>
            <w:shd w:val="clear" w:color="auto" w:fill="auto"/>
            <w:noWrap/>
            <w:hideMark/>
          </w:tcPr>
          <w:p w14:paraId="37681FF4" w14:textId="77777777" w:rsidR="0092091F" w:rsidRPr="00C51113" w:rsidRDefault="0092091F" w:rsidP="00677C01">
            <w:pPr>
              <w:spacing w:before="240"/>
              <w:jc w:val="both"/>
              <w:rPr>
                <w:rFonts w:ascii="Verdana" w:hAnsi="Verdana"/>
                <w:b/>
                <w:bCs/>
                <w:color w:val="000000"/>
                <w:sz w:val="18"/>
                <w:szCs w:val="18"/>
              </w:rPr>
            </w:pPr>
            <w:r w:rsidRPr="00C51113">
              <w:rPr>
                <w:rFonts w:ascii="Verdana" w:hAnsi="Verdana"/>
                <w:b/>
                <w:bCs/>
                <w:color w:val="000000"/>
                <w:sz w:val="18"/>
                <w:szCs w:val="18"/>
              </w:rPr>
              <w:t>phaI_qPCR_rev1</w:t>
            </w:r>
          </w:p>
        </w:tc>
        <w:tc>
          <w:tcPr>
            <w:tcW w:w="3679" w:type="dxa"/>
            <w:tcBorders>
              <w:top w:val="single" w:sz="4" w:space="0" w:color="666666"/>
              <w:left w:val="single" w:sz="4" w:space="0" w:color="666666"/>
              <w:bottom w:val="single" w:sz="4" w:space="0" w:color="666666"/>
              <w:right w:val="single" w:sz="4" w:space="0" w:color="666666"/>
            </w:tcBorders>
            <w:shd w:val="clear" w:color="auto" w:fill="auto"/>
            <w:noWrap/>
            <w:hideMark/>
          </w:tcPr>
          <w:p w14:paraId="309E9A39"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TGC AGC GGA GCG AAT TGC GA</w:t>
            </w:r>
          </w:p>
        </w:tc>
        <w:tc>
          <w:tcPr>
            <w:tcW w:w="897" w:type="dxa"/>
            <w:tcBorders>
              <w:top w:val="single" w:sz="4" w:space="0" w:color="666666"/>
              <w:left w:val="single" w:sz="4" w:space="0" w:color="666666"/>
              <w:bottom w:val="single" w:sz="4" w:space="0" w:color="666666"/>
              <w:right w:val="single" w:sz="4" w:space="0" w:color="666666"/>
            </w:tcBorders>
            <w:shd w:val="clear" w:color="auto" w:fill="auto"/>
            <w:noWrap/>
            <w:hideMark/>
          </w:tcPr>
          <w:p w14:paraId="4F8F5A97"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68.6</w:t>
            </w:r>
          </w:p>
        </w:tc>
        <w:tc>
          <w:tcPr>
            <w:tcW w:w="1223" w:type="dxa"/>
            <w:tcBorders>
              <w:top w:val="single" w:sz="4" w:space="0" w:color="666666"/>
              <w:left w:val="single" w:sz="4" w:space="0" w:color="666666"/>
              <w:bottom w:val="single" w:sz="4" w:space="0" w:color="666666"/>
              <w:right w:val="single" w:sz="4" w:space="0" w:color="666666"/>
            </w:tcBorders>
            <w:shd w:val="clear" w:color="auto" w:fill="auto"/>
            <w:noWrap/>
            <w:hideMark/>
          </w:tcPr>
          <w:p w14:paraId="4993438C"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216bp</w:t>
            </w:r>
          </w:p>
        </w:tc>
        <w:tc>
          <w:tcPr>
            <w:tcW w:w="1876" w:type="dxa"/>
            <w:tcBorders>
              <w:top w:val="single" w:sz="4" w:space="0" w:color="666666"/>
              <w:left w:val="single" w:sz="4" w:space="0" w:color="666666"/>
              <w:bottom w:val="single" w:sz="4" w:space="0" w:color="666666"/>
              <w:right w:val="single" w:sz="4" w:space="0" w:color="666666"/>
            </w:tcBorders>
            <w:shd w:val="clear" w:color="auto" w:fill="auto"/>
            <w:hideMark/>
          </w:tcPr>
          <w:p w14:paraId="319332E5"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Cude et al., 2015</w:t>
            </w:r>
          </w:p>
        </w:tc>
      </w:tr>
      <w:tr w:rsidR="0092091F" w:rsidRPr="00C51113" w14:paraId="0680B015" w14:textId="77777777" w:rsidTr="00677C01">
        <w:trPr>
          <w:trHeight w:hRule="exact" w:val="450"/>
        </w:trPr>
        <w:tc>
          <w:tcPr>
            <w:tcW w:w="2204"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5D99B8EB" w14:textId="77777777" w:rsidR="0092091F" w:rsidRPr="00C51113" w:rsidRDefault="0092091F" w:rsidP="00677C01">
            <w:pPr>
              <w:spacing w:before="240"/>
              <w:jc w:val="both"/>
              <w:rPr>
                <w:rFonts w:ascii="Verdana" w:hAnsi="Verdana"/>
                <w:b/>
                <w:bCs/>
                <w:color w:val="000000"/>
                <w:sz w:val="18"/>
                <w:szCs w:val="18"/>
              </w:rPr>
            </w:pPr>
            <w:r w:rsidRPr="00C51113">
              <w:rPr>
                <w:rFonts w:ascii="Verdana" w:hAnsi="Verdana"/>
                <w:b/>
                <w:bCs/>
                <w:color w:val="000000"/>
                <w:sz w:val="18"/>
                <w:szCs w:val="18"/>
              </w:rPr>
              <w:t>pgaI_qPCR_for1</w:t>
            </w:r>
          </w:p>
        </w:tc>
        <w:tc>
          <w:tcPr>
            <w:tcW w:w="3679"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6D5801A2"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 xml:space="preserve">GGC </w:t>
            </w:r>
            <w:proofErr w:type="spellStart"/>
            <w:r w:rsidRPr="00C51113">
              <w:rPr>
                <w:rFonts w:ascii="Verdana" w:hAnsi="Verdana"/>
                <w:color w:val="000000"/>
                <w:sz w:val="18"/>
                <w:szCs w:val="18"/>
              </w:rPr>
              <w:t>GGC</w:t>
            </w:r>
            <w:proofErr w:type="spellEnd"/>
            <w:r w:rsidRPr="00C51113">
              <w:rPr>
                <w:rFonts w:ascii="Verdana" w:hAnsi="Verdana"/>
                <w:color w:val="000000"/>
                <w:sz w:val="18"/>
                <w:szCs w:val="18"/>
              </w:rPr>
              <w:t xml:space="preserve"> TCC ATG CGG TTT CT</w:t>
            </w:r>
          </w:p>
        </w:tc>
        <w:tc>
          <w:tcPr>
            <w:tcW w:w="897"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6443A420"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66.6</w:t>
            </w:r>
          </w:p>
        </w:tc>
        <w:tc>
          <w:tcPr>
            <w:tcW w:w="1223"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11FC5EA2" w14:textId="77777777" w:rsidR="0092091F" w:rsidRPr="00C51113" w:rsidRDefault="0092091F" w:rsidP="00677C01">
            <w:pPr>
              <w:spacing w:before="240"/>
              <w:jc w:val="both"/>
              <w:rPr>
                <w:rFonts w:ascii="Verdana" w:hAnsi="Verdana"/>
                <w:color w:val="000000"/>
                <w:sz w:val="18"/>
                <w:szCs w:val="18"/>
              </w:rPr>
            </w:pPr>
          </w:p>
        </w:tc>
        <w:tc>
          <w:tcPr>
            <w:tcW w:w="1876"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19C71BC2"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Cude et al., 2015</w:t>
            </w:r>
          </w:p>
        </w:tc>
      </w:tr>
      <w:tr w:rsidR="0092091F" w:rsidRPr="00C51113" w14:paraId="25838BFE" w14:textId="77777777" w:rsidTr="00677C01">
        <w:trPr>
          <w:trHeight w:hRule="exact" w:val="450"/>
        </w:trPr>
        <w:tc>
          <w:tcPr>
            <w:tcW w:w="2204" w:type="dxa"/>
            <w:tcBorders>
              <w:top w:val="single" w:sz="4" w:space="0" w:color="666666"/>
              <w:left w:val="single" w:sz="4" w:space="0" w:color="666666"/>
              <w:bottom w:val="single" w:sz="4" w:space="0" w:color="666666"/>
              <w:right w:val="single" w:sz="4" w:space="0" w:color="666666"/>
            </w:tcBorders>
            <w:shd w:val="clear" w:color="auto" w:fill="auto"/>
            <w:noWrap/>
            <w:hideMark/>
          </w:tcPr>
          <w:p w14:paraId="11EFB780" w14:textId="77777777" w:rsidR="0092091F" w:rsidRPr="00C51113" w:rsidRDefault="0092091F" w:rsidP="00677C01">
            <w:pPr>
              <w:spacing w:before="240"/>
              <w:jc w:val="both"/>
              <w:rPr>
                <w:rFonts w:ascii="Verdana" w:hAnsi="Verdana"/>
                <w:b/>
                <w:bCs/>
                <w:color w:val="000000"/>
                <w:sz w:val="18"/>
                <w:szCs w:val="18"/>
              </w:rPr>
            </w:pPr>
            <w:r w:rsidRPr="00C51113">
              <w:rPr>
                <w:rFonts w:ascii="Verdana" w:hAnsi="Verdana"/>
                <w:b/>
                <w:bCs/>
                <w:color w:val="000000"/>
                <w:sz w:val="18"/>
                <w:szCs w:val="18"/>
              </w:rPr>
              <w:t>pgaI_qPCR_rev1</w:t>
            </w:r>
          </w:p>
        </w:tc>
        <w:tc>
          <w:tcPr>
            <w:tcW w:w="3679" w:type="dxa"/>
            <w:tcBorders>
              <w:top w:val="single" w:sz="4" w:space="0" w:color="666666"/>
              <w:left w:val="single" w:sz="4" w:space="0" w:color="666666"/>
              <w:bottom w:val="single" w:sz="4" w:space="0" w:color="666666"/>
              <w:right w:val="single" w:sz="4" w:space="0" w:color="666666"/>
            </w:tcBorders>
            <w:shd w:val="clear" w:color="auto" w:fill="auto"/>
            <w:noWrap/>
            <w:hideMark/>
          </w:tcPr>
          <w:p w14:paraId="345F60E0"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CCT GCT GCG ATC CTG CCC TG</w:t>
            </w:r>
          </w:p>
        </w:tc>
        <w:tc>
          <w:tcPr>
            <w:tcW w:w="897" w:type="dxa"/>
            <w:tcBorders>
              <w:top w:val="single" w:sz="4" w:space="0" w:color="666666"/>
              <w:left w:val="single" w:sz="4" w:space="0" w:color="666666"/>
              <w:bottom w:val="single" w:sz="4" w:space="0" w:color="666666"/>
              <w:right w:val="single" w:sz="4" w:space="0" w:color="666666"/>
            </w:tcBorders>
            <w:shd w:val="clear" w:color="auto" w:fill="auto"/>
            <w:noWrap/>
            <w:hideMark/>
          </w:tcPr>
          <w:p w14:paraId="4A142DC4"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64.5</w:t>
            </w:r>
          </w:p>
        </w:tc>
        <w:tc>
          <w:tcPr>
            <w:tcW w:w="1223" w:type="dxa"/>
            <w:tcBorders>
              <w:top w:val="single" w:sz="4" w:space="0" w:color="666666"/>
              <w:left w:val="single" w:sz="4" w:space="0" w:color="666666"/>
              <w:bottom w:val="single" w:sz="4" w:space="0" w:color="666666"/>
              <w:right w:val="single" w:sz="4" w:space="0" w:color="666666"/>
            </w:tcBorders>
            <w:shd w:val="clear" w:color="auto" w:fill="auto"/>
            <w:noWrap/>
            <w:hideMark/>
          </w:tcPr>
          <w:p w14:paraId="032CA17B"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155bp</w:t>
            </w:r>
          </w:p>
        </w:tc>
        <w:tc>
          <w:tcPr>
            <w:tcW w:w="1876" w:type="dxa"/>
            <w:tcBorders>
              <w:top w:val="single" w:sz="4" w:space="0" w:color="666666"/>
              <w:left w:val="single" w:sz="4" w:space="0" w:color="666666"/>
              <w:bottom w:val="single" w:sz="4" w:space="0" w:color="666666"/>
              <w:right w:val="single" w:sz="4" w:space="0" w:color="666666"/>
            </w:tcBorders>
            <w:shd w:val="clear" w:color="auto" w:fill="auto"/>
            <w:hideMark/>
          </w:tcPr>
          <w:p w14:paraId="623BA706"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Cude et al., 2012</w:t>
            </w:r>
          </w:p>
        </w:tc>
      </w:tr>
      <w:tr w:rsidR="0092091F" w:rsidRPr="00C51113" w14:paraId="10820BFA" w14:textId="77777777" w:rsidTr="00677C01">
        <w:trPr>
          <w:trHeight w:hRule="exact" w:val="450"/>
        </w:trPr>
        <w:tc>
          <w:tcPr>
            <w:tcW w:w="2204"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429E4E97" w14:textId="77777777" w:rsidR="0092091F" w:rsidRPr="00C51113" w:rsidRDefault="0092091F" w:rsidP="00677C01">
            <w:pPr>
              <w:spacing w:before="240"/>
              <w:jc w:val="both"/>
              <w:rPr>
                <w:rFonts w:ascii="Verdana" w:hAnsi="Verdana"/>
                <w:b/>
                <w:bCs/>
                <w:color w:val="000000"/>
                <w:sz w:val="18"/>
                <w:szCs w:val="18"/>
              </w:rPr>
            </w:pPr>
            <w:proofErr w:type="spellStart"/>
            <w:r w:rsidRPr="00C51113">
              <w:rPr>
                <w:rFonts w:ascii="Verdana" w:hAnsi="Verdana"/>
                <w:b/>
                <w:bCs/>
                <w:color w:val="000000"/>
                <w:sz w:val="18"/>
                <w:szCs w:val="18"/>
              </w:rPr>
              <w:t>qPCR_igiD_for</w:t>
            </w:r>
            <w:proofErr w:type="spellEnd"/>
          </w:p>
        </w:tc>
        <w:tc>
          <w:tcPr>
            <w:tcW w:w="3679"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4E39BCFD"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GGT CAG AAA GGA CGC GTC GCG G</w:t>
            </w:r>
          </w:p>
        </w:tc>
        <w:tc>
          <w:tcPr>
            <w:tcW w:w="897"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1814105A"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70.1</w:t>
            </w:r>
          </w:p>
        </w:tc>
        <w:tc>
          <w:tcPr>
            <w:tcW w:w="1223"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54C40963" w14:textId="77777777" w:rsidR="0092091F" w:rsidRPr="00C51113" w:rsidRDefault="0092091F" w:rsidP="00677C01">
            <w:pPr>
              <w:spacing w:before="240"/>
              <w:jc w:val="both"/>
              <w:rPr>
                <w:rFonts w:ascii="Verdana" w:hAnsi="Verdana"/>
                <w:color w:val="000000"/>
                <w:sz w:val="18"/>
                <w:szCs w:val="18"/>
              </w:rPr>
            </w:pPr>
          </w:p>
        </w:tc>
        <w:tc>
          <w:tcPr>
            <w:tcW w:w="1876"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7FA8F9BF"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Cude et al., 2012</w:t>
            </w:r>
          </w:p>
        </w:tc>
      </w:tr>
      <w:tr w:rsidR="0092091F" w:rsidRPr="00C51113" w14:paraId="3562694E" w14:textId="77777777" w:rsidTr="00677C01">
        <w:trPr>
          <w:trHeight w:hRule="exact" w:val="450"/>
        </w:trPr>
        <w:tc>
          <w:tcPr>
            <w:tcW w:w="2204" w:type="dxa"/>
            <w:tcBorders>
              <w:top w:val="single" w:sz="4" w:space="0" w:color="666666"/>
              <w:left w:val="single" w:sz="4" w:space="0" w:color="666666"/>
              <w:bottom w:val="single" w:sz="4" w:space="0" w:color="666666"/>
              <w:right w:val="single" w:sz="4" w:space="0" w:color="666666"/>
            </w:tcBorders>
            <w:shd w:val="clear" w:color="auto" w:fill="auto"/>
            <w:noWrap/>
            <w:hideMark/>
          </w:tcPr>
          <w:p w14:paraId="68122566" w14:textId="77777777" w:rsidR="0092091F" w:rsidRPr="00C51113" w:rsidRDefault="0092091F" w:rsidP="00677C01">
            <w:pPr>
              <w:spacing w:before="240"/>
              <w:jc w:val="both"/>
              <w:rPr>
                <w:rFonts w:ascii="Verdana" w:hAnsi="Verdana"/>
                <w:b/>
                <w:bCs/>
                <w:color w:val="000000"/>
                <w:sz w:val="18"/>
                <w:szCs w:val="18"/>
              </w:rPr>
            </w:pPr>
            <w:proofErr w:type="spellStart"/>
            <w:r w:rsidRPr="00C51113">
              <w:rPr>
                <w:rFonts w:ascii="Verdana" w:hAnsi="Verdana"/>
                <w:b/>
                <w:bCs/>
                <w:color w:val="000000"/>
                <w:sz w:val="18"/>
                <w:szCs w:val="18"/>
              </w:rPr>
              <w:t>qPCR_igiD_rev</w:t>
            </w:r>
            <w:proofErr w:type="spellEnd"/>
          </w:p>
        </w:tc>
        <w:tc>
          <w:tcPr>
            <w:tcW w:w="3679" w:type="dxa"/>
            <w:tcBorders>
              <w:top w:val="single" w:sz="4" w:space="0" w:color="666666"/>
              <w:left w:val="single" w:sz="4" w:space="0" w:color="666666"/>
              <w:bottom w:val="single" w:sz="4" w:space="0" w:color="666666"/>
              <w:right w:val="single" w:sz="4" w:space="0" w:color="666666"/>
            </w:tcBorders>
            <w:shd w:val="clear" w:color="auto" w:fill="auto"/>
            <w:noWrap/>
            <w:hideMark/>
          </w:tcPr>
          <w:p w14:paraId="1B31A102"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AGC GCG CGA TGC CGA GCT GAT C</w:t>
            </w:r>
          </w:p>
        </w:tc>
        <w:tc>
          <w:tcPr>
            <w:tcW w:w="897" w:type="dxa"/>
            <w:tcBorders>
              <w:top w:val="single" w:sz="4" w:space="0" w:color="666666"/>
              <w:left w:val="single" w:sz="4" w:space="0" w:color="666666"/>
              <w:bottom w:val="single" w:sz="4" w:space="0" w:color="666666"/>
              <w:right w:val="single" w:sz="4" w:space="0" w:color="666666"/>
            </w:tcBorders>
            <w:shd w:val="clear" w:color="auto" w:fill="auto"/>
            <w:noWrap/>
            <w:hideMark/>
          </w:tcPr>
          <w:p w14:paraId="59FA933B"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70.1</w:t>
            </w:r>
          </w:p>
        </w:tc>
        <w:tc>
          <w:tcPr>
            <w:tcW w:w="1223" w:type="dxa"/>
            <w:tcBorders>
              <w:top w:val="single" w:sz="4" w:space="0" w:color="666666"/>
              <w:left w:val="single" w:sz="4" w:space="0" w:color="666666"/>
              <w:bottom w:val="single" w:sz="4" w:space="0" w:color="666666"/>
              <w:right w:val="single" w:sz="4" w:space="0" w:color="666666"/>
            </w:tcBorders>
            <w:shd w:val="clear" w:color="auto" w:fill="auto"/>
            <w:noWrap/>
            <w:hideMark/>
          </w:tcPr>
          <w:p w14:paraId="7CEF1F8A"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229bp</w:t>
            </w:r>
          </w:p>
        </w:tc>
        <w:tc>
          <w:tcPr>
            <w:tcW w:w="1876" w:type="dxa"/>
            <w:tcBorders>
              <w:top w:val="single" w:sz="4" w:space="0" w:color="666666"/>
              <w:left w:val="single" w:sz="4" w:space="0" w:color="666666"/>
              <w:bottom w:val="single" w:sz="4" w:space="0" w:color="666666"/>
              <w:right w:val="single" w:sz="4" w:space="0" w:color="666666"/>
            </w:tcBorders>
            <w:shd w:val="clear" w:color="auto" w:fill="auto"/>
            <w:hideMark/>
          </w:tcPr>
          <w:p w14:paraId="7C99DA8E"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Cude et al., 2012</w:t>
            </w:r>
          </w:p>
        </w:tc>
      </w:tr>
      <w:tr w:rsidR="0092091F" w:rsidRPr="00C51113" w14:paraId="142E97CB" w14:textId="77777777" w:rsidTr="00677C01">
        <w:trPr>
          <w:trHeight w:hRule="exact" w:val="450"/>
        </w:trPr>
        <w:tc>
          <w:tcPr>
            <w:tcW w:w="2204"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1B6EA895" w14:textId="77777777" w:rsidR="0092091F" w:rsidRPr="00C51113" w:rsidRDefault="0092091F" w:rsidP="00677C01">
            <w:pPr>
              <w:spacing w:before="240"/>
              <w:jc w:val="both"/>
              <w:rPr>
                <w:rFonts w:ascii="Verdana" w:hAnsi="Verdana"/>
                <w:b/>
                <w:bCs/>
                <w:sz w:val="18"/>
                <w:szCs w:val="18"/>
              </w:rPr>
            </w:pPr>
            <w:r w:rsidRPr="00C51113">
              <w:rPr>
                <w:rFonts w:ascii="Verdana" w:hAnsi="Verdana"/>
                <w:b/>
                <w:bCs/>
                <w:sz w:val="18"/>
                <w:szCs w:val="18"/>
              </w:rPr>
              <w:t>pgaR_qPCR_for1</w:t>
            </w:r>
          </w:p>
        </w:tc>
        <w:tc>
          <w:tcPr>
            <w:tcW w:w="3679"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7F462E66" w14:textId="77777777" w:rsidR="0092091F" w:rsidRPr="00C51113" w:rsidRDefault="0092091F" w:rsidP="00677C01">
            <w:pPr>
              <w:spacing w:before="240"/>
              <w:jc w:val="both"/>
              <w:rPr>
                <w:rFonts w:ascii="Verdana" w:hAnsi="Verdana"/>
                <w:sz w:val="18"/>
                <w:szCs w:val="18"/>
              </w:rPr>
            </w:pPr>
            <w:r w:rsidRPr="00C51113">
              <w:rPr>
                <w:rFonts w:ascii="Verdana" w:hAnsi="Verdana"/>
                <w:sz w:val="18"/>
                <w:szCs w:val="18"/>
              </w:rPr>
              <w:t>ATC AGG GGT CCG AAC GGC CA</w:t>
            </w:r>
          </w:p>
        </w:tc>
        <w:tc>
          <w:tcPr>
            <w:tcW w:w="897"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426EE9D4" w14:textId="77777777" w:rsidR="0092091F" w:rsidRPr="00C51113" w:rsidRDefault="0092091F" w:rsidP="00677C01">
            <w:pPr>
              <w:spacing w:before="240"/>
              <w:jc w:val="both"/>
              <w:rPr>
                <w:rFonts w:ascii="Verdana" w:hAnsi="Verdana"/>
                <w:sz w:val="18"/>
                <w:szCs w:val="18"/>
              </w:rPr>
            </w:pPr>
            <w:r w:rsidRPr="00C51113">
              <w:rPr>
                <w:rFonts w:ascii="Verdana" w:hAnsi="Verdana"/>
                <w:sz w:val="18"/>
                <w:szCs w:val="18"/>
              </w:rPr>
              <w:t>66.6</w:t>
            </w:r>
          </w:p>
        </w:tc>
        <w:tc>
          <w:tcPr>
            <w:tcW w:w="1223"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340D3DB6" w14:textId="77777777" w:rsidR="0092091F" w:rsidRPr="00C51113" w:rsidRDefault="0092091F" w:rsidP="00677C01">
            <w:pPr>
              <w:spacing w:before="240"/>
              <w:jc w:val="both"/>
              <w:rPr>
                <w:rFonts w:ascii="Verdana" w:hAnsi="Verdana"/>
                <w:sz w:val="18"/>
                <w:szCs w:val="18"/>
              </w:rPr>
            </w:pPr>
          </w:p>
        </w:tc>
        <w:tc>
          <w:tcPr>
            <w:tcW w:w="1876" w:type="dxa"/>
            <w:tcBorders>
              <w:top w:val="single" w:sz="4" w:space="0" w:color="666666"/>
              <w:left w:val="single" w:sz="4" w:space="0" w:color="666666"/>
              <w:bottom w:val="single" w:sz="4" w:space="0" w:color="666666"/>
              <w:right w:val="single" w:sz="4" w:space="0" w:color="666666"/>
            </w:tcBorders>
            <w:shd w:val="clear" w:color="auto" w:fill="CCCCCC"/>
            <w:noWrap/>
          </w:tcPr>
          <w:p w14:paraId="7B0544D5" w14:textId="77777777" w:rsidR="0092091F" w:rsidRPr="00C51113" w:rsidRDefault="0092091F" w:rsidP="00677C01">
            <w:pPr>
              <w:spacing w:before="240"/>
              <w:jc w:val="both"/>
              <w:rPr>
                <w:rFonts w:ascii="Verdana" w:hAnsi="Verdana"/>
                <w:sz w:val="18"/>
                <w:szCs w:val="18"/>
              </w:rPr>
            </w:pPr>
            <w:r w:rsidRPr="00C51113">
              <w:rPr>
                <w:rFonts w:ascii="Verdana" w:hAnsi="Verdana"/>
                <w:sz w:val="18"/>
                <w:szCs w:val="18"/>
              </w:rPr>
              <w:t>This study</w:t>
            </w:r>
          </w:p>
        </w:tc>
      </w:tr>
      <w:tr w:rsidR="0092091F" w:rsidRPr="00C51113" w14:paraId="726AE0A3" w14:textId="77777777" w:rsidTr="00677C01">
        <w:trPr>
          <w:trHeight w:hRule="exact" w:val="450"/>
        </w:trPr>
        <w:tc>
          <w:tcPr>
            <w:tcW w:w="2204" w:type="dxa"/>
            <w:tcBorders>
              <w:top w:val="single" w:sz="4" w:space="0" w:color="666666"/>
              <w:left w:val="single" w:sz="4" w:space="0" w:color="666666"/>
              <w:bottom w:val="single" w:sz="4" w:space="0" w:color="666666"/>
              <w:right w:val="single" w:sz="4" w:space="0" w:color="666666"/>
            </w:tcBorders>
            <w:shd w:val="clear" w:color="auto" w:fill="auto"/>
            <w:noWrap/>
            <w:hideMark/>
          </w:tcPr>
          <w:p w14:paraId="5A81F653" w14:textId="77777777" w:rsidR="0092091F" w:rsidRPr="00C51113" w:rsidRDefault="0092091F" w:rsidP="00677C01">
            <w:pPr>
              <w:spacing w:before="240"/>
              <w:jc w:val="both"/>
              <w:rPr>
                <w:rFonts w:ascii="Verdana" w:hAnsi="Verdana"/>
                <w:b/>
                <w:bCs/>
                <w:sz w:val="18"/>
                <w:szCs w:val="18"/>
              </w:rPr>
            </w:pPr>
            <w:r w:rsidRPr="00C51113">
              <w:rPr>
                <w:rFonts w:ascii="Verdana" w:hAnsi="Verdana"/>
                <w:b/>
                <w:bCs/>
                <w:sz w:val="18"/>
                <w:szCs w:val="18"/>
              </w:rPr>
              <w:t>pgaR_qPCR_rev1</w:t>
            </w:r>
          </w:p>
        </w:tc>
        <w:tc>
          <w:tcPr>
            <w:tcW w:w="3679" w:type="dxa"/>
            <w:tcBorders>
              <w:top w:val="single" w:sz="4" w:space="0" w:color="666666"/>
              <w:left w:val="single" w:sz="4" w:space="0" w:color="666666"/>
              <w:bottom w:val="single" w:sz="4" w:space="0" w:color="666666"/>
              <w:right w:val="single" w:sz="4" w:space="0" w:color="666666"/>
            </w:tcBorders>
            <w:shd w:val="clear" w:color="auto" w:fill="auto"/>
            <w:noWrap/>
            <w:hideMark/>
          </w:tcPr>
          <w:p w14:paraId="46D3B51B" w14:textId="77777777" w:rsidR="0092091F" w:rsidRPr="00C51113" w:rsidRDefault="0092091F" w:rsidP="00677C01">
            <w:pPr>
              <w:spacing w:before="240"/>
              <w:jc w:val="both"/>
              <w:rPr>
                <w:rFonts w:ascii="Verdana" w:hAnsi="Verdana"/>
                <w:sz w:val="18"/>
                <w:szCs w:val="18"/>
              </w:rPr>
            </w:pPr>
            <w:r w:rsidRPr="00C51113">
              <w:rPr>
                <w:rFonts w:ascii="Verdana" w:hAnsi="Verdana"/>
                <w:sz w:val="18"/>
                <w:szCs w:val="18"/>
              </w:rPr>
              <w:t>CGG CTG TAG CCG ATC GCC AG</w:t>
            </w:r>
          </w:p>
        </w:tc>
        <w:tc>
          <w:tcPr>
            <w:tcW w:w="897" w:type="dxa"/>
            <w:tcBorders>
              <w:top w:val="single" w:sz="4" w:space="0" w:color="666666"/>
              <w:left w:val="single" w:sz="4" w:space="0" w:color="666666"/>
              <w:bottom w:val="single" w:sz="4" w:space="0" w:color="666666"/>
              <w:right w:val="single" w:sz="4" w:space="0" w:color="666666"/>
            </w:tcBorders>
            <w:shd w:val="clear" w:color="auto" w:fill="auto"/>
            <w:noWrap/>
            <w:hideMark/>
          </w:tcPr>
          <w:p w14:paraId="42D79650" w14:textId="77777777" w:rsidR="0092091F" w:rsidRPr="00C51113" w:rsidRDefault="0092091F" w:rsidP="00677C01">
            <w:pPr>
              <w:spacing w:before="240"/>
              <w:jc w:val="both"/>
              <w:rPr>
                <w:rFonts w:ascii="Verdana" w:hAnsi="Verdana"/>
                <w:sz w:val="18"/>
                <w:szCs w:val="18"/>
              </w:rPr>
            </w:pPr>
            <w:r w:rsidRPr="00C51113">
              <w:rPr>
                <w:rFonts w:ascii="Verdana" w:hAnsi="Verdana"/>
                <w:sz w:val="18"/>
                <w:szCs w:val="18"/>
              </w:rPr>
              <w:t>68.6</w:t>
            </w:r>
          </w:p>
        </w:tc>
        <w:tc>
          <w:tcPr>
            <w:tcW w:w="1223" w:type="dxa"/>
            <w:tcBorders>
              <w:top w:val="single" w:sz="4" w:space="0" w:color="666666"/>
              <w:left w:val="single" w:sz="4" w:space="0" w:color="666666"/>
              <w:bottom w:val="single" w:sz="4" w:space="0" w:color="666666"/>
              <w:right w:val="single" w:sz="4" w:space="0" w:color="666666"/>
            </w:tcBorders>
            <w:shd w:val="clear" w:color="auto" w:fill="auto"/>
            <w:noWrap/>
            <w:hideMark/>
          </w:tcPr>
          <w:p w14:paraId="63AE5C2B" w14:textId="77777777" w:rsidR="0092091F" w:rsidRPr="00C51113" w:rsidRDefault="0092091F" w:rsidP="00677C01">
            <w:pPr>
              <w:spacing w:before="240"/>
              <w:jc w:val="both"/>
              <w:rPr>
                <w:rFonts w:ascii="Verdana" w:hAnsi="Verdana"/>
                <w:sz w:val="18"/>
                <w:szCs w:val="18"/>
              </w:rPr>
            </w:pPr>
            <w:r w:rsidRPr="00C51113">
              <w:rPr>
                <w:rFonts w:ascii="Verdana" w:hAnsi="Verdana"/>
                <w:sz w:val="18"/>
                <w:szCs w:val="18"/>
              </w:rPr>
              <w:t>227bp</w:t>
            </w:r>
          </w:p>
        </w:tc>
        <w:tc>
          <w:tcPr>
            <w:tcW w:w="1876" w:type="dxa"/>
            <w:tcBorders>
              <w:top w:val="single" w:sz="4" w:space="0" w:color="666666"/>
              <w:left w:val="single" w:sz="4" w:space="0" w:color="666666"/>
              <w:bottom w:val="single" w:sz="4" w:space="0" w:color="666666"/>
              <w:right w:val="single" w:sz="4" w:space="0" w:color="666666"/>
            </w:tcBorders>
            <w:shd w:val="clear" w:color="auto" w:fill="auto"/>
          </w:tcPr>
          <w:p w14:paraId="3312C70C" w14:textId="77777777" w:rsidR="0092091F" w:rsidRPr="00C51113" w:rsidRDefault="0092091F" w:rsidP="00677C01">
            <w:pPr>
              <w:spacing w:before="240"/>
              <w:jc w:val="both"/>
              <w:rPr>
                <w:rFonts w:ascii="Verdana" w:hAnsi="Verdana"/>
                <w:sz w:val="18"/>
                <w:szCs w:val="18"/>
              </w:rPr>
            </w:pPr>
            <w:r w:rsidRPr="00C51113">
              <w:rPr>
                <w:rFonts w:ascii="Verdana" w:hAnsi="Verdana"/>
                <w:sz w:val="18"/>
                <w:szCs w:val="18"/>
              </w:rPr>
              <w:t>This study</w:t>
            </w:r>
          </w:p>
        </w:tc>
      </w:tr>
      <w:tr w:rsidR="0092091F" w:rsidRPr="00C51113" w14:paraId="7576DB54" w14:textId="77777777" w:rsidTr="00677C01">
        <w:trPr>
          <w:trHeight w:hRule="exact" w:val="450"/>
        </w:trPr>
        <w:tc>
          <w:tcPr>
            <w:tcW w:w="2204"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0938BFC9" w14:textId="77777777" w:rsidR="0092091F" w:rsidRPr="00C51113" w:rsidRDefault="0092091F" w:rsidP="00677C01">
            <w:pPr>
              <w:spacing w:before="240"/>
              <w:jc w:val="both"/>
              <w:rPr>
                <w:rFonts w:ascii="Verdana" w:hAnsi="Verdana"/>
                <w:b/>
                <w:bCs/>
                <w:sz w:val="18"/>
                <w:szCs w:val="18"/>
              </w:rPr>
            </w:pPr>
            <w:r w:rsidRPr="00C51113">
              <w:rPr>
                <w:rFonts w:ascii="Verdana" w:hAnsi="Verdana"/>
                <w:b/>
                <w:bCs/>
                <w:sz w:val="18"/>
                <w:szCs w:val="18"/>
              </w:rPr>
              <w:t>phaR_qPCR_for1</w:t>
            </w:r>
          </w:p>
        </w:tc>
        <w:tc>
          <w:tcPr>
            <w:tcW w:w="3679"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61222B27" w14:textId="77777777" w:rsidR="0092091F" w:rsidRPr="00C51113" w:rsidRDefault="0092091F" w:rsidP="00677C01">
            <w:pPr>
              <w:spacing w:before="240"/>
              <w:jc w:val="both"/>
              <w:rPr>
                <w:rFonts w:ascii="Verdana" w:hAnsi="Verdana"/>
                <w:sz w:val="18"/>
                <w:szCs w:val="18"/>
              </w:rPr>
            </w:pPr>
            <w:r w:rsidRPr="00C51113">
              <w:rPr>
                <w:rFonts w:ascii="Verdana" w:hAnsi="Verdana"/>
                <w:sz w:val="18"/>
                <w:szCs w:val="18"/>
              </w:rPr>
              <w:t>GGT GGG CTT TGA CGG GGT CG</w:t>
            </w:r>
          </w:p>
        </w:tc>
        <w:tc>
          <w:tcPr>
            <w:tcW w:w="897"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76DE6CA7" w14:textId="77777777" w:rsidR="0092091F" w:rsidRPr="00C51113" w:rsidRDefault="0092091F" w:rsidP="00677C01">
            <w:pPr>
              <w:spacing w:before="240"/>
              <w:jc w:val="both"/>
              <w:rPr>
                <w:rFonts w:ascii="Verdana" w:hAnsi="Verdana"/>
                <w:sz w:val="18"/>
                <w:szCs w:val="18"/>
              </w:rPr>
            </w:pPr>
            <w:r w:rsidRPr="00C51113">
              <w:rPr>
                <w:rFonts w:ascii="Verdana" w:hAnsi="Verdana"/>
                <w:sz w:val="18"/>
                <w:szCs w:val="18"/>
              </w:rPr>
              <w:t>68.6</w:t>
            </w:r>
          </w:p>
        </w:tc>
        <w:tc>
          <w:tcPr>
            <w:tcW w:w="1223"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4DFB3BAD" w14:textId="77777777" w:rsidR="0092091F" w:rsidRPr="00C51113" w:rsidRDefault="0092091F" w:rsidP="00677C01">
            <w:pPr>
              <w:spacing w:before="240"/>
              <w:jc w:val="both"/>
              <w:rPr>
                <w:rFonts w:ascii="Verdana" w:hAnsi="Verdana"/>
                <w:sz w:val="18"/>
                <w:szCs w:val="18"/>
              </w:rPr>
            </w:pPr>
          </w:p>
        </w:tc>
        <w:tc>
          <w:tcPr>
            <w:tcW w:w="1876" w:type="dxa"/>
            <w:tcBorders>
              <w:top w:val="single" w:sz="4" w:space="0" w:color="666666"/>
              <w:left w:val="single" w:sz="4" w:space="0" w:color="666666"/>
              <w:bottom w:val="single" w:sz="4" w:space="0" w:color="666666"/>
              <w:right w:val="single" w:sz="4" w:space="0" w:color="666666"/>
            </w:tcBorders>
            <w:shd w:val="clear" w:color="auto" w:fill="CCCCCC"/>
            <w:noWrap/>
          </w:tcPr>
          <w:p w14:paraId="3A2D432D" w14:textId="77777777" w:rsidR="0092091F" w:rsidRPr="00C51113" w:rsidRDefault="0092091F" w:rsidP="00677C01">
            <w:pPr>
              <w:spacing w:before="240"/>
              <w:jc w:val="both"/>
              <w:rPr>
                <w:rFonts w:ascii="Verdana" w:hAnsi="Verdana"/>
                <w:sz w:val="18"/>
                <w:szCs w:val="18"/>
              </w:rPr>
            </w:pPr>
            <w:r w:rsidRPr="00C51113">
              <w:rPr>
                <w:rFonts w:ascii="Verdana" w:hAnsi="Verdana"/>
                <w:sz w:val="18"/>
                <w:szCs w:val="18"/>
              </w:rPr>
              <w:t>This study</w:t>
            </w:r>
          </w:p>
        </w:tc>
      </w:tr>
      <w:tr w:rsidR="0092091F" w:rsidRPr="00C51113" w14:paraId="6C29A2A5" w14:textId="77777777" w:rsidTr="00677C01">
        <w:trPr>
          <w:trHeight w:hRule="exact" w:val="450"/>
        </w:trPr>
        <w:tc>
          <w:tcPr>
            <w:tcW w:w="2204" w:type="dxa"/>
            <w:tcBorders>
              <w:top w:val="single" w:sz="4" w:space="0" w:color="666666"/>
              <w:left w:val="single" w:sz="4" w:space="0" w:color="666666"/>
              <w:bottom w:val="single" w:sz="4" w:space="0" w:color="666666"/>
              <w:right w:val="single" w:sz="4" w:space="0" w:color="666666"/>
            </w:tcBorders>
            <w:shd w:val="clear" w:color="auto" w:fill="auto"/>
            <w:noWrap/>
            <w:hideMark/>
          </w:tcPr>
          <w:p w14:paraId="6BC91861" w14:textId="77777777" w:rsidR="0092091F" w:rsidRPr="00C51113" w:rsidRDefault="0092091F" w:rsidP="00677C01">
            <w:pPr>
              <w:spacing w:before="240"/>
              <w:jc w:val="both"/>
              <w:rPr>
                <w:rFonts w:ascii="Verdana" w:hAnsi="Verdana"/>
                <w:b/>
                <w:bCs/>
                <w:sz w:val="18"/>
                <w:szCs w:val="18"/>
              </w:rPr>
            </w:pPr>
            <w:r w:rsidRPr="00C51113">
              <w:rPr>
                <w:rFonts w:ascii="Verdana" w:hAnsi="Verdana"/>
                <w:b/>
                <w:bCs/>
                <w:sz w:val="18"/>
                <w:szCs w:val="18"/>
              </w:rPr>
              <w:t>phaR_qPCR_rev1</w:t>
            </w:r>
          </w:p>
        </w:tc>
        <w:tc>
          <w:tcPr>
            <w:tcW w:w="3679" w:type="dxa"/>
            <w:tcBorders>
              <w:top w:val="single" w:sz="4" w:space="0" w:color="666666"/>
              <w:left w:val="single" w:sz="4" w:space="0" w:color="666666"/>
              <w:bottom w:val="single" w:sz="4" w:space="0" w:color="666666"/>
              <w:right w:val="single" w:sz="4" w:space="0" w:color="666666"/>
            </w:tcBorders>
            <w:shd w:val="clear" w:color="auto" w:fill="auto"/>
            <w:noWrap/>
            <w:hideMark/>
          </w:tcPr>
          <w:p w14:paraId="1CB92C9D" w14:textId="77777777" w:rsidR="0092091F" w:rsidRPr="00C51113" w:rsidRDefault="0092091F" w:rsidP="00677C01">
            <w:pPr>
              <w:spacing w:before="240"/>
              <w:jc w:val="both"/>
              <w:rPr>
                <w:rFonts w:ascii="Verdana" w:hAnsi="Verdana"/>
                <w:sz w:val="18"/>
                <w:szCs w:val="18"/>
              </w:rPr>
            </w:pPr>
            <w:r w:rsidRPr="00C51113">
              <w:rPr>
                <w:rFonts w:ascii="Verdana" w:hAnsi="Verdana"/>
                <w:sz w:val="18"/>
                <w:szCs w:val="18"/>
              </w:rPr>
              <w:t>AGC CGC TCC AGC TCC TTC CA</w:t>
            </w:r>
          </w:p>
        </w:tc>
        <w:tc>
          <w:tcPr>
            <w:tcW w:w="897" w:type="dxa"/>
            <w:tcBorders>
              <w:top w:val="single" w:sz="4" w:space="0" w:color="666666"/>
              <w:left w:val="single" w:sz="4" w:space="0" w:color="666666"/>
              <w:bottom w:val="single" w:sz="4" w:space="0" w:color="666666"/>
              <w:right w:val="single" w:sz="4" w:space="0" w:color="666666"/>
            </w:tcBorders>
            <w:shd w:val="clear" w:color="auto" w:fill="auto"/>
            <w:noWrap/>
            <w:hideMark/>
          </w:tcPr>
          <w:p w14:paraId="06F141C1" w14:textId="77777777" w:rsidR="0092091F" w:rsidRPr="00C51113" w:rsidRDefault="0092091F" w:rsidP="00677C01">
            <w:pPr>
              <w:spacing w:before="240"/>
              <w:jc w:val="both"/>
              <w:rPr>
                <w:rFonts w:ascii="Verdana" w:hAnsi="Verdana"/>
                <w:sz w:val="18"/>
                <w:szCs w:val="18"/>
              </w:rPr>
            </w:pPr>
            <w:r w:rsidRPr="00C51113">
              <w:rPr>
                <w:rFonts w:ascii="Verdana" w:hAnsi="Verdana"/>
                <w:sz w:val="18"/>
                <w:szCs w:val="18"/>
              </w:rPr>
              <w:t>66.6</w:t>
            </w:r>
          </w:p>
        </w:tc>
        <w:tc>
          <w:tcPr>
            <w:tcW w:w="1223" w:type="dxa"/>
            <w:tcBorders>
              <w:top w:val="single" w:sz="4" w:space="0" w:color="666666"/>
              <w:left w:val="single" w:sz="4" w:space="0" w:color="666666"/>
              <w:bottom w:val="single" w:sz="4" w:space="0" w:color="666666"/>
              <w:right w:val="single" w:sz="4" w:space="0" w:color="666666"/>
            </w:tcBorders>
            <w:shd w:val="clear" w:color="auto" w:fill="auto"/>
            <w:noWrap/>
            <w:hideMark/>
          </w:tcPr>
          <w:p w14:paraId="70743DDC" w14:textId="77777777" w:rsidR="0092091F" w:rsidRPr="00C51113" w:rsidRDefault="0092091F" w:rsidP="00677C01">
            <w:pPr>
              <w:spacing w:before="240"/>
              <w:jc w:val="both"/>
              <w:rPr>
                <w:rFonts w:ascii="Verdana" w:hAnsi="Verdana"/>
                <w:sz w:val="18"/>
                <w:szCs w:val="18"/>
              </w:rPr>
            </w:pPr>
            <w:r w:rsidRPr="00C51113">
              <w:rPr>
                <w:rFonts w:ascii="Verdana" w:hAnsi="Verdana"/>
                <w:sz w:val="18"/>
                <w:szCs w:val="18"/>
              </w:rPr>
              <w:t>159bp</w:t>
            </w:r>
          </w:p>
        </w:tc>
        <w:tc>
          <w:tcPr>
            <w:tcW w:w="1876" w:type="dxa"/>
            <w:tcBorders>
              <w:top w:val="single" w:sz="4" w:space="0" w:color="666666"/>
              <w:left w:val="single" w:sz="4" w:space="0" w:color="666666"/>
              <w:bottom w:val="single" w:sz="4" w:space="0" w:color="666666"/>
              <w:right w:val="single" w:sz="4" w:space="0" w:color="666666"/>
            </w:tcBorders>
            <w:shd w:val="clear" w:color="auto" w:fill="auto"/>
          </w:tcPr>
          <w:p w14:paraId="36761C54" w14:textId="77777777" w:rsidR="0092091F" w:rsidRPr="00C51113" w:rsidRDefault="0092091F" w:rsidP="00677C01">
            <w:pPr>
              <w:spacing w:before="240"/>
              <w:jc w:val="both"/>
              <w:rPr>
                <w:rFonts w:ascii="Verdana" w:hAnsi="Verdana"/>
                <w:sz w:val="18"/>
                <w:szCs w:val="18"/>
              </w:rPr>
            </w:pPr>
            <w:r w:rsidRPr="00C51113">
              <w:rPr>
                <w:rFonts w:ascii="Verdana" w:hAnsi="Verdana"/>
                <w:sz w:val="18"/>
                <w:szCs w:val="18"/>
              </w:rPr>
              <w:t>This study</w:t>
            </w:r>
          </w:p>
        </w:tc>
      </w:tr>
      <w:tr w:rsidR="0092091F" w:rsidRPr="00C51113" w14:paraId="3A44F8D8" w14:textId="77777777" w:rsidTr="00677C01">
        <w:trPr>
          <w:trHeight w:hRule="exact" w:val="450"/>
        </w:trPr>
        <w:tc>
          <w:tcPr>
            <w:tcW w:w="2204"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145195DF" w14:textId="77777777" w:rsidR="0092091F" w:rsidRPr="00C51113" w:rsidRDefault="0092091F" w:rsidP="00677C01">
            <w:pPr>
              <w:spacing w:before="240"/>
              <w:jc w:val="both"/>
              <w:rPr>
                <w:rFonts w:ascii="Verdana" w:hAnsi="Verdana"/>
                <w:b/>
                <w:bCs/>
                <w:color w:val="000000"/>
                <w:sz w:val="18"/>
                <w:szCs w:val="18"/>
              </w:rPr>
            </w:pPr>
            <w:proofErr w:type="spellStart"/>
            <w:r w:rsidRPr="00C51113">
              <w:rPr>
                <w:rFonts w:ascii="Verdana" w:hAnsi="Verdana"/>
                <w:b/>
                <w:bCs/>
                <w:color w:val="000000"/>
                <w:sz w:val="18"/>
                <w:szCs w:val="18"/>
              </w:rPr>
              <w:t>phaI_F</w:t>
            </w:r>
            <w:proofErr w:type="spellEnd"/>
          </w:p>
        </w:tc>
        <w:tc>
          <w:tcPr>
            <w:tcW w:w="3679"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18EF3E4B"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CGC AAG CAG AAG CTG GTG GA</w:t>
            </w:r>
          </w:p>
        </w:tc>
        <w:tc>
          <w:tcPr>
            <w:tcW w:w="897"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2D357227"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64.5</w:t>
            </w:r>
          </w:p>
        </w:tc>
        <w:tc>
          <w:tcPr>
            <w:tcW w:w="1223"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766910C4" w14:textId="77777777" w:rsidR="0092091F" w:rsidRPr="00C51113" w:rsidRDefault="0092091F" w:rsidP="00677C01">
            <w:pPr>
              <w:spacing w:before="240"/>
              <w:jc w:val="both"/>
              <w:rPr>
                <w:rFonts w:ascii="Verdana" w:hAnsi="Verdana"/>
                <w:color w:val="000000"/>
                <w:sz w:val="18"/>
                <w:szCs w:val="18"/>
              </w:rPr>
            </w:pPr>
          </w:p>
        </w:tc>
        <w:tc>
          <w:tcPr>
            <w:tcW w:w="1876" w:type="dxa"/>
            <w:tcBorders>
              <w:top w:val="single" w:sz="4" w:space="0" w:color="666666"/>
              <w:left w:val="single" w:sz="4" w:space="0" w:color="666666"/>
              <w:bottom w:val="single" w:sz="4" w:space="0" w:color="666666"/>
              <w:right w:val="single" w:sz="4" w:space="0" w:color="666666"/>
            </w:tcBorders>
            <w:shd w:val="clear" w:color="auto" w:fill="CCCCCC"/>
            <w:noWrap/>
            <w:hideMark/>
          </w:tcPr>
          <w:p w14:paraId="37B51DCC"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This study</w:t>
            </w:r>
          </w:p>
        </w:tc>
      </w:tr>
      <w:tr w:rsidR="0092091F" w:rsidRPr="00C51113" w14:paraId="087B6872" w14:textId="77777777" w:rsidTr="00677C01">
        <w:trPr>
          <w:trHeight w:hRule="exact" w:val="450"/>
        </w:trPr>
        <w:tc>
          <w:tcPr>
            <w:tcW w:w="2204" w:type="dxa"/>
            <w:tcBorders>
              <w:top w:val="single" w:sz="4" w:space="0" w:color="666666"/>
              <w:left w:val="single" w:sz="4" w:space="0" w:color="666666"/>
              <w:bottom w:val="single" w:sz="4" w:space="0" w:color="666666"/>
              <w:right w:val="single" w:sz="4" w:space="0" w:color="666666"/>
            </w:tcBorders>
            <w:shd w:val="clear" w:color="auto" w:fill="auto"/>
            <w:noWrap/>
            <w:hideMark/>
          </w:tcPr>
          <w:p w14:paraId="030B593A" w14:textId="77777777" w:rsidR="0092091F" w:rsidRPr="00C51113" w:rsidRDefault="0092091F" w:rsidP="00677C01">
            <w:pPr>
              <w:spacing w:before="240"/>
              <w:jc w:val="both"/>
              <w:rPr>
                <w:rFonts w:ascii="Verdana" w:hAnsi="Verdana"/>
                <w:b/>
                <w:bCs/>
                <w:color w:val="000000"/>
                <w:sz w:val="18"/>
                <w:szCs w:val="18"/>
              </w:rPr>
            </w:pPr>
            <w:proofErr w:type="spellStart"/>
            <w:r w:rsidRPr="00C51113">
              <w:rPr>
                <w:rFonts w:ascii="Verdana" w:hAnsi="Verdana"/>
                <w:b/>
                <w:bCs/>
                <w:color w:val="000000"/>
                <w:sz w:val="18"/>
                <w:szCs w:val="18"/>
              </w:rPr>
              <w:t>phaI_R</w:t>
            </w:r>
            <w:proofErr w:type="spellEnd"/>
          </w:p>
        </w:tc>
        <w:tc>
          <w:tcPr>
            <w:tcW w:w="3679" w:type="dxa"/>
            <w:tcBorders>
              <w:top w:val="single" w:sz="4" w:space="0" w:color="666666"/>
              <w:left w:val="single" w:sz="4" w:space="0" w:color="666666"/>
              <w:bottom w:val="single" w:sz="4" w:space="0" w:color="666666"/>
              <w:right w:val="single" w:sz="4" w:space="0" w:color="666666"/>
            </w:tcBorders>
            <w:shd w:val="clear" w:color="auto" w:fill="auto"/>
            <w:noWrap/>
            <w:hideMark/>
          </w:tcPr>
          <w:p w14:paraId="656AC8FB"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ATA CCC GAA CCG CCT CAG CA</w:t>
            </w:r>
          </w:p>
        </w:tc>
        <w:tc>
          <w:tcPr>
            <w:tcW w:w="897" w:type="dxa"/>
            <w:tcBorders>
              <w:top w:val="single" w:sz="4" w:space="0" w:color="666666"/>
              <w:left w:val="single" w:sz="4" w:space="0" w:color="666666"/>
              <w:bottom w:val="single" w:sz="4" w:space="0" w:color="666666"/>
              <w:right w:val="single" w:sz="4" w:space="0" w:color="666666"/>
            </w:tcBorders>
            <w:shd w:val="clear" w:color="auto" w:fill="auto"/>
            <w:noWrap/>
            <w:hideMark/>
          </w:tcPr>
          <w:p w14:paraId="4CAD26E4"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64.5</w:t>
            </w:r>
          </w:p>
        </w:tc>
        <w:tc>
          <w:tcPr>
            <w:tcW w:w="1223" w:type="dxa"/>
            <w:tcBorders>
              <w:top w:val="single" w:sz="4" w:space="0" w:color="666666"/>
              <w:left w:val="single" w:sz="4" w:space="0" w:color="666666"/>
              <w:bottom w:val="single" w:sz="4" w:space="0" w:color="666666"/>
              <w:right w:val="single" w:sz="4" w:space="0" w:color="666666"/>
            </w:tcBorders>
            <w:shd w:val="clear" w:color="auto" w:fill="auto"/>
            <w:noWrap/>
            <w:hideMark/>
          </w:tcPr>
          <w:p w14:paraId="29B9E447"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429bp</w:t>
            </w:r>
          </w:p>
        </w:tc>
        <w:tc>
          <w:tcPr>
            <w:tcW w:w="1876" w:type="dxa"/>
            <w:tcBorders>
              <w:top w:val="single" w:sz="4" w:space="0" w:color="666666"/>
              <w:left w:val="single" w:sz="4" w:space="0" w:color="666666"/>
              <w:bottom w:val="single" w:sz="4" w:space="0" w:color="666666"/>
              <w:right w:val="single" w:sz="4" w:space="0" w:color="666666"/>
            </w:tcBorders>
            <w:shd w:val="clear" w:color="auto" w:fill="auto"/>
            <w:noWrap/>
            <w:hideMark/>
          </w:tcPr>
          <w:p w14:paraId="5B773D66" w14:textId="77777777" w:rsidR="0092091F" w:rsidRPr="00C51113" w:rsidRDefault="0092091F" w:rsidP="00677C01">
            <w:pPr>
              <w:keepNext/>
              <w:spacing w:before="240"/>
              <w:jc w:val="both"/>
              <w:rPr>
                <w:rFonts w:ascii="Verdana" w:hAnsi="Verdana"/>
                <w:color w:val="000000"/>
                <w:sz w:val="18"/>
                <w:szCs w:val="18"/>
              </w:rPr>
            </w:pPr>
            <w:r w:rsidRPr="00C51113">
              <w:rPr>
                <w:rFonts w:ascii="Verdana" w:hAnsi="Verdana"/>
                <w:color w:val="000000"/>
                <w:sz w:val="18"/>
                <w:szCs w:val="18"/>
              </w:rPr>
              <w:t>This study</w:t>
            </w:r>
          </w:p>
        </w:tc>
      </w:tr>
      <w:tr w:rsidR="0092091F" w:rsidRPr="00C51113" w14:paraId="219E6FE0" w14:textId="77777777" w:rsidTr="00677C01">
        <w:trPr>
          <w:trHeight w:hRule="exact" w:val="450"/>
        </w:trPr>
        <w:tc>
          <w:tcPr>
            <w:tcW w:w="2204" w:type="dxa"/>
            <w:tcBorders>
              <w:top w:val="single" w:sz="4" w:space="0" w:color="666666"/>
              <w:left w:val="single" w:sz="4" w:space="0" w:color="666666"/>
              <w:bottom w:val="single" w:sz="4" w:space="0" w:color="666666"/>
              <w:right w:val="single" w:sz="4" w:space="0" w:color="666666"/>
            </w:tcBorders>
            <w:shd w:val="clear" w:color="auto" w:fill="CCCCCC"/>
            <w:noWrap/>
          </w:tcPr>
          <w:p w14:paraId="01629098" w14:textId="77777777" w:rsidR="0092091F" w:rsidRPr="00C51113" w:rsidRDefault="0092091F" w:rsidP="00677C01">
            <w:pPr>
              <w:spacing w:before="240"/>
              <w:jc w:val="both"/>
              <w:rPr>
                <w:rFonts w:ascii="Verdana" w:hAnsi="Verdana"/>
                <w:b/>
                <w:bCs/>
                <w:color w:val="000000"/>
                <w:sz w:val="18"/>
                <w:szCs w:val="18"/>
              </w:rPr>
            </w:pPr>
            <w:r w:rsidRPr="00C51113">
              <w:rPr>
                <w:rFonts w:ascii="Verdana" w:hAnsi="Verdana"/>
                <w:b/>
                <w:bCs/>
                <w:color w:val="000000"/>
                <w:sz w:val="18"/>
                <w:szCs w:val="18"/>
              </w:rPr>
              <w:t>pKNOCK_746</w:t>
            </w:r>
          </w:p>
          <w:p w14:paraId="3D51CD05" w14:textId="77777777" w:rsidR="0092091F" w:rsidRPr="00C51113" w:rsidRDefault="0092091F" w:rsidP="00677C01">
            <w:pPr>
              <w:spacing w:before="240"/>
              <w:jc w:val="both"/>
              <w:rPr>
                <w:rFonts w:ascii="Verdana" w:hAnsi="Verdana"/>
                <w:b/>
                <w:bCs/>
                <w:color w:val="000000"/>
                <w:sz w:val="18"/>
                <w:szCs w:val="18"/>
              </w:rPr>
            </w:pPr>
          </w:p>
        </w:tc>
        <w:tc>
          <w:tcPr>
            <w:tcW w:w="3679" w:type="dxa"/>
            <w:tcBorders>
              <w:top w:val="single" w:sz="4" w:space="0" w:color="666666"/>
              <w:left w:val="single" w:sz="4" w:space="0" w:color="666666"/>
              <w:bottom w:val="single" w:sz="4" w:space="0" w:color="666666"/>
              <w:right w:val="single" w:sz="4" w:space="0" w:color="666666"/>
            </w:tcBorders>
            <w:shd w:val="clear" w:color="auto" w:fill="CCCCCC"/>
            <w:noWrap/>
          </w:tcPr>
          <w:p w14:paraId="0632FC55"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CAC TTA ACG GCT GAC ATG G</w:t>
            </w:r>
          </w:p>
          <w:p w14:paraId="6D06FAB4" w14:textId="77777777" w:rsidR="0092091F" w:rsidRPr="00C51113" w:rsidRDefault="0092091F" w:rsidP="00677C01">
            <w:pPr>
              <w:spacing w:before="240"/>
              <w:jc w:val="both"/>
              <w:rPr>
                <w:rFonts w:ascii="Verdana" w:hAnsi="Verdana"/>
                <w:color w:val="000000"/>
                <w:sz w:val="18"/>
                <w:szCs w:val="18"/>
              </w:rPr>
            </w:pPr>
          </w:p>
        </w:tc>
        <w:tc>
          <w:tcPr>
            <w:tcW w:w="897" w:type="dxa"/>
            <w:tcBorders>
              <w:top w:val="single" w:sz="4" w:space="0" w:color="666666"/>
              <w:left w:val="single" w:sz="4" w:space="0" w:color="666666"/>
              <w:bottom w:val="single" w:sz="4" w:space="0" w:color="666666"/>
              <w:right w:val="single" w:sz="4" w:space="0" w:color="666666"/>
            </w:tcBorders>
            <w:shd w:val="clear" w:color="auto" w:fill="CCCCCC"/>
            <w:noWrap/>
          </w:tcPr>
          <w:p w14:paraId="3FCCC393"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52.6</w:t>
            </w:r>
          </w:p>
        </w:tc>
        <w:tc>
          <w:tcPr>
            <w:tcW w:w="1223" w:type="dxa"/>
            <w:tcBorders>
              <w:top w:val="single" w:sz="4" w:space="0" w:color="666666"/>
              <w:left w:val="single" w:sz="4" w:space="0" w:color="666666"/>
              <w:bottom w:val="single" w:sz="4" w:space="0" w:color="666666"/>
              <w:right w:val="single" w:sz="4" w:space="0" w:color="666666"/>
            </w:tcBorders>
            <w:shd w:val="clear" w:color="auto" w:fill="CCCCCC"/>
            <w:noWrap/>
          </w:tcPr>
          <w:p w14:paraId="2D77C5BB" w14:textId="77777777" w:rsidR="0092091F" w:rsidRPr="00C51113" w:rsidRDefault="0092091F" w:rsidP="00677C01">
            <w:pPr>
              <w:spacing w:before="240"/>
              <w:jc w:val="both"/>
              <w:rPr>
                <w:rFonts w:ascii="Verdana" w:hAnsi="Verdana"/>
                <w:color w:val="000000"/>
                <w:sz w:val="18"/>
                <w:szCs w:val="18"/>
              </w:rPr>
            </w:pPr>
          </w:p>
        </w:tc>
        <w:tc>
          <w:tcPr>
            <w:tcW w:w="1876" w:type="dxa"/>
            <w:tcBorders>
              <w:top w:val="single" w:sz="4" w:space="0" w:color="666666"/>
              <w:left w:val="single" w:sz="4" w:space="0" w:color="666666"/>
              <w:bottom w:val="single" w:sz="4" w:space="0" w:color="666666"/>
              <w:right w:val="single" w:sz="4" w:space="0" w:color="666666"/>
            </w:tcBorders>
            <w:shd w:val="clear" w:color="auto" w:fill="CCCCCC"/>
            <w:noWrap/>
          </w:tcPr>
          <w:p w14:paraId="66E95CEA" w14:textId="77777777" w:rsidR="0092091F" w:rsidRPr="00C51113" w:rsidRDefault="0092091F" w:rsidP="00677C01">
            <w:pPr>
              <w:keepNext/>
              <w:spacing w:before="240"/>
              <w:jc w:val="both"/>
              <w:rPr>
                <w:rFonts w:ascii="Verdana" w:hAnsi="Verdana"/>
                <w:color w:val="000000"/>
                <w:sz w:val="18"/>
                <w:szCs w:val="18"/>
              </w:rPr>
            </w:pPr>
            <w:r w:rsidRPr="00C51113">
              <w:rPr>
                <w:rFonts w:ascii="Verdana" w:hAnsi="Verdana"/>
                <w:color w:val="000000"/>
                <w:sz w:val="18"/>
                <w:szCs w:val="18"/>
              </w:rPr>
              <w:t>This study</w:t>
            </w:r>
          </w:p>
        </w:tc>
      </w:tr>
      <w:tr w:rsidR="0092091F" w:rsidRPr="00C51113" w14:paraId="6D8B4B5F" w14:textId="77777777" w:rsidTr="00677C01">
        <w:trPr>
          <w:trHeight w:hRule="exact" w:val="450"/>
        </w:trPr>
        <w:tc>
          <w:tcPr>
            <w:tcW w:w="2204" w:type="dxa"/>
            <w:tcBorders>
              <w:top w:val="single" w:sz="4" w:space="0" w:color="666666"/>
              <w:left w:val="single" w:sz="4" w:space="0" w:color="666666"/>
              <w:bottom w:val="single" w:sz="4" w:space="0" w:color="666666"/>
              <w:right w:val="single" w:sz="4" w:space="0" w:color="666666"/>
            </w:tcBorders>
            <w:shd w:val="clear" w:color="auto" w:fill="auto"/>
            <w:noWrap/>
          </w:tcPr>
          <w:p w14:paraId="5636A94F" w14:textId="77777777" w:rsidR="0092091F" w:rsidRPr="00C51113" w:rsidRDefault="0092091F" w:rsidP="00677C01">
            <w:pPr>
              <w:spacing w:before="240"/>
              <w:jc w:val="both"/>
              <w:rPr>
                <w:rFonts w:ascii="Verdana" w:hAnsi="Verdana"/>
                <w:b/>
                <w:bCs/>
                <w:color w:val="000000"/>
                <w:sz w:val="18"/>
                <w:szCs w:val="18"/>
              </w:rPr>
            </w:pPr>
            <w:r w:rsidRPr="00C51113">
              <w:rPr>
                <w:rFonts w:ascii="Verdana" w:hAnsi="Verdana"/>
                <w:b/>
                <w:bCs/>
                <w:color w:val="000000"/>
                <w:sz w:val="18"/>
                <w:szCs w:val="18"/>
              </w:rPr>
              <w:t>pKNOCK_895</w:t>
            </w:r>
          </w:p>
          <w:p w14:paraId="0A0A19BD" w14:textId="77777777" w:rsidR="0092091F" w:rsidRPr="00C51113" w:rsidRDefault="0092091F" w:rsidP="00677C01">
            <w:pPr>
              <w:spacing w:before="240"/>
              <w:jc w:val="both"/>
              <w:rPr>
                <w:rFonts w:ascii="Verdana" w:hAnsi="Verdana"/>
                <w:b/>
                <w:bCs/>
                <w:color w:val="000000"/>
                <w:sz w:val="18"/>
                <w:szCs w:val="18"/>
              </w:rPr>
            </w:pPr>
          </w:p>
        </w:tc>
        <w:tc>
          <w:tcPr>
            <w:tcW w:w="3679" w:type="dxa"/>
            <w:tcBorders>
              <w:top w:val="single" w:sz="4" w:space="0" w:color="666666"/>
              <w:left w:val="single" w:sz="4" w:space="0" w:color="666666"/>
              <w:bottom w:val="single" w:sz="4" w:space="0" w:color="666666"/>
              <w:right w:val="single" w:sz="4" w:space="0" w:color="666666"/>
            </w:tcBorders>
            <w:shd w:val="clear" w:color="auto" w:fill="auto"/>
            <w:noWrap/>
          </w:tcPr>
          <w:p w14:paraId="408A1990"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TTA ATT CGA CGC GTC CTC</w:t>
            </w:r>
          </w:p>
          <w:p w14:paraId="0D03821B" w14:textId="77777777" w:rsidR="0092091F" w:rsidRPr="00C51113" w:rsidRDefault="0092091F" w:rsidP="00677C01">
            <w:pPr>
              <w:spacing w:before="240"/>
              <w:jc w:val="both"/>
              <w:rPr>
                <w:rFonts w:ascii="Verdana" w:hAnsi="Verdana"/>
                <w:color w:val="000000"/>
                <w:sz w:val="18"/>
                <w:szCs w:val="18"/>
              </w:rPr>
            </w:pPr>
          </w:p>
        </w:tc>
        <w:tc>
          <w:tcPr>
            <w:tcW w:w="897" w:type="dxa"/>
            <w:tcBorders>
              <w:top w:val="single" w:sz="4" w:space="0" w:color="666666"/>
              <w:left w:val="single" w:sz="4" w:space="0" w:color="666666"/>
              <w:bottom w:val="single" w:sz="4" w:space="0" w:color="666666"/>
              <w:right w:val="single" w:sz="4" w:space="0" w:color="666666"/>
            </w:tcBorders>
            <w:shd w:val="clear" w:color="auto" w:fill="auto"/>
            <w:noWrap/>
          </w:tcPr>
          <w:p w14:paraId="5AA302A6"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50.0</w:t>
            </w:r>
          </w:p>
        </w:tc>
        <w:tc>
          <w:tcPr>
            <w:tcW w:w="1223" w:type="dxa"/>
            <w:tcBorders>
              <w:top w:val="single" w:sz="4" w:space="0" w:color="666666"/>
              <w:left w:val="single" w:sz="4" w:space="0" w:color="666666"/>
              <w:bottom w:val="single" w:sz="4" w:space="0" w:color="666666"/>
              <w:right w:val="single" w:sz="4" w:space="0" w:color="666666"/>
            </w:tcBorders>
            <w:shd w:val="clear" w:color="auto" w:fill="auto"/>
            <w:noWrap/>
          </w:tcPr>
          <w:p w14:paraId="3AA98707"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149bp</w:t>
            </w:r>
          </w:p>
        </w:tc>
        <w:tc>
          <w:tcPr>
            <w:tcW w:w="1876" w:type="dxa"/>
            <w:tcBorders>
              <w:top w:val="single" w:sz="4" w:space="0" w:color="666666"/>
              <w:left w:val="single" w:sz="4" w:space="0" w:color="666666"/>
              <w:bottom w:val="single" w:sz="4" w:space="0" w:color="666666"/>
              <w:right w:val="single" w:sz="4" w:space="0" w:color="666666"/>
            </w:tcBorders>
            <w:shd w:val="clear" w:color="auto" w:fill="auto"/>
            <w:noWrap/>
          </w:tcPr>
          <w:p w14:paraId="14ADE087" w14:textId="77777777" w:rsidR="0092091F" w:rsidRPr="00C51113" w:rsidRDefault="0092091F" w:rsidP="00677C01">
            <w:pPr>
              <w:keepNext/>
              <w:spacing w:before="240"/>
              <w:jc w:val="both"/>
              <w:rPr>
                <w:rFonts w:ascii="Verdana" w:hAnsi="Verdana"/>
                <w:color w:val="000000"/>
                <w:sz w:val="18"/>
                <w:szCs w:val="18"/>
              </w:rPr>
            </w:pPr>
            <w:r w:rsidRPr="00C51113">
              <w:rPr>
                <w:rFonts w:ascii="Verdana" w:hAnsi="Verdana"/>
                <w:color w:val="000000"/>
                <w:sz w:val="18"/>
                <w:szCs w:val="18"/>
              </w:rPr>
              <w:t>This study</w:t>
            </w:r>
          </w:p>
        </w:tc>
      </w:tr>
    </w:tbl>
    <w:p w14:paraId="206EA12F" w14:textId="77777777" w:rsidR="0092091F" w:rsidRPr="00C51113" w:rsidRDefault="0092091F" w:rsidP="00677C01">
      <w:pPr>
        <w:spacing w:before="240"/>
        <w:jc w:val="both"/>
        <w:rPr>
          <w:rFonts w:ascii="Verdana" w:hAnsi="Verdana"/>
          <w:sz w:val="18"/>
          <w:szCs w:val="18"/>
        </w:rPr>
      </w:pPr>
    </w:p>
    <w:p w14:paraId="4F2A3F72" w14:textId="77777777" w:rsidR="0092091F" w:rsidRPr="00C51113" w:rsidRDefault="0092091F" w:rsidP="00677C01">
      <w:pPr>
        <w:spacing w:before="240"/>
        <w:jc w:val="both"/>
        <w:rPr>
          <w:rFonts w:ascii="Verdana" w:hAnsi="Verdana"/>
          <w:b/>
          <w:bCs/>
          <w:sz w:val="18"/>
          <w:szCs w:val="18"/>
        </w:rPr>
        <w:sectPr w:rsidR="0092091F" w:rsidRPr="00C51113" w:rsidSect="00F6467D">
          <w:footerReference w:type="default" r:id="rId16"/>
          <w:pgSz w:w="12240" w:h="15840"/>
          <w:pgMar w:top="1440" w:right="1440" w:bottom="1440" w:left="1440" w:header="720" w:footer="720" w:gutter="0"/>
          <w:pgNumType w:start="1"/>
          <w:cols w:space="720"/>
          <w:titlePg/>
          <w:docGrid w:linePitch="360"/>
        </w:sectPr>
      </w:pPr>
    </w:p>
    <w:p w14:paraId="22D0DB2C" w14:textId="77777777" w:rsidR="0092091F" w:rsidRPr="00C51113" w:rsidRDefault="0092091F" w:rsidP="00677C01">
      <w:pPr>
        <w:spacing w:before="240"/>
        <w:jc w:val="both"/>
        <w:rPr>
          <w:rFonts w:ascii="Verdana" w:hAnsi="Verdana"/>
          <w:b/>
          <w:bCs/>
          <w:sz w:val="18"/>
          <w:szCs w:val="18"/>
        </w:rPr>
      </w:pPr>
    </w:p>
    <w:p w14:paraId="4B8F7FDB" w14:textId="29055EEF" w:rsidR="0092091F" w:rsidRPr="00F8165F" w:rsidRDefault="0092091F" w:rsidP="00677C01">
      <w:pPr>
        <w:pStyle w:val="Caption"/>
        <w:spacing w:before="240"/>
        <w:jc w:val="both"/>
        <w:rPr>
          <w:rFonts w:ascii="Verdana" w:hAnsi="Verdana"/>
          <w:sz w:val="20"/>
          <w:szCs w:val="20"/>
        </w:rPr>
      </w:pPr>
    </w:p>
    <w:p w14:paraId="664D6B66" w14:textId="3AAF1E66" w:rsidR="0092091F" w:rsidRPr="00F8165F" w:rsidRDefault="0092091F" w:rsidP="00677C01">
      <w:pPr>
        <w:pStyle w:val="Caption"/>
        <w:spacing w:before="240"/>
        <w:jc w:val="both"/>
        <w:rPr>
          <w:rFonts w:ascii="Verdana" w:hAnsi="Verdana"/>
          <w:sz w:val="20"/>
          <w:szCs w:val="20"/>
        </w:rPr>
      </w:pPr>
      <w:bookmarkStart w:id="36" w:name="_Toc80349825"/>
      <w:r w:rsidRPr="00F8165F">
        <w:rPr>
          <w:rFonts w:ascii="Verdana" w:hAnsi="Verdana"/>
          <w:sz w:val="20"/>
          <w:szCs w:val="20"/>
        </w:rPr>
        <w:t xml:space="preserve">Table S </w:t>
      </w:r>
      <w:r w:rsidR="00554C9F" w:rsidRPr="00F8165F">
        <w:rPr>
          <w:rFonts w:ascii="Verdana" w:hAnsi="Verdana"/>
          <w:sz w:val="20"/>
          <w:szCs w:val="20"/>
        </w:rPr>
        <w:fldChar w:fldCharType="begin"/>
      </w:r>
      <w:r w:rsidR="00554C9F" w:rsidRPr="00F8165F">
        <w:rPr>
          <w:rFonts w:ascii="Verdana" w:hAnsi="Verdana"/>
          <w:sz w:val="20"/>
          <w:szCs w:val="20"/>
        </w:rPr>
        <w:instrText xml:space="preserve"> STYLEREF 1 \s </w:instrText>
      </w:r>
      <w:r w:rsidR="00554C9F" w:rsidRPr="00F8165F">
        <w:rPr>
          <w:rFonts w:ascii="Verdana" w:hAnsi="Verdana"/>
          <w:sz w:val="20"/>
          <w:szCs w:val="20"/>
        </w:rPr>
        <w:fldChar w:fldCharType="separate"/>
      </w:r>
      <w:r w:rsidR="00554C9F" w:rsidRPr="00F8165F">
        <w:rPr>
          <w:rFonts w:ascii="Verdana" w:hAnsi="Verdana"/>
          <w:noProof/>
          <w:sz w:val="20"/>
          <w:szCs w:val="20"/>
        </w:rPr>
        <w:t>2</w:t>
      </w:r>
      <w:r w:rsidR="00554C9F" w:rsidRPr="00F8165F">
        <w:rPr>
          <w:rFonts w:ascii="Verdana" w:hAnsi="Verdana"/>
          <w:sz w:val="20"/>
          <w:szCs w:val="20"/>
        </w:rPr>
        <w:fldChar w:fldCharType="end"/>
      </w:r>
      <w:r w:rsidR="00554C9F" w:rsidRPr="00F8165F">
        <w:rPr>
          <w:rFonts w:ascii="Verdana" w:hAnsi="Verdana"/>
          <w:sz w:val="20"/>
          <w:szCs w:val="20"/>
        </w:rPr>
        <w:t>.</w:t>
      </w:r>
      <w:r w:rsidR="00554C9F" w:rsidRPr="00F8165F">
        <w:rPr>
          <w:rFonts w:ascii="Verdana" w:hAnsi="Verdana"/>
          <w:sz w:val="20"/>
          <w:szCs w:val="20"/>
        </w:rPr>
        <w:fldChar w:fldCharType="begin"/>
      </w:r>
      <w:r w:rsidR="00554C9F" w:rsidRPr="00F8165F">
        <w:rPr>
          <w:rFonts w:ascii="Verdana" w:hAnsi="Verdana"/>
          <w:sz w:val="20"/>
          <w:szCs w:val="20"/>
        </w:rPr>
        <w:instrText xml:space="preserve"> SEQ Table_S \* ARABIC \s 1 </w:instrText>
      </w:r>
      <w:r w:rsidR="00554C9F" w:rsidRPr="00F8165F">
        <w:rPr>
          <w:rFonts w:ascii="Verdana" w:hAnsi="Verdana"/>
          <w:sz w:val="20"/>
          <w:szCs w:val="20"/>
        </w:rPr>
        <w:fldChar w:fldCharType="separate"/>
      </w:r>
      <w:r w:rsidR="00554C9F" w:rsidRPr="00F8165F">
        <w:rPr>
          <w:rFonts w:ascii="Verdana" w:hAnsi="Verdana"/>
          <w:noProof/>
          <w:sz w:val="20"/>
          <w:szCs w:val="20"/>
        </w:rPr>
        <w:t>2</w:t>
      </w:r>
      <w:r w:rsidR="00554C9F" w:rsidRPr="00F8165F">
        <w:rPr>
          <w:rFonts w:ascii="Verdana" w:hAnsi="Verdana"/>
          <w:sz w:val="20"/>
          <w:szCs w:val="20"/>
        </w:rPr>
        <w:fldChar w:fldCharType="end"/>
      </w:r>
      <w:r w:rsidRPr="00F8165F">
        <w:rPr>
          <w:rFonts w:ascii="Verdana" w:hAnsi="Verdana"/>
          <w:sz w:val="20"/>
          <w:szCs w:val="20"/>
        </w:rPr>
        <w:t xml:space="preserve">. </w:t>
      </w:r>
      <w:r w:rsidRPr="00F8165F">
        <w:rPr>
          <w:rFonts w:ascii="Verdana" w:hAnsi="Verdana"/>
          <w:b w:val="0"/>
          <w:bCs w:val="0"/>
          <w:sz w:val="20"/>
          <w:szCs w:val="20"/>
        </w:rPr>
        <w:t>Position and nature of insertional mutations and location of qPCR primers.</w:t>
      </w:r>
      <w:bookmarkEnd w:id="36"/>
    </w:p>
    <w:tbl>
      <w:tblPr>
        <w:tblpPr w:leftFromText="180" w:rightFromText="180" w:vertAnchor="text" w:horzAnchor="margin" w:tblpY="148"/>
        <w:tblW w:w="11209"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ayout w:type="fixed"/>
        <w:tblLook w:val="04A0" w:firstRow="1" w:lastRow="0" w:firstColumn="1" w:lastColumn="0" w:noHBand="0" w:noVBand="1"/>
      </w:tblPr>
      <w:tblGrid>
        <w:gridCol w:w="1897"/>
        <w:gridCol w:w="1940"/>
        <w:gridCol w:w="1378"/>
        <w:gridCol w:w="1350"/>
        <w:gridCol w:w="1440"/>
        <w:gridCol w:w="1620"/>
        <w:gridCol w:w="1584"/>
      </w:tblGrid>
      <w:tr w:rsidR="0092091F" w:rsidRPr="00C51113" w14:paraId="39EA5FD6" w14:textId="77777777" w:rsidTr="0092091F">
        <w:trPr>
          <w:trHeight w:val="600"/>
        </w:trPr>
        <w:tc>
          <w:tcPr>
            <w:tcW w:w="1897" w:type="dxa"/>
            <w:tcBorders>
              <w:top w:val="single" w:sz="18" w:space="0" w:color="auto"/>
              <w:left w:val="nil"/>
              <w:bottom w:val="nil"/>
              <w:right w:val="nil"/>
            </w:tcBorders>
            <w:shd w:val="clear" w:color="auto" w:fill="auto"/>
            <w:vAlign w:val="bottom"/>
            <w:hideMark/>
          </w:tcPr>
          <w:p w14:paraId="72ED2C7C" w14:textId="77777777" w:rsidR="0092091F" w:rsidRPr="00C51113" w:rsidRDefault="0092091F" w:rsidP="00677C01">
            <w:pPr>
              <w:spacing w:before="240"/>
              <w:jc w:val="both"/>
              <w:rPr>
                <w:rFonts w:ascii="Verdana" w:hAnsi="Verdana" w:cs="Calibri"/>
                <w:b/>
                <w:bCs/>
                <w:color w:val="000000"/>
                <w:sz w:val="18"/>
                <w:szCs w:val="18"/>
              </w:rPr>
            </w:pPr>
            <w:r w:rsidRPr="00C51113">
              <w:rPr>
                <w:rFonts w:ascii="Verdana" w:hAnsi="Verdana" w:cs="Calibri"/>
                <w:b/>
                <w:bCs/>
                <w:color w:val="000000"/>
                <w:sz w:val="18"/>
                <w:szCs w:val="18"/>
              </w:rPr>
              <w:t>Mutant designation</w:t>
            </w:r>
          </w:p>
        </w:tc>
        <w:tc>
          <w:tcPr>
            <w:tcW w:w="1940" w:type="dxa"/>
            <w:tcBorders>
              <w:top w:val="single" w:sz="18" w:space="0" w:color="auto"/>
              <w:left w:val="nil"/>
              <w:bottom w:val="nil"/>
              <w:right w:val="nil"/>
            </w:tcBorders>
            <w:shd w:val="clear" w:color="auto" w:fill="auto"/>
            <w:vAlign w:val="bottom"/>
            <w:hideMark/>
          </w:tcPr>
          <w:p w14:paraId="0FD0845D" w14:textId="77777777" w:rsidR="0092091F" w:rsidRPr="00C51113" w:rsidRDefault="0092091F" w:rsidP="00677C01">
            <w:pPr>
              <w:spacing w:before="240"/>
              <w:jc w:val="both"/>
              <w:rPr>
                <w:rFonts w:ascii="Verdana" w:hAnsi="Verdana" w:cs="Calibri"/>
                <w:b/>
                <w:bCs/>
                <w:color w:val="000000"/>
                <w:sz w:val="18"/>
                <w:szCs w:val="18"/>
              </w:rPr>
            </w:pPr>
            <w:r w:rsidRPr="00C51113">
              <w:rPr>
                <w:rFonts w:ascii="Verdana" w:hAnsi="Verdana" w:cs="Calibri"/>
                <w:b/>
                <w:bCs/>
                <w:color w:val="000000"/>
                <w:sz w:val="18"/>
                <w:szCs w:val="18"/>
              </w:rPr>
              <w:t>Gene disrupted and type of insertion</w:t>
            </w:r>
          </w:p>
        </w:tc>
        <w:tc>
          <w:tcPr>
            <w:tcW w:w="1378" w:type="dxa"/>
            <w:tcBorders>
              <w:top w:val="single" w:sz="18" w:space="0" w:color="auto"/>
              <w:left w:val="nil"/>
              <w:bottom w:val="nil"/>
              <w:right w:val="nil"/>
            </w:tcBorders>
            <w:shd w:val="clear" w:color="auto" w:fill="auto"/>
            <w:vAlign w:val="bottom"/>
          </w:tcPr>
          <w:p w14:paraId="4D72AC3E" w14:textId="77777777" w:rsidR="0092091F" w:rsidRPr="00C51113" w:rsidRDefault="0092091F" w:rsidP="00677C01">
            <w:pPr>
              <w:spacing w:before="240"/>
              <w:jc w:val="both"/>
              <w:rPr>
                <w:rFonts w:ascii="Verdana" w:hAnsi="Verdana" w:cs="Calibri"/>
                <w:b/>
                <w:bCs/>
                <w:color w:val="000000"/>
                <w:sz w:val="18"/>
                <w:szCs w:val="18"/>
              </w:rPr>
            </w:pPr>
            <w:r w:rsidRPr="00C51113">
              <w:rPr>
                <w:rFonts w:ascii="Verdana" w:hAnsi="Verdana" w:cs="Calibri"/>
                <w:b/>
                <w:bCs/>
                <w:color w:val="000000"/>
                <w:sz w:val="18"/>
                <w:szCs w:val="18"/>
              </w:rPr>
              <w:t>Length of wildtype gene (bp)</w:t>
            </w:r>
          </w:p>
        </w:tc>
        <w:tc>
          <w:tcPr>
            <w:tcW w:w="1350" w:type="dxa"/>
            <w:tcBorders>
              <w:top w:val="single" w:sz="18" w:space="0" w:color="auto"/>
              <w:left w:val="nil"/>
              <w:bottom w:val="nil"/>
              <w:right w:val="nil"/>
            </w:tcBorders>
            <w:shd w:val="clear" w:color="auto" w:fill="auto"/>
            <w:vAlign w:val="bottom"/>
            <w:hideMark/>
          </w:tcPr>
          <w:p w14:paraId="434692CD" w14:textId="77777777" w:rsidR="0092091F" w:rsidRPr="00C51113" w:rsidRDefault="0092091F" w:rsidP="00677C01">
            <w:pPr>
              <w:spacing w:before="240"/>
              <w:jc w:val="both"/>
              <w:rPr>
                <w:rFonts w:ascii="Verdana" w:hAnsi="Verdana" w:cs="Calibri"/>
                <w:b/>
                <w:bCs/>
                <w:color w:val="000000"/>
                <w:sz w:val="18"/>
                <w:szCs w:val="18"/>
              </w:rPr>
            </w:pPr>
            <w:r w:rsidRPr="00C51113">
              <w:rPr>
                <w:rFonts w:ascii="Verdana" w:hAnsi="Verdana" w:cs="Calibri"/>
                <w:b/>
                <w:bCs/>
                <w:color w:val="000000"/>
                <w:sz w:val="18"/>
                <w:szCs w:val="18"/>
              </w:rPr>
              <w:t xml:space="preserve">Location of </w:t>
            </w:r>
            <w:proofErr w:type="spellStart"/>
            <w:r w:rsidRPr="00C51113">
              <w:rPr>
                <w:rFonts w:ascii="Verdana" w:hAnsi="Verdana" w:cs="Calibri"/>
                <w:b/>
                <w:bCs/>
                <w:color w:val="000000"/>
                <w:sz w:val="18"/>
                <w:szCs w:val="18"/>
              </w:rPr>
              <w:t>insertion</w:t>
            </w:r>
            <w:r w:rsidRPr="00C51113">
              <w:rPr>
                <w:rFonts w:ascii="Verdana" w:hAnsi="Verdana" w:cs="Calibri"/>
                <w:b/>
                <w:bCs/>
                <w:color w:val="000000"/>
                <w:sz w:val="18"/>
                <w:szCs w:val="18"/>
                <w:vertAlign w:val="superscript"/>
              </w:rPr>
              <w:t>a</w:t>
            </w:r>
            <w:proofErr w:type="spellEnd"/>
          </w:p>
        </w:tc>
        <w:tc>
          <w:tcPr>
            <w:tcW w:w="1440" w:type="dxa"/>
            <w:tcBorders>
              <w:top w:val="single" w:sz="18" w:space="0" w:color="auto"/>
              <w:left w:val="nil"/>
              <w:bottom w:val="nil"/>
              <w:right w:val="nil"/>
            </w:tcBorders>
            <w:shd w:val="clear" w:color="auto" w:fill="auto"/>
            <w:vAlign w:val="bottom"/>
          </w:tcPr>
          <w:p w14:paraId="057A98DE" w14:textId="77777777" w:rsidR="0092091F" w:rsidRPr="00C51113" w:rsidRDefault="0092091F" w:rsidP="00677C01">
            <w:pPr>
              <w:spacing w:before="240"/>
              <w:jc w:val="both"/>
              <w:rPr>
                <w:rFonts w:ascii="Verdana" w:hAnsi="Verdana" w:cs="Calibri"/>
                <w:b/>
                <w:bCs/>
                <w:color w:val="000000"/>
                <w:sz w:val="18"/>
                <w:szCs w:val="18"/>
              </w:rPr>
            </w:pPr>
            <w:r w:rsidRPr="00C51113">
              <w:rPr>
                <w:rFonts w:ascii="Verdana" w:hAnsi="Verdana" w:cs="Calibri"/>
                <w:b/>
                <w:bCs/>
                <w:color w:val="000000"/>
                <w:sz w:val="18"/>
                <w:szCs w:val="18"/>
              </w:rPr>
              <w:t xml:space="preserve">qPCR primer </w:t>
            </w:r>
            <w:proofErr w:type="spellStart"/>
            <w:proofErr w:type="gramStart"/>
            <w:r w:rsidRPr="00C51113">
              <w:rPr>
                <w:rFonts w:ascii="Verdana" w:hAnsi="Verdana" w:cs="Calibri"/>
                <w:b/>
                <w:bCs/>
                <w:color w:val="000000"/>
                <w:sz w:val="18"/>
                <w:szCs w:val="18"/>
              </w:rPr>
              <w:t>location</w:t>
            </w:r>
            <w:r w:rsidRPr="00C51113">
              <w:rPr>
                <w:rFonts w:ascii="Verdana" w:hAnsi="Verdana" w:cs="Calibri"/>
                <w:b/>
                <w:bCs/>
                <w:color w:val="000000"/>
                <w:sz w:val="18"/>
                <w:szCs w:val="18"/>
                <w:vertAlign w:val="superscript"/>
              </w:rPr>
              <w:t>a,b</w:t>
            </w:r>
            <w:proofErr w:type="spellEnd"/>
            <w:proofErr w:type="gramEnd"/>
          </w:p>
        </w:tc>
        <w:tc>
          <w:tcPr>
            <w:tcW w:w="1620" w:type="dxa"/>
            <w:tcBorders>
              <w:top w:val="single" w:sz="18" w:space="0" w:color="auto"/>
              <w:left w:val="nil"/>
              <w:bottom w:val="nil"/>
              <w:right w:val="nil"/>
            </w:tcBorders>
            <w:shd w:val="clear" w:color="auto" w:fill="auto"/>
            <w:vAlign w:val="bottom"/>
            <w:hideMark/>
          </w:tcPr>
          <w:p w14:paraId="4B4740AF" w14:textId="77777777" w:rsidR="0092091F" w:rsidRPr="00C51113" w:rsidRDefault="0092091F" w:rsidP="00677C01">
            <w:pPr>
              <w:spacing w:before="240"/>
              <w:jc w:val="both"/>
              <w:rPr>
                <w:rFonts w:ascii="Verdana" w:hAnsi="Verdana" w:cs="Calibri"/>
                <w:b/>
                <w:bCs/>
                <w:color w:val="000000"/>
                <w:sz w:val="18"/>
                <w:szCs w:val="18"/>
              </w:rPr>
            </w:pPr>
            <w:r w:rsidRPr="00C51113">
              <w:rPr>
                <w:rFonts w:ascii="Verdana" w:hAnsi="Verdana" w:cs="Calibri"/>
                <w:b/>
                <w:bCs/>
                <w:color w:val="000000"/>
                <w:sz w:val="18"/>
                <w:szCs w:val="18"/>
              </w:rPr>
              <w:t>length of insertion (bp)</w:t>
            </w:r>
          </w:p>
        </w:tc>
        <w:tc>
          <w:tcPr>
            <w:tcW w:w="1584" w:type="dxa"/>
            <w:tcBorders>
              <w:top w:val="single" w:sz="18" w:space="0" w:color="auto"/>
              <w:left w:val="nil"/>
              <w:bottom w:val="nil"/>
              <w:right w:val="nil"/>
            </w:tcBorders>
            <w:shd w:val="clear" w:color="auto" w:fill="auto"/>
            <w:vAlign w:val="bottom"/>
            <w:hideMark/>
          </w:tcPr>
          <w:p w14:paraId="078950B8" w14:textId="77777777" w:rsidR="0092091F" w:rsidRPr="00C51113" w:rsidRDefault="0092091F" w:rsidP="00677C01">
            <w:pPr>
              <w:spacing w:before="240"/>
              <w:jc w:val="both"/>
              <w:rPr>
                <w:rFonts w:ascii="Verdana" w:hAnsi="Verdana" w:cs="Calibri"/>
                <w:b/>
                <w:bCs/>
                <w:color w:val="000000"/>
                <w:sz w:val="18"/>
                <w:szCs w:val="18"/>
              </w:rPr>
            </w:pPr>
            <w:r w:rsidRPr="00C51113">
              <w:rPr>
                <w:rFonts w:ascii="Verdana" w:hAnsi="Verdana" w:cs="Calibri"/>
                <w:b/>
                <w:bCs/>
                <w:color w:val="000000"/>
                <w:sz w:val="18"/>
                <w:szCs w:val="18"/>
              </w:rPr>
              <w:t>Source</w:t>
            </w:r>
          </w:p>
        </w:tc>
      </w:tr>
      <w:tr w:rsidR="0092091F" w:rsidRPr="00C51113" w14:paraId="19D83E65" w14:textId="77777777" w:rsidTr="0092091F">
        <w:trPr>
          <w:trHeight w:val="63"/>
        </w:trPr>
        <w:tc>
          <w:tcPr>
            <w:tcW w:w="1897" w:type="dxa"/>
            <w:tcBorders>
              <w:top w:val="single" w:sz="18" w:space="0" w:color="auto"/>
              <w:left w:val="nil"/>
              <w:bottom w:val="nil"/>
              <w:right w:val="nil"/>
            </w:tcBorders>
            <w:shd w:val="clear" w:color="auto" w:fill="auto"/>
            <w:vAlign w:val="bottom"/>
          </w:tcPr>
          <w:p w14:paraId="6F6B6909" w14:textId="77777777" w:rsidR="0092091F" w:rsidRPr="00C51113" w:rsidRDefault="0092091F" w:rsidP="00677C01">
            <w:pPr>
              <w:spacing w:before="240"/>
              <w:jc w:val="both"/>
              <w:rPr>
                <w:rFonts w:ascii="Verdana" w:hAnsi="Verdana" w:cs="Calibri"/>
                <w:b/>
                <w:bCs/>
                <w:color w:val="000000"/>
                <w:sz w:val="18"/>
                <w:szCs w:val="18"/>
              </w:rPr>
            </w:pPr>
          </w:p>
        </w:tc>
        <w:tc>
          <w:tcPr>
            <w:tcW w:w="1940" w:type="dxa"/>
            <w:tcBorders>
              <w:top w:val="single" w:sz="18" w:space="0" w:color="auto"/>
              <w:left w:val="nil"/>
              <w:bottom w:val="nil"/>
              <w:right w:val="nil"/>
            </w:tcBorders>
            <w:shd w:val="clear" w:color="auto" w:fill="auto"/>
            <w:vAlign w:val="bottom"/>
          </w:tcPr>
          <w:p w14:paraId="06A96560" w14:textId="77777777" w:rsidR="0092091F" w:rsidRPr="00C51113" w:rsidRDefault="0092091F" w:rsidP="00677C01">
            <w:pPr>
              <w:spacing w:before="240"/>
              <w:jc w:val="both"/>
              <w:rPr>
                <w:rFonts w:ascii="Verdana" w:hAnsi="Verdana" w:cs="Calibri"/>
                <w:b/>
                <w:bCs/>
                <w:color w:val="000000"/>
                <w:sz w:val="18"/>
                <w:szCs w:val="18"/>
              </w:rPr>
            </w:pPr>
          </w:p>
        </w:tc>
        <w:tc>
          <w:tcPr>
            <w:tcW w:w="1378" w:type="dxa"/>
            <w:tcBorders>
              <w:top w:val="single" w:sz="18" w:space="0" w:color="auto"/>
              <w:left w:val="nil"/>
              <w:bottom w:val="nil"/>
              <w:right w:val="nil"/>
            </w:tcBorders>
            <w:shd w:val="clear" w:color="auto" w:fill="auto"/>
            <w:vAlign w:val="bottom"/>
          </w:tcPr>
          <w:p w14:paraId="2BA2C4F4" w14:textId="77777777" w:rsidR="0092091F" w:rsidRPr="00C51113" w:rsidRDefault="0092091F" w:rsidP="00677C01">
            <w:pPr>
              <w:spacing w:before="240"/>
              <w:jc w:val="both"/>
              <w:rPr>
                <w:rFonts w:ascii="Verdana" w:hAnsi="Verdana" w:cs="Calibri"/>
                <w:b/>
                <w:bCs/>
                <w:color w:val="000000"/>
                <w:sz w:val="18"/>
                <w:szCs w:val="18"/>
              </w:rPr>
            </w:pPr>
          </w:p>
        </w:tc>
        <w:tc>
          <w:tcPr>
            <w:tcW w:w="1350" w:type="dxa"/>
            <w:tcBorders>
              <w:top w:val="single" w:sz="18" w:space="0" w:color="auto"/>
              <w:left w:val="nil"/>
              <w:bottom w:val="nil"/>
              <w:right w:val="nil"/>
            </w:tcBorders>
            <w:shd w:val="clear" w:color="auto" w:fill="auto"/>
            <w:vAlign w:val="bottom"/>
          </w:tcPr>
          <w:p w14:paraId="1E6A9D82" w14:textId="77777777" w:rsidR="0092091F" w:rsidRPr="00C51113" w:rsidRDefault="0092091F" w:rsidP="00677C01">
            <w:pPr>
              <w:spacing w:before="240"/>
              <w:jc w:val="both"/>
              <w:rPr>
                <w:rFonts w:ascii="Verdana" w:hAnsi="Verdana" w:cs="Calibri"/>
                <w:b/>
                <w:bCs/>
                <w:color w:val="000000"/>
                <w:sz w:val="18"/>
                <w:szCs w:val="18"/>
              </w:rPr>
            </w:pPr>
          </w:p>
        </w:tc>
        <w:tc>
          <w:tcPr>
            <w:tcW w:w="1440" w:type="dxa"/>
            <w:tcBorders>
              <w:top w:val="single" w:sz="18" w:space="0" w:color="auto"/>
              <w:left w:val="nil"/>
              <w:bottom w:val="nil"/>
              <w:right w:val="nil"/>
            </w:tcBorders>
            <w:shd w:val="clear" w:color="auto" w:fill="auto"/>
            <w:vAlign w:val="bottom"/>
          </w:tcPr>
          <w:p w14:paraId="7B294809" w14:textId="77777777" w:rsidR="0092091F" w:rsidRPr="00C51113" w:rsidRDefault="0092091F" w:rsidP="00677C01">
            <w:pPr>
              <w:spacing w:before="240"/>
              <w:jc w:val="both"/>
              <w:rPr>
                <w:rFonts w:ascii="Verdana" w:hAnsi="Verdana" w:cs="Calibri"/>
                <w:b/>
                <w:bCs/>
                <w:color w:val="000000"/>
                <w:sz w:val="18"/>
                <w:szCs w:val="18"/>
              </w:rPr>
            </w:pPr>
          </w:p>
        </w:tc>
        <w:tc>
          <w:tcPr>
            <w:tcW w:w="1620" w:type="dxa"/>
            <w:tcBorders>
              <w:top w:val="single" w:sz="18" w:space="0" w:color="auto"/>
              <w:left w:val="nil"/>
              <w:bottom w:val="nil"/>
              <w:right w:val="nil"/>
            </w:tcBorders>
            <w:shd w:val="clear" w:color="auto" w:fill="auto"/>
            <w:vAlign w:val="bottom"/>
          </w:tcPr>
          <w:p w14:paraId="79BD69DE" w14:textId="77777777" w:rsidR="0092091F" w:rsidRPr="00C51113" w:rsidRDefault="0092091F" w:rsidP="00677C01">
            <w:pPr>
              <w:spacing w:before="240"/>
              <w:jc w:val="both"/>
              <w:rPr>
                <w:rFonts w:ascii="Verdana" w:hAnsi="Verdana" w:cs="Calibri"/>
                <w:b/>
                <w:bCs/>
                <w:color w:val="000000"/>
                <w:sz w:val="18"/>
                <w:szCs w:val="18"/>
              </w:rPr>
            </w:pPr>
          </w:p>
        </w:tc>
        <w:tc>
          <w:tcPr>
            <w:tcW w:w="1584" w:type="dxa"/>
            <w:tcBorders>
              <w:top w:val="single" w:sz="18" w:space="0" w:color="auto"/>
              <w:left w:val="nil"/>
              <w:bottom w:val="nil"/>
              <w:right w:val="nil"/>
            </w:tcBorders>
            <w:shd w:val="clear" w:color="auto" w:fill="auto"/>
            <w:vAlign w:val="bottom"/>
          </w:tcPr>
          <w:p w14:paraId="7293595D" w14:textId="77777777" w:rsidR="0092091F" w:rsidRPr="00C51113" w:rsidRDefault="0092091F" w:rsidP="00677C01">
            <w:pPr>
              <w:spacing w:before="240"/>
              <w:jc w:val="both"/>
              <w:rPr>
                <w:rFonts w:ascii="Verdana" w:hAnsi="Verdana" w:cs="Calibri"/>
                <w:b/>
                <w:bCs/>
                <w:color w:val="000000"/>
                <w:sz w:val="18"/>
                <w:szCs w:val="18"/>
              </w:rPr>
            </w:pPr>
          </w:p>
        </w:tc>
      </w:tr>
      <w:tr w:rsidR="0092091F" w:rsidRPr="00C51113" w14:paraId="33594E41" w14:textId="77777777" w:rsidTr="0092091F">
        <w:trPr>
          <w:trHeight w:val="315"/>
        </w:trPr>
        <w:tc>
          <w:tcPr>
            <w:tcW w:w="1897" w:type="dxa"/>
            <w:tcBorders>
              <w:top w:val="nil"/>
              <w:left w:val="nil"/>
              <w:bottom w:val="nil"/>
              <w:right w:val="nil"/>
            </w:tcBorders>
            <w:shd w:val="clear" w:color="auto" w:fill="auto"/>
            <w:noWrap/>
            <w:hideMark/>
          </w:tcPr>
          <w:p w14:paraId="17DE7B0A" w14:textId="77777777" w:rsidR="0092091F" w:rsidRPr="00C51113" w:rsidRDefault="0092091F" w:rsidP="00677C01">
            <w:pPr>
              <w:spacing w:before="240"/>
              <w:jc w:val="both"/>
              <w:rPr>
                <w:rFonts w:ascii="Verdana" w:hAnsi="Verdana"/>
                <w:b/>
                <w:bCs/>
                <w:color w:val="000000"/>
                <w:sz w:val="18"/>
                <w:szCs w:val="18"/>
              </w:rPr>
            </w:pPr>
            <w:r w:rsidRPr="00C51113">
              <w:rPr>
                <w:rFonts w:ascii="Verdana" w:hAnsi="Verdana"/>
                <w:b/>
                <w:bCs/>
                <w:color w:val="000000"/>
                <w:sz w:val="18"/>
                <w:szCs w:val="18"/>
              </w:rPr>
              <w:t>Y401BD4</w:t>
            </w:r>
          </w:p>
        </w:tc>
        <w:tc>
          <w:tcPr>
            <w:tcW w:w="1940" w:type="dxa"/>
            <w:tcBorders>
              <w:top w:val="nil"/>
              <w:left w:val="nil"/>
              <w:bottom w:val="nil"/>
              <w:right w:val="nil"/>
            </w:tcBorders>
            <w:shd w:val="clear" w:color="auto" w:fill="auto"/>
            <w:noWrap/>
            <w:hideMark/>
          </w:tcPr>
          <w:p w14:paraId="4D22FA03" w14:textId="77777777" w:rsidR="0092091F" w:rsidRPr="00C51113" w:rsidRDefault="0092091F" w:rsidP="00677C01">
            <w:pPr>
              <w:spacing w:before="240"/>
              <w:jc w:val="both"/>
              <w:rPr>
                <w:rFonts w:ascii="Verdana" w:hAnsi="Verdana"/>
                <w:color w:val="000000"/>
                <w:sz w:val="18"/>
                <w:szCs w:val="18"/>
              </w:rPr>
            </w:pPr>
            <w:proofErr w:type="spellStart"/>
            <w:proofErr w:type="gramStart"/>
            <w:r w:rsidRPr="00C51113">
              <w:rPr>
                <w:rFonts w:ascii="Verdana" w:hAnsi="Verdana"/>
                <w:i/>
                <w:iCs/>
                <w:color w:val="000000"/>
                <w:sz w:val="18"/>
                <w:szCs w:val="18"/>
              </w:rPr>
              <w:t>igiD</w:t>
            </w:r>
            <w:proofErr w:type="spellEnd"/>
            <w:r w:rsidRPr="00C51113">
              <w:rPr>
                <w:rFonts w:ascii="Verdana" w:hAnsi="Verdana"/>
                <w:color w:val="000000"/>
                <w:sz w:val="18"/>
                <w:szCs w:val="18"/>
              </w:rPr>
              <w:t>::</w:t>
            </w:r>
            <w:proofErr w:type="gramEnd"/>
            <w:r w:rsidRPr="00C51113">
              <w:rPr>
                <w:rFonts w:ascii="Verdana" w:hAnsi="Verdana"/>
                <w:color w:val="000000"/>
                <w:sz w:val="18"/>
                <w:szCs w:val="18"/>
              </w:rPr>
              <w:t>Tn5-Km</w:t>
            </w:r>
            <w:r w:rsidRPr="00C51113">
              <w:rPr>
                <w:rFonts w:ascii="Verdana" w:hAnsi="Verdana"/>
                <w:color w:val="000000"/>
                <w:sz w:val="18"/>
                <w:szCs w:val="18"/>
                <w:vertAlign w:val="superscript"/>
              </w:rPr>
              <w:t>R</w:t>
            </w:r>
          </w:p>
        </w:tc>
        <w:tc>
          <w:tcPr>
            <w:tcW w:w="1378" w:type="dxa"/>
            <w:tcBorders>
              <w:top w:val="nil"/>
              <w:left w:val="nil"/>
              <w:bottom w:val="nil"/>
              <w:right w:val="nil"/>
            </w:tcBorders>
            <w:shd w:val="clear" w:color="auto" w:fill="auto"/>
          </w:tcPr>
          <w:p w14:paraId="51DE1497"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3942</w:t>
            </w:r>
          </w:p>
        </w:tc>
        <w:tc>
          <w:tcPr>
            <w:tcW w:w="1350" w:type="dxa"/>
            <w:tcBorders>
              <w:top w:val="nil"/>
              <w:left w:val="nil"/>
              <w:bottom w:val="nil"/>
              <w:right w:val="nil"/>
            </w:tcBorders>
            <w:shd w:val="clear" w:color="auto" w:fill="auto"/>
            <w:noWrap/>
            <w:hideMark/>
          </w:tcPr>
          <w:p w14:paraId="4FC8B3FB"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595</w:t>
            </w:r>
          </w:p>
        </w:tc>
        <w:tc>
          <w:tcPr>
            <w:tcW w:w="1440" w:type="dxa"/>
            <w:tcBorders>
              <w:top w:val="nil"/>
              <w:left w:val="nil"/>
              <w:bottom w:val="nil"/>
              <w:right w:val="nil"/>
            </w:tcBorders>
            <w:shd w:val="clear" w:color="auto" w:fill="auto"/>
          </w:tcPr>
          <w:p w14:paraId="61AD76D4"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3288 (F) 3516 (R)</w:t>
            </w:r>
          </w:p>
        </w:tc>
        <w:tc>
          <w:tcPr>
            <w:tcW w:w="1620" w:type="dxa"/>
            <w:tcBorders>
              <w:top w:val="nil"/>
              <w:left w:val="nil"/>
              <w:bottom w:val="nil"/>
              <w:right w:val="nil"/>
            </w:tcBorders>
            <w:shd w:val="clear" w:color="auto" w:fill="auto"/>
            <w:noWrap/>
            <w:hideMark/>
          </w:tcPr>
          <w:p w14:paraId="56B48A44"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4080</w:t>
            </w:r>
          </w:p>
        </w:tc>
        <w:tc>
          <w:tcPr>
            <w:tcW w:w="1584" w:type="dxa"/>
            <w:tcBorders>
              <w:top w:val="nil"/>
              <w:left w:val="nil"/>
              <w:bottom w:val="nil"/>
              <w:right w:val="nil"/>
            </w:tcBorders>
            <w:shd w:val="clear" w:color="auto" w:fill="auto"/>
            <w:noWrap/>
            <w:hideMark/>
          </w:tcPr>
          <w:p w14:paraId="67293814"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Cude et al., 2012</w:t>
            </w:r>
          </w:p>
        </w:tc>
      </w:tr>
      <w:tr w:rsidR="0092091F" w:rsidRPr="00C51113" w14:paraId="571D9DC2" w14:textId="77777777" w:rsidTr="0092091F">
        <w:trPr>
          <w:trHeight w:val="315"/>
        </w:trPr>
        <w:tc>
          <w:tcPr>
            <w:tcW w:w="1897" w:type="dxa"/>
            <w:tcBorders>
              <w:top w:val="nil"/>
              <w:left w:val="nil"/>
              <w:bottom w:val="nil"/>
              <w:right w:val="nil"/>
            </w:tcBorders>
            <w:shd w:val="clear" w:color="auto" w:fill="auto"/>
            <w:noWrap/>
            <w:hideMark/>
          </w:tcPr>
          <w:p w14:paraId="041BD82D" w14:textId="77777777" w:rsidR="0092091F" w:rsidRPr="00C51113" w:rsidRDefault="0092091F" w:rsidP="00677C01">
            <w:pPr>
              <w:spacing w:before="240"/>
              <w:jc w:val="both"/>
              <w:rPr>
                <w:rFonts w:ascii="Verdana" w:hAnsi="Verdana"/>
                <w:b/>
                <w:bCs/>
                <w:color w:val="000000"/>
                <w:sz w:val="18"/>
                <w:szCs w:val="18"/>
              </w:rPr>
            </w:pPr>
            <w:r w:rsidRPr="00C51113">
              <w:rPr>
                <w:rFonts w:ascii="Verdana" w:hAnsi="Verdana"/>
                <w:b/>
                <w:bCs/>
                <w:color w:val="000000"/>
                <w:sz w:val="18"/>
                <w:szCs w:val="18"/>
              </w:rPr>
              <w:t>Y411CE4</w:t>
            </w:r>
          </w:p>
        </w:tc>
        <w:tc>
          <w:tcPr>
            <w:tcW w:w="1940" w:type="dxa"/>
            <w:tcBorders>
              <w:top w:val="nil"/>
              <w:left w:val="nil"/>
              <w:bottom w:val="nil"/>
              <w:right w:val="nil"/>
            </w:tcBorders>
            <w:shd w:val="clear" w:color="auto" w:fill="auto"/>
            <w:noWrap/>
            <w:hideMark/>
          </w:tcPr>
          <w:p w14:paraId="3B40F18B" w14:textId="77777777" w:rsidR="0092091F" w:rsidRPr="00C51113" w:rsidRDefault="0092091F" w:rsidP="00677C01">
            <w:pPr>
              <w:spacing w:before="240"/>
              <w:jc w:val="both"/>
              <w:rPr>
                <w:rFonts w:ascii="Verdana" w:hAnsi="Verdana"/>
                <w:color w:val="000000"/>
                <w:sz w:val="18"/>
                <w:szCs w:val="18"/>
              </w:rPr>
            </w:pPr>
            <w:proofErr w:type="spellStart"/>
            <w:proofErr w:type="gramStart"/>
            <w:r w:rsidRPr="00C51113">
              <w:rPr>
                <w:rFonts w:ascii="Verdana" w:hAnsi="Verdana"/>
                <w:i/>
                <w:iCs/>
                <w:color w:val="000000"/>
                <w:sz w:val="18"/>
                <w:szCs w:val="18"/>
              </w:rPr>
              <w:t>pgaR</w:t>
            </w:r>
            <w:proofErr w:type="spellEnd"/>
            <w:r w:rsidRPr="00C51113">
              <w:rPr>
                <w:rFonts w:ascii="Verdana" w:hAnsi="Verdana"/>
                <w:color w:val="000000"/>
                <w:sz w:val="18"/>
                <w:szCs w:val="18"/>
              </w:rPr>
              <w:t>::</w:t>
            </w:r>
            <w:proofErr w:type="gramEnd"/>
            <w:r w:rsidRPr="00C51113">
              <w:rPr>
                <w:rFonts w:ascii="Verdana" w:hAnsi="Verdana"/>
                <w:color w:val="000000"/>
                <w:sz w:val="18"/>
                <w:szCs w:val="18"/>
              </w:rPr>
              <w:t>Tn5-Km</w:t>
            </w:r>
            <w:r w:rsidRPr="00C51113">
              <w:rPr>
                <w:rFonts w:ascii="Verdana" w:hAnsi="Verdana"/>
                <w:color w:val="000000"/>
                <w:sz w:val="18"/>
                <w:szCs w:val="18"/>
                <w:vertAlign w:val="superscript"/>
              </w:rPr>
              <w:t>R</w:t>
            </w:r>
          </w:p>
        </w:tc>
        <w:tc>
          <w:tcPr>
            <w:tcW w:w="1378" w:type="dxa"/>
            <w:tcBorders>
              <w:top w:val="nil"/>
              <w:left w:val="nil"/>
              <w:bottom w:val="nil"/>
              <w:right w:val="nil"/>
            </w:tcBorders>
            <w:shd w:val="clear" w:color="auto" w:fill="auto"/>
          </w:tcPr>
          <w:p w14:paraId="457F2801"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720</w:t>
            </w:r>
          </w:p>
        </w:tc>
        <w:tc>
          <w:tcPr>
            <w:tcW w:w="1350" w:type="dxa"/>
            <w:tcBorders>
              <w:top w:val="nil"/>
              <w:left w:val="nil"/>
              <w:bottom w:val="nil"/>
              <w:right w:val="nil"/>
            </w:tcBorders>
            <w:shd w:val="clear" w:color="auto" w:fill="auto"/>
            <w:noWrap/>
            <w:hideMark/>
          </w:tcPr>
          <w:p w14:paraId="3A2E8548"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269</w:t>
            </w:r>
          </w:p>
        </w:tc>
        <w:tc>
          <w:tcPr>
            <w:tcW w:w="1440" w:type="dxa"/>
            <w:tcBorders>
              <w:top w:val="nil"/>
              <w:left w:val="nil"/>
              <w:bottom w:val="nil"/>
              <w:right w:val="nil"/>
            </w:tcBorders>
            <w:shd w:val="clear" w:color="auto" w:fill="auto"/>
          </w:tcPr>
          <w:p w14:paraId="25BBE99C"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354 (F) 580 (R)</w:t>
            </w:r>
          </w:p>
        </w:tc>
        <w:tc>
          <w:tcPr>
            <w:tcW w:w="1620" w:type="dxa"/>
            <w:tcBorders>
              <w:top w:val="nil"/>
              <w:left w:val="nil"/>
              <w:bottom w:val="nil"/>
              <w:right w:val="nil"/>
            </w:tcBorders>
            <w:shd w:val="clear" w:color="auto" w:fill="auto"/>
            <w:noWrap/>
            <w:hideMark/>
          </w:tcPr>
          <w:p w14:paraId="34FDBFF8"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4080</w:t>
            </w:r>
          </w:p>
        </w:tc>
        <w:tc>
          <w:tcPr>
            <w:tcW w:w="1584" w:type="dxa"/>
            <w:tcBorders>
              <w:top w:val="nil"/>
              <w:left w:val="nil"/>
              <w:bottom w:val="nil"/>
              <w:right w:val="nil"/>
            </w:tcBorders>
            <w:shd w:val="clear" w:color="auto" w:fill="auto"/>
            <w:noWrap/>
            <w:hideMark/>
          </w:tcPr>
          <w:p w14:paraId="05BA4CB6"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Cude et al., 2015</w:t>
            </w:r>
          </w:p>
        </w:tc>
      </w:tr>
      <w:tr w:rsidR="0092091F" w:rsidRPr="00C51113" w14:paraId="04838F97" w14:textId="77777777" w:rsidTr="0092091F">
        <w:trPr>
          <w:trHeight w:val="315"/>
        </w:trPr>
        <w:tc>
          <w:tcPr>
            <w:tcW w:w="1897" w:type="dxa"/>
            <w:tcBorders>
              <w:top w:val="nil"/>
              <w:left w:val="nil"/>
              <w:bottom w:val="nil"/>
              <w:right w:val="nil"/>
            </w:tcBorders>
            <w:shd w:val="clear" w:color="auto" w:fill="auto"/>
            <w:noWrap/>
            <w:hideMark/>
          </w:tcPr>
          <w:p w14:paraId="263A0BCC" w14:textId="77777777" w:rsidR="0092091F" w:rsidRPr="00C51113" w:rsidRDefault="0092091F" w:rsidP="00677C01">
            <w:pPr>
              <w:spacing w:before="240"/>
              <w:jc w:val="both"/>
              <w:rPr>
                <w:rFonts w:ascii="Verdana" w:hAnsi="Verdana"/>
                <w:b/>
                <w:bCs/>
                <w:color w:val="000000"/>
                <w:sz w:val="18"/>
                <w:szCs w:val="18"/>
              </w:rPr>
            </w:pPr>
            <w:r w:rsidRPr="00C51113">
              <w:rPr>
                <w:rFonts w:ascii="Verdana" w:hAnsi="Verdana"/>
                <w:b/>
                <w:bCs/>
                <w:color w:val="000000"/>
                <w:sz w:val="18"/>
                <w:szCs w:val="18"/>
              </w:rPr>
              <w:t>Y412AE6</w:t>
            </w:r>
          </w:p>
        </w:tc>
        <w:tc>
          <w:tcPr>
            <w:tcW w:w="1940" w:type="dxa"/>
            <w:tcBorders>
              <w:top w:val="nil"/>
              <w:left w:val="nil"/>
              <w:bottom w:val="nil"/>
              <w:right w:val="nil"/>
            </w:tcBorders>
            <w:shd w:val="clear" w:color="auto" w:fill="auto"/>
            <w:noWrap/>
            <w:hideMark/>
          </w:tcPr>
          <w:p w14:paraId="1BE34F4D" w14:textId="77777777" w:rsidR="0092091F" w:rsidRPr="00C51113" w:rsidRDefault="0092091F" w:rsidP="00677C01">
            <w:pPr>
              <w:spacing w:before="240"/>
              <w:jc w:val="both"/>
              <w:rPr>
                <w:rFonts w:ascii="Verdana" w:hAnsi="Verdana"/>
                <w:color w:val="000000"/>
                <w:sz w:val="18"/>
                <w:szCs w:val="18"/>
              </w:rPr>
            </w:pPr>
            <w:proofErr w:type="spellStart"/>
            <w:proofErr w:type="gramStart"/>
            <w:r w:rsidRPr="00C51113">
              <w:rPr>
                <w:rFonts w:ascii="Verdana" w:hAnsi="Verdana"/>
                <w:i/>
                <w:iCs/>
                <w:color w:val="000000"/>
                <w:sz w:val="18"/>
                <w:szCs w:val="18"/>
              </w:rPr>
              <w:t>phaR</w:t>
            </w:r>
            <w:proofErr w:type="spellEnd"/>
            <w:r w:rsidRPr="00C51113">
              <w:rPr>
                <w:rFonts w:ascii="Verdana" w:hAnsi="Verdana"/>
                <w:color w:val="000000"/>
                <w:sz w:val="18"/>
                <w:szCs w:val="18"/>
              </w:rPr>
              <w:t>::</w:t>
            </w:r>
            <w:proofErr w:type="gramEnd"/>
            <w:r w:rsidRPr="00C51113">
              <w:rPr>
                <w:rFonts w:ascii="Verdana" w:hAnsi="Verdana"/>
                <w:color w:val="000000"/>
                <w:sz w:val="18"/>
                <w:szCs w:val="18"/>
              </w:rPr>
              <w:t>Tn5-Km</w:t>
            </w:r>
            <w:r w:rsidRPr="00C51113">
              <w:rPr>
                <w:rFonts w:ascii="Verdana" w:hAnsi="Verdana"/>
                <w:color w:val="000000"/>
                <w:sz w:val="18"/>
                <w:szCs w:val="18"/>
                <w:vertAlign w:val="superscript"/>
              </w:rPr>
              <w:t>R</w:t>
            </w:r>
          </w:p>
        </w:tc>
        <w:tc>
          <w:tcPr>
            <w:tcW w:w="1378" w:type="dxa"/>
            <w:tcBorders>
              <w:top w:val="nil"/>
              <w:left w:val="nil"/>
              <w:bottom w:val="nil"/>
              <w:right w:val="nil"/>
            </w:tcBorders>
            <w:shd w:val="clear" w:color="auto" w:fill="auto"/>
          </w:tcPr>
          <w:p w14:paraId="7A660DAB"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636</w:t>
            </w:r>
          </w:p>
        </w:tc>
        <w:tc>
          <w:tcPr>
            <w:tcW w:w="1350" w:type="dxa"/>
            <w:tcBorders>
              <w:top w:val="nil"/>
              <w:left w:val="nil"/>
              <w:bottom w:val="nil"/>
              <w:right w:val="nil"/>
            </w:tcBorders>
            <w:shd w:val="clear" w:color="auto" w:fill="auto"/>
            <w:noWrap/>
            <w:hideMark/>
          </w:tcPr>
          <w:p w14:paraId="38274B03"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45</w:t>
            </w:r>
          </w:p>
        </w:tc>
        <w:tc>
          <w:tcPr>
            <w:tcW w:w="1440" w:type="dxa"/>
            <w:tcBorders>
              <w:top w:val="nil"/>
              <w:left w:val="nil"/>
              <w:bottom w:val="nil"/>
              <w:right w:val="nil"/>
            </w:tcBorders>
            <w:shd w:val="clear" w:color="auto" w:fill="auto"/>
          </w:tcPr>
          <w:p w14:paraId="56758F86"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90 (F)</w:t>
            </w:r>
          </w:p>
          <w:p w14:paraId="770FF4EC"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248 (R)</w:t>
            </w:r>
          </w:p>
        </w:tc>
        <w:tc>
          <w:tcPr>
            <w:tcW w:w="1620" w:type="dxa"/>
            <w:tcBorders>
              <w:top w:val="nil"/>
              <w:left w:val="nil"/>
              <w:bottom w:val="nil"/>
              <w:right w:val="nil"/>
            </w:tcBorders>
            <w:shd w:val="clear" w:color="auto" w:fill="auto"/>
            <w:noWrap/>
            <w:hideMark/>
          </w:tcPr>
          <w:p w14:paraId="3A33FB7E"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4080</w:t>
            </w:r>
          </w:p>
        </w:tc>
        <w:tc>
          <w:tcPr>
            <w:tcW w:w="1584" w:type="dxa"/>
            <w:tcBorders>
              <w:top w:val="nil"/>
              <w:left w:val="nil"/>
              <w:bottom w:val="nil"/>
              <w:right w:val="nil"/>
            </w:tcBorders>
            <w:shd w:val="clear" w:color="auto" w:fill="auto"/>
            <w:noWrap/>
            <w:hideMark/>
          </w:tcPr>
          <w:p w14:paraId="7743F10E"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Cude et al., 2015</w:t>
            </w:r>
          </w:p>
        </w:tc>
      </w:tr>
      <w:tr w:rsidR="0092091F" w:rsidRPr="00C51113" w14:paraId="48EACC39" w14:textId="77777777" w:rsidTr="0092091F">
        <w:trPr>
          <w:trHeight w:val="315"/>
        </w:trPr>
        <w:tc>
          <w:tcPr>
            <w:tcW w:w="1897" w:type="dxa"/>
            <w:tcBorders>
              <w:top w:val="nil"/>
              <w:left w:val="nil"/>
              <w:bottom w:val="single" w:sz="18" w:space="0" w:color="auto"/>
              <w:right w:val="nil"/>
            </w:tcBorders>
            <w:shd w:val="clear" w:color="auto" w:fill="auto"/>
            <w:noWrap/>
            <w:hideMark/>
          </w:tcPr>
          <w:p w14:paraId="46283DBE" w14:textId="77777777" w:rsidR="0092091F" w:rsidRPr="00C51113" w:rsidRDefault="0092091F" w:rsidP="00677C01">
            <w:pPr>
              <w:spacing w:before="240"/>
              <w:jc w:val="both"/>
              <w:rPr>
                <w:rFonts w:ascii="Verdana" w:hAnsi="Verdana"/>
                <w:b/>
                <w:bCs/>
                <w:color w:val="000000"/>
                <w:sz w:val="18"/>
                <w:szCs w:val="18"/>
              </w:rPr>
            </w:pPr>
            <w:proofErr w:type="spellStart"/>
            <w:proofErr w:type="gramStart"/>
            <w:r w:rsidRPr="00C51113">
              <w:rPr>
                <w:rFonts w:ascii="Verdana" w:hAnsi="Verdana"/>
                <w:b/>
                <w:bCs/>
                <w:i/>
                <w:iCs/>
                <w:color w:val="000000"/>
                <w:sz w:val="18"/>
                <w:szCs w:val="18"/>
              </w:rPr>
              <w:t>phaI</w:t>
            </w:r>
            <w:proofErr w:type="spellEnd"/>
            <w:r w:rsidRPr="00C51113">
              <w:rPr>
                <w:rFonts w:ascii="Verdana" w:hAnsi="Verdana"/>
                <w:b/>
                <w:bCs/>
                <w:color w:val="000000"/>
                <w:sz w:val="18"/>
                <w:szCs w:val="18"/>
              </w:rPr>
              <w:t>::</w:t>
            </w:r>
            <w:proofErr w:type="spellStart"/>
            <w:proofErr w:type="gramEnd"/>
            <w:r w:rsidRPr="00C51113">
              <w:rPr>
                <w:rFonts w:ascii="Verdana" w:hAnsi="Verdana"/>
                <w:b/>
                <w:bCs/>
                <w:color w:val="000000"/>
                <w:sz w:val="18"/>
                <w:szCs w:val="18"/>
              </w:rPr>
              <w:t>pKNOCK</w:t>
            </w:r>
            <w:proofErr w:type="spellEnd"/>
          </w:p>
        </w:tc>
        <w:tc>
          <w:tcPr>
            <w:tcW w:w="1940" w:type="dxa"/>
            <w:tcBorders>
              <w:top w:val="nil"/>
              <w:left w:val="nil"/>
              <w:bottom w:val="single" w:sz="18" w:space="0" w:color="auto"/>
              <w:right w:val="nil"/>
            </w:tcBorders>
            <w:shd w:val="clear" w:color="auto" w:fill="auto"/>
            <w:noWrap/>
            <w:hideMark/>
          </w:tcPr>
          <w:p w14:paraId="10D56A1C" w14:textId="77777777" w:rsidR="0092091F" w:rsidRPr="00C51113" w:rsidRDefault="0092091F" w:rsidP="00677C01">
            <w:pPr>
              <w:spacing w:before="240"/>
              <w:jc w:val="both"/>
              <w:rPr>
                <w:rFonts w:ascii="Verdana" w:hAnsi="Verdana"/>
                <w:color w:val="000000"/>
                <w:sz w:val="18"/>
                <w:szCs w:val="18"/>
              </w:rPr>
            </w:pPr>
            <w:proofErr w:type="spellStart"/>
            <w:proofErr w:type="gramStart"/>
            <w:r w:rsidRPr="00C51113">
              <w:rPr>
                <w:rFonts w:ascii="Verdana" w:hAnsi="Verdana"/>
                <w:i/>
                <w:iCs/>
                <w:color w:val="000000"/>
                <w:sz w:val="18"/>
                <w:szCs w:val="18"/>
              </w:rPr>
              <w:t>phaI</w:t>
            </w:r>
            <w:proofErr w:type="spellEnd"/>
            <w:r w:rsidRPr="00C51113">
              <w:rPr>
                <w:rFonts w:ascii="Verdana" w:hAnsi="Verdana"/>
                <w:color w:val="000000"/>
                <w:sz w:val="18"/>
                <w:szCs w:val="18"/>
              </w:rPr>
              <w:t>::</w:t>
            </w:r>
            <w:proofErr w:type="spellStart"/>
            <w:proofErr w:type="gramEnd"/>
            <w:r w:rsidRPr="00C51113">
              <w:rPr>
                <w:rFonts w:ascii="Verdana" w:hAnsi="Verdana"/>
                <w:color w:val="000000"/>
                <w:sz w:val="18"/>
                <w:szCs w:val="18"/>
              </w:rPr>
              <w:t>pKNOCK</w:t>
            </w:r>
            <w:proofErr w:type="spellEnd"/>
          </w:p>
        </w:tc>
        <w:tc>
          <w:tcPr>
            <w:tcW w:w="1378" w:type="dxa"/>
            <w:tcBorders>
              <w:top w:val="nil"/>
              <w:left w:val="nil"/>
              <w:bottom w:val="single" w:sz="18" w:space="0" w:color="auto"/>
              <w:right w:val="nil"/>
            </w:tcBorders>
            <w:shd w:val="clear" w:color="auto" w:fill="auto"/>
          </w:tcPr>
          <w:p w14:paraId="66545D9B"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666</w:t>
            </w:r>
          </w:p>
        </w:tc>
        <w:tc>
          <w:tcPr>
            <w:tcW w:w="1350" w:type="dxa"/>
            <w:tcBorders>
              <w:top w:val="nil"/>
              <w:left w:val="nil"/>
              <w:bottom w:val="single" w:sz="18" w:space="0" w:color="auto"/>
              <w:right w:val="nil"/>
            </w:tcBorders>
            <w:shd w:val="clear" w:color="auto" w:fill="auto"/>
            <w:noWrap/>
            <w:hideMark/>
          </w:tcPr>
          <w:p w14:paraId="4D97EE4E"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268</w:t>
            </w:r>
          </w:p>
        </w:tc>
        <w:tc>
          <w:tcPr>
            <w:tcW w:w="1440" w:type="dxa"/>
            <w:tcBorders>
              <w:top w:val="nil"/>
              <w:left w:val="nil"/>
              <w:bottom w:val="single" w:sz="18" w:space="0" w:color="auto"/>
              <w:right w:val="nil"/>
            </w:tcBorders>
            <w:shd w:val="clear" w:color="auto" w:fill="auto"/>
          </w:tcPr>
          <w:p w14:paraId="589E0EDC"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829 (F) 1044 (R)</w:t>
            </w:r>
          </w:p>
        </w:tc>
        <w:tc>
          <w:tcPr>
            <w:tcW w:w="1620" w:type="dxa"/>
            <w:tcBorders>
              <w:top w:val="nil"/>
              <w:left w:val="nil"/>
              <w:bottom w:val="single" w:sz="18" w:space="0" w:color="auto"/>
              <w:right w:val="nil"/>
            </w:tcBorders>
            <w:shd w:val="clear" w:color="auto" w:fill="auto"/>
            <w:noWrap/>
            <w:hideMark/>
          </w:tcPr>
          <w:p w14:paraId="42ACF6AC"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2400</w:t>
            </w:r>
          </w:p>
        </w:tc>
        <w:tc>
          <w:tcPr>
            <w:tcW w:w="1584" w:type="dxa"/>
            <w:tcBorders>
              <w:top w:val="nil"/>
              <w:left w:val="nil"/>
              <w:bottom w:val="single" w:sz="18" w:space="0" w:color="auto"/>
              <w:right w:val="nil"/>
            </w:tcBorders>
            <w:shd w:val="clear" w:color="auto" w:fill="auto"/>
            <w:noWrap/>
            <w:hideMark/>
          </w:tcPr>
          <w:p w14:paraId="007FFBC8" w14:textId="77777777" w:rsidR="0092091F" w:rsidRPr="00C51113" w:rsidRDefault="0092091F" w:rsidP="00677C01">
            <w:pPr>
              <w:spacing w:before="240"/>
              <w:jc w:val="both"/>
              <w:rPr>
                <w:rFonts w:ascii="Verdana" w:hAnsi="Verdana"/>
                <w:color w:val="000000"/>
                <w:sz w:val="18"/>
                <w:szCs w:val="18"/>
              </w:rPr>
            </w:pPr>
            <w:r w:rsidRPr="00C51113">
              <w:rPr>
                <w:rFonts w:ascii="Verdana" w:hAnsi="Verdana"/>
                <w:color w:val="000000"/>
                <w:sz w:val="18"/>
                <w:szCs w:val="18"/>
              </w:rPr>
              <w:t>This study</w:t>
            </w:r>
          </w:p>
        </w:tc>
      </w:tr>
    </w:tbl>
    <w:p w14:paraId="6C4D61AB" w14:textId="3E917D47" w:rsidR="0092091F" w:rsidRPr="00C51113" w:rsidRDefault="0092091F" w:rsidP="00677C01">
      <w:pPr>
        <w:spacing w:before="240"/>
        <w:jc w:val="both"/>
        <w:rPr>
          <w:rFonts w:ascii="Verdana" w:hAnsi="Verdana"/>
          <w:sz w:val="18"/>
          <w:szCs w:val="18"/>
        </w:rPr>
      </w:pPr>
      <w:r w:rsidRPr="00C51113">
        <w:rPr>
          <w:rFonts w:ascii="Verdana" w:hAnsi="Verdana"/>
          <w:b/>
          <w:bCs/>
          <w:sz w:val="18"/>
          <w:szCs w:val="18"/>
        </w:rPr>
        <w:t xml:space="preserve"> </w:t>
      </w:r>
    </w:p>
    <w:p w14:paraId="6FA8D5D4" w14:textId="77777777" w:rsidR="0092091F" w:rsidRPr="00C51113" w:rsidRDefault="0092091F" w:rsidP="00677C01">
      <w:pPr>
        <w:spacing w:before="240"/>
        <w:jc w:val="both"/>
        <w:rPr>
          <w:rFonts w:ascii="Verdana" w:hAnsi="Verdana"/>
          <w:sz w:val="18"/>
          <w:szCs w:val="18"/>
        </w:rPr>
      </w:pPr>
    </w:p>
    <w:p w14:paraId="3B2017D5" w14:textId="77777777" w:rsidR="0092091F" w:rsidRPr="00C51113" w:rsidRDefault="0092091F" w:rsidP="00677C01">
      <w:pPr>
        <w:spacing w:before="240"/>
        <w:jc w:val="both"/>
        <w:rPr>
          <w:rFonts w:ascii="Verdana" w:hAnsi="Verdana"/>
          <w:sz w:val="18"/>
          <w:szCs w:val="18"/>
        </w:rPr>
      </w:pPr>
    </w:p>
    <w:p w14:paraId="593F1CEB" w14:textId="77777777" w:rsidR="0092091F" w:rsidRPr="00C51113" w:rsidRDefault="0092091F" w:rsidP="00677C01">
      <w:pPr>
        <w:spacing w:before="240"/>
        <w:jc w:val="both"/>
        <w:rPr>
          <w:rFonts w:ascii="Verdana" w:hAnsi="Verdana"/>
          <w:sz w:val="18"/>
          <w:szCs w:val="18"/>
        </w:rPr>
      </w:pPr>
    </w:p>
    <w:p w14:paraId="65455BB4" w14:textId="77777777" w:rsidR="0092091F" w:rsidRPr="00C51113" w:rsidRDefault="0092091F" w:rsidP="00677C01">
      <w:pPr>
        <w:spacing w:before="240"/>
        <w:jc w:val="both"/>
        <w:rPr>
          <w:rFonts w:ascii="Verdana" w:hAnsi="Verdana"/>
          <w:sz w:val="18"/>
          <w:szCs w:val="18"/>
        </w:rPr>
      </w:pPr>
    </w:p>
    <w:p w14:paraId="30DBFDA8" w14:textId="77777777" w:rsidR="0092091F" w:rsidRPr="00C51113" w:rsidRDefault="0092091F" w:rsidP="00677C01">
      <w:pPr>
        <w:tabs>
          <w:tab w:val="left" w:pos="2809"/>
        </w:tabs>
        <w:spacing w:before="240"/>
        <w:jc w:val="both"/>
        <w:rPr>
          <w:rFonts w:ascii="Verdana" w:hAnsi="Verdana"/>
          <w:sz w:val="18"/>
          <w:szCs w:val="18"/>
        </w:rPr>
      </w:pPr>
    </w:p>
    <w:p w14:paraId="029ED3C7" w14:textId="77777777" w:rsidR="0092091F" w:rsidRPr="00C51113" w:rsidRDefault="0092091F" w:rsidP="00677C01">
      <w:pPr>
        <w:tabs>
          <w:tab w:val="left" w:pos="2809"/>
        </w:tabs>
        <w:spacing w:before="240"/>
        <w:jc w:val="both"/>
        <w:rPr>
          <w:rFonts w:ascii="Verdana" w:hAnsi="Verdana"/>
          <w:sz w:val="18"/>
          <w:szCs w:val="18"/>
        </w:rPr>
      </w:pPr>
    </w:p>
    <w:p w14:paraId="222F202F" w14:textId="77777777" w:rsidR="0092091F" w:rsidRPr="00C51113" w:rsidRDefault="0092091F" w:rsidP="00677C01">
      <w:pPr>
        <w:tabs>
          <w:tab w:val="left" w:pos="2809"/>
        </w:tabs>
        <w:spacing w:before="240"/>
        <w:jc w:val="both"/>
        <w:rPr>
          <w:rFonts w:ascii="Verdana" w:hAnsi="Verdana"/>
          <w:sz w:val="18"/>
          <w:szCs w:val="18"/>
          <w:vertAlign w:val="superscript"/>
        </w:rPr>
      </w:pPr>
    </w:p>
    <w:p w14:paraId="6427E576" w14:textId="77777777" w:rsidR="0092091F" w:rsidRPr="00C51113" w:rsidRDefault="0092091F" w:rsidP="00677C01">
      <w:pPr>
        <w:tabs>
          <w:tab w:val="left" w:pos="2809"/>
        </w:tabs>
        <w:spacing w:before="240"/>
        <w:jc w:val="both"/>
        <w:rPr>
          <w:rFonts w:ascii="Verdana" w:hAnsi="Verdana"/>
          <w:sz w:val="18"/>
          <w:szCs w:val="18"/>
          <w:vertAlign w:val="superscript"/>
        </w:rPr>
      </w:pPr>
    </w:p>
    <w:p w14:paraId="753F87F5" w14:textId="77777777" w:rsidR="0092091F" w:rsidRPr="00C51113" w:rsidRDefault="0092091F" w:rsidP="00677C01">
      <w:pPr>
        <w:tabs>
          <w:tab w:val="left" w:pos="2809"/>
        </w:tabs>
        <w:spacing w:before="240"/>
        <w:jc w:val="both"/>
        <w:rPr>
          <w:rFonts w:ascii="Verdana" w:hAnsi="Verdana"/>
          <w:sz w:val="18"/>
          <w:szCs w:val="18"/>
          <w:vertAlign w:val="superscript"/>
        </w:rPr>
      </w:pPr>
    </w:p>
    <w:p w14:paraId="26B1474F" w14:textId="77777777" w:rsidR="0092091F" w:rsidRPr="00C51113" w:rsidRDefault="0092091F" w:rsidP="00677C01">
      <w:pPr>
        <w:tabs>
          <w:tab w:val="left" w:pos="2809"/>
        </w:tabs>
        <w:spacing w:before="240"/>
        <w:jc w:val="both"/>
        <w:rPr>
          <w:rFonts w:ascii="Verdana" w:hAnsi="Verdana"/>
          <w:sz w:val="18"/>
          <w:szCs w:val="18"/>
          <w:vertAlign w:val="superscript"/>
        </w:rPr>
      </w:pPr>
    </w:p>
    <w:p w14:paraId="04F268F9" w14:textId="4A652E62" w:rsidR="0092091F" w:rsidRPr="00C51113" w:rsidRDefault="0092091F" w:rsidP="00677C01">
      <w:pPr>
        <w:tabs>
          <w:tab w:val="left" w:pos="2809"/>
        </w:tabs>
        <w:spacing w:before="240"/>
        <w:jc w:val="both"/>
        <w:rPr>
          <w:rFonts w:ascii="Verdana" w:hAnsi="Verdana"/>
          <w:sz w:val="18"/>
          <w:szCs w:val="18"/>
        </w:rPr>
      </w:pPr>
      <w:r w:rsidRPr="00C51113">
        <w:rPr>
          <w:rFonts w:ascii="Verdana" w:hAnsi="Verdana"/>
          <w:sz w:val="18"/>
          <w:szCs w:val="18"/>
          <w:vertAlign w:val="superscript"/>
        </w:rPr>
        <w:t>a</w:t>
      </w:r>
      <w:r w:rsidRPr="00C51113">
        <w:rPr>
          <w:rFonts w:ascii="Verdana" w:hAnsi="Verdana"/>
          <w:sz w:val="18"/>
          <w:szCs w:val="18"/>
          <w:vertAlign w:val="subscript"/>
        </w:rPr>
        <w:t xml:space="preserve"> </w:t>
      </w:r>
      <w:r w:rsidRPr="00C51113">
        <w:rPr>
          <w:rFonts w:ascii="Verdana" w:hAnsi="Verdana"/>
          <w:sz w:val="18"/>
          <w:szCs w:val="18"/>
        </w:rPr>
        <w:t>Nucleotide position within the designated gene</w:t>
      </w:r>
    </w:p>
    <w:p w14:paraId="62B1BDEB" w14:textId="4BE632BC" w:rsidR="0092091F" w:rsidRPr="00C51113" w:rsidRDefault="0092091F" w:rsidP="00677C01">
      <w:pPr>
        <w:tabs>
          <w:tab w:val="left" w:pos="2809"/>
        </w:tabs>
        <w:spacing w:before="240"/>
        <w:jc w:val="both"/>
        <w:rPr>
          <w:rFonts w:ascii="Verdana" w:hAnsi="Verdana"/>
          <w:sz w:val="18"/>
          <w:szCs w:val="18"/>
        </w:rPr>
        <w:sectPr w:rsidR="0092091F" w:rsidRPr="00C51113" w:rsidSect="006B5240">
          <w:pgSz w:w="15840" w:h="12240" w:orient="landscape"/>
          <w:pgMar w:top="1440" w:right="1440" w:bottom="1440" w:left="1440" w:header="720" w:footer="720" w:gutter="0"/>
          <w:cols w:space="720"/>
          <w:docGrid w:linePitch="360"/>
        </w:sectPr>
      </w:pPr>
      <w:r w:rsidRPr="00C51113">
        <w:rPr>
          <w:rFonts w:ascii="Verdana" w:hAnsi="Verdana"/>
          <w:sz w:val="18"/>
          <w:szCs w:val="18"/>
          <w:vertAlign w:val="superscript"/>
        </w:rPr>
        <w:t>b</w:t>
      </w:r>
      <w:r w:rsidRPr="00C51113">
        <w:rPr>
          <w:rFonts w:ascii="Verdana" w:hAnsi="Verdana"/>
          <w:sz w:val="18"/>
          <w:szCs w:val="18"/>
        </w:rPr>
        <w:t>(F) = position of start of forward primer and (R) = position of start of reverse primer</w:t>
      </w:r>
      <w:r w:rsidR="00A627D2">
        <w:rPr>
          <w:rFonts w:ascii="Verdana" w:hAnsi="Verdana"/>
          <w:sz w:val="18"/>
          <w:szCs w:val="18"/>
        </w:rPr>
        <w:t xml:space="preserve"> </w:t>
      </w:r>
    </w:p>
    <w:p w14:paraId="426BA3D1" w14:textId="1D7CE63A" w:rsidR="0092091F" w:rsidRPr="00F8165F" w:rsidRDefault="00247EBF" w:rsidP="00677C01">
      <w:pPr>
        <w:pStyle w:val="Caption"/>
        <w:spacing w:before="240"/>
        <w:jc w:val="both"/>
        <w:rPr>
          <w:rFonts w:ascii="Verdana" w:hAnsi="Verdana"/>
          <w:sz w:val="20"/>
          <w:szCs w:val="20"/>
        </w:rPr>
      </w:pPr>
      <w:bookmarkStart w:id="37" w:name="_Toc80349785"/>
      <w:r w:rsidRPr="00F8165F">
        <w:rPr>
          <w:rFonts w:ascii="Verdana" w:hAnsi="Verdana"/>
          <w:sz w:val="20"/>
          <w:szCs w:val="20"/>
        </w:rPr>
        <w:lastRenderedPageBreak/>
        <w:t xml:space="preserve">Figure S </w:t>
      </w:r>
      <w:r w:rsidR="00EE0740" w:rsidRPr="00F8165F">
        <w:rPr>
          <w:rFonts w:ascii="Verdana" w:hAnsi="Verdana"/>
          <w:sz w:val="20"/>
          <w:szCs w:val="20"/>
        </w:rPr>
        <w:fldChar w:fldCharType="begin"/>
      </w:r>
      <w:r w:rsidR="00EE0740" w:rsidRPr="00F8165F">
        <w:rPr>
          <w:rFonts w:ascii="Verdana" w:hAnsi="Verdana"/>
          <w:sz w:val="20"/>
          <w:szCs w:val="20"/>
        </w:rPr>
        <w:instrText xml:space="preserve"> STYLEREF 1 \s </w:instrText>
      </w:r>
      <w:r w:rsidR="00EE0740" w:rsidRPr="00F8165F">
        <w:rPr>
          <w:rFonts w:ascii="Verdana" w:hAnsi="Verdana"/>
          <w:sz w:val="20"/>
          <w:szCs w:val="20"/>
        </w:rPr>
        <w:fldChar w:fldCharType="separate"/>
      </w:r>
      <w:r w:rsidR="00EE0740" w:rsidRPr="00F8165F">
        <w:rPr>
          <w:rFonts w:ascii="Verdana" w:hAnsi="Verdana"/>
          <w:noProof/>
          <w:sz w:val="20"/>
          <w:szCs w:val="20"/>
        </w:rPr>
        <w:t>2</w:t>
      </w:r>
      <w:r w:rsidR="00EE0740" w:rsidRPr="00F8165F">
        <w:rPr>
          <w:rFonts w:ascii="Verdana" w:hAnsi="Verdana"/>
          <w:sz w:val="20"/>
          <w:szCs w:val="20"/>
        </w:rPr>
        <w:fldChar w:fldCharType="end"/>
      </w:r>
      <w:r w:rsidR="00EE0740" w:rsidRPr="00F8165F">
        <w:rPr>
          <w:rFonts w:ascii="Verdana" w:hAnsi="Verdana"/>
          <w:sz w:val="20"/>
          <w:szCs w:val="20"/>
        </w:rPr>
        <w:t>.</w:t>
      </w:r>
      <w:r w:rsidR="00EE0740" w:rsidRPr="00F8165F">
        <w:rPr>
          <w:rFonts w:ascii="Verdana" w:hAnsi="Verdana"/>
          <w:sz w:val="20"/>
          <w:szCs w:val="20"/>
        </w:rPr>
        <w:fldChar w:fldCharType="begin"/>
      </w:r>
      <w:r w:rsidR="00EE0740" w:rsidRPr="00F8165F">
        <w:rPr>
          <w:rFonts w:ascii="Verdana" w:hAnsi="Verdana"/>
          <w:sz w:val="20"/>
          <w:szCs w:val="20"/>
        </w:rPr>
        <w:instrText xml:space="preserve"> SEQ Figure_S \* ARABIC \s 1 </w:instrText>
      </w:r>
      <w:r w:rsidR="00EE0740" w:rsidRPr="00F8165F">
        <w:rPr>
          <w:rFonts w:ascii="Verdana" w:hAnsi="Verdana"/>
          <w:sz w:val="20"/>
          <w:szCs w:val="20"/>
        </w:rPr>
        <w:fldChar w:fldCharType="separate"/>
      </w:r>
      <w:r w:rsidR="00EE0740" w:rsidRPr="00F8165F">
        <w:rPr>
          <w:rFonts w:ascii="Verdana" w:hAnsi="Verdana"/>
          <w:noProof/>
          <w:sz w:val="20"/>
          <w:szCs w:val="20"/>
        </w:rPr>
        <w:t>1</w:t>
      </w:r>
      <w:r w:rsidR="00EE0740" w:rsidRPr="00F8165F">
        <w:rPr>
          <w:rFonts w:ascii="Verdana" w:hAnsi="Verdana"/>
          <w:sz w:val="20"/>
          <w:szCs w:val="20"/>
        </w:rPr>
        <w:fldChar w:fldCharType="end"/>
      </w:r>
      <w:r w:rsidRPr="00F8165F">
        <w:rPr>
          <w:rFonts w:ascii="Verdana" w:hAnsi="Verdana"/>
          <w:sz w:val="20"/>
          <w:szCs w:val="20"/>
        </w:rPr>
        <w:t xml:space="preserve"> Overview of methodology for AHL add back</w:t>
      </w:r>
      <w:r w:rsidR="0092091F" w:rsidRPr="00F8165F">
        <w:rPr>
          <w:rFonts w:ascii="Verdana" w:hAnsi="Verdana"/>
          <w:noProof/>
          <w:sz w:val="20"/>
          <w:szCs w:val="20"/>
        </w:rPr>
        <mc:AlternateContent>
          <mc:Choice Requires="wps">
            <w:drawing>
              <wp:anchor distT="0" distB="0" distL="114300" distR="114300" simplePos="0" relativeHeight="251660288" behindDoc="0" locked="0" layoutInCell="1" allowOverlap="1" wp14:anchorId="05925525" wp14:editId="7340621C">
                <wp:simplePos x="0" y="0"/>
                <wp:positionH relativeFrom="column">
                  <wp:posOffset>2092960</wp:posOffset>
                </wp:positionH>
                <wp:positionV relativeFrom="paragraph">
                  <wp:posOffset>287655</wp:posOffset>
                </wp:positionV>
                <wp:extent cx="323215" cy="226695"/>
                <wp:effectExtent l="0" t="8890" r="29845" b="29845"/>
                <wp:wrapNone/>
                <wp:docPr id="16" name="Arrow: Right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rot="5400000">
                          <a:off x="0" y="0"/>
                          <a:ext cx="323215" cy="226695"/>
                        </a:xfrm>
                        <a:prstGeom prst="rightArrow">
                          <a:avLst/>
                        </a:prstGeom>
                        <a:solidFill>
                          <a:srgbClr val="FF0000"/>
                        </a:solidFill>
                        <a:ln w="12700" cap="flat" cmpd="sng" algn="ctr">
                          <a:solidFill>
                            <a:sysClr val="windowText" lastClr="000000"/>
                          </a:solidFill>
                          <a:prstDash val="solid"/>
                          <a:miter lim="800000"/>
                        </a:ln>
                        <a:effectLst/>
                      </wps:spPr>
                      <wps:txbx>
                        <w:txbxContent>
                          <w:p w14:paraId="520B3BF7" w14:textId="77777777" w:rsidR="0092091F" w:rsidRDefault="0092091F" w:rsidP="0092091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925525"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6" o:spid="_x0000_s1026" type="#_x0000_t13" style="position:absolute;left:0;text-align:left;margin-left:164.8pt;margin-top:22.65pt;width:25.45pt;height:17.8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" adj="14025" fillcolor="red" strokecolor="windowText" strokeweight="1pt">
                <v:path arrowok="t"/>
                <v:textbox>
                  <w:txbxContent>
                    <w:p w14:paraId="520B3BF7" w14:textId="77777777" w:rsidR="0092091F" w:rsidRDefault="0092091F" w:rsidP="0092091F"/>
                  </w:txbxContent>
                </v:textbox>
              </v:shape>
            </w:pict>
          </mc:Fallback>
        </mc:AlternateContent>
      </w:r>
      <w:r w:rsidR="0092091F" w:rsidRPr="00F8165F">
        <w:rPr>
          <w:rFonts w:ascii="Verdana" w:hAnsi="Verdana"/>
          <w:noProof/>
          <w:sz w:val="20"/>
          <w:szCs w:val="20"/>
        </w:rPr>
        <w:drawing>
          <wp:anchor distT="0" distB="0" distL="114300" distR="114300" simplePos="0" relativeHeight="251657215" behindDoc="0" locked="0" layoutInCell="1" allowOverlap="1" wp14:anchorId="78D145CE" wp14:editId="74F39AFD">
            <wp:simplePos x="0" y="0"/>
            <wp:positionH relativeFrom="column">
              <wp:posOffset>66675</wp:posOffset>
            </wp:positionH>
            <wp:positionV relativeFrom="paragraph">
              <wp:posOffset>0</wp:posOffset>
            </wp:positionV>
            <wp:extent cx="5924550" cy="3543300"/>
            <wp:effectExtent l="0" t="0" r="0" b="0"/>
            <wp:wrapTopAndBottom/>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924550" cy="3543300"/>
                    </a:xfrm>
                    <a:prstGeom prst="rect">
                      <a:avLst/>
                    </a:prstGeom>
                    <a:noFill/>
                    <a:ln>
                      <a:noFill/>
                    </a:ln>
                  </pic:spPr>
                </pic:pic>
              </a:graphicData>
            </a:graphic>
          </wp:anchor>
        </w:drawing>
      </w:r>
      <w:r w:rsidRPr="00F8165F">
        <w:rPr>
          <w:rFonts w:ascii="Verdana" w:hAnsi="Verdana"/>
          <w:sz w:val="20"/>
          <w:szCs w:val="20"/>
        </w:rPr>
        <w:t>.</w:t>
      </w:r>
      <w:r w:rsidRPr="00F8165F">
        <w:rPr>
          <w:sz w:val="28"/>
          <w:szCs w:val="28"/>
        </w:rPr>
        <w:t xml:space="preserve"> </w:t>
      </w:r>
      <w:r w:rsidR="0092091F" w:rsidRPr="00F8165F">
        <w:rPr>
          <w:rFonts w:ascii="Verdana" w:hAnsi="Verdana"/>
          <w:b w:val="0"/>
          <w:bCs w:val="0"/>
          <w:sz w:val="20"/>
          <w:szCs w:val="20"/>
        </w:rPr>
        <w:t>Overnight cultures (3 biological and 3 technical) of Y4I and variants were split into duplicates (now 30 cultures) and diluted to early exponential phase (OD</w:t>
      </w:r>
      <w:r w:rsidR="0092091F" w:rsidRPr="00F8165F">
        <w:rPr>
          <w:rFonts w:ascii="Verdana" w:hAnsi="Verdana"/>
          <w:b w:val="0"/>
          <w:bCs w:val="0"/>
          <w:sz w:val="20"/>
          <w:szCs w:val="20"/>
          <w:vertAlign w:val="subscript"/>
        </w:rPr>
        <w:t>540</w:t>
      </w:r>
      <w:r w:rsidR="0092091F" w:rsidRPr="00F8165F">
        <w:rPr>
          <w:rFonts w:ascii="Verdana" w:hAnsi="Verdana"/>
          <w:b w:val="0"/>
          <w:bCs w:val="0"/>
          <w:sz w:val="20"/>
          <w:szCs w:val="20"/>
        </w:rPr>
        <w:t xml:space="preserve"> ~ 0.1 nm) and allowed to grow until they reached mid-exponential phase (OD</w:t>
      </w:r>
      <w:r w:rsidR="0092091F" w:rsidRPr="00F8165F">
        <w:rPr>
          <w:rFonts w:ascii="Verdana" w:hAnsi="Verdana"/>
          <w:b w:val="0"/>
          <w:bCs w:val="0"/>
          <w:sz w:val="20"/>
          <w:szCs w:val="20"/>
          <w:vertAlign w:val="subscript"/>
        </w:rPr>
        <w:t>540</w:t>
      </w:r>
      <w:r w:rsidR="0092091F" w:rsidRPr="00F8165F">
        <w:rPr>
          <w:rFonts w:ascii="Verdana" w:hAnsi="Verdana"/>
          <w:b w:val="0"/>
          <w:bCs w:val="0"/>
          <w:sz w:val="20"/>
          <w:szCs w:val="20"/>
        </w:rPr>
        <w:t xml:space="preserve"> ~ 1.0 nm). 3OHC12:1-HSL was added to one set of the duplicate cultures (red arrow). The other set of duplicate cultures became the C8-HSL alone treatment and the no AHL control.  All cultures </w:t>
      </w:r>
      <w:proofErr w:type="gramStart"/>
      <w:r w:rsidR="0092091F" w:rsidRPr="00F8165F">
        <w:rPr>
          <w:rFonts w:ascii="Verdana" w:hAnsi="Verdana"/>
          <w:b w:val="0"/>
          <w:bCs w:val="0"/>
          <w:sz w:val="20"/>
          <w:szCs w:val="20"/>
        </w:rPr>
        <w:t>were allowed to</w:t>
      </w:r>
      <w:proofErr w:type="gramEnd"/>
      <w:r w:rsidR="0092091F" w:rsidRPr="00F8165F">
        <w:rPr>
          <w:rFonts w:ascii="Verdana" w:hAnsi="Verdana"/>
          <w:b w:val="0"/>
          <w:bCs w:val="0"/>
          <w:sz w:val="20"/>
          <w:szCs w:val="20"/>
        </w:rPr>
        <w:t xml:space="preserve"> continue growing until 24 </w:t>
      </w:r>
      <w:proofErr w:type="spellStart"/>
      <w:r w:rsidR="0092091F" w:rsidRPr="00F8165F">
        <w:rPr>
          <w:rFonts w:ascii="Verdana" w:hAnsi="Verdana"/>
          <w:b w:val="0"/>
          <w:bCs w:val="0"/>
          <w:sz w:val="20"/>
          <w:szCs w:val="20"/>
        </w:rPr>
        <w:t>hrs</w:t>
      </w:r>
      <w:proofErr w:type="spellEnd"/>
      <w:r w:rsidR="0092091F" w:rsidRPr="00F8165F">
        <w:rPr>
          <w:rFonts w:ascii="Verdana" w:hAnsi="Verdana"/>
          <w:b w:val="0"/>
          <w:bCs w:val="0"/>
          <w:sz w:val="20"/>
          <w:szCs w:val="20"/>
        </w:rPr>
        <w:t xml:space="preserve"> had been reached. All cultures were then spotted in 10 µL spots onto 10 mL YTSS agar plates with or without C8-HSL and incubated for 24 hrs. The resulting 4 conditions were then analyzed for their indigoidine production for each Y4I variant: both AHLs (blue), 3OHC12:1-HSL alone (yellow), C8-HSL alone (green), and no AHLs (gray).</w:t>
      </w:r>
      <w:bookmarkEnd w:id="37"/>
      <w:r w:rsidR="0092091F" w:rsidRPr="00F8165F">
        <w:rPr>
          <w:rFonts w:ascii="Verdana" w:hAnsi="Verdana"/>
          <w:sz w:val="20"/>
          <w:szCs w:val="20"/>
        </w:rPr>
        <w:t xml:space="preserve"> </w:t>
      </w:r>
    </w:p>
    <w:p w14:paraId="367865C3" w14:textId="43BB64AD" w:rsidR="0092091F" w:rsidRPr="00C51113" w:rsidRDefault="0092091F" w:rsidP="00677C01">
      <w:pPr>
        <w:spacing w:before="240"/>
        <w:jc w:val="both"/>
        <w:rPr>
          <w:rFonts w:ascii="Verdana" w:hAnsi="Verdana"/>
          <w:sz w:val="18"/>
          <w:szCs w:val="18"/>
        </w:rPr>
      </w:pPr>
    </w:p>
    <w:p w14:paraId="6E710A9A" w14:textId="305D376A" w:rsidR="00EE0740" w:rsidRDefault="00EE0740" w:rsidP="00677C01">
      <w:pPr>
        <w:pStyle w:val="Caption"/>
        <w:spacing w:before="240"/>
      </w:pPr>
      <w:r w:rsidRPr="00C51113">
        <w:rPr>
          <w:rFonts w:ascii="Verdana" w:hAnsi="Verdana"/>
          <w:b w:val="0"/>
          <w:noProof/>
          <w:sz w:val="18"/>
          <w:szCs w:val="18"/>
        </w:rPr>
        <w:lastRenderedPageBreak/>
        <w:drawing>
          <wp:anchor distT="0" distB="0" distL="114300" distR="114300" simplePos="0" relativeHeight="251662336" behindDoc="0" locked="0" layoutInCell="1" allowOverlap="1" wp14:anchorId="0F6FE0AE" wp14:editId="5EB5BE92">
            <wp:simplePos x="0" y="0"/>
            <wp:positionH relativeFrom="column">
              <wp:posOffset>-123825</wp:posOffset>
            </wp:positionH>
            <wp:positionV relativeFrom="paragraph">
              <wp:posOffset>275839</wp:posOffset>
            </wp:positionV>
            <wp:extent cx="5943600" cy="2990850"/>
            <wp:effectExtent l="0" t="0" r="0" b="0"/>
            <wp:wrapTopAndBottom/>
            <wp:docPr id="13" name="Picture 13"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Logo&#10;&#10;Description automatically generated with medium confidenc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2990850"/>
                    </a:xfrm>
                    <a:prstGeom prst="rect">
                      <a:avLst/>
                    </a:prstGeom>
                    <a:noFill/>
                    <a:ln>
                      <a:noFill/>
                    </a:ln>
                  </pic:spPr>
                </pic:pic>
              </a:graphicData>
            </a:graphic>
          </wp:anchor>
        </w:drawing>
      </w:r>
    </w:p>
    <w:p w14:paraId="3A815864" w14:textId="03BEB207" w:rsidR="0092091F" w:rsidRPr="00F8165F" w:rsidRDefault="00EE0740" w:rsidP="00F8165F">
      <w:pPr>
        <w:pStyle w:val="Caption"/>
        <w:spacing w:before="240"/>
        <w:jc w:val="both"/>
        <w:rPr>
          <w:rFonts w:ascii="Verdana" w:hAnsi="Verdana"/>
          <w:iCs/>
          <w:noProof/>
          <w:sz w:val="20"/>
          <w:szCs w:val="20"/>
        </w:rPr>
      </w:pPr>
      <w:bookmarkStart w:id="38" w:name="_Toc80349787"/>
      <w:r w:rsidRPr="00F8165F">
        <w:rPr>
          <w:rFonts w:ascii="Verdana" w:hAnsi="Verdana"/>
          <w:sz w:val="20"/>
          <w:szCs w:val="20"/>
        </w:rPr>
        <w:t xml:space="preserve">Figure S </w:t>
      </w:r>
      <w:r w:rsidRPr="00F8165F">
        <w:rPr>
          <w:rFonts w:ascii="Verdana" w:hAnsi="Verdana"/>
          <w:sz w:val="20"/>
          <w:szCs w:val="20"/>
        </w:rPr>
        <w:fldChar w:fldCharType="begin"/>
      </w:r>
      <w:r w:rsidRPr="00F8165F">
        <w:rPr>
          <w:rFonts w:ascii="Verdana" w:hAnsi="Verdana"/>
          <w:sz w:val="20"/>
          <w:szCs w:val="20"/>
        </w:rPr>
        <w:instrText xml:space="preserve"> STYLEREF 1 \s </w:instrText>
      </w:r>
      <w:r w:rsidRPr="00F8165F">
        <w:rPr>
          <w:rFonts w:ascii="Verdana" w:hAnsi="Verdana"/>
          <w:sz w:val="20"/>
          <w:szCs w:val="20"/>
        </w:rPr>
        <w:fldChar w:fldCharType="separate"/>
      </w:r>
      <w:r w:rsidR="00F8165F">
        <w:rPr>
          <w:rFonts w:ascii="Verdana" w:hAnsi="Verdana"/>
          <w:noProof/>
          <w:sz w:val="20"/>
          <w:szCs w:val="20"/>
        </w:rPr>
        <w:t>2</w:t>
      </w:r>
      <w:r w:rsidRPr="00F8165F">
        <w:rPr>
          <w:rFonts w:ascii="Verdana" w:hAnsi="Verdana"/>
          <w:sz w:val="20"/>
          <w:szCs w:val="20"/>
        </w:rPr>
        <w:fldChar w:fldCharType="end"/>
      </w:r>
      <w:r w:rsidRPr="00F8165F">
        <w:rPr>
          <w:rFonts w:ascii="Verdana" w:hAnsi="Verdana"/>
          <w:sz w:val="20"/>
          <w:szCs w:val="20"/>
        </w:rPr>
        <w:t>.</w:t>
      </w:r>
      <w:r w:rsidRPr="00F8165F">
        <w:rPr>
          <w:rFonts w:ascii="Verdana" w:hAnsi="Verdana"/>
          <w:sz w:val="20"/>
          <w:szCs w:val="20"/>
        </w:rPr>
        <w:fldChar w:fldCharType="begin"/>
      </w:r>
      <w:r w:rsidRPr="00F8165F">
        <w:rPr>
          <w:rFonts w:ascii="Verdana" w:hAnsi="Verdana"/>
          <w:sz w:val="20"/>
          <w:szCs w:val="20"/>
        </w:rPr>
        <w:instrText xml:space="preserve"> SEQ Figure_S \* ARABIC \s 1 </w:instrText>
      </w:r>
      <w:r w:rsidRPr="00F8165F">
        <w:rPr>
          <w:rFonts w:ascii="Verdana" w:hAnsi="Verdana"/>
          <w:sz w:val="20"/>
          <w:szCs w:val="20"/>
        </w:rPr>
        <w:fldChar w:fldCharType="separate"/>
      </w:r>
      <w:r w:rsidR="00F8165F">
        <w:rPr>
          <w:rFonts w:ascii="Verdana" w:hAnsi="Verdana"/>
          <w:noProof/>
          <w:sz w:val="20"/>
          <w:szCs w:val="20"/>
        </w:rPr>
        <w:t>2</w:t>
      </w:r>
      <w:r w:rsidRPr="00F8165F">
        <w:rPr>
          <w:rFonts w:ascii="Verdana" w:hAnsi="Verdana"/>
          <w:sz w:val="20"/>
          <w:szCs w:val="20"/>
        </w:rPr>
        <w:fldChar w:fldCharType="end"/>
      </w:r>
      <w:r w:rsidRPr="00F8165F">
        <w:rPr>
          <w:rFonts w:ascii="Verdana" w:hAnsi="Verdana" w:cs="Times New Roman"/>
          <w:sz w:val="20"/>
          <w:szCs w:val="20"/>
        </w:rPr>
        <w:t>. Growth dynamics in liquid culture (A) and biofilm formation (B) in Y4I and mutants.</w:t>
      </w:r>
      <w:bookmarkEnd w:id="38"/>
      <w:r w:rsidRPr="00F8165F">
        <w:rPr>
          <w:rFonts w:ascii="Verdana" w:hAnsi="Verdana" w:cs="Times New Roman"/>
          <w:sz w:val="20"/>
          <w:szCs w:val="20"/>
        </w:rPr>
        <w:t xml:space="preserve"> </w:t>
      </w:r>
      <w:r w:rsidR="0092091F" w:rsidRPr="00F8165F">
        <w:rPr>
          <w:rFonts w:ascii="Verdana" w:hAnsi="Verdana"/>
          <w:b w:val="0"/>
          <w:bCs w:val="0"/>
          <w:sz w:val="20"/>
          <w:szCs w:val="20"/>
        </w:rPr>
        <w:t xml:space="preserve">For liquid cultures, data points are representative of the average of biological quadruplets. Biofilm formation was assessed by crystal violet assay at 24 </w:t>
      </w:r>
      <w:proofErr w:type="spellStart"/>
      <w:r w:rsidR="0092091F" w:rsidRPr="00F8165F">
        <w:rPr>
          <w:rFonts w:ascii="Verdana" w:hAnsi="Verdana"/>
          <w:b w:val="0"/>
          <w:bCs w:val="0"/>
          <w:sz w:val="20"/>
          <w:szCs w:val="20"/>
        </w:rPr>
        <w:t>hrs</w:t>
      </w:r>
      <w:proofErr w:type="spellEnd"/>
      <w:r w:rsidR="0092091F" w:rsidRPr="00F8165F">
        <w:rPr>
          <w:rFonts w:ascii="Verdana" w:hAnsi="Verdana"/>
          <w:b w:val="0"/>
          <w:bCs w:val="0"/>
          <w:sz w:val="20"/>
          <w:szCs w:val="20"/>
        </w:rPr>
        <w:t xml:space="preserve"> post inoculation. Data bars are representative of the average of two biological replicates containing technical septuplets. Error bars represent standard deviation from the mean and</w:t>
      </w:r>
      <w:r w:rsidR="0092091F" w:rsidRPr="00F8165F">
        <w:rPr>
          <w:rFonts w:ascii="Verdana" w:hAnsi="Verdana"/>
          <w:b w:val="0"/>
          <w:bCs w:val="0"/>
          <w:iCs/>
          <w:sz w:val="20"/>
          <w:szCs w:val="20"/>
        </w:rPr>
        <w:t xml:space="preserve"> statistical significance was calculated using a one-way ANOVA.</w:t>
      </w:r>
      <w:r w:rsidR="0092091F" w:rsidRPr="00F8165F">
        <w:rPr>
          <w:rFonts w:ascii="Verdana" w:hAnsi="Verdana"/>
          <w:b w:val="0"/>
          <w:bCs w:val="0"/>
          <w:iCs/>
          <w:noProof/>
          <w:sz w:val="20"/>
          <w:szCs w:val="20"/>
        </w:rPr>
        <w:t xml:space="preserve"> </w:t>
      </w:r>
    </w:p>
    <w:p w14:paraId="2CB62962" w14:textId="3BEE0463" w:rsidR="00EE0740" w:rsidRDefault="0092091F" w:rsidP="00677C01">
      <w:pPr>
        <w:pStyle w:val="Caption"/>
        <w:spacing w:before="240"/>
        <w:rPr>
          <w:rFonts w:ascii="Verdana" w:hAnsi="Verdana"/>
          <w:sz w:val="18"/>
          <w:szCs w:val="18"/>
        </w:rPr>
      </w:pPr>
      <w:r w:rsidRPr="00C51113">
        <w:rPr>
          <w:rFonts w:ascii="Verdana" w:hAnsi="Verdana"/>
          <w:i/>
          <w:iCs/>
          <w:sz w:val="18"/>
          <w:szCs w:val="18"/>
        </w:rPr>
        <w:br w:type="page"/>
      </w:r>
      <w:bookmarkStart w:id="39" w:name="_Hlk74310271"/>
    </w:p>
    <w:p w14:paraId="0F28D18B" w14:textId="01E33394" w:rsidR="0092091F" w:rsidRPr="00F8165F" w:rsidRDefault="00603E87" w:rsidP="00F8165F">
      <w:pPr>
        <w:pStyle w:val="Caption"/>
        <w:spacing w:before="240"/>
        <w:jc w:val="both"/>
        <w:rPr>
          <w:rFonts w:ascii="Times New Roman" w:hAnsi="Times New Roman"/>
          <w:i/>
          <w:iCs/>
          <w:sz w:val="22"/>
          <w:szCs w:val="22"/>
        </w:rPr>
      </w:pPr>
      <w:bookmarkStart w:id="40" w:name="_Toc80349789"/>
      <w:r w:rsidRPr="00F8165F">
        <w:rPr>
          <w:rFonts w:ascii="Verdana" w:hAnsi="Verdana"/>
          <w:noProof/>
          <w:sz w:val="20"/>
          <w:szCs w:val="20"/>
        </w:rPr>
        <w:lastRenderedPageBreak/>
        <w:drawing>
          <wp:anchor distT="0" distB="0" distL="114300" distR="114300" simplePos="0" relativeHeight="251661312" behindDoc="0" locked="0" layoutInCell="1" allowOverlap="1" wp14:anchorId="59D91A42" wp14:editId="72844260">
            <wp:simplePos x="0" y="0"/>
            <wp:positionH relativeFrom="column">
              <wp:posOffset>880607</wp:posOffset>
            </wp:positionH>
            <wp:positionV relativeFrom="paragraph">
              <wp:posOffset>-386</wp:posOffset>
            </wp:positionV>
            <wp:extent cx="3796665" cy="1595755"/>
            <wp:effectExtent l="0" t="0" r="0" b="4445"/>
            <wp:wrapTopAndBottom/>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796665" cy="159575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39"/>
      <w:r w:rsidR="00EE0740" w:rsidRPr="00F8165F">
        <w:rPr>
          <w:rFonts w:ascii="Verdana" w:hAnsi="Verdana"/>
          <w:sz w:val="20"/>
          <w:szCs w:val="20"/>
        </w:rPr>
        <w:t xml:space="preserve">Figure S </w:t>
      </w:r>
      <w:r w:rsidR="00EE0740" w:rsidRPr="00F8165F">
        <w:rPr>
          <w:rFonts w:ascii="Verdana" w:hAnsi="Verdana"/>
          <w:sz w:val="20"/>
          <w:szCs w:val="20"/>
        </w:rPr>
        <w:fldChar w:fldCharType="begin"/>
      </w:r>
      <w:r w:rsidR="00EE0740" w:rsidRPr="00F8165F">
        <w:rPr>
          <w:rFonts w:ascii="Verdana" w:hAnsi="Verdana"/>
          <w:sz w:val="20"/>
          <w:szCs w:val="20"/>
        </w:rPr>
        <w:instrText xml:space="preserve"> STYLEREF 1 \s </w:instrText>
      </w:r>
      <w:r w:rsidR="00EE0740" w:rsidRPr="00F8165F">
        <w:rPr>
          <w:rFonts w:ascii="Verdana" w:hAnsi="Verdana"/>
          <w:sz w:val="20"/>
          <w:szCs w:val="20"/>
        </w:rPr>
        <w:fldChar w:fldCharType="separate"/>
      </w:r>
      <w:r w:rsidR="00F8165F">
        <w:rPr>
          <w:rFonts w:ascii="Verdana" w:hAnsi="Verdana"/>
          <w:noProof/>
          <w:sz w:val="20"/>
          <w:szCs w:val="20"/>
        </w:rPr>
        <w:t>2</w:t>
      </w:r>
      <w:r w:rsidR="00EE0740" w:rsidRPr="00F8165F">
        <w:rPr>
          <w:rFonts w:ascii="Verdana" w:hAnsi="Verdana"/>
          <w:sz w:val="20"/>
          <w:szCs w:val="20"/>
        </w:rPr>
        <w:fldChar w:fldCharType="end"/>
      </w:r>
      <w:r w:rsidR="00EE0740" w:rsidRPr="00F8165F">
        <w:rPr>
          <w:rFonts w:ascii="Verdana" w:hAnsi="Verdana"/>
          <w:sz w:val="20"/>
          <w:szCs w:val="20"/>
        </w:rPr>
        <w:t>.</w:t>
      </w:r>
      <w:r w:rsidR="00EE0740" w:rsidRPr="00F8165F">
        <w:rPr>
          <w:rFonts w:ascii="Verdana" w:hAnsi="Verdana"/>
          <w:sz w:val="20"/>
          <w:szCs w:val="20"/>
        </w:rPr>
        <w:fldChar w:fldCharType="begin"/>
      </w:r>
      <w:r w:rsidR="00EE0740" w:rsidRPr="00F8165F">
        <w:rPr>
          <w:rFonts w:ascii="Verdana" w:hAnsi="Verdana"/>
          <w:sz w:val="20"/>
          <w:szCs w:val="20"/>
        </w:rPr>
        <w:instrText xml:space="preserve"> SEQ Figure_S \* ARABIC \s 1 </w:instrText>
      </w:r>
      <w:r w:rsidR="00EE0740" w:rsidRPr="00F8165F">
        <w:rPr>
          <w:rFonts w:ascii="Verdana" w:hAnsi="Verdana"/>
          <w:sz w:val="20"/>
          <w:szCs w:val="20"/>
        </w:rPr>
        <w:fldChar w:fldCharType="separate"/>
      </w:r>
      <w:r w:rsidR="00F8165F">
        <w:rPr>
          <w:rFonts w:ascii="Verdana" w:hAnsi="Verdana"/>
          <w:noProof/>
          <w:sz w:val="20"/>
          <w:szCs w:val="20"/>
        </w:rPr>
        <w:t>3</w:t>
      </w:r>
      <w:r w:rsidR="00EE0740" w:rsidRPr="00F8165F">
        <w:rPr>
          <w:rFonts w:ascii="Verdana" w:hAnsi="Verdana"/>
          <w:sz w:val="20"/>
          <w:szCs w:val="20"/>
        </w:rPr>
        <w:fldChar w:fldCharType="end"/>
      </w:r>
      <w:r w:rsidR="00EE0740" w:rsidRPr="00F8165F">
        <w:rPr>
          <w:rFonts w:ascii="Verdana" w:hAnsi="Verdana" w:cs="Times New Roman"/>
          <w:sz w:val="20"/>
          <w:szCs w:val="20"/>
        </w:rPr>
        <w:t xml:space="preserve">. Half </w:t>
      </w:r>
      <w:proofErr w:type="spellStart"/>
      <w:r w:rsidR="00EE0740" w:rsidRPr="00F8165F">
        <w:rPr>
          <w:rFonts w:ascii="Verdana" w:hAnsi="Verdana" w:cs="Times New Roman"/>
          <w:sz w:val="20"/>
          <w:szCs w:val="20"/>
        </w:rPr>
        <w:t>CtrA</w:t>
      </w:r>
      <w:proofErr w:type="spellEnd"/>
      <w:r w:rsidR="00EE0740" w:rsidRPr="00F8165F">
        <w:rPr>
          <w:rFonts w:ascii="Verdana" w:hAnsi="Verdana" w:cs="Times New Roman"/>
          <w:sz w:val="20"/>
          <w:szCs w:val="20"/>
        </w:rPr>
        <w:t xml:space="preserve"> binding site within </w:t>
      </w:r>
      <w:proofErr w:type="spellStart"/>
      <w:r w:rsidR="00EE0740" w:rsidRPr="00F8165F">
        <w:rPr>
          <w:rFonts w:ascii="Verdana" w:hAnsi="Verdana" w:cs="Times New Roman"/>
          <w:sz w:val="20"/>
          <w:szCs w:val="20"/>
        </w:rPr>
        <w:t>pgaRI</w:t>
      </w:r>
      <w:proofErr w:type="spellEnd"/>
      <w:r w:rsidR="00EE0740" w:rsidRPr="00F8165F">
        <w:rPr>
          <w:rFonts w:ascii="Verdana" w:hAnsi="Verdana" w:cs="Times New Roman"/>
          <w:sz w:val="20"/>
          <w:szCs w:val="20"/>
        </w:rPr>
        <w:t xml:space="preserve"> (green) operon.</w:t>
      </w:r>
      <w:r w:rsidR="00EE0740" w:rsidRPr="00F8165F">
        <w:rPr>
          <w:rFonts w:ascii="Verdana" w:hAnsi="Verdana"/>
          <w:b w:val="0"/>
          <w:bCs w:val="0"/>
          <w:i/>
          <w:iCs/>
          <w:sz w:val="20"/>
          <w:szCs w:val="20"/>
        </w:rPr>
        <w:t xml:space="preserve"> </w:t>
      </w:r>
      <w:proofErr w:type="spellStart"/>
      <w:r w:rsidR="0092091F" w:rsidRPr="00F8165F">
        <w:rPr>
          <w:rFonts w:ascii="Verdana" w:hAnsi="Verdana"/>
          <w:b w:val="0"/>
          <w:bCs w:val="0"/>
          <w:i/>
          <w:iCs/>
          <w:sz w:val="20"/>
          <w:szCs w:val="20"/>
        </w:rPr>
        <w:t>pgaRI</w:t>
      </w:r>
      <w:proofErr w:type="spellEnd"/>
      <w:r w:rsidR="0092091F" w:rsidRPr="00F8165F">
        <w:rPr>
          <w:rFonts w:ascii="Verdana" w:hAnsi="Verdana"/>
          <w:b w:val="0"/>
          <w:bCs w:val="0"/>
          <w:i/>
          <w:iCs/>
          <w:sz w:val="20"/>
          <w:szCs w:val="20"/>
        </w:rPr>
        <w:t xml:space="preserve"> </w:t>
      </w:r>
      <w:r w:rsidR="0092091F" w:rsidRPr="00F8165F">
        <w:rPr>
          <w:rFonts w:ascii="Verdana" w:hAnsi="Verdana"/>
          <w:b w:val="0"/>
          <w:bCs w:val="0"/>
          <w:sz w:val="20"/>
          <w:szCs w:val="20"/>
        </w:rPr>
        <w:t xml:space="preserve">(RBY4I_1689, RBY4I_3631) and </w:t>
      </w:r>
      <w:proofErr w:type="spellStart"/>
      <w:r w:rsidR="0092091F" w:rsidRPr="00F8165F">
        <w:rPr>
          <w:rFonts w:ascii="Verdana" w:hAnsi="Verdana"/>
          <w:b w:val="0"/>
          <w:bCs w:val="0"/>
          <w:i/>
          <w:iCs/>
          <w:sz w:val="20"/>
          <w:szCs w:val="20"/>
        </w:rPr>
        <w:t>phaRI</w:t>
      </w:r>
      <w:proofErr w:type="spellEnd"/>
      <w:r w:rsidR="0092091F" w:rsidRPr="00F8165F">
        <w:rPr>
          <w:rFonts w:ascii="Verdana" w:hAnsi="Verdana"/>
          <w:b w:val="0"/>
          <w:bCs w:val="0"/>
          <w:i/>
          <w:iCs/>
          <w:sz w:val="20"/>
          <w:szCs w:val="20"/>
        </w:rPr>
        <w:t xml:space="preserve"> </w:t>
      </w:r>
      <w:r w:rsidR="0092091F" w:rsidRPr="00F8165F">
        <w:rPr>
          <w:rFonts w:ascii="Verdana" w:hAnsi="Verdana"/>
          <w:b w:val="0"/>
          <w:bCs w:val="0"/>
          <w:sz w:val="20"/>
          <w:szCs w:val="20"/>
        </w:rPr>
        <w:t>(RBY4I_1027 and RBY4I_3464</w:t>
      </w:r>
      <w:proofErr w:type="gramStart"/>
      <w:r w:rsidR="0092091F" w:rsidRPr="00F8165F">
        <w:rPr>
          <w:rFonts w:ascii="Verdana" w:hAnsi="Verdana"/>
          <w:b w:val="0"/>
          <w:bCs w:val="0"/>
          <w:sz w:val="20"/>
          <w:szCs w:val="20"/>
        </w:rPr>
        <w:t>)  genes</w:t>
      </w:r>
      <w:proofErr w:type="gramEnd"/>
      <w:r w:rsidR="0092091F" w:rsidRPr="00F8165F">
        <w:rPr>
          <w:rFonts w:ascii="Verdana" w:hAnsi="Verdana"/>
          <w:b w:val="0"/>
          <w:bCs w:val="0"/>
          <w:sz w:val="20"/>
          <w:szCs w:val="20"/>
        </w:rPr>
        <w:t xml:space="preserve"> were queried for </w:t>
      </w:r>
      <w:proofErr w:type="spellStart"/>
      <w:r w:rsidR="0092091F" w:rsidRPr="00F8165F">
        <w:rPr>
          <w:rFonts w:ascii="Verdana" w:hAnsi="Verdana"/>
          <w:b w:val="0"/>
          <w:bCs w:val="0"/>
          <w:sz w:val="20"/>
          <w:szCs w:val="20"/>
        </w:rPr>
        <w:t>CtrA</w:t>
      </w:r>
      <w:proofErr w:type="spellEnd"/>
      <w:r w:rsidR="0092091F" w:rsidRPr="00F8165F">
        <w:rPr>
          <w:rFonts w:ascii="Verdana" w:hAnsi="Verdana"/>
          <w:b w:val="0"/>
          <w:bCs w:val="0"/>
          <w:sz w:val="20"/>
          <w:szCs w:val="20"/>
        </w:rPr>
        <w:t xml:space="preserve"> binding motifs based on the approach outlined in </w:t>
      </w:r>
      <w:proofErr w:type="spellStart"/>
      <w:r w:rsidR="0092091F" w:rsidRPr="00F8165F">
        <w:rPr>
          <w:rFonts w:ascii="Verdana" w:hAnsi="Verdana"/>
          <w:b w:val="0"/>
          <w:bCs w:val="0"/>
          <w:sz w:val="20"/>
          <w:szCs w:val="20"/>
        </w:rPr>
        <w:t>Laub</w:t>
      </w:r>
      <w:proofErr w:type="spellEnd"/>
      <w:r w:rsidR="0092091F" w:rsidRPr="00F8165F">
        <w:rPr>
          <w:rFonts w:ascii="Verdana" w:hAnsi="Verdana"/>
          <w:b w:val="0"/>
          <w:bCs w:val="0"/>
          <w:sz w:val="20"/>
          <w:szCs w:val="20"/>
        </w:rPr>
        <w:t xml:space="preserve"> et al. 2000 </w:t>
      </w:r>
      <w:r w:rsidR="0092091F" w:rsidRPr="00F8165F">
        <w:rPr>
          <w:rFonts w:ascii="Verdana" w:hAnsi="Verdana"/>
          <w:b w:val="0"/>
          <w:bCs w:val="0"/>
          <w:noProof/>
          <w:sz w:val="20"/>
          <w:szCs w:val="20"/>
        </w:rPr>
        <w:t>(Laub et al., 2000)</w:t>
      </w:r>
      <w:r w:rsidR="0092091F" w:rsidRPr="00F8165F">
        <w:rPr>
          <w:rFonts w:ascii="Verdana" w:hAnsi="Verdana"/>
          <w:b w:val="0"/>
          <w:bCs w:val="0"/>
          <w:sz w:val="20"/>
          <w:szCs w:val="20"/>
        </w:rPr>
        <w:t xml:space="preserve">. A </w:t>
      </w:r>
      <w:proofErr w:type="spellStart"/>
      <w:r w:rsidR="0092091F" w:rsidRPr="00F8165F">
        <w:rPr>
          <w:rFonts w:ascii="Verdana" w:hAnsi="Verdana"/>
          <w:b w:val="0"/>
          <w:bCs w:val="0"/>
          <w:sz w:val="20"/>
          <w:szCs w:val="20"/>
        </w:rPr>
        <w:t>CtrA</w:t>
      </w:r>
      <w:proofErr w:type="spellEnd"/>
      <w:r w:rsidR="0092091F" w:rsidRPr="00F8165F">
        <w:rPr>
          <w:rFonts w:ascii="Verdana" w:hAnsi="Verdana"/>
          <w:b w:val="0"/>
          <w:bCs w:val="0"/>
          <w:sz w:val="20"/>
          <w:szCs w:val="20"/>
        </w:rPr>
        <w:t xml:space="preserve"> half binding site within the </w:t>
      </w:r>
      <w:proofErr w:type="spellStart"/>
      <w:r w:rsidR="0092091F" w:rsidRPr="00F8165F">
        <w:rPr>
          <w:rFonts w:ascii="Verdana" w:hAnsi="Verdana"/>
          <w:b w:val="0"/>
          <w:bCs w:val="0"/>
          <w:i/>
          <w:iCs/>
          <w:sz w:val="20"/>
          <w:szCs w:val="20"/>
        </w:rPr>
        <w:t>pgaRI</w:t>
      </w:r>
      <w:proofErr w:type="spellEnd"/>
      <w:r w:rsidR="0092091F" w:rsidRPr="00F8165F">
        <w:rPr>
          <w:rFonts w:ascii="Verdana" w:hAnsi="Verdana"/>
          <w:b w:val="0"/>
          <w:bCs w:val="0"/>
          <w:i/>
          <w:iCs/>
          <w:sz w:val="20"/>
          <w:szCs w:val="20"/>
        </w:rPr>
        <w:t xml:space="preserve"> </w:t>
      </w:r>
      <w:r w:rsidR="0092091F" w:rsidRPr="00F8165F">
        <w:rPr>
          <w:rFonts w:ascii="Verdana" w:hAnsi="Verdana"/>
          <w:b w:val="0"/>
          <w:bCs w:val="0"/>
          <w:sz w:val="20"/>
          <w:szCs w:val="20"/>
        </w:rPr>
        <w:t xml:space="preserve">cassette was found (sequence shown below in box) starting at ~484 bp. Genes are represented by page arrows and shown to scale. Black arrows </w:t>
      </w:r>
      <w:proofErr w:type="gramStart"/>
      <w:r w:rsidR="0092091F" w:rsidRPr="00F8165F">
        <w:rPr>
          <w:rFonts w:ascii="Verdana" w:hAnsi="Verdana"/>
          <w:b w:val="0"/>
          <w:bCs w:val="0"/>
          <w:sz w:val="20"/>
          <w:szCs w:val="20"/>
        </w:rPr>
        <w:t>represents</w:t>
      </w:r>
      <w:proofErr w:type="gramEnd"/>
      <w:r w:rsidR="0092091F" w:rsidRPr="00F8165F">
        <w:rPr>
          <w:rFonts w:ascii="Verdana" w:hAnsi="Verdana"/>
          <w:b w:val="0"/>
          <w:bCs w:val="0"/>
          <w:sz w:val="20"/>
          <w:szCs w:val="20"/>
        </w:rPr>
        <w:t xml:space="preserve"> genes immediately downstream of QS2 (</w:t>
      </w:r>
      <w:proofErr w:type="spellStart"/>
      <w:r w:rsidR="0092091F" w:rsidRPr="00F8165F">
        <w:rPr>
          <w:rFonts w:ascii="Verdana" w:hAnsi="Verdana"/>
          <w:b w:val="0"/>
          <w:bCs w:val="0"/>
          <w:i/>
          <w:iCs/>
          <w:sz w:val="20"/>
          <w:szCs w:val="20"/>
        </w:rPr>
        <w:t>pgaRI</w:t>
      </w:r>
      <w:proofErr w:type="spellEnd"/>
      <w:r w:rsidR="0092091F" w:rsidRPr="00F8165F">
        <w:rPr>
          <w:rFonts w:ascii="Verdana" w:hAnsi="Verdana"/>
          <w:b w:val="0"/>
          <w:bCs w:val="0"/>
          <w:sz w:val="20"/>
          <w:szCs w:val="20"/>
        </w:rPr>
        <w:t>).</w:t>
      </w:r>
      <w:bookmarkEnd w:id="40"/>
      <w:r w:rsidR="0092091F" w:rsidRPr="00F8165F">
        <w:rPr>
          <w:rFonts w:ascii="Verdana" w:hAnsi="Verdana"/>
          <w:b w:val="0"/>
          <w:bCs w:val="0"/>
          <w:sz w:val="20"/>
          <w:szCs w:val="20"/>
        </w:rPr>
        <w:t xml:space="preserve"> </w:t>
      </w:r>
    </w:p>
    <w:p w14:paraId="2BFB737A" w14:textId="4BAA51F4" w:rsidR="0092091F" w:rsidRPr="00C51113" w:rsidRDefault="0092091F" w:rsidP="00677C01">
      <w:pPr>
        <w:spacing w:before="240"/>
        <w:jc w:val="both"/>
        <w:rPr>
          <w:rFonts w:ascii="Verdana" w:hAnsi="Verdana"/>
          <w:sz w:val="18"/>
          <w:szCs w:val="18"/>
        </w:rPr>
      </w:pPr>
    </w:p>
    <w:p w14:paraId="6889C8B7" w14:textId="77777777" w:rsidR="0092091F" w:rsidRPr="00C51113" w:rsidRDefault="0092091F" w:rsidP="00677C01">
      <w:pPr>
        <w:spacing w:before="240"/>
        <w:jc w:val="both"/>
        <w:rPr>
          <w:rFonts w:ascii="Verdana" w:hAnsi="Verdana"/>
          <w:sz w:val="18"/>
          <w:szCs w:val="18"/>
        </w:rPr>
      </w:pPr>
    </w:p>
    <w:p w14:paraId="08E5F391" w14:textId="77777777" w:rsidR="0092091F" w:rsidRPr="00C51113" w:rsidRDefault="0092091F" w:rsidP="00677C01">
      <w:pPr>
        <w:spacing w:before="240"/>
        <w:jc w:val="both"/>
        <w:rPr>
          <w:rFonts w:ascii="Verdana" w:hAnsi="Verdana"/>
          <w:sz w:val="18"/>
          <w:szCs w:val="18"/>
        </w:rPr>
      </w:pPr>
    </w:p>
    <w:p w14:paraId="78BDC868" w14:textId="77777777" w:rsidR="0092091F" w:rsidRPr="00C51113" w:rsidRDefault="0092091F" w:rsidP="00677C01">
      <w:pPr>
        <w:spacing w:before="240"/>
        <w:jc w:val="both"/>
        <w:rPr>
          <w:rFonts w:ascii="Verdana" w:hAnsi="Verdana"/>
          <w:sz w:val="18"/>
          <w:szCs w:val="18"/>
        </w:rPr>
      </w:pPr>
    </w:p>
    <w:p w14:paraId="23BE299B" w14:textId="77777777" w:rsidR="0092091F" w:rsidRPr="00C51113" w:rsidRDefault="0092091F" w:rsidP="00677C01">
      <w:pPr>
        <w:spacing w:before="240"/>
        <w:jc w:val="both"/>
        <w:rPr>
          <w:rFonts w:ascii="Verdana" w:hAnsi="Verdana"/>
          <w:sz w:val="18"/>
          <w:szCs w:val="18"/>
        </w:rPr>
      </w:pPr>
    </w:p>
    <w:p w14:paraId="514EE178" w14:textId="77777777" w:rsidR="0092091F" w:rsidRPr="00C51113" w:rsidRDefault="0092091F" w:rsidP="00677C01">
      <w:pPr>
        <w:spacing w:before="240"/>
        <w:jc w:val="both"/>
        <w:rPr>
          <w:rFonts w:ascii="Verdana" w:hAnsi="Verdana"/>
          <w:sz w:val="18"/>
          <w:szCs w:val="18"/>
        </w:rPr>
      </w:pPr>
    </w:p>
    <w:p w14:paraId="5A2CA158" w14:textId="77777777" w:rsidR="0092091F" w:rsidRPr="00C51113" w:rsidRDefault="0092091F" w:rsidP="00677C01">
      <w:pPr>
        <w:spacing w:before="240"/>
        <w:jc w:val="both"/>
        <w:rPr>
          <w:rFonts w:ascii="Verdana" w:hAnsi="Verdana"/>
          <w:sz w:val="18"/>
          <w:szCs w:val="18"/>
        </w:rPr>
      </w:pPr>
    </w:p>
    <w:p w14:paraId="7D368442" w14:textId="77777777" w:rsidR="0092091F" w:rsidRPr="00C51113" w:rsidRDefault="0092091F" w:rsidP="00677C01">
      <w:pPr>
        <w:spacing w:before="240"/>
        <w:jc w:val="both"/>
        <w:rPr>
          <w:rFonts w:ascii="Verdana" w:hAnsi="Verdana"/>
          <w:sz w:val="18"/>
          <w:szCs w:val="18"/>
        </w:rPr>
      </w:pPr>
      <w:r w:rsidRPr="00C51113">
        <w:rPr>
          <w:rFonts w:ascii="Verdana" w:hAnsi="Verdana"/>
          <w:sz w:val="18"/>
          <w:szCs w:val="18"/>
        </w:rPr>
        <w:br w:type="page"/>
      </w:r>
    </w:p>
    <w:p w14:paraId="2F7CC945" w14:textId="77777777" w:rsidR="0092091F" w:rsidRPr="00C51113" w:rsidRDefault="0092091F" w:rsidP="00677C01">
      <w:pPr>
        <w:spacing w:before="240"/>
        <w:jc w:val="both"/>
        <w:rPr>
          <w:rFonts w:ascii="Verdana" w:hAnsi="Verdana"/>
          <w:b/>
          <w:bCs/>
          <w:sz w:val="18"/>
          <w:szCs w:val="18"/>
        </w:rPr>
      </w:pPr>
      <w:r w:rsidRPr="00C51113">
        <w:rPr>
          <w:rFonts w:ascii="Verdana" w:hAnsi="Verdana"/>
          <w:b/>
          <w:bCs/>
          <w:sz w:val="18"/>
          <w:szCs w:val="18"/>
        </w:rPr>
        <w:lastRenderedPageBreak/>
        <w:t>Methodology</w:t>
      </w:r>
    </w:p>
    <w:p w14:paraId="58D858F0" w14:textId="77777777" w:rsidR="00EE0740" w:rsidRDefault="00EE0740" w:rsidP="00677C01">
      <w:pPr>
        <w:spacing w:before="240"/>
        <w:jc w:val="both"/>
        <w:rPr>
          <w:rFonts w:ascii="Verdana" w:hAnsi="Verdana"/>
          <w:b/>
          <w:iCs/>
          <w:sz w:val="18"/>
          <w:szCs w:val="18"/>
        </w:rPr>
      </w:pPr>
    </w:p>
    <w:p w14:paraId="6142281E" w14:textId="51D8B537" w:rsidR="0092091F" w:rsidRPr="00F8165F" w:rsidRDefault="0092091F" w:rsidP="00677C01">
      <w:pPr>
        <w:spacing w:before="240"/>
        <w:jc w:val="both"/>
        <w:rPr>
          <w:rFonts w:ascii="Verdana" w:hAnsi="Verdana"/>
          <w:sz w:val="20"/>
          <w:szCs w:val="20"/>
        </w:rPr>
      </w:pPr>
      <w:proofErr w:type="spellStart"/>
      <w:r w:rsidRPr="00F8165F">
        <w:rPr>
          <w:rFonts w:ascii="Verdana" w:hAnsi="Verdana"/>
          <w:b/>
          <w:iCs/>
          <w:sz w:val="20"/>
          <w:szCs w:val="20"/>
        </w:rPr>
        <w:t>CtrA</w:t>
      </w:r>
      <w:proofErr w:type="spellEnd"/>
      <w:r w:rsidRPr="00F8165F">
        <w:rPr>
          <w:rFonts w:ascii="Verdana" w:hAnsi="Verdana"/>
          <w:b/>
          <w:iCs/>
          <w:sz w:val="20"/>
          <w:szCs w:val="20"/>
        </w:rPr>
        <w:t xml:space="preserve"> Motif Identification</w:t>
      </w:r>
      <w:r w:rsidRPr="00F8165F">
        <w:rPr>
          <w:rFonts w:ascii="Verdana" w:hAnsi="Verdana"/>
          <w:iCs/>
          <w:sz w:val="20"/>
          <w:szCs w:val="20"/>
        </w:rPr>
        <w:t>.</w:t>
      </w:r>
      <w:r w:rsidR="00EE0740" w:rsidRPr="00F8165F">
        <w:rPr>
          <w:rFonts w:ascii="Verdana" w:hAnsi="Verdana"/>
          <w:sz w:val="20"/>
          <w:szCs w:val="20"/>
        </w:rPr>
        <w:t xml:space="preserve"> </w:t>
      </w:r>
      <w:r w:rsidRPr="00F8165F">
        <w:rPr>
          <w:rFonts w:ascii="Verdana" w:hAnsi="Verdana"/>
          <w:sz w:val="20"/>
          <w:szCs w:val="20"/>
        </w:rPr>
        <w:t xml:space="preserve">The cell cycle regulator, </w:t>
      </w:r>
      <w:proofErr w:type="spellStart"/>
      <w:r w:rsidRPr="00F8165F">
        <w:rPr>
          <w:rFonts w:ascii="Verdana" w:hAnsi="Verdana"/>
          <w:sz w:val="20"/>
          <w:szCs w:val="20"/>
        </w:rPr>
        <w:t>CtrA</w:t>
      </w:r>
      <w:proofErr w:type="spellEnd"/>
      <w:r w:rsidRPr="00F8165F">
        <w:rPr>
          <w:rFonts w:ascii="Verdana" w:hAnsi="Verdana"/>
          <w:sz w:val="20"/>
          <w:szCs w:val="20"/>
        </w:rPr>
        <w:t xml:space="preserve">, is conserved among Alphaproteobacteria </w:t>
      </w:r>
      <w:r w:rsidRPr="00F8165F">
        <w:rPr>
          <w:rFonts w:ascii="Verdana" w:hAnsi="Verdana"/>
          <w:noProof/>
          <w:sz w:val="20"/>
          <w:szCs w:val="20"/>
        </w:rPr>
        <w:t>(Brilli et al., 2010)</w:t>
      </w:r>
      <w:r w:rsidRPr="00F8165F">
        <w:rPr>
          <w:rFonts w:ascii="Verdana" w:hAnsi="Verdana"/>
          <w:sz w:val="20"/>
          <w:szCs w:val="20"/>
        </w:rPr>
        <w:t xml:space="preserve">. We searched for both full and half </w:t>
      </w:r>
      <w:proofErr w:type="spellStart"/>
      <w:r w:rsidRPr="00F8165F">
        <w:rPr>
          <w:rFonts w:ascii="Verdana" w:hAnsi="Verdana"/>
          <w:sz w:val="20"/>
          <w:szCs w:val="20"/>
        </w:rPr>
        <w:t>CtrA</w:t>
      </w:r>
      <w:proofErr w:type="spellEnd"/>
      <w:r w:rsidRPr="00F8165F">
        <w:rPr>
          <w:rFonts w:ascii="Verdana" w:hAnsi="Verdana"/>
          <w:sz w:val="20"/>
          <w:szCs w:val="20"/>
        </w:rPr>
        <w:t xml:space="preserve"> binding sites in the upstream regions of </w:t>
      </w:r>
      <w:proofErr w:type="spellStart"/>
      <w:r w:rsidRPr="00F8165F">
        <w:rPr>
          <w:rFonts w:ascii="Verdana" w:hAnsi="Verdana"/>
          <w:i/>
          <w:sz w:val="20"/>
          <w:szCs w:val="20"/>
        </w:rPr>
        <w:t>phaRI</w:t>
      </w:r>
      <w:proofErr w:type="spellEnd"/>
      <w:r w:rsidRPr="00F8165F">
        <w:rPr>
          <w:rFonts w:ascii="Verdana" w:hAnsi="Verdana"/>
          <w:sz w:val="20"/>
          <w:szCs w:val="20"/>
        </w:rPr>
        <w:t xml:space="preserve"> and </w:t>
      </w:r>
      <w:proofErr w:type="spellStart"/>
      <w:r w:rsidRPr="00F8165F">
        <w:rPr>
          <w:rFonts w:ascii="Verdana" w:hAnsi="Verdana"/>
          <w:i/>
          <w:sz w:val="20"/>
          <w:szCs w:val="20"/>
        </w:rPr>
        <w:t>pgaRI</w:t>
      </w:r>
      <w:proofErr w:type="spellEnd"/>
      <w:r w:rsidRPr="00F8165F">
        <w:rPr>
          <w:rFonts w:ascii="Verdana" w:hAnsi="Verdana"/>
          <w:i/>
          <w:sz w:val="20"/>
          <w:szCs w:val="20"/>
        </w:rPr>
        <w:t xml:space="preserve"> </w:t>
      </w:r>
      <w:r w:rsidRPr="00F8165F">
        <w:rPr>
          <w:rFonts w:ascii="Verdana" w:hAnsi="Verdana"/>
          <w:sz w:val="20"/>
          <w:szCs w:val="20"/>
        </w:rPr>
        <w:t xml:space="preserve">using consensus sequences as determined by </w:t>
      </w:r>
      <w:proofErr w:type="spellStart"/>
      <w:r w:rsidRPr="00F8165F">
        <w:rPr>
          <w:rFonts w:ascii="Verdana" w:hAnsi="Verdana"/>
          <w:sz w:val="20"/>
          <w:szCs w:val="20"/>
        </w:rPr>
        <w:t>Laub</w:t>
      </w:r>
      <w:proofErr w:type="spellEnd"/>
      <w:r w:rsidRPr="00F8165F">
        <w:rPr>
          <w:rFonts w:ascii="Verdana" w:hAnsi="Verdana"/>
          <w:sz w:val="20"/>
          <w:szCs w:val="20"/>
        </w:rPr>
        <w:t xml:space="preserve"> et. Al, 2001 </w:t>
      </w:r>
      <w:r w:rsidRPr="00F8165F">
        <w:rPr>
          <w:rFonts w:ascii="Verdana" w:hAnsi="Verdana"/>
          <w:noProof/>
          <w:sz w:val="20"/>
          <w:szCs w:val="20"/>
        </w:rPr>
        <w:t>(Laub et al., 2000)</w:t>
      </w:r>
      <w:r w:rsidRPr="00F8165F">
        <w:rPr>
          <w:rFonts w:ascii="Verdana" w:hAnsi="Verdana"/>
          <w:sz w:val="20"/>
          <w:szCs w:val="20"/>
        </w:rPr>
        <w:t xml:space="preserve">. We found a half </w:t>
      </w:r>
      <w:proofErr w:type="spellStart"/>
      <w:r w:rsidRPr="00F8165F">
        <w:rPr>
          <w:rFonts w:ascii="Verdana" w:hAnsi="Verdana"/>
          <w:sz w:val="20"/>
          <w:szCs w:val="20"/>
        </w:rPr>
        <w:t>CtrA</w:t>
      </w:r>
      <w:proofErr w:type="spellEnd"/>
      <w:r w:rsidRPr="00F8165F">
        <w:rPr>
          <w:rFonts w:ascii="Verdana" w:hAnsi="Verdana"/>
          <w:sz w:val="20"/>
          <w:szCs w:val="20"/>
        </w:rPr>
        <w:t xml:space="preserve"> binding site with high similarity in the intergenic region between </w:t>
      </w:r>
      <w:proofErr w:type="spellStart"/>
      <w:r w:rsidRPr="00F8165F">
        <w:rPr>
          <w:rFonts w:ascii="Verdana" w:hAnsi="Verdana"/>
          <w:i/>
          <w:sz w:val="20"/>
          <w:szCs w:val="20"/>
        </w:rPr>
        <w:t>pgaR</w:t>
      </w:r>
      <w:proofErr w:type="spellEnd"/>
      <w:r w:rsidRPr="00F8165F">
        <w:rPr>
          <w:rFonts w:ascii="Verdana" w:hAnsi="Verdana"/>
          <w:i/>
          <w:sz w:val="20"/>
          <w:szCs w:val="20"/>
        </w:rPr>
        <w:t xml:space="preserve"> </w:t>
      </w:r>
      <w:r w:rsidRPr="00F8165F">
        <w:rPr>
          <w:rFonts w:ascii="Verdana" w:hAnsi="Verdana"/>
          <w:sz w:val="20"/>
          <w:szCs w:val="20"/>
        </w:rPr>
        <w:t xml:space="preserve">and </w:t>
      </w:r>
      <w:r w:rsidRPr="00F8165F">
        <w:rPr>
          <w:rFonts w:ascii="Verdana" w:hAnsi="Verdana"/>
          <w:i/>
          <w:sz w:val="20"/>
          <w:szCs w:val="20"/>
        </w:rPr>
        <w:t>pgaI</w:t>
      </w:r>
      <w:r w:rsidRPr="00F8165F">
        <w:rPr>
          <w:rFonts w:ascii="Verdana" w:hAnsi="Verdana"/>
          <w:sz w:val="20"/>
          <w:szCs w:val="20"/>
        </w:rPr>
        <w:t xml:space="preserve"> (Fig. S3). Indicating that </w:t>
      </w:r>
      <w:proofErr w:type="spellStart"/>
      <w:r w:rsidRPr="00F8165F">
        <w:rPr>
          <w:rFonts w:ascii="Verdana" w:hAnsi="Verdana"/>
          <w:sz w:val="20"/>
          <w:szCs w:val="20"/>
        </w:rPr>
        <w:t>CtrA</w:t>
      </w:r>
      <w:proofErr w:type="spellEnd"/>
      <w:r w:rsidRPr="00F8165F">
        <w:rPr>
          <w:rFonts w:ascii="Verdana" w:hAnsi="Verdana"/>
          <w:sz w:val="20"/>
          <w:szCs w:val="20"/>
        </w:rPr>
        <w:t xml:space="preserve"> may be integrated into this QS circuitry. </w:t>
      </w:r>
    </w:p>
    <w:p w14:paraId="7B93D2C3" w14:textId="77777777" w:rsidR="0092091F" w:rsidRPr="00C51113" w:rsidRDefault="0092091F" w:rsidP="00677C01">
      <w:pPr>
        <w:spacing w:before="240"/>
        <w:jc w:val="both"/>
        <w:rPr>
          <w:rFonts w:ascii="Verdana" w:hAnsi="Verdana"/>
          <w:sz w:val="18"/>
          <w:szCs w:val="18"/>
        </w:rPr>
      </w:pPr>
    </w:p>
    <w:p w14:paraId="15F7C31B" w14:textId="77777777" w:rsidR="0092091F" w:rsidRPr="00C51113" w:rsidRDefault="0092091F" w:rsidP="00677C01">
      <w:pPr>
        <w:spacing w:before="240"/>
        <w:jc w:val="both"/>
        <w:rPr>
          <w:rFonts w:ascii="Verdana" w:hAnsi="Verdana" w:cs="Times New Roman"/>
          <w:b/>
          <w:bCs/>
          <w:caps/>
          <w:sz w:val="18"/>
          <w:szCs w:val="18"/>
        </w:rPr>
      </w:pPr>
      <w:r w:rsidRPr="00C51113">
        <w:rPr>
          <w:rFonts w:ascii="Verdana" w:hAnsi="Verdana" w:cs="Times New Roman"/>
          <w:sz w:val="18"/>
          <w:szCs w:val="18"/>
        </w:rPr>
        <w:br w:type="page"/>
      </w:r>
    </w:p>
    <w:bookmarkEnd w:id="34"/>
    <w:p w14:paraId="3BEE7FDA" w14:textId="3B1CE334" w:rsidR="00CE3A3E" w:rsidRPr="00451577" w:rsidRDefault="00A51355" w:rsidP="00677C01">
      <w:pPr>
        <w:pStyle w:val="Heading1"/>
        <w:spacing w:before="240"/>
        <w:rPr>
          <w:rFonts w:ascii="Verdana" w:hAnsi="Verdana" w:cs="Times New Roman"/>
          <w:szCs w:val="28"/>
        </w:rPr>
      </w:pPr>
      <w:r>
        <w:rPr>
          <w:rFonts w:ascii="Verdana" w:hAnsi="Verdana" w:cs="Times New Roman"/>
          <w:szCs w:val="28"/>
        </w:rPr>
        <w:lastRenderedPageBreak/>
        <w:t>Secondary Metabolite Production in Synthetic Roseobacter Communities orchestrates Biofilm dynamics</w:t>
      </w:r>
    </w:p>
    <w:p w14:paraId="5F31D6AD" w14:textId="44DEE15E" w:rsidR="0092091F" w:rsidRPr="00C51113" w:rsidRDefault="00CE3A3E" w:rsidP="00677C01">
      <w:pPr>
        <w:spacing w:before="240"/>
        <w:jc w:val="both"/>
        <w:rPr>
          <w:rFonts w:ascii="Verdana" w:hAnsi="Verdana" w:cs="Times New Roman"/>
          <w:sz w:val="18"/>
          <w:szCs w:val="18"/>
        </w:rPr>
      </w:pPr>
      <w:r w:rsidRPr="00C51113">
        <w:rPr>
          <w:rFonts w:ascii="Verdana" w:hAnsi="Verdana" w:cs="Times New Roman"/>
          <w:sz w:val="18"/>
          <w:szCs w:val="18"/>
        </w:rPr>
        <w:br w:type="page"/>
      </w:r>
      <w:bookmarkStart w:id="41" w:name="_Toc289175834"/>
      <w:r w:rsidR="0092091F" w:rsidRPr="00C51113">
        <w:rPr>
          <w:rFonts w:ascii="Verdana" w:hAnsi="Verdana" w:cs="Times New Roman"/>
          <w:sz w:val="18"/>
          <w:szCs w:val="18"/>
        </w:rPr>
        <w:lastRenderedPageBreak/>
        <w:t>A version of this chapter was written by April C. Armes, Jillian L. Walton, and Alison Buchan and is intended to be submitted for publication.</w:t>
      </w:r>
    </w:p>
    <w:p w14:paraId="1605860A" w14:textId="77777777" w:rsidR="0092091F" w:rsidRPr="00C51113" w:rsidRDefault="0092091F" w:rsidP="00677C01">
      <w:pPr>
        <w:spacing w:before="240"/>
        <w:jc w:val="both"/>
        <w:rPr>
          <w:rFonts w:ascii="Verdana" w:hAnsi="Verdana" w:cs="Times New Roman"/>
          <w:sz w:val="18"/>
          <w:szCs w:val="18"/>
        </w:rPr>
      </w:pPr>
      <w:r w:rsidRPr="00C51113">
        <w:rPr>
          <w:rFonts w:ascii="Verdana" w:hAnsi="Verdana" w:cs="Times New Roman"/>
          <w:sz w:val="18"/>
          <w:szCs w:val="18"/>
        </w:rPr>
        <w:tab/>
      </w:r>
    </w:p>
    <w:p w14:paraId="63631D17" w14:textId="77777777" w:rsidR="0092091F" w:rsidRPr="00C51113" w:rsidRDefault="0092091F" w:rsidP="00677C01">
      <w:pPr>
        <w:spacing w:before="240"/>
        <w:jc w:val="both"/>
        <w:rPr>
          <w:rFonts w:ascii="Verdana" w:hAnsi="Verdana" w:cs="Times New Roman"/>
          <w:sz w:val="18"/>
          <w:szCs w:val="18"/>
        </w:rPr>
      </w:pPr>
    </w:p>
    <w:p w14:paraId="6C5FF6C3" w14:textId="599EC42B" w:rsidR="0092091F" w:rsidRPr="00C51113" w:rsidRDefault="0092091F" w:rsidP="00677C01">
      <w:pPr>
        <w:spacing w:before="240"/>
        <w:ind w:firstLine="720"/>
        <w:jc w:val="both"/>
        <w:rPr>
          <w:rFonts w:ascii="Verdana" w:hAnsi="Verdana" w:cs="Times New Roman"/>
          <w:sz w:val="18"/>
          <w:szCs w:val="18"/>
        </w:rPr>
      </w:pPr>
      <w:r w:rsidRPr="00C51113">
        <w:rPr>
          <w:rFonts w:ascii="Verdana" w:hAnsi="Verdana" w:cs="Times New Roman"/>
          <w:sz w:val="18"/>
          <w:szCs w:val="18"/>
        </w:rPr>
        <w:t xml:space="preserve">A.C.A. and A. B. conceived and designed the experiments for surface attachment and biofilm formation assays. A.C.A. and J. L. W. conducted the experiments, carried out data analysis, generated figures, and wrote the manuscript. The manuscript was edited by A.C.A, J. L. W., and A. B.  </w:t>
      </w:r>
    </w:p>
    <w:p w14:paraId="685AE4C9" w14:textId="388A76E6" w:rsidR="0092091F" w:rsidRPr="00C51113" w:rsidRDefault="0092091F" w:rsidP="00677C01">
      <w:pPr>
        <w:spacing w:before="240"/>
        <w:jc w:val="both"/>
        <w:rPr>
          <w:rFonts w:ascii="Verdana" w:hAnsi="Verdana" w:cs="Times New Roman"/>
          <w:sz w:val="18"/>
          <w:szCs w:val="18"/>
        </w:rPr>
      </w:pPr>
    </w:p>
    <w:p w14:paraId="209C2FEC" w14:textId="38B08E96" w:rsidR="00236E6D" w:rsidRPr="00043901" w:rsidRDefault="00CE4D4B" w:rsidP="00677C01">
      <w:pPr>
        <w:pStyle w:val="Heading2"/>
        <w:numPr>
          <w:ilvl w:val="0"/>
          <w:numId w:val="8"/>
        </w:numPr>
        <w:jc w:val="left"/>
        <w:rPr>
          <w:rFonts w:ascii="Verdana" w:hAnsi="Verdana" w:cs="Times New Roman"/>
          <w:sz w:val="24"/>
          <w:szCs w:val="24"/>
        </w:rPr>
      </w:pPr>
      <w:bookmarkStart w:id="42" w:name="_Toc83382603"/>
      <w:r w:rsidRPr="00043901">
        <w:rPr>
          <w:rFonts w:ascii="Verdana" w:hAnsi="Verdana" w:cs="Times New Roman"/>
          <w:sz w:val="24"/>
          <w:szCs w:val="24"/>
        </w:rPr>
        <w:t>Abstract</w:t>
      </w:r>
      <w:bookmarkEnd w:id="41"/>
      <w:bookmarkEnd w:id="42"/>
    </w:p>
    <w:p w14:paraId="1AD9DBC6" w14:textId="65E60049" w:rsidR="00F84B5B" w:rsidRPr="00F84B5B" w:rsidRDefault="00F84B5B" w:rsidP="00677C01">
      <w:pPr>
        <w:spacing w:before="240"/>
        <w:jc w:val="both"/>
        <w:rPr>
          <w:rFonts w:ascii="Verdana" w:eastAsia="Verdana" w:hAnsi="Verdana"/>
          <w:sz w:val="20"/>
          <w:szCs w:val="20"/>
        </w:rPr>
      </w:pPr>
      <w:bookmarkStart w:id="43" w:name="_Toc289175835"/>
      <w:r w:rsidRPr="00F84B5B">
        <w:rPr>
          <w:rFonts w:ascii="Verdana" w:eastAsia="Verdana" w:hAnsi="Verdana"/>
          <w:sz w:val="20"/>
          <w:szCs w:val="20"/>
        </w:rPr>
        <w:t>Within marine ecosystems, biofilms are critical to ecosystem functions contributing to processes such as global biogeochemical cycling, bioremediation, and biofouling. Biofilms are a consortium of microorganisms growing on a surface, suspended in a self-produced polymeric matrix. The physical matrix and spatial arrangement of cells within a biofilm facilitates a myriad of interactions, both cooperative and competitive in nature, between biofilm members. These interactions are often mediated by quorum sensing (QS), signaling systems that elicit population-level responses in a cell density dependent manner, including the expression of secondary metabolites with antimicrobial activity. Despite the crucial role of secondary metabolites in biofilm dynamics, few studies have directly explored this role. One area of interest is the influence of primary surface colonizers on interactions within a biofilm. Members of the Roseobacter clade, a group of marine heterotrophic bacteria, are primary and aggressive surface colonizers and represent a large portion of microbial members in coastal environments making clade members excellent models to study community interactions in marine ecosystems. Given their diverse metabolic capabilities and numerous QS pathways, we utilized a five-member synthetic community of Roseobacter members to address whether secondary metabolite production, mediated by QS, contributes to microbial community structure by introducing QS mutants to a synthetic biofilm community in the presence of complex and defined media. Our findings indicate that a common marine QS signaling molecule, N-</w:t>
      </w:r>
      <w:proofErr w:type="spellStart"/>
      <w:r w:rsidRPr="00F84B5B">
        <w:rPr>
          <w:rFonts w:ascii="Verdana" w:eastAsia="Verdana" w:hAnsi="Verdana"/>
          <w:sz w:val="20"/>
          <w:szCs w:val="20"/>
        </w:rPr>
        <w:t>octanoyl</w:t>
      </w:r>
      <w:proofErr w:type="spellEnd"/>
      <w:r w:rsidRPr="00F84B5B">
        <w:rPr>
          <w:rFonts w:ascii="Verdana" w:eastAsia="Verdana" w:hAnsi="Verdana"/>
          <w:sz w:val="20"/>
          <w:szCs w:val="20"/>
        </w:rPr>
        <w:t>-L-homoserine lactone (C8-HSL), influences community structure in a biofilm provided grown on a complex medium (i.e., tryptone and yeast extract). When given a more recalcitrant and defined carbon source (i.e., p-coumaric acid) the abundance in community structure by the primary surface colonizer, Rhodobacterales strain Y4I is delayed. Furthermore, our data suggests that an inactivation of QS systems in Y4I, results in increased community cooperation. These data provide evidence of the role a primary surface colonizer, such as Y4I, plays in biofilm community structure and dynamics in marine ecosystems.</w:t>
      </w:r>
    </w:p>
    <w:p w14:paraId="05AEB142" w14:textId="77777777" w:rsidR="00BD3657" w:rsidRPr="00C51113" w:rsidRDefault="00BD3657" w:rsidP="00677C01">
      <w:pPr>
        <w:spacing w:before="240"/>
        <w:jc w:val="both"/>
        <w:rPr>
          <w:rFonts w:ascii="Verdana" w:hAnsi="Verdana" w:cs="Times New Roman"/>
          <w:b/>
          <w:bCs/>
          <w:iCs/>
          <w:sz w:val="18"/>
          <w:szCs w:val="18"/>
        </w:rPr>
      </w:pPr>
      <w:r w:rsidRPr="00C51113">
        <w:rPr>
          <w:rFonts w:ascii="Verdana" w:hAnsi="Verdana" w:cs="Times New Roman"/>
          <w:sz w:val="18"/>
          <w:szCs w:val="18"/>
        </w:rPr>
        <w:br w:type="page"/>
      </w:r>
    </w:p>
    <w:p w14:paraId="70AE4565" w14:textId="7B6FA8E1" w:rsidR="00CE4D4B" w:rsidRPr="00043901" w:rsidRDefault="00CE4D4B" w:rsidP="00677C01">
      <w:pPr>
        <w:pStyle w:val="Heading2"/>
        <w:numPr>
          <w:ilvl w:val="0"/>
          <w:numId w:val="8"/>
        </w:numPr>
        <w:jc w:val="both"/>
        <w:rPr>
          <w:rFonts w:ascii="Verdana" w:hAnsi="Verdana" w:cs="Times New Roman"/>
          <w:sz w:val="24"/>
          <w:szCs w:val="24"/>
        </w:rPr>
      </w:pPr>
      <w:bookmarkStart w:id="44" w:name="_Toc83382604"/>
      <w:r w:rsidRPr="00043901">
        <w:rPr>
          <w:rFonts w:ascii="Verdana" w:hAnsi="Verdana" w:cs="Times New Roman"/>
          <w:sz w:val="24"/>
          <w:szCs w:val="24"/>
        </w:rPr>
        <w:lastRenderedPageBreak/>
        <w:t>Introduction</w:t>
      </w:r>
      <w:bookmarkEnd w:id="43"/>
      <w:bookmarkEnd w:id="44"/>
    </w:p>
    <w:p w14:paraId="07B4AAD9" w14:textId="77777777" w:rsidR="00BD4A80" w:rsidRDefault="00BD4A80" w:rsidP="00677C01">
      <w:pPr>
        <w:spacing w:before="240"/>
        <w:jc w:val="both"/>
        <w:rPr>
          <w:rFonts w:ascii="Verdana" w:hAnsi="Verdana" w:cs="Times New Roman"/>
          <w:sz w:val="20"/>
          <w:szCs w:val="20"/>
        </w:rPr>
      </w:pPr>
    </w:p>
    <w:p w14:paraId="580E7EB2" w14:textId="5019C558" w:rsidR="00BD4A80" w:rsidRPr="00BD4A80" w:rsidRDefault="00BD4A80" w:rsidP="00677C01">
      <w:pPr>
        <w:spacing w:before="240"/>
        <w:ind w:firstLine="360"/>
        <w:jc w:val="both"/>
        <w:rPr>
          <w:rFonts w:ascii="Verdana" w:hAnsi="Verdana" w:cs="Times New Roman"/>
          <w:sz w:val="20"/>
          <w:szCs w:val="20"/>
        </w:rPr>
      </w:pPr>
      <w:r w:rsidRPr="00BD4A80">
        <w:rPr>
          <w:rFonts w:ascii="Verdana" w:hAnsi="Verdana" w:cs="Times New Roman"/>
          <w:sz w:val="20"/>
          <w:szCs w:val="20"/>
        </w:rPr>
        <w:t>Microbial interactions play critical roles in defining microbial community structure and function. These microbial interactions span from more cooperative interactions, such as resistance to antimicrobials and co-metabolism (</w:t>
      </w:r>
      <w:proofErr w:type="spellStart"/>
      <w:r w:rsidRPr="00BD4A80">
        <w:rPr>
          <w:rFonts w:ascii="Verdana" w:hAnsi="Verdana" w:cs="Times New Roman"/>
          <w:sz w:val="20"/>
          <w:szCs w:val="20"/>
        </w:rPr>
        <w:t>Burmolle</w:t>
      </w:r>
      <w:proofErr w:type="spellEnd"/>
      <w:r w:rsidRPr="00BD4A80">
        <w:rPr>
          <w:rFonts w:ascii="Verdana" w:hAnsi="Verdana" w:cs="Times New Roman"/>
          <w:sz w:val="20"/>
          <w:szCs w:val="20"/>
        </w:rPr>
        <w:t xml:space="preserve"> 2006, </w:t>
      </w:r>
      <w:proofErr w:type="spellStart"/>
      <w:r w:rsidRPr="00BD4A80">
        <w:rPr>
          <w:rFonts w:ascii="Verdana" w:hAnsi="Verdana" w:cs="Times New Roman"/>
          <w:sz w:val="20"/>
          <w:szCs w:val="20"/>
        </w:rPr>
        <w:t>Leriche</w:t>
      </w:r>
      <w:proofErr w:type="spellEnd"/>
      <w:r w:rsidRPr="00BD4A80">
        <w:rPr>
          <w:rFonts w:ascii="Verdana" w:hAnsi="Verdana" w:cs="Times New Roman"/>
          <w:sz w:val="20"/>
          <w:szCs w:val="20"/>
        </w:rPr>
        <w:t xml:space="preserve"> et al 2003, and </w:t>
      </w:r>
      <w:proofErr w:type="spellStart"/>
      <w:r w:rsidRPr="00BD4A80">
        <w:rPr>
          <w:rFonts w:ascii="Verdana" w:hAnsi="Verdana" w:cs="Times New Roman"/>
          <w:sz w:val="20"/>
          <w:szCs w:val="20"/>
        </w:rPr>
        <w:t>Pande</w:t>
      </w:r>
      <w:proofErr w:type="spellEnd"/>
      <w:r w:rsidRPr="00BD4A80">
        <w:rPr>
          <w:rFonts w:ascii="Verdana" w:hAnsi="Verdana" w:cs="Times New Roman"/>
          <w:sz w:val="20"/>
          <w:szCs w:val="20"/>
        </w:rPr>
        <w:t xml:space="preserve"> 2015), to more competitive interactions, such as production of inhibitory compounds and competition for resources (Rao 2005, Cude 2012, and </w:t>
      </w:r>
      <w:proofErr w:type="spellStart"/>
      <w:r w:rsidRPr="00BD4A80">
        <w:rPr>
          <w:rFonts w:ascii="Verdana" w:hAnsi="Verdana" w:cs="Times New Roman"/>
          <w:sz w:val="20"/>
          <w:szCs w:val="20"/>
        </w:rPr>
        <w:t>Manfield</w:t>
      </w:r>
      <w:proofErr w:type="spellEnd"/>
      <w:r w:rsidRPr="00BD4A80">
        <w:rPr>
          <w:rFonts w:ascii="Verdana" w:hAnsi="Verdana" w:cs="Times New Roman"/>
          <w:sz w:val="20"/>
          <w:szCs w:val="20"/>
        </w:rPr>
        <w:t xml:space="preserve"> et al 2001). Many types of microbial interactions are mediated by small molecules that are not essential to primary metabolism but are produced to facilitate interactions between microbes and their biotic and abiotic environments (i.e., secondary </w:t>
      </w:r>
      <w:proofErr w:type="gramStart"/>
      <w:r w:rsidRPr="00BD4A80">
        <w:rPr>
          <w:rFonts w:ascii="Verdana" w:hAnsi="Verdana" w:cs="Times New Roman"/>
          <w:sz w:val="20"/>
          <w:szCs w:val="20"/>
        </w:rPr>
        <w:t>metabolites)(</w:t>
      </w:r>
      <w:proofErr w:type="gramEnd"/>
      <w:r w:rsidRPr="00BD4A80">
        <w:rPr>
          <w:rFonts w:ascii="Verdana" w:hAnsi="Verdana" w:cs="Times New Roman"/>
          <w:sz w:val="20"/>
          <w:szCs w:val="20"/>
        </w:rPr>
        <w:t>Miller et al., 2001). Two common classes of secondary metabolites produced by microbes are signaling molecules and antimicrobial compounds. A well-known group of small, diffusible signaling molecules, the acylated homoserine lactones (AHLs), are common to many Proteobacteria where they are used to coordinate gene expression in a population density dependent manner (i.e., quorum sensing (QS)). Canonical AHL-mediated QS consists of a two-component system consisting of a transcriptional regulator (</w:t>
      </w:r>
      <w:proofErr w:type="spellStart"/>
      <w:r w:rsidRPr="00BD4A80">
        <w:rPr>
          <w:rFonts w:ascii="Verdana" w:hAnsi="Verdana" w:cs="Times New Roman"/>
          <w:sz w:val="20"/>
          <w:szCs w:val="20"/>
        </w:rPr>
        <w:t>LuxR</w:t>
      </w:r>
      <w:proofErr w:type="spellEnd"/>
      <w:r w:rsidRPr="00BD4A80">
        <w:rPr>
          <w:rFonts w:ascii="Verdana" w:hAnsi="Verdana" w:cs="Times New Roman"/>
          <w:sz w:val="20"/>
          <w:szCs w:val="20"/>
        </w:rPr>
        <w:t>-type protein) and an AHL synthase (</w:t>
      </w:r>
      <w:proofErr w:type="spellStart"/>
      <w:r w:rsidRPr="00BD4A80">
        <w:rPr>
          <w:rFonts w:ascii="Verdana" w:hAnsi="Verdana" w:cs="Times New Roman"/>
          <w:sz w:val="20"/>
          <w:szCs w:val="20"/>
        </w:rPr>
        <w:t>LuxI</w:t>
      </w:r>
      <w:proofErr w:type="spellEnd"/>
      <w:r w:rsidRPr="00BD4A80">
        <w:rPr>
          <w:rFonts w:ascii="Verdana" w:hAnsi="Verdana" w:cs="Times New Roman"/>
          <w:sz w:val="20"/>
          <w:szCs w:val="20"/>
        </w:rPr>
        <w:t>-type protein) that produces the diffusible ligand. When bound, these protein-ligand complexes can elicit global changes in gene expression (Miller et al., 2001). Common bacterial traits that are QS-regulated include but are not limited to: bioluminescence, pathogenicity, biofilm formation, and antimicrobial production (citation for each -- Case et al, 2008; Wagner-</w:t>
      </w:r>
      <w:proofErr w:type="spellStart"/>
      <w:r w:rsidRPr="00BD4A80">
        <w:rPr>
          <w:rFonts w:ascii="Verdana" w:hAnsi="Verdana" w:cs="Times New Roman"/>
          <w:sz w:val="20"/>
          <w:szCs w:val="20"/>
        </w:rPr>
        <w:t>Dobler</w:t>
      </w:r>
      <w:proofErr w:type="spellEnd"/>
      <w:r w:rsidRPr="00BD4A80">
        <w:rPr>
          <w:rFonts w:ascii="Verdana" w:hAnsi="Verdana" w:cs="Times New Roman"/>
          <w:sz w:val="20"/>
          <w:szCs w:val="20"/>
        </w:rPr>
        <w:t xml:space="preserve"> et al, 2005; </w:t>
      </w:r>
      <w:proofErr w:type="spellStart"/>
      <w:r w:rsidRPr="00BD4A80">
        <w:rPr>
          <w:rFonts w:ascii="Verdana" w:hAnsi="Verdana" w:cs="Times New Roman"/>
          <w:sz w:val="20"/>
          <w:szCs w:val="20"/>
        </w:rPr>
        <w:t>Duerkop</w:t>
      </w:r>
      <w:proofErr w:type="spellEnd"/>
      <w:r w:rsidRPr="00BD4A80">
        <w:rPr>
          <w:rFonts w:ascii="Verdana" w:hAnsi="Verdana" w:cs="Times New Roman"/>
          <w:sz w:val="20"/>
          <w:szCs w:val="20"/>
        </w:rPr>
        <w:t xml:space="preserve"> et al 2020). Antimicrobials are thought to contribute to microbial interactions principally through inhibition of the growth of competitors. However, for some microbes, these compounds may themselves function as inter-microbial signals at low concentrations (</w:t>
      </w:r>
      <w:proofErr w:type="spellStart"/>
      <w:r w:rsidRPr="00BD4A80">
        <w:rPr>
          <w:rFonts w:ascii="Verdana" w:hAnsi="Verdana" w:cs="Times New Roman"/>
          <w:sz w:val="20"/>
          <w:szCs w:val="20"/>
        </w:rPr>
        <w:t>Beyersmann</w:t>
      </w:r>
      <w:proofErr w:type="spellEnd"/>
      <w:r w:rsidRPr="00BD4A80">
        <w:rPr>
          <w:rFonts w:ascii="Verdana" w:hAnsi="Verdana" w:cs="Times New Roman"/>
          <w:sz w:val="20"/>
          <w:szCs w:val="20"/>
        </w:rPr>
        <w:t xml:space="preserve"> et al 2017). Thus, these two classes of molecules are crucial to competitive and cooperative microbial interactions.</w:t>
      </w:r>
    </w:p>
    <w:p w14:paraId="3F1F47C8" w14:textId="390AED32" w:rsidR="00BD4A80" w:rsidRPr="00BD4A80" w:rsidRDefault="00BD4A80" w:rsidP="00677C01">
      <w:pPr>
        <w:spacing w:before="240"/>
        <w:ind w:firstLine="360"/>
        <w:jc w:val="both"/>
        <w:rPr>
          <w:rFonts w:ascii="Verdana" w:hAnsi="Verdana" w:cs="Times New Roman"/>
          <w:sz w:val="20"/>
          <w:szCs w:val="20"/>
        </w:rPr>
      </w:pPr>
      <w:r w:rsidRPr="00BD4A80">
        <w:rPr>
          <w:rFonts w:ascii="Verdana" w:hAnsi="Verdana" w:cs="Times New Roman"/>
          <w:sz w:val="20"/>
          <w:szCs w:val="20"/>
        </w:rPr>
        <w:t>In many environments, diverse microorganisms are enclosed in biofilms where they are in close physical association with one another and encased in a self-produced polymeric matrix. The biological and physicochemical properties of biofilms make them ideal systems to study microbial interactions, especially those that are mediated by diffusible small molecules. In addition, biofilms play critical roles in ecosystem functioning, where they mediate transformations key to biogeochemical cycling (</w:t>
      </w:r>
      <w:proofErr w:type="spellStart"/>
      <w:r w:rsidRPr="00BD4A80">
        <w:rPr>
          <w:rFonts w:ascii="Verdana" w:hAnsi="Verdana" w:cs="Times New Roman"/>
          <w:sz w:val="20"/>
          <w:szCs w:val="20"/>
        </w:rPr>
        <w:t>Decho</w:t>
      </w:r>
      <w:proofErr w:type="spellEnd"/>
      <w:r w:rsidRPr="00BD4A80">
        <w:rPr>
          <w:rFonts w:ascii="Verdana" w:hAnsi="Verdana" w:cs="Times New Roman"/>
          <w:sz w:val="20"/>
          <w:szCs w:val="20"/>
        </w:rPr>
        <w:t xml:space="preserve"> 2017), bioremediation (Yoshida 2009), and biofouling (Adnan 2018). In turn, biofilm-associated microorganisms are afforded some degree of protection by the biofilm matrix from external environmental stressors, predators, toxins, and antibiotics (Dang et al., 2016). Secondary metabolites commonly have enhanced biosynthesis in biofilms, leading to higher concentrations of these compounds in the local environment and subsequently influencing microbial interactions along the spectrum from cooperation to competition (</w:t>
      </w:r>
      <w:proofErr w:type="spellStart"/>
      <w:r w:rsidRPr="00BD4A80">
        <w:rPr>
          <w:rFonts w:ascii="Verdana" w:hAnsi="Verdana" w:cs="Times New Roman"/>
          <w:sz w:val="20"/>
          <w:szCs w:val="20"/>
        </w:rPr>
        <w:t>Rieusset</w:t>
      </w:r>
      <w:proofErr w:type="spellEnd"/>
      <w:r w:rsidRPr="00BD4A80">
        <w:rPr>
          <w:rFonts w:ascii="Verdana" w:hAnsi="Verdana" w:cs="Times New Roman"/>
          <w:sz w:val="20"/>
          <w:szCs w:val="20"/>
        </w:rPr>
        <w:t xml:space="preserve"> et al. 2020).</w:t>
      </w:r>
    </w:p>
    <w:p w14:paraId="2E11AAAF" w14:textId="77777777" w:rsidR="00BD4A80" w:rsidRPr="00BD4A80" w:rsidRDefault="00BD4A80" w:rsidP="00677C01">
      <w:pPr>
        <w:spacing w:before="240"/>
        <w:ind w:firstLine="720"/>
        <w:jc w:val="both"/>
        <w:rPr>
          <w:rFonts w:ascii="Verdana" w:hAnsi="Verdana" w:cs="Times New Roman"/>
          <w:sz w:val="20"/>
          <w:szCs w:val="20"/>
        </w:rPr>
      </w:pPr>
      <w:r w:rsidRPr="00BD4A80">
        <w:rPr>
          <w:rFonts w:ascii="Verdana" w:hAnsi="Verdana" w:cs="Times New Roman"/>
          <w:sz w:val="20"/>
          <w:szCs w:val="20"/>
        </w:rPr>
        <w:t xml:space="preserve">Current understanding of QS-mediated microbial interactions within biofilms is principally based on co-culture and natural mesocosm assemblages (Chandler et al. 2012; </w:t>
      </w:r>
      <w:proofErr w:type="spellStart"/>
      <w:r w:rsidRPr="00BD4A80">
        <w:rPr>
          <w:rFonts w:ascii="Verdana" w:hAnsi="Verdana" w:cs="Times New Roman"/>
          <w:sz w:val="20"/>
          <w:szCs w:val="20"/>
        </w:rPr>
        <w:t>Dobretsov</w:t>
      </w:r>
      <w:proofErr w:type="spellEnd"/>
      <w:r w:rsidRPr="00BD4A80">
        <w:rPr>
          <w:rFonts w:ascii="Verdana" w:hAnsi="Verdana" w:cs="Times New Roman"/>
          <w:sz w:val="20"/>
          <w:szCs w:val="20"/>
        </w:rPr>
        <w:t xml:space="preserve"> et al. 2011). While valuable, co-culture studies can be limited by an over-simplification of microbial interactions. On the other hand, mesocosm experiments yield a wide range of variables to consider when trying to tease apart microbial interactions (Smalley et al 2015; Smith at el 2017 &amp; </w:t>
      </w:r>
      <w:proofErr w:type="spellStart"/>
      <w:r w:rsidRPr="00BD4A80">
        <w:rPr>
          <w:rFonts w:ascii="Verdana" w:hAnsi="Verdana" w:cs="Times New Roman"/>
          <w:sz w:val="20"/>
          <w:szCs w:val="20"/>
        </w:rPr>
        <w:t>Agogué</w:t>
      </w:r>
      <w:proofErr w:type="spellEnd"/>
      <w:r w:rsidRPr="00BD4A80">
        <w:rPr>
          <w:rFonts w:ascii="Verdana" w:hAnsi="Verdana" w:cs="Times New Roman"/>
          <w:sz w:val="20"/>
          <w:szCs w:val="20"/>
        </w:rPr>
        <w:t xml:space="preserve"> et al. 2014). Synthetic intentional communities provide an opportunity to limit community complexity while still allowing for some of the original interactions to remain and have been used recently in surface colonization and biofilm studies to mimic interactions in natural ecosystems (Cude et al 2012; Ren et al 2015; Quigley 2019; Correa de Souza et al 2020). Despite the recent emergence of multispecies-based biofilm studies, our knowledge of microbial interactions within natural biofilm communities is still relatively incomplete, specifically those cooperative and competitive interactions influenced </w:t>
      </w:r>
      <w:r w:rsidRPr="00BD4A80">
        <w:rPr>
          <w:rFonts w:ascii="Verdana" w:hAnsi="Verdana" w:cs="Times New Roman"/>
          <w:sz w:val="20"/>
          <w:szCs w:val="20"/>
        </w:rPr>
        <w:lastRenderedPageBreak/>
        <w:t xml:space="preserve">by QS. A critical aspect to understanding these QS-linked interactions within multispecies biofilm communities is to evaluate the fitness, physiological, and ecological aspects between individual species and a multispecies biofilm consortium. To address this knowledge gap, here we systematically evaluated the contribution of QS using a series of bacterial mutants unable to produce secondary metabolites in a low diversity and defined synthetic community to investigate cooperation and competition within a biofilm.  </w:t>
      </w:r>
    </w:p>
    <w:p w14:paraId="0258BE54" w14:textId="76CDCC0B" w:rsidR="00236E6D" w:rsidRPr="00BD4A80" w:rsidRDefault="00BD4A80" w:rsidP="00677C01">
      <w:pPr>
        <w:spacing w:before="240"/>
        <w:ind w:firstLine="360"/>
        <w:jc w:val="both"/>
        <w:rPr>
          <w:rFonts w:ascii="Verdana" w:hAnsi="Verdana" w:cs="Times New Roman"/>
          <w:sz w:val="20"/>
          <w:szCs w:val="20"/>
        </w:rPr>
      </w:pPr>
      <w:r w:rsidRPr="00BD4A80">
        <w:rPr>
          <w:rFonts w:ascii="Verdana" w:hAnsi="Verdana" w:cs="Times New Roman"/>
          <w:sz w:val="20"/>
          <w:szCs w:val="20"/>
        </w:rPr>
        <w:t>Here, we used a synthetic five-member intentional community composed of members of the ecologically relevant Rhodobacterales order. Members of this heterotrophic clade of bacteria, known as the Roseobacter clade, comprise up to 20% of the microbial communities in marine ecosystems, possess a large genetic repertoire, and high metabolic diversity. As a result of their vast metabolic capabilities, Roseobacters are adept at transforming phenolic compounds and play a role in carbon and sulfur cycling (Wagner-</w:t>
      </w:r>
      <w:proofErr w:type="spellStart"/>
      <w:r w:rsidRPr="00BD4A80">
        <w:rPr>
          <w:rFonts w:ascii="Verdana" w:hAnsi="Verdana" w:cs="Times New Roman"/>
          <w:sz w:val="20"/>
          <w:szCs w:val="20"/>
        </w:rPr>
        <w:t>Dobler</w:t>
      </w:r>
      <w:proofErr w:type="spellEnd"/>
      <w:r w:rsidRPr="00BD4A80">
        <w:rPr>
          <w:rFonts w:ascii="Verdana" w:hAnsi="Verdana" w:cs="Times New Roman"/>
          <w:sz w:val="20"/>
          <w:szCs w:val="20"/>
        </w:rPr>
        <w:t xml:space="preserve"> and </w:t>
      </w:r>
      <w:proofErr w:type="spellStart"/>
      <w:r w:rsidRPr="00BD4A80">
        <w:rPr>
          <w:rFonts w:ascii="Verdana" w:hAnsi="Verdana" w:cs="Times New Roman"/>
          <w:sz w:val="20"/>
          <w:szCs w:val="20"/>
        </w:rPr>
        <w:t>Biebl</w:t>
      </w:r>
      <w:proofErr w:type="spellEnd"/>
      <w:r w:rsidRPr="00BD4A80">
        <w:rPr>
          <w:rFonts w:ascii="Verdana" w:hAnsi="Verdana" w:cs="Times New Roman"/>
          <w:sz w:val="20"/>
          <w:szCs w:val="20"/>
        </w:rPr>
        <w:t>, 2006; Buchan, et al. 2019). In marine ecosystems Roseobacters are important primary surface colonizers, promoting surface colonization and biofilm formation of other marine bacteria through the production of secondary metabolites (</w:t>
      </w:r>
      <w:proofErr w:type="spellStart"/>
      <w:r w:rsidRPr="00BD4A80">
        <w:rPr>
          <w:rFonts w:ascii="Verdana" w:hAnsi="Verdana" w:cs="Times New Roman"/>
          <w:sz w:val="20"/>
          <w:szCs w:val="20"/>
        </w:rPr>
        <w:t>Kviatkovski</w:t>
      </w:r>
      <w:proofErr w:type="spellEnd"/>
      <w:r w:rsidRPr="00BD4A80">
        <w:rPr>
          <w:rFonts w:ascii="Verdana" w:hAnsi="Verdana" w:cs="Times New Roman"/>
          <w:sz w:val="20"/>
          <w:szCs w:val="20"/>
        </w:rPr>
        <w:t>, et al., 2015). In addition to the colonization role of secondary metabolites, growth substrate also has been reported to play a role in defining Roseobacter synthetic communities (Quigley et al., 2019). Due to their predilection to form a biofilm on a variety of surfaces and robust secondary metabolite production, members of the Roseobacter clade are ideal model organisms for examining the molecular mechanisms that mediate the cooperative and competitive microbial interactions within biofilm communities.</w:t>
      </w:r>
    </w:p>
    <w:p w14:paraId="218A4009" w14:textId="43246C91" w:rsidR="00236E6D" w:rsidRDefault="00BD3657" w:rsidP="00677C01">
      <w:pPr>
        <w:pStyle w:val="Heading2"/>
        <w:numPr>
          <w:ilvl w:val="0"/>
          <w:numId w:val="8"/>
        </w:numPr>
        <w:jc w:val="both"/>
        <w:rPr>
          <w:rFonts w:ascii="Verdana" w:hAnsi="Verdana" w:cs="Times New Roman"/>
          <w:sz w:val="24"/>
          <w:szCs w:val="24"/>
        </w:rPr>
      </w:pPr>
      <w:bookmarkStart w:id="45" w:name="_Toc83382605"/>
      <w:r w:rsidRPr="00BD4A80">
        <w:rPr>
          <w:rFonts w:ascii="Verdana" w:hAnsi="Verdana" w:cs="Times New Roman"/>
          <w:sz w:val="24"/>
          <w:szCs w:val="24"/>
        </w:rPr>
        <w:t>Materials and Methods</w:t>
      </w:r>
      <w:bookmarkEnd w:id="45"/>
    </w:p>
    <w:p w14:paraId="006556BE" w14:textId="77777777" w:rsidR="002C0C4C" w:rsidRPr="002C0C4C" w:rsidRDefault="002C0C4C" w:rsidP="00677C01">
      <w:pPr>
        <w:spacing w:before="240"/>
        <w:rPr>
          <w:rFonts w:ascii="Verdana" w:hAnsi="Verdana"/>
          <w:b/>
          <w:bCs/>
          <w:i/>
          <w:iCs/>
          <w:sz w:val="20"/>
          <w:szCs w:val="20"/>
        </w:rPr>
      </w:pPr>
      <w:r w:rsidRPr="002C0C4C">
        <w:rPr>
          <w:rFonts w:ascii="Verdana" w:hAnsi="Verdana"/>
          <w:b/>
          <w:bCs/>
          <w:i/>
          <w:iCs/>
          <w:sz w:val="20"/>
          <w:szCs w:val="20"/>
        </w:rPr>
        <w:t>Strains, growth conditions, and maintenance</w:t>
      </w:r>
    </w:p>
    <w:p w14:paraId="4ABD5F42" w14:textId="77777777" w:rsidR="002C0C4C" w:rsidRPr="002C0C4C" w:rsidRDefault="002C0C4C" w:rsidP="00677C01">
      <w:pPr>
        <w:spacing w:before="240"/>
        <w:jc w:val="both"/>
        <w:rPr>
          <w:rFonts w:ascii="Verdana" w:hAnsi="Verdana"/>
          <w:sz w:val="20"/>
          <w:szCs w:val="20"/>
        </w:rPr>
      </w:pPr>
      <w:r w:rsidRPr="002C0C4C">
        <w:rPr>
          <w:rFonts w:ascii="Verdana" w:hAnsi="Verdana"/>
          <w:sz w:val="20"/>
          <w:szCs w:val="20"/>
        </w:rPr>
        <w:t xml:space="preserve">Four of the strains used in this study Rhodobacterales strain Y4I, </w:t>
      </w:r>
      <w:proofErr w:type="spellStart"/>
      <w:r w:rsidRPr="002C0C4C">
        <w:rPr>
          <w:rFonts w:ascii="Verdana" w:hAnsi="Verdana"/>
          <w:sz w:val="20"/>
          <w:szCs w:val="20"/>
        </w:rPr>
        <w:t>Sagittula</w:t>
      </w:r>
      <w:proofErr w:type="spellEnd"/>
      <w:r w:rsidRPr="002C0C4C">
        <w:rPr>
          <w:rFonts w:ascii="Verdana" w:hAnsi="Verdana"/>
          <w:sz w:val="20"/>
          <w:szCs w:val="20"/>
        </w:rPr>
        <w:t xml:space="preserve"> </w:t>
      </w:r>
      <w:proofErr w:type="spellStart"/>
      <w:r w:rsidRPr="002C0C4C">
        <w:rPr>
          <w:rFonts w:ascii="Verdana" w:hAnsi="Verdana"/>
          <w:sz w:val="20"/>
          <w:szCs w:val="20"/>
        </w:rPr>
        <w:t>stellata</w:t>
      </w:r>
      <w:proofErr w:type="spellEnd"/>
      <w:r w:rsidRPr="002C0C4C">
        <w:rPr>
          <w:rFonts w:ascii="Verdana" w:hAnsi="Verdana"/>
          <w:sz w:val="20"/>
          <w:szCs w:val="20"/>
        </w:rPr>
        <w:t xml:space="preserve"> sp. E-37, </w:t>
      </w:r>
      <w:proofErr w:type="spellStart"/>
      <w:r w:rsidRPr="002C0C4C">
        <w:rPr>
          <w:rFonts w:ascii="Verdana" w:hAnsi="Verdana"/>
          <w:sz w:val="20"/>
          <w:szCs w:val="20"/>
        </w:rPr>
        <w:t>Citreicella</w:t>
      </w:r>
      <w:proofErr w:type="spellEnd"/>
      <w:r w:rsidRPr="002C0C4C">
        <w:rPr>
          <w:rFonts w:ascii="Verdana" w:hAnsi="Verdana"/>
          <w:sz w:val="20"/>
          <w:szCs w:val="20"/>
        </w:rPr>
        <w:t xml:space="preserve"> sp. SE45, </w:t>
      </w:r>
      <w:proofErr w:type="spellStart"/>
      <w:r w:rsidRPr="002C0C4C">
        <w:rPr>
          <w:rFonts w:ascii="Verdana" w:hAnsi="Verdana"/>
          <w:sz w:val="20"/>
          <w:szCs w:val="20"/>
        </w:rPr>
        <w:t>Sulfitobacter</w:t>
      </w:r>
      <w:proofErr w:type="spellEnd"/>
      <w:r w:rsidRPr="002C0C4C">
        <w:rPr>
          <w:rFonts w:ascii="Verdana" w:hAnsi="Verdana"/>
          <w:sz w:val="20"/>
          <w:szCs w:val="20"/>
        </w:rPr>
        <w:t xml:space="preserve"> sp. EE-36 were previously isolated from southeastern United States estuaries or coastal waters (Buchan et al., 2000, 2004). </w:t>
      </w:r>
      <w:proofErr w:type="spellStart"/>
      <w:r w:rsidRPr="002C0C4C">
        <w:rPr>
          <w:rFonts w:ascii="Verdana" w:hAnsi="Verdana"/>
          <w:sz w:val="20"/>
          <w:szCs w:val="20"/>
        </w:rPr>
        <w:t>Roseovarius</w:t>
      </w:r>
      <w:proofErr w:type="spellEnd"/>
      <w:r w:rsidRPr="002C0C4C">
        <w:rPr>
          <w:rFonts w:ascii="Verdana" w:hAnsi="Verdana"/>
          <w:sz w:val="20"/>
          <w:szCs w:val="20"/>
        </w:rPr>
        <w:t xml:space="preserve"> </w:t>
      </w:r>
      <w:proofErr w:type="spellStart"/>
      <w:r w:rsidRPr="002C0C4C">
        <w:rPr>
          <w:rFonts w:ascii="Verdana" w:hAnsi="Verdana"/>
          <w:sz w:val="20"/>
          <w:szCs w:val="20"/>
        </w:rPr>
        <w:t>nubinhibens</w:t>
      </w:r>
      <w:proofErr w:type="spellEnd"/>
      <w:r w:rsidRPr="002C0C4C">
        <w:rPr>
          <w:rFonts w:ascii="Verdana" w:hAnsi="Verdana"/>
          <w:sz w:val="20"/>
          <w:szCs w:val="20"/>
        </w:rPr>
        <w:t xml:space="preserve"> ISM was previously isolated from the Caribbean Sea (González et al., 2003). Previously established Y4I mutants: </w:t>
      </w:r>
      <w:proofErr w:type="spellStart"/>
      <w:proofErr w:type="gramStart"/>
      <w:r w:rsidRPr="002C0C4C">
        <w:rPr>
          <w:rFonts w:ascii="Verdana" w:hAnsi="Verdana"/>
          <w:sz w:val="20"/>
          <w:szCs w:val="20"/>
        </w:rPr>
        <w:t>igiD</w:t>
      </w:r>
      <w:proofErr w:type="spellEnd"/>
      <w:r w:rsidRPr="002C0C4C">
        <w:rPr>
          <w:rFonts w:ascii="Verdana" w:hAnsi="Verdana"/>
          <w:sz w:val="20"/>
          <w:szCs w:val="20"/>
        </w:rPr>
        <w:t>::</w:t>
      </w:r>
      <w:proofErr w:type="gramEnd"/>
      <w:r w:rsidRPr="002C0C4C">
        <w:rPr>
          <w:rFonts w:ascii="Verdana" w:hAnsi="Verdana"/>
          <w:sz w:val="20"/>
          <w:szCs w:val="20"/>
        </w:rPr>
        <w:t xml:space="preserve">Tn5-KmR, </w:t>
      </w:r>
      <w:proofErr w:type="spellStart"/>
      <w:r w:rsidRPr="002C0C4C">
        <w:rPr>
          <w:rFonts w:ascii="Verdana" w:hAnsi="Verdana"/>
          <w:sz w:val="20"/>
          <w:szCs w:val="20"/>
        </w:rPr>
        <w:t>pgaR</w:t>
      </w:r>
      <w:proofErr w:type="spellEnd"/>
      <w:r w:rsidRPr="002C0C4C">
        <w:rPr>
          <w:rFonts w:ascii="Verdana" w:hAnsi="Verdana"/>
          <w:sz w:val="20"/>
          <w:szCs w:val="20"/>
        </w:rPr>
        <w:t xml:space="preserve">::Tn5-KmR, </w:t>
      </w:r>
      <w:proofErr w:type="spellStart"/>
      <w:r w:rsidRPr="002C0C4C">
        <w:rPr>
          <w:rFonts w:ascii="Verdana" w:hAnsi="Verdana"/>
          <w:sz w:val="20"/>
          <w:szCs w:val="20"/>
        </w:rPr>
        <w:t>phaR</w:t>
      </w:r>
      <w:proofErr w:type="spellEnd"/>
      <w:r w:rsidRPr="002C0C4C">
        <w:rPr>
          <w:rFonts w:ascii="Verdana" w:hAnsi="Verdana"/>
          <w:sz w:val="20"/>
          <w:szCs w:val="20"/>
        </w:rPr>
        <w:t xml:space="preserve">::Tn5-KmR, and </w:t>
      </w:r>
      <w:proofErr w:type="spellStart"/>
      <w:r w:rsidRPr="002C0C4C">
        <w:rPr>
          <w:rFonts w:ascii="Verdana" w:hAnsi="Verdana"/>
          <w:sz w:val="20"/>
          <w:szCs w:val="20"/>
        </w:rPr>
        <w:t>clpA</w:t>
      </w:r>
      <w:proofErr w:type="spellEnd"/>
      <w:r w:rsidRPr="002C0C4C">
        <w:rPr>
          <w:rFonts w:ascii="Verdana" w:hAnsi="Verdana"/>
          <w:sz w:val="20"/>
          <w:szCs w:val="20"/>
        </w:rPr>
        <w:t xml:space="preserve">::Tn5-KmR were generated using a mini Tn5 transposon system (Cude et al., 2012, 2015). The </w:t>
      </w:r>
      <w:proofErr w:type="spellStart"/>
      <w:proofErr w:type="gramStart"/>
      <w:r w:rsidRPr="002C0C4C">
        <w:rPr>
          <w:rFonts w:ascii="Verdana" w:hAnsi="Verdana"/>
          <w:sz w:val="20"/>
          <w:szCs w:val="20"/>
        </w:rPr>
        <w:t>phaI</w:t>
      </w:r>
      <w:proofErr w:type="spellEnd"/>
      <w:r w:rsidRPr="002C0C4C">
        <w:rPr>
          <w:rFonts w:ascii="Verdana" w:hAnsi="Verdana"/>
          <w:sz w:val="20"/>
          <w:szCs w:val="20"/>
        </w:rPr>
        <w:t>::</w:t>
      </w:r>
      <w:proofErr w:type="spellStart"/>
      <w:proofErr w:type="gramEnd"/>
      <w:r w:rsidRPr="002C0C4C">
        <w:rPr>
          <w:rFonts w:ascii="Verdana" w:hAnsi="Verdana"/>
          <w:sz w:val="20"/>
          <w:szCs w:val="20"/>
        </w:rPr>
        <w:t>pKNOCK</w:t>
      </w:r>
      <w:proofErr w:type="spellEnd"/>
      <w:r w:rsidRPr="002C0C4C">
        <w:rPr>
          <w:rFonts w:ascii="Verdana" w:hAnsi="Verdana"/>
          <w:sz w:val="20"/>
          <w:szCs w:val="20"/>
        </w:rPr>
        <w:t xml:space="preserve"> mutant was previously generated using targeted insertional mutagenesis (Armes and Buchan, 2021). Due to the nature of mutagenesis, all Y4I mutant variants carry a kanamycin resistance gene.</w:t>
      </w:r>
    </w:p>
    <w:p w14:paraId="74BDDA6D" w14:textId="05A50B8F" w:rsidR="002C0C4C" w:rsidRPr="00677C01" w:rsidRDefault="002C0C4C" w:rsidP="00677C01">
      <w:pPr>
        <w:spacing w:before="240"/>
        <w:ind w:firstLine="720"/>
        <w:jc w:val="both"/>
        <w:rPr>
          <w:rFonts w:ascii="Verdana" w:hAnsi="Verdana"/>
          <w:sz w:val="20"/>
          <w:szCs w:val="20"/>
        </w:rPr>
      </w:pPr>
      <w:r w:rsidRPr="002C0C4C">
        <w:rPr>
          <w:rFonts w:ascii="Verdana" w:hAnsi="Verdana"/>
          <w:sz w:val="20"/>
          <w:szCs w:val="20"/>
        </w:rPr>
        <w:t xml:space="preserve">All strains were maintained on YTSS agar [per liter: 15 g Instant Ocean (Thermo Fisher Scientific), 15 g agar (Thermo Fisher Scientific), 4 g tryptone, 2.5 g yeast extract]. Y4I strains were routinely passaged in 20% YTSS (per liter: 15 g Instant Ocean, 0.8 g tryptone, 0.5 g yeast extract) to reduce flocking in these strains. Each strain was passaged onto basal medium (BM - per liter 8.7 mM </w:t>
      </w:r>
      <w:proofErr w:type="spellStart"/>
      <w:r w:rsidRPr="002C0C4C">
        <w:rPr>
          <w:rFonts w:ascii="Verdana" w:hAnsi="Verdana"/>
          <w:sz w:val="20"/>
          <w:szCs w:val="20"/>
        </w:rPr>
        <w:t>KCl</w:t>
      </w:r>
      <w:proofErr w:type="spellEnd"/>
      <w:r w:rsidRPr="002C0C4C">
        <w:rPr>
          <w:rFonts w:ascii="Verdana" w:hAnsi="Verdana"/>
          <w:sz w:val="20"/>
          <w:szCs w:val="20"/>
        </w:rPr>
        <w:t xml:space="preserve">, 8.7 mM CaCl2, 43.5 mM MgSO4, and 174 mM NaCl with 225 </w:t>
      </w:r>
      <w:proofErr w:type="spellStart"/>
      <w:r w:rsidRPr="002C0C4C">
        <w:rPr>
          <w:rFonts w:ascii="Verdana" w:hAnsi="Verdana"/>
          <w:sz w:val="20"/>
          <w:szCs w:val="20"/>
        </w:rPr>
        <w:t>uM</w:t>
      </w:r>
      <w:proofErr w:type="spellEnd"/>
      <w:r w:rsidRPr="002C0C4C">
        <w:rPr>
          <w:rFonts w:ascii="Verdana" w:hAnsi="Verdana"/>
          <w:sz w:val="20"/>
          <w:szCs w:val="20"/>
        </w:rPr>
        <w:t xml:space="preserve"> K2HPO4, 13.35 mM NH4Cl, 71 mM Tris-HCl [pH 7.5], 68 </w:t>
      </w:r>
      <w:proofErr w:type="spellStart"/>
      <w:r w:rsidRPr="002C0C4C">
        <w:rPr>
          <w:rFonts w:ascii="Verdana" w:hAnsi="Verdana"/>
          <w:sz w:val="20"/>
          <w:szCs w:val="20"/>
        </w:rPr>
        <w:t>uM</w:t>
      </w:r>
      <w:proofErr w:type="spellEnd"/>
      <w:r w:rsidRPr="002C0C4C">
        <w:rPr>
          <w:rFonts w:ascii="Verdana" w:hAnsi="Verdana"/>
          <w:sz w:val="20"/>
          <w:szCs w:val="20"/>
        </w:rPr>
        <w:t xml:space="preserve"> Fe-EDTA, trace metals [7.8492 mM nitriloacetic acid, 0.5325 mM MnSO4</w:t>
      </w:r>
      <w:r w:rsidRPr="002C0C4C">
        <w:rPr>
          <w:rFonts w:ascii="Cambria Math" w:hAnsi="Cambria Math" w:cs="Cambria Math"/>
          <w:sz w:val="20"/>
          <w:szCs w:val="20"/>
        </w:rPr>
        <w:t>∗</w:t>
      </w:r>
      <w:r w:rsidRPr="002C0C4C">
        <w:rPr>
          <w:rFonts w:ascii="Verdana" w:hAnsi="Verdana"/>
          <w:sz w:val="20"/>
          <w:szCs w:val="20"/>
        </w:rPr>
        <w:t xml:space="preserve">H2O, 0.4203 mM CoCl2 </w:t>
      </w:r>
      <w:r w:rsidRPr="002C0C4C">
        <w:rPr>
          <w:rFonts w:ascii="Cambria Math" w:hAnsi="Cambria Math" w:cs="Cambria Math"/>
          <w:sz w:val="20"/>
          <w:szCs w:val="20"/>
        </w:rPr>
        <w:t>∗</w:t>
      </w:r>
      <w:r w:rsidRPr="002C0C4C">
        <w:rPr>
          <w:rFonts w:ascii="Verdana" w:hAnsi="Verdana"/>
          <w:sz w:val="20"/>
          <w:szCs w:val="20"/>
        </w:rPr>
        <w:t xml:space="preserve">6H2O, 0.3478 mM ZnSO4 </w:t>
      </w:r>
      <w:r w:rsidRPr="002C0C4C">
        <w:rPr>
          <w:rFonts w:ascii="Cambria Math" w:hAnsi="Cambria Math" w:cs="Cambria Math"/>
          <w:sz w:val="20"/>
          <w:szCs w:val="20"/>
        </w:rPr>
        <w:t>∗</w:t>
      </w:r>
      <w:r w:rsidRPr="002C0C4C">
        <w:rPr>
          <w:rFonts w:ascii="Verdana" w:hAnsi="Verdana"/>
          <w:sz w:val="20"/>
          <w:szCs w:val="20"/>
        </w:rPr>
        <w:t xml:space="preserve">7H2O, 0.0376 mM CuSO4, 0.1052 mM NiCl2 </w:t>
      </w:r>
      <w:r w:rsidRPr="002C0C4C">
        <w:rPr>
          <w:rFonts w:ascii="Cambria Math" w:hAnsi="Cambria Math" w:cs="Cambria Math"/>
          <w:sz w:val="20"/>
          <w:szCs w:val="20"/>
        </w:rPr>
        <w:t>∗</w:t>
      </w:r>
      <w:r w:rsidRPr="002C0C4C">
        <w:rPr>
          <w:rFonts w:ascii="Verdana" w:hAnsi="Verdana"/>
          <w:sz w:val="20"/>
          <w:szCs w:val="20"/>
        </w:rPr>
        <w:t>6H20, 1.1565 mM Na2SeO3, 0.4134 mM Na2MoO4</w:t>
      </w:r>
      <w:r w:rsidRPr="002C0C4C">
        <w:rPr>
          <w:rFonts w:ascii="Cambria Math" w:hAnsi="Cambria Math" w:cs="Cambria Math"/>
          <w:sz w:val="20"/>
          <w:szCs w:val="20"/>
        </w:rPr>
        <w:t>∗</w:t>
      </w:r>
      <w:r w:rsidRPr="002C0C4C">
        <w:rPr>
          <w:rFonts w:ascii="Verdana" w:hAnsi="Verdana"/>
          <w:sz w:val="20"/>
          <w:szCs w:val="20"/>
        </w:rPr>
        <w:t>2H2O, 0.3259 mM Na2WO4</w:t>
      </w:r>
      <w:r w:rsidRPr="002C0C4C">
        <w:rPr>
          <w:rFonts w:ascii="Cambria Math" w:hAnsi="Cambria Math" w:cs="Cambria Math"/>
          <w:sz w:val="20"/>
          <w:szCs w:val="20"/>
        </w:rPr>
        <w:t>∗</w:t>
      </w:r>
      <w:r w:rsidRPr="002C0C4C">
        <w:rPr>
          <w:rFonts w:ascii="Verdana" w:hAnsi="Verdana"/>
          <w:sz w:val="20"/>
          <w:szCs w:val="20"/>
        </w:rPr>
        <w:t>2H2O, 0.2463 mM Na2SiO3</w:t>
      </w:r>
      <w:r w:rsidRPr="002C0C4C">
        <w:rPr>
          <w:rFonts w:ascii="Cambria Math" w:hAnsi="Cambria Math" w:cs="Cambria Math"/>
          <w:sz w:val="20"/>
          <w:szCs w:val="20"/>
        </w:rPr>
        <w:t>∗</w:t>
      </w:r>
      <w:r w:rsidRPr="002C0C4C">
        <w:rPr>
          <w:rFonts w:ascii="Verdana" w:hAnsi="Verdana"/>
          <w:sz w:val="20"/>
          <w:szCs w:val="20"/>
        </w:rPr>
        <w:t xml:space="preserve">9H2O] and trace vitamins [0.0020% vitamin H (Biotin), 0.0020% folic acid, 0.0100% pyridoxine-HCl (B6), 0.0050% riboflavin (B2), 0.0050% thiamine (B1), 0.0050% nicotinic acid, 0.0050% pantothenic acid (B5), 0.0001% cyanocobalamin (B12), 0.0050% p-aminobenzoic acid]) containing either 10 mM sodium acetate or 2 mM p-hydroxybenzoic acid (POB). All strains were incubated at 30°C in the dark unless otherwise noted. </w:t>
      </w:r>
    </w:p>
    <w:p w14:paraId="346BAE29" w14:textId="018209C7" w:rsidR="002C0C4C" w:rsidRPr="002C0C4C" w:rsidRDefault="002C0C4C" w:rsidP="00677C01">
      <w:pPr>
        <w:spacing w:before="240"/>
        <w:jc w:val="both"/>
        <w:rPr>
          <w:rFonts w:ascii="Verdana" w:hAnsi="Verdana"/>
          <w:b/>
          <w:bCs/>
          <w:i/>
          <w:iCs/>
          <w:sz w:val="20"/>
          <w:szCs w:val="20"/>
        </w:rPr>
      </w:pPr>
      <w:r w:rsidRPr="002C0C4C">
        <w:rPr>
          <w:rFonts w:ascii="Verdana" w:hAnsi="Verdana"/>
          <w:b/>
          <w:bCs/>
          <w:i/>
          <w:iCs/>
          <w:sz w:val="20"/>
          <w:szCs w:val="20"/>
        </w:rPr>
        <w:t>Surface attachment to glass beads</w:t>
      </w:r>
    </w:p>
    <w:p w14:paraId="4703B150" w14:textId="0A7D22F9" w:rsidR="002C0C4C" w:rsidRPr="00677C01" w:rsidRDefault="002C0C4C" w:rsidP="00677C01">
      <w:pPr>
        <w:spacing w:before="240"/>
        <w:jc w:val="both"/>
        <w:rPr>
          <w:rFonts w:ascii="Verdana" w:hAnsi="Verdana"/>
          <w:sz w:val="20"/>
          <w:szCs w:val="20"/>
        </w:rPr>
      </w:pPr>
      <w:r w:rsidRPr="002C0C4C">
        <w:rPr>
          <w:rFonts w:ascii="Verdana" w:hAnsi="Verdana"/>
          <w:sz w:val="20"/>
          <w:szCs w:val="20"/>
        </w:rPr>
        <w:lastRenderedPageBreak/>
        <w:t xml:space="preserve">Surface attachment to glass beads was assessed as previously described in Cude 2012 (Cude 2012). Briefly, sterilized 4 mm glass beads (Pyrex, Corning Incorporated Corning, NY) in a 96-well polystyrene plate (Costar, Corning Incorporated Corning, NY) were inoculated with the following strains in monoculture: E-37, SE45, EE-36, ISM, wildtype Y4I, </w:t>
      </w:r>
      <w:proofErr w:type="spellStart"/>
      <w:proofErr w:type="gramStart"/>
      <w:r w:rsidRPr="002C0C4C">
        <w:rPr>
          <w:rFonts w:ascii="Verdana" w:hAnsi="Verdana"/>
          <w:sz w:val="20"/>
          <w:szCs w:val="20"/>
        </w:rPr>
        <w:t>igiD</w:t>
      </w:r>
      <w:proofErr w:type="spellEnd"/>
      <w:r w:rsidRPr="002C0C4C">
        <w:rPr>
          <w:rFonts w:ascii="Verdana" w:hAnsi="Verdana"/>
          <w:sz w:val="20"/>
          <w:szCs w:val="20"/>
        </w:rPr>
        <w:t>::</w:t>
      </w:r>
      <w:proofErr w:type="gramEnd"/>
      <w:r w:rsidRPr="002C0C4C">
        <w:rPr>
          <w:rFonts w:ascii="Verdana" w:hAnsi="Verdana"/>
          <w:sz w:val="20"/>
          <w:szCs w:val="20"/>
        </w:rPr>
        <w:t xml:space="preserve">Tn5-KmR, </w:t>
      </w:r>
      <w:proofErr w:type="spellStart"/>
      <w:r w:rsidRPr="002C0C4C">
        <w:rPr>
          <w:rFonts w:ascii="Verdana" w:hAnsi="Verdana"/>
          <w:sz w:val="20"/>
          <w:szCs w:val="20"/>
        </w:rPr>
        <w:t>pgaR</w:t>
      </w:r>
      <w:proofErr w:type="spellEnd"/>
      <w:r w:rsidRPr="002C0C4C">
        <w:rPr>
          <w:rFonts w:ascii="Verdana" w:hAnsi="Verdana"/>
          <w:sz w:val="20"/>
          <w:szCs w:val="20"/>
        </w:rPr>
        <w:t xml:space="preserve">::Tn5-KmR, </w:t>
      </w:r>
      <w:proofErr w:type="spellStart"/>
      <w:r w:rsidRPr="002C0C4C">
        <w:rPr>
          <w:rFonts w:ascii="Verdana" w:hAnsi="Verdana"/>
          <w:sz w:val="20"/>
          <w:szCs w:val="20"/>
        </w:rPr>
        <w:t>phaR</w:t>
      </w:r>
      <w:proofErr w:type="spellEnd"/>
      <w:r w:rsidRPr="002C0C4C">
        <w:rPr>
          <w:rFonts w:ascii="Verdana" w:hAnsi="Verdana"/>
          <w:sz w:val="20"/>
          <w:szCs w:val="20"/>
        </w:rPr>
        <w:t xml:space="preserve">::Tn5-KmR, and </w:t>
      </w:r>
      <w:proofErr w:type="spellStart"/>
      <w:r w:rsidRPr="002C0C4C">
        <w:rPr>
          <w:rFonts w:ascii="Verdana" w:hAnsi="Verdana"/>
          <w:sz w:val="20"/>
          <w:szCs w:val="20"/>
        </w:rPr>
        <w:t>phaI</w:t>
      </w:r>
      <w:proofErr w:type="spellEnd"/>
      <w:r w:rsidRPr="002C0C4C">
        <w:rPr>
          <w:rFonts w:ascii="Verdana" w:hAnsi="Verdana"/>
          <w:sz w:val="20"/>
          <w:szCs w:val="20"/>
        </w:rPr>
        <w:t>::</w:t>
      </w:r>
      <w:proofErr w:type="spellStart"/>
      <w:r w:rsidRPr="002C0C4C">
        <w:rPr>
          <w:rFonts w:ascii="Verdana" w:hAnsi="Verdana"/>
          <w:sz w:val="20"/>
          <w:szCs w:val="20"/>
        </w:rPr>
        <w:t>pKNOCK</w:t>
      </w:r>
      <w:proofErr w:type="spellEnd"/>
      <w:r w:rsidRPr="002C0C4C">
        <w:rPr>
          <w:rFonts w:ascii="Verdana" w:hAnsi="Verdana"/>
          <w:sz w:val="20"/>
          <w:szCs w:val="20"/>
        </w:rPr>
        <w:t xml:space="preserve"> in triplicate. Cells </w:t>
      </w:r>
      <w:proofErr w:type="gramStart"/>
      <w:r w:rsidRPr="002C0C4C">
        <w:rPr>
          <w:rFonts w:ascii="Verdana" w:hAnsi="Verdana"/>
          <w:sz w:val="20"/>
          <w:szCs w:val="20"/>
        </w:rPr>
        <w:t>were allowed to</w:t>
      </w:r>
      <w:proofErr w:type="gramEnd"/>
      <w:r w:rsidRPr="002C0C4C">
        <w:rPr>
          <w:rFonts w:ascii="Verdana" w:hAnsi="Verdana"/>
          <w:sz w:val="20"/>
          <w:szCs w:val="20"/>
        </w:rPr>
        <w:t xml:space="preserve"> attach to glass beads for 12 </w:t>
      </w:r>
      <w:proofErr w:type="spellStart"/>
      <w:r w:rsidRPr="002C0C4C">
        <w:rPr>
          <w:rFonts w:ascii="Verdana" w:hAnsi="Verdana"/>
          <w:sz w:val="20"/>
          <w:szCs w:val="20"/>
        </w:rPr>
        <w:t>hrs</w:t>
      </w:r>
      <w:proofErr w:type="spellEnd"/>
      <w:r w:rsidRPr="002C0C4C">
        <w:rPr>
          <w:rFonts w:ascii="Verdana" w:hAnsi="Verdana"/>
          <w:sz w:val="20"/>
          <w:szCs w:val="20"/>
        </w:rPr>
        <w:t xml:space="preserve">, 24 </w:t>
      </w:r>
      <w:proofErr w:type="spellStart"/>
      <w:r w:rsidRPr="002C0C4C">
        <w:rPr>
          <w:rFonts w:ascii="Verdana" w:hAnsi="Verdana"/>
          <w:sz w:val="20"/>
          <w:szCs w:val="20"/>
        </w:rPr>
        <w:t>hrs</w:t>
      </w:r>
      <w:proofErr w:type="spellEnd"/>
      <w:r w:rsidRPr="002C0C4C">
        <w:rPr>
          <w:rFonts w:ascii="Verdana" w:hAnsi="Verdana"/>
          <w:sz w:val="20"/>
          <w:szCs w:val="20"/>
        </w:rPr>
        <w:t xml:space="preserve">, and 48 hrs. Following incubation, glass beads were extracted from wells and cells were dislodged from beads as previously described (Cude et al., 2012; Armes and Buchan, 2021). Following extraction from glass beads, cells were serially diluted and plated onto YTSS (1.5% agar) and incubated at 25°C. </w:t>
      </w:r>
    </w:p>
    <w:p w14:paraId="3D62FADB" w14:textId="32717E36" w:rsidR="002C0C4C" w:rsidRPr="002C0C4C" w:rsidRDefault="002C0C4C" w:rsidP="00677C01">
      <w:pPr>
        <w:spacing w:before="240"/>
        <w:jc w:val="both"/>
        <w:rPr>
          <w:rFonts w:ascii="Verdana" w:hAnsi="Verdana"/>
          <w:b/>
          <w:bCs/>
          <w:i/>
          <w:iCs/>
          <w:sz w:val="20"/>
          <w:szCs w:val="20"/>
        </w:rPr>
      </w:pPr>
      <w:r w:rsidRPr="002C0C4C">
        <w:rPr>
          <w:rFonts w:ascii="Verdana" w:hAnsi="Verdana"/>
          <w:b/>
          <w:bCs/>
          <w:i/>
          <w:iCs/>
          <w:sz w:val="20"/>
          <w:szCs w:val="20"/>
        </w:rPr>
        <w:t>Viable cell counts and total biomass on synthetic community biofilms</w:t>
      </w:r>
    </w:p>
    <w:p w14:paraId="193E8079" w14:textId="77777777" w:rsidR="002C0C4C" w:rsidRPr="002C0C4C" w:rsidRDefault="002C0C4C" w:rsidP="00677C01">
      <w:pPr>
        <w:spacing w:before="240"/>
        <w:jc w:val="both"/>
        <w:rPr>
          <w:rFonts w:ascii="Verdana" w:hAnsi="Verdana"/>
          <w:sz w:val="20"/>
          <w:szCs w:val="20"/>
        </w:rPr>
      </w:pPr>
      <w:r w:rsidRPr="002C0C4C">
        <w:rPr>
          <w:rFonts w:ascii="Verdana" w:hAnsi="Verdana"/>
          <w:sz w:val="20"/>
          <w:szCs w:val="20"/>
        </w:rPr>
        <w:t xml:space="preserve">All experiments assessed interactive effects of QS by comparing viable cell density or total biomass in a mixed species community containing different Y4I variants using a complex medium (20% YTSS) or a defined medium with 2 mM coumarate. Five different synthetic community mixes were assembled. Each synthetic community consisted of E-37, SE45, EE-36, ISM and one of the following Y4I variants: wildtype Y4I, </w:t>
      </w:r>
      <w:proofErr w:type="spellStart"/>
      <w:proofErr w:type="gramStart"/>
      <w:r w:rsidRPr="002C0C4C">
        <w:rPr>
          <w:rFonts w:ascii="Verdana" w:hAnsi="Verdana"/>
          <w:sz w:val="20"/>
          <w:szCs w:val="20"/>
        </w:rPr>
        <w:t>pgaR</w:t>
      </w:r>
      <w:proofErr w:type="spellEnd"/>
      <w:r w:rsidRPr="002C0C4C">
        <w:rPr>
          <w:rFonts w:ascii="Verdana" w:hAnsi="Verdana"/>
          <w:sz w:val="20"/>
          <w:szCs w:val="20"/>
        </w:rPr>
        <w:t>::</w:t>
      </w:r>
      <w:proofErr w:type="gramEnd"/>
      <w:r w:rsidRPr="002C0C4C">
        <w:rPr>
          <w:rFonts w:ascii="Verdana" w:hAnsi="Verdana"/>
          <w:sz w:val="20"/>
          <w:szCs w:val="20"/>
        </w:rPr>
        <w:t xml:space="preserve">Tn5-KmR, </w:t>
      </w:r>
      <w:proofErr w:type="spellStart"/>
      <w:r w:rsidRPr="002C0C4C">
        <w:rPr>
          <w:rFonts w:ascii="Verdana" w:hAnsi="Verdana"/>
          <w:sz w:val="20"/>
          <w:szCs w:val="20"/>
        </w:rPr>
        <w:t>phaR</w:t>
      </w:r>
      <w:proofErr w:type="spellEnd"/>
      <w:r w:rsidRPr="002C0C4C">
        <w:rPr>
          <w:rFonts w:ascii="Verdana" w:hAnsi="Verdana"/>
          <w:sz w:val="20"/>
          <w:szCs w:val="20"/>
        </w:rPr>
        <w:t xml:space="preserve">::Tn5-KmR, </w:t>
      </w:r>
      <w:proofErr w:type="spellStart"/>
      <w:r w:rsidRPr="002C0C4C">
        <w:rPr>
          <w:rFonts w:ascii="Verdana" w:hAnsi="Verdana"/>
          <w:sz w:val="20"/>
          <w:szCs w:val="20"/>
        </w:rPr>
        <w:t>phaI</w:t>
      </w:r>
      <w:proofErr w:type="spellEnd"/>
      <w:r w:rsidRPr="002C0C4C">
        <w:rPr>
          <w:rFonts w:ascii="Verdana" w:hAnsi="Verdana"/>
          <w:sz w:val="20"/>
          <w:szCs w:val="20"/>
        </w:rPr>
        <w:t>::</w:t>
      </w:r>
      <w:proofErr w:type="spellStart"/>
      <w:r w:rsidRPr="002C0C4C">
        <w:rPr>
          <w:rFonts w:ascii="Verdana" w:hAnsi="Verdana"/>
          <w:sz w:val="20"/>
          <w:szCs w:val="20"/>
        </w:rPr>
        <w:t>pKNOCK</w:t>
      </w:r>
      <w:proofErr w:type="spellEnd"/>
      <w:r w:rsidRPr="002C0C4C">
        <w:rPr>
          <w:rFonts w:ascii="Verdana" w:hAnsi="Verdana"/>
          <w:sz w:val="20"/>
          <w:szCs w:val="20"/>
        </w:rPr>
        <w:t xml:space="preserve">, </w:t>
      </w:r>
      <w:proofErr w:type="spellStart"/>
      <w:r w:rsidRPr="002C0C4C">
        <w:rPr>
          <w:rFonts w:ascii="Verdana" w:hAnsi="Verdana"/>
          <w:sz w:val="20"/>
          <w:szCs w:val="20"/>
        </w:rPr>
        <w:t>igiD</w:t>
      </w:r>
      <w:proofErr w:type="spellEnd"/>
      <w:r w:rsidRPr="002C0C4C">
        <w:rPr>
          <w:rFonts w:ascii="Verdana" w:hAnsi="Verdana"/>
          <w:sz w:val="20"/>
          <w:szCs w:val="20"/>
        </w:rPr>
        <w:t>::Tn5-KmR. Synthetic mixed communities were seeded at approximately equal densities (Supplemental Figure 1).</w:t>
      </w:r>
    </w:p>
    <w:p w14:paraId="0DD35E6D" w14:textId="77777777" w:rsidR="002C0C4C" w:rsidRPr="002C0C4C" w:rsidRDefault="002C0C4C" w:rsidP="00677C01">
      <w:pPr>
        <w:spacing w:before="240"/>
        <w:ind w:firstLine="720"/>
        <w:jc w:val="both"/>
        <w:rPr>
          <w:rFonts w:ascii="Verdana" w:hAnsi="Verdana"/>
          <w:sz w:val="20"/>
          <w:szCs w:val="20"/>
        </w:rPr>
      </w:pPr>
      <w:r w:rsidRPr="002C0C4C">
        <w:rPr>
          <w:rFonts w:ascii="Verdana" w:hAnsi="Verdana"/>
          <w:sz w:val="20"/>
          <w:szCs w:val="20"/>
        </w:rPr>
        <w:t xml:space="preserve">To assess community structure within biofilms, surface attachment assays for synthetic biofilm communities were performed as described above. Each well was seeded with ~1 x 105 cells mL-1 and the inoculated plate was incubated at 30°C. A duplicate of each plate was made to assess total biomass described below. All cultures were inoculated in biological and technical triplets. Viable cells were extracted, vortexed, and serially diluted at each time point. All viable cell counts were plated onto YTSS agar and allowed to incubate at 25°C until colony morphology was discernible (~5 days). Colony morphology of each strain was readily identifiable except for Y4I mutant variants (Cude et al., 2015; Quigley et al., 2019, Armes and Buchan, 2021). Thus, all mixed cultures were </w:t>
      </w:r>
      <w:proofErr w:type="spellStart"/>
      <w:r w:rsidRPr="002C0C4C">
        <w:rPr>
          <w:rFonts w:ascii="Verdana" w:hAnsi="Verdana"/>
          <w:sz w:val="20"/>
          <w:szCs w:val="20"/>
        </w:rPr>
        <w:t>duplicately</w:t>
      </w:r>
      <w:proofErr w:type="spellEnd"/>
      <w:r w:rsidRPr="002C0C4C">
        <w:rPr>
          <w:rFonts w:ascii="Verdana" w:hAnsi="Verdana"/>
          <w:sz w:val="20"/>
          <w:szCs w:val="20"/>
        </w:rPr>
        <w:t xml:space="preserve"> plated onto YTSS containing kanamycin (50 µg/mL) as a control to differentiate between Y4I variants from other community members.</w:t>
      </w:r>
    </w:p>
    <w:p w14:paraId="2CEE0DB4" w14:textId="41D15DDC" w:rsidR="002C0C4C" w:rsidRDefault="002C0C4C" w:rsidP="00677C01">
      <w:pPr>
        <w:spacing w:before="240"/>
        <w:ind w:firstLine="720"/>
        <w:jc w:val="both"/>
        <w:rPr>
          <w:rFonts w:ascii="Verdana" w:hAnsi="Verdana"/>
          <w:sz w:val="20"/>
          <w:szCs w:val="20"/>
        </w:rPr>
      </w:pPr>
      <w:r w:rsidRPr="002C0C4C">
        <w:rPr>
          <w:rFonts w:ascii="Verdana" w:hAnsi="Verdana"/>
          <w:sz w:val="20"/>
          <w:szCs w:val="20"/>
        </w:rPr>
        <w:t>Total biomass on biofilm-grown cultures was assessed by performing a crystal violet stain on glass beads as previously described (Armes and Buchan, 2021). Briefly, liquid was aspirated out of wells. Glass beads were washed with a 1.5% sea salt solution (Instant Ocean) to remove loosely attached cells. Glass beads were extracted using a vacuum apparatus and moved to a clean 96-well plate. Cells attached to glass beads were stained using a 2% crystal violet solution and solubilized with 95% EtOH. Absorbance was read at 600 nm using a microplate reader (Bio Tek Instruments, Inc., Synergy HT Multi-Mode Microplate Reader, SN 270212).</w:t>
      </w:r>
    </w:p>
    <w:p w14:paraId="50A836E8" w14:textId="73B61FC7" w:rsidR="002C0C4C" w:rsidRPr="002C0C4C" w:rsidRDefault="002C0C4C" w:rsidP="00677C01">
      <w:pPr>
        <w:spacing w:before="240"/>
        <w:jc w:val="both"/>
        <w:rPr>
          <w:rFonts w:ascii="Verdana" w:hAnsi="Verdana"/>
          <w:b/>
          <w:bCs/>
          <w:i/>
          <w:iCs/>
          <w:sz w:val="20"/>
          <w:szCs w:val="20"/>
        </w:rPr>
      </w:pPr>
      <w:r w:rsidRPr="002C0C4C">
        <w:rPr>
          <w:rFonts w:ascii="Verdana" w:hAnsi="Verdana"/>
          <w:b/>
          <w:bCs/>
          <w:i/>
          <w:iCs/>
          <w:sz w:val="20"/>
          <w:szCs w:val="20"/>
        </w:rPr>
        <w:t>Complex Growth Medium (20% YTSS)</w:t>
      </w:r>
    </w:p>
    <w:p w14:paraId="604F3719" w14:textId="77777777" w:rsidR="002C0C4C" w:rsidRPr="002C0C4C" w:rsidRDefault="002C0C4C" w:rsidP="00677C01">
      <w:pPr>
        <w:spacing w:before="240"/>
        <w:jc w:val="both"/>
        <w:rPr>
          <w:rFonts w:ascii="Verdana" w:hAnsi="Verdana"/>
          <w:sz w:val="20"/>
          <w:szCs w:val="20"/>
        </w:rPr>
      </w:pPr>
      <w:r w:rsidRPr="002C0C4C">
        <w:rPr>
          <w:rFonts w:ascii="Verdana" w:hAnsi="Verdana"/>
          <w:sz w:val="20"/>
          <w:szCs w:val="20"/>
        </w:rPr>
        <w:t xml:space="preserve">Prior to inoculating the 96-well plate, all bacterial strains were grown individually in liquid YTSS in biological triplicates. Overnight (O/N) cultures were diluted 1:10 in fresh YTSS and allowed to grow until mid-exponential growth was reached (~3 </w:t>
      </w:r>
      <w:proofErr w:type="spellStart"/>
      <w:r w:rsidRPr="002C0C4C">
        <w:rPr>
          <w:rFonts w:ascii="Verdana" w:hAnsi="Verdana"/>
          <w:sz w:val="20"/>
          <w:szCs w:val="20"/>
        </w:rPr>
        <w:t>hrs</w:t>
      </w:r>
      <w:proofErr w:type="spellEnd"/>
      <w:r w:rsidRPr="002C0C4C">
        <w:rPr>
          <w:rFonts w:ascii="Verdana" w:hAnsi="Verdana"/>
          <w:sz w:val="20"/>
          <w:szCs w:val="20"/>
        </w:rPr>
        <w:t xml:space="preserve">). For each culture, cells were harvested in triplicate by transferring 1 mL culture to 1.5 mL centrifuge tube and spun at 8000 rpm for 10 min. The supernatant was </w:t>
      </w:r>
      <w:proofErr w:type="gramStart"/>
      <w:r w:rsidRPr="002C0C4C">
        <w:rPr>
          <w:rFonts w:ascii="Verdana" w:hAnsi="Verdana"/>
          <w:sz w:val="20"/>
          <w:szCs w:val="20"/>
        </w:rPr>
        <w:t>withdrawn</w:t>
      </w:r>
      <w:proofErr w:type="gramEnd"/>
      <w:r w:rsidRPr="002C0C4C">
        <w:rPr>
          <w:rFonts w:ascii="Verdana" w:hAnsi="Verdana"/>
          <w:sz w:val="20"/>
          <w:szCs w:val="20"/>
        </w:rPr>
        <w:t xml:space="preserve"> and cells were resuspended in fresh YTSS. All cultures were diluted to 1 x 106 cells </w:t>
      </w:r>
      <w:proofErr w:type="gramStart"/>
      <w:r w:rsidRPr="002C0C4C">
        <w:rPr>
          <w:rFonts w:ascii="Verdana" w:hAnsi="Verdana"/>
          <w:sz w:val="20"/>
          <w:szCs w:val="20"/>
        </w:rPr>
        <w:t>mL-1</w:t>
      </w:r>
      <w:proofErr w:type="gramEnd"/>
      <w:r w:rsidRPr="002C0C4C">
        <w:rPr>
          <w:rFonts w:ascii="Verdana" w:hAnsi="Verdana"/>
          <w:sz w:val="20"/>
          <w:szCs w:val="20"/>
        </w:rPr>
        <w:t xml:space="preserve">. Technical replicates were used to establish monoculture controls and synthetic mix cultures. Briefly, 1 mL of each culture was combined to establish a master mix of 5 x 106 cells mL-1 mixed cultures containing: E-37, SE45, EE-36, ISM, and a Y4I variant. Synthetic mix cultures were then diluted to 1 x 106 cells mL-1 and used to inoculate 96-well plates at a final inoculum of 1 x 105 cells mL-1. Final </w:t>
      </w:r>
      <w:r w:rsidRPr="002C0C4C">
        <w:rPr>
          <w:rFonts w:ascii="Verdana" w:hAnsi="Verdana"/>
          <w:sz w:val="20"/>
          <w:szCs w:val="20"/>
        </w:rPr>
        <w:lastRenderedPageBreak/>
        <w:t xml:space="preserve">dilutions were plated to assess cell abundance of mixed cultures at time of inoculation. Monoculture controls (~105 cell </w:t>
      </w:r>
      <w:proofErr w:type="gramStart"/>
      <w:r w:rsidRPr="002C0C4C">
        <w:rPr>
          <w:rFonts w:ascii="Verdana" w:hAnsi="Verdana"/>
          <w:sz w:val="20"/>
          <w:szCs w:val="20"/>
        </w:rPr>
        <w:t>mL-1</w:t>
      </w:r>
      <w:proofErr w:type="gramEnd"/>
      <w:r w:rsidRPr="002C0C4C">
        <w:rPr>
          <w:rFonts w:ascii="Verdana" w:hAnsi="Verdana"/>
          <w:sz w:val="20"/>
          <w:szCs w:val="20"/>
        </w:rPr>
        <w:t xml:space="preserve">) were included in both viable cell abundance and total biomass assays. Six replicates of each plate were made to assay viable cell abundance and total biomass over time on glass beads. </w:t>
      </w:r>
    </w:p>
    <w:p w14:paraId="1ACB0BD5" w14:textId="542B3AB6" w:rsidR="002C0C4C" w:rsidRDefault="002C0C4C" w:rsidP="00677C01">
      <w:pPr>
        <w:spacing w:before="240"/>
        <w:ind w:firstLine="720"/>
        <w:jc w:val="both"/>
        <w:rPr>
          <w:rFonts w:ascii="Verdana" w:hAnsi="Verdana"/>
          <w:sz w:val="20"/>
          <w:szCs w:val="20"/>
        </w:rPr>
      </w:pPr>
      <w:r w:rsidRPr="002C0C4C">
        <w:rPr>
          <w:rFonts w:ascii="Verdana" w:hAnsi="Verdana"/>
          <w:sz w:val="20"/>
          <w:szCs w:val="20"/>
        </w:rPr>
        <w:t xml:space="preserve">Following inoculation of 96-well plates, each plate (in duplicate) was wrapped with dampened cellulose fiber sheets, stored in a sealing </w:t>
      </w:r>
      <w:proofErr w:type="gramStart"/>
      <w:r w:rsidRPr="002C0C4C">
        <w:rPr>
          <w:rFonts w:ascii="Verdana" w:hAnsi="Verdana"/>
          <w:sz w:val="20"/>
          <w:szCs w:val="20"/>
        </w:rPr>
        <w:t>high density</w:t>
      </w:r>
      <w:proofErr w:type="gramEnd"/>
      <w:r w:rsidRPr="002C0C4C">
        <w:rPr>
          <w:rFonts w:ascii="Verdana" w:hAnsi="Verdana"/>
          <w:sz w:val="20"/>
          <w:szCs w:val="20"/>
        </w:rPr>
        <w:t xml:space="preserve"> polyethylene (HDPE) bag, and incubated at 30°C. At 20 (D1), 44 (D2), and 68 (D3) </w:t>
      </w:r>
      <w:proofErr w:type="spellStart"/>
      <w:r w:rsidRPr="002C0C4C">
        <w:rPr>
          <w:rFonts w:ascii="Verdana" w:hAnsi="Verdana"/>
          <w:sz w:val="20"/>
          <w:szCs w:val="20"/>
        </w:rPr>
        <w:t>hrs</w:t>
      </w:r>
      <w:proofErr w:type="spellEnd"/>
      <w:r w:rsidRPr="002C0C4C">
        <w:rPr>
          <w:rFonts w:ascii="Verdana" w:hAnsi="Verdana"/>
          <w:sz w:val="20"/>
          <w:szCs w:val="20"/>
        </w:rPr>
        <w:t xml:space="preserve"> duplicate plates were removed from incubation and cells were extracted from beads. Viable cells and total biomass were assessed as described above. </w:t>
      </w:r>
    </w:p>
    <w:p w14:paraId="0ED8B9C1" w14:textId="43908855" w:rsidR="002C0C4C" w:rsidRPr="002C0C4C" w:rsidRDefault="002C0C4C" w:rsidP="00677C01">
      <w:pPr>
        <w:spacing w:before="240"/>
        <w:jc w:val="both"/>
        <w:rPr>
          <w:rFonts w:ascii="Verdana" w:hAnsi="Verdana"/>
          <w:b/>
          <w:bCs/>
          <w:i/>
          <w:iCs/>
          <w:sz w:val="20"/>
          <w:szCs w:val="20"/>
        </w:rPr>
      </w:pPr>
      <w:r w:rsidRPr="002C0C4C">
        <w:rPr>
          <w:rFonts w:ascii="Verdana" w:hAnsi="Verdana"/>
          <w:b/>
          <w:bCs/>
          <w:i/>
          <w:iCs/>
          <w:sz w:val="20"/>
          <w:szCs w:val="20"/>
        </w:rPr>
        <w:t>Defined Growth Medium (Coumarate)</w:t>
      </w:r>
    </w:p>
    <w:p w14:paraId="14BED875" w14:textId="02E38B40" w:rsidR="00110970" w:rsidRDefault="002C0C4C" w:rsidP="00677C01">
      <w:pPr>
        <w:spacing w:before="240"/>
        <w:jc w:val="both"/>
        <w:rPr>
          <w:rFonts w:ascii="Verdana" w:hAnsi="Verdana"/>
          <w:sz w:val="20"/>
          <w:szCs w:val="20"/>
        </w:rPr>
      </w:pPr>
      <w:r w:rsidRPr="002C0C4C">
        <w:rPr>
          <w:rFonts w:ascii="Verdana" w:hAnsi="Verdana"/>
          <w:sz w:val="20"/>
          <w:szCs w:val="20"/>
        </w:rPr>
        <w:t>For defined medium, the experimental design was set up as described above with the following exceptions: (</w:t>
      </w:r>
      <w:proofErr w:type="spellStart"/>
      <w:r w:rsidRPr="002C0C4C">
        <w:rPr>
          <w:rFonts w:ascii="Verdana" w:hAnsi="Verdana"/>
          <w:sz w:val="20"/>
          <w:szCs w:val="20"/>
        </w:rPr>
        <w:t>i</w:t>
      </w:r>
      <w:proofErr w:type="spellEnd"/>
      <w:r w:rsidRPr="002C0C4C">
        <w:rPr>
          <w:rFonts w:ascii="Verdana" w:hAnsi="Verdana"/>
          <w:sz w:val="20"/>
          <w:szCs w:val="20"/>
        </w:rPr>
        <w:t xml:space="preserve">) Overnight (O/N) cultures were inoculated into </w:t>
      </w:r>
      <w:proofErr w:type="gramStart"/>
      <w:r w:rsidRPr="002C0C4C">
        <w:rPr>
          <w:rFonts w:ascii="Verdana" w:hAnsi="Verdana"/>
          <w:sz w:val="20"/>
          <w:szCs w:val="20"/>
        </w:rPr>
        <w:t>1 part</w:t>
      </w:r>
      <w:proofErr w:type="gramEnd"/>
      <w:r w:rsidRPr="002C0C4C">
        <w:rPr>
          <w:rFonts w:ascii="Verdana" w:hAnsi="Verdana"/>
          <w:sz w:val="20"/>
          <w:szCs w:val="20"/>
        </w:rPr>
        <w:t xml:space="preserve"> YTSS and 9 parts BM and allowed to reach mid-exponential growth (~ 12 </w:t>
      </w:r>
      <w:proofErr w:type="spellStart"/>
      <w:r w:rsidRPr="002C0C4C">
        <w:rPr>
          <w:rFonts w:ascii="Verdana" w:hAnsi="Verdana"/>
          <w:sz w:val="20"/>
          <w:szCs w:val="20"/>
        </w:rPr>
        <w:t>hrs</w:t>
      </w:r>
      <w:proofErr w:type="spellEnd"/>
      <w:r w:rsidRPr="002C0C4C">
        <w:rPr>
          <w:rFonts w:ascii="Verdana" w:hAnsi="Verdana"/>
          <w:sz w:val="20"/>
          <w:szCs w:val="20"/>
        </w:rPr>
        <w:t xml:space="preserve">). (ii) Liquid cultures (1 mL) were harvested and washed with BM. (iii) All cultures were primed by inoculation into BM containing 2 mM POB and allowed to grow O/N at 30°C. 10 mL POB cultures were spun down and washed with BM to remove any residual carbon. 2 mM coumarate was inoculated with 0.01 – 0.1 mL of cultures to achieve an inoculum of 1 x 106 cells mL-1. (iv) Monoculture controls were included in total biomass assays. (v) At 24 </w:t>
      </w:r>
      <w:proofErr w:type="spellStart"/>
      <w:r w:rsidRPr="002C0C4C">
        <w:rPr>
          <w:rFonts w:ascii="Verdana" w:hAnsi="Verdana"/>
          <w:sz w:val="20"/>
          <w:szCs w:val="20"/>
        </w:rPr>
        <w:t>hrs</w:t>
      </w:r>
      <w:proofErr w:type="spellEnd"/>
      <w:r w:rsidRPr="002C0C4C">
        <w:rPr>
          <w:rFonts w:ascii="Verdana" w:hAnsi="Verdana"/>
          <w:sz w:val="20"/>
          <w:szCs w:val="20"/>
        </w:rPr>
        <w:t xml:space="preserve"> (D1), 96 </w:t>
      </w:r>
      <w:proofErr w:type="spellStart"/>
      <w:r w:rsidRPr="002C0C4C">
        <w:rPr>
          <w:rFonts w:ascii="Verdana" w:hAnsi="Verdana"/>
          <w:sz w:val="20"/>
          <w:szCs w:val="20"/>
        </w:rPr>
        <w:t>hrs</w:t>
      </w:r>
      <w:proofErr w:type="spellEnd"/>
      <w:r w:rsidRPr="002C0C4C">
        <w:rPr>
          <w:rFonts w:ascii="Verdana" w:hAnsi="Verdana"/>
          <w:sz w:val="20"/>
          <w:szCs w:val="20"/>
        </w:rPr>
        <w:t xml:space="preserve"> (D4), 216 </w:t>
      </w:r>
      <w:proofErr w:type="spellStart"/>
      <w:r w:rsidRPr="002C0C4C">
        <w:rPr>
          <w:rFonts w:ascii="Verdana" w:hAnsi="Verdana"/>
          <w:sz w:val="20"/>
          <w:szCs w:val="20"/>
        </w:rPr>
        <w:t>hrs</w:t>
      </w:r>
      <w:proofErr w:type="spellEnd"/>
      <w:r w:rsidRPr="002C0C4C">
        <w:rPr>
          <w:rFonts w:ascii="Verdana" w:hAnsi="Verdana"/>
          <w:sz w:val="20"/>
          <w:szCs w:val="20"/>
        </w:rPr>
        <w:t xml:space="preserve"> (D9), and 336 </w:t>
      </w:r>
      <w:proofErr w:type="spellStart"/>
      <w:r w:rsidRPr="002C0C4C">
        <w:rPr>
          <w:rFonts w:ascii="Verdana" w:hAnsi="Verdana"/>
          <w:sz w:val="20"/>
          <w:szCs w:val="20"/>
        </w:rPr>
        <w:t>hrs</w:t>
      </w:r>
      <w:proofErr w:type="spellEnd"/>
      <w:r w:rsidRPr="002C0C4C">
        <w:rPr>
          <w:rFonts w:ascii="Verdana" w:hAnsi="Verdana"/>
          <w:sz w:val="20"/>
          <w:szCs w:val="20"/>
        </w:rPr>
        <w:t xml:space="preserve"> (D14), duplicate plates were removed from incubation and cells abundance and total biomass was assessed.</w:t>
      </w:r>
    </w:p>
    <w:p w14:paraId="5A186E4E" w14:textId="46465F32" w:rsidR="002C0C4C" w:rsidRPr="00110970" w:rsidRDefault="002C0C4C" w:rsidP="00677C01">
      <w:pPr>
        <w:spacing w:before="240"/>
        <w:jc w:val="both"/>
        <w:rPr>
          <w:rFonts w:ascii="Verdana" w:hAnsi="Verdana"/>
          <w:b/>
          <w:bCs/>
          <w:i/>
          <w:iCs/>
          <w:sz w:val="20"/>
          <w:szCs w:val="20"/>
        </w:rPr>
      </w:pPr>
      <w:r w:rsidRPr="00110970">
        <w:rPr>
          <w:rFonts w:ascii="Verdana" w:hAnsi="Verdana"/>
          <w:b/>
          <w:bCs/>
          <w:i/>
          <w:iCs/>
          <w:sz w:val="20"/>
          <w:szCs w:val="20"/>
        </w:rPr>
        <w:t>Inhibition Assays</w:t>
      </w:r>
    </w:p>
    <w:p w14:paraId="4CC32D60" w14:textId="4A583FA0" w:rsidR="00110970" w:rsidRPr="00677C01" w:rsidRDefault="002C0C4C" w:rsidP="00677C01">
      <w:pPr>
        <w:spacing w:before="240"/>
        <w:jc w:val="both"/>
        <w:rPr>
          <w:rFonts w:ascii="Verdana" w:hAnsi="Verdana"/>
          <w:sz w:val="20"/>
          <w:szCs w:val="20"/>
        </w:rPr>
      </w:pPr>
      <w:r w:rsidRPr="002C0C4C">
        <w:rPr>
          <w:rFonts w:ascii="Verdana" w:hAnsi="Verdana"/>
          <w:sz w:val="20"/>
          <w:szCs w:val="20"/>
        </w:rPr>
        <w:t xml:space="preserve">A factorial growth inhibition assay using synthetic community members was utilized to determine antagonistic interactions among community members. Briefly, liquid cultures of community members and Y4I variants were grown overnight (30°C, shaking). Overnight cultures were diluted 10-fold and the following strains were spread evenly onto YTSS agar (1.5%): wildtype Y4I, E-37, SE45, EE-36 and ISM. Inhibitor organisms tested (Y4I variants, E-37, SE45, EE-36 and ISM) </w:t>
      </w:r>
      <w:proofErr w:type="gramStart"/>
      <w:r w:rsidRPr="002C0C4C">
        <w:rPr>
          <w:rFonts w:ascii="Verdana" w:hAnsi="Verdana"/>
          <w:sz w:val="20"/>
          <w:szCs w:val="20"/>
        </w:rPr>
        <w:t>were allowed to</w:t>
      </w:r>
      <w:proofErr w:type="gramEnd"/>
      <w:r w:rsidRPr="002C0C4C">
        <w:rPr>
          <w:rFonts w:ascii="Verdana" w:hAnsi="Verdana"/>
          <w:sz w:val="20"/>
          <w:szCs w:val="20"/>
        </w:rPr>
        <w:t xml:space="preserve"> continue incubating until mid-exponential growth (~3 </w:t>
      </w:r>
      <w:proofErr w:type="spellStart"/>
      <w:r w:rsidRPr="002C0C4C">
        <w:rPr>
          <w:rFonts w:ascii="Verdana" w:hAnsi="Verdana"/>
          <w:sz w:val="20"/>
          <w:szCs w:val="20"/>
        </w:rPr>
        <w:t>hrs</w:t>
      </w:r>
      <w:proofErr w:type="spellEnd"/>
      <w:r w:rsidRPr="002C0C4C">
        <w:rPr>
          <w:rFonts w:ascii="Verdana" w:hAnsi="Verdana"/>
          <w:sz w:val="20"/>
          <w:szCs w:val="20"/>
        </w:rPr>
        <w:t xml:space="preserve">). Meanwhile, lawns containing community members in monoculture </w:t>
      </w:r>
      <w:proofErr w:type="gramStart"/>
      <w:r w:rsidRPr="002C0C4C">
        <w:rPr>
          <w:rFonts w:ascii="Verdana" w:hAnsi="Verdana"/>
          <w:sz w:val="20"/>
          <w:szCs w:val="20"/>
        </w:rPr>
        <w:t>were allowed to</w:t>
      </w:r>
      <w:proofErr w:type="gramEnd"/>
      <w:r w:rsidRPr="002C0C4C">
        <w:rPr>
          <w:rFonts w:ascii="Verdana" w:hAnsi="Verdana"/>
          <w:sz w:val="20"/>
          <w:szCs w:val="20"/>
        </w:rPr>
        <w:t xml:space="preserve"> dry prior to spot inoculation with inhibitor organisms. Y4I variants included wildtype Y4I, the indigoidine null mutant (</w:t>
      </w:r>
      <w:proofErr w:type="spellStart"/>
      <w:proofErr w:type="gramStart"/>
      <w:r w:rsidRPr="002C0C4C">
        <w:rPr>
          <w:rFonts w:ascii="Verdana" w:hAnsi="Verdana"/>
          <w:sz w:val="20"/>
          <w:szCs w:val="20"/>
        </w:rPr>
        <w:t>igiD</w:t>
      </w:r>
      <w:proofErr w:type="spellEnd"/>
      <w:r w:rsidRPr="002C0C4C">
        <w:rPr>
          <w:rFonts w:ascii="Verdana" w:hAnsi="Verdana"/>
          <w:sz w:val="20"/>
          <w:szCs w:val="20"/>
        </w:rPr>
        <w:t>::</w:t>
      </w:r>
      <w:proofErr w:type="gramEnd"/>
      <w:r w:rsidRPr="002C0C4C">
        <w:rPr>
          <w:rFonts w:ascii="Verdana" w:hAnsi="Verdana"/>
          <w:sz w:val="20"/>
          <w:szCs w:val="20"/>
        </w:rPr>
        <w:t>Tn5-KmR), and an indigoidine hyper-producing mutant (</w:t>
      </w:r>
      <w:proofErr w:type="spellStart"/>
      <w:r w:rsidRPr="002C0C4C">
        <w:rPr>
          <w:rFonts w:ascii="Verdana" w:hAnsi="Verdana"/>
          <w:sz w:val="20"/>
          <w:szCs w:val="20"/>
        </w:rPr>
        <w:t>clpA</w:t>
      </w:r>
      <w:proofErr w:type="spellEnd"/>
      <w:r w:rsidRPr="002C0C4C">
        <w:rPr>
          <w:rFonts w:ascii="Verdana" w:hAnsi="Verdana"/>
          <w:sz w:val="20"/>
          <w:szCs w:val="20"/>
        </w:rPr>
        <w:t xml:space="preserve">::Tn5-KmR). Growth inhibition assays were incubated at 30°C.  Zones of clearing surrounding inhibitor organisms around Y4I variants were assessed at 24 </w:t>
      </w:r>
      <w:proofErr w:type="spellStart"/>
      <w:r w:rsidRPr="002C0C4C">
        <w:rPr>
          <w:rFonts w:ascii="Verdana" w:hAnsi="Verdana"/>
          <w:sz w:val="20"/>
          <w:szCs w:val="20"/>
        </w:rPr>
        <w:t>hrs</w:t>
      </w:r>
      <w:proofErr w:type="spellEnd"/>
      <w:r w:rsidRPr="002C0C4C">
        <w:rPr>
          <w:rFonts w:ascii="Verdana" w:hAnsi="Verdana"/>
          <w:sz w:val="20"/>
          <w:szCs w:val="20"/>
        </w:rPr>
        <w:t xml:space="preserve"> post inoculation. </w:t>
      </w:r>
    </w:p>
    <w:p w14:paraId="7333C99B" w14:textId="7882CB6E" w:rsidR="002C0C4C" w:rsidRPr="00110970" w:rsidRDefault="002C0C4C" w:rsidP="00677C01">
      <w:pPr>
        <w:spacing w:before="240"/>
        <w:jc w:val="both"/>
        <w:rPr>
          <w:rFonts w:ascii="Verdana" w:hAnsi="Verdana"/>
          <w:b/>
          <w:bCs/>
          <w:i/>
          <w:iCs/>
          <w:sz w:val="20"/>
          <w:szCs w:val="20"/>
        </w:rPr>
      </w:pPr>
      <w:r w:rsidRPr="00110970">
        <w:rPr>
          <w:rFonts w:ascii="Verdana" w:hAnsi="Verdana"/>
          <w:b/>
          <w:bCs/>
          <w:i/>
          <w:iCs/>
          <w:sz w:val="20"/>
          <w:szCs w:val="20"/>
        </w:rPr>
        <w:t>AHL Extraction and Detection</w:t>
      </w:r>
    </w:p>
    <w:p w14:paraId="7188C6D6" w14:textId="7D036396" w:rsidR="00110970" w:rsidRPr="00677C01" w:rsidRDefault="002C0C4C" w:rsidP="00677C01">
      <w:pPr>
        <w:spacing w:before="240"/>
        <w:jc w:val="both"/>
        <w:rPr>
          <w:rFonts w:ascii="Verdana" w:hAnsi="Verdana"/>
          <w:sz w:val="20"/>
          <w:szCs w:val="20"/>
        </w:rPr>
      </w:pPr>
      <w:r w:rsidRPr="002C0C4C">
        <w:rPr>
          <w:rFonts w:ascii="Verdana" w:hAnsi="Verdana"/>
          <w:sz w:val="20"/>
          <w:szCs w:val="20"/>
        </w:rPr>
        <w:t xml:space="preserve">To assess quorum sensing cross-talk between community members we extracted identified putative AHLs produced by synthetic community members along with two Y4I variants: wildtype Y4I and </w:t>
      </w:r>
      <w:proofErr w:type="spellStart"/>
      <w:proofErr w:type="gramStart"/>
      <w:r w:rsidRPr="002C0C4C">
        <w:rPr>
          <w:rFonts w:ascii="Verdana" w:hAnsi="Verdana"/>
          <w:sz w:val="20"/>
          <w:szCs w:val="20"/>
        </w:rPr>
        <w:t>phaI</w:t>
      </w:r>
      <w:proofErr w:type="spellEnd"/>
      <w:r w:rsidRPr="002C0C4C">
        <w:rPr>
          <w:rFonts w:ascii="Verdana" w:hAnsi="Verdana"/>
          <w:sz w:val="20"/>
          <w:szCs w:val="20"/>
        </w:rPr>
        <w:t>::</w:t>
      </w:r>
      <w:proofErr w:type="spellStart"/>
      <w:proofErr w:type="gramEnd"/>
      <w:r w:rsidRPr="002C0C4C">
        <w:rPr>
          <w:rFonts w:ascii="Verdana" w:hAnsi="Verdana"/>
          <w:sz w:val="20"/>
          <w:szCs w:val="20"/>
        </w:rPr>
        <w:t>pKNOCK</w:t>
      </w:r>
      <w:proofErr w:type="spellEnd"/>
      <w:r w:rsidRPr="002C0C4C">
        <w:rPr>
          <w:rFonts w:ascii="Verdana" w:hAnsi="Verdana"/>
          <w:sz w:val="20"/>
          <w:szCs w:val="20"/>
        </w:rPr>
        <w:t xml:space="preserve">. AHL extractions on YTSS from </w:t>
      </w:r>
      <w:proofErr w:type="spellStart"/>
      <w:proofErr w:type="gramStart"/>
      <w:r w:rsidRPr="002C0C4C">
        <w:rPr>
          <w:rFonts w:ascii="Verdana" w:hAnsi="Verdana"/>
          <w:sz w:val="20"/>
          <w:szCs w:val="20"/>
        </w:rPr>
        <w:t>pgaR</w:t>
      </w:r>
      <w:proofErr w:type="spellEnd"/>
      <w:r w:rsidRPr="002C0C4C">
        <w:rPr>
          <w:rFonts w:ascii="Verdana" w:hAnsi="Verdana"/>
          <w:sz w:val="20"/>
          <w:szCs w:val="20"/>
        </w:rPr>
        <w:t>::</w:t>
      </w:r>
      <w:proofErr w:type="gramEnd"/>
      <w:r w:rsidRPr="002C0C4C">
        <w:rPr>
          <w:rFonts w:ascii="Verdana" w:hAnsi="Verdana"/>
          <w:sz w:val="20"/>
          <w:szCs w:val="20"/>
        </w:rPr>
        <w:t xml:space="preserve">TN5-KmR and </w:t>
      </w:r>
      <w:proofErr w:type="spellStart"/>
      <w:r w:rsidRPr="002C0C4C">
        <w:rPr>
          <w:rFonts w:ascii="Verdana" w:hAnsi="Verdana"/>
          <w:sz w:val="20"/>
          <w:szCs w:val="20"/>
        </w:rPr>
        <w:t>phaR</w:t>
      </w:r>
      <w:proofErr w:type="spellEnd"/>
      <w:r w:rsidRPr="002C0C4C">
        <w:rPr>
          <w:rFonts w:ascii="Verdana" w:hAnsi="Verdana"/>
          <w:sz w:val="20"/>
          <w:szCs w:val="20"/>
        </w:rPr>
        <w:t xml:space="preserve">::TN5-KmR mutants have been previously published (Cude, 2015). AHLs were extracted as described in Cude 2015. Briefly, mid-exponential phase cultures in triplicate were spot plated onto YTSS agar in a 60 mm petri dish containing a 0.22 </w:t>
      </w:r>
      <w:proofErr w:type="spellStart"/>
      <w:r w:rsidRPr="002C0C4C">
        <w:rPr>
          <w:rFonts w:ascii="Verdana" w:hAnsi="Verdana"/>
          <w:sz w:val="20"/>
          <w:szCs w:val="20"/>
        </w:rPr>
        <w:t>uM</w:t>
      </w:r>
      <w:proofErr w:type="spellEnd"/>
      <w:r w:rsidRPr="002C0C4C">
        <w:rPr>
          <w:rFonts w:ascii="Verdana" w:hAnsi="Verdana"/>
          <w:sz w:val="20"/>
          <w:szCs w:val="20"/>
        </w:rPr>
        <w:t xml:space="preserve"> PES filter and incubated at 30°C for 24 hrs. Filters were aseptically removed and weighed. Cell biomass from filters was extracted and used to estimate microbial abundance. YTSS agar was removed from petri dishes, finely minced, and dissolved in 100 mL ethyl acetate for 3 hrs. Liquid layer was decanted from residual solid layer and vacuum filtered through a silica medium. Extracted AHLs were concentrated in vacuo to produce an oil. This oil was then resuspended in 300 </w:t>
      </w:r>
      <w:proofErr w:type="spellStart"/>
      <w:r w:rsidRPr="002C0C4C">
        <w:rPr>
          <w:rFonts w:ascii="Verdana" w:hAnsi="Verdana"/>
          <w:sz w:val="20"/>
          <w:szCs w:val="20"/>
        </w:rPr>
        <w:t>uL</w:t>
      </w:r>
      <w:proofErr w:type="spellEnd"/>
      <w:r w:rsidRPr="002C0C4C">
        <w:rPr>
          <w:rFonts w:ascii="Verdana" w:hAnsi="Verdana"/>
          <w:sz w:val="20"/>
          <w:szCs w:val="20"/>
        </w:rPr>
        <w:t xml:space="preserve"> acidified ethyl acetate and transferred to an autosampler vial. Samples were stored at -20 °C </w:t>
      </w:r>
      <w:r w:rsidRPr="002C0C4C">
        <w:rPr>
          <w:rFonts w:ascii="Verdana" w:hAnsi="Verdana"/>
          <w:sz w:val="20"/>
          <w:szCs w:val="20"/>
        </w:rPr>
        <w:lastRenderedPageBreak/>
        <w:t xml:space="preserve">until analysis. AHLs were detected using mass spectrometry at the Biological and Small Molecule Mass Spectrometry Facility at the University of Tennessee. </w:t>
      </w:r>
    </w:p>
    <w:p w14:paraId="7E71D0A5" w14:textId="76B0A3CC" w:rsidR="002C0C4C" w:rsidRPr="00110970" w:rsidRDefault="002C0C4C" w:rsidP="00677C01">
      <w:pPr>
        <w:spacing w:before="240"/>
        <w:jc w:val="both"/>
        <w:rPr>
          <w:rFonts w:ascii="Verdana" w:hAnsi="Verdana"/>
          <w:b/>
          <w:bCs/>
          <w:i/>
          <w:iCs/>
          <w:sz w:val="20"/>
          <w:szCs w:val="20"/>
        </w:rPr>
      </w:pPr>
      <w:r w:rsidRPr="00110970">
        <w:rPr>
          <w:rFonts w:ascii="Verdana" w:hAnsi="Verdana"/>
          <w:b/>
          <w:bCs/>
          <w:i/>
          <w:iCs/>
          <w:sz w:val="20"/>
          <w:szCs w:val="20"/>
        </w:rPr>
        <w:t>Data Analysis</w:t>
      </w:r>
    </w:p>
    <w:p w14:paraId="6F5E34C9" w14:textId="77777777" w:rsidR="002C0C4C" w:rsidRPr="002C0C4C" w:rsidRDefault="002C0C4C" w:rsidP="00677C01">
      <w:pPr>
        <w:spacing w:before="240"/>
        <w:jc w:val="both"/>
        <w:rPr>
          <w:rFonts w:ascii="Verdana" w:hAnsi="Verdana"/>
          <w:sz w:val="20"/>
          <w:szCs w:val="20"/>
        </w:rPr>
      </w:pPr>
      <w:r w:rsidRPr="002C0C4C">
        <w:rPr>
          <w:rFonts w:ascii="Verdana" w:hAnsi="Verdana"/>
          <w:sz w:val="20"/>
          <w:szCs w:val="20"/>
        </w:rPr>
        <w:t xml:space="preserve">Viable cell counts were analyzed and visualized using RStudio v1.4.1106. All viable cell count data were normalized to the mean relative abundance within replicates. Area plots were constructed based on mean relative abundance of the strains in each mix over their respective time points for each media type. Beta diversity analysis was performed using the </w:t>
      </w:r>
      <w:proofErr w:type="spellStart"/>
      <w:proofErr w:type="gramStart"/>
      <w:r w:rsidRPr="002C0C4C">
        <w:rPr>
          <w:rFonts w:ascii="Verdana" w:hAnsi="Verdana"/>
          <w:sz w:val="20"/>
          <w:szCs w:val="20"/>
        </w:rPr>
        <w:t>bcdist</w:t>
      </w:r>
      <w:proofErr w:type="spellEnd"/>
      <w:r w:rsidRPr="002C0C4C">
        <w:rPr>
          <w:rFonts w:ascii="Verdana" w:hAnsi="Verdana"/>
          <w:sz w:val="20"/>
          <w:szCs w:val="20"/>
        </w:rPr>
        <w:t>(</w:t>
      </w:r>
      <w:proofErr w:type="gramEnd"/>
      <w:r w:rsidRPr="002C0C4C">
        <w:rPr>
          <w:rFonts w:ascii="Verdana" w:hAnsi="Verdana"/>
          <w:sz w:val="20"/>
          <w:szCs w:val="20"/>
        </w:rPr>
        <w:t xml:space="preserve">) function in the </w:t>
      </w:r>
      <w:proofErr w:type="spellStart"/>
      <w:r w:rsidRPr="002C0C4C">
        <w:rPr>
          <w:rFonts w:ascii="Verdana" w:hAnsi="Verdana"/>
          <w:sz w:val="20"/>
          <w:szCs w:val="20"/>
        </w:rPr>
        <w:t>ecodist</w:t>
      </w:r>
      <w:proofErr w:type="spellEnd"/>
      <w:r w:rsidRPr="002C0C4C">
        <w:rPr>
          <w:rFonts w:ascii="Verdana" w:hAnsi="Verdana"/>
          <w:sz w:val="20"/>
          <w:szCs w:val="20"/>
        </w:rPr>
        <w:t xml:space="preserve"> package (</w:t>
      </w:r>
      <w:proofErr w:type="spellStart"/>
      <w:r w:rsidRPr="002C0C4C">
        <w:rPr>
          <w:rFonts w:ascii="Verdana" w:hAnsi="Verdana"/>
          <w:sz w:val="20"/>
          <w:szCs w:val="20"/>
        </w:rPr>
        <w:t>Goslee</w:t>
      </w:r>
      <w:proofErr w:type="spellEnd"/>
      <w:r w:rsidRPr="002C0C4C">
        <w:rPr>
          <w:rFonts w:ascii="Verdana" w:hAnsi="Verdana"/>
          <w:sz w:val="20"/>
          <w:szCs w:val="20"/>
        </w:rPr>
        <w:t xml:space="preserve"> &amp; Urban, 2007) for each time point for the complex medium and defined medium. The </w:t>
      </w:r>
      <w:proofErr w:type="spellStart"/>
      <w:proofErr w:type="gramStart"/>
      <w:r w:rsidRPr="002C0C4C">
        <w:rPr>
          <w:rFonts w:ascii="Verdana" w:hAnsi="Verdana"/>
          <w:sz w:val="20"/>
          <w:szCs w:val="20"/>
        </w:rPr>
        <w:t>adonis</w:t>
      </w:r>
      <w:proofErr w:type="spellEnd"/>
      <w:r w:rsidRPr="002C0C4C">
        <w:rPr>
          <w:rFonts w:ascii="Verdana" w:hAnsi="Verdana"/>
          <w:sz w:val="20"/>
          <w:szCs w:val="20"/>
        </w:rPr>
        <w:t>(</w:t>
      </w:r>
      <w:proofErr w:type="gramEnd"/>
      <w:r w:rsidRPr="002C0C4C">
        <w:rPr>
          <w:rFonts w:ascii="Verdana" w:hAnsi="Verdana"/>
          <w:sz w:val="20"/>
          <w:szCs w:val="20"/>
        </w:rPr>
        <w:t xml:space="preserve">) function in the vegan package (Oksanen et al., 2020) was used to conduct a permutational multivariate analysis of variance (PERMANOVA) on the paired time points and on the aggregated time points for both carbon sources. Alpha diversity was calculated within each time point using the Shannon Diversity Index in the vegan package (Fisher et al., 1943; </w:t>
      </w:r>
      <w:proofErr w:type="spellStart"/>
      <w:r w:rsidRPr="002C0C4C">
        <w:rPr>
          <w:rFonts w:ascii="Verdana" w:hAnsi="Verdana"/>
          <w:sz w:val="20"/>
          <w:szCs w:val="20"/>
        </w:rPr>
        <w:t>Hurlbert</w:t>
      </w:r>
      <w:proofErr w:type="spellEnd"/>
      <w:r w:rsidRPr="002C0C4C">
        <w:rPr>
          <w:rFonts w:ascii="Verdana" w:hAnsi="Verdana"/>
          <w:sz w:val="20"/>
          <w:szCs w:val="20"/>
        </w:rPr>
        <w:t xml:space="preserve">, 1971). </w:t>
      </w:r>
    </w:p>
    <w:p w14:paraId="6765BF5B" w14:textId="0C1C0420" w:rsidR="00BD4A80" w:rsidRPr="002C0C4C" w:rsidRDefault="002C0C4C" w:rsidP="00677C01">
      <w:pPr>
        <w:spacing w:before="240"/>
        <w:ind w:firstLine="360"/>
        <w:jc w:val="both"/>
        <w:rPr>
          <w:rFonts w:ascii="Verdana" w:hAnsi="Verdana"/>
          <w:sz w:val="20"/>
          <w:szCs w:val="20"/>
        </w:rPr>
      </w:pPr>
      <w:r w:rsidRPr="002C0C4C">
        <w:rPr>
          <w:rFonts w:ascii="Verdana" w:hAnsi="Verdana"/>
          <w:sz w:val="20"/>
          <w:szCs w:val="20"/>
        </w:rPr>
        <w:t xml:space="preserve">Surface attachment assays and total biomass via crystal violet assays were analyzed and visualized using GraphPad Prism v9.0.0 (GraphPad Software, San Diego, California USA, www.graphpad.com). Statistical significance was calculated using a Two-Way analysis of variance (ANOVA). Variability of differences was corrected using </w:t>
      </w:r>
      <w:proofErr w:type="spellStart"/>
      <w:r w:rsidRPr="002C0C4C">
        <w:rPr>
          <w:rFonts w:ascii="Verdana" w:hAnsi="Verdana"/>
          <w:sz w:val="20"/>
          <w:szCs w:val="20"/>
        </w:rPr>
        <w:t>Geisser</w:t>
      </w:r>
      <w:proofErr w:type="spellEnd"/>
      <w:r w:rsidRPr="002C0C4C">
        <w:rPr>
          <w:rFonts w:ascii="Verdana" w:hAnsi="Verdana"/>
          <w:sz w:val="20"/>
          <w:szCs w:val="20"/>
        </w:rPr>
        <w:t xml:space="preserve">-Greenhouse correction. Multiple comparisons were assessed using </w:t>
      </w:r>
      <w:proofErr w:type="spellStart"/>
      <w:r w:rsidRPr="002C0C4C">
        <w:rPr>
          <w:rFonts w:ascii="Verdana" w:hAnsi="Verdana"/>
          <w:sz w:val="20"/>
          <w:szCs w:val="20"/>
        </w:rPr>
        <w:t>Dunnet’s</w:t>
      </w:r>
      <w:proofErr w:type="spellEnd"/>
      <w:r w:rsidRPr="002C0C4C">
        <w:rPr>
          <w:rFonts w:ascii="Verdana" w:hAnsi="Verdana"/>
          <w:sz w:val="20"/>
          <w:szCs w:val="20"/>
        </w:rPr>
        <w:t xml:space="preserve"> multiple comparisons for surface attachment assays and Tukey’s HSD (honestly significant difference) for crystal violet assays (Supplemental Table 1-3).</w:t>
      </w:r>
    </w:p>
    <w:p w14:paraId="1F6A9FA6" w14:textId="69B1C676" w:rsidR="00236E6D" w:rsidRPr="00110970" w:rsidRDefault="00BD3657" w:rsidP="00677C01">
      <w:pPr>
        <w:pStyle w:val="Heading2"/>
        <w:numPr>
          <w:ilvl w:val="0"/>
          <w:numId w:val="8"/>
        </w:numPr>
        <w:ind w:left="720"/>
        <w:jc w:val="left"/>
        <w:rPr>
          <w:rFonts w:ascii="Verdana" w:hAnsi="Verdana" w:cs="Times New Roman"/>
          <w:sz w:val="22"/>
          <w:szCs w:val="22"/>
        </w:rPr>
      </w:pPr>
      <w:bookmarkStart w:id="46" w:name="_Toc83382606"/>
      <w:r w:rsidRPr="00110970">
        <w:rPr>
          <w:rFonts w:ascii="Verdana" w:hAnsi="Verdana" w:cs="Times New Roman"/>
          <w:sz w:val="22"/>
          <w:szCs w:val="22"/>
        </w:rPr>
        <w:t>Results</w:t>
      </w:r>
      <w:bookmarkEnd w:id="46"/>
    </w:p>
    <w:p w14:paraId="5F06BB5F" w14:textId="253BB9B0" w:rsidR="00D2674C" w:rsidRPr="00677C01" w:rsidRDefault="00D2674C" w:rsidP="00677C01">
      <w:pPr>
        <w:spacing w:before="240"/>
        <w:ind w:firstLine="720"/>
        <w:jc w:val="both"/>
        <w:rPr>
          <w:rFonts w:ascii="Verdana" w:eastAsia="Verdana" w:hAnsi="Verdana"/>
          <w:sz w:val="20"/>
          <w:szCs w:val="20"/>
        </w:rPr>
      </w:pPr>
      <w:r w:rsidRPr="00D2674C">
        <w:rPr>
          <w:rFonts w:ascii="Verdana" w:eastAsia="Verdana" w:hAnsi="Verdana"/>
          <w:sz w:val="20"/>
          <w:szCs w:val="20"/>
        </w:rPr>
        <w:t xml:space="preserve">To evaluate the impact of secondary metabolite production, such as AHLs and antimicrobials, and differences in growth substrate (i.e., </w:t>
      </w:r>
      <w:proofErr w:type="gramStart"/>
      <w:r w:rsidRPr="00D2674C">
        <w:rPr>
          <w:rFonts w:ascii="Verdana" w:eastAsia="Verdana" w:hAnsi="Verdana"/>
          <w:sz w:val="20"/>
          <w:szCs w:val="20"/>
        </w:rPr>
        <w:t>complex</w:t>
      </w:r>
      <w:proofErr w:type="gramEnd"/>
      <w:r w:rsidRPr="00D2674C">
        <w:rPr>
          <w:rFonts w:ascii="Verdana" w:eastAsia="Verdana" w:hAnsi="Verdana"/>
          <w:sz w:val="20"/>
          <w:szCs w:val="20"/>
        </w:rPr>
        <w:t xml:space="preserve"> and defined media), on microbial interactions in biofilms we conducted synthetic community experiments using a five-member bacterial community. We assessed growth inhibition, putative AHL production, surface colonization</w:t>
      </w:r>
      <w:r w:rsidRPr="00D2674C">
        <w:rPr>
          <w:rFonts w:ascii="Verdana" w:hAnsi="Verdana"/>
          <w:sz w:val="20"/>
          <w:szCs w:val="20"/>
        </w:rPr>
        <w:t>,</w:t>
      </w:r>
      <w:r w:rsidRPr="00D2674C">
        <w:rPr>
          <w:rFonts w:ascii="Verdana" w:eastAsia="Verdana" w:hAnsi="Verdana"/>
          <w:sz w:val="20"/>
          <w:szCs w:val="20"/>
        </w:rPr>
        <w:t xml:space="preserve"> as well as biofilm composition and formation. We also evaluated cooperation and competition. Here, we define community cooperation as an increase in biofilm formation compared to the best biofilm producer in monoculture without loss of viability in the community. Community competition is defined as a decrease in biofilm formation compared to the worst biofilm producer in monoculture or a decrease in viability of the mixed community. </w:t>
      </w:r>
    </w:p>
    <w:p w14:paraId="7E532B03" w14:textId="4D8DA34F" w:rsidR="00D2674C" w:rsidRPr="00D2674C" w:rsidRDefault="00D2674C" w:rsidP="00677C01">
      <w:pPr>
        <w:spacing w:before="240"/>
        <w:jc w:val="both"/>
        <w:rPr>
          <w:rFonts w:ascii="Verdana" w:eastAsia="Verdana" w:hAnsi="Verdana"/>
          <w:sz w:val="20"/>
          <w:szCs w:val="20"/>
        </w:rPr>
      </w:pPr>
      <w:r w:rsidRPr="00677C01">
        <w:rPr>
          <w:rFonts w:ascii="Verdana" w:hAnsi="Verdana"/>
          <w:b/>
          <w:bCs/>
          <w:i/>
          <w:iCs/>
          <w:sz w:val="20"/>
          <w:szCs w:val="20"/>
        </w:rPr>
        <w:t>Secondary metabolites are present</w:t>
      </w:r>
      <w:r w:rsidRPr="00677C01">
        <w:rPr>
          <w:rFonts w:ascii="Verdana" w:hAnsi="Verdana"/>
          <w:b/>
          <w:bCs/>
          <w:sz w:val="20"/>
          <w:szCs w:val="20"/>
        </w:rPr>
        <w:t xml:space="preserve"> </w:t>
      </w:r>
      <w:r w:rsidRPr="00677C01">
        <w:rPr>
          <w:rFonts w:ascii="Verdana" w:eastAsia="Verdana" w:hAnsi="Verdana"/>
          <w:b/>
          <w:bCs/>
          <w:i/>
          <w:sz w:val="20"/>
          <w:szCs w:val="20"/>
        </w:rPr>
        <w:t>in synthetic biofilm members.</w:t>
      </w:r>
      <w:r w:rsidRPr="00D2674C">
        <w:rPr>
          <w:rFonts w:ascii="Verdana" w:eastAsia="Verdana" w:hAnsi="Verdana"/>
          <w:i/>
          <w:sz w:val="20"/>
          <w:szCs w:val="20"/>
        </w:rPr>
        <w:t xml:space="preserve"> </w:t>
      </w:r>
      <w:r w:rsidRPr="00D2674C">
        <w:rPr>
          <w:rFonts w:ascii="Verdana" w:hAnsi="Verdana"/>
          <w:sz w:val="20"/>
          <w:szCs w:val="20"/>
        </w:rPr>
        <w:t xml:space="preserve">Given the prevalence for secondary metabolite production among members of the Roseobacter clade, we would be remiss if we did not assess the whether the stains used in these community studies could produce AHLs and antimicrobials. </w:t>
      </w:r>
      <w:r w:rsidRPr="00D2674C">
        <w:rPr>
          <w:rFonts w:ascii="Verdana" w:eastAsia="Verdana" w:hAnsi="Verdana"/>
          <w:sz w:val="20"/>
          <w:szCs w:val="20"/>
        </w:rPr>
        <w:t xml:space="preserve">Previous studies have reported both QS systems and antimicrobials can be found in community members (Newton et al 2010; Cude 2013). All five strains used in this study possess at least one QS component. Three of the five strains contain a canonical </w:t>
      </w:r>
      <w:proofErr w:type="spellStart"/>
      <w:r w:rsidRPr="00D2674C">
        <w:rPr>
          <w:rFonts w:ascii="Verdana" w:eastAsia="Verdana" w:hAnsi="Verdana"/>
          <w:i/>
          <w:iCs/>
          <w:sz w:val="20"/>
          <w:szCs w:val="20"/>
        </w:rPr>
        <w:t>luxRI</w:t>
      </w:r>
      <w:proofErr w:type="spellEnd"/>
      <w:r w:rsidRPr="00D2674C">
        <w:rPr>
          <w:rFonts w:ascii="Verdana" w:eastAsia="Verdana" w:hAnsi="Verdana"/>
          <w:sz w:val="20"/>
          <w:szCs w:val="20"/>
        </w:rPr>
        <w:t xml:space="preserve"> paired QS system. </w:t>
      </w:r>
      <w:proofErr w:type="gramStart"/>
      <w:r w:rsidRPr="00D2674C">
        <w:rPr>
          <w:rFonts w:ascii="Verdana" w:eastAsia="Verdana" w:hAnsi="Verdana"/>
          <w:sz w:val="20"/>
          <w:szCs w:val="20"/>
        </w:rPr>
        <w:t>Two members,</w:t>
      </w:r>
      <w:proofErr w:type="gramEnd"/>
      <w:r w:rsidRPr="00D2674C">
        <w:rPr>
          <w:rFonts w:ascii="Verdana" w:eastAsia="Verdana" w:hAnsi="Verdana"/>
          <w:sz w:val="20"/>
          <w:szCs w:val="20"/>
        </w:rPr>
        <w:t xml:space="preserve"> lack one component of the system. These are referred to as orphans or solos. Of the five community members, three possess orphaned </w:t>
      </w:r>
      <w:proofErr w:type="spellStart"/>
      <w:r w:rsidRPr="00D2674C">
        <w:rPr>
          <w:rFonts w:ascii="Verdana" w:eastAsia="Verdana" w:hAnsi="Verdana"/>
          <w:sz w:val="20"/>
          <w:szCs w:val="20"/>
        </w:rPr>
        <w:t>LuxR</w:t>
      </w:r>
      <w:proofErr w:type="spellEnd"/>
      <w:r w:rsidRPr="00D2674C">
        <w:rPr>
          <w:rFonts w:ascii="Verdana" w:eastAsia="Verdana" w:hAnsi="Verdana"/>
          <w:sz w:val="20"/>
          <w:szCs w:val="20"/>
        </w:rPr>
        <w:t xml:space="preserve"> homologs. ISM and EE-36 are the only two members in which solo </w:t>
      </w:r>
      <w:proofErr w:type="spellStart"/>
      <w:r w:rsidRPr="00D2674C">
        <w:rPr>
          <w:rFonts w:ascii="Verdana" w:eastAsia="Verdana" w:hAnsi="Verdana"/>
          <w:sz w:val="20"/>
          <w:szCs w:val="20"/>
        </w:rPr>
        <w:t>LuxI</w:t>
      </w:r>
      <w:proofErr w:type="spellEnd"/>
      <w:r w:rsidRPr="00D2674C">
        <w:rPr>
          <w:rFonts w:ascii="Verdana" w:eastAsia="Verdana" w:hAnsi="Verdana"/>
          <w:sz w:val="20"/>
          <w:szCs w:val="20"/>
        </w:rPr>
        <w:t xml:space="preserve"> homologs have been reported. Both E-37 and SE-45 contain a cognate </w:t>
      </w:r>
      <w:proofErr w:type="spellStart"/>
      <w:r w:rsidRPr="00D2674C">
        <w:rPr>
          <w:rFonts w:ascii="Verdana" w:eastAsia="Verdana" w:hAnsi="Verdana"/>
          <w:sz w:val="20"/>
          <w:szCs w:val="20"/>
        </w:rPr>
        <w:t>LuxRI</w:t>
      </w:r>
      <w:proofErr w:type="spellEnd"/>
      <w:r w:rsidRPr="00D2674C">
        <w:rPr>
          <w:rFonts w:ascii="Verdana" w:eastAsia="Verdana" w:hAnsi="Verdana"/>
          <w:sz w:val="20"/>
          <w:szCs w:val="20"/>
        </w:rPr>
        <w:t xml:space="preserve"> pair, while Y4I is the only community member to possess two cognate QS systems (Cude 2012; Cude 2013) (Table 1). The two QS systems in Y4I regulate the production of indigoidine which is encoded by a non-ribosomal polypeptide synthase (NRPS), termed </w:t>
      </w:r>
      <w:proofErr w:type="spellStart"/>
      <w:r w:rsidRPr="00D2674C">
        <w:rPr>
          <w:rFonts w:ascii="Verdana" w:eastAsia="Verdana" w:hAnsi="Verdana"/>
          <w:i/>
          <w:iCs/>
          <w:sz w:val="20"/>
          <w:szCs w:val="20"/>
        </w:rPr>
        <w:t>igiD</w:t>
      </w:r>
      <w:proofErr w:type="spellEnd"/>
      <w:r w:rsidRPr="00D2674C">
        <w:rPr>
          <w:rFonts w:ascii="Verdana" w:eastAsia="Verdana" w:hAnsi="Verdana"/>
          <w:sz w:val="20"/>
          <w:szCs w:val="20"/>
        </w:rPr>
        <w:t xml:space="preserve">. NRPS-like genes encode secondary metabolites such as toxins, antimicrobials, and pigments (Cude 2012; </w:t>
      </w:r>
      <w:proofErr w:type="spellStart"/>
      <w:r w:rsidRPr="00D2674C">
        <w:rPr>
          <w:rFonts w:ascii="Verdana" w:eastAsia="Verdana" w:hAnsi="Verdana"/>
          <w:sz w:val="20"/>
          <w:szCs w:val="20"/>
        </w:rPr>
        <w:t>Lunggani</w:t>
      </w:r>
      <w:proofErr w:type="spellEnd"/>
      <w:r w:rsidRPr="00D2674C">
        <w:rPr>
          <w:rFonts w:ascii="Verdana" w:eastAsia="Verdana" w:hAnsi="Verdana"/>
          <w:sz w:val="20"/>
          <w:szCs w:val="20"/>
        </w:rPr>
        <w:t xml:space="preserve"> et al 2019; and reviewed in </w:t>
      </w:r>
      <w:proofErr w:type="spellStart"/>
      <w:r w:rsidRPr="00D2674C">
        <w:rPr>
          <w:rFonts w:ascii="Verdana" w:eastAsia="Verdana" w:hAnsi="Verdana"/>
          <w:sz w:val="20"/>
          <w:szCs w:val="20"/>
        </w:rPr>
        <w:t>Maglanit</w:t>
      </w:r>
      <w:proofErr w:type="spellEnd"/>
      <w:r w:rsidRPr="00D2674C">
        <w:rPr>
          <w:rFonts w:ascii="Verdana" w:eastAsia="Verdana" w:hAnsi="Verdana"/>
          <w:sz w:val="20"/>
          <w:szCs w:val="20"/>
        </w:rPr>
        <w:t xml:space="preserve"> et al 2021). Two other community members have been reported to possess NRPS-like genes: E-37 and ISM (Newton et al 2010). </w:t>
      </w:r>
      <w:r w:rsidRPr="00D2674C">
        <w:rPr>
          <w:rFonts w:ascii="Verdana" w:eastAsia="Verdana" w:hAnsi="Verdana"/>
          <w:sz w:val="20"/>
          <w:szCs w:val="20"/>
        </w:rPr>
        <w:lastRenderedPageBreak/>
        <w:t xml:space="preserve">Comparison of amino acid sequences for NRPS-like genes in E37 and ISM, SSE37_17955 and ISM_16730, to </w:t>
      </w:r>
      <w:proofErr w:type="spellStart"/>
      <w:r w:rsidRPr="00D2674C">
        <w:rPr>
          <w:rFonts w:ascii="Verdana" w:eastAsia="Verdana" w:hAnsi="Verdana"/>
          <w:i/>
          <w:iCs/>
          <w:sz w:val="20"/>
          <w:szCs w:val="20"/>
        </w:rPr>
        <w:t>igiD</w:t>
      </w:r>
      <w:proofErr w:type="spellEnd"/>
      <w:r w:rsidRPr="00D2674C">
        <w:rPr>
          <w:rFonts w:ascii="Verdana" w:eastAsia="Verdana" w:hAnsi="Verdana"/>
          <w:i/>
          <w:iCs/>
          <w:sz w:val="20"/>
          <w:szCs w:val="20"/>
        </w:rPr>
        <w:t xml:space="preserve"> </w:t>
      </w:r>
      <w:r w:rsidRPr="00D2674C">
        <w:rPr>
          <w:rFonts w:ascii="Verdana" w:eastAsia="Verdana" w:hAnsi="Verdana"/>
          <w:sz w:val="20"/>
          <w:szCs w:val="20"/>
        </w:rPr>
        <w:t>showed 41.82 % and 42.93 % sequence similarity over approximately 40% query cover, respectively. Both SSE37_17955 and ISM_16730 share more than 90% sequence similarity to LLM class flavin-dependent oxidoreductases in more closely related organisms (</w:t>
      </w:r>
      <w:proofErr w:type="gramStart"/>
      <w:r w:rsidRPr="00D2674C">
        <w:rPr>
          <w:rFonts w:ascii="Verdana" w:eastAsia="Verdana" w:hAnsi="Verdana"/>
          <w:sz w:val="20"/>
          <w:szCs w:val="20"/>
        </w:rPr>
        <w:t>i.e.</w:t>
      </w:r>
      <w:proofErr w:type="gramEnd"/>
      <w:r w:rsidRPr="00D2674C">
        <w:rPr>
          <w:rFonts w:ascii="Verdana" w:eastAsia="Verdana" w:hAnsi="Verdana"/>
          <w:sz w:val="20"/>
          <w:szCs w:val="20"/>
        </w:rPr>
        <w:t xml:space="preserve"> organisms in their respective genera), while </w:t>
      </w:r>
      <w:proofErr w:type="spellStart"/>
      <w:r w:rsidRPr="00D2674C">
        <w:rPr>
          <w:rFonts w:ascii="Verdana" w:eastAsia="Verdana" w:hAnsi="Verdana"/>
          <w:i/>
          <w:iCs/>
          <w:sz w:val="20"/>
          <w:szCs w:val="20"/>
        </w:rPr>
        <w:t>igiD</w:t>
      </w:r>
      <w:proofErr w:type="spellEnd"/>
      <w:r w:rsidRPr="00D2674C">
        <w:rPr>
          <w:rFonts w:ascii="Verdana" w:eastAsia="Verdana" w:hAnsi="Verdana"/>
          <w:i/>
          <w:iCs/>
          <w:sz w:val="20"/>
          <w:szCs w:val="20"/>
        </w:rPr>
        <w:t xml:space="preserve"> </w:t>
      </w:r>
      <w:r w:rsidRPr="00D2674C">
        <w:rPr>
          <w:rFonts w:ascii="Verdana" w:eastAsia="Verdana" w:hAnsi="Verdana"/>
          <w:sz w:val="20"/>
          <w:szCs w:val="20"/>
        </w:rPr>
        <w:t xml:space="preserve">is shares aa sequence similarity to amino acid adenylation domain proteins suggesting the two classes of NRPS may be functionally distinct (data not show). While pigmentation in Y4I is linked to its NRPS, indigoidine, the gene(s) responsible for pigmentation in ISM has yet to be identified. In addition to pigmentation, indigoidine in Y4I is antimicrobial and has been reported to inhibit to growth of multiple marine microorganisms (Cude 2012; Cude 2015). Whether the NRPS genes found in E-37 and ISM confer antimicrobial properties is currently unknown. </w:t>
      </w:r>
    </w:p>
    <w:p w14:paraId="57A613CA" w14:textId="77777777" w:rsidR="00D2674C" w:rsidRPr="00D2674C" w:rsidRDefault="00D2674C" w:rsidP="00677C01">
      <w:pPr>
        <w:spacing w:before="240"/>
        <w:ind w:firstLine="720"/>
        <w:jc w:val="both"/>
        <w:rPr>
          <w:rFonts w:ascii="Verdana" w:eastAsia="Verdana" w:hAnsi="Verdana"/>
          <w:sz w:val="20"/>
          <w:szCs w:val="20"/>
        </w:rPr>
      </w:pPr>
      <w:r w:rsidRPr="00D2674C">
        <w:rPr>
          <w:rFonts w:ascii="Verdana" w:hAnsi="Verdana"/>
          <w:sz w:val="20"/>
          <w:szCs w:val="20"/>
        </w:rPr>
        <w:t xml:space="preserve">In order to determine whether secondary metabolite production among individual community members could inhibit the growth </w:t>
      </w:r>
      <w:proofErr w:type="gramStart"/>
      <w:r w:rsidRPr="00D2674C">
        <w:rPr>
          <w:rFonts w:ascii="Verdana" w:hAnsi="Verdana"/>
          <w:sz w:val="20"/>
          <w:szCs w:val="20"/>
        </w:rPr>
        <w:t xml:space="preserve">of </w:t>
      </w:r>
      <w:r w:rsidRPr="00D2674C">
        <w:rPr>
          <w:rFonts w:ascii="Verdana" w:eastAsia="Verdana" w:hAnsi="Verdana"/>
          <w:sz w:val="20"/>
          <w:szCs w:val="20"/>
        </w:rPr>
        <w:t xml:space="preserve"> community</w:t>
      </w:r>
      <w:proofErr w:type="gramEnd"/>
      <w:r w:rsidRPr="00D2674C">
        <w:rPr>
          <w:rFonts w:ascii="Verdana" w:eastAsia="Verdana" w:hAnsi="Verdana"/>
          <w:sz w:val="20"/>
          <w:szCs w:val="20"/>
        </w:rPr>
        <w:t xml:space="preserve"> residents, we </w:t>
      </w:r>
      <w:r w:rsidRPr="00D2674C">
        <w:rPr>
          <w:rFonts w:ascii="Verdana" w:hAnsi="Verdana"/>
          <w:sz w:val="20"/>
          <w:szCs w:val="20"/>
        </w:rPr>
        <w:t xml:space="preserve">performed a </w:t>
      </w:r>
      <w:r w:rsidRPr="00D2674C">
        <w:rPr>
          <w:rFonts w:ascii="Verdana" w:eastAsia="Verdana" w:hAnsi="Verdana"/>
          <w:sz w:val="20"/>
          <w:szCs w:val="20"/>
        </w:rPr>
        <w:t>pairwise assessment of interactions between the 5 synthetic community members using fully factorial growth inhibition assay. Only one strain, Rhodobacterales strain Y4I, was able to inhibit the growth of any of the other strains (2 of 4; Table 2). Using mutants that are either abolished in pigment production or hyper-pigmented, the inhibition of strains EE-36 and E-37 was strictly correlated with indigoidine production (Table 2), indicating this compound could be an important community determinant in this synthetic community.</w:t>
      </w:r>
    </w:p>
    <w:p w14:paraId="19521669" w14:textId="77777777" w:rsidR="00D2674C" w:rsidRPr="00D2674C" w:rsidRDefault="00D2674C" w:rsidP="00677C01">
      <w:pPr>
        <w:spacing w:before="240"/>
        <w:jc w:val="both"/>
        <w:rPr>
          <w:rFonts w:ascii="Verdana" w:eastAsia="Verdana" w:hAnsi="Verdana"/>
          <w:i/>
          <w:sz w:val="20"/>
          <w:szCs w:val="20"/>
        </w:rPr>
      </w:pPr>
      <w:r w:rsidRPr="00D2674C">
        <w:rPr>
          <w:rFonts w:ascii="Verdana" w:eastAsia="Verdana" w:hAnsi="Verdana"/>
          <w:sz w:val="20"/>
          <w:szCs w:val="20"/>
        </w:rPr>
        <w:tab/>
        <w:t xml:space="preserve">We next evaluated whether synthetic community members were able to produce similar AHLs facilitating potential QS </w:t>
      </w:r>
      <w:proofErr w:type="gramStart"/>
      <w:r w:rsidRPr="00D2674C">
        <w:rPr>
          <w:rFonts w:ascii="Verdana" w:eastAsia="Verdana" w:hAnsi="Verdana"/>
          <w:sz w:val="20"/>
          <w:szCs w:val="20"/>
        </w:rPr>
        <w:t>cross-talk</w:t>
      </w:r>
      <w:proofErr w:type="gramEnd"/>
      <w:r w:rsidRPr="00D2674C">
        <w:rPr>
          <w:rFonts w:ascii="Verdana" w:eastAsia="Verdana" w:hAnsi="Verdana"/>
          <w:sz w:val="20"/>
          <w:szCs w:val="20"/>
        </w:rPr>
        <w:t xml:space="preserve"> between community members. We examined each synthetic community member along with wildtype Y4I and the </w:t>
      </w:r>
      <w:proofErr w:type="spellStart"/>
      <w:r w:rsidRPr="00D2674C">
        <w:rPr>
          <w:rFonts w:ascii="Verdana" w:eastAsia="Verdana" w:hAnsi="Verdana"/>
          <w:i/>
          <w:sz w:val="20"/>
          <w:szCs w:val="20"/>
        </w:rPr>
        <w:t>phaI</w:t>
      </w:r>
      <w:proofErr w:type="spellEnd"/>
      <w:r w:rsidRPr="00D2674C">
        <w:rPr>
          <w:rFonts w:ascii="Verdana" w:eastAsia="Verdana" w:hAnsi="Verdana"/>
          <w:sz w:val="20"/>
          <w:szCs w:val="20"/>
        </w:rPr>
        <w:t xml:space="preserve"> mutant for the ability to produce overlapping AHLs: N-</w:t>
      </w:r>
      <w:proofErr w:type="spellStart"/>
      <w:r w:rsidRPr="00D2674C">
        <w:rPr>
          <w:rFonts w:ascii="Verdana" w:eastAsia="Verdana" w:hAnsi="Verdana"/>
          <w:sz w:val="20"/>
          <w:szCs w:val="20"/>
        </w:rPr>
        <w:t>octanoyl</w:t>
      </w:r>
      <w:proofErr w:type="spellEnd"/>
      <w:r w:rsidRPr="00D2674C">
        <w:rPr>
          <w:rFonts w:ascii="Verdana" w:eastAsia="Verdana" w:hAnsi="Verdana"/>
          <w:sz w:val="20"/>
          <w:szCs w:val="20"/>
        </w:rPr>
        <w:t xml:space="preserve">-L-homoserine lactone (C8-HSL) and the N-3-oxo- </w:t>
      </w:r>
      <w:proofErr w:type="spellStart"/>
      <w:r w:rsidRPr="00D2674C">
        <w:rPr>
          <w:rFonts w:ascii="Verdana" w:eastAsia="Verdana" w:hAnsi="Verdana"/>
          <w:sz w:val="20"/>
          <w:szCs w:val="20"/>
        </w:rPr>
        <w:t>dodecenoyl</w:t>
      </w:r>
      <w:proofErr w:type="spellEnd"/>
      <w:r w:rsidRPr="00D2674C">
        <w:rPr>
          <w:rFonts w:ascii="Verdana" w:eastAsia="Verdana" w:hAnsi="Verdana"/>
          <w:sz w:val="20"/>
          <w:szCs w:val="20"/>
        </w:rPr>
        <w:t xml:space="preserve">)-homoserine lactone isomer, 3OHC12:1-HSL. Previous studies demonstrated that </w:t>
      </w:r>
      <w:proofErr w:type="spellStart"/>
      <w:proofErr w:type="gramStart"/>
      <w:r w:rsidRPr="00D2674C">
        <w:rPr>
          <w:rFonts w:ascii="Verdana" w:eastAsia="Verdana" w:hAnsi="Verdana"/>
          <w:i/>
          <w:sz w:val="20"/>
          <w:szCs w:val="20"/>
        </w:rPr>
        <w:t>pgaR</w:t>
      </w:r>
      <w:proofErr w:type="spellEnd"/>
      <w:r w:rsidRPr="00D2674C">
        <w:rPr>
          <w:rFonts w:ascii="Verdana" w:eastAsia="Verdana" w:hAnsi="Verdana"/>
          <w:sz w:val="20"/>
          <w:szCs w:val="20"/>
        </w:rPr>
        <w:t>::</w:t>
      </w:r>
      <w:proofErr w:type="gramEnd"/>
      <w:r w:rsidRPr="00D2674C">
        <w:rPr>
          <w:rFonts w:ascii="Verdana" w:eastAsia="Verdana" w:hAnsi="Verdana"/>
          <w:sz w:val="20"/>
          <w:szCs w:val="20"/>
        </w:rPr>
        <w:t>TN5-Km</w:t>
      </w:r>
      <w:r w:rsidRPr="00D2674C">
        <w:rPr>
          <w:rFonts w:ascii="Verdana" w:eastAsia="Verdana" w:hAnsi="Verdana"/>
          <w:sz w:val="20"/>
          <w:szCs w:val="20"/>
          <w:vertAlign w:val="superscript"/>
        </w:rPr>
        <w:t>R</w:t>
      </w:r>
      <w:r w:rsidRPr="00D2674C">
        <w:rPr>
          <w:rFonts w:ascii="Verdana" w:eastAsia="Verdana" w:hAnsi="Verdana"/>
          <w:sz w:val="20"/>
          <w:szCs w:val="20"/>
        </w:rPr>
        <w:t xml:space="preserve"> and </w:t>
      </w:r>
      <w:proofErr w:type="spellStart"/>
      <w:r w:rsidRPr="00D2674C">
        <w:rPr>
          <w:rFonts w:ascii="Verdana" w:eastAsia="Verdana" w:hAnsi="Verdana"/>
          <w:i/>
          <w:sz w:val="20"/>
          <w:szCs w:val="20"/>
        </w:rPr>
        <w:t>phaR</w:t>
      </w:r>
      <w:proofErr w:type="spellEnd"/>
      <w:r w:rsidRPr="00D2674C">
        <w:rPr>
          <w:rFonts w:ascii="Verdana" w:eastAsia="Verdana" w:hAnsi="Verdana"/>
          <w:sz w:val="20"/>
          <w:szCs w:val="20"/>
        </w:rPr>
        <w:t>::TN5-Km</w:t>
      </w:r>
      <w:r w:rsidRPr="00D2674C">
        <w:rPr>
          <w:rFonts w:ascii="Verdana" w:eastAsia="Verdana" w:hAnsi="Verdana"/>
          <w:sz w:val="20"/>
          <w:szCs w:val="20"/>
          <w:vertAlign w:val="superscript"/>
        </w:rPr>
        <w:t xml:space="preserve">R </w:t>
      </w:r>
      <w:r w:rsidRPr="00D2674C">
        <w:rPr>
          <w:rFonts w:ascii="Verdana" w:eastAsia="Verdana" w:hAnsi="Verdana"/>
          <w:sz w:val="20"/>
          <w:szCs w:val="20"/>
        </w:rPr>
        <w:t>are impaired in their ability to produce their cognate AHLs C8-HSL and 3OHC12:1-HSL, respectively (Cude 2015). Mass spectrometry revealed that community members produced AHLs with varying lengths of carbon in acyl chains. Specifically, we detected AHLs with masses corresponding to N-3-oxo-propionyl-L-homoserine lactone (3OHC3-HSL), N-</w:t>
      </w:r>
      <w:proofErr w:type="spellStart"/>
      <w:r w:rsidRPr="00D2674C">
        <w:rPr>
          <w:rFonts w:ascii="Verdana" w:eastAsia="Verdana" w:hAnsi="Verdana"/>
          <w:sz w:val="20"/>
          <w:szCs w:val="20"/>
        </w:rPr>
        <w:t>pentanoyl</w:t>
      </w:r>
      <w:proofErr w:type="spellEnd"/>
      <w:r w:rsidRPr="00D2674C">
        <w:rPr>
          <w:rFonts w:ascii="Verdana" w:eastAsia="Verdana" w:hAnsi="Verdana"/>
          <w:sz w:val="20"/>
          <w:szCs w:val="20"/>
        </w:rPr>
        <w:t xml:space="preserve">-L-Homoserine lactone (C5-HSL), C8-HSL, N-3-hydroxydecanoyl-L-Homoserine lactone (3OHC10-HSL), N-dodecanoyl-L-homoserine lactone (C12-HSL), and 3OHC12:1-HSL (Y4I only). In almost all cases, Y4I produced a higher concentration of AHLs compared to community members. The exceptions were C5-HSL and C12-HSL, where peak areas of these AHLs were relatively equal in all community members. Thus, it is likely that the predominant putative AHLs produced by synthetic community members, excluding Y4I, are C5-HSL and C12-HSL (Table 1). </w:t>
      </w:r>
    </w:p>
    <w:p w14:paraId="3C7679C0" w14:textId="2B009297" w:rsidR="002A6060" w:rsidRPr="00677C01" w:rsidRDefault="00D2674C" w:rsidP="00677C01">
      <w:pPr>
        <w:spacing w:before="240"/>
        <w:ind w:firstLine="720"/>
        <w:jc w:val="both"/>
        <w:rPr>
          <w:rFonts w:ascii="Verdana" w:eastAsia="Verdana" w:hAnsi="Verdana"/>
          <w:b/>
          <w:bCs/>
          <w:sz w:val="20"/>
          <w:szCs w:val="20"/>
        </w:rPr>
      </w:pPr>
      <w:r w:rsidRPr="00677C01">
        <w:rPr>
          <w:rFonts w:ascii="Verdana" w:eastAsia="Verdana" w:hAnsi="Verdana"/>
          <w:b/>
          <w:bCs/>
          <w:i/>
          <w:sz w:val="20"/>
          <w:szCs w:val="20"/>
        </w:rPr>
        <w:t>Y4I is an aggressive surface colonizer compared to community members.</w:t>
      </w:r>
      <w:r w:rsidRPr="00677C01">
        <w:rPr>
          <w:rFonts w:ascii="Verdana" w:eastAsia="Verdana" w:hAnsi="Verdana"/>
          <w:b/>
          <w:bCs/>
          <w:sz w:val="20"/>
          <w:szCs w:val="20"/>
        </w:rPr>
        <w:t xml:space="preserve"> </w:t>
      </w:r>
      <w:r w:rsidRPr="00D2674C">
        <w:rPr>
          <w:rFonts w:ascii="Verdana" w:eastAsia="Verdana" w:hAnsi="Verdana"/>
          <w:sz w:val="20"/>
          <w:szCs w:val="20"/>
        </w:rPr>
        <w:t>To demonstrate the prolific colonization of Y4I to surfaces, we assessed surface attachment of Y4I variants and synthetic community members (E-37, SE45, EE-36 and ISM) at 12, 24, and 48 hours post inoculation. All community members except for Y4I variants experienced a 96.04 - 99.97% decrease in cell abundance from initial inoculum (~ 10</w:t>
      </w:r>
      <w:r w:rsidRPr="00D2674C">
        <w:rPr>
          <w:rFonts w:ascii="Verdana" w:eastAsia="Verdana" w:hAnsi="Verdana"/>
          <w:sz w:val="20"/>
          <w:szCs w:val="20"/>
          <w:vertAlign w:val="superscript"/>
        </w:rPr>
        <w:t>8</w:t>
      </w:r>
      <w:r w:rsidRPr="00D2674C">
        <w:rPr>
          <w:rFonts w:ascii="Verdana" w:eastAsia="Verdana" w:hAnsi="Verdana"/>
          <w:sz w:val="20"/>
          <w:szCs w:val="20"/>
        </w:rPr>
        <w:t xml:space="preserve"> cells mL</w:t>
      </w:r>
      <w:r w:rsidRPr="00D2674C">
        <w:rPr>
          <w:rFonts w:ascii="Verdana" w:eastAsia="Verdana" w:hAnsi="Verdana"/>
          <w:sz w:val="20"/>
          <w:szCs w:val="20"/>
          <w:vertAlign w:val="superscript"/>
        </w:rPr>
        <w:t>-1</w:t>
      </w:r>
      <w:r w:rsidRPr="00D2674C">
        <w:rPr>
          <w:rFonts w:ascii="Verdana" w:eastAsia="Verdana" w:hAnsi="Verdana"/>
          <w:sz w:val="20"/>
          <w:szCs w:val="20"/>
        </w:rPr>
        <w:t xml:space="preserve">, Supplemental Figure 2A) indicating a lag in attachment to the bead.  All strains increased in surface-attached viable cells following initial attachment (12 </w:t>
      </w:r>
      <w:proofErr w:type="spellStart"/>
      <w:r w:rsidRPr="00D2674C">
        <w:rPr>
          <w:rFonts w:ascii="Verdana" w:eastAsia="Verdana" w:hAnsi="Verdana"/>
          <w:sz w:val="20"/>
          <w:szCs w:val="20"/>
        </w:rPr>
        <w:t>hrs</w:t>
      </w:r>
      <w:proofErr w:type="spellEnd"/>
      <w:r w:rsidRPr="00D2674C">
        <w:rPr>
          <w:rFonts w:ascii="Verdana" w:eastAsia="Verdana" w:hAnsi="Verdana"/>
          <w:sz w:val="20"/>
          <w:szCs w:val="20"/>
        </w:rPr>
        <w:t xml:space="preserve">) to the glass bead surface. However, viable cell abundance of Y4I attached to a glass surface was significantly greater than all community members at 24 </w:t>
      </w:r>
      <w:proofErr w:type="spellStart"/>
      <w:r w:rsidRPr="00D2674C">
        <w:rPr>
          <w:rFonts w:ascii="Verdana" w:eastAsia="Verdana" w:hAnsi="Verdana"/>
          <w:sz w:val="20"/>
          <w:szCs w:val="20"/>
        </w:rPr>
        <w:t>hrs</w:t>
      </w:r>
      <w:proofErr w:type="spellEnd"/>
      <w:r w:rsidRPr="00D2674C">
        <w:rPr>
          <w:rFonts w:ascii="Verdana" w:eastAsia="Verdana" w:hAnsi="Verdana"/>
          <w:sz w:val="20"/>
          <w:szCs w:val="20"/>
        </w:rPr>
        <w:t xml:space="preserve"> (p &lt; 0.05). Viable cell densities of Y4I remain significantly higher than community members at 48 </w:t>
      </w:r>
      <w:proofErr w:type="spellStart"/>
      <w:r w:rsidRPr="00D2674C">
        <w:rPr>
          <w:rFonts w:ascii="Verdana" w:eastAsia="Verdana" w:hAnsi="Verdana"/>
          <w:sz w:val="20"/>
          <w:szCs w:val="20"/>
        </w:rPr>
        <w:t>hrs</w:t>
      </w:r>
      <w:proofErr w:type="spellEnd"/>
      <w:r w:rsidRPr="00D2674C">
        <w:rPr>
          <w:rFonts w:ascii="Verdana" w:eastAsia="Verdana" w:hAnsi="Verdana"/>
          <w:sz w:val="20"/>
          <w:szCs w:val="20"/>
        </w:rPr>
        <w:t xml:space="preserve"> (p &lt; 0.05) except for EE-36 (Figure 1). Attachment rate and viable cell abundance among Y4I variants were comparable (Supplemental Figure 2B). </w:t>
      </w:r>
    </w:p>
    <w:p w14:paraId="2024E9CF" w14:textId="7F034B8E" w:rsidR="00D2674C" w:rsidRPr="00D2674C" w:rsidRDefault="00D2674C" w:rsidP="00677C01">
      <w:pPr>
        <w:spacing w:before="240"/>
        <w:jc w:val="both"/>
        <w:rPr>
          <w:rFonts w:ascii="Verdana" w:eastAsia="Verdana" w:hAnsi="Verdana"/>
          <w:sz w:val="20"/>
          <w:szCs w:val="20"/>
        </w:rPr>
      </w:pPr>
      <w:r w:rsidRPr="00677C01">
        <w:rPr>
          <w:rFonts w:ascii="Verdana" w:eastAsia="Verdana" w:hAnsi="Verdana"/>
          <w:b/>
          <w:bCs/>
          <w:i/>
          <w:sz w:val="20"/>
          <w:szCs w:val="20"/>
        </w:rPr>
        <w:t>Secondary metabolites influence biofilm composition</w:t>
      </w:r>
      <w:r w:rsidR="002A6060" w:rsidRPr="00677C01">
        <w:rPr>
          <w:rFonts w:ascii="Verdana" w:eastAsia="Verdana" w:hAnsi="Verdana"/>
          <w:b/>
          <w:bCs/>
          <w:sz w:val="20"/>
          <w:szCs w:val="20"/>
        </w:rPr>
        <w:t>.</w:t>
      </w:r>
      <w:r w:rsidR="002A6060">
        <w:rPr>
          <w:rFonts w:ascii="Verdana" w:eastAsia="Verdana" w:hAnsi="Verdana"/>
          <w:sz w:val="20"/>
          <w:szCs w:val="20"/>
        </w:rPr>
        <w:t xml:space="preserve"> </w:t>
      </w:r>
      <w:r w:rsidRPr="00D2674C">
        <w:rPr>
          <w:rFonts w:ascii="Verdana" w:eastAsia="Verdana" w:hAnsi="Verdana"/>
          <w:sz w:val="20"/>
          <w:szCs w:val="20"/>
        </w:rPr>
        <w:t xml:space="preserve">We next assessed whether QS or antimicrobial production influenced microbial biofilm community structure (composition) and </w:t>
      </w:r>
      <w:r w:rsidRPr="00D2674C">
        <w:rPr>
          <w:rFonts w:ascii="Verdana" w:eastAsia="Verdana" w:hAnsi="Verdana"/>
          <w:sz w:val="20"/>
          <w:szCs w:val="20"/>
        </w:rPr>
        <w:lastRenderedPageBreak/>
        <w:t xml:space="preserve">dynamics (cooperation or competition) in a five-member synthetic Roseobacter community. Each synthetic community contained one of the following Y4I variants: wildtype, </w:t>
      </w:r>
      <w:proofErr w:type="spellStart"/>
      <w:proofErr w:type="gramStart"/>
      <w:r w:rsidRPr="00D2674C">
        <w:rPr>
          <w:rFonts w:ascii="Verdana" w:eastAsia="Verdana" w:hAnsi="Verdana"/>
          <w:i/>
          <w:sz w:val="20"/>
          <w:szCs w:val="20"/>
        </w:rPr>
        <w:t>pgaR</w:t>
      </w:r>
      <w:proofErr w:type="spellEnd"/>
      <w:r w:rsidRPr="00D2674C">
        <w:rPr>
          <w:rFonts w:ascii="Verdana" w:eastAsia="Verdana" w:hAnsi="Verdana"/>
          <w:sz w:val="20"/>
          <w:szCs w:val="20"/>
        </w:rPr>
        <w:t>::</w:t>
      </w:r>
      <w:proofErr w:type="gramEnd"/>
      <w:r w:rsidRPr="00D2674C">
        <w:rPr>
          <w:rFonts w:ascii="Verdana" w:eastAsia="Verdana" w:hAnsi="Verdana"/>
          <w:sz w:val="20"/>
          <w:szCs w:val="20"/>
        </w:rPr>
        <w:t>Tn5-Km</w:t>
      </w:r>
      <w:r w:rsidRPr="00D2674C">
        <w:rPr>
          <w:rFonts w:ascii="Verdana" w:eastAsia="Verdana" w:hAnsi="Verdana"/>
          <w:sz w:val="20"/>
          <w:szCs w:val="20"/>
          <w:vertAlign w:val="superscript"/>
        </w:rPr>
        <w:t>R</w:t>
      </w:r>
      <w:r w:rsidRPr="00D2674C">
        <w:rPr>
          <w:rFonts w:ascii="Verdana" w:eastAsia="Verdana" w:hAnsi="Verdana"/>
          <w:sz w:val="20"/>
          <w:szCs w:val="20"/>
        </w:rPr>
        <w:t xml:space="preserve">, </w:t>
      </w:r>
      <w:proofErr w:type="spellStart"/>
      <w:r w:rsidRPr="00D2674C">
        <w:rPr>
          <w:rFonts w:ascii="Verdana" w:eastAsia="Verdana" w:hAnsi="Verdana"/>
          <w:i/>
          <w:sz w:val="20"/>
          <w:szCs w:val="20"/>
        </w:rPr>
        <w:t>phaR</w:t>
      </w:r>
      <w:proofErr w:type="spellEnd"/>
      <w:r w:rsidRPr="00D2674C">
        <w:rPr>
          <w:rFonts w:ascii="Verdana" w:eastAsia="Verdana" w:hAnsi="Verdana"/>
          <w:sz w:val="20"/>
          <w:szCs w:val="20"/>
        </w:rPr>
        <w:t>::Tn5-Km</w:t>
      </w:r>
      <w:r w:rsidRPr="00D2674C">
        <w:rPr>
          <w:rFonts w:ascii="Verdana" w:eastAsia="Verdana" w:hAnsi="Verdana"/>
          <w:sz w:val="20"/>
          <w:szCs w:val="20"/>
          <w:vertAlign w:val="superscript"/>
        </w:rPr>
        <w:t>R</w:t>
      </w:r>
      <w:r w:rsidRPr="00D2674C">
        <w:rPr>
          <w:rFonts w:ascii="Verdana" w:eastAsia="Verdana" w:hAnsi="Verdana"/>
          <w:sz w:val="20"/>
          <w:szCs w:val="20"/>
        </w:rPr>
        <w:t xml:space="preserve">, </w:t>
      </w:r>
      <w:proofErr w:type="spellStart"/>
      <w:r w:rsidRPr="00D2674C">
        <w:rPr>
          <w:rFonts w:ascii="Verdana" w:eastAsia="Verdana" w:hAnsi="Verdana"/>
          <w:i/>
          <w:sz w:val="20"/>
          <w:szCs w:val="20"/>
        </w:rPr>
        <w:t>phaI</w:t>
      </w:r>
      <w:proofErr w:type="spellEnd"/>
      <w:r w:rsidRPr="00D2674C">
        <w:rPr>
          <w:rFonts w:ascii="Verdana" w:eastAsia="Verdana" w:hAnsi="Verdana"/>
          <w:sz w:val="20"/>
          <w:szCs w:val="20"/>
        </w:rPr>
        <w:t>::</w:t>
      </w:r>
      <w:proofErr w:type="spellStart"/>
      <w:r w:rsidRPr="00D2674C">
        <w:rPr>
          <w:rFonts w:ascii="Verdana" w:eastAsia="Verdana" w:hAnsi="Verdana"/>
          <w:sz w:val="20"/>
          <w:szCs w:val="20"/>
        </w:rPr>
        <w:t>pKNOCK</w:t>
      </w:r>
      <w:proofErr w:type="spellEnd"/>
      <w:r w:rsidRPr="00D2674C">
        <w:rPr>
          <w:rFonts w:ascii="Verdana" w:eastAsia="Verdana" w:hAnsi="Verdana"/>
          <w:sz w:val="20"/>
          <w:szCs w:val="20"/>
        </w:rPr>
        <w:t xml:space="preserve">, and </w:t>
      </w:r>
      <w:proofErr w:type="spellStart"/>
      <w:r w:rsidRPr="00D2674C">
        <w:rPr>
          <w:rFonts w:ascii="Verdana" w:eastAsia="Verdana" w:hAnsi="Verdana"/>
          <w:i/>
          <w:sz w:val="20"/>
          <w:szCs w:val="20"/>
        </w:rPr>
        <w:t>igiD</w:t>
      </w:r>
      <w:proofErr w:type="spellEnd"/>
      <w:r w:rsidRPr="00D2674C">
        <w:rPr>
          <w:rFonts w:ascii="Verdana" w:eastAsia="Verdana" w:hAnsi="Verdana"/>
          <w:sz w:val="20"/>
          <w:szCs w:val="20"/>
        </w:rPr>
        <w:t>::Tn5-Km</w:t>
      </w:r>
      <w:r w:rsidRPr="00D2674C">
        <w:rPr>
          <w:rFonts w:ascii="Verdana" w:eastAsia="Verdana" w:hAnsi="Verdana"/>
          <w:sz w:val="20"/>
          <w:szCs w:val="20"/>
          <w:vertAlign w:val="superscript"/>
        </w:rPr>
        <w:t>R</w:t>
      </w:r>
      <w:r w:rsidRPr="00D2674C">
        <w:rPr>
          <w:rFonts w:ascii="Verdana" w:eastAsia="Verdana" w:hAnsi="Verdana"/>
          <w:sz w:val="20"/>
          <w:szCs w:val="20"/>
        </w:rPr>
        <w:t xml:space="preserve">. Both </w:t>
      </w:r>
      <w:proofErr w:type="spellStart"/>
      <w:proofErr w:type="gramStart"/>
      <w:r w:rsidRPr="00D2674C">
        <w:rPr>
          <w:rFonts w:ascii="Verdana" w:eastAsia="Verdana" w:hAnsi="Verdana"/>
          <w:i/>
          <w:sz w:val="20"/>
          <w:szCs w:val="20"/>
        </w:rPr>
        <w:t>pgaR</w:t>
      </w:r>
      <w:proofErr w:type="spellEnd"/>
      <w:r w:rsidRPr="00D2674C">
        <w:rPr>
          <w:rFonts w:ascii="Verdana" w:eastAsia="Verdana" w:hAnsi="Verdana"/>
          <w:sz w:val="20"/>
          <w:szCs w:val="20"/>
        </w:rPr>
        <w:t>::</w:t>
      </w:r>
      <w:proofErr w:type="gramEnd"/>
      <w:r w:rsidRPr="00D2674C">
        <w:rPr>
          <w:rFonts w:ascii="Verdana" w:eastAsia="Verdana" w:hAnsi="Verdana"/>
          <w:sz w:val="20"/>
          <w:szCs w:val="20"/>
        </w:rPr>
        <w:t>Tn5-Km</w:t>
      </w:r>
      <w:r w:rsidRPr="00D2674C">
        <w:rPr>
          <w:rFonts w:ascii="Verdana" w:eastAsia="Verdana" w:hAnsi="Verdana"/>
          <w:sz w:val="20"/>
          <w:szCs w:val="20"/>
          <w:vertAlign w:val="superscript"/>
        </w:rPr>
        <w:t>R</w:t>
      </w:r>
      <w:r w:rsidRPr="00D2674C">
        <w:rPr>
          <w:rFonts w:ascii="Verdana" w:eastAsia="Verdana" w:hAnsi="Verdana"/>
          <w:sz w:val="20"/>
          <w:szCs w:val="20"/>
        </w:rPr>
        <w:t xml:space="preserve"> and </w:t>
      </w:r>
      <w:proofErr w:type="spellStart"/>
      <w:r w:rsidRPr="00D2674C">
        <w:rPr>
          <w:rFonts w:ascii="Verdana" w:eastAsia="Verdana" w:hAnsi="Verdana"/>
          <w:i/>
          <w:sz w:val="20"/>
          <w:szCs w:val="20"/>
        </w:rPr>
        <w:t>phaR</w:t>
      </w:r>
      <w:proofErr w:type="spellEnd"/>
      <w:r w:rsidRPr="00D2674C">
        <w:rPr>
          <w:rFonts w:ascii="Verdana" w:eastAsia="Verdana" w:hAnsi="Verdana"/>
          <w:sz w:val="20"/>
          <w:szCs w:val="20"/>
        </w:rPr>
        <w:t>::Tn5-Km</w:t>
      </w:r>
      <w:r w:rsidRPr="00D2674C">
        <w:rPr>
          <w:rFonts w:ascii="Verdana" w:eastAsia="Verdana" w:hAnsi="Verdana"/>
          <w:sz w:val="20"/>
          <w:szCs w:val="20"/>
          <w:vertAlign w:val="superscript"/>
        </w:rPr>
        <w:t>R</w:t>
      </w:r>
      <w:r w:rsidRPr="00D2674C">
        <w:rPr>
          <w:rFonts w:ascii="Verdana" w:eastAsia="Verdana" w:hAnsi="Verdana"/>
          <w:sz w:val="20"/>
          <w:szCs w:val="20"/>
        </w:rPr>
        <w:t xml:space="preserve"> are unable to sense their cognate AHLs, C8-HSL and 3OHC12:1-HSL respectively. Additionally, </w:t>
      </w:r>
      <w:proofErr w:type="spellStart"/>
      <w:proofErr w:type="gramStart"/>
      <w:r w:rsidRPr="00D2674C">
        <w:rPr>
          <w:rFonts w:ascii="Verdana" w:eastAsia="Verdana" w:hAnsi="Verdana"/>
          <w:i/>
          <w:sz w:val="20"/>
          <w:szCs w:val="20"/>
        </w:rPr>
        <w:t>pgaR</w:t>
      </w:r>
      <w:proofErr w:type="spellEnd"/>
      <w:r w:rsidRPr="00D2674C">
        <w:rPr>
          <w:rFonts w:ascii="Verdana" w:eastAsia="Verdana" w:hAnsi="Verdana"/>
          <w:sz w:val="20"/>
          <w:szCs w:val="20"/>
        </w:rPr>
        <w:t>::</w:t>
      </w:r>
      <w:proofErr w:type="gramEnd"/>
      <w:r w:rsidRPr="00D2674C">
        <w:rPr>
          <w:rFonts w:ascii="Verdana" w:eastAsia="Verdana" w:hAnsi="Verdana"/>
          <w:sz w:val="20"/>
          <w:szCs w:val="20"/>
        </w:rPr>
        <w:t>Tn5-Km</w:t>
      </w:r>
      <w:r w:rsidRPr="00D2674C">
        <w:rPr>
          <w:rFonts w:ascii="Verdana" w:eastAsia="Verdana" w:hAnsi="Verdana"/>
          <w:sz w:val="20"/>
          <w:szCs w:val="20"/>
          <w:vertAlign w:val="superscript"/>
        </w:rPr>
        <w:t>R</w:t>
      </w:r>
      <w:r w:rsidRPr="00D2674C">
        <w:rPr>
          <w:rFonts w:ascii="Verdana" w:eastAsia="Verdana" w:hAnsi="Verdana"/>
          <w:i/>
          <w:sz w:val="20"/>
          <w:szCs w:val="20"/>
        </w:rPr>
        <w:t xml:space="preserve"> </w:t>
      </w:r>
      <w:r w:rsidRPr="00D2674C">
        <w:rPr>
          <w:rFonts w:ascii="Verdana" w:eastAsia="Verdana" w:hAnsi="Verdana"/>
          <w:sz w:val="20"/>
          <w:szCs w:val="20"/>
        </w:rPr>
        <w:t xml:space="preserve">is unable to produce the blue pigmented antimicrobial, indigoidine, while the </w:t>
      </w:r>
      <w:proofErr w:type="spellStart"/>
      <w:r w:rsidRPr="00D2674C">
        <w:rPr>
          <w:rFonts w:ascii="Verdana" w:eastAsia="Verdana" w:hAnsi="Verdana"/>
          <w:i/>
          <w:sz w:val="20"/>
          <w:szCs w:val="20"/>
        </w:rPr>
        <w:t>phaR</w:t>
      </w:r>
      <w:proofErr w:type="spellEnd"/>
      <w:r w:rsidRPr="00D2674C">
        <w:rPr>
          <w:rFonts w:ascii="Verdana" w:eastAsia="Verdana" w:hAnsi="Verdana"/>
          <w:sz w:val="20"/>
          <w:szCs w:val="20"/>
        </w:rPr>
        <w:t>::Tn5-Km</w:t>
      </w:r>
      <w:r w:rsidRPr="00D2674C">
        <w:rPr>
          <w:rFonts w:ascii="Verdana" w:eastAsia="Verdana" w:hAnsi="Verdana"/>
          <w:sz w:val="20"/>
          <w:szCs w:val="20"/>
          <w:vertAlign w:val="superscript"/>
        </w:rPr>
        <w:t>R</w:t>
      </w:r>
      <w:r w:rsidRPr="00D2674C">
        <w:rPr>
          <w:rFonts w:ascii="Verdana" w:eastAsia="Verdana" w:hAnsi="Verdana"/>
          <w:sz w:val="20"/>
          <w:szCs w:val="20"/>
        </w:rPr>
        <w:t xml:space="preserve"> mutant expresses delayed and reduced amounts of indigoidine. To eliminate this leaky phenotype, we previously generated a mutant in the corresponding AHL synthase gene, </w:t>
      </w:r>
      <w:proofErr w:type="spellStart"/>
      <w:proofErr w:type="gramStart"/>
      <w:r w:rsidRPr="00D2674C">
        <w:rPr>
          <w:rFonts w:ascii="Verdana" w:eastAsia="Verdana" w:hAnsi="Verdana"/>
          <w:i/>
          <w:sz w:val="20"/>
          <w:szCs w:val="20"/>
        </w:rPr>
        <w:t>phaI</w:t>
      </w:r>
      <w:proofErr w:type="spellEnd"/>
      <w:r w:rsidRPr="00D2674C">
        <w:rPr>
          <w:rFonts w:ascii="Verdana" w:eastAsia="Verdana" w:hAnsi="Verdana"/>
          <w:sz w:val="20"/>
          <w:szCs w:val="20"/>
        </w:rPr>
        <w:t>::</w:t>
      </w:r>
      <w:proofErr w:type="spellStart"/>
      <w:proofErr w:type="gramEnd"/>
      <w:r w:rsidRPr="00D2674C">
        <w:rPr>
          <w:rFonts w:ascii="Verdana" w:eastAsia="Verdana" w:hAnsi="Verdana"/>
          <w:sz w:val="20"/>
          <w:szCs w:val="20"/>
        </w:rPr>
        <w:t>pKNOCK</w:t>
      </w:r>
      <w:proofErr w:type="spellEnd"/>
      <w:r w:rsidRPr="00D2674C">
        <w:rPr>
          <w:rFonts w:ascii="Verdana" w:eastAsia="Verdana" w:hAnsi="Verdana"/>
          <w:sz w:val="20"/>
          <w:szCs w:val="20"/>
        </w:rPr>
        <w:t xml:space="preserve">. This mutant is unable to produce 3OHC12:1-HSL, but transcriptional regulators </w:t>
      </w:r>
      <w:proofErr w:type="spellStart"/>
      <w:r w:rsidRPr="00D2674C">
        <w:rPr>
          <w:rFonts w:ascii="Verdana" w:eastAsia="Verdana" w:hAnsi="Verdana"/>
          <w:sz w:val="20"/>
          <w:szCs w:val="20"/>
        </w:rPr>
        <w:t>PhaR</w:t>
      </w:r>
      <w:proofErr w:type="spellEnd"/>
      <w:r w:rsidRPr="00D2674C">
        <w:rPr>
          <w:rFonts w:ascii="Verdana" w:eastAsia="Verdana" w:hAnsi="Verdana"/>
          <w:sz w:val="20"/>
          <w:szCs w:val="20"/>
        </w:rPr>
        <w:t xml:space="preserve"> and </w:t>
      </w:r>
      <w:proofErr w:type="spellStart"/>
      <w:r w:rsidRPr="00D2674C">
        <w:rPr>
          <w:rFonts w:ascii="Verdana" w:eastAsia="Verdana" w:hAnsi="Verdana"/>
          <w:sz w:val="20"/>
          <w:szCs w:val="20"/>
        </w:rPr>
        <w:t>PgaR</w:t>
      </w:r>
      <w:proofErr w:type="spellEnd"/>
      <w:r w:rsidRPr="00D2674C">
        <w:rPr>
          <w:rFonts w:ascii="Verdana" w:eastAsia="Verdana" w:hAnsi="Verdana"/>
          <w:sz w:val="20"/>
          <w:szCs w:val="20"/>
        </w:rPr>
        <w:t xml:space="preserve"> remain functional. Thus, </w:t>
      </w:r>
      <w:proofErr w:type="spellStart"/>
      <w:proofErr w:type="gramStart"/>
      <w:r w:rsidRPr="00D2674C">
        <w:rPr>
          <w:rFonts w:ascii="Verdana" w:eastAsia="Verdana" w:hAnsi="Verdana"/>
          <w:i/>
          <w:sz w:val="20"/>
          <w:szCs w:val="20"/>
        </w:rPr>
        <w:t>phaI</w:t>
      </w:r>
      <w:proofErr w:type="spellEnd"/>
      <w:r w:rsidRPr="00D2674C">
        <w:rPr>
          <w:rFonts w:ascii="Verdana" w:eastAsia="Verdana" w:hAnsi="Verdana"/>
          <w:sz w:val="20"/>
          <w:szCs w:val="20"/>
        </w:rPr>
        <w:t>::</w:t>
      </w:r>
      <w:proofErr w:type="spellStart"/>
      <w:proofErr w:type="gramEnd"/>
      <w:r w:rsidRPr="00D2674C">
        <w:rPr>
          <w:rFonts w:ascii="Verdana" w:eastAsia="Verdana" w:hAnsi="Verdana"/>
          <w:sz w:val="20"/>
          <w:szCs w:val="20"/>
        </w:rPr>
        <w:t>pKNOCK</w:t>
      </w:r>
      <w:proofErr w:type="spellEnd"/>
      <w:r w:rsidRPr="00D2674C">
        <w:rPr>
          <w:rFonts w:ascii="Verdana" w:eastAsia="Verdana" w:hAnsi="Verdana"/>
          <w:sz w:val="20"/>
          <w:szCs w:val="20"/>
        </w:rPr>
        <w:t xml:space="preserve"> has the ability to sense AHLs corresponding to the </w:t>
      </w:r>
      <w:proofErr w:type="spellStart"/>
      <w:r w:rsidRPr="00D2674C">
        <w:rPr>
          <w:rFonts w:ascii="Verdana" w:eastAsia="Verdana" w:hAnsi="Verdana"/>
          <w:i/>
          <w:sz w:val="20"/>
          <w:szCs w:val="20"/>
        </w:rPr>
        <w:t>phaRI</w:t>
      </w:r>
      <w:proofErr w:type="spellEnd"/>
      <w:r w:rsidRPr="00D2674C">
        <w:rPr>
          <w:rFonts w:ascii="Verdana" w:eastAsia="Verdana" w:hAnsi="Verdana"/>
          <w:i/>
          <w:sz w:val="20"/>
          <w:szCs w:val="20"/>
        </w:rPr>
        <w:t xml:space="preserve"> </w:t>
      </w:r>
      <w:r w:rsidRPr="00D2674C">
        <w:rPr>
          <w:rFonts w:ascii="Verdana" w:eastAsia="Verdana" w:hAnsi="Verdana"/>
          <w:sz w:val="20"/>
          <w:szCs w:val="20"/>
        </w:rPr>
        <w:t xml:space="preserve">and </w:t>
      </w:r>
      <w:proofErr w:type="spellStart"/>
      <w:r w:rsidRPr="00D2674C">
        <w:rPr>
          <w:rFonts w:ascii="Verdana" w:eastAsia="Verdana" w:hAnsi="Verdana"/>
          <w:i/>
          <w:sz w:val="20"/>
          <w:szCs w:val="20"/>
        </w:rPr>
        <w:t>pgaRI</w:t>
      </w:r>
      <w:proofErr w:type="spellEnd"/>
      <w:r w:rsidRPr="00D2674C">
        <w:rPr>
          <w:rFonts w:ascii="Verdana" w:eastAsia="Verdana" w:hAnsi="Verdana"/>
          <w:sz w:val="20"/>
          <w:szCs w:val="20"/>
        </w:rPr>
        <w:t xml:space="preserve"> QS systems. The indigoidine biosynthesis mutant, </w:t>
      </w:r>
      <w:proofErr w:type="spellStart"/>
      <w:proofErr w:type="gramStart"/>
      <w:r w:rsidRPr="00D2674C">
        <w:rPr>
          <w:rFonts w:ascii="Verdana" w:eastAsia="Verdana" w:hAnsi="Verdana"/>
          <w:i/>
          <w:sz w:val="20"/>
          <w:szCs w:val="20"/>
        </w:rPr>
        <w:t>igiD</w:t>
      </w:r>
      <w:proofErr w:type="spellEnd"/>
      <w:r w:rsidRPr="00D2674C">
        <w:rPr>
          <w:rFonts w:ascii="Verdana" w:eastAsia="Verdana" w:hAnsi="Verdana"/>
          <w:sz w:val="20"/>
          <w:szCs w:val="20"/>
        </w:rPr>
        <w:t>::</w:t>
      </w:r>
      <w:proofErr w:type="gramEnd"/>
      <w:r w:rsidRPr="00D2674C">
        <w:rPr>
          <w:rFonts w:ascii="Verdana" w:eastAsia="Verdana" w:hAnsi="Verdana"/>
          <w:sz w:val="20"/>
          <w:szCs w:val="20"/>
        </w:rPr>
        <w:t>Tn5-Km</w:t>
      </w:r>
      <w:r w:rsidRPr="00D2674C">
        <w:rPr>
          <w:rFonts w:ascii="Verdana" w:eastAsia="Verdana" w:hAnsi="Verdana"/>
          <w:sz w:val="20"/>
          <w:szCs w:val="20"/>
          <w:vertAlign w:val="superscript"/>
        </w:rPr>
        <w:t>R</w:t>
      </w:r>
      <w:r w:rsidRPr="00D2674C">
        <w:rPr>
          <w:rFonts w:ascii="Verdana" w:eastAsia="Verdana" w:hAnsi="Verdana"/>
          <w:sz w:val="20"/>
          <w:szCs w:val="20"/>
        </w:rPr>
        <w:t xml:space="preserve"> is unable to produce indigoidine but  expresses WT levels of both QS systems (Armes and Buchan 2021).  Due to the nature of these variants, we can assess the discrete and compounded impact of QS systems and antimicrobial production.</w:t>
      </w:r>
    </w:p>
    <w:p w14:paraId="432A7175" w14:textId="77777777" w:rsidR="00D2674C" w:rsidRPr="00D2674C" w:rsidRDefault="00D2674C" w:rsidP="00677C01">
      <w:pPr>
        <w:spacing w:before="240"/>
        <w:ind w:firstLine="720"/>
        <w:jc w:val="both"/>
        <w:rPr>
          <w:rFonts w:ascii="Verdana" w:eastAsia="Verdana" w:hAnsi="Verdana"/>
          <w:sz w:val="20"/>
          <w:szCs w:val="20"/>
        </w:rPr>
      </w:pPr>
      <w:r w:rsidRPr="00D2674C">
        <w:rPr>
          <w:rFonts w:ascii="Verdana" w:eastAsia="Verdana" w:hAnsi="Verdana"/>
          <w:sz w:val="20"/>
          <w:szCs w:val="20"/>
        </w:rPr>
        <w:t xml:space="preserve">Viable cellular abundances for each synthetic community were assessed and relative abundance of each community member over time was determined. Across all communities the relative abundance of each strain remained moderately stable.  However, community dynamics shifted over time due to the presence of Y4I variants within synthetic communities. For example, synthetic communities harboring Y4I and </w:t>
      </w:r>
      <w:proofErr w:type="spellStart"/>
      <w:proofErr w:type="gramStart"/>
      <w:r w:rsidRPr="00D2674C">
        <w:rPr>
          <w:rFonts w:ascii="Verdana" w:eastAsia="Verdana" w:hAnsi="Verdana"/>
          <w:i/>
          <w:sz w:val="20"/>
          <w:szCs w:val="20"/>
        </w:rPr>
        <w:t>phaR</w:t>
      </w:r>
      <w:proofErr w:type="spellEnd"/>
      <w:r w:rsidRPr="00D2674C">
        <w:rPr>
          <w:rFonts w:ascii="Verdana" w:eastAsia="Verdana" w:hAnsi="Verdana"/>
          <w:sz w:val="20"/>
          <w:szCs w:val="20"/>
        </w:rPr>
        <w:t>::</w:t>
      </w:r>
      <w:proofErr w:type="gramEnd"/>
      <w:r w:rsidRPr="00D2674C">
        <w:rPr>
          <w:rFonts w:ascii="Verdana" w:eastAsia="Verdana" w:hAnsi="Verdana"/>
          <w:sz w:val="20"/>
          <w:szCs w:val="20"/>
        </w:rPr>
        <w:t>Tn5-Km</w:t>
      </w:r>
      <w:r w:rsidRPr="00D2674C">
        <w:rPr>
          <w:rFonts w:ascii="Verdana" w:eastAsia="Verdana" w:hAnsi="Verdana"/>
          <w:sz w:val="20"/>
          <w:szCs w:val="20"/>
          <w:vertAlign w:val="superscript"/>
        </w:rPr>
        <w:t>R</w:t>
      </w:r>
      <w:r w:rsidRPr="00D2674C">
        <w:rPr>
          <w:rFonts w:ascii="Verdana" w:eastAsia="Verdana" w:hAnsi="Verdana"/>
          <w:sz w:val="20"/>
          <w:szCs w:val="20"/>
        </w:rPr>
        <w:t xml:space="preserve"> stabilized after 1 day, whereas communities containing</w:t>
      </w:r>
      <w:r w:rsidRPr="00D2674C">
        <w:rPr>
          <w:rFonts w:ascii="Verdana" w:eastAsia="Verdana" w:hAnsi="Verdana"/>
          <w:i/>
          <w:sz w:val="20"/>
          <w:szCs w:val="20"/>
        </w:rPr>
        <w:t xml:space="preserve"> </w:t>
      </w:r>
      <w:proofErr w:type="spellStart"/>
      <w:r w:rsidRPr="00D2674C">
        <w:rPr>
          <w:rFonts w:ascii="Verdana" w:eastAsia="Verdana" w:hAnsi="Verdana"/>
          <w:i/>
          <w:sz w:val="20"/>
          <w:szCs w:val="20"/>
        </w:rPr>
        <w:t>igiD</w:t>
      </w:r>
      <w:proofErr w:type="spellEnd"/>
      <w:r w:rsidRPr="00D2674C">
        <w:rPr>
          <w:rFonts w:ascii="Verdana" w:eastAsia="Verdana" w:hAnsi="Verdana"/>
          <w:sz w:val="20"/>
          <w:szCs w:val="20"/>
        </w:rPr>
        <w:t>::Tn5-Km</w:t>
      </w:r>
      <w:r w:rsidRPr="00D2674C">
        <w:rPr>
          <w:rFonts w:ascii="Verdana" w:eastAsia="Verdana" w:hAnsi="Verdana"/>
          <w:sz w:val="20"/>
          <w:szCs w:val="20"/>
          <w:vertAlign w:val="superscript"/>
        </w:rPr>
        <w:t>R</w:t>
      </w:r>
      <w:r w:rsidRPr="00D2674C">
        <w:rPr>
          <w:rFonts w:ascii="Verdana" w:eastAsia="Verdana" w:hAnsi="Verdana"/>
          <w:sz w:val="20"/>
          <w:szCs w:val="20"/>
        </w:rPr>
        <w:t xml:space="preserve"> decreased in viability on day 2. In contrast, communities possessing </w:t>
      </w:r>
      <w:proofErr w:type="spellStart"/>
      <w:proofErr w:type="gramStart"/>
      <w:r w:rsidRPr="00D2674C">
        <w:rPr>
          <w:rFonts w:ascii="Verdana" w:eastAsia="Verdana" w:hAnsi="Verdana"/>
          <w:i/>
          <w:sz w:val="20"/>
          <w:szCs w:val="20"/>
        </w:rPr>
        <w:t>pgaR</w:t>
      </w:r>
      <w:proofErr w:type="spellEnd"/>
      <w:r w:rsidRPr="00D2674C">
        <w:rPr>
          <w:rFonts w:ascii="Verdana" w:eastAsia="Verdana" w:hAnsi="Verdana"/>
          <w:sz w:val="20"/>
          <w:szCs w:val="20"/>
        </w:rPr>
        <w:t>::</w:t>
      </w:r>
      <w:proofErr w:type="gramEnd"/>
      <w:r w:rsidRPr="00D2674C">
        <w:rPr>
          <w:rFonts w:ascii="Verdana" w:eastAsia="Verdana" w:hAnsi="Verdana"/>
          <w:sz w:val="20"/>
          <w:szCs w:val="20"/>
        </w:rPr>
        <w:t>Tn5-Km</w:t>
      </w:r>
      <w:r w:rsidRPr="00D2674C">
        <w:rPr>
          <w:rFonts w:ascii="Verdana" w:eastAsia="Verdana" w:hAnsi="Verdana"/>
          <w:sz w:val="20"/>
          <w:szCs w:val="20"/>
          <w:vertAlign w:val="superscript"/>
        </w:rPr>
        <w:t>R</w:t>
      </w:r>
      <w:r w:rsidRPr="00D2674C">
        <w:rPr>
          <w:rFonts w:ascii="Verdana" w:eastAsia="Verdana" w:hAnsi="Verdana"/>
          <w:sz w:val="20"/>
          <w:szCs w:val="20"/>
        </w:rPr>
        <w:t xml:space="preserve"> continually increased in viability over time. Mixed communities including the </w:t>
      </w:r>
      <w:proofErr w:type="spellStart"/>
      <w:proofErr w:type="gramStart"/>
      <w:r w:rsidRPr="00D2674C">
        <w:rPr>
          <w:rFonts w:ascii="Verdana" w:eastAsia="Verdana" w:hAnsi="Verdana"/>
          <w:i/>
          <w:sz w:val="20"/>
          <w:szCs w:val="20"/>
        </w:rPr>
        <w:t>phaI</w:t>
      </w:r>
      <w:proofErr w:type="spellEnd"/>
      <w:r w:rsidRPr="00D2674C">
        <w:rPr>
          <w:rFonts w:ascii="Verdana" w:eastAsia="Verdana" w:hAnsi="Verdana"/>
          <w:sz w:val="20"/>
          <w:szCs w:val="20"/>
        </w:rPr>
        <w:t>::</w:t>
      </w:r>
      <w:proofErr w:type="spellStart"/>
      <w:proofErr w:type="gramEnd"/>
      <w:r w:rsidRPr="00D2674C">
        <w:rPr>
          <w:rFonts w:ascii="Verdana" w:eastAsia="Verdana" w:hAnsi="Verdana"/>
          <w:sz w:val="20"/>
          <w:szCs w:val="20"/>
        </w:rPr>
        <w:t>pKNOCK</w:t>
      </w:r>
      <w:proofErr w:type="spellEnd"/>
      <w:r w:rsidRPr="00D2674C">
        <w:rPr>
          <w:rFonts w:ascii="Verdana" w:eastAsia="Verdana" w:hAnsi="Verdana"/>
          <w:sz w:val="20"/>
          <w:szCs w:val="20"/>
        </w:rPr>
        <w:t xml:space="preserve"> mutant initially decreased in viability, but rebounded on day 3. Despite the modality of community dynamics within each synthetic community, biofilm communities within complex medium were characterized by an overwhelming dominance of Y4I abundance regardless of variant, comprising 57-89% of the community (Figure 2A). </w:t>
      </w:r>
    </w:p>
    <w:p w14:paraId="4E4F6560" w14:textId="77777777" w:rsidR="00D2674C" w:rsidRPr="00D2674C" w:rsidRDefault="00D2674C" w:rsidP="00677C01">
      <w:pPr>
        <w:spacing w:before="240"/>
        <w:ind w:firstLine="720"/>
        <w:jc w:val="both"/>
        <w:rPr>
          <w:rFonts w:ascii="Verdana" w:eastAsia="Verdana" w:hAnsi="Verdana"/>
          <w:sz w:val="20"/>
          <w:szCs w:val="20"/>
        </w:rPr>
      </w:pPr>
      <w:r w:rsidRPr="00D2674C">
        <w:rPr>
          <w:rFonts w:ascii="Verdana" w:eastAsia="Verdana" w:hAnsi="Verdana"/>
          <w:sz w:val="20"/>
          <w:szCs w:val="20"/>
        </w:rPr>
        <w:t xml:space="preserve">In effort to decrease the competitive advantage of Y4I, we provided a growth disadvantage using the phenolic compound, coumarate, as the sole carbon source; previous studies have shown that Y4I does not grow well in the presence of low concentrations of coumarate (Quigley, 2019). All Y4I variants displayed an initial decrease in viability in synthetic communities containing coumarate as a carbon source (Figure 2B). In fact, in the presence of coumarate, Y4I variants suffer a loss of viability compared to no carbon controls in liquid monocultures (Supplemental Figure 3) likely due to toxic waste build-up </w:t>
      </w:r>
      <w:proofErr w:type="gramStart"/>
      <w:r w:rsidRPr="00D2674C">
        <w:rPr>
          <w:rFonts w:ascii="Verdana" w:eastAsia="Verdana" w:hAnsi="Verdana"/>
          <w:sz w:val="20"/>
          <w:szCs w:val="20"/>
        </w:rPr>
        <w:t>as a result of</w:t>
      </w:r>
      <w:proofErr w:type="gramEnd"/>
      <w:r w:rsidRPr="00D2674C">
        <w:rPr>
          <w:rFonts w:ascii="Verdana" w:eastAsia="Verdana" w:hAnsi="Verdana"/>
          <w:sz w:val="20"/>
          <w:szCs w:val="20"/>
        </w:rPr>
        <w:t xml:space="preserve"> coumarate metabolism (Quigley et al., 2019). However, Y4I variants within synthetic community biofilms increased in the presence of coumarate as well as in no carbon controls (Supplemental Figure 4). Together, these results support the notion that biofilms confer a protective advantage against external factors (e.g., toxic waste, pH changes, </w:t>
      </w:r>
      <w:proofErr w:type="spellStart"/>
      <w:r w:rsidRPr="00D2674C">
        <w:rPr>
          <w:rFonts w:ascii="Verdana" w:eastAsia="Verdana" w:hAnsi="Verdana"/>
          <w:sz w:val="20"/>
          <w:szCs w:val="20"/>
        </w:rPr>
        <w:t>etc</w:t>
      </w:r>
      <w:proofErr w:type="spellEnd"/>
      <w:r w:rsidRPr="00D2674C">
        <w:rPr>
          <w:rFonts w:ascii="Verdana" w:eastAsia="Verdana" w:hAnsi="Verdana"/>
          <w:sz w:val="20"/>
          <w:szCs w:val="20"/>
        </w:rPr>
        <w:t>).</w:t>
      </w:r>
    </w:p>
    <w:p w14:paraId="56F105D7" w14:textId="77777777" w:rsidR="00D2674C" w:rsidRPr="00D2674C" w:rsidRDefault="00D2674C" w:rsidP="00677C01">
      <w:pPr>
        <w:spacing w:before="240"/>
        <w:jc w:val="both"/>
        <w:rPr>
          <w:rFonts w:ascii="Verdana" w:eastAsia="Verdana" w:hAnsi="Verdana"/>
          <w:sz w:val="20"/>
          <w:szCs w:val="20"/>
        </w:rPr>
      </w:pPr>
      <w:r w:rsidRPr="00D2674C">
        <w:rPr>
          <w:rFonts w:ascii="Verdana" w:eastAsia="Verdana" w:hAnsi="Verdana"/>
          <w:sz w:val="20"/>
          <w:szCs w:val="20"/>
        </w:rPr>
        <w:t xml:space="preserve">To determine whether the effects seen in complex media were due to interactions in the presence of QS and indigoidine mutants, we assessed community composition of synthetic communities in the presence of a defined medium containing coumarate. The mixed community containing the </w:t>
      </w:r>
      <w:proofErr w:type="spellStart"/>
      <w:proofErr w:type="gramStart"/>
      <w:r w:rsidRPr="00D2674C">
        <w:rPr>
          <w:rFonts w:ascii="Verdana" w:eastAsia="Verdana" w:hAnsi="Verdana"/>
          <w:i/>
          <w:sz w:val="20"/>
          <w:szCs w:val="20"/>
        </w:rPr>
        <w:t>igiD</w:t>
      </w:r>
      <w:proofErr w:type="spellEnd"/>
      <w:r w:rsidRPr="00D2674C">
        <w:rPr>
          <w:rFonts w:ascii="Verdana" w:eastAsia="Verdana" w:hAnsi="Verdana"/>
          <w:sz w:val="20"/>
          <w:szCs w:val="20"/>
        </w:rPr>
        <w:t>::</w:t>
      </w:r>
      <w:proofErr w:type="gramEnd"/>
      <w:r w:rsidRPr="00D2674C">
        <w:rPr>
          <w:rFonts w:ascii="Verdana" w:eastAsia="Verdana" w:hAnsi="Verdana"/>
          <w:sz w:val="20"/>
          <w:szCs w:val="20"/>
        </w:rPr>
        <w:t>Tn5-Km</w:t>
      </w:r>
      <w:r w:rsidRPr="00D2674C">
        <w:rPr>
          <w:rFonts w:ascii="Verdana" w:eastAsia="Verdana" w:hAnsi="Verdana"/>
          <w:sz w:val="20"/>
          <w:szCs w:val="20"/>
          <w:vertAlign w:val="superscript"/>
        </w:rPr>
        <w:t>R</w:t>
      </w:r>
      <w:r w:rsidRPr="00D2674C">
        <w:rPr>
          <w:rFonts w:ascii="Verdana" w:eastAsia="Verdana" w:hAnsi="Verdana"/>
          <w:i/>
          <w:sz w:val="20"/>
          <w:szCs w:val="20"/>
        </w:rPr>
        <w:t xml:space="preserve"> </w:t>
      </w:r>
      <w:r w:rsidRPr="00D2674C">
        <w:rPr>
          <w:rFonts w:ascii="Verdana" w:eastAsia="Verdana" w:hAnsi="Verdana"/>
          <w:sz w:val="20"/>
          <w:szCs w:val="20"/>
        </w:rPr>
        <w:t xml:space="preserve">mutant experienced a lag in relative abundance before regaining dominance. Despite this, all Y4I variants dominated the community by the end of the experiment. Similar to the trends observed in a complex medium, mixed communities harboring wildtype Y4I and the </w:t>
      </w:r>
      <w:proofErr w:type="spellStart"/>
      <w:proofErr w:type="gramStart"/>
      <w:r w:rsidRPr="00D2674C">
        <w:rPr>
          <w:rFonts w:ascii="Verdana" w:eastAsia="Verdana" w:hAnsi="Verdana"/>
          <w:i/>
          <w:sz w:val="20"/>
          <w:szCs w:val="20"/>
        </w:rPr>
        <w:t>phaR</w:t>
      </w:r>
      <w:proofErr w:type="spellEnd"/>
      <w:r w:rsidRPr="00D2674C">
        <w:rPr>
          <w:rFonts w:ascii="Verdana" w:eastAsia="Verdana" w:hAnsi="Verdana"/>
          <w:sz w:val="20"/>
          <w:szCs w:val="20"/>
        </w:rPr>
        <w:t>::</w:t>
      </w:r>
      <w:proofErr w:type="gramEnd"/>
      <w:r w:rsidRPr="00D2674C">
        <w:rPr>
          <w:rFonts w:ascii="Verdana" w:eastAsia="Verdana" w:hAnsi="Verdana"/>
          <w:sz w:val="20"/>
          <w:szCs w:val="20"/>
        </w:rPr>
        <w:t>Tn5-Km</w:t>
      </w:r>
      <w:r w:rsidRPr="00D2674C">
        <w:rPr>
          <w:rFonts w:ascii="Verdana" w:eastAsia="Verdana" w:hAnsi="Verdana"/>
          <w:sz w:val="20"/>
          <w:szCs w:val="20"/>
          <w:vertAlign w:val="superscript"/>
        </w:rPr>
        <w:t>R</w:t>
      </w:r>
      <w:r w:rsidRPr="00D2674C">
        <w:rPr>
          <w:rFonts w:ascii="Verdana" w:eastAsia="Verdana" w:hAnsi="Verdana"/>
          <w:sz w:val="20"/>
          <w:szCs w:val="20"/>
        </w:rPr>
        <w:t xml:space="preserve"> mutant stabilized on day 9, while the mixed community possessing the </w:t>
      </w:r>
      <w:proofErr w:type="spellStart"/>
      <w:r w:rsidRPr="00D2674C">
        <w:rPr>
          <w:rFonts w:ascii="Verdana" w:eastAsia="Verdana" w:hAnsi="Verdana"/>
          <w:i/>
          <w:sz w:val="20"/>
          <w:szCs w:val="20"/>
        </w:rPr>
        <w:t>pgaR</w:t>
      </w:r>
      <w:proofErr w:type="spellEnd"/>
      <w:r w:rsidRPr="00D2674C">
        <w:rPr>
          <w:rFonts w:ascii="Verdana" w:eastAsia="Verdana" w:hAnsi="Verdana"/>
          <w:sz w:val="20"/>
          <w:szCs w:val="20"/>
        </w:rPr>
        <w:t>::Tn5-Km</w:t>
      </w:r>
      <w:r w:rsidRPr="00D2674C">
        <w:rPr>
          <w:rFonts w:ascii="Verdana" w:eastAsia="Verdana" w:hAnsi="Verdana"/>
          <w:sz w:val="20"/>
          <w:szCs w:val="20"/>
          <w:vertAlign w:val="superscript"/>
        </w:rPr>
        <w:t>R</w:t>
      </w:r>
      <w:r w:rsidRPr="00D2674C">
        <w:rPr>
          <w:rFonts w:ascii="Verdana" w:eastAsia="Verdana" w:hAnsi="Verdana"/>
          <w:sz w:val="20"/>
          <w:szCs w:val="20"/>
        </w:rPr>
        <w:t xml:space="preserve"> mutant continued to increase in viability. At day 14, communities containing the </w:t>
      </w:r>
      <w:proofErr w:type="spellStart"/>
      <w:proofErr w:type="gramStart"/>
      <w:r w:rsidRPr="00D2674C">
        <w:rPr>
          <w:rFonts w:ascii="Verdana" w:eastAsia="Verdana" w:hAnsi="Verdana"/>
          <w:i/>
          <w:sz w:val="20"/>
          <w:szCs w:val="20"/>
        </w:rPr>
        <w:t>phaI</w:t>
      </w:r>
      <w:proofErr w:type="spellEnd"/>
      <w:r w:rsidRPr="00D2674C">
        <w:rPr>
          <w:rFonts w:ascii="Verdana" w:eastAsia="Verdana" w:hAnsi="Verdana"/>
          <w:sz w:val="20"/>
          <w:szCs w:val="20"/>
        </w:rPr>
        <w:t>::</w:t>
      </w:r>
      <w:proofErr w:type="spellStart"/>
      <w:proofErr w:type="gramEnd"/>
      <w:r w:rsidRPr="00D2674C">
        <w:rPr>
          <w:rFonts w:ascii="Verdana" w:eastAsia="Verdana" w:hAnsi="Verdana"/>
          <w:sz w:val="20"/>
          <w:szCs w:val="20"/>
        </w:rPr>
        <w:t>pKNOCK</w:t>
      </w:r>
      <w:proofErr w:type="spellEnd"/>
      <w:r w:rsidRPr="00D2674C">
        <w:rPr>
          <w:rFonts w:ascii="Verdana" w:eastAsia="Verdana" w:hAnsi="Verdana"/>
          <w:sz w:val="20"/>
          <w:szCs w:val="20"/>
        </w:rPr>
        <w:t xml:space="preserve"> mutant appeared to stabilize. From day 1 to day 14, the dominant community member in defined medium biofilms switched from SE45 (75-87% - day 1) to Y4I (61-87% - day14), regardless of Y4I variant included (Figure 2B). </w:t>
      </w:r>
    </w:p>
    <w:p w14:paraId="5065CEB7" w14:textId="21DC43DB" w:rsidR="00677C01" w:rsidRPr="00677C01" w:rsidRDefault="00D2674C" w:rsidP="00677C01">
      <w:pPr>
        <w:spacing w:before="240"/>
        <w:jc w:val="both"/>
        <w:rPr>
          <w:rFonts w:ascii="Verdana" w:eastAsia="Verdana" w:hAnsi="Verdana"/>
          <w:sz w:val="20"/>
          <w:szCs w:val="20"/>
          <w:highlight w:val="yellow"/>
        </w:rPr>
      </w:pPr>
      <w:r w:rsidRPr="00D2674C">
        <w:rPr>
          <w:rFonts w:ascii="Verdana" w:eastAsia="Verdana" w:hAnsi="Verdana"/>
          <w:sz w:val="20"/>
          <w:szCs w:val="20"/>
        </w:rPr>
        <w:lastRenderedPageBreak/>
        <w:t>To investigate the diversity and treatment effects on community structure, we performed beta diversity analysis, alpha diversity analysis, and PERMANOVA (Supplemental Tables 4-8). The community structures of each synthetic community from day 0 to day1 are dissimilar between growth substrates (</w:t>
      </w:r>
      <w:proofErr w:type="spellStart"/>
      <w:r w:rsidRPr="00D2674C">
        <w:rPr>
          <w:rFonts w:ascii="Verdana" w:eastAsia="Verdana" w:hAnsi="Verdana"/>
          <w:sz w:val="20"/>
          <w:szCs w:val="20"/>
        </w:rPr>
        <w:t>i</w:t>
      </w:r>
      <w:proofErr w:type="spellEnd"/>
      <w:r w:rsidRPr="00D2674C">
        <w:rPr>
          <w:rFonts w:ascii="Verdana" w:eastAsia="Verdana" w:hAnsi="Verdana"/>
          <w:sz w:val="20"/>
          <w:szCs w:val="20"/>
        </w:rPr>
        <w:t xml:space="preserve">. e., complex and defined media) but became more similar at later time points (Figure 3). Across all time points the community structures of each community were significantly different based on growth substrate (p&lt;0.05, Supplemental Tables 4-8). As expected, synthetic communities are not significantly different at day 0 (Figure 3, p&lt;0.05). Additionally, the structures of synthetic communities on day 1 were not only significantly different based on growth substrate but also which Y4I variant was included in the mixed community (p&lt;0.05, Supplemental Table 6). Each time point also was significantly different from other time points within and between media types (p&lt;0.05, Supplemental Tables 4-8). The alpha diversity of each synthetic community drops from day 0 to day 1, corresponding to a drop in evenness of the community structure (Supplemental Figure 5). </w:t>
      </w:r>
    </w:p>
    <w:p w14:paraId="6A6AB98A" w14:textId="20CD8308" w:rsidR="00D2674C" w:rsidRPr="00677C01" w:rsidRDefault="00D2674C" w:rsidP="00677C01">
      <w:pPr>
        <w:spacing w:before="240"/>
        <w:jc w:val="both"/>
        <w:rPr>
          <w:rFonts w:ascii="Verdana" w:eastAsia="Verdana" w:hAnsi="Verdana"/>
          <w:i/>
          <w:sz w:val="20"/>
          <w:szCs w:val="20"/>
        </w:rPr>
      </w:pPr>
      <w:r w:rsidRPr="00677C01">
        <w:rPr>
          <w:rFonts w:ascii="Verdana" w:eastAsia="Verdana" w:hAnsi="Verdana"/>
          <w:b/>
          <w:bCs/>
          <w:i/>
          <w:sz w:val="20"/>
          <w:szCs w:val="20"/>
        </w:rPr>
        <w:t>Secondary metabolites influence biofilm interactions.</w:t>
      </w:r>
      <w:r w:rsidR="00677C01">
        <w:rPr>
          <w:rFonts w:ascii="Verdana" w:eastAsia="Verdana" w:hAnsi="Verdana"/>
          <w:i/>
          <w:sz w:val="20"/>
          <w:szCs w:val="20"/>
        </w:rPr>
        <w:t xml:space="preserve"> </w:t>
      </w:r>
      <w:r w:rsidRPr="00D2674C">
        <w:rPr>
          <w:rFonts w:ascii="Verdana" w:eastAsia="Verdana" w:hAnsi="Verdana"/>
          <w:sz w:val="20"/>
          <w:szCs w:val="20"/>
        </w:rPr>
        <w:t xml:space="preserve">Because viable cell abundance alone cannot fully explain the interactions within mixed species communities, we assessed total biofilm production of our five-member synthetic communities across both growth substrates. To determine interactions within mixed communities, biofilm production was measured in both monocultures and synthetic communities using a beaded crystal violet assay where synthetic communities were compared to the best and worst biofilm producers in monoculture (Figures 4 and 5). </w:t>
      </w:r>
    </w:p>
    <w:p w14:paraId="1B5CC6CA" w14:textId="77777777" w:rsidR="00D2674C" w:rsidRPr="00D2674C" w:rsidRDefault="00D2674C" w:rsidP="00677C01">
      <w:pPr>
        <w:spacing w:before="240"/>
        <w:ind w:firstLine="720"/>
        <w:jc w:val="both"/>
        <w:rPr>
          <w:rFonts w:ascii="Verdana" w:eastAsia="Verdana" w:hAnsi="Verdana"/>
          <w:sz w:val="20"/>
          <w:szCs w:val="20"/>
        </w:rPr>
      </w:pPr>
      <w:r w:rsidRPr="00D2674C">
        <w:rPr>
          <w:rFonts w:ascii="Verdana" w:eastAsia="Verdana" w:hAnsi="Verdana"/>
          <w:sz w:val="20"/>
          <w:szCs w:val="20"/>
        </w:rPr>
        <w:t xml:space="preserve">When grown on a complex medium (20% YTSS), biofilm production was initially similar among mono- and mixed cultures, except for EE-36. In this medium, EE-36 produced the most biofilm during each sampling effort. The worst biofilm producer in monoculture switched from ISM on day 1 to Y4I on days 2 and 3 (Figure 4A-C). Biofilm production in synthetic communities increased over time, with mixed communities harboring the </w:t>
      </w:r>
      <w:proofErr w:type="spellStart"/>
      <w:proofErr w:type="gramStart"/>
      <w:r w:rsidRPr="00D2674C">
        <w:rPr>
          <w:rFonts w:ascii="Verdana" w:eastAsia="Verdana" w:hAnsi="Verdana"/>
          <w:i/>
          <w:sz w:val="20"/>
          <w:szCs w:val="20"/>
        </w:rPr>
        <w:t>phaI</w:t>
      </w:r>
      <w:proofErr w:type="spellEnd"/>
      <w:r w:rsidRPr="00D2674C">
        <w:rPr>
          <w:rFonts w:ascii="Verdana" w:eastAsia="Verdana" w:hAnsi="Verdana"/>
          <w:sz w:val="20"/>
          <w:szCs w:val="20"/>
        </w:rPr>
        <w:t>::</w:t>
      </w:r>
      <w:proofErr w:type="spellStart"/>
      <w:proofErr w:type="gramEnd"/>
      <w:r w:rsidRPr="00D2674C">
        <w:rPr>
          <w:rFonts w:ascii="Verdana" w:eastAsia="Verdana" w:hAnsi="Verdana"/>
          <w:sz w:val="20"/>
          <w:szCs w:val="20"/>
        </w:rPr>
        <w:t>pKNOCK</w:t>
      </w:r>
      <w:proofErr w:type="spellEnd"/>
      <w:r w:rsidRPr="00D2674C">
        <w:rPr>
          <w:rFonts w:ascii="Verdana" w:eastAsia="Verdana" w:hAnsi="Verdana"/>
          <w:sz w:val="20"/>
          <w:szCs w:val="20"/>
        </w:rPr>
        <w:t xml:space="preserve"> mutant showing the greatest increase in biofilm production over the course of the experiment (Figure 4B, C). Biofilm formation in all synthetic communities increased over time compared to their Y4I variant monoculture counterparts (Supplemental Figure 6), suggesting biofilm communities confer a growth advantage in the presence of readily available nutrients (e. g. 20% YTSS), even for social cheaters (</w:t>
      </w:r>
      <w:proofErr w:type="spellStart"/>
      <w:r w:rsidRPr="00D2674C">
        <w:rPr>
          <w:rFonts w:ascii="Verdana" w:eastAsia="Verdana" w:hAnsi="Verdana"/>
          <w:sz w:val="20"/>
          <w:szCs w:val="20"/>
        </w:rPr>
        <w:t>i</w:t>
      </w:r>
      <w:proofErr w:type="spellEnd"/>
      <w:r w:rsidRPr="00D2674C">
        <w:rPr>
          <w:rFonts w:ascii="Verdana" w:eastAsia="Verdana" w:hAnsi="Verdana"/>
          <w:sz w:val="20"/>
          <w:szCs w:val="20"/>
        </w:rPr>
        <w:t xml:space="preserve">. e. QS mutants).  </w:t>
      </w:r>
    </w:p>
    <w:p w14:paraId="5142FD30" w14:textId="77777777" w:rsidR="00D2674C" w:rsidRPr="00D2674C" w:rsidRDefault="00D2674C" w:rsidP="00677C01">
      <w:pPr>
        <w:spacing w:before="240"/>
        <w:ind w:firstLine="360"/>
        <w:jc w:val="both"/>
        <w:rPr>
          <w:rFonts w:ascii="Verdana" w:eastAsia="Verdana" w:hAnsi="Verdana"/>
          <w:i/>
          <w:sz w:val="20"/>
          <w:szCs w:val="20"/>
        </w:rPr>
      </w:pPr>
      <w:proofErr w:type="gramStart"/>
      <w:r w:rsidRPr="00D2674C">
        <w:rPr>
          <w:rFonts w:ascii="Verdana" w:eastAsia="Verdana" w:hAnsi="Verdana"/>
          <w:sz w:val="20"/>
          <w:szCs w:val="20"/>
        </w:rPr>
        <w:t>Similar to</w:t>
      </w:r>
      <w:proofErr w:type="gramEnd"/>
      <w:r w:rsidRPr="00D2674C">
        <w:rPr>
          <w:rFonts w:ascii="Verdana" w:eastAsia="Verdana" w:hAnsi="Verdana"/>
          <w:sz w:val="20"/>
          <w:szCs w:val="20"/>
        </w:rPr>
        <w:t xml:space="preserve"> biofilm production observed on day 1 in the presence of a complex medium (20% YTSS), biofilm production in all mono- and mixed cultures were comparable with the exception of E-37 in a defined medium containing a recalcitrant carbon source (coumarate). Initially, E-37 produced the worst biofilm in monoculture (Figure 5A). However, the worst biofilm producer switched between ISM and Y4I variants (wildtype and </w:t>
      </w:r>
      <w:proofErr w:type="spellStart"/>
      <w:proofErr w:type="gramStart"/>
      <w:r w:rsidRPr="00D2674C">
        <w:rPr>
          <w:rFonts w:ascii="Verdana" w:eastAsia="Verdana" w:hAnsi="Verdana"/>
          <w:i/>
          <w:sz w:val="20"/>
          <w:szCs w:val="20"/>
        </w:rPr>
        <w:t>phaR</w:t>
      </w:r>
      <w:proofErr w:type="spellEnd"/>
      <w:r w:rsidRPr="00D2674C">
        <w:rPr>
          <w:rFonts w:ascii="Verdana" w:eastAsia="Verdana" w:hAnsi="Verdana"/>
          <w:sz w:val="20"/>
          <w:szCs w:val="20"/>
        </w:rPr>
        <w:t>::</w:t>
      </w:r>
      <w:proofErr w:type="gramEnd"/>
      <w:r w:rsidRPr="00D2674C">
        <w:rPr>
          <w:rFonts w:ascii="Verdana" w:eastAsia="Verdana" w:hAnsi="Verdana"/>
          <w:sz w:val="20"/>
          <w:szCs w:val="20"/>
        </w:rPr>
        <w:t>Tn5-Km</w:t>
      </w:r>
      <w:r w:rsidRPr="00D2674C">
        <w:rPr>
          <w:rFonts w:ascii="Verdana" w:eastAsia="Verdana" w:hAnsi="Verdana"/>
          <w:sz w:val="20"/>
          <w:szCs w:val="20"/>
          <w:vertAlign w:val="superscript"/>
        </w:rPr>
        <w:t>R</w:t>
      </w:r>
      <w:r w:rsidRPr="00D2674C">
        <w:rPr>
          <w:rFonts w:ascii="Verdana" w:eastAsia="Verdana" w:hAnsi="Verdana"/>
          <w:sz w:val="20"/>
          <w:szCs w:val="20"/>
        </w:rPr>
        <w:t xml:space="preserve">) at later time points (Figure 5B-D). Y4I variants produced the most and least biofilm throughout this experiment.  On day 1 and day 4 wildtype produced the most biofilm and </w:t>
      </w:r>
      <w:proofErr w:type="spellStart"/>
      <w:proofErr w:type="gramStart"/>
      <w:r w:rsidRPr="00D2674C">
        <w:rPr>
          <w:rFonts w:ascii="Verdana" w:eastAsia="Verdana" w:hAnsi="Verdana"/>
          <w:i/>
          <w:sz w:val="20"/>
          <w:szCs w:val="20"/>
        </w:rPr>
        <w:t>phaI</w:t>
      </w:r>
      <w:proofErr w:type="spellEnd"/>
      <w:r w:rsidRPr="00D2674C">
        <w:rPr>
          <w:rFonts w:ascii="Verdana" w:eastAsia="Verdana" w:hAnsi="Verdana"/>
          <w:sz w:val="20"/>
          <w:szCs w:val="20"/>
        </w:rPr>
        <w:t>::</w:t>
      </w:r>
      <w:proofErr w:type="spellStart"/>
      <w:proofErr w:type="gramEnd"/>
      <w:r w:rsidRPr="00D2674C">
        <w:rPr>
          <w:rFonts w:ascii="Verdana" w:eastAsia="Verdana" w:hAnsi="Verdana"/>
          <w:sz w:val="20"/>
          <w:szCs w:val="20"/>
        </w:rPr>
        <w:t>pKNOCK</w:t>
      </w:r>
      <w:proofErr w:type="spellEnd"/>
      <w:r w:rsidRPr="00D2674C">
        <w:rPr>
          <w:rFonts w:ascii="Verdana" w:eastAsia="Verdana" w:hAnsi="Verdana"/>
          <w:sz w:val="20"/>
          <w:szCs w:val="20"/>
        </w:rPr>
        <w:t xml:space="preserve"> produced the most biofilm on day 14 (Figure 5A, C, and D). On day 9 and day 14 </w:t>
      </w:r>
      <w:proofErr w:type="spellStart"/>
      <w:proofErr w:type="gramStart"/>
      <w:r w:rsidRPr="00D2674C">
        <w:rPr>
          <w:rFonts w:ascii="Verdana" w:eastAsia="Verdana" w:hAnsi="Verdana"/>
          <w:i/>
          <w:sz w:val="20"/>
          <w:szCs w:val="20"/>
        </w:rPr>
        <w:t>phaR</w:t>
      </w:r>
      <w:proofErr w:type="spellEnd"/>
      <w:r w:rsidRPr="00D2674C">
        <w:rPr>
          <w:rFonts w:ascii="Verdana" w:eastAsia="Verdana" w:hAnsi="Verdana"/>
          <w:sz w:val="20"/>
          <w:szCs w:val="20"/>
        </w:rPr>
        <w:t>::</w:t>
      </w:r>
      <w:proofErr w:type="gramEnd"/>
      <w:r w:rsidRPr="00D2674C">
        <w:rPr>
          <w:rFonts w:ascii="Verdana" w:eastAsia="Verdana" w:hAnsi="Verdana"/>
          <w:sz w:val="20"/>
          <w:szCs w:val="20"/>
        </w:rPr>
        <w:t>Tn5-Km</w:t>
      </w:r>
      <w:r w:rsidRPr="00D2674C">
        <w:rPr>
          <w:rFonts w:ascii="Verdana" w:eastAsia="Verdana" w:hAnsi="Verdana"/>
          <w:sz w:val="20"/>
          <w:szCs w:val="20"/>
          <w:vertAlign w:val="superscript"/>
        </w:rPr>
        <w:t>R</w:t>
      </w:r>
      <w:r w:rsidRPr="00D2674C">
        <w:rPr>
          <w:rFonts w:ascii="Verdana" w:eastAsia="Verdana" w:hAnsi="Verdana"/>
          <w:sz w:val="20"/>
          <w:szCs w:val="20"/>
        </w:rPr>
        <w:t xml:space="preserve"> and Y4I produced the worst biofilms, respectively (Figure 5C, D). Synthetic communities harboring the </w:t>
      </w:r>
      <w:proofErr w:type="spellStart"/>
      <w:proofErr w:type="gramStart"/>
      <w:r w:rsidRPr="00D2674C">
        <w:rPr>
          <w:rFonts w:ascii="Verdana" w:eastAsia="Verdana" w:hAnsi="Verdana"/>
          <w:i/>
          <w:sz w:val="20"/>
          <w:szCs w:val="20"/>
        </w:rPr>
        <w:t>pgaR</w:t>
      </w:r>
      <w:proofErr w:type="spellEnd"/>
      <w:r w:rsidRPr="00D2674C">
        <w:rPr>
          <w:rFonts w:ascii="Verdana" w:eastAsia="Verdana" w:hAnsi="Verdana"/>
          <w:sz w:val="20"/>
          <w:szCs w:val="20"/>
        </w:rPr>
        <w:t>::</w:t>
      </w:r>
      <w:proofErr w:type="gramEnd"/>
      <w:r w:rsidRPr="00D2674C">
        <w:rPr>
          <w:rFonts w:ascii="Verdana" w:eastAsia="Verdana" w:hAnsi="Verdana"/>
          <w:sz w:val="20"/>
          <w:szCs w:val="20"/>
        </w:rPr>
        <w:t>Tn5-Km</w:t>
      </w:r>
      <w:r w:rsidRPr="00D2674C">
        <w:rPr>
          <w:rFonts w:ascii="Verdana" w:eastAsia="Verdana" w:hAnsi="Verdana"/>
          <w:sz w:val="20"/>
          <w:szCs w:val="20"/>
          <w:vertAlign w:val="superscript"/>
        </w:rPr>
        <w:t>R</w:t>
      </w:r>
      <w:r w:rsidRPr="00D2674C">
        <w:rPr>
          <w:rFonts w:ascii="Verdana" w:eastAsia="Verdana" w:hAnsi="Verdana"/>
          <w:sz w:val="20"/>
          <w:szCs w:val="20"/>
        </w:rPr>
        <w:t xml:space="preserve"> mutant produced nearly 3% more biofilm than the best biofilm producer in monoculture on day 4, whereas communities containing the </w:t>
      </w:r>
      <w:proofErr w:type="spellStart"/>
      <w:r w:rsidRPr="00D2674C">
        <w:rPr>
          <w:rFonts w:ascii="Verdana" w:eastAsia="Verdana" w:hAnsi="Verdana"/>
          <w:i/>
          <w:sz w:val="20"/>
          <w:szCs w:val="20"/>
        </w:rPr>
        <w:t>igiD</w:t>
      </w:r>
      <w:proofErr w:type="spellEnd"/>
      <w:r w:rsidRPr="00D2674C">
        <w:rPr>
          <w:rFonts w:ascii="Verdana" w:eastAsia="Verdana" w:hAnsi="Verdana"/>
          <w:sz w:val="20"/>
          <w:szCs w:val="20"/>
        </w:rPr>
        <w:t>::Tn5-Km</w:t>
      </w:r>
      <w:r w:rsidRPr="00D2674C">
        <w:rPr>
          <w:rFonts w:ascii="Verdana" w:eastAsia="Verdana" w:hAnsi="Verdana"/>
          <w:sz w:val="20"/>
          <w:szCs w:val="20"/>
          <w:vertAlign w:val="superscript"/>
        </w:rPr>
        <w:t>R</w:t>
      </w:r>
      <w:r w:rsidRPr="00D2674C">
        <w:rPr>
          <w:rFonts w:ascii="Verdana" w:eastAsia="Verdana" w:hAnsi="Verdana"/>
          <w:sz w:val="20"/>
          <w:szCs w:val="20"/>
        </w:rPr>
        <w:t xml:space="preserve"> mutant produced almost 5% less biofilm than the worst biofilm former in monoculture on day14 (Figure 5B, D). Synthetic communities harboring Y4I variants produced similar amounts of biofilm compared to their monoculture counterparts, with the following exceptions: at day 4 synthetic communities containing the </w:t>
      </w:r>
      <w:proofErr w:type="spellStart"/>
      <w:proofErr w:type="gramStart"/>
      <w:r w:rsidRPr="00D2674C">
        <w:rPr>
          <w:rFonts w:ascii="Verdana" w:eastAsia="Verdana" w:hAnsi="Verdana"/>
          <w:i/>
          <w:sz w:val="20"/>
          <w:szCs w:val="20"/>
        </w:rPr>
        <w:t>pgaR</w:t>
      </w:r>
      <w:proofErr w:type="spellEnd"/>
      <w:r w:rsidRPr="00D2674C">
        <w:rPr>
          <w:rFonts w:ascii="Verdana" w:eastAsia="Verdana" w:hAnsi="Verdana"/>
          <w:sz w:val="20"/>
          <w:szCs w:val="20"/>
        </w:rPr>
        <w:t>::</w:t>
      </w:r>
      <w:proofErr w:type="gramEnd"/>
      <w:r w:rsidRPr="00D2674C">
        <w:rPr>
          <w:rFonts w:ascii="Verdana" w:eastAsia="Verdana" w:hAnsi="Verdana"/>
          <w:sz w:val="20"/>
          <w:szCs w:val="20"/>
        </w:rPr>
        <w:t>Tn5-Km</w:t>
      </w:r>
      <w:r w:rsidRPr="00D2674C">
        <w:rPr>
          <w:rFonts w:ascii="Verdana" w:eastAsia="Verdana" w:hAnsi="Verdana"/>
          <w:sz w:val="20"/>
          <w:szCs w:val="20"/>
          <w:vertAlign w:val="superscript"/>
        </w:rPr>
        <w:t>R</w:t>
      </w:r>
      <w:r w:rsidRPr="00D2674C">
        <w:rPr>
          <w:rFonts w:ascii="Verdana" w:eastAsia="Verdana" w:hAnsi="Verdana"/>
          <w:sz w:val="20"/>
          <w:szCs w:val="20"/>
        </w:rPr>
        <w:t xml:space="preserve"> mutant had significantly (p&lt;0.05) more biofilm production compared to its monoculture counterpart (Figure 5B). Conversely, the synthetic community including the </w:t>
      </w:r>
      <w:proofErr w:type="spellStart"/>
      <w:proofErr w:type="gramStart"/>
      <w:r w:rsidRPr="00D2674C">
        <w:rPr>
          <w:rFonts w:ascii="Verdana" w:eastAsia="Verdana" w:hAnsi="Verdana"/>
          <w:i/>
          <w:sz w:val="20"/>
          <w:szCs w:val="20"/>
        </w:rPr>
        <w:t>igiD</w:t>
      </w:r>
      <w:proofErr w:type="spellEnd"/>
      <w:r w:rsidRPr="00D2674C">
        <w:rPr>
          <w:rFonts w:ascii="Verdana" w:eastAsia="Verdana" w:hAnsi="Verdana"/>
          <w:sz w:val="20"/>
          <w:szCs w:val="20"/>
        </w:rPr>
        <w:t>::</w:t>
      </w:r>
      <w:proofErr w:type="gramEnd"/>
      <w:r w:rsidRPr="00D2674C">
        <w:rPr>
          <w:rFonts w:ascii="Verdana" w:eastAsia="Verdana" w:hAnsi="Verdana"/>
          <w:sz w:val="20"/>
          <w:szCs w:val="20"/>
        </w:rPr>
        <w:t>Tn5-Km</w:t>
      </w:r>
      <w:r w:rsidRPr="00D2674C">
        <w:rPr>
          <w:rFonts w:ascii="Verdana" w:eastAsia="Verdana" w:hAnsi="Verdana"/>
          <w:sz w:val="20"/>
          <w:szCs w:val="20"/>
          <w:vertAlign w:val="superscript"/>
        </w:rPr>
        <w:t xml:space="preserve">R </w:t>
      </w:r>
      <w:r w:rsidRPr="00D2674C">
        <w:rPr>
          <w:rFonts w:ascii="Verdana" w:eastAsia="Verdana" w:hAnsi="Verdana"/>
          <w:sz w:val="20"/>
          <w:szCs w:val="20"/>
        </w:rPr>
        <w:t xml:space="preserve">mutant showed a decrease in biofilm formation compared to its monoculture counterpart at day 14 (Supplemental Figure 7). In general, synthetic communities demonstrated a similar modality in biofilm production compared to their monoculture counterparts, whether that was an </w:t>
      </w:r>
      <w:r w:rsidRPr="00D2674C">
        <w:rPr>
          <w:rFonts w:ascii="Verdana" w:eastAsia="Verdana" w:hAnsi="Verdana"/>
          <w:sz w:val="20"/>
          <w:szCs w:val="20"/>
        </w:rPr>
        <w:lastRenderedPageBreak/>
        <w:t xml:space="preserve">increase in biofilm production over time or variations of cyclic increases and decreases in biofilm formation indicative of biofilm dispersion patterns (Rumbaugh 2020).  </w:t>
      </w:r>
    </w:p>
    <w:p w14:paraId="376A8563" w14:textId="3AD88F0C" w:rsidR="00236E6D" w:rsidRPr="00C51113" w:rsidRDefault="00236E6D" w:rsidP="00677C01">
      <w:pPr>
        <w:pStyle w:val="Caption"/>
        <w:spacing w:before="240"/>
        <w:jc w:val="both"/>
        <w:rPr>
          <w:rFonts w:ascii="Verdana" w:hAnsi="Verdana" w:cs="Times New Roman"/>
          <w:sz w:val="18"/>
          <w:szCs w:val="18"/>
        </w:rPr>
      </w:pPr>
    </w:p>
    <w:p w14:paraId="70F0DD0D" w14:textId="74E0A9D8" w:rsidR="004C2071" w:rsidRPr="007C4A80" w:rsidRDefault="0092091F" w:rsidP="007C4A80">
      <w:pPr>
        <w:pStyle w:val="Heading2"/>
        <w:numPr>
          <w:ilvl w:val="0"/>
          <w:numId w:val="8"/>
        </w:numPr>
        <w:jc w:val="left"/>
        <w:rPr>
          <w:rFonts w:ascii="Verdana" w:hAnsi="Verdana" w:cs="Times New Roman"/>
          <w:sz w:val="24"/>
          <w:szCs w:val="24"/>
        </w:rPr>
      </w:pPr>
      <w:bookmarkStart w:id="47" w:name="_Toc83382607"/>
      <w:r w:rsidRPr="00110970">
        <w:rPr>
          <w:rFonts w:ascii="Verdana" w:hAnsi="Verdana" w:cs="Times New Roman"/>
          <w:sz w:val="24"/>
          <w:szCs w:val="24"/>
        </w:rPr>
        <w:t>Discussion</w:t>
      </w:r>
      <w:bookmarkEnd w:id="47"/>
    </w:p>
    <w:p w14:paraId="2D7E120B" w14:textId="77777777" w:rsidR="007C4A80" w:rsidRPr="007C4A80" w:rsidRDefault="007C4A80" w:rsidP="007C4A80">
      <w:pPr>
        <w:spacing w:before="240" w:after="240"/>
        <w:ind w:firstLine="720"/>
        <w:jc w:val="both"/>
        <w:rPr>
          <w:rFonts w:ascii="Verdana" w:eastAsia="Verdana" w:hAnsi="Verdana" w:cs="Verdana"/>
          <w:sz w:val="20"/>
          <w:szCs w:val="20"/>
        </w:rPr>
      </w:pPr>
      <w:r w:rsidRPr="007C4A80">
        <w:rPr>
          <w:rFonts w:ascii="Verdana" w:eastAsia="Verdana" w:hAnsi="Verdana" w:cs="Verdana"/>
          <w:sz w:val="20"/>
          <w:szCs w:val="20"/>
        </w:rPr>
        <w:t xml:space="preserve">Here we assessed the effect of secondary metabolite production and growth substrate on community dynamics and composition. Community cooperation is most evident within mixed communities harboring </w:t>
      </w:r>
      <w:proofErr w:type="spellStart"/>
      <w:proofErr w:type="gramStart"/>
      <w:r w:rsidRPr="007C4A80">
        <w:rPr>
          <w:rFonts w:ascii="Verdana" w:eastAsia="Verdana" w:hAnsi="Verdana" w:cs="Verdana"/>
          <w:i/>
          <w:sz w:val="20"/>
          <w:szCs w:val="20"/>
        </w:rPr>
        <w:t>pgaR</w:t>
      </w:r>
      <w:proofErr w:type="spellEnd"/>
      <w:r w:rsidRPr="007C4A80">
        <w:rPr>
          <w:rFonts w:ascii="Verdana" w:eastAsia="Verdana" w:hAnsi="Verdana" w:cs="Verdana"/>
          <w:sz w:val="20"/>
          <w:szCs w:val="20"/>
        </w:rPr>
        <w:t>::</w:t>
      </w:r>
      <w:proofErr w:type="gramEnd"/>
      <w:r w:rsidRPr="007C4A80">
        <w:rPr>
          <w:rFonts w:ascii="Verdana" w:eastAsia="Verdana" w:hAnsi="Verdana" w:cs="Verdana"/>
          <w:sz w:val="20"/>
          <w:szCs w:val="20"/>
        </w:rPr>
        <w:t xml:space="preserve">TN5-KmR  as both biofilm production and viable cells continue to increase with time in the presence of both growth substrates (Figures 2, 4, and 5). The mutant variant in this synthetic community is impaired in both QS pathways and is unable to produce indigoidine (Cude 2015, Armes and Buchan, 2021). Thus, a community containing a Y4I mutant impaired in both QS pathways and indigoidine production contributes to cooperation among other community members. This finding is supported by synthetic soil communities where the biofilms evolve to decrease negative interactions and increase co-metabolism between biofilm members (Ren et al., 2015), but in this case rather than evolving, genetic manipulation occurred. Further evidence of community cooperation is demonstrated by communities containing the </w:t>
      </w:r>
      <w:proofErr w:type="spellStart"/>
      <w:proofErr w:type="gramStart"/>
      <w:r w:rsidRPr="007C4A80">
        <w:rPr>
          <w:rFonts w:ascii="Verdana" w:eastAsia="Verdana" w:hAnsi="Verdana" w:cs="Verdana"/>
          <w:i/>
          <w:sz w:val="20"/>
          <w:szCs w:val="20"/>
        </w:rPr>
        <w:t>phaI</w:t>
      </w:r>
      <w:proofErr w:type="spellEnd"/>
      <w:r w:rsidRPr="007C4A80">
        <w:rPr>
          <w:rFonts w:ascii="Verdana" w:eastAsia="Verdana" w:hAnsi="Verdana" w:cs="Verdana"/>
          <w:sz w:val="20"/>
          <w:szCs w:val="20"/>
        </w:rPr>
        <w:t>::</w:t>
      </w:r>
      <w:proofErr w:type="spellStart"/>
      <w:proofErr w:type="gramEnd"/>
      <w:r w:rsidRPr="007C4A80">
        <w:rPr>
          <w:rFonts w:ascii="Verdana" w:eastAsia="Verdana" w:hAnsi="Verdana" w:cs="Verdana"/>
          <w:sz w:val="20"/>
          <w:szCs w:val="20"/>
        </w:rPr>
        <w:t>pKNOCK</w:t>
      </w:r>
      <w:proofErr w:type="spellEnd"/>
      <w:r w:rsidRPr="007C4A80">
        <w:rPr>
          <w:rFonts w:ascii="Verdana" w:eastAsia="Verdana" w:hAnsi="Verdana" w:cs="Verdana"/>
          <w:sz w:val="20"/>
          <w:szCs w:val="20"/>
        </w:rPr>
        <w:t xml:space="preserve"> mutant. Cooperation within this synthetic community is exhibited by continual increase in biofilm formation and the stability of community member abundance over time (Figures 2B, 5).  The </w:t>
      </w:r>
      <w:proofErr w:type="spellStart"/>
      <w:proofErr w:type="gramStart"/>
      <w:r w:rsidRPr="007C4A80">
        <w:rPr>
          <w:rFonts w:ascii="Verdana" w:eastAsia="Verdana" w:hAnsi="Verdana" w:cs="Verdana"/>
          <w:i/>
          <w:sz w:val="20"/>
          <w:szCs w:val="20"/>
        </w:rPr>
        <w:t>phaI</w:t>
      </w:r>
      <w:proofErr w:type="spellEnd"/>
      <w:r w:rsidRPr="007C4A80">
        <w:rPr>
          <w:rFonts w:ascii="Verdana" w:eastAsia="Verdana" w:hAnsi="Verdana" w:cs="Verdana"/>
          <w:sz w:val="20"/>
          <w:szCs w:val="20"/>
        </w:rPr>
        <w:t>::</w:t>
      </w:r>
      <w:proofErr w:type="spellStart"/>
      <w:proofErr w:type="gramEnd"/>
      <w:r w:rsidRPr="007C4A80">
        <w:rPr>
          <w:rFonts w:ascii="Verdana" w:eastAsia="Verdana" w:hAnsi="Verdana" w:cs="Verdana"/>
          <w:sz w:val="20"/>
          <w:szCs w:val="20"/>
        </w:rPr>
        <w:t>pKNOCK</w:t>
      </w:r>
      <w:proofErr w:type="spellEnd"/>
      <w:r w:rsidRPr="007C4A80">
        <w:rPr>
          <w:rFonts w:ascii="Verdana" w:eastAsia="Verdana" w:hAnsi="Verdana" w:cs="Verdana"/>
          <w:sz w:val="20"/>
          <w:szCs w:val="20"/>
        </w:rPr>
        <w:t xml:space="preserve"> mutant is also impaired in indigoidine production as well as AHL synthesis for its cognate AHL (Armes and Buchan 2021). Inclusion of this mutant in synthetic communities allowed us to explore the possibility of QS </w:t>
      </w:r>
      <w:proofErr w:type="gramStart"/>
      <w:r w:rsidRPr="007C4A80">
        <w:rPr>
          <w:rFonts w:ascii="Verdana" w:eastAsia="Verdana" w:hAnsi="Verdana" w:cs="Verdana"/>
          <w:sz w:val="20"/>
          <w:szCs w:val="20"/>
        </w:rPr>
        <w:t>cross-talk</w:t>
      </w:r>
      <w:proofErr w:type="gramEnd"/>
      <w:r w:rsidRPr="007C4A80">
        <w:rPr>
          <w:rFonts w:ascii="Verdana" w:eastAsia="Verdana" w:hAnsi="Verdana" w:cs="Verdana"/>
          <w:sz w:val="20"/>
          <w:szCs w:val="20"/>
        </w:rPr>
        <w:t xml:space="preserve"> between related species.</w:t>
      </w:r>
    </w:p>
    <w:p w14:paraId="5886F993" w14:textId="77777777" w:rsidR="007C4A80" w:rsidRPr="007C4A80" w:rsidRDefault="007C4A80" w:rsidP="007C4A80">
      <w:pPr>
        <w:spacing w:before="240"/>
        <w:ind w:firstLine="720"/>
        <w:jc w:val="both"/>
        <w:rPr>
          <w:rFonts w:ascii="Verdana" w:eastAsia="Verdana" w:hAnsi="Verdana" w:cs="Verdana"/>
          <w:sz w:val="20"/>
          <w:szCs w:val="20"/>
        </w:rPr>
      </w:pPr>
      <w:r w:rsidRPr="007C4A80">
        <w:rPr>
          <w:rFonts w:ascii="Verdana" w:eastAsia="Verdana" w:hAnsi="Verdana" w:cs="Verdana"/>
          <w:sz w:val="20"/>
          <w:szCs w:val="20"/>
        </w:rPr>
        <w:t xml:space="preserve">Possible evidence for QS cross-talk within these mixed communities is evident within the synthetic community harboring the </w:t>
      </w:r>
      <w:proofErr w:type="spellStart"/>
      <w:proofErr w:type="gramStart"/>
      <w:r w:rsidRPr="007C4A80">
        <w:rPr>
          <w:rFonts w:ascii="Verdana" w:eastAsia="Verdana" w:hAnsi="Verdana" w:cs="Verdana"/>
          <w:i/>
          <w:sz w:val="20"/>
          <w:szCs w:val="20"/>
        </w:rPr>
        <w:t>phaI</w:t>
      </w:r>
      <w:proofErr w:type="spellEnd"/>
      <w:r w:rsidRPr="007C4A80">
        <w:rPr>
          <w:rFonts w:ascii="Verdana" w:eastAsia="Verdana" w:hAnsi="Verdana" w:cs="Verdana"/>
          <w:i/>
          <w:sz w:val="20"/>
          <w:szCs w:val="20"/>
        </w:rPr>
        <w:t>:</w:t>
      </w:r>
      <w:r w:rsidRPr="007C4A80">
        <w:rPr>
          <w:rFonts w:ascii="Verdana" w:eastAsia="Verdana" w:hAnsi="Verdana" w:cs="Verdana"/>
          <w:sz w:val="20"/>
          <w:szCs w:val="20"/>
        </w:rPr>
        <w:t>:</w:t>
      </w:r>
      <w:proofErr w:type="spellStart"/>
      <w:proofErr w:type="gramEnd"/>
      <w:r w:rsidRPr="007C4A80">
        <w:rPr>
          <w:rFonts w:ascii="Verdana" w:eastAsia="Verdana" w:hAnsi="Verdana" w:cs="Verdana"/>
          <w:sz w:val="20"/>
          <w:szCs w:val="20"/>
        </w:rPr>
        <w:t>pKNOCK</w:t>
      </w:r>
      <w:proofErr w:type="spellEnd"/>
      <w:r w:rsidRPr="007C4A80">
        <w:rPr>
          <w:rFonts w:ascii="Verdana" w:eastAsia="Verdana" w:hAnsi="Verdana" w:cs="Verdana"/>
          <w:sz w:val="20"/>
          <w:szCs w:val="20"/>
        </w:rPr>
        <w:t xml:space="preserve"> mutant. This mutant is unable to produce 3OHC12:1-</w:t>
      </w:r>
      <w:proofErr w:type="gramStart"/>
      <w:r w:rsidRPr="007C4A80">
        <w:rPr>
          <w:rFonts w:ascii="Verdana" w:eastAsia="Verdana" w:hAnsi="Verdana" w:cs="Verdana"/>
          <w:sz w:val="20"/>
          <w:szCs w:val="20"/>
        </w:rPr>
        <w:t>HSL, but</w:t>
      </w:r>
      <w:proofErr w:type="gramEnd"/>
      <w:r w:rsidRPr="007C4A80">
        <w:rPr>
          <w:rFonts w:ascii="Verdana" w:eastAsia="Verdana" w:hAnsi="Verdana" w:cs="Verdana"/>
          <w:sz w:val="20"/>
          <w:szCs w:val="20"/>
        </w:rPr>
        <w:t xml:space="preserve"> is able to sense both AHLs predominantly produced by Y4I (C8-HSL and 3OHC12:1-HSL) (Armes and Buchan 2021). However, AHL detection using mass spectrometry indicates all community members putatively produce AHLs with masses corresponding to C12-HSL (Table 1). In support of this, computational analysis of </w:t>
      </w:r>
      <w:proofErr w:type="spellStart"/>
      <w:r w:rsidRPr="007C4A80">
        <w:rPr>
          <w:rFonts w:ascii="Verdana" w:eastAsia="Verdana" w:hAnsi="Verdana" w:cs="Verdana"/>
          <w:sz w:val="20"/>
          <w:szCs w:val="20"/>
        </w:rPr>
        <w:t>LuxI</w:t>
      </w:r>
      <w:proofErr w:type="spellEnd"/>
      <w:r w:rsidRPr="007C4A80">
        <w:rPr>
          <w:rFonts w:ascii="Verdana" w:eastAsia="Verdana" w:hAnsi="Verdana" w:cs="Verdana"/>
          <w:sz w:val="20"/>
          <w:szCs w:val="20"/>
        </w:rPr>
        <w:t xml:space="preserve"> homologs in community members share 25% or more amino acid similarity covering nearly 50% or more of the protein sequence with </w:t>
      </w:r>
      <w:proofErr w:type="spellStart"/>
      <w:r w:rsidRPr="007C4A80">
        <w:rPr>
          <w:rFonts w:ascii="Verdana" w:eastAsia="Verdana" w:hAnsi="Verdana" w:cs="Verdana"/>
          <w:sz w:val="20"/>
          <w:szCs w:val="20"/>
        </w:rPr>
        <w:t>phaI</w:t>
      </w:r>
      <w:proofErr w:type="spellEnd"/>
      <w:r w:rsidRPr="007C4A80">
        <w:rPr>
          <w:rFonts w:ascii="Verdana" w:eastAsia="Verdana" w:hAnsi="Verdana" w:cs="Verdana"/>
          <w:sz w:val="20"/>
          <w:szCs w:val="20"/>
        </w:rPr>
        <w:t xml:space="preserve"> in Y4I (data not shown). Inclusion of nuclear magnetic resonance (NMR) data to determine the molecular structure of the AHLs produced by community members would strengthen these results. Despite the lack of robust AHL data for these strains, some excellent reviews have discussed the </w:t>
      </w:r>
      <w:proofErr w:type="spellStart"/>
      <w:r w:rsidRPr="007C4A80">
        <w:rPr>
          <w:rFonts w:ascii="Verdana" w:eastAsia="Verdana" w:hAnsi="Verdana" w:cs="Verdana"/>
          <w:sz w:val="20"/>
          <w:szCs w:val="20"/>
        </w:rPr>
        <w:t>promicousity</w:t>
      </w:r>
      <w:proofErr w:type="spellEnd"/>
      <w:r w:rsidRPr="007C4A80">
        <w:rPr>
          <w:rFonts w:ascii="Verdana" w:eastAsia="Verdana" w:hAnsi="Verdana" w:cs="Verdana"/>
          <w:sz w:val="20"/>
          <w:szCs w:val="20"/>
        </w:rPr>
        <w:t xml:space="preserve"> of AHL ligand binding with non-cognate </w:t>
      </w:r>
      <w:proofErr w:type="spellStart"/>
      <w:r w:rsidRPr="007C4A80">
        <w:rPr>
          <w:rFonts w:ascii="Verdana" w:eastAsia="Verdana" w:hAnsi="Verdana" w:cs="Verdana"/>
          <w:sz w:val="20"/>
          <w:szCs w:val="20"/>
        </w:rPr>
        <w:t>LuxR</w:t>
      </w:r>
      <w:proofErr w:type="spellEnd"/>
      <w:r w:rsidRPr="007C4A80">
        <w:rPr>
          <w:rFonts w:ascii="Verdana" w:eastAsia="Verdana" w:hAnsi="Verdana" w:cs="Verdana"/>
          <w:sz w:val="20"/>
          <w:szCs w:val="20"/>
        </w:rPr>
        <w:t>-like regulatory proteins (</w:t>
      </w:r>
      <w:proofErr w:type="spellStart"/>
      <w:r w:rsidRPr="007C4A80">
        <w:rPr>
          <w:rFonts w:ascii="Verdana" w:eastAsia="Verdana" w:hAnsi="Verdana" w:cs="Verdana"/>
          <w:sz w:val="20"/>
          <w:szCs w:val="20"/>
        </w:rPr>
        <w:t>Lazdunski</w:t>
      </w:r>
      <w:proofErr w:type="spellEnd"/>
      <w:r w:rsidRPr="007C4A80">
        <w:rPr>
          <w:rFonts w:ascii="Verdana" w:eastAsia="Verdana" w:hAnsi="Verdana" w:cs="Verdana"/>
          <w:sz w:val="20"/>
          <w:szCs w:val="20"/>
        </w:rPr>
        <w:t xml:space="preserve"> et al 2004; Galloway et al 2011; </w:t>
      </w:r>
      <w:proofErr w:type="spellStart"/>
      <w:r w:rsidRPr="007C4A80">
        <w:rPr>
          <w:rFonts w:ascii="Verdana" w:eastAsia="Verdana" w:hAnsi="Verdana" w:cs="Verdana"/>
          <w:sz w:val="20"/>
          <w:szCs w:val="20"/>
        </w:rPr>
        <w:t>Hawver</w:t>
      </w:r>
      <w:proofErr w:type="spellEnd"/>
      <w:r w:rsidRPr="007C4A80">
        <w:rPr>
          <w:rFonts w:ascii="Verdana" w:eastAsia="Verdana" w:hAnsi="Verdana" w:cs="Verdana"/>
          <w:sz w:val="20"/>
          <w:szCs w:val="20"/>
        </w:rPr>
        <w:t xml:space="preserve"> et al 2016;). Given the wanton nature of </w:t>
      </w:r>
      <w:proofErr w:type="spellStart"/>
      <w:r w:rsidRPr="007C4A80">
        <w:rPr>
          <w:rFonts w:ascii="Verdana" w:eastAsia="Verdana" w:hAnsi="Verdana" w:cs="Verdana"/>
          <w:sz w:val="20"/>
          <w:szCs w:val="20"/>
        </w:rPr>
        <w:t>LuxR</w:t>
      </w:r>
      <w:proofErr w:type="spellEnd"/>
      <w:r w:rsidRPr="007C4A80">
        <w:rPr>
          <w:rFonts w:ascii="Verdana" w:eastAsia="Verdana" w:hAnsi="Verdana" w:cs="Verdana"/>
          <w:sz w:val="20"/>
          <w:szCs w:val="20"/>
        </w:rPr>
        <w:t xml:space="preserve"> homologs binding to non-cognate </w:t>
      </w:r>
      <w:proofErr w:type="gramStart"/>
      <w:r w:rsidRPr="007C4A80">
        <w:rPr>
          <w:rFonts w:ascii="Verdana" w:eastAsia="Verdana" w:hAnsi="Verdana" w:cs="Verdana"/>
          <w:sz w:val="20"/>
          <w:szCs w:val="20"/>
        </w:rPr>
        <w:t xml:space="preserve">AHLs(  </w:t>
      </w:r>
      <w:proofErr w:type="gramEnd"/>
      <w:r w:rsidRPr="007C4A80">
        <w:rPr>
          <w:rFonts w:ascii="Verdana" w:eastAsia="Verdana" w:hAnsi="Verdana" w:cs="Verdana"/>
          <w:sz w:val="20"/>
          <w:szCs w:val="20"/>
        </w:rPr>
        <w:t xml:space="preserve">reviewed in </w:t>
      </w:r>
      <w:proofErr w:type="spellStart"/>
      <w:r w:rsidRPr="007C4A80">
        <w:rPr>
          <w:rFonts w:ascii="Verdana" w:eastAsia="Verdana" w:hAnsi="Verdana" w:cs="Verdana"/>
          <w:sz w:val="20"/>
          <w:szCs w:val="20"/>
        </w:rPr>
        <w:t>Hawver</w:t>
      </w:r>
      <w:proofErr w:type="spellEnd"/>
      <w:r w:rsidRPr="007C4A80">
        <w:rPr>
          <w:rFonts w:ascii="Verdana" w:eastAsia="Verdana" w:hAnsi="Verdana" w:cs="Verdana"/>
          <w:sz w:val="20"/>
          <w:szCs w:val="20"/>
        </w:rPr>
        <w:t xml:space="preserve"> et al 2016), it is possible the </w:t>
      </w:r>
      <w:proofErr w:type="spellStart"/>
      <w:r w:rsidRPr="007C4A80">
        <w:rPr>
          <w:rFonts w:ascii="Verdana" w:eastAsia="Verdana" w:hAnsi="Verdana" w:cs="Verdana"/>
          <w:i/>
          <w:sz w:val="20"/>
          <w:szCs w:val="20"/>
        </w:rPr>
        <w:t>phaRI</w:t>
      </w:r>
      <w:proofErr w:type="spellEnd"/>
      <w:r w:rsidRPr="007C4A80">
        <w:rPr>
          <w:rFonts w:ascii="Verdana" w:eastAsia="Verdana" w:hAnsi="Verdana" w:cs="Verdana"/>
          <w:i/>
          <w:sz w:val="20"/>
          <w:szCs w:val="20"/>
        </w:rPr>
        <w:t xml:space="preserve"> </w:t>
      </w:r>
      <w:r w:rsidRPr="007C4A80">
        <w:rPr>
          <w:rFonts w:ascii="Verdana" w:eastAsia="Verdana" w:hAnsi="Verdana" w:cs="Verdana"/>
          <w:sz w:val="20"/>
          <w:szCs w:val="20"/>
        </w:rPr>
        <w:t xml:space="preserve">QS system in Y4I is able to recognize the AHLs produced by community members with similar masses and likely acyl-chains length.  This pathway in Y4I may be involved in regulating biofilm formation. In another Roseobacter representative, biofilm formation has been demonstrated to be regulated by QS (Su 2019). Therefore, the potential for QS </w:t>
      </w:r>
      <w:proofErr w:type="gramStart"/>
      <w:r w:rsidRPr="007C4A80">
        <w:rPr>
          <w:rFonts w:ascii="Verdana" w:eastAsia="Verdana" w:hAnsi="Verdana" w:cs="Verdana"/>
          <w:sz w:val="20"/>
          <w:szCs w:val="20"/>
        </w:rPr>
        <w:t>cross-talk</w:t>
      </w:r>
      <w:proofErr w:type="gramEnd"/>
      <w:r w:rsidRPr="007C4A80">
        <w:rPr>
          <w:rFonts w:ascii="Verdana" w:eastAsia="Verdana" w:hAnsi="Verdana" w:cs="Verdana"/>
          <w:sz w:val="20"/>
          <w:szCs w:val="20"/>
        </w:rPr>
        <w:t xml:space="preserve"> in the presence of non-cognate AHLs may aid in the increased biofilm formation observed in this synthetic community. This type of QS </w:t>
      </w:r>
      <w:proofErr w:type="gramStart"/>
      <w:r w:rsidRPr="007C4A80">
        <w:rPr>
          <w:rFonts w:ascii="Verdana" w:eastAsia="Verdana" w:hAnsi="Verdana" w:cs="Verdana"/>
          <w:sz w:val="20"/>
          <w:szCs w:val="20"/>
        </w:rPr>
        <w:t>cross-talk</w:t>
      </w:r>
      <w:proofErr w:type="gramEnd"/>
      <w:r w:rsidRPr="007C4A80">
        <w:rPr>
          <w:rFonts w:ascii="Verdana" w:eastAsia="Verdana" w:hAnsi="Verdana" w:cs="Verdana"/>
          <w:sz w:val="20"/>
          <w:szCs w:val="20"/>
        </w:rPr>
        <w:t xml:space="preserve"> has been demonstrated in host-microbe models. For </w:t>
      </w:r>
      <w:proofErr w:type="gramStart"/>
      <w:r w:rsidRPr="007C4A80">
        <w:rPr>
          <w:rFonts w:ascii="Verdana" w:eastAsia="Verdana" w:hAnsi="Verdana" w:cs="Verdana"/>
          <w:sz w:val="20"/>
          <w:szCs w:val="20"/>
        </w:rPr>
        <w:t>example,  in</w:t>
      </w:r>
      <w:proofErr w:type="gramEnd"/>
      <w:r w:rsidRPr="007C4A80">
        <w:rPr>
          <w:rFonts w:ascii="Verdana" w:eastAsia="Verdana" w:hAnsi="Verdana" w:cs="Verdana"/>
          <w:sz w:val="20"/>
          <w:szCs w:val="20"/>
        </w:rPr>
        <w:t xml:space="preserve"> plant-associated biofilms secondary metabolites may be overproduced compared to their planktonic counterparts (</w:t>
      </w:r>
      <w:proofErr w:type="spellStart"/>
      <w:r w:rsidRPr="007C4A80">
        <w:rPr>
          <w:rFonts w:ascii="Verdana" w:eastAsia="Verdana" w:hAnsi="Verdana" w:cs="Verdana"/>
          <w:sz w:val="20"/>
          <w:szCs w:val="20"/>
          <w:highlight w:val="white"/>
        </w:rPr>
        <w:t>Rieusset</w:t>
      </w:r>
      <w:proofErr w:type="spellEnd"/>
      <w:r w:rsidRPr="007C4A80">
        <w:rPr>
          <w:rFonts w:ascii="Verdana" w:eastAsia="Verdana" w:hAnsi="Verdana" w:cs="Verdana"/>
          <w:sz w:val="20"/>
          <w:szCs w:val="20"/>
          <w:highlight w:val="white"/>
        </w:rPr>
        <w:t xml:space="preserve"> et al., 2020)</w:t>
      </w:r>
      <w:r w:rsidRPr="007C4A80">
        <w:rPr>
          <w:rFonts w:ascii="Verdana" w:eastAsia="Verdana" w:hAnsi="Verdana" w:cs="Verdana"/>
          <w:sz w:val="20"/>
          <w:szCs w:val="20"/>
        </w:rPr>
        <w:t xml:space="preserve">, which supports their role of secondary metabolites, such as AHLs, shown here. </w:t>
      </w:r>
    </w:p>
    <w:p w14:paraId="4D21647A" w14:textId="77777777" w:rsidR="007C4A80" w:rsidRPr="007C4A80" w:rsidRDefault="007C4A80" w:rsidP="007C4A80">
      <w:pPr>
        <w:spacing w:before="240" w:after="240"/>
        <w:ind w:firstLine="720"/>
        <w:jc w:val="both"/>
        <w:rPr>
          <w:rFonts w:ascii="Verdana" w:eastAsia="Verdana" w:hAnsi="Verdana" w:cs="Verdana"/>
          <w:sz w:val="20"/>
          <w:szCs w:val="20"/>
        </w:rPr>
      </w:pPr>
      <w:r w:rsidRPr="007C4A80">
        <w:rPr>
          <w:rFonts w:ascii="Verdana" w:eastAsia="Verdana" w:hAnsi="Verdana" w:cs="Verdana"/>
          <w:sz w:val="20"/>
          <w:szCs w:val="20"/>
        </w:rPr>
        <w:t xml:space="preserve">Competition within synthetic biofilms seems prevalent in synthetic communities harboring wildtype Y4I and </w:t>
      </w:r>
      <w:proofErr w:type="spellStart"/>
      <w:proofErr w:type="gramStart"/>
      <w:r w:rsidRPr="007C4A80">
        <w:rPr>
          <w:rFonts w:ascii="Verdana" w:eastAsia="Verdana" w:hAnsi="Verdana" w:cs="Verdana"/>
          <w:i/>
          <w:sz w:val="20"/>
          <w:szCs w:val="20"/>
        </w:rPr>
        <w:t>phaR</w:t>
      </w:r>
      <w:proofErr w:type="spellEnd"/>
      <w:r w:rsidRPr="007C4A80">
        <w:rPr>
          <w:rFonts w:ascii="Verdana" w:eastAsia="Verdana" w:hAnsi="Verdana" w:cs="Verdana"/>
          <w:sz w:val="20"/>
          <w:szCs w:val="20"/>
        </w:rPr>
        <w:t>::</w:t>
      </w:r>
      <w:proofErr w:type="gramEnd"/>
      <w:r w:rsidRPr="007C4A80">
        <w:rPr>
          <w:rFonts w:ascii="Verdana" w:eastAsia="Verdana" w:hAnsi="Verdana" w:cs="Verdana"/>
          <w:sz w:val="20"/>
          <w:szCs w:val="20"/>
        </w:rPr>
        <w:t xml:space="preserve">Tn5-KmR. These two Y4I variants </w:t>
      </w:r>
      <w:proofErr w:type="gramStart"/>
      <w:r w:rsidRPr="007C4A80">
        <w:rPr>
          <w:rFonts w:ascii="Verdana" w:eastAsia="Verdana" w:hAnsi="Verdana" w:cs="Verdana"/>
          <w:sz w:val="20"/>
          <w:szCs w:val="20"/>
        </w:rPr>
        <w:t>are able to</w:t>
      </w:r>
      <w:proofErr w:type="gramEnd"/>
      <w:r w:rsidRPr="007C4A80">
        <w:rPr>
          <w:rFonts w:ascii="Verdana" w:eastAsia="Verdana" w:hAnsi="Verdana" w:cs="Verdana"/>
          <w:sz w:val="20"/>
          <w:szCs w:val="20"/>
        </w:rPr>
        <w:t xml:space="preserve"> produce varying amounts of indigoidine (Cude et al 2015). Growth inhibition assays show that indigoidine inhibits the growth of several members within these synthetic communities (Table </w:t>
      </w:r>
      <w:r w:rsidRPr="007C4A80">
        <w:rPr>
          <w:rFonts w:ascii="Verdana" w:eastAsia="Verdana" w:hAnsi="Verdana" w:cs="Verdana"/>
          <w:sz w:val="20"/>
          <w:szCs w:val="20"/>
        </w:rPr>
        <w:lastRenderedPageBreak/>
        <w:t xml:space="preserve">1) indicating that the antimicrobial may play a role in dictating biofilm community structure. These results support previous findings that </w:t>
      </w:r>
      <w:proofErr w:type="gramStart"/>
      <w:r w:rsidRPr="007C4A80">
        <w:rPr>
          <w:rFonts w:ascii="Verdana" w:eastAsia="Verdana" w:hAnsi="Verdana" w:cs="Verdana"/>
          <w:sz w:val="20"/>
          <w:szCs w:val="20"/>
        </w:rPr>
        <w:t>the majority of</w:t>
      </w:r>
      <w:proofErr w:type="gramEnd"/>
      <w:r w:rsidRPr="007C4A80">
        <w:rPr>
          <w:rFonts w:ascii="Verdana" w:eastAsia="Verdana" w:hAnsi="Verdana" w:cs="Verdana"/>
          <w:sz w:val="20"/>
          <w:szCs w:val="20"/>
        </w:rPr>
        <w:t xml:space="preserve"> species interactions may be competitive in natural environments (Leigh et al 2011; Foster and Bell, 2012).</w:t>
      </w:r>
    </w:p>
    <w:p w14:paraId="151881A0" w14:textId="77777777" w:rsidR="007C4A80" w:rsidRPr="007C4A80" w:rsidRDefault="007C4A80" w:rsidP="007C4A80">
      <w:pPr>
        <w:spacing w:before="240"/>
        <w:ind w:firstLine="720"/>
        <w:jc w:val="both"/>
        <w:rPr>
          <w:rFonts w:ascii="Verdana" w:eastAsia="Verdana" w:hAnsi="Verdana" w:cs="Verdana"/>
          <w:sz w:val="20"/>
          <w:szCs w:val="20"/>
        </w:rPr>
      </w:pPr>
      <w:r w:rsidRPr="007C4A80">
        <w:rPr>
          <w:rFonts w:ascii="Verdana" w:eastAsia="Verdana" w:hAnsi="Verdana" w:cs="Verdana"/>
          <w:sz w:val="20"/>
          <w:szCs w:val="20"/>
        </w:rPr>
        <w:t>Roseobacter community composition has been shown to be impacted by primary growth substrates (Quigley, 2019). Additionally, a recent study demonstrated that nutrient availability and concentration impact microbial community interactions, specifically growth inhibition (</w:t>
      </w:r>
      <w:proofErr w:type="spellStart"/>
      <w:r w:rsidRPr="007C4A80">
        <w:rPr>
          <w:rFonts w:ascii="Verdana" w:eastAsia="Verdana" w:hAnsi="Verdana" w:cs="Verdana"/>
          <w:sz w:val="20"/>
          <w:szCs w:val="20"/>
        </w:rPr>
        <w:t>Ratzke</w:t>
      </w:r>
      <w:proofErr w:type="spellEnd"/>
      <w:r w:rsidRPr="007C4A80">
        <w:rPr>
          <w:rFonts w:ascii="Verdana" w:eastAsia="Verdana" w:hAnsi="Verdana" w:cs="Verdana"/>
          <w:sz w:val="20"/>
          <w:szCs w:val="20"/>
        </w:rPr>
        <w:t xml:space="preserve">, 2020). Here we show that synthetic community structures stabilize in a similar manner independent of the growth substrate. However, community dynamics vary due to the type of Y4I variant present in the community, resulting in significantly different structuring in each of the synthetic communities at day 1 (Supplemental Table 6). Additionally, each media type significantly impacted community structure at day 1 and the following timepoints. Interestingly, the Y4I variants experienced growth inhibition in liquid monoculture in the presence of coumarate, but when added to a mixed community, they dominate the community. This supports previous conclusions that biofilms are protective against toxic compounds and increase bacterial stress tolerance, providing further evidence for the significance of biofilms in marine environments (Lee et al., 2014). Additionally, the defined medium contained a low concentration, recalcitrant carbon source (2 mM coumarate), indicating that nutrient availability, along with secondary metabolite production may play a key role in initial colonization and community structuring. </w:t>
      </w:r>
    </w:p>
    <w:p w14:paraId="6831A0C7" w14:textId="77777777" w:rsidR="007C4A80" w:rsidRPr="007C4A80" w:rsidRDefault="007C4A80" w:rsidP="007C4A80">
      <w:pPr>
        <w:spacing w:before="240"/>
        <w:ind w:firstLine="720"/>
        <w:jc w:val="both"/>
        <w:rPr>
          <w:rFonts w:ascii="Verdana" w:eastAsia="Verdana" w:hAnsi="Verdana" w:cs="Verdana"/>
          <w:b/>
          <w:sz w:val="20"/>
          <w:szCs w:val="20"/>
        </w:rPr>
      </w:pPr>
      <w:r w:rsidRPr="007C4A80">
        <w:rPr>
          <w:rFonts w:ascii="Verdana" w:eastAsia="Verdana" w:hAnsi="Verdana" w:cs="Verdana"/>
          <w:sz w:val="20"/>
          <w:szCs w:val="20"/>
        </w:rPr>
        <w:t xml:space="preserve">The observations presented here provide a direct link between secondary metabolite production in the form of AHLs and antimicrobials on biofilm community structure and dynamics. As AHLs and antimicrobial production are commonly associated with a plethora of biofilms, this work may be applied to both environmental and host-pathogen biofilms. Our results support that primary surface colonizers, such as those in the Roseobacter clade, influence community interactions through their diverse metabolic capabilities regardless of nutrient source provided. Whereas nutrient conditions in marine ecosystems may fluctuate, community interactions may well be steady. To our knowledge, this work lays the foundation for understanding how cell-to-cell communication, in the form of quorum sensing, influences cooperative and competitive social behaviors within microbial biofilm communities in marine ecosystems </w:t>
      </w:r>
    </w:p>
    <w:p w14:paraId="52F1E156" w14:textId="77777777" w:rsidR="007C4A80" w:rsidRDefault="007C4A80" w:rsidP="007C4A80">
      <w:pPr>
        <w:spacing w:before="240" w:after="240" w:line="360" w:lineRule="auto"/>
        <w:rPr>
          <w:rFonts w:ascii="Verdana" w:eastAsia="Verdana" w:hAnsi="Verdana" w:cs="Verdana"/>
          <w:b/>
        </w:rPr>
      </w:pPr>
      <w:r>
        <w:br w:type="page"/>
      </w:r>
    </w:p>
    <w:p w14:paraId="635D2538" w14:textId="1686E325" w:rsidR="004C2071" w:rsidRPr="00F8165F" w:rsidRDefault="001A7D05" w:rsidP="00F8165F">
      <w:pPr>
        <w:pStyle w:val="Heading2"/>
        <w:numPr>
          <w:ilvl w:val="0"/>
          <w:numId w:val="0"/>
        </w:numPr>
        <w:jc w:val="both"/>
        <w:rPr>
          <w:rFonts w:ascii="Verdana" w:hAnsi="Verdana" w:cs="Times New Roman"/>
          <w:sz w:val="24"/>
          <w:szCs w:val="24"/>
        </w:rPr>
      </w:pPr>
      <w:bookmarkStart w:id="48" w:name="_Toc289175842"/>
      <w:bookmarkStart w:id="49" w:name="_Toc83382608"/>
      <w:r w:rsidRPr="00F8165F">
        <w:rPr>
          <w:rFonts w:ascii="Verdana" w:hAnsi="Verdana" w:cs="Times New Roman"/>
          <w:sz w:val="24"/>
          <w:szCs w:val="24"/>
        </w:rPr>
        <w:lastRenderedPageBreak/>
        <w:t xml:space="preserve">VI. </w:t>
      </w:r>
      <w:r w:rsidR="004C2071" w:rsidRPr="00F8165F">
        <w:rPr>
          <w:rFonts w:ascii="Verdana" w:hAnsi="Verdana" w:cs="Times New Roman"/>
          <w:sz w:val="24"/>
          <w:szCs w:val="24"/>
        </w:rPr>
        <w:t>References</w:t>
      </w:r>
      <w:bookmarkEnd w:id="48"/>
      <w:bookmarkEnd w:id="49"/>
    </w:p>
    <w:p w14:paraId="0769CBF6" w14:textId="77777777" w:rsidR="00D677AA" w:rsidRPr="00C51113" w:rsidRDefault="00D677AA" w:rsidP="00677C01">
      <w:pPr>
        <w:spacing w:before="240"/>
        <w:jc w:val="both"/>
        <w:rPr>
          <w:rFonts w:ascii="Verdana" w:hAnsi="Verdana" w:cs="Times New Roman"/>
          <w:sz w:val="18"/>
          <w:szCs w:val="18"/>
        </w:rPr>
      </w:pPr>
    </w:p>
    <w:p w14:paraId="00C23E17" w14:textId="77777777" w:rsidR="00D677AA" w:rsidRPr="00C51113" w:rsidRDefault="00D677AA" w:rsidP="00677C01">
      <w:pPr>
        <w:spacing w:before="240"/>
        <w:jc w:val="both"/>
        <w:rPr>
          <w:rFonts w:ascii="Verdana" w:hAnsi="Verdana" w:cs="Times New Roman"/>
          <w:sz w:val="18"/>
          <w:szCs w:val="18"/>
        </w:rPr>
      </w:pPr>
    </w:p>
    <w:p w14:paraId="36D4A1CB" w14:textId="77777777" w:rsidR="00D677AA" w:rsidRPr="00C51113" w:rsidRDefault="00D677AA" w:rsidP="00677C01">
      <w:pPr>
        <w:spacing w:before="240"/>
        <w:jc w:val="both"/>
        <w:rPr>
          <w:rFonts w:ascii="Verdana" w:hAnsi="Verdana" w:cs="Times New Roman"/>
          <w:sz w:val="18"/>
          <w:szCs w:val="18"/>
        </w:rPr>
      </w:pPr>
    </w:p>
    <w:p w14:paraId="164FAD62" w14:textId="77777777" w:rsidR="00D677AA" w:rsidRPr="00C51113" w:rsidRDefault="00D677AA" w:rsidP="00677C01">
      <w:pPr>
        <w:spacing w:before="240"/>
        <w:jc w:val="both"/>
        <w:rPr>
          <w:rFonts w:ascii="Verdana" w:hAnsi="Verdana" w:cs="Times New Roman"/>
          <w:sz w:val="18"/>
          <w:szCs w:val="18"/>
        </w:rPr>
      </w:pPr>
    </w:p>
    <w:p w14:paraId="09BB563B" w14:textId="77777777" w:rsidR="00D677AA" w:rsidRPr="00C51113" w:rsidRDefault="00D677AA" w:rsidP="00677C01">
      <w:pPr>
        <w:spacing w:before="240"/>
        <w:jc w:val="both"/>
        <w:rPr>
          <w:rFonts w:ascii="Verdana" w:hAnsi="Verdana" w:cs="Times New Roman"/>
          <w:sz w:val="18"/>
          <w:szCs w:val="18"/>
        </w:rPr>
      </w:pPr>
    </w:p>
    <w:p w14:paraId="72E7CFCD" w14:textId="77777777" w:rsidR="00D677AA" w:rsidRPr="00C51113" w:rsidRDefault="00D677AA" w:rsidP="00677C01">
      <w:pPr>
        <w:spacing w:before="240"/>
        <w:jc w:val="both"/>
        <w:rPr>
          <w:rFonts w:ascii="Verdana" w:hAnsi="Verdana" w:cs="Times New Roman"/>
          <w:sz w:val="18"/>
          <w:szCs w:val="18"/>
        </w:rPr>
      </w:pPr>
    </w:p>
    <w:p w14:paraId="421BD86B" w14:textId="77777777" w:rsidR="00D677AA" w:rsidRPr="00C51113" w:rsidRDefault="00D677AA" w:rsidP="00677C01">
      <w:pPr>
        <w:spacing w:before="240"/>
        <w:jc w:val="both"/>
        <w:rPr>
          <w:rFonts w:ascii="Verdana" w:hAnsi="Verdana" w:cs="Times New Roman"/>
          <w:sz w:val="18"/>
          <w:szCs w:val="18"/>
        </w:rPr>
      </w:pPr>
    </w:p>
    <w:p w14:paraId="414A5EE8" w14:textId="77777777" w:rsidR="00D677AA" w:rsidRPr="00C51113" w:rsidRDefault="00D677AA" w:rsidP="00677C01">
      <w:pPr>
        <w:spacing w:before="240"/>
        <w:jc w:val="both"/>
        <w:rPr>
          <w:rFonts w:ascii="Verdana" w:hAnsi="Verdana" w:cs="Times New Roman"/>
          <w:sz w:val="18"/>
          <w:szCs w:val="18"/>
        </w:rPr>
      </w:pPr>
    </w:p>
    <w:p w14:paraId="5D27C28C" w14:textId="77777777" w:rsidR="00D677AA" w:rsidRPr="00C51113" w:rsidRDefault="00D677AA" w:rsidP="00677C01">
      <w:pPr>
        <w:spacing w:before="240"/>
        <w:jc w:val="both"/>
        <w:rPr>
          <w:rFonts w:ascii="Verdana" w:hAnsi="Verdana" w:cs="Times New Roman"/>
          <w:sz w:val="18"/>
          <w:szCs w:val="18"/>
        </w:rPr>
      </w:pPr>
    </w:p>
    <w:p w14:paraId="595F4DA6" w14:textId="77777777" w:rsidR="00D677AA" w:rsidRPr="00C51113" w:rsidRDefault="00D677AA" w:rsidP="00677C01">
      <w:pPr>
        <w:spacing w:before="240"/>
        <w:jc w:val="both"/>
        <w:rPr>
          <w:rFonts w:ascii="Verdana" w:hAnsi="Verdana" w:cs="Times New Roman"/>
          <w:sz w:val="18"/>
          <w:szCs w:val="18"/>
        </w:rPr>
      </w:pPr>
    </w:p>
    <w:p w14:paraId="3832BC83" w14:textId="77777777" w:rsidR="00D677AA" w:rsidRPr="00C51113" w:rsidRDefault="00D677AA" w:rsidP="00677C01">
      <w:pPr>
        <w:spacing w:before="240"/>
        <w:jc w:val="both"/>
        <w:rPr>
          <w:rFonts w:ascii="Verdana" w:hAnsi="Verdana" w:cs="Times New Roman"/>
          <w:sz w:val="18"/>
          <w:szCs w:val="18"/>
        </w:rPr>
      </w:pPr>
    </w:p>
    <w:p w14:paraId="0D76B3F3" w14:textId="77777777" w:rsidR="00D677AA" w:rsidRPr="00C51113" w:rsidRDefault="00D677AA" w:rsidP="00677C01">
      <w:pPr>
        <w:spacing w:before="240"/>
        <w:jc w:val="both"/>
        <w:rPr>
          <w:rFonts w:ascii="Verdana" w:hAnsi="Verdana" w:cs="Times New Roman"/>
          <w:sz w:val="18"/>
          <w:szCs w:val="18"/>
        </w:rPr>
      </w:pPr>
    </w:p>
    <w:p w14:paraId="1DE23A43" w14:textId="77777777" w:rsidR="00D677AA" w:rsidRPr="00C51113" w:rsidRDefault="00D677AA" w:rsidP="00677C01">
      <w:pPr>
        <w:spacing w:before="240"/>
        <w:jc w:val="both"/>
        <w:rPr>
          <w:rFonts w:ascii="Verdana" w:hAnsi="Verdana" w:cs="Times New Roman"/>
          <w:sz w:val="18"/>
          <w:szCs w:val="18"/>
        </w:rPr>
      </w:pPr>
    </w:p>
    <w:p w14:paraId="0AE1CCAC" w14:textId="77777777" w:rsidR="00D677AA" w:rsidRPr="00C51113" w:rsidRDefault="00D677AA" w:rsidP="00677C01">
      <w:pPr>
        <w:spacing w:before="240"/>
        <w:jc w:val="both"/>
        <w:rPr>
          <w:rFonts w:ascii="Verdana" w:hAnsi="Verdana" w:cs="Times New Roman"/>
          <w:sz w:val="18"/>
          <w:szCs w:val="18"/>
        </w:rPr>
      </w:pPr>
    </w:p>
    <w:p w14:paraId="13759C08" w14:textId="77777777" w:rsidR="00D677AA" w:rsidRPr="00C51113" w:rsidRDefault="00D677AA" w:rsidP="00677C01">
      <w:pPr>
        <w:spacing w:before="240"/>
        <w:jc w:val="both"/>
        <w:rPr>
          <w:rFonts w:ascii="Verdana" w:hAnsi="Verdana" w:cs="Times New Roman"/>
          <w:sz w:val="18"/>
          <w:szCs w:val="18"/>
        </w:rPr>
      </w:pPr>
    </w:p>
    <w:p w14:paraId="21EFA591" w14:textId="77777777" w:rsidR="00D677AA" w:rsidRPr="00C51113" w:rsidRDefault="00D677AA" w:rsidP="00677C01">
      <w:pPr>
        <w:spacing w:before="240"/>
        <w:jc w:val="both"/>
        <w:rPr>
          <w:rFonts w:ascii="Verdana" w:hAnsi="Verdana" w:cs="Times New Roman"/>
          <w:sz w:val="18"/>
          <w:szCs w:val="18"/>
        </w:rPr>
      </w:pPr>
    </w:p>
    <w:p w14:paraId="01AF6A2C" w14:textId="77777777" w:rsidR="00D677AA" w:rsidRPr="00C51113" w:rsidRDefault="00D677AA" w:rsidP="00677C01">
      <w:pPr>
        <w:spacing w:before="240"/>
        <w:jc w:val="both"/>
        <w:rPr>
          <w:rFonts w:ascii="Verdana" w:hAnsi="Verdana" w:cs="Times New Roman"/>
          <w:sz w:val="18"/>
          <w:szCs w:val="18"/>
        </w:rPr>
      </w:pPr>
    </w:p>
    <w:p w14:paraId="4188B9D4" w14:textId="77777777" w:rsidR="00D677AA" w:rsidRPr="00C51113" w:rsidRDefault="00D677AA" w:rsidP="00677C01">
      <w:pPr>
        <w:spacing w:before="240"/>
        <w:jc w:val="both"/>
        <w:rPr>
          <w:rFonts w:ascii="Verdana" w:hAnsi="Verdana" w:cs="Times New Roman"/>
          <w:sz w:val="18"/>
          <w:szCs w:val="18"/>
        </w:rPr>
      </w:pPr>
    </w:p>
    <w:p w14:paraId="354DDB6D" w14:textId="77777777" w:rsidR="00D677AA" w:rsidRPr="00C51113" w:rsidRDefault="00D677AA" w:rsidP="00677C01">
      <w:pPr>
        <w:spacing w:before="240"/>
        <w:jc w:val="both"/>
        <w:rPr>
          <w:rFonts w:ascii="Verdana" w:hAnsi="Verdana" w:cs="Times New Roman"/>
          <w:sz w:val="18"/>
          <w:szCs w:val="18"/>
        </w:rPr>
      </w:pPr>
    </w:p>
    <w:p w14:paraId="06E7B42D" w14:textId="77777777" w:rsidR="00D677AA" w:rsidRPr="00C51113" w:rsidRDefault="00D677AA" w:rsidP="00677C01">
      <w:pPr>
        <w:spacing w:before="240"/>
        <w:jc w:val="both"/>
        <w:rPr>
          <w:rFonts w:ascii="Verdana" w:hAnsi="Verdana" w:cs="Times New Roman"/>
          <w:sz w:val="18"/>
          <w:szCs w:val="18"/>
        </w:rPr>
      </w:pPr>
    </w:p>
    <w:p w14:paraId="01F7D215" w14:textId="77777777" w:rsidR="00D677AA" w:rsidRPr="00C51113" w:rsidRDefault="00D677AA" w:rsidP="00677C01">
      <w:pPr>
        <w:spacing w:before="240"/>
        <w:jc w:val="both"/>
        <w:rPr>
          <w:rFonts w:ascii="Verdana" w:hAnsi="Verdana" w:cs="Times New Roman"/>
          <w:sz w:val="18"/>
          <w:szCs w:val="18"/>
        </w:rPr>
      </w:pPr>
    </w:p>
    <w:p w14:paraId="1B4317CB" w14:textId="77777777" w:rsidR="00D677AA" w:rsidRPr="00C51113" w:rsidRDefault="00D677AA" w:rsidP="00677C01">
      <w:pPr>
        <w:spacing w:before="240"/>
        <w:jc w:val="both"/>
        <w:rPr>
          <w:rFonts w:ascii="Verdana" w:hAnsi="Verdana" w:cs="Times New Roman"/>
          <w:sz w:val="18"/>
          <w:szCs w:val="18"/>
        </w:rPr>
      </w:pPr>
    </w:p>
    <w:p w14:paraId="77F48802" w14:textId="77777777" w:rsidR="00D677AA" w:rsidRPr="00C51113" w:rsidRDefault="00D677AA" w:rsidP="00677C01">
      <w:pPr>
        <w:spacing w:before="240"/>
        <w:jc w:val="both"/>
        <w:rPr>
          <w:rFonts w:ascii="Verdana" w:hAnsi="Verdana" w:cs="Times New Roman"/>
          <w:sz w:val="18"/>
          <w:szCs w:val="18"/>
        </w:rPr>
      </w:pPr>
    </w:p>
    <w:p w14:paraId="7B12AD95" w14:textId="77777777" w:rsidR="00D677AA" w:rsidRPr="00C51113" w:rsidRDefault="00D677AA" w:rsidP="00677C01">
      <w:pPr>
        <w:spacing w:before="240"/>
        <w:jc w:val="both"/>
        <w:rPr>
          <w:rFonts w:ascii="Verdana" w:hAnsi="Verdana" w:cs="Times New Roman"/>
          <w:sz w:val="18"/>
          <w:szCs w:val="18"/>
        </w:rPr>
      </w:pPr>
    </w:p>
    <w:p w14:paraId="169A2CE2" w14:textId="77777777" w:rsidR="00D677AA" w:rsidRPr="00C51113" w:rsidRDefault="00D677AA" w:rsidP="00677C01">
      <w:pPr>
        <w:spacing w:before="240"/>
        <w:jc w:val="both"/>
        <w:rPr>
          <w:rFonts w:ascii="Verdana" w:hAnsi="Verdana" w:cs="Times New Roman"/>
          <w:sz w:val="18"/>
          <w:szCs w:val="18"/>
        </w:rPr>
      </w:pPr>
    </w:p>
    <w:p w14:paraId="33B8A867" w14:textId="77777777" w:rsidR="00D677AA" w:rsidRPr="00C51113" w:rsidRDefault="00D677AA" w:rsidP="00677C01">
      <w:pPr>
        <w:spacing w:before="240"/>
        <w:jc w:val="both"/>
        <w:rPr>
          <w:rFonts w:ascii="Verdana" w:hAnsi="Verdana" w:cs="Times New Roman"/>
          <w:sz w:val="18"/>
          <w:szCs w:val="18"/>
        </w:rPr>
      </w:pPr>
    </w:p>
    <w:p w14:paraId="4E214A23" w14:textId="77777777" w:rsidR="00D677AA" w:rsidRPr="00C51113" w:rsidRDefault="00D677AA" w:rsidP="00677C01">
      <w:pPr>
        <w:spacing w:before="240"/>
        <w:jc w:val="both"/>
        <w:rPr>
          <w:rFonts w:ascii="Verdana" w:hAnsi="Verdana" w:cs="Times New Roman"/>
          <w:sz w:val="18"/>
          <w:szCs w:val="18"/>
        </w:rPr>
      </w:pPr>
    </w:p>
    <w:p w14:paraId="6E260EEF" w14:textId="77777777" w:rsidR="00D677AA" w:rsidRPr="00C51113" w:rsidRDefault="00D677AA" w:rsidP="00677C01">
      <w:pPr>
        <w:spacing w:before="240"/>
        <w:jc w:val="both"/>
        <w:rPr>
          <w:rFonts w:ascii="Verdana" w:hAnsi="Verdana" w:cs="Times New Roman"/>
          <w:sz w:val="18"/>
          <w:szCs w:val="18"/>
        </w:rPr>
      </w:pPr>
    </w:p>
    <w:p w14:paraId="4517C815" w14:textId="77777777" w:rsidR="00D677AA" w:rsidRPr="00C51113" w:rsidRDefault="00D677AA" w:rsidP="00677C01">
      <w:pPr>
        <w:spacing w:before="240"/>
        <w:jc w:val="both"/>
        <w:rPr>
          <w:rFonts w:ascii="Verdana" w:hAnsi="Verdana" w:cs="Times New Roman"/>
          <w:sz w:val="18"/>
          <w:szCs w:val="18"/>
        </w:rPr>
      </w:pPr>
    </w:p>
    <w:p w14:paraId="3C639EC7" w14:textId="77777777" w:rsidR="00D677AA" w:rsidRPr="00C51113" w:rsidRDefault="00D677AA" w:rsidP="00677C01">
      <w:pPr>
        <w:spacing w:before="240"/>
        <w:jc w:val="both"/>
        <w:rPr>
          <w:rFonts w:ascii="Verdana" w:hAnsi="Verdana" w:cs="Times New Roman"/>
          <w:sz w:val="18"/>
          <w:szCs w:val="18"/>
        </w:rPr>
      </w:pPr>
    </w:p>
    <w:p w14:paraId="54CF0744" w14:textId="77777777" w:rsidR="00D677AA" w:rsidRPr="00C51113" w:rsidRDefault="00D677AA" w:rsidP="00677C01">
      <w:pPr>
        <w:spacing w:before="240"/>
        <w:jc w:val="both"/>
        <w:rPr>
          <w:rFonts w:ascii="Verdana" w:hAnsi="Verdana" w:cs="Times New Roman"/>
          <w:sz w:val="18"/>
          <w:szCs w:val="18"/>
        </w:rPr>
      </w:pPr>
    </w:p>
    <w:p w14:paraId="2556A6C7" w14:textId="77777777" w:rsidR="00D677AA" w:rsidRPr="00C51113" w:rsidRDefault="00D677AA" w:rsidP="00677C01">
      <w:pPr>
        <w:spacing w:before="240"/>
        <w:jc w:val="both"/>
        <w:rPr>
          <w:rFonts w:ascii="Verdana" w:hAnsi="Verdana" w:cs="Times New Roman"/>
          <w:sz w:val="18"/>
          <w:szCs w:val="18"/>
        </w:rPr>
      </w:pPr>
    </w:p>
    <w:p w14:paraId="0848E96D" w14:textId="77777777" w:rsidR="00D677AA" w:rsidRPr="00C51113" w:rsidRDefault="00D677AA" w:rsidP="00677C01">
      <w:pPr>
        <w:spacing w:before="240"/>
        <w:jc w:val="both"/>
        <w:rPr>
          <w:rFonts w:ascii="Verdana" w:hAnsi="Verdana" w:cs="Times New Roman"/>
          <w:sz w:val="18"/>
          <w:szCs w:val="18"/>
        </w:rPr>
      </w:pPr>
    </w:p>
    <w:p w14:paraId="702FB8DC" w14:textId="77777777" w:rsidR="00D677AA" w:rsidRPr="00C51113" w:rsidRDefault="00D677AA" w:rsidP="00677C01">
      <w:pPr>
        <w:spacing w:before="240"/>
        <w:jc w:val="both"/>
        <w:rPr>
          <w:rFonts w:ascii="Verdana" w:hAnsi="Verdana" w:cs="Times New Roman"/>
          <w:sz w:val="18"/>
          <w:szCs w:val="18"/>
        </w:rPr>
      </w:pPr>
    </w:p>
    <w:p w14:paraId="71D3CDF3" w14:textId="77777777" w:rsidR="00D677AA" w:rsidRPr="00C51113" w:rsidRDefault="00D677AA" w:rsidP="00677C01">
      <w:pPr>
        <w:spacing w:before="240"/>
        <w:jc w:val="both"/>
        <w:rPr>
          <w:rFonts w:ascii="Verdana" w:hAnsi="Verdana" w:cs="Times New Roman"/>
          <w:sz w:val="18"/>
          <w:szCs w:val="18"/>
        </w:rPr>
      </w:pPr>
    </w:p>
    <w:p w14:paraId="6590D132" w14:textId="77777777" w:rsidR="00D677AA" w:rsidRPr="00C51113" w:rsidRDefault="00D677AA" w:rsidP="00677C01">
      <w:pPr>
        <w:spacing w:before="240"/>
        <w:jc w:val="both"/>
        <w:rPr>
          <w:rFonts w:ascii="Verdana" w:hAnsi="Verdana" w:cs="Times New Roman"/>
          <w:sz w:val="18"/>
          <w:szCs w:val="18"/>
        </w:rPr>
      </w:pPr>
    </w:p>
    <w:p w14:paraId="7FB656FB" w14:textId="77777777" w:rsidR="00D677AA" w:rsidRPr="00C51113" w:rsidRDefault="00D677AA" w:rsidP="00677C01">
      <w:pPr>
        <w:spacing w:before="240"/>
        <w:jc w:val="both"/>
        <w:rPr>
          <w:rFonts w:ascii="Verdana" w:hAnsi="Verdana" w:cs="Times New Roman"/>
          <w:sz w:val="18"/>
          <w:szCs w:val="18"/>
        </w:rPr>
      </w:pPr>
    </w:p>
    <w:p w14:paraId="1133EA00" w14:textId="77777777" w:rsidR="00D677AA" w:rsidRPr="00C51113" w:rsidRDefault="00D677AA" w:rsidP="00677C01">
      <w:pPr>
        <w:spacing w:before="240"/>
        <w:jc w:val="both"/>
        <w:rPr>
          <w:rFonts w:ascii="Verdana" w:hAnsi="Verdana" w:cs="Times New Roman"/>
          <w:sz w:val="18"/>
          <w:szCs w:val="18"/>
        </w:rPr>
      </w:pPr>
    </w:p>
    <w:p w14:paraId="0FA4BD92" w14:textId="77777777" w:rsidR="00D677AA" w:rsidRPr="00C51113" w:rsidRDefault="00D677AA" w:rsidP="00677C01">
      <w:pPr>
        <w:spacing w:before="240"/>
        <w:jc w:val="both"/>
        <w:rPr>
          <w:rFonts w:ascii="Verdana" w:hAnsi="Verdana" w:cs="Times New Roman"/>
          <w:sz w:val="18"/>
          <w:szCs w:val="18"/>
        </w:rPr>
      </w:pPr>
    </w:p>
    <w:p w14:paraId="3E094D07" w14:textId="77777777" w:rsidR="00D677AA" w:rsidRPr="00C51113" w:rsidRDefault="00D677AA" w:rsidP="00677C01">
      <w:pPr>
        <w:spacing w:before="240"/>
        <w:jc w:val="both"/>
        <w:rPr>
          <w:rFonts w:ascii="Verdana" w:hAnsi="Verdana" w:cs="Times New Roman"/>
          <w:sz w:val="18"/>
          <w:szCs w:val="18"/>
        </w:rPr>
      </w:pPr>
    </w:p>
    <w:p w14:paraId="05DCC7DC" w14:textId="77777777" w:rsidR="00D677AA" w:rsidRPr="00C51113" w:rsidRDefault="00D677AA" w:rsidP="00677C01">
      <w:pPr>
        <w:spacing w:before="240"/>
        <w:jc w:val="both"/>
        <w:rPr>
          <w:rFonts w:ascii="Verdana" w:hAnsi="Verdana" w:cs="Times New Roman"/>
          <w:sz w:val="18"/>
          <w:szCs w:val="18"/>
        </w:rPr>
      </w:pPr>
    </w:p>
    <w:p w14:paraId="01EBECE3" w14:textId="77777777" w:rsidR="00D677AA" w:rsidRPr="00C51113" w:rsidRDefault="00D677AA" w:rsidP="00677C01">
      <w:pPr>
        <w:spacing w:before="240"/>
        <w:jc w:val="both"/>
        <w:rPr>
          <w:rFonts w:ascii="Verdana" w:hAnsi="Verdana" w:cs="Times New Roman"/>
          <w:sz w:val="18"/>
          <w:szCs w:val="18"/>
        </w:rPr>
      </w:pPr>
    </w:p>
    <w:p w14:paraId="52EB6926" w14:textId="77777777" w:rsidR="00D677AA" w:rsidRPr="00C51113" w:rsidRDefault="00D677AA" w:rsidP="00677C01">
      <w:pPr>
        <w:spacing w:before="240"/>
        <w:jc w:val="both"/>
        <w:rPr>
          <w:rFonts w:ascii="Verdana" w:hAnsi="Verdana" w:cs="Times New Roman"/>
          <w:sz w:val="18"/>
          <w:szCs w:val="18"/>
        </w:rPr>
      </w:pPr>
    </w:p>
    <w:p w14:paraId="70D09EF9" w14:textId="300586E6" w:rsidR="0086154B" w:rsidRDefault="0086154B" w:rsidP="00677C01">
      <w:pPr>
        <w:spacing w:before="240"/>
        <w:rPr>
          <w:rFonts w:ascii="Verdana" w:hAnsi="Verdana" w:cs="Times New Roman"/>
          <w:b/>
          <w:bCs/>
          <w:iCs/>
          <w:sz w:val="18"/>
          <w:szCs w:val="18"/>
          <w:highlight w:val="lightGray"/>
        </w:rPr>
      </w:pPr>
      <w:r>
        <w:rPr>
          <w:rFonts w:ascii="Verdana" w:hAnsi="Verdana" w:cs="Times New Roman"/>
          <w:sz w:val="18"/>
          <w:szCs w:val="18"/>
          <w:highlight w:val="lightGray"/>
        </w:rPr>
        <w:br w:type="page"/>
      </w:r>
    </w:p>
    <w:p w14:paraId="2C2DC8D9" w14:textId="35E32CA1" w:rsidR="00D677AA" w:rsidRPr="00822656" w:rsidRDefault="00D677AA" w:rsidP="001A7D05">
      <w:pPr>
        <w:pStyle w:val="Heading2"/>
        <w:numPr>
          <w:ilvl w:val="0"/>
          <w:numId w:val="0"/>
        </w:numPr>
        <w:rPr>
          <w:rFonts w:ascii="Verdana" w:hAnsi="Verdana" w:cs="Times New Roman"/>
          <w:sz w:val="24"/>
          <w:szCs w:val="24"/>
        </w:rPr>
      </w:pPr>
      <w:bookmarkStart w:id="50" w:name="_Toc83382609"/>
      <w:r w:rsidRPr="00822656">
        <w:rPr>
          <w:rFonts w:ascii="Verdana" w:hAnsi="Verdana" w:cs="Times New Roman"/>
          <w:sz w:val="24"/>
          <w:szCs w:val="24"/>
        </w:rPr>
        <w:lastRenderedPageBreak/>
        <w:t>Appendix</w:t>
      </w:r>
      <w:r w:rsidR="00BD3657" w:rsidRPr="00822656">
        <w:rPr>
          <w:rFonts w:ascii="Verdana" w:hAnsi="Verdana" w:cs="Times New Roman"/>
          <w:sz w:val="24"/>
          <w:szCs w:val="24"/>
        </w:rPr>
        <w:t xml:space="preserve">: </w:t>
      </w:r>
      <w:r w:rsidR="00062215" w:rsidRPr="00822656">
        <w:rPr>
          <w:rFonts w:ascii="Verdana" w:hAnsi="Verdana" w:cs="Times New Roman"/>
          <w:sz w:val="24"/>
          <w:szCs w:val="24"/>
        </w:rPr>
        <w:t>Tables</w:t>
      </w:r>
      <w:bookmarkEnd w:id="50"/>
    </w:p>
    <w:p w14:paraId="38A9F3F8" w14:textId="77777777" w:rsidR="00D25F0C" w:rsidRDefault="00D25F0C" w:rsidP="00677C01">
      <w:pPr>
        <w:spacing w:before="240"/>
        <w:rPr>
          <w:rFonts w:ascii="Verdana" w:eastAsia="Verdana" w:hAnsi="Verdana" w:cs="Verdana"/>
          <w:b/>
          <w:sz w:val="20"/>
          <w:szCs w:val="20"/>
        </w:rPr>
      </w:pPr>
    </w:p>
    <w:p w14:paraId="5C8E0A43" w14:textId="2A405816" w:rsidR="00D25F0C" w:rsidRPr="00822656" w:rsidRDefault="0057177E" w:rsidP="00677C01">
      <w:pPr>
        <w:pStyle w:val="Caption"/>
        <w:spacing w:before="240"/>
        <w:rPr>
          <w:rFonts w:ascii="Verdana" w:eastAsia="Verdana" w:hAnsi="Verdana" w:cs="Verdana"/>
          <w:b w:val="0"/>
          <w:bCs w:val="0"/>
          <w:sz w:val="20"/>
          <w:szCs w:val="20"/>
        </w:rPr>
      </w:pPr>
      <w:bookmarkStart w:id="51" w:name="_Toc83387910"/>
      <w:r w:rsidRPr="00822656">
        <w:rPr>
          <w:rFonts w:ascii="Verdana" w:hAnsi="Verdana"/>
          <w:sz w:val="20"/>
          <w:szCs w:val="20"/>
        </w:rPr>
        <w:t xml:space="preserve">Table </w:t>
      </w:r>
      <w:r w:rsidR="00F8165F" w:rsidRPr="00822656">
        <w:rPr>
          <w:rFonts w:ascii="Verdana" w:hAnsi="Verdana"/>
          <w:sz w:val="20"/>
          <w:szCs w:val="20"/>
        </w:rPr>
        <w:fldChar w:fldCharType="begin"/>
      </w:r>
      <w:r w:rsidR="00F8165F" w:rsidRPr="00822656">
        <w:rPr>
          <w:rFonts w:ascii="Verdana" w:hAnsi="Verdana"/>
          <w:sz w:val="20"/>
          <w:szCs w:val="20"/>
        </w:rPr>
        <w:instrText xml:space="preserve"> STYLEREF 1 \s </w:instrText>
      </w:r>
      <w:r w:rsidR="00F8165F" w:rsidRPr="00822656">
        <w:rPr>
          <w:rFonts w:ascii="Verdana" w:hAnsi="Verdana"/>
          <w:sz w:val="20"/>
          <w:szCs w:val="20"/>
        </w:rPr>
        <w:fldChar w:fldCharType="separate"/>
      </w:r>
      <w:r w:rsidR="00F8165F" w:rsidRPr="00822656">
        <w:rPr>
          <w:rFonts w:ascii="Verdana" w:hAnsi="Verdana"/>
          <w:noProof/>
          <w:sz w:val="20"/>
          <w:szCs w:val="20"/>
        </w:rPr>
        <w:t>3</w:t>
      </w:r>
      <w:r w:rsidR="00F8165F" w:rsidRPr="00822656">
        <w:rPr>
          <w:rFonts w:ascii="Verdana" w:hAnsi="Verdana"/>
          <w:sz w:val="20"/>
          <w:szCs w:val="20"/>
        </w:rPr>
        <w:fldChar w:fldCharType="end"/>
      </w:r>
      <w:r w:rsidR="00F8165F" w:rsidRPr="00822656">
        <w:rPr>
          <w:rFonts w:ascii="Verdana" w:hAnsi="Verdana"/>
          <w:sz w:val="20"/>
          <w:szCs w:val="20"/>
        </w:rPr>
        <w:t>.</w:t>
      </w:r>
      <w:r w:rsidR="00F8165F" w:rsidRPr="00822656">
        <w:rPr>
          <w:rFonts w:ascii="Verdana" w:hAnsi="Verdana"/>
          <w:sz w:val="20"/>
          <w:szCs w:val="20"/>
        </w:rPr>
        <w:fldChar w:fldCharType="begin"/>
      </w:r>
      <w:r w:rsidR="00F8165F" w:rsidRPr="00822656">
        <w:rPr>
          <w:rFonts w:ascii="Verdana" w:hAnsi="Verdana"/>
          <w:sz w:val="20"/>
          <w:szCs w:val="20"/>
        </w:rPr>
        <w:instrText xml:space="preserve"> SEQ Table \* ARABIC \s 1 </w:instrText>
      </w:r>
      <w:r w:rsidR="00F8165F" w:rsidRPr="00822656">
        <w:rPr>
          <w:rFonts w:ascii="Verdana" w:hAnsi="Verdana"/>
          <w:sz w:val="20"/>
          <w:szCs w:val="20"/>
        </w:rPr>
        <w:fldChar w:fldCharType="separate"/>
      </w:r>
      <w:r w:rsidR="00F8165F" w:rsidRPr="00822656">
        <w:rPr>
          <w:rFonts w:ascii="Verdana" w:hAnsi="Verdana"/>
          <w:noProof/>
          <w:sz w:val="20"/>
          <w:szCs w:val="20"/>
        </w:rPr>
        <w:t>1</w:t>
      </w:r>
      <w:r w:rsidR="00F8165F" w:rsidRPr="00822656">
        <w:rPr>
          <w:rFonts w:ascii="Verdana" w:hAnsi="Verdana"/>
          <w:sz w:val="20"/>
          <w:szCs w:val="20"/>
        </w:rPr>
        <w:fldChar w:fldCharType="end"/>
      </w:r>
      <w:r w:rsidRPr="00822656">
        <w:rPr>
          <w:rFonts w:ascii="Verdana" w:hAnsi="Verdana"/>
          <w:sz w:val="20"/>
          <w:szCs w:val="20"/>
        </w:rPr>
        <w:t xml:space="preserve">. </w:t>
      </w:r>
      <w:r w:rsidR="00D25F0C" w:rsidRPr="00822656">
        <w:rPr>
          <w:rFonts w:ascii="Verdana" w:eastAsia="Verdana" w:hAnsi="Verdana" w:cs="Verdana"/>
          <w:b w:val="0"/>
          <w:bCs w:val="0"/>
          <w:sz w:val="20"/>
          <w:szCs w:val="20"/>
        </w:rPr>
        <w:t xml:space="preserve">Table of community members, their </w:t>
      </w:r>
      <w:proofErr w:type="spellStart"/>
      <w:r w:rsidR="00D25F0C" w:rsidRPr="00822656">
        <w:rPr>
          <w:rFonts w:ascii="Verdana" w:eastAsia="Verdana" w:hAnsi="Verdana" w:cs="Verdana"/>
          <w:b w:val="0"/>
          <w:bCs w:val="0"/>
          <w:i/>
          <w:sz w:val="20"/>
          <w:szCs w:val="20"/>
        </w:rPr>
        <w:t>luxRI</w:t>
      </w:r>
      <w:proofErr w:type="spellEnd"/>
      <w:r w:rsidR="00D25F0C" w:rsidRPr="00822656">
        <w:rPr>
          <w:rFonts w:ascii="Verdana" w:eastAsia="Verdana" w:hAnsi="Verdana" w:cs="Verdana"/>
          <w:b w:val="0"/>
          <w:bCs w:val="0"/>
          <w:i/>
          <w:sz w:val="20"/>
          <w:szCs w:val="20"/>
        </w:rPr>
        <w:t xml:space="preserve"> </w:t>
      </w:r>
      <w:r w:rsidR="00D25F0C" w:rsidRPr="00822656">
        <w:rPr>
          <w:rFonts w:ascii="Verdana" w:eastAsia="Verdana" w:hAnsi="Verdana" w:cs="Verdana"/>
          <w:b w:val="0"/>
          <w:bCs w:val="0"/>
          <w:sz w:val="20"/>
          <w:szCs w:val="20"/>
        </w:rPr>
        <w:t>homologous genetic loci, and putative AHLs produced by community members.</w:t>
      </w:r>
      <w:bookmarkEnd w:id="51"/>
      <w:r w:rsidR="00D25F0C" w:rsidRPr="00822656">
        <w:rPr>
          <w:rFonts w:ascii="Verdana" w:eastAsia="Verdana" w:hAnsi="Verdana" w:cs="Verdana"/>
          <w:b w:val="0"/>
          <w:bCs w:val="0"/>
          <w:sz w:val="20"/>
          <w:szCs w:val="20"/>
        </w:rPr>
        <w:t xml:space="preserve"> </w:t>
      </w:r>
    </w:p>
    <w:p w14:paraId="6457F2F7" w14:textId="77777777" w:rsidR="0057177E" w:rsidRPr="00D25F0C" w:rsidRDefault="0057177E" w:rsidP="00677C01">
      <w:pPr>
        <w:spacing w:before="240"/>
        <w:rPr>
          <w:rFonts w:ascii="Verdana" w:eastAsia="Verdana" w:hAnsi="Verdana" w:cs="Verdana"/>
          <w:sz w:val="18"/>
          <w:szCs w:val="18"/>
        </w:rPr>
      </w:pPr>
    </w:p>
    <w:tbl>
      <w:tblPr>
        <w:tblW w:w="9360" w:type="dxa"/>
        <w:tblBorders>
          <w:top w:val="nil"/>
          <w:left w:val="nil"/>
          <w:bottom w:val="nil"/>
          <w:right w:val="nil"/>
          <w:insideH w:val="nil"/>
          <w:insideV w:val="nil"/>
        </w:tblBorders>
        <w:tblLayout w:type="fixed"/>
        <w:tblLook w:val="0600" w:firstRow="0" w:lastRow="0" w:firstColumn="0" w:lastColumn="0" w:noHBand="1" w:noVBand="1"/>
      </w:tblPr>
      <w:tblGrid>
        <w:gridCol w:w="1890"/>
        <w:gridCol w:w="1980"/>
        <w:gridCol w:w="2272"/>
        <w:gridCol w:w="3218"/>
      </w:tblGrid>
      <w:tr w:rsidR="00D25F0C" w:rsidRPr="00D25F0C" w14:paraId="74C468B6" w14:textId="77777777" w:rsidTr="009E0920">
        <w:trPr>
          <w:trHeight w:val="467"/>
        </w:trPr>
        <w:tc>
          <w:tcPr>
            <w:tcW w:w="1890" w:type="dxa"/>
            <w:tcBorders>
              <w:top w:val="single" w:sz="18" w:space="0" w:color="auto"/>
              <w:left w:val="nil"/>
              <w:bottom w:val="single" w:sz="18" w:space="0" w:color="auto"/>
              <w:right w:val="nil"/>
            </w:tcBorders>
            <w:tcMar>
              <w:top w:w="100" w:type="dxa"/>
              <w:left w:w="100" w:type="dxa"/>
              <w:bottom w:w="100" w:type="dxa"/>
              <w:right w:w="100" w:type="dxa"/>
            </w:tcMar>
          </w:tcPr>
          <w:p w14:paraId="502C8B59" w14:textId="77777777" w:rsidR="00D25F0C" w:rsidRPr="00D25F0C" w:rsidRDefault="00D25F0C" w:rsidP="00677C01">
            <w:pPr>
              <w:spacing w:before="240"/>
              <w:rPr>
                <w:rFonts w:ascii="Verdana" w:eastAsia="Verdana" w:hAnsi="Verdana" w:cs="Verdana"/>
                <w:b/>
                <w:bCs/>
                <w:sz w:val="18"/>
                <w:szCs w:val="18"/>
              </w:rPr>
            </w:pPr>
            <w:r w:rsidRPr="00D25F0C">
              <w:rPr>
                <w:rFonts w:ascii="Verdana" w:eastAsia="Verdana" w:hAnsi="Verdana" w:cs="Verdana"/>
                <w:b/>
                <w:bCs/>
                <w:sz w:val="18"/>
                <w:szCs w:val="18"/>
              </w:rPr>
              <w:t>Species</w:t>
            </w:r>
          </w:p>
        </w:tc>
        <w:tc>
          <w:tcPr>
            <w:tcW w:w="1980" w:type="dxa"/>
            <w:tcBorders>
              <w:top w:val="single" w:sz="18" w:space="0" w:color="auto"/>
              <w:left w:val="nil"/>
              <w:bottom w:val="single" w:sz="18" w:space="0" w:color="auto"/>
              <w:right w:val="nil"/>
            </w:tcBorders>
            <w:tcMar>
              <w:top w:w="100" w:type="dxa"/>
              <w:left w:w="100" w:type="dxa"/>
              <w:bottom w:w="100" w:type="dxa"/>
              <w:right w:w="100" w:type="dxa"/>
            </w:tcMar>
          </w:tcPr>
          <w:p w14:paraId="57EABB75" w14:textId="77777777" w:rsidR="00D25F0C" w:rsidRPr="00D25F0C" w:rsidRDefault="00D25F0C" w:rsidP="00677C01">
            <w:pPr>
              <w:spacing w:before="240"/>
              <w:rPr>
                <w:rFonts w:ascii="Verdana" w:eastAsia="Verdana" w:hAnsi="Verdana" w:cs="Verdana"/>
                <w:b/>
                <w:bCs/>
                <w:sz w:val="18"/>
                <w:szCs w:val="18"/>
              </w:rPr>
            </w:pPr>
            <w:proofErr w:type="spellStart"/>
            <w:r w:rsidRPr="00D25F0C">
              <w:rPr>
                <w:rFonts w:ascii="Verdana" w:eastAsia="Verdana" w:hAnsi="Verdana" w:cs="Verdana"/>
                <w:b/>
                <w:bCs/>
                <w:sz w:val="18"/>
                <w:szCs w:val="18"/>
              </w:rPr>
              <w:t>LuxR</w:t>
            </w:r>
            <w:proofErr w:type="spellEnd"/>
            <w:r w:rsidRPr="00D25F0C">
              <w:rPr>
                <w:rFonts w:ascii="Verdana" w:eastAsia="Verdana" w:hAnsi="Verdana" w:cs="Verdana"/>
                <w:b/>
                <w:bCs/>
                <w:sz w:val="18"/>
                <w:szCs w:val="18"/>
              </w:rPr>
              <w:t xml:space="preserve"> gene locus</w:t>
            </w:r>
          </w:p>
        </w:tc>
        <w:tc>
          <w:tcPr>
            <w:tcW w:w="2272" w:type="dxa"/>
            <w:tcBorders>
              <w:top w:val="single" w:sz="18" w:space="0" w:color="auto"/>
              <w:left w:val="nil"/>
              <w:bottom w:val="single" w:sz="18" w:space="0" w:color="auto"/>
              <w:right w:val="nil"/>
            </w:tcBorders>
            <w:tcMar>
              <w:top w:w="100" w:type="dxa"/>
              <w:left w:w="100" w:type="dxa"/>
              <w:bottom w:w="100" w:type="dxa"/>
              <w:right w:w="100" w:type="dxa"/>
            </w:tcMar>
          </w:tcPr>
          <w:p w14:paraId="63266772" w14:textId="77777777" w:rsidR="00D25F0C" w:rsidRPr="00D25F0C" w:rsidRDefault="00D25F0C" w:rsidP="00677C01">
            <w:pPr>
              <w:spacing w:before="240"/>
              <w:rPr>
                <w:rFonts w:ascii="Verdana" w:eastAsia="Verdana" w:hAnsi="Verdana" w:cs="Verdana"/>
                <w:b/>
                <w:bCs/>
                <w:sz w:val="18"/>
                <w:szCs w:val="18"/>
              </w:rPr>
            </w:pPr>
            <w:proofErr w:type="spellStart"/>
            <w:r w:rsidRPr="00D25F0C">
              <w:rPr>
                <w:rFonts w:ascii="Verdana" w:eastAsia="Verdana" w:hAnsi="Verdana" w:cs="Verdana"/>
                <w:b/>
                <w:bCs/>
                <w:sz w:val="18"/>
                <w:szCs w:val="18"/>
              </w:rPr>
              <w:t>LuxI</w:t>
            </w:r>
            <w:proofErr w:type="spellEnd"/>
            <w:r w:rsidRPr="00D25F0C">
              <w:rPr>
                <w:rFonts w:ascii="Verdana" w:eastAsia="Verdana" w:hAnsi="Verdana" w:cs="Verdana"/>
                <w:b/>
                <w:bCs/>
                <w:sz w:val="18"/>
                <w:szCs w:val="18"/>
              </w:rPr>
              <w:t xml:space="preserve"> gene locus</w:t>
            </w:r>
          </w:p>
        </w:tc>
        <w:tc>
          <w:tcPr>
            <w:tcW w:w="3218" w:type="dxa"/>
            <w:tcBorders>
              <w:top w:val="single" w:sz="18" w:space="0" w:color="auto"/>
              <w:left w:val="nil"/>
              <w:bottom w:val="single" w:sz="18" w:space="0" w:color="auto"/>
              <w:right w:val="nil"/>
            </w:tcBorders>
            <w:tcMar>
              <w:top w:w="100" w:type="dxa"/>
              <w:left w:w="100" w:type="dxa"/>
              <w:bottom w:w="100" w:type="dxa"/>
              <w:right w:w="100" w:type="dxa"/>
            </w:tcMar>
          </w:tcPr>
          <w:p w14:paraId="535B687D" w14:textId="77777777" w:rsidR="00D25F0C" w:rsidRPr="00D25F0C" w:rsidRDefault="00D25F0C" w:rsidP="00677C01">
            <w:pPr>
              <w:spacing w:before="240"/>
              <w:rPr>
                <w:rFonts w:ascii="Verdana" w:eastAsia="Verdana" w:hAnsi="Verdana" w:cs="Verdana"/>
                <w:b/>
                <w:bCs/>
                <w:sz w:val="18"/>
                <w:szCs w:val="18"/>
              </w:rPr>
            </w:pPr>
            <w:r w:rsidRPr="00D25F0C">
              <w:rPr>
                <w:rFonts w:ascii="Verdana" w:eastAsia="Verdana" w:hAnsi="Verdana" w:cs="Verdana"/>
                <w:b/>
                <w:bCs/>
                <w:sz w:val="18"/>
                <w:szCs w:val="18"/>
              </w:rPr>
              <w:t>Predominant AHLs (putative)</w:t>
            </w:r>
          </w:p>
        </w:tc>
      </w:tr>
      <w:tr w:rsidR="00D25F0C" w:rsidRPr="00D25F0C" w14:paraId="158B9625" w14:textId="77777777" w:rsidTr="009E0920">
        <w:trPr>
          <w:trHeight w:val="485"/>
        </w:trPr>
        <w:tc>
          <w:tcPr>
            <w:tcW w:w="1890" w:type="dxa"/>
            <w:tcBorders>
              <w:top w:val="single" w:sz="18" w:space="0" w:color="auto"/>
              <w:left w:val="nil"/>
              <w:bottom w:val="nil"/>
              <w:right w:val="nil"/>
            </w:tcBorders>
            <w:tcMar>
              <w:top w:w="100" w:type="dxa"/>
              <w:left w:w="100" w:type="dxa"/>
              <w:bottom w:w="100" w:type="dxa"/>
              <w:right w:w="100" w:type="dxa"/>
            </w:tcMar>
          </w:tcPr>
          <w:p w14:paraId="2DF1FE23" w14:textId="77777777" w:rsidR="00D25F0C" w:rsidRPr="00D25F0C" w:rsidRDefault="00D25F0C" w:rsidP="00677C01">
            <w:pPr>
              <w:spacing w:before="240"/>
              <w:rPr>
                <w:rFonts w:ascii="Verdana" w:eastAsia="Verdana" w:hAnsi="Verdana" w:cs="Verdana"/>
                <w:sz w:val="18"/>
                <w:szCs w:val="18"/>
              </w:rPr>
            </w:pPr>
            <w:proofErr w:type="spellStart"/>
            <w:r w:rsidRPr="00D25F0C">
              <w:rPr>
                <w:rFonts w:ascii="Verdana" w:eastAsia="Verdana" w:hAnsi="Verdana" w:cs="Verdana"/>
                <w:i/>
                <w:iCs/>
                <w:sz w:val="18"/>
                <w:szCs w:val="18"/>
              </w:rPr>
              <w:t>Sagittula</w:t>
            </w:r>
            <w:proofErr w:type="spellEnd"/>
            <w:r w:rsidRPr="00D25F0C">
              <w:rPr>
                <w:rFonts w:ascii="Verdana" w:eastAsia="Verdana" w:hAnsi="Verdana" w:cs="Verdana"/>
                <w:i/>
                <w:iCs/>
                <w:sz w:val="18"/>
                <w:szCs w:val="18"/>
              </w:rPr>
              <w:t xml:space="preserve"> </w:t>
            </w:r>
            <w:proofErr w:type="spellStart"/>
            <w:r w:rsidRPr="00D25F0C">
              <w:rPr>
                <w:rFonts w:ascii="Verdana" w:eastAsia="Verdana" w:hAnsi="Verdana" w:cs="Verdana"/>
                <w:i/>
                <w:iCs/>
                <w:sz w:val="18"/>
                <w:szCs w:val="18"/>
              </w:rPr>
              <w:t>stellata</w:t>
            </w:r>
            <w:proofErr w:type="spellEnd"/>
            <w:r w:rsidRPr="00D25F0C">
              <w:rPr>
                <w:rFonts w:ascii="Verdana" w:eastAsia="Verdana" w:hAnsi="Verdana" w:cs="Verdana"/>
                <w:sz w:val="18"/>
                <w:szCs w:val="18"/>
              </w:rPr>
              <w:t xml:space="preserve"> E-37</w:t>
            </w:r>
          </w:p>
        </w:tc>
        <w:tc>
          <w:tcPr>
            <w:tcW w:w="1980" w:type="dxa"/>
            <w:tcBorders>
              <w:top w:val="single" w:sz="18" w:space="0" w:color="auto"/>
              <w:left w:val="nil"/>
              <w:bottom w:val="nil"/>
              <w:right w:val="nil"/>
            </w:tcBorders>
            <w:tcMar>
              <w:top w:w="100" w:type="dxa"/>
              <w:left w:w="100" w:type="dxa"/>
              <w:bottom w:w="100" w:type="dxa"/>
              <w:right w:w="100" w:type="dxa"/>
            </w:tcMar>
          </w:tcPr>
          <w:p w14:paraId="37AF4D79" w14:textId="77777777" w:rsidR="00D25F0C" w:rsidRPr="00D25F0C" w:rsidRDefault="00D25F0C" w:rsidP="00677C01">
            <w:pPr>
              <w:spacing w:before="240"/>
              <w:rPr>
                <w:rFonts w:ascii="Verdana" w:eastAsia="Verdana" w:hAnsi="Verdana" w:cs="Verdana"/>
                <w:sz w:val="18"/>
                <w:szCs w:val="18"/>
              </w:rPr>
            </w:pPr>
            <w:r w:rsidRPr="00D25F0C">
              <w:rPr>
                <w:rFonts w:ascii="Verdana" w:eastAsia="Verdana" w:hAnsi="Verdana" w:cs="Verdana"/>
                <w:sz w:val="18"/>
                <w:szCs w:val="18"/>
              </w:rPr>
              <w:t>SSE37_11169</w:t>
            </w:r>
            <w:r w:rsidRPr="00D25F0C">
              <w:rPr>
                <w:rFonts w:ascii="Verdana" w:eastAsia="Verdana" w:hAnsi="Verdana" w:cs="Verdana"/>
                <w:sz w:val="18"/>
                <w:szCs w:val="18"/>
                <w:vertAlign w:val="superscript"/>
              </w:rPr>
              <w:t>ac</w:t>
            </w:r>
          </w:p>
        </w:tc>
        <w:tc>
          <w:tcPr>
            <w:tcW w:w="2272" w:type="dxa"/>
            <w:tcBorders>
              <w:top w:val="single" w:sz="18" w:space="0" w:color="auto"/>
              <w:left w:val="nil"/>
              <w:bottom w:val="nil"/>
              <w:right w:val="nil"/>
            </w:tcBorders>
            <w:tcMar>
              <w:top w:w="100" w:type="dxa"/>
              <w:left w:w="100" w:type="dxa"/>
              <w:bottom w:w="100" w:type="dxa"/>
              <w:right w:w="100" w:type="dxa"/>
            </w:tcMar>
          </w:tcPr>
          <w:p w14:paraId="5B3BDCBE" w14:textId="77777777" w:rsidR="00D25F0C" w:rsidRPr="00D25F0C" w:rsidRDefault="00D25F0C" w:rsidP="00677C01">
            <w:pPr>
              <w:spacing w:before="240"/>
              <w:rPr>
                <w:rFonts w:ascii="Verdana" w:eastAsia="Verdana" w:hAnsi="Verdana" w:cs="Verdana"/>
                <w:sz w:val="18"/>
                <w:szCs w:val="18"/>
              </w:rPr>
            </w:pPr>
            <w:r w:rsidRPr="00D25F0C">
              <w:rPr>
                <w:rFonts w:ascii="Verdana" w:eastAsia="Verdana" w:hAnsi="Verdana" w:cs="Verdana"/>
                <w:sz w:val="18"/>
                <w:szCs w:val="18"/>
              </w:rPr>
              <w:t>SSE37_11164</w:t>
            </w:r>
            <w:r w:rsidRPr="00D25F0C">
              <w:rPr>
                <w:rFonts w:ascii="Verdana" w:eastAsia="Verdana" w:hAnsi="Verdana" w:cs="Verdana"/>
                <w:sz w:val="18"/>
                <w:szCs w:val="18"/>
                <w:vertAlign w:val="superscript"/>
              </w:rPr>
              <w:t>ac</w:t>
            </w:r>
          </w:p>
        </w:tc>
        <w:tc>
          <w:tcPr>
            <w:tcW w:w="3218" w:type="dxa"/>
            <w:tcBorders>
              <w:top w:val="single" w:sz="18" w:space="0" w:color="auto"/>
              <w:left w:val="nil"/>
              <w:bottom w:val="nil"/>
              <w:right w:val="nil"/>
            </w:tcBorders>
            <w:tcMar>
              <w:top w:w="100" w:type="dxa"/>
              <w:left w:w="100" w:type="dxa"/>
              <w:bottom w:w="100" w:type="dxa"/>
              <w:right w:w="100" w:type="dxa"/>
            </w:tcMar>
          </w:tcPr>
          <w:p w14:paraId="2290514C" w14:textId="77777777" w:rsidR="00D25F0C" w:rsidRPr="00D25F0C" w:rsidRDefault="00D25F0C" w:rsidP="00677C01">
            <w:pPr>
              <w:spacing w:before="240"/>
              <w:rPr>
                <w:rFonts w:ascii="Verdana" w:eastAsia="Verdana" w:hAnsi="Verdana" w:cs="Verdana"/>
                <w:sz w:val="18"/>
                <w:szCs w:val="18"/>
              </w:rPr>
            </w:pPr>
            <w:r w:rsidRPr="00D25F0C">
              <w:rPr>
                <w:rFonts w:ascii="Verdana" w:eastAsia="Verdana" w:hAnsi="Verdana" w:cs="Verdana"/>
                <w:sz w:val="18"/>
                <w:szCs w:val="18"/>
              </w:rPr>
              <w:t>C</w:t>
            </w:r>
            <w:r w:rsidRPr="00D25F0C">
              <w:rPr>
                <w:rFonts w:ascii="Verdana" w:eastAsia="Verdana" w:hAnsi="Verdana" w:cs="Verdana"/>
                <w:sz w:val="18"/>
                <w:szCs w:val="18"/>
                <w:vertAlign w:val="subscript"/>
              </w:rPr>
              <w:t>5</w:t>
            </w:r>
            <w:r w:rsidRPr="00D25F0C">
              <w:rPr>
                <w:rFonts w:ascii="Verdana" w:eastAsia="Verdana" w:hAnsi="Verdana" w:cs="Verdana"/>
                <w:sz w:val="18"/>
                <w:szCs w:val="18"/>
              </w:rPr>
              <w:t>-HSL; C</w:t>
            </w:r>
            <w:r w:rsidRPr="00D25F0C">
              <w:rPr>
                <w:rFonts w:ascii="Verdana" w:eastAsia="Verdana" w:hAnsi="Verdana" w:cs="Verdana"/>
                <w:sz w:val="18"/>
                <w:szCs w:val="18"/>
                <w:vertAlign w:val="subscript"/>
              </w:rPr>
              <w:t>12</w:t>
            </w:r>
            <w:r w:rsidRPr="00D25F0C">
              <w:rPr>
                <w:rFonts w:ascii="Verdana" w:eastAsia="Verdana" w:hAnsi="Verdana" w:cs="Verdana"/>
                <w:sz w:val="18"/>
                <w:szCs w:val="18"/>
              </w:rPr>
              <w:t>-HSL; 3OHC</w:t>
            </w:r>
            <w:r w:rsidRPr="00D25F0C">
              <w:rPr>
                <w:rFonts w:ascii="Verdana" w:eastAsia="Verdana" w:hAnsi="Verdana" w:cs="Verdana"/>
                <w:sz w:val="18"/>
                <w:szCs w:val="18"/>
                <w:vertAlign w:val="subscript"/>
              </w:rPr>
              <w:t>10</w:t>
            </w:r>
            <w:r w:rsidRPr="00D25F0C">
              <w:rPr>
                <w:rFonts w:ascii="Verdana" w:eastAsia="Verdana" w:hAnsi="Verdana" w:cs="Verdana"/>
                <w:sz w:val="18"/>
                <w:szCs w:val="18"/>
              </w:rPr>
              <w:t>-HSL</w:t>
            </w:r>
          </w:p>
        </w:tc>
      </w:tr>
      <w:tr w:rsidR="00D25F0C" w:rsidRPr="00D25F0C" w14:paraId="49BE61D3" w14:textId="77777777" w:rsidTr="009E0920">
        <w:trPr>
          <w:trHeight w:val="215"/>
        </w:trPr>
        <w:tc>
          <w:tcPr>
            <w:tcW w:w="1890" w:type="dxa"/>
            <w:tcBorders>
              <w:top w:val="nil"/>
              <w:left w:val="nil"/>
              <w:bottom w:val="single" w:sz="8" w:space="0" w:color="auto"/>
              <w:right w:val="nil"/>
            </w:tcBorders>
            <w:tcMar>
              <w:top w:w="100" w:type="dxa"/>
              <w:left w:w="100" w:type="dxa"/>
              <w:bottom w:w="100" w:type="dxa"/>
              <w:right w:w="100" w:type="dxa"/>
            </w:tcMar>
          </w:tcPr>
          <w:p w14:paraId="270BD280" w14:textId="77777777" w:rsidR="00D25F0C" w:rsidRPr="00D25F0C" w:rsidRDefault="00D25F0C" w:rsidP="00677C01">
            <w:pPr>
              <w:spacing w:before="240"/>
              <w:rPr>
                <w:rFonts w:ascii="Verdana" w:eastAsia="Verdana" w:hAnsi="Verdana" w:cs="Verdana"/>
                <w:color w:val="808080" w:themeColor="background1" w:themeShade="80"/>
                <w:sz w:val="18"/>
                <w:szCs w:val="18"/>
              </w:rPr>
            </w:pPr>
          </w:p>
        </w:tc>
        <w:tc>
          <w:tcPr>
            <w:tcW w:w="1980" w:type="dxa"/>
            <w:tcBorders>
              <w:top w:val="nil"/>
              <w:left w:val="nil"/>
              <w:bottom w:val="single" w:sz="8" w:space="0" w:color="auto"/>
              <w:right w:val="nil"/>
            </w:tcBorders>
            <w:tcMar>
              <w:top w:w="100" w:type="dxa"/>
              <w:left w:w="100" w:type="dxa"/>
              <w:bottom w:w="100" w:type="dxa"/>
              <w:right w:w="100" w:type="dxa"/>
            </w:tcMar>
          </w:tcPr>
          <w:p w14:paraId="0B972FCD" w14:textId="77777777" w:rsidR="00D25F0C" w:rsidRPr="00D25F0C" w:rsidRDefault="00D25F0C" w:rsidP="00677C01">
            <w:pPr>
              <w:spacing w:before="240"/>
              <w:rPr>
                <w:rFonts w:ascii="Verdana" w:eastAsia="Verdana" w:hAnsi="Verdana" w:cs="Verdana"/>
                <w:color w:val="808080" w:themeColor="background1" w:themeShade="80"/>
                <w:sz w:val="18"/>
                <w:szCs w:val="18"/>
              </w:rPr>
            </w:pPr>
            <w:r w:rsidRPr="00D25F0C">
              <w:rPr>
                <w:rFonts w:ascii="Verdana" w:eastAsia="Verdana" w:hAnsi="Verdana" w:cs="Verdana"/>
                <w:color w:val="808080" w:themeColor="background1" w:themeShade="80"/>
                <w:sz w:val="18"/>
                <w:szCs w:val="18"/>
              </w:rPr>
              <w:t>SSE37_06082</w:t>
            </w:r>
            <w:r w:rsidRPr="00D25F0C">
              <w:rPr>
                <w:rFonts w:ascii="Verdana" w:eastAsia="Verdana" w:hAnsi="Verdana" w:cs="Verdana"/>
                <w:color w:val="808080" w:themeColor="background1" w:themeShade="80"/>
                <w:sz w:val="18"/>
                <w:szCs w:val="18"/>
                <w:vertAlign w:val="superscript"/>
              </w:rPr>
              <w:t>bc</w:t>
            </w:r>
          </w:p>
        </w:tc>
        <w:tc>
          <w:tcPr>
            <w:tcW w:w="2272" w:type="dxa"/>
            <w:tcBorders>
              <w:top w:val="nil"/>
              <w:left w:val="nil"/>
              <w:bottom w:val="single" w:sz="8" w:space="0" w:color="auto"/>
              <w:right w:val="nil"/>
            </w:tcBorders>
            <w:tcMar>
              <w:top w:w="100" w:type="dxa"/>
              <w:left w:w="100" w:type="dxa"/>
              <w:bottom w:w="100" w:type="dxa"/>
              <w:right w:w="100" w:type="dxa"/>
            </w:tcMar>
          </w:tcPr>
          <w:p w14:paraId="421180E6" w14:textId="77777777" w:rsidR="00D25F0C" w:rsidRPr="00D25F0C" w:rsidRDefault="00D25F0C" w:rsidP="00677C01">
            <w:pPr>
              <w:spacing w:before="240"/>
              <w:rPr>
                <w:rFonts w:ascii="Verdana" w:eastAsia="Verdana" w:hAnsi="Verdana" w:cs="Verdana"/>
                <w:sz w:val="18"/>
                <w:szCs w:val="18"/>
              </w:rPr>
            </w:pPr>
          </w:p>
        </w:tc>
        <w:tc>
          <w:tcPr>
            <w:tcW w:w="3218" w:type="dxa"/>
            <w:tcBorders>
              <w:top w:val="nil"/>
              <w:left w:val="nil"/>
              <w:bottom w:val="single" w:sz="8" w:space="0" w:color="auto"/>
              <w:right w:val="nil"/>
            </w:tcBorders>
            <w:tcMar>
              <w:top w:w="100" w:type="dxa"/>
              <w:left w:w="100" w:type="dxa"/>
              <w:bottom w:w="100" w:type="dxa"/>
              <w:right w:w="100" w:type="dxa"/>
            </w:tcMar>
          </w:tcPr>
          <w:p w14:paraId="348ABE96"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r>
      <w:tr w:rsidR="00D25F0C" w:rsidRPr="00D25F0C" w14:paraId="2FA42457" w14:textId="77777777" w:rsidTr="009E0920">
        <w:trPr>
          <w:trHeight w:val="20"/>
        </w:trPr>
        <w:tc>
          <w:tcPr>
            <w:tcW w:w="1890" w:type="dxa"/>
            <w:tcBorders>
              <w:top w:val="single" w:sz="8" w:space="0" w:color="auto"/>
              <w:left w:val="nil"/>
              <w:bottom w:val="single" w:sz="8" w:space="0" w:color="auto"/>
              <w:right w:val="nil"/>
            </w:tcBorders>
            <w:tcMar>
              <w:top w:w="100" w:type="dxa"/>
              <w:left w:w="100" w:type="dxa"/>
              <w:bottom w:w="100" w:type="dxa"/>
              <w:right w:w="100" w:type="dxa"/>
            </w:tcMar>
          </w:tcPr>
          <w:p w14:paraId="27BBB39F"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c>
          <w:tcPr>
            <w:tcW w:w="1980" w:type="dxa"/>
            <w:tcBorders>
              <w:top w:val="single" w:sz="8" w:space="0" w:color="auto"/>
              <w:left w:val="nil"/>
              <w:bottom w:val="single" w:sz="8" w:space="0" w:color="auto"/>
              <w:right w:val="nil"/>
            </w:tcBorders>
            <w:tcMar>
              <w:top w:w="100" w:type="dxa"/>
              <w:left w:w="100" w:type="dxa"/>
              <w:bottom w:w="100" w:type="dxa"/>
              <w:right w:w="100" w:type="dxa"/>
            </w:tcMar>
          </w:tcPr>
          <w:p w14:paraId="66E697AD"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c>
          <w:tcPr>
            <w:tcW w:w="2272" w:type="dxa"/>
            <w:tcBorders>
              <w:top w:val="single" w:sz="8" w:space="0" w:color="auto"/>
              <w:left w:val="nil"/>
              <w:bottom w:val="single" w:sz="8" w:space="0" w:color="auto"/>
              <w:right w:val="nil"/>
            </w:tcBorders>
            <w:tcMar>
              <w:top w:w="100" w:type="dxa"/>
              <w:left w:w="100" w:type="dxa"/>
              <w:bottom w:w="100" w:type="dxa"/>
              <w:right w:w="100" w:type="dxa"/>
            </w:tcMar>
          </w:tcPr>
          <w:p w14:paraId="3755BB8A"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c>
          <w:tcPr>
            <w:tcW w:w="3218" w:type="dxa"/>
            <w:tcBorders>
              <w:top w:val="single" w:sz="8" w:space="0" w:color="auto"/>
              <w:left w:val="nil"/>
              <w:bottom w:val="single" w:sz="8" w:space="0" w:color="auto"/>
              <w:right w:val="nil"/>
            </w:tcBorders>
            <w:tcMar>
              <w:top w:w="100" w:type="dxa"/>
              <w:left w:w="100" w:type="dxa"/>
              <w:bottom w:w="100" w:type="dxa"/>
              <w:right w:w="100" w:type="dxa"/>
            </w:tcMar>
          </w:tcPr>
          <w:p w14:paraId="6F0861FD"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r>
      <w:tr w:rsidR="00D25F0C" w:rsidRPr="00D25F0C" w14:paraId="0E3D7A0E" w14:textId="77777777" w:rsidTr="009E0920">
        <w:trPr>
          <w:trHeight w:val="512"/>
        </w:trPr>
        <w:tc>
          <w:tcPr>
            <w:tcW w:w="1890" w:type="dxa"/>
            <w:tcBorders>
              <w:top w:val="single" w:sz="8" w:space="0" w:color="auto"/>
              <w:left w:val="nil"/>
              <w:bottom w:val="nil"/>
              <w:right w:val="nil"/>
            </w:tcBorders>
            <w:tcMar>
              <w:top w:w="100" w:type="dxa"/>
              <w:left w:w="100" w:type="dxa"/>
              <w:bottom w:w="100" w:type="dxa"/>
              <w:right w:w="100" w:type="dxa"/>
            </w:tcMar>
          </w:tcPr>
          <w:p w14:paraId="4712FA24" w14:textId="77777777" w:rsidR="00D25F0C" w:rsidRPr="00D25F0C" w:rsidRDefault="00D25F0C" w:rsidP="00677C01">
            <w:pPr>
              <w:spacing w:before="240"/>
              <w:rPr>
                <w:rFonts w:ascii="Verdana" w:eastAsia="Verdana" w:hAnsi="Verdana" w:cs="Verdana"/>
                <w:sz w:val="18"/>
                <w:szCs w:val="18"/>
              </w:rPr>
            </w:pPr>
            <w:proofErr w:type="spellStart"/>
            <w:r w:rsidRPr="00D25F0C">
              <w:rPr>
                <w:rFonts w:ascii="Verdana" w:eastAsia="Verdana" w:hAnsi="Verdana" w:cs="Verdana"/>
                <w:i/>
                <w:iCs/>
                <w:sz w:val="18"/>
                <w:szCs w:val="18"/>
              </w:rPr>
              <w:t>Sulfitobacter</w:t>
            </w:r>
            <w:proofErr w:type="spellEnd"/>
            <w:r w:rsidRPr="00D25F0C">
              <w:rPr>
                <w:rFonts w:ascii="Verdana" w:eastAsia="Verdana" w:hAnsi="Verdana" w:cs="Verdana"/>
                <w:i/>
                <w:iCs/>
                <w:sz w:val="18"/>
                <w:szCs w:val="18"/>
              </w:rPr>
              <w:t xml:space="preserve"> sp.</w:t>
            </w:r>
            <w:r w:rsidRPr="00D25F0C">
              <w:rPr>
                <w:rFonts w:ascii="Verdana" w:eastAsia="Verdana" w:hAnsi="Verdana" w:cs="Verdana"/>
                <w:sz w:val="18"/>
                <w:szCs w:val="18"/>
              </w:rPr>
              <w:t xml:space="preserve"> EE-36</w:t>
            </w:r>
          </w:p>
        </w:tc>
        <w:tc>
          <w:tcPr>
            <w:tcW w:w="1980" w:type="dxa"/>
            <w:tcBorders>
              <w:top w:val="single" w:sz="8" w:space="0" w:color="auto"/>
              <w:left w:val="nil"/>
              <w:bottom w:val="nil"/>
              <w:right w:val="nil"/>
            </w:tcBorders>
            <w:tcMar>
              <w:top w:w="100" w:type="dxa"/>
              <w:left w:w="100" w:type="dxa"/>
              <w:bottom w:w="100" w:type="dxa"/>
              <w:right w:w="100" w:type="dxa"/>
            </w:tcMar>
          </w:tcPr>
          <w:p w14:paraId="3E131D6E" w14:textId="77777777" w:rsidR="00D25F0C" w:rsidRPr="00D25F0C" w:rsidRDefault="00D25F0C" w:rsidP="00677C01">
            <w:pPr>
              <w:spacing w:before="240"/>
              <w:rPr>
                <w:rFonts w:ascii="Verdana" w:eastAsia="Verdana" w:hAnsi="Verdana" w:cs="Verdana"/>
                <w:color w:val="808080" w:themeColor="background1" w:themeShade="80"/>
                <w:sz w:val="18"/>
                <w:szCs w:val="18"/>
              </w:rPr>
            </w:pPr>
          </w:p>
        </w:tc>
        <w:tc>
          <w:tcPr>
            <w:tcW w:w="2272" w:type="dxa"/>
            <w:tcBorders>
              <w:top w:val="single" w:sz="8" w:space="0" w:color="auto"/>
              <w:left w:val="nil"/>
              <w:bottom w:val="nil"/>
              <w:right w:val="nil"/>
            </w:tcBorders>
            <w:tcMar>
              <w:top w:w="100" w:type="dxa"/>
              <w:left w:w="100" w:type="dxa"/>
              <w:bottom w:w="100" w:type="dxa"/>
              <w:right w:w="100" w:type="dxa"/>
            </w:tcMar>
          </w:tcPr>
          <w:p w14:paraId="7E5CE371" w14:textId="77777777" w:rsidR="00D25F0C" w:rsidRPr="00D25F0C" w:rsidRDefault="00D25F0C" w:rsidP="00677C01">
            <w:pPr>
              <w:spacing w:before="240"/>
              <w:rPr>
                <w:rFonts w:ascii="Verdana" w:eastAsia="Verdana" w:hAnsi="Verdana" w:cs="Verdana"/>
                <w:color w:val="808080" w:themeColor="background1" w:themeShade="80"/>
                <w:sz w:val="18"/>
                <w:szCs w:val="18"/>
              </w:rPr>
            </w:pPr>
            <w:r w:rsidRPr="00D25F0C">
              <w:rPr>
                <w:rFonts w:ascii="Verdana" w:eastAsia="Verdana" w:hAnsi="Verdana" w:cs="Verdana"/>
                <w:color w:val="808080" w:themeColor="background1" w:themeShade="80"/>
                <w:sz w:val="18"/>
                <w:szCs w:val="18"/>
              </w:rPr>
              <w:t>EE36_01635</w:t>
            </w:r>
            <w:r w:rsidRPr="00D25F0C">
              <w:rPr>
                <w:rFonts w:ascii="Verdana" w:eastAsia="Verdana" w:hAnsi="Verdana" w:cs="Verdana"/>
                <w:color w:val="808080" w:themeColor="background1" w:themeShade="80"/>
                <w:sz w:val="18"/>
                <w:szCs w:val="18"/>
                <w:vertAlign w:val="superscript"/>
              </w:rPr>
              <w:t>bc</w:t>
            </w:r>
          </w:p>
        </w:tc>
        <w:tc>
          <w:tcPr>
            <w:tcW w:w="3218" w:type="dxa"/>
            <w:tcBorders>
              <w:top w:val="single" w:sz="8" w:space="0" w:color="auto"/>
              <w:left w:val="nil"/>
              <w:bottom w:val="nil"/>
              <w:right w:val="nil"/>
            </w:tcBorders>
            <w:tcMar>
              <w:top w:w="100" w:type="dxa"/>
              <w:left w:w="100" w:type="dxa"/>
              <w:bottom w:w="100" w:type="dxa"/>
              <w:right w:w="100" w:type="dxa"/>
            </w:tcMar>
          </w:tcPr>
          <w:p w14:paraId="4C8E6820" w14:textId="77777777" w:rsidR="00D25F0C" w:rsidRPr="00D25F0C" w:rsidRDefault="00D25F0C" w:rsidP="00677C01">
            <w:pPr>
              <w:spacing w:before="240"/>
              <w:rPr>
                <w:rFonts w:ascii="Verdana" w:eastAsia="Verdana" w:hAnsi="Verdana" w:cs="Verdana"/>
                <w:sz w:val="18"/>
                <w:szCs w:val="18"/>
              </w:rPr>
            </w:pPr>
            <w:r w:rsidRPr="00D25F0C">
              <w:rPr>
                <w:rFonts w:ascii="Verdana" w:eastAsia="Verdana" w:hAnsi="Verdana" w:cs="Verdana"/>
                <w:sz w:val="18"/>
                <w:szCs w:val="18"/>
              </w:rPr>
              <w:t>C</w:t>
            </w:r>
            <w:r w:rsidRPr="00D25F0C">
              <w:rPr>
                <w:rFonts w:ascii="Verdana" w:eastAsia="Verdana" w:hAnsi="Verdana" w:cs="Verdana"/>
                <w:sz w:val="18"/>
                <w:szCs w:val="18"/>
                <w:vertAlign w:val="subscript"/>
              </w:rPr>
              <w:t>5</w:t>
            </w:r>
            <w:r w:rsidRPr="00D25F0C">
              <w:rPr>
                <w:rFonts w:ascii="Verdana" w:eastAsia="Verdana" w:hAnsi="Verdana" w:cs="Verdana"/>
                <w:sz w:val="18"/>
                <w:szCs w:val="18"/>
              </w:rPr>
              <w:t>-HSL; C</w:t>
            </w:r>
            <w:r w:rsidRPr="00D25F0C">
              <w:rPr>
                <w:rFonts w:ascii="Verdana" w:eastAsia="Verdana" w:hAnsi="Verdana" w:cs="Verdana"/>
                <w:sz w:val="18"/>
                <w:szCs w:val="18"/>
                <w:vertAlign w:val="subscript"/>
              </w:rPr>
              <w:t>12</w:t>
            </w:r>
            <w:r w:rsidRPr="00D25F0C">
              <w:rPr>
                <w:rFonts w:ascii="Verdana" w:eastAsia="Verdana" w:hAnsi="Verdana" w:cs="Verdana"/>
                <w:sz w:val="18"/>
                <w:szCs w:val="18"/>
              </w:rPr>
              <w:t>-HSL</w:t>
            </w:r>
          </w:p>
        </w:tc>
      </w:tr>
      <w:tr w:rsidR="00D25F0C" w:rsidRPr="00D25F0C" w14:paraId="499B9874" w14:textId="77777777" w:rsidTr="009E0920">
        <w:trPr>
          <w:trHeight w:val="152"/>
        </w:trPr>
        <w:tc>
          <w:tcPr>
            <w:tcW w:w="1890" w:type="dxa"/>
            <w:tcBorders>
              <w:top w:val="nil"/>
              <w:left w:val="nil"/>
              <w:bottom w:val="single" w:sz="8" w:space="0" w:color="auto"/>
              <w:right w:val="nil"/>
            </w:tcBorders>
            <w:tcMar>
              <w:top w:w="100" w:type="dxa"/>
              <w:left w:w="100" w:type="dxa"/>
              <w:bottom w:w="100" w:type="dxa"/>
              <w:right w:w="100" w:type="dxa"/>
            </w:tcMar>
          </w:tcPr>
          <w:p w14:paraId="67802A2C" w14:textId="77777777" w:rsidR="00D25F0C" w:rsidRPr="00D25F0C" w:rsidRDefault="00D25F0C" w:rsidP="00677C01">
            <w:pPr>
              <w:spacing w:before="240"/>
              <w:rPr>
                <w:rFonts w:ascii="Verdana" w:eastAsia="Verdana" w:hAnsi="Verdana" w:cs="Verdana"/>
                <w:sz w:val="18"/>
                <w:szCs w:val="18"/>
              </w:rPr>
            </w:pPr>
          </w:p>
        </w:tc>
        <w:tc>
          <w:tcPr>
            <w:tcW w:w="1980" w:type="dxa"/>
            <w:tcBorders>
              <w:top w:val="nil"/>
              <w:left w:val="nil"/>
              <w:bottom w:val="single" w:sz="8" w:space="0" w:color="auto"/>
              <w:right w:val="nil"/>
            </w:tcBorders>
            <w:tcMar>
              <w:top w:w="100" w:type="dxa"/>
              <w:left w:w="100" w:type="dxa"/>
              <w:bottom w:w="100" w:type="dxa"/>
              <w:right w:w="100" w:type="dxa"/>
            </w:tcMar>
          </w:tcPr>
          <w:p w14:paraId="3ADED7F1" w14:textId="77777777" w:rsidR="00D25F0C" w:rsidRPr="00D25F0C" w:rsidRDefault="00D25F0C" w:rsidP="00677C01">
            <w:pPr>
              <w:spacing w:before="240"/>
              <w:rPr>
                <w:rFonts w:ascii="Verdana" w:eastAsia="Verdana" w:hAnsi="Verdana" w:cs="Verdana"/>
                <w:color w:val="808080" w:themeColor="background1" w:themeShade="80"/>
                <w:sz w:val="18"/>
                <w:szCs w:val="18"/>
              </w:rPr>
            </w:pPr>
            <w:r w:rsidRPr="00D25F0C">
              <w:rPr>
                <w:rFonts w:ascii="Verdana" w:eastAsia="Verdana" w:hAnsi="Verdana" w:cs="Verdana"/>
                <w:color w:val="808080" w:themeColor="background1" w:themeShade="80"/>
                <w:sz w:val="18"/>
                <w:szCs w:val="18"/>
              </w:rPr>
              <w:t>EE36_03628</w:t>
            </w:r>
            <w:r w:rsidRPr="00D25F0C">
              <w:rPr>
                <w:rFonts w:ascii="Verdana" w:eastAsia="Verdana" w:hAnsi="Verdana" w:cs="Verdana"/>
                <w:color w:val="808080" w:themeColor="background1" w:themeShade="80"/>
                <w:sz w:val="18"/>
                <w:szCs w:val="18"/>
                <w:vertAlign w:val="superscript"/>
              </w:rPr>
              <w:t>bc</w:t>
            </w:r>
          </w:p>
        </w:tc>
        <w:tc>
          <w:tcPr>
            <w:tcW w:w="2272" w:type="dxa"/>
            <w:tcBorders>
              <w:top w:val="nil"/>
              <w:left w:val="nil"/>
              <w:bottom w:val="single" w:sz="8" w:space="0" w:color="auto"/>
              <w:right w:val="nil"/>
            </w:tcBorders>
            <w:tcMar>
              <w:top w:w="100" w:type="dxa"/>
              <w:left w:w="100" w:type="dxa"/>
              <w:bottom w:w="100" w:type="dxa"/>
              <w:right w:w="100" w:type="dxa"/>
            </w:tcMar>
          </w:tcPr>
          <w:p w14:paraId="120EF8FE" w14:textId="77777777" w:rsidR="00D25F0C" w:rsidRPr="00D25F0C" w:rsidRDefault="00D25F0C" w:rsidP="00677C01">
            <w:pPr>
              <w:spacing w:before="240"/>
              <w:rPr>
                <w:rFonts w:ascii="Verdana" w:eastAsia="Verdana" w:hAnsi="Verdana" w:cs="Verdana"/>
                <w:color w:val="808080" w:themeColor="background1" w:themeShade="80"/>
                <w:sz w:val="18"/>
                <w:szCs w:val="18"/>
              </w:rPr>
            </w:pPr>
          </w:p>
        </w:tc>
        <w:tc>
          <w:tcPr>
            <w:tcW w:w="3218" w:type="dxa"/>
            <w:tcBorders>
              <w:top w:val="nil"/>
              <w:left w:val="nil"/>
              <w:bottom w:val="single" w:sz="8" w:space="0" w:color="auto"/>
              <w:right w:val="nil"/>
            </w:tcBorders>
            <w:tcMar>
              <w:top w:w="100" w:type="dxa"/>
              <w:left w:w="100" w:type="dxa"/>
              <w:bottom w:w="100" w:type="dxa"/>
              <w:right w:w="100" w:type="dxa"/>
            </w:tcMar>
          </w:tcPr>
          <w:p w14:paraId="6372E3D7"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r>
      <w:tr w:rsidR="00D25F0C" w:rsidRPr="00D25F0C" w14:paraId="4C178EAD" w14:textId="77777777" w:rsidTr="009E0920">
        <w:trPr>
          <w:trHeight w:val="25"/>
        </w:trPr>
        <w:tc>
          <w:tcPr>
            <w:tcW w:w="1890" w:type="dxa"/>
            <w:tcBorders>
              <w:top w:val="single" w:sz="8" w:space="0" w:color="auto"/>
              <w:left w:val="nil"/>
              <w:bottom w:val="single" w:sz="8" w:space="0" w:color="auto"/>
              <w:right w:val="nil"/>
            </w:tcBorders>
            <w:tcMar>
              <w:top w:w="100" w:type="dxa"/>
              <w:left w:w="100" w:type="dxa"/>
              <w:bottom w:w="100" w:type="dxa"/>
              <w:right w:w="100" w:type="dxa"/>
            </w:tcMar>
          </w:tcPr>
          <w:p w14:paraId="713482D0"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c>
          <w:tcPr>
            <w:tcW w:w="1980" w:type="dxa"/>
            <w:tcBorders>
              <w:top w:val="single" w:sz="8" w:space="0" w:color="auto"/>
              <w:left w:val="nil"/>
              <w:bottom w:val="single" w:sz="8" w:space="0" w:color="auto"/>
              <w:right w:val="nil"/>
            </w:tcBorders>
            <w:tcMar>
              <w:top w:w="100" w:type="dxa"/>
              <w:left w:w="100" w:type="dxa"/>
              <w:bottom w:w="100" w:type="dxa"/>
              <w:right w:w="100" w:type="dxa"/>
            </w:tcMar>
          </w:tcPr>
          <w:p w14:paraId="068B5C41"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c>
          <w:tcPr>
            <w:tcW w:w="2272" w:type="dxa"/>
            <w:tcBorders>
              <w:top w:val="single" w:sz="8" w:space="0" w:color="auto"/>
              <w:left w:val="nil"/>
              <w:bottom w:val="single" w:sz="8" w:space="0" w:color="auto"/>
              <w:right w:val="nil"/>
            </w:tcBorders>
            <w:tcMar>
              <w:top w:w="100" w:type="dxa"/>
              <w:left w:w="100" w:type="dxa"/>
              <w:bottom w:w="100" w:type="dxa"/>
              <w:right w:w="100" w:type="dxa"/>
            </w:tcMar>
          </w:tcPr>
          <w:p w14:paraId="2B5ED24D"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c>
          <w:tcPr>
            <w:tcW w:w="3218" w:type="dxa"/>
            <w:tcBorders>
              <w:top w:val="single" w:sz="8" w:space="0" w:color="auto"/>
              <w:left w:val="nil"/>
              <w:bottom w:val="single" w:sz="8" w:space="0" w:color="auto"/>
              <w:right w:val="nil"/>
            </w:tcBorders>
            <w:tcMar>
              <w:top w:w="100" w:type="dxa"/>
              <w:left w:w="100" w:type="dxa"/>
              <w:bottom w:w="100" w:type="dxa"/>
              <w:right w:w="100" w:type="dxa"/>
            </w:tcMar>
          </w:tcPr>
          <w:p w14:paraId="6FB69FA6"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r>
      <w:tr w:rsidR="00D25F0C" w:rsidRPr="00D25F0C" w14:paraId="3741FBE3" w14:textId="77777777" w:rsidTr="009E0920">
        <w:trPr>
          <w:trHeight w:val="638"/>
        </w:trPr>
        <w:tc>
          <w:tcPr>
            <w:tcW w:w="1890" w:type="dxa"/>
            <w:tcBorders>
              <w:top w:val="single" w:sz="8" w:space="0" w:color="auto"/>
              <w:left w:val="nil"/>
              <w:bottom w:val="nil"/>
              <w:right w:val="nil"/>
            </w:tcBorders>
            <w:tcMar>
              <w:top w:w="100" w:type="dxa"/>
              <w:left w:w="100" w:type="dxa"/>
              <w:bottom w:w="100" w:type="dxa"/>
              <w:right w:w="100" w:type="dxa"/>
            </w:tcMar>
          </w:tcPr>
          <w:p w14:paraId="3EC967ED" w14:textId="77777777" w:rsidR="00D25F0C" w:rsidRPr="00D25F0C" w:rsidRDefault="00D25F0C" w:rsidP="00677C01">
            <w:pPr>
              <w:spacing w:before="240"/>
              <w:rPr>
                <w:rFonts w:ascii="Verdana" w:eastAsia="Verdana" w:hAnsi="Verdana" w:cs="Verdana"/>
                <w:sz w:val="18"/>
                <w:szCs w:val="18"/>
              </w:rPr>
            </w:pPr>
            <w:proofErr w:type="spellStart"/>
            <w:r w:rsidRPr="00D25F0C">
              <w:rPr>
                <w:rFonts w:ascii="Verdana" w:eastAsia="Verdana" w:hAnsi="Verdana" w:cs="Verdana"/>
                <w:i/>
                <w:iCs/>
                <w:sz w:val="18"/>
                <w:szCs w:val="18"/>
              </w:rPr>
              <w:t>Roseovarius</w:t>
            </w:r>
            <w:proofErr w:type="spellEnd"/>
            <w:r w:rsidRPr="00D25F0C">
              <w:rPr>
                <w:rFonts w:ascii="Verdana" w:eastAsia="Verdana" w:hAnsi="Verdana" w:cs="Verdana"/>
                <w:i/>
                <w:iCs/>
                <w:sz w:val="18"/>
                <w:szCs w:val="18"/>
              </w:rPr>
              <w:t xml:space="preserve"> </w:t>
            </w:r>
            <w:proofErr w:type="spellStart"/>
            <w:r w:rsidRPr="00D25F0C">
              <w:rPr>
                <w:rFonts w:ascii="Verdana" w:eastAsia="Verdana" w:hAnsi="Verdana" w:cs="Verdana"/>
                <w:i/>
                <w:iCs/>
                <w:sz w:val="18"/>
                <w:szCs w:val="18"/>
              </w:rPr>
              <w:t>nubinhibens</w:t>
            </w:r>
            <w:proofErr w:type="spellEnd"/>
            <w:r w:rsidRPr="00D25F0C">
              <w:rPr>
                <w:rFonts w:ascii="Verdana" w:eastAsia="Verdana" w:hAnsi="Verdana" w:cs="Verdana"/>
                <w:sz w:val="18"/>
                <w:szCs w:val="18"/>
              </w:rPr>
              <w:t xml:space="preserve"> ISM</w:t>
            </w:r>
          </w:p>
        </w:tc>
        <w:tc>
          <w:tcPr>
            <w:tcW w:w="1980" w:type="dxa"/>
            <w:tcBorders>
              <w:top w:val="single" w:sz="8" w:space="0" w:color="auto"/>
              <w:left w:val="nil"/>
              <w:bottom w:val="nil"/>
              <w:right w:val="nil"/>
            </w:tcBorders>
            <w:tcMar>
              <w:top w:w="100" w:type="dxa"/>
              <w:left w:w="100" w:type="dxa"/>
              <w:bottom w:w="100" w:type="dxa"/>
              <w:right w:w="100" w:type="dxa"/>
            </w:tcMar>
          </w:tcPr>
          <w:p w14:paraId="4FA4CA36" w14:textId="77777777" w:rsidR="00D25F0C" w:rsidRPr="00D25F0C" w:rsidRDefault="00D25F0C" w:rsidP="00677C01">
            <w:pPr>
              <w:spacing w:before="240"/>
              <w:rPr>
                <w:rFonts w:ascii="Verdana" w:eastAsia="Verdana" w:hAnsi="Verdana" w:cs="Verdana"/>
                <w:color w:val="808080" w:themeColor="background1" w:themeShade="80"/>
                <w:sz w:val="18"/>
                <w:szCs w:val="18"/>
              </w:rPr>
            </w:pPr>
          </w:p>
        </w:tc>
        <w:tc>
          <w:tcPr>
            <w:tcW w:w="2272" w:type="dxa"/>
            <w:tcBorders>
              <w:top w:val="single" w:sz="8" w:space="0" w:color="auto"/>
              <w:left w:val="nil"/>
              <w:bottom w:val="nil"/>
              <w:right w:val="nil"/>
            </w:tcBorders>
            <w:tcMar>
              <w:top w:w="100" w:type="dxa"/>
              <w:left w:w="100" w:type="dxa"/>
              <w:bottom w:w="100" w:type="dxa"/>
              <w:right w:w="100" w:type="dxa"/>
            </w:tcMar>
          </w:tcPr>
          <w:p w14:paraId="7FEE4EA8" w14:textId="77777777" w:rsidR="00D25F0C" w:rsidRPr="00D25F0C" w:rsidRDefault="00D25F0C" w:rsidP="00677C01">
            <w:pPr>
              <w:spacing w:before="240"/>
              <w:rPr>
                <w:rFonts w:ascii="Verdana" w:eastAsia="Verdana" w:hAnsi="Verdana" w:cs="Verdana"/>
                <w:color w:val="808080" w:themeColor="background1" w:themeShade="80"/>
                <w:sz w:val="18"/>
                <w:szCs w:val="18"/>
              </w:rPr>
            </w:pPr>
            <w:r w:rsidRPr="00D25F0C">
              <w:rPr>
                <w:rFonts w:ascii="Verdana" w:eastAsia="Verdana" w:hAnsi="Verdana" w:cs="Verdana"/>
                <w:color w:val="808080" w:themeColor="background1" w:themeShade="80"/>
                <w:sz w:val="18"/>
                <w:szCs w:val="18"/>
              </w:rPr>
              <w:t>ISM_03755</w:t>
            </w:r>
            <w:r w:rsidRPr="00D25F0C">
              <w:rPr>
                <w:rFonts w:ascii="Verdana" w:eastAsia="Verdana" w:hAnsi="Verdana" w:cs="Verdana"/>
                <w:color w:val="808080" w:themeColor="background1" w:themeShade="80"/>
                <w:sz w:val="18"/>
                <w:szCs w:val="18"/>
                <w:vertAlign w:val="superscript"/>
              </w:rPr>
              <w:t>bc</w:t>
            </w:r>
          </w:p>
        </w:tc>
        <w:tc>
          <w:tcPr>
            <w:tcW w:w="3218" w:type="dxa"/>
            <w:tcBorders>
              <w:top w:val="single" w:sz="8" w:space="0" w:color="auto"/>
              <w:left w:val="nil"/>
              <w:bottom w:val="nil"/>
              <w:right w:val="nil"/>
            </w:tcBorders>
            <w:tcMar>
              <w:top w:w="100" w:type="dxa"/>
              <w:left w:w="100" w:type="dxa"/>
              <w:bottom w:w="100" w:type="dxa"/>
              <w:right w:w="100" w:type="dxa"/>
            </w:tcMar>
          </w:tcPr>
          <w:p w14:paraId="744C8973" w14:textId="77777777" w:rsidR="00D25F0C" w:rsidRPr="00D25F0C" w:rsidRDefault="00D25F0C" w:rsidP="00677C01">
            <w:pPr>
              <w:spacing w:before="240"/>
              <w:rPr>
                <w:rFonts w:ascii="Verdana" w:eastAsia="Verdana" w:hAnsi="Verdana" w:cs="Verdana"/>
                <w:sz w:val="18"/>
                <w:szCs w:val="18"/>
              </w:rPr>
            </w:pPr>
            <w:r w:rsidRPr="00D25F0C">
              <w:rPr>
                <w:rFonts w:ascii="Verdana" w:eastAsia="Verdana" w:hAnsi="Verdana" w:cs="Verdana"/>
                <w:sz w:val="18"/>
                <w:szCs w:val="18"/>
              </w:rPr>
              <w:t>C</w:t>
            </w:r>
            <w:r w:rsidRPr="00D25F0C">
              <w:rPr>
                <w:rFonts w:ascii="Verdana" w:eastAsia="Verdana" w:hAnsi="Verdana" w:cs="Verdana"/>
                <w:sz w:val="18"/>
                <w:szCs w:val="18"/>
                <w:vertAlign w:val="subscript"/>
              </w:rPr>
              <w:t>5</w:t>
            </w:r>
            <w:r w:rsidRPr="00D25F0C">
              <w:rPr>
                <w:rFonts w:ascii="Verdana" w:eastAsia="Verdana" w:hAnsi="Verdana" w:cs="Verdana"/>
                <w:sz w:val="18"/>
                <w:szCs w:val="18"/>
              </w:rPr>
              <w:t>-HSL; C</w:t>
            </w:r>
            <w:r w:rsidRPr="00D25F0C">
              <w:rPr>
                <w:rFonts w:ascii="Verdana" w:eastAsia="Verdana" w:hAnsi="Verdana" w:cs="Verdana"/>
                <w:sz w:val="18"/>
                <w:szCs w:val="18"/>
                <w:vertAlign w:val="subscript"/>
              </w:rPr>
              <w:t>12</w:t>
            </w:r>
            <w:r w:rsidRPr="00D25F0C">
              <w:rPr>
                <w:rFonts w:ascii="Verdana" w:eastAsia="Verdana" w:hAnsi="Verdana" w:cs="Verdana"/>
                <w:sz w:val="18"/>
                <w:szCs w:val="18"/>
              </w:rPr>
              <w:t>-HSL; 3OHC</w:t>
            </w:r>
            <w:r w:rsidRPr="00D25F0C">
              <w:rPr>
                <w:rFonts w:ascii="Verdana" w:eastAsia="Verdana" w:hAnsi="Verdana" w:cs="Verdana"/>
                <w:sz w:val="18"/>
                <w:szCs w:val="18"/>
                <w:vertAlign w:val="subscript"/>
              </w:rPr>
              <w:t>10</w:t>
            </w:r>
            <w:r w:rsidRPr="00D25F0C">
              <w:rPr>
                <w:rFonts w:ascii="Verdana" w:eastAsia="Verdana" w:hAnsi="Verdana" w:cs="Verdana"/>
                <w:sz w:val="18"/>
                <w:szCs w:val="18"/>
              </w:rPr>
              <w:t>-HSL</w:t>
            </w:r>
          </w:p>
        </w:tc>
      </w:tr>
      <w:tr w:rsidR="00D25F0C" w:rsidRPr="00D25F0C" w14:paraId="0BCD16E4" w14:textId="77777777" w:rsidTr="009E0920">
        <w:trPr>
          <w:trHeight w:val="125"/>
        </w:trPr>
        <w:tc>
          <w:tcPr>
            <w:tcW w:w="1890" w:type="dxa"/>
            <w:tcBorders>
              <w:top w:val="nil"/>
              <w:left w:val="nil"/>
              <w:bottom w:val="nil"/>
              <w:right w:val="nil"/>
            </w:tcBorders>
            <w:tcMar>
              <w:top w:w="100" w:type="dxa"/>
              <w:left w:w="100" w:type="dxa"/>
              <w:bottom w:w="100" w:type="dxa"/>
              <w:right w:w="100" w:type="dxa"/>
            </w:tcMar>
          </w:tcPr>
          <w:p w14:paraId="7968F7B9" w14:textId="77777777" w:rsidR="00D25F0C" w:rsidRPr="00D25F0C" w:rsidRDefault="00D25F0C" w:rsidP="00677C01">
            <w:pPr>
              <w:spacing w:before="240"/>
              <w:rPr>
                <w:rFonts w:ascii="Verdana" w:eastAsia="Verdana" w:hAnsi="Verdana" w:cs="Verdana"/>
                <w:sz w:val="18"/>
                <w:szCs w:val="18"/>
              </w:rPr>
            </w:pPr>
          </w:p>
        </w:tc>
        <w:tc>
          <w:tcPr>
            <w:tcW w:w="1980" w:type="dxa"/>
            <w:tcBorders>
              <w:top w:val="nil"/>
              <w:left w:val="nil"/>
              <w:bottom w:val="nil"/>
              <w:right w:val="nil"/>
            </w:tcBorders>
            <w:tcMar>
              <w:top w:w="100" w:type="dxa"/>
              <w:left w:w="100" w:type="dxa"/>
              <w:bottom w:w="100" w:type="dxa"/>
              <w:right w:w="100" w:type="dxa"/>
            </w:tcMar>
          </w:tcPr>
          <w:p w14:paraId="4AF46041" w14:textId="77777777" w:rsidR="00D25F0C" w:rsidRPr="00D25F0C" w:rsidRDefault="00D25F0C" w:rsidP="00677C01">
            <w:pPr>
              <w:spacing w:before="240"/>
              <w:rPr>
                <w:rFonts w:ascii="Verdana" w:eastAsia="Verdana" w:hAnsi="Verdana" w:cs="Verdana"/>
                <w:color w:val="808080" w:themeColor="background1" w:themeShade="80"/>
                <w:sz w:val="18"/>
                <w:szCs w:val="18"/>
              </w:rPr>
            </w:pPr>
            <w:r w:rsidRPr="00D25F0C">
              <w:rPr>
                <w:rFonts w:ascii="Verdana" w:eastAsia="Verdana" w:hAnsi="Verdana" w:cs="Verdana"/>
                <w:color w:val="808080" w:themeColor="background1" w:themeShade="80"/>
                <w:sz w:val="18"/>
                <w:szCs w:val="18"/>
              </w:rPr>
              <w:t>ISM_09921</w:t>
            </w:r>
            <w:r w:rsidRPr="00D25F0C">
              <w:rPr>
                <w:rFonts w:ascii="Verdana" w:eastAsia="Verdana" w:hAnsi="Verdana" w:cs="Verdana"/>
                <w:color w:val="808080" w:themeColor="background1" w:themeShade="80"/>
                <w:sz w:val="18"/>
                <w:szCs w:val="18"/>
                <w:vertAlign w:val="superscript"/>
              </w:rPr>
              <w:t>bc</w:t>
            </w:r>
          </w:p>
        </w:tc>
        <w:tc>
          <w:tcPr>
            <w:tcW w:w="2272" w:type="dxa"/>
            <w:tcBorders>
              <w:top w:val="nil"/>
              <w:left w:val="nil"/>
              <w:bottom w:val="nil"/>
              <w:right w:val="nil"/>
            </w:tcBorders>
            <w:tcMar>
              <w:top w:w="100" w:type="dxa"/>
              <w:left w:w="100" w:type="dxa"/>
              <w:bottom w:w="100" w:type="dxa"/>
              <w:right w:w="100" w:type="dxa"/>
            </w:tcMar>
          </w:tcPr>
          <w:p w14:paraId="1C1D74C2" w14:textId="77777777" w:rsidR="00D25F0C" w:rsidRPr="00D25F0C" w:rsidRDefault="00D25F0C" w:rsidP="00677C01">
            <w:pPr>
              <w:spacing w:before="240"/>
              <w:rPr>
                <w:rFonts w:ascii="Verdana" w:eastAsia="Verdana" w:hAnsi="Verdana" w:cs="Verdana"/>
                <w:color w:val="808080" w:themeColor="background1" w:themeShade="80"/>
                <w:sz w:val="18"/>
                <w:szCs w:val="18"/>
              </w:rPr>
            </w:pPr>
          </w:p>
        </w:tc>
        <w:tc>
          <w:tcPr>
            <w:tcW w:w="3218" w:type="dxa"/>
            <w:tcBorders>
              <w:top w:val="nil"/>
              <w:left w:val="nil"/>
              <w:bottom w:val="nil"/>
              <w:right w:val="nil"/>
            </w:tcBorders>
            <w:tcMar>
              <w:top w:w="100" w:type="dxa"/>
              <w:left w:w="100" w:type="dxa"/>
              <w:bottom w:w="100" w:type="dxa"/>
              <w:right w:w="100" w:type="dxa"/>
            </w:tcMar>
          </w:tcPr>
          <w:p w14:paraId="3114F378"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r>
      <w:tr w:rsidR="00D25F0C" w:rsidRPr="00D25F0C" w14:paraId="000374C5" w14:textId="77777777" w:rsidTr="009E0920">
        <w:trPr>
          <w:trHeight w:val="53"/>
        </w:trPr>
        <w:tc>
          <w:tcPr>
            <w:tcW w:w="1890" w:type="dxa"/>
            <w:tcBorders>
              <w:top w:val="nil"/>
              <w:left w:val="nil"/>
              <w:bottom w:val="single" w:sz="8" w:space="0" w:color="auto"/>
              <w:right w:val="nil"/>
            </w:tcBorders>
            <w:tcMar>
              <w:top w:w="100" w:type="dxa"/>
              <w:left w:w="100" w:type="dxa"/>
              <w:bottom w:w="100" w:type="dxa"/>
              <w:right w:w="100" w:type="dxa"/>
            </w:tcMar>
          </w:tcPr>
          <w:p w14:paraId="55F3E991"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c>
          <w:tcPr>
            <w:tcW w:w="1980" w:type="dxa"/>
            <w:tcBorders>
              <w:top w:val="nil"/>
              <w:left w:val="nil"/>
              <w:bottom w:val="single" w:sz="8" w:space="0" w:color="auto"/>
              <w:right w:val="nil"/>
            </w:tcBorders>
            <w:tcMar>
              <w:top w:w="100" w:type="dxa"/>
              <w:left w:w="100" w:type="dxa"/>
              <w:bottom w:w="100" w:type="dxa"/>
              <w:right w:w="100" w:type="dxa"/>
            </w:tcMar>
          </w:tcPr>
          <w:p w14:paraId="0954371F" w14:textId="77777777" w:rsidR="00D25F0C" w:rsidRPr="00D25F0C" w:rsidRDefault="00D25F0C" w:rsidP="00677C01">
            <w:pPr>
              <w:spacing w:before="240"/>
              <w:rPr>
                <w:rFonts w:ascii="Verdana" w:eastAsia="Verdana" w:hAnsi="Verdana" w:cs="Verdana"/>
                <w:color w:val="808080" w:themeColor="background1" w:themeShade="80"/>
                <w:sz w:val="18"/>
                <w:szCs w:val="18"/>
              </w:rPr>
            </w:pPr>
            <w:r w:rsidRPr="00D25F0C">
              <w:rPr>
                <w:rFonts w:ascii="Verdana" w:eastAsia="Verdana" w:hAnsi="Verdana" w:cs="Verdana"/>
                <w:color w:val="808080" w:themeColor="background1" w:themeShade="80"/>
                <w:sz w:val="18"/>
                <w:szCs w:val="18"/>
              </w:rPr>
              <w:t>ISM_15650</w:t>
            </w:r>
            <w:r w:rsidRPr="00D25F0C">
              <w:rPr>
                <w:rFonts w:ascii="Verdana" w:eastAsia="Verdana" w:hAnsi="Verdana" w:cs="Verdana"/>
                <w:color w:val="808080" w:themeColor="background1" w:themeShade="80"/>
                <w:sz w:val="18"/>
                <w:szCs w:val="18"/>
                <w:vertAlign w:val="superscript"/>
              </w:rPr>
              <w:t>bc</w:t>
            </w:r>
          </w:p>
        </w:tc>
        <w:tc>
          <w:tcPr>
            <w:tcW w:w="2272" w:type="dxa"/>
            <w:tcBorders>
              <w:top w:val="nil"/>
              <w:left w:val="nil"/>
              <w:bottom w:val="single" w:sz="8" w:space="0" w:color="auto"/>
              <w:right w:val="nil"/>
            </w:tcBorders>
            <w:tcMar>
              <w:top w:w="100" w:type="dxa"/>
              <w:left w:w="100" w:type="dxa"/>
              <w:bottom w:w="100" w:type="dxa"/>
              <w:right w:w="100" w:type="dxa"/>
            </w:tcMar>
          </w:tcPr>
          <w:p w14:paraId="7ED352C3" w14:textId="77777777" w:rsidR="00D25F0C" w:rsidRPr="00D25F0C" w:rsidRDefault="00D25F0C" w:rsidP="00677C01">
            <w:pPr>
              <w:spacing w:before="240"/>
              <w:rPr>
                <w:rFonts w:ascii="Verdana" w:eastAsia="Verdana" w:hAnsi="Verdana" w:cs="Verdana"/>
                <w:color w:val="808080" w:themeColor="background1" w:themeShade="80"/>
                <w:sz w:val="18"/>
                <w:szCs w:val="18"/>
              </w:rPr>
            </w:pPr>
          </w:p>
        </w:tc>
        <w:tc>
          <w:tcPr>
            <w:tcW w:w="3218" w:type="dxa"/>
            <w:tcBorders>
              <w:top w:val="nil"/>
              <w:left w:val="nil"/>
              <w:bottom w:val="single" w:sz="8" w:space="0" w:color="auto"/>
              <w:right w:val="nil"/>
            </w:tcBorders>
            <w:tcMar>
              <w:top w:w="100" w:type="dxa"/>
              <w:left w:w="100" w:type="dxa"/>
              <w:bottom w:w="100" w:type="dxa"/>
              <w:right w:w="100" w:type="dxa"/>
            </w:tcMar>
          </w:tcPr>
          <w:p w14:paraId="0C1AED04"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r>
      <w:tr w:rsidR="00D25F0C" w:rsidRPr="00D25F0C" w14:paraId="0DF89A95" w14:textId="77777777" w:rsidTr="009E0920">
        <w:trPr>
          <w:trHeight w:val="20"/>
        </w:trPr>
        <w:tc>
          <w:tcPr>
            <w:tcW w:w="1890" w:type="dxa"/>
            <w:tcBorders>
              <w:top w:val="single" w:sz="8" w:space="0" w:color="auto"/>
              <w:left w:val="nil"/>
              <w:bottom w:val="single" w:sz="8" w:space="0" w:color="auto"/>
              <w:right w:val="nil"/>
            </w:tcBorders>
            <w:tcMar>
              <w:top w:w="100" w:type="dxa"/>
              <w:left w:w="100" w:type="dxa"/>
              <w:bottom w:w="100" w:type="dxa"/>
              <w:right w:w="100" w:type="dxa"/>
            </w:tcMar>
          </w:tcPr>
          <w:p w14:paraId="1FA35387"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c>
          <w:tcPr>
            <w:tcW w:w="1980" w:type="dxa"/>
            <w:tcBorders>
              <w:top w:val="single" w:sz="8" w:space="0" w:color="auto"/>
              <w:left w:val="nil"/>
              <w:bottom w:val="single" w:sz="8" w:space="0" w:color="auto"/>
              <w:right w:val="nil"/>
            </w:tcBorders>
            <w:tcMar>
              <w:top w:w="100" w:type="dxa"/>
              <w:left w:w="100" w:type="dxa"/>
              <w:bottom w:w="100" w:type="dxa"/>
              <w:right w:w="100" w:type="dxa"/>
            </w:tcMar>
          </w:tcPr>
          <w:p w14:paraId="57C83118"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c>
          <w:tcPr>
            <w:tcW w:w="2272" w:type="dxa"/>
            <w:tcBorders>
              <w:top w:val="single" w:sz="8" w:space="0" w:color="auto"/>
              <w:left w:val="nil"/>
              <w:bottom w:val="single" w:sz="8" w:space="0" w:color="auto"/>
              <w:right w:val="nil"/>
            </w:tcBorders>
            <w:tcMar>
              <w:top w:w="100" w:type="dxa"/>
              <w:left w:w="100" w:type="dxa"/>
              <w:bottom w:w="100" w:type="dxa"/>
              <w:right w:w="100" w:type="dxa"/>
            </w:tcMar>
          </w:tcPr>
          <w:p w14:paraId="36103F39"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c>
          <w:tcPr>
            <w:tcW w:w="3218" w:type="dxa"/>
            <w:tcBorders>
              <w:top w:val="single" w:sz="8" w:space="0" w:color="auto"/>
              <w:left w:val="nil"/>
              <w:bottom w:val="single" w:sz="8" w:space="0" w:color="auto"/>
              <w:right w:val="nil"/>
            </w:tcBorders>
            <w:tcMar>
              <w:top w:w="100" w:type="dxa"/>
              <w:left w:w="100" w:type="dxa"/>
              <w:bottom w:w="100" w:type="dxa"/>
              <w:right w:w="100" w:type="dxa"/>
            </w:tcMar>
          </w:tcPr>
          <w:p w14:paraId="2856333E"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r>
      <w:tr w:rsidR="00D25F0C" w:rsidRPr="00D25F0C" w14:paraId="27265B10" w14:textId="77777777" w:rsidTr="009E0920">
        <w:trPr>
          <w:trHeight w:val="305"/>
        </w:trPr>
        <w:tc>
          <w:tcPr>
            <w:tcW w:w="1890" w:type="dxa"/>
            <w:tcBorders>
              <w:top w:val="single" w:sz="8" w:space="0" w:color="auto"/>
              <w:left w:val="nil"/>
              <w:bottom w:val="nil"/>
              <w:right w:val="nil"/>
            </w:tcBorders>
            <w:tcMar>
              <w:top w:w="100" w:type="dxa"/>
              <w:left w:w="100" w:type="dxa"/>
              <w:bottom w:w="100" w:type="dxa"/>
              <w:right w:w="100" w:type="dxa"/>
            </w:tcMar>
          </w:tcPr>
          <w:p w14:paraId="154EFD6E" w14:textId="77777777" w:rsidR="00D25F0C" w:rsidRPr="00D25F0C" w:rsidRDefault="00D25F0C" w:rsidP="00677C01">
            <w:pPr>
              <w:spacing w:before="240"/>
              <w:rPr>
                <w:rFonts w:ascii="Verdana" w:eastAsia="Verdana" w:hAnsi="Verdana" w:cs="Verdana"/>
                <w:sz w:val="18"/>
                <w:szCs w:val="18"/>
              </w:rPr>
            </w:pPr>
            <w:proofErr w:type="spellStart"/>
            <w:r w:rsidRPr="00D25F0C">
              <w:rPr>
                <w:rFonts w:ascii="Verdana" w:eastAsia="Verdana" w:hAnsi="Verdana" w:cs="Verdana"/>
                <w:i/>
                <w:iCs/>
                <w:sz w:val="18"/>
                <w:szCs w:val="18"/>
              </w:rPr>
              <w:t>Citreicella</w:t>
            </w:r>
            <w:proofErr w:type="spellEnd"/>
            <w:r w:rsidRPr="00D25F0C">
              <w:rPr>
                <w:rFonts w:ascii="Verdana" w:eastAsia="Verdana" w:hAnsi="Verdana" w:cs="Verdana"/>
                <w:i/>
                <w:iCs/>
                <w:sz w:val="18"/>
                <w:szCs w:val="18"/>
              </w:rPr>
              <w:t xml:space="preserve"> sp.</w:t>
            </w:r>
            <w:r w:rsidRPr="00D25F0C">
              <w:rPr>
                <w:rFonts w:ascii="Verdana" w:eastAsia="Verdana" w:hAnsi="Verdana" w:cs="Verdana"/>
                <w:sz w:val="18"/>
                <w:szCs w:val="18"/>
              </w:rPr>
              <w:t xml:space="preserve"> SE45</w:t>
            </w:r>
          </w:p>
        </w:tc>
        <w:tc>
          <w:tcPr>
            <w:tcW w:w="1980" w:type="dxa"/>
            <w:tcBorders>
              <w:top w:val="single" w:sz="8" w:space="0" w:color="auto"/>
              <w:left w:val="nil"/>
              <w:bottom w:val="nil"/>
              <w:right w:val="nil"/>
            </w:tcBorders>
            <w:tcMar>
              <w:top w:w="100" w:type="dxa"/>
              <w:left w:w="100" w:type="dxa"/>
              <w:bottom w:w="100" w:type="dxa"/>
              <w:right w:w="100" w:type="dxa"/>
            </w:tcMar>
          </w:tcPr>
          <w:p w14:paraId="125D1A63" w14:textId="77777777" w:rsidR="00D25F0C" w:rsidRPr="00D25F0C" w:rsidRDefault="00D25F0C" w:rsidP="00677C01">
            <w:pPr>
              <w:spacing w:before="240"/>
              <w:rPr>
                <w:rFonts w:ascii="Verdana" w:eastAsia="Verdana" w:hAnsi="Verdana" w:cs="Verdana"/>
                <w:sz w:val="18"/>
                <w:szCs w:val="18"/>
              </w:rPr>
            </w:pPr>
            <w:r w:rsidRPr="00D25F0C">
              <w:rPr>
                <w:rFonts w:ascii="Verdana" w:eastAsia="Verdana" w:hAnsi="Verdana" w:cs="Verdana"/>
                <w:sz w:val="18"/>
                <w:szCs w:val="18"/>
              </w:rPr>
              <w:t>CSE45_4055</w:t>
            </w:r>
            <w:r w:rsidRPr="00D25F0C">
              <w:rPr>
                <w:rFonts w:ascii="Verdana" w:eastAsia="Verdana" w:hAnsi="Verdana" w:cs="Verdana"/>
                <w:sz w:val="18"/>
                <w:szCs w:val="18"/>
                <w:vertAlign w:val="superscript"/>
              </w:rPr>
              <w:t>ac</w:t>
            </w:r>
          </w:p>
        </w:tc>
        <w:tc>
          <w:tcPr>
            <w:tcW w:w="2272" w:type="dxa"/>
            <w:tcBorders>
              <w:top w:val="single" w:sz="8" w:space="0" w:color="auto"/>
              <w:left w:val="nil"/>
              <w:bottom w:val="nil"/>
              <w:right w:val="nil"/>
            </w:tcBorders>
            <w:tcMar>
              <w:top w:w="100" w:type="dxa"/>
              <w:left w:w="100" w:type="dxa"/>
              <w:bottom w:w="100" w:type="dxa"/>
              <w:right w:w="100" w:type="dxa"/>
            </w:tcMar>
          </w:tcPr>
          <w:p w14:paraId="18CA0F00" w14:textId="77777777" w:rsidR="00D25F0C" w:rsidRPr="00D25F0C" w:rsidRDefault="00D25F0C" w:rsidP="00677C01">
            <w:pPr>
              <w:spacing w:before="240"/>
              <w:rPr>
                <w:rFonts w:ascii="Verdana" w:eastAsia="Verdana" w:hAnsi="Verdana" w:cs="Verdana"/>
                <w:sz w:val="18"/>
                <w:szCs w:val="18"/>
              </w:rPr>
            </w:pPr>
            <w:r w:rsidRPr="00D25F0C">
              <w:rPr>
                <w:rFonts w:ascii="Verdana" w:eastAsia="Verdana" w:hAnsi="Verdana" w:cs="Verdana"/>
                <w:sz w:val="18"/>
                <w:szCs w:val="18"/>
              </w:rPr>
              <w:t>CSE45_4054</w:t>
            </w:r>
            <w:r w:rsidRPr="00D25F0C">
              <w:rPr>
                <w:rFonts w:ascii="Verdana" w:eastAsia="Verdana" w:hAnsi="Verdana" w:cs="Verdana"/>
                <w:sz w:val="18"/>
                <w:szCs w:val="18"/>
                <w:vertAlign w:val="superscript"/>
              </w:rPr>
              <w:t>ac</w:t>
            </w:r>
          </w:p>
        </w:tc>
        <w:tc>
          <w:tcPr>
            <w:tcW w:w="3218" w:type="dxa"/>
            <w:tcBorders>
              <w:top w:val="single" w:sz="8" w:space="0" w:color="auto"/>
              <w:left w:val="nil"/>
              <w:bottom w:val="nil"/>
              <w:right w:val="nil"/>
            </w:tcBorders>
            <w:tcMar>
              <w:top w:w="100" w:type="dxa"/>
              <w:left w:w="100" w:type="dxa"/>
              <w:bottom w:w="100" w:type="dxa"/>
              <w:right w:w="100" w:type="dxa"/>
            </w:tcMar>
          </w:tcPr>
          <w:p w14:paraId="1AAE2DF9" w14:textId="77777777" w:rsidR="00D25F0C" w:rsidRPr="00D25F0C" w:rsidRDefault="00D25F0C" w:rsidP="00677C01">
            <w:pPr>
              <w:spacing w:before="240"/>
              <w:rPr>
                <w:rFonts w:ascii="Verdana" w:eastAsia="Verdana" w:hAnsi="Verdana" w:cs="Verdana"/>
                <w:sz w:val="18"/>
                <w:szCs w:val="18"/>
              </w:rPr>
            </w:pPr>
            <w:r w:rsidRPr="00D25F0C">
              <w:rPr>
                <w:rFonts w:ascii="Verdana" w:eastAsia="Verdana" w:hAnsi="Verdana" w:cs="Verdana"/>
                <w:sz w:val="18"/>
                <w:szCs w:val="18"/>
              </w:rPr>
              <w:t>C</w:t>
            </w:r>
            <w:r w:rsidRPr="00D25F0C">
              <w:rPr>
                <w:rFonts w:ascii="Verdana" w:eastAsia="Verdana" w:hAnsi="Verdana" w:cs="Verdana"/>
                <w:sz w:val="18"/>
                <w:szCs w:val="18"/>
                <w:vertAlign w:val="subscript"/>
              </w:rPr>
              <w:t>5</w:t>
            </w:r>
            <w:r w:rsidRPr="00D25F0C">
              <w:rPr>
                <w:rFonts w:ascii="Verdana" w:eastAsia="Verdana" w:hAnsi="Verdana" w:cs="Verdana"/>
                <w:sz w:val="18"/>
                <w:szCs w:val="18"/>
              </w:rPr>
              <w:t>-HSL; C</w:t>
            </w:r>
            <w:r w:rsidRPr="00D25F0C">
              <w:rPr>
                <w:rFonts w:ascii="Verdana" w:eastAsia="Verdana" w:hAnsi="Verdana" w:cs="Verdana"/>
                <w:sz w:val="18"/>
                <w:szCs w:val="18"/>
                <w:vertAlign w:val="subscript"/>
              </w:rPr>
              <w:t>12</w:t>
            </w:r>
            <w:r w:rsidRPr="00D25F0C">
              <w:rPr>
                <w:rFonts w:ascii="Verdana" w:eastAsia="Verdana" w:hAnsi="Verdana" w:cs="Verdana"/>
                <w:sz w:val="18"/>
                <w:szCs w:val="18"/>
              </w:rPr>
              <w:t>-HSL</w:t>
            </w:r>
          </w:p>
        </w:tc>
      </w:tr>
      <w:tr w:rsidR="00D25F0C" w:rsidRPr="00D25F0C" w14:paraId="0F94F99C" w14:textId="77777777" w:rsidTr="009E0920">
        <w:trPr>
          <w:trHeight w:val="125"/>
        </w:trPr>
        <w:tc>
          <w:tcPr>
            <w:tcW w:w="1890" w:type="dxa"/>
            <w:tcBorders>
              <w:top w:val="nil"/>
              <w:left w:val="nil"/>
              <w:bottom w:val="single" w:sz="8" w:space="0" w:color="auto"/>
              <w:right w:val="nil"/>
            </w:tcBorders>
            <w:tcMar>
              <w:top w:w="100" w:type="dxa"/>
              <w:left w:w="100" w:type="dxa"/>
              <w:bottom w:w="100" w:type="dxa"/>
              <w:right w:w="100" w:type="dxa"/>
            </w:tcMar>
          </w:tcPr>
          <w:p w14:paraId="058031BC" w14:textId="77777777" w:rsidR="00D25F0C" w:rsidRPr="00D25F0C" w:rsidRDefault="00D25F0C" w:rsidP="00677C01">
            <w:pPr>
              <w:spacing w:before="240"/>
              <w:rPr>
                <w:rFonts w:ascii="Verdana" w:eastAsia="Verdana" w:hAnsi="Verdana" w:cs="Verdana"/>
                <w:color w:val="808080" w:themeColor="background1" w:themeShade="80"/>
                <w:sz w:val="18"/>
                <w:szCs w:val="18"/>
              </w:rPr>
            </w:pPr>
          </w:p>
        </w:tc>
        <w:tc>
          <w:tcPr>
            <w:tcW w:w="1980" w:type="dxa"/>
            <w:tcBorders>
              <w:top w:val="nil"/>
              <w:left w:val="nil"/>
              <w:bottom w:val="single" w:sz="8" w:space="0" w:color="auto"/>
              <w:right w:val="nil"/>
            </w:tcBorders>
            <w:tcMar>
              <w:top w:w="100" w:type="dxa"/>
              <w:left w:w="100" w:type="dxa"/>
              <w:bottom w:w="100" w:type="dxa"/>
              <w:right w:w="100" w:type="dxa"/>
            </w:tcMar>
          </w:tcPr>
          <w:p w14:paraId="2200A043" w14:textId="77777777" w:rsidR="00D25F0C" w:rsidRPr="00D25F0C" w:rsidRDefault="00D25F0C" w:rsidP="00677C01">
            <w:pPr>
              <w:spacing w:before="240"/>
              <w:rPr>
                <w:rFonts w:ascii="Verdana" w:eastAsia="Verdana" w:hAnsi="Verdana" w:cs="Verdana"/>
                <w:color w:val="808080" w:themeColor="background1" w:themeShade="80"/>
                <w:sz w:val="18"/>
                <w:szCs w:val="18"/>
              </w:rPr>
            </w:pPr>
            <w:r w:rsidRPr="00D25F0C">
              <w:rPr>
                <w:rFonts w:ascii="Verdana" w:eastAsia="Verdana" w:hAnsi="Verdana" w:cs="Verdana"/>
                <w:color w:val="808080" w:themeColor="background1" w:themeShade="80"/>
                <w:sz w:val="18"/>
                <w:szCs w:val="18"/>
              </w:rPr>
              <w:t>CSE45_1818</w:t>
            </w:r>
            <w:r w:rsidRPr="00D25F0C">
              <w:rPr>
                <w:rFonts w:ascii="Verdana" w:eastAsia="Verdana" w:hAnsi="Verdana" w:cs="Verdana"/>
                <w:color w:val="808080" w:themeColor="background1" w:themeShade="80"/>
                <w:sz w:val="18"/>
                <w:szCs w:val="18"/>
                <w:vertAlign w:val="superscript"/>
              </w:rPr>
              <w:t>bc</w:t>
            </w:r>
          </w:p>
        </w:tc>
        <w:tc>
          <w:tcPr>
            <w:tcW w:w="2272" w:type="dxa"/>
            <w:tcBorders>
              <w:top w:val="nil"/>
              <w:left w:val="nil"/>
              <w:bottom w:val="single" w:sz="8" w:space="0" w:color="auto"/>
              <w:right w:val="nil"/>
            </w:tcBorders>
            <w:tcMar>
              <w:top w:w="100" w:type="dxa"/>
              <w:left w:w="100" w:type="dxa"/>
              <w:bottom w:w="100" w:type="dxa"/>
              <w:right w:w="100" w:type="dxa"/>
            </w:tcMar>
          </w:tcPr>
          <w:p w14:paraId="0D10EF34" w14:textId="77777777" w:rsidR="00D25F0C" w:rsidRPr="00D25F0C" w:rsidRDefault="00D25F0C" w:rsidP="00677C01">
            <w:pPr>
              <w:spacing w:before="240"/>
              <w:rPr>
                <w:rFonts w:ascii="Verdana" w:eastAsia="Verdana" w:hAnsi="Verdana" w:cs="Verdana"/>
                <w:sz w:val="18"/>
                <w:szCs w:val="18"/>
              </w:rPr>
            </w:pPr>
          </w:p>
        </w:tc>
        <w:tc>
          <w:tcPr>
            <w:tcW w:w="3218" w:type="dxa"/>
            <w:tcBorders>
              <w:top w:val="nil"/>
              <w:left w:val="nil"/>
              <w:bottom w:val="single" w:sz="8" w:space="0" w:color="auto"/>
              <w:right w:val="nil"/>
            </w:tcBorders>
            <w:tcMar>
              <w:top w:w="100" w:type="dxa"/>
              <w:left w:w="100" w:type="dxa"/>
              <w:bottom w:w="100" w:type="dxa"/>
              <w:right w:w="100" w:type="dxa"/>
            </w:tcMar>
          </w:tcPr>
          <w:p w14:paraId="5DB54E98"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r>
      <w:tr w:rsidR="00D25F0C" w:rsidRPr="00D25F0C" w14:paraId="087A94B7" w14:textId="77777777" w:rsidTr="009E0920">
        <w:trPr>
          <w:trHeight w:val="25"/>
        </w:trPr>
        <w:tc>
          <w:tcPr>
            <w:tcW w:w="1890" w:type="dxa"/>
            <w:tcBorders>
              <w:top w:val="single" w:sz="8" w:space="0" w:color="auto"/>
              <w:left w:val="nil"/>
              <w:bottom w:val="single" w:sz="8" w:space="0" w:color="auto"/>
              <w:right w:val="nil"/>
            </w:tcBorders>
            <w:tcMar>
              <w:top w:w="100" w:type="dxa"/>
              <w:left w:w="100" w:type="dxa"/>
              <w:bottom w:w="100" w:type="dxa"/>
              <w:right w:w="100" w:type="dxa"/>
            </w:tcMar>
          </w:tcPr>
          <w:p w14:paraId="613887B9"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c>
          <w:tcPr>
            <w:tcW w:w="1980" w:type="dxa"/>
            <w:tcBorders>
              <w:top w:val="single" w:sz="8" w:space="0" w:color="auto"/>
              <w:left w:val="nil"/>
              <w:bottom w:val="single" w:sz="8" w:space="0" w:color="auto"/>
              <w:right w:val="nil"/>
            </w:tcBorders>
            <w:tcMar>
              <w:top w:w="100" w:type="dxa"/>
              <w:left w:w="100" w:type="dxa"/>
              <w:bottom w:w="100" w:type="dxa"/>
              <w:right w:w="100" w:type="dxa"/>
            </w:tcMar>
          </w:tcPr>
          <w:p w14:paraId="50BBAAEF"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c>
          <w:tcPr>
            <w:tcW w:w="2272" w:type="dxa"/>
            <w:tcBorders>
              <w:top w:val="single" w:sz="8" w:space="0" w:color="auto"/>
              <w:left w:val="nil"/>
              <w:bottom w:val="single" w:sz="8" w:space="0" w:color="auto"/>
              <w:right w:val="nil"/>
            </w:tcBorders>
            <w:tcMar>
              <w:top w:w="100" w:type="dxa"/>
              <w:left w:w="100" w:type="dxa"/>
              <w:bottom w:w="100" w:type="dxa"/>
              <w:right w:w="100" w:type="dxa"/>
            </w:tcMar>
          </w:tcPr>
          <w:p w14:paraId="4A996DC9"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c>
          <w:tcPr>
            <w:tcW w:w="3218" w:type="dxa"/>
            <w:tcBorders>
              <w:top w:val="single" w:sz="8" w:space="0" w:color="auto"/>
              <w:left w:val="nil"/>
              <w:bottom w:val="single" w:sz="8" w:space="0" w:color="auto"/>
              <w:right w:val="nil"/>
            </w:tcBorders>
            <w:tcMar>
              <w:top w:w="100" w:type="dxa"/>
              <w:left w:w="100" w:type="dxa"/>
              <w:bottom w:w="100" w:type="dxa"/>
              <w:right w:w="100" w:type="dxa"/>
            </w:tcMar>
          </w:tcPr>
          <w:p w14:paraId="7B15A57D"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r>
      <w:tr w:rsidR="00D25F0C" w:rsidRPr="00D25F0C" w14:paraId="45FC8F11" w14:textId="77777777" w:rsidTr="009E0920">
        <w:trPr>
          <w:trHeight w:val="35"/>
        </w:trPr>
        <w:tc>
          <w:tcPr>
            <w:tcW w:w="1890" w:type="dxa"/>
            <w:tcBorders>
              <w:top w:val="single" w:sz="8" w:space="0" w:color="auto"/>
              <w:left w:val="nil"/>
              <w:bottom w:val="nil"/>
              <w:right w:val="nil"/>
            </w:tcBorders>
            <w:tcMar>
              <w:top w:w="100" w:type="dxa"/>
              <w:left w:w="100" w:type="dxa"/>
              <w:bottom w:w="100" w:type="dxa"/>
              <w:right w:w="100" w:type="dxa"/>
            </w:tcMar>
          </w:tcPr>
          <w:p w14:paraId="61A7DDF6" w14:textId="77777777" w:rsidR="00D25F0C" w:rsidRPr="00D25F0C" w:rsidRDefault="00D25F0C" w:rsidP="00677C01">
            <w:pPr>
              <w:spacing w:before="240"/>
              <w:rPr>
                <w:rFonts w:ascii="Verdana" w:eastAsia="Verdana" w:hAnsi="Verdana" w:cs="Verdana"/>
                <w:sz w:val="18"/>
                <w:szCs w:val="18"/>
              </w:rPr>
            </w:pPr>
            <w:r w:rsidRPr="00D25F0C">
              <w:rPr>
                <w:rFonts w:ascii="Verdana" w:eastAsia="Verdana" w:hAnsi="Verdana" w:cs="Verdana"/>
                <w:sz w:val="18"/>
                <w:szCs w:val="18"/>
              </w:rPr>
              <w:lastRenderedPageBreak/>
              <w:t>Rhodobacterales strain Y4I</w:t>
            </w:r>
          </w:p>
        </w:tc>
        <w:tc>
          <w:tcPr>
            <w:tcW w:w="1980" w:type="dxa"/>
            <w:tcBorders>
              <w:top w:val="single" w:sz="8" w:space="0" w:color="auto"/>
              <w:left w:val="nil"/>
              <w:bottom w:val="nil"/>
              <w:right w:val="nil"/>
            </w:tcBorders>
            <w:tcMar>
              <w:top w:w="100" w:type="dxa"/>
              <w:left w:w="100" w:type="dxa"/>
              <w:bottom w:w="100" w:type="dxa"/>
              <w:right w:w="100" w:type="dxa"/>
            </w:tcMar>
          </w:tcPr>
          <w:p w14:paraId="7FFB0A05" w14:textId="77777777" w:rsidR="00D25F0C" w:rsidRPr="00D25F0C" w:rsidRDefault="00D25F0C" w:rsidP="00677C01">
            <w:pPr>
              <w:spacing w:before="240"/>
              <w:rPr>
                <w:rFonts w:ascii="Verdana" w:eastAsia="Verdana" w:hAnsi="Verdana" w:cs="Verdana"/>
                <w:sz w:val="18"/>
                <w:szCs w:val="18"/>
              </w:rPr>
            </w:pPr>
            <w:r w:rsidRPr="00D25F0C">
              <w:rPr>
                <w:rFonts w:ascii="Verdana" w:eastAsia="Verdana" w:hAnsi="Verdana" w:cs="Verdana"/>
                <w:sz w:val="18"/>
                <w:szCs w:val="18"/>
              </w:rPr>
              <w:t>RBY4I_1689</w:t>
            </w:r>
            <w:r w:rsidRPr="00D25F0C">
              <w:rPr>
                <w:rFonts w:ascii="Verdana" w:eastAsia="Verdana" w:hAnsi="Verdana" w:cs="Verdana"/>
                <w:sz w:val="18"/>
                <w:szCs w:val="18"/>
                <w:vertAlign w:val="superscript"/>
              </w:rPr>
              <w:t>ac</w:t>
            </w:r>
          </w:p>
        </w:tc>
        <w:tc>
          <w:tcPr>
            <w:tcW w:w="2272" w:type="dxa"/>
            <w:tcBorders>
              <w:top w:val="single" w:sz="8" w:space="0" w:color="auto"/>
              <w:left w:val="nil"/>
              <w:bottom w:val="nil"/>
              <w:right w:val="nil"/>
            </w:tcBorders>
            <w:tcMar>
              <w:top w:w="100" w:type="dxa"/>
              <w:left w:w="100" w:type="dxa"/>
              <w:bottom w:w="100" w:type="dxa"/>
              <w:right w:w="100" w:type="dxa"/>
            </w:tcMar>
          </w:tcPr>
          <w:p w14:paraId="5CBC51FC" w14:textId="77777777" w:rsidR="00D25F0C" w:rsidRPr="00D25F0C" w:rsidRDefault="00D25F0C" w:rsidP="00677C01">
            <w:pPr>
              <w:spacing w:before="240"/>
              <w:rPr>
                <w:rFonts w:ascii="Verdana" w:eastAsia="Verdana" w:hAnsi="Verdana" w:cs="Verdana"/>
                <w:sz w:val="18"/>
                <w:szCs w:val="18"/>
              </w:rPr>
            </w:pPr>
            <w:r w:rsidRPr="00D25F0C">
              <w:rPr>
                <w:rFonts w:ascii="Verdana" w:eastAsia="Verdana" w:hAnsi="Verdana" w:cs="Verdana"/>
                <w:sz w:val="18"/>
                <w:szCs w:val="18"/>
              </w:rPr>
              <w:t>RBY4I_3631</w:t>
            </w:r>
            <w:r w:rsidRPr="00D25F0C">
              <w:rPr>
                <w:rFonts w:ascii="Verdana" w:eastAsia="Verdana" w:hAnsi="Verdana" w:cs="Verdana"/>
                <w:sz w:val="18"/>
                <w:szCs w:val="18"/>
                <w:vertAlign w:val="superscript"/>
              </w:rPr>
              <w:t>ac</w:t>
            </w:r>
          </w:p>
        </w:tc>
        <w:tc>
          <w:tcPr>
            <w:tcW w:w="3218" w:type="dxa"/>
            <w:tcBorders>
              <w:top w:val="single" w:sz="8" w:space="0" w:color="auto"/>
              <w:left w:val="nil"/>
              <w:bottom w:val="nil"/>
              <w:right w:val="nil"/>
            </w:tcBorders>
            <w:tcMar>
              <w:top w:w="100" w:type="dxa"/>
              <w:left w:w="100" w:type="dxa"/>
              <w:bottom w:w="100" w:type="dxa"/>
              <w:right w:w="100" w:type="dxa"/>
            </w:tcMar>
          </w:tcPr>
          <w:p w14:paraId="3FA2073D" w14:textId="77777777" w:rsidR="00D25F0C" w:rsidRPr="00D25F0C" w:rsidRDefault="00D25F0C" w:rsidP="00677C01">
            <w:pPr>
              <w:spacing w:before="240"/>
              <w:rPr>
                <w:rFonts w:ascii="Verdana" w:eastAsia="Verdana" w:hAnsi="Verdana" w:cs="Verdana"/>
                <w:sz w:val="18"/>
                <w:szCs w:val="18"/>
              </w:rPr>
            </w:pPr>
            <w:r w:rsidRPr="00D25F0C">
              <w:rPr>
                <w:rFonts w:ascii="Verdana" w:eastAsia="Verdana" w:hAnsi="Verdana" w:cs="Verdana"/>
                <w:sz w:val="18"/>
                <w:szCs w:val="18"/>
              </w:rPr>
              <w:t>C</w:t>
            </w:r>
            <w:r w:rsidRPr="00D25F0C">
              <w:rPr>
                <w:rFonts w:ascii="Verdana" w:eastAsia="Verdana" w:hAnsi="Verdana" w:cs="Verdana"/>
                <w:sz w:val="18"/>
                <w:szCs w:val="18"/>
                <w:vertAlign w:val="subscript"/>
              </w:rPr>
              <w:t>8</w:t>
            </w:r>
            <w:r w:rsidRPr="00D25F0C">
              <w:rPr>
                <w:rFonts w:ascii="Verdana" w:eastAsia="Verdana" w:hAnsi="Verdana" w:cs="Verdana"/>
                <w:sz w:val="18"/>
                <w:szCs w:val="18"/>
              </w:rPr>
              <w:t>-HSL</w:t>
            </w:r>
            <w:r w:rsidRPr="00D25F0C">
              <w:rPr>
                <w:rFonts w:ascii="Verdana" w:eastAsia="Verdana" w:hAnsi="Verdana" w:cs="Verdana"/>
                <w:sz w:val="18"/>
                <w:szCs w:val="18"/>
                <w:vertAlign w:val="superscript"/>
              </w:rPr>
              <w:t>d</w:t>
            </w:r>
          </w:p>
        </w:tc>
      </w:tr>
      <w:tr w:rsidR="00D25F0C" w:rsidRPr="00D25F0C" w14:paraId="231DF56E" w14:textId="77777777" w:rsidTr="009E0920">
        <w:trPr>
          <w:trHeight w:val="25"/>
        </w:trPr>
        <w:tc>
          <w:tcPr>
            <w:tcW w:w="1890" w:type="dxa"/>
            <w:tcBorders>
              <w:top w:val="nil"/>
              <w:left w:val="nil"/>
              <w:bottom w:val="nil"/>
              <w:right w:val="nil"/>
            </w:tcBorders>
            <w:tcMar>
              <w:top w:w="100" w:type="dxa"/>
              <w:left w:w="100" w:type="dxa"/>
              <w:bottom w:w="100" w:type="dxa"/>
              <w:right w:w="100" w:type="dxa"/>
            </w:tcMar>
          </w:tcPr>
          <w:p w14:paraId="05096C33" w14:textId="77777777" w:rsidR="00D25F0C" w:rsidRPr="00D25F0C" w:rsidRDefault="00D25F0C" w:rsidP="00677C01">
            <w:pPr>
              <w:spacing w:before="240"/>
              <w:rPr>
                <w:rFonts w:ascii="Verdana" w:eastAsia="Verdana" w:hAnsi="Verdana" w:cs="Verdana"/>
                <w:sz w:val="18"/>
                <w:szCs w:val="18"/>
              </w:rPr>
            </w:pPr>
          </w:p>
        </w:tc>
        <w:tc>
          <w:tcPr>
            <w:tcW w:w="1980" w:type="dxa"/>
            <w:tcBorders>
              <w:top w:val="nil"/>
              <w:left w:val="nil"/>
              <w:bottom w:val="nil"/>
              <w:right w:val="nil"/>
            </w:tcBorders>
            <w:tcMar>
              <w:top w:w="100" w:type="dxa"/>
              <w:left w:w="100" w:type="dxa"/>
              <w:bottom w:w="100" w:type="dxa"/>
              <w:right w:w="100" w:type="dxa"/>
            </w:tcMar>
          </w:tcPr>
          <w:p w14:paraId="55889F04" w14:textId="77777777" w:rsidR="00D25F0C" w:rsidRPr="00D25F0C" w:rsidRDefault="00D25F0C" w:rsidP="00677C01">
            <w:pPr>
              <w:spacing w:before="240"/>
              <w:rPr>
                <w:rFonts w:ascii="Verdana" w:eastAsia="Verdana" w:hAnsi="Verdana" w:cs="Verdana"/>
                <w:sz w:val="18"/>
                <w:szCs w:val="18"/>
              </w:rPr>
            </w:pPr>
            <w:r w:rsidRPr="00D25F0C">
              <w:rPr>
                <w:rFonts w:ascii="Verdana" w:eastAsia="Verdana" w:hAnsi="Verdana" w:cs="Verdana"/>
                <w:sz w:val="18"/>
                <w:szCs w:val="18"/>
              </w:rPr>
              <w:t>RBY4I_1027</w:t>
            </w:r>
            <w:r w:rsidRPr="00D25F0C">
              <w:rPr>
                <w:rFonts w:ascii="Verdana" w:eastAsia="Verdana" w:hAnsi="Verdana" w:cs="Verdana"/>
                <w:sz w:val="18"/>
                <w:szCs w:val="18"/>
                <w:vertAlign w:val="superscript"/>
              </w:rPr>
              <w:t>ac</w:t>
            </w:r>
          </w:p>
        </w:tc>
        <w:tc>
          <w:tcPr>
            <w:tcW w:w="2272" w:type="dxa"/>
            <w:tcBorders>
              <w:top w:val="nil"/>
              <w:left w:val="nil"/>
              <w:bottom w:val="nil"/>
              <w:right w:val="nil"/>
            </w:tcBorders>
            <w:tcMar>
              <w:top w:w="100" w:type="dxa"/>
              <w:left w:w="100" w:type="dxa"/>
              <w:bottom w:w="100" w:type="dxa"/>
              <w:right w:w="100" w:type="dxa"/>
            </w:tcMar>
          </w:tcPr>
          <w:p w14:paraId="75494905" w14:textId="77777777" w:rsidR="00D25F0C" w:rsidRPr="00D25F0C" w:rsidRDefault="00D25F0C" w:rsidP="00677C01">
            <w:pPr>
              <w:spacing w:before="240"/>
              <w:rPr>
                <w:rFonts w:ascii="Verdana" w:eastAsia="Verdana" w:hAnsi="Verdana" w:cs="Verdana"/>
                <w:sz w:val="18"/>
                <w:szCs w:val="18"/>
              </w:rPr>
            </w:pPr>
            <w:r w:rsidRPr="00D25F0C">
              <w:rPr>
                <w:rFonts w:ascii="Verdana" w:eastAsia="Verdana" w:hAnsi="Verdana" w:cs="Verdana"/>
                <w:sz w:val="18"/>
                <w:szCs w:val="18"/>
              </w:rPr>
              <w:t>RBY4I_3464</w:t>
            </w:r>
            <w:r w:rsidRPr="00D25F0C">
              <w:rPr>
                <w:rFonts w:ascii="Verdana" w:eastAsia="Verdana" w:hAnsi="Verdana" w:cs="Verdana"/>
                <w:sz w:val="18"/>
                <w:szCs w:val="18"/>
                <w:vertAlign w:val="superscript"/>
              </w:rPr>
              <w:t>ac</w:t>
            </w:r>
          </w:p>
        </w:tc>
        <w:tc>
          <w:tcPr>
            <w:tcW w:w="3218" w:type="dxa"/>
            <w:tcBorders>
              <w:top w:val="nil"/>
              <w:left w:val="nil"/>
              <w:bottom w:val="nil"/>
              <w:right w:val="nil"/>
            </w:tcBorders>
            <w:tcMar>
              <w:top w:w="100" w:type="dxa"/>
              <w:left w:w="100" w:type="dxa"/>
              <w:bottom w:w="100" w:type="dxa"/>
              <w:right w:w="100" w:type="dxa"/>
            </w:tcMar>
          </w:tcPr>
          <w:p w14:paraId="17834C97" w14:textId="77777777" w:rsidR="00D25F0C" w:rsidRPr="00D25F0C" w:rsidRDefault="00D25F0C" w:rsidP="00677C01">
            <w:pPr>
              <w:spacing w:before="240"/>
              <w:rPr>
                <w:rFonts w:ascii="Verdana" w:eastAsia="Verdana" w:hAnsi="Verdana" w:cs="Verdana"/>
                <w:sz w:val="18"/>
                <w:szCs w:val="18"/>
              </w:rPr>
            </w:pPr>
            <w:r w:rsidRPr="00D25F0C">
              <w:rPr>
                <w:rFonts w:ascii="Verdana" w:eastAsia="Verdana" w:hAnsi="Verdana" w:cs="Verdana"/>
                <w:sz w:val="18"/>
                <w:szCs w:val="18"/>
              </w:rPr>
              <w:t>3OHC</w:t>
            </w:r>
            <w:r w:rsidRPr="00D25F0C">
              <w:rPr>
                <w:rFonts w:ascii="Verdana" w:eastAsia="Verdana" w:hAnsi="Verdana" w:cs="Verdana"/>
                <w:sz w:val="18"/>
                <w:szCs w:val="18"/>
                <w:vertAlign w:val="subscript"/>
              </w:rPr>
              <w:t>12:1</w:t>
            </w:r>
            <w:r w:rsidRPr="00D25F0C">
              <w:rPr>
                <w:rFonts w:ascii="Verdana" w:eastAsia="Verdana" w:hAnsi="Verdana" w:cs="Verdana"/>
                <w:sz w:val="18"/>
                <w:szCs w:val="18"/>
              </w:rPr>
              <w:t>-HSL</w:t>
            </w:r>
            <w:r w:rsidRPr="00D25F0C">
              <w:rPr>
                <w:rFonts w:ascii="Verdana" w:eastAsia="Verdana" w:hAnsi="Verdana" w:cs="Verdana"/>
                <w:sz w:val="18"/>
                <w:szCs w:val="18"/>
                <w:vertAlign w:val="superscript"/>
              </w:rPr>
              <w:t>d</w:t>
            </w:r>
          </w:p>
        </w:tc>
      </w:tr>
      <w:tr w:rsidR="00D25F0C" w:rsidRPr="00D25F0C" w14:paraId="0681A556" w14:textId="77777777" w:rsidTr="009E0920">
        <w:trPr>
          <w:trHeight w:val="98"/>
        </w:trPr>
        <w:tc>
          <w:tcPr>
            <w:tcW w:w="1890" w:type="dxa"/>
            <w:tcBorders>
              <w:top w:val="nil"/>
              <w:left w:val="nil"/>
              <w:bottom w:val="single" w:sz="18" w:space="0" w:color="auto"/>
              <w:right w:val="nil"/>
            </w:tcBorders>
            <w:tcMar>
              <w:top w:w="100" w:type="dxa"/>
              <w:left w:w="100" w:type="dxa"/>
              <w:bottom w:w="100" w:type="dxa"/>
              <w:right w:w="100" w:type="dxa"/>
            </w:tcMar>
          </w:tcPr>
          <w:p w14:paraId="4F5D35C2" w14:textId="77777777" w:rsidR="00D25F0C" w:rsidRPr="00D25F0C" w:rsidRDefault="00D25F0C" w:rsidP="00677C01">
            <w:pPr>
              <w:spacing w:before="240"/>
              <w:rPr>
                <w:rFonts w:ascii="Verdana" w:eastAsia="Verdana" w:hAnsi="Verdana" w:cs="Verdana"/>
                <w:sz w:val="18"/>
                <w:szCs w:val="18"/>
              </w:rPr>
            </w:pPr>
            <w:r w:rsidRPr="00D25F0C">
              <w:rPr>
                <w:rFonts w:ascii="Verdana" w:eastAsia="Verdana" w:hAnsi="Verdana" w:cs="Verdana"/>
                <w:sz w:val="18"/>
                <w:szCs w:val="18"/>
              </w:rPr>
              <w:t xml:space="preserve"> </w:t>
            </w:r>
          </w:p>
        </w:tc>
        <w:tc>
          <w:tcPr>
            <w:tcW w:w="1980" w:type="dxa"/>
            <w:tcBorders>
              <w:top w:val="nil"/>
              <w:left w:val="nil"/>
              <w:bottom w:val="single" w:sz="18" w:space="0" w:color="auto"/>
              <w:right w:val="nil"/>
            </w:tcBorders>
            <w:tcMar>
              <w:top w:w="100" w:type="dxa"/>
              <w:left w:w="100" w:type="dxa"/>
              <w:bottom w:w="100" w:type="dxa"/>
              <w:right w:w="100" w:type="dxa"/>
            </w:tcMar>
          </w:tcPr>
          <w:p w14:paraId="45E4212D" w14:textId="77777777" w:rsidR="00D25F0C" w:rsidRPr="00D25F0C" w:rsidRDefault="00D25F0C" w:rsidP="00677C01">
            <w:pPr>
              <w:spacing w:before="240"/>
              <w:rPr>
                <w:rFonts w:ascii="Verdana" w:eastAsia="Verdana" w:hAnsi="Verdana" w:cs="Verdana"/>
                <w:sz w:val="18"/>
                <w:szCs w:val="18"/>
              </w:rPr>
            </w:pPr>
            <w:r w:rsidRPr="00D25F0C">
              <w:rPr>
                <w:rFonts w:ascii="Verdana" w:eastAsia="Verdana" w:hAnsi="Verdana" w:cs="Verdana"/>
                <w:color w:val="808080" w:themeColor="background1" w:themeShade="80"/>
                <w:sz w:val="18"/>
                <w:szCs w:val="18"/>
              </w:rPr>
              <w:t>RBY4I_896</w:t>
            </w:r>
            <w:r w:rsidRPr="00D25F0C">
              <w:rPr>
                <w:rFonts w:ascii="Verdana" w:eastAsia="Verdana" w:hAnsi="Verdana" w:cs="Verdana"/>
                <w:color w:val="808080" w:themeColor="background1" w:themeShade="80"/>
                <w:sz w:val="18"/>
                <w:szCs w:val="18"/>
                <w:vertAlign w:val="superscript"/>
              </w:rPr>
              <w:t>bc</w:t>
            </w:r>
          </w:p>
        </w:tc>
        <w:tc>
          <w:tcPr>
            <w:tcW w:w="2272" w:type="dxa"/>
            <w:tcBorders>
              <w:top w:val="nil"/>
              <w:left w:val="nil"/>
              <w:bottom w:val="single" w:sz="18" w:space="0" w:color="auto"/>
              <w:right w:val="nil"/>
            </w:tcBorders>
            <w:tcMar>
              <w:top w:w="100" w:type="dxa"/>
              <w:left w:w="100" w:type="dxa"/>
              <w:bottom w:w="100" w:type="dxa"/>
              <w:right w:w="100" w:type="dxa"/>
            </w:tcMar>
          </w:tcPr>
          <w:p w14:paraId="5BD9A30C" w14:textId="77777777" w:rsidR="00D25F0C" w:rsidRPr="00D25F0C" w:rsidRDefault="00D25F0C" w:rsidP="00677C01">
            <w:pPr>
              <w:spacing w:before="240"/>
              <w:rPr>
                <w:rFonts w:ascii="Verdana" w:eastAsia="Verdana" w:hAnsi="Verdana" w:cs="Verdana"/>
                <w:sz w:val="18"/>
                <w:szCs w:val="18"/>
              </w:rPr>
            </w:pPr>
            <w:r w:rsidRPr="00D25F0C">
              <w:rPr>
                <w:rFonts w:ascii="Verdana" w:eastAsia="Verdana" w:hAnsi="Verdana" w:cs="Verdana"/>
                <w:sz w:val="18"/>
                <w:szCs w:val="18"/>
              </w:rPr>
              <w:t xml:space="preserve"> </w:t>
            </w:r>
          </w:p>
        </w:tc>
        <w:tc>
          <w:tcPr>
            <w:tcW w:w="3218" w:type="dxa"/>
            <w:tcBorders>
              <w:top w:val="nil"/>
              <w:left w:val="nil"/>
              <w:bottom w:val="single" w:sz="18" w:space="0" w:color="auto"/>
              <w:right w:val="nil"/>
            </w:tcBorders>
            <w:tcMar>
              <w:top w:w="100" w:type="dxa"/>
              <w:left w:w="100" w:type="dxa"/>
              <w:bottom w:w="100" w:type="dxa"/>
              <w:right w:w="100" w:type="dxa"/>
            </w:tcMar>
          </w:tcPr>
          <w:p w14:paraId="4750EC2F" w14:textId="77777777" w:rsidR="00D25F0C" w:rsidRPr="00D25F0C" w:rsidRDefault="00D25F0C" w:rsidP="00677C01">
            <w:pPr>
              <w:widowControl w:val="0"/>
              <w:pBdr>
                <w:top w:val="nil"/>
                <w:left w:val="nil"/>
                <w:bottom w:val="nil"/>
                <w:right w:val="nil"/>
                <w:between w:val="nil"/>
              </w:pBdr>
              <w:spacing w:before="240"/>
              <w:rPr>
                <w:rFonts w:ascii="Verdana" w:eastAsia="Verdana" w:hAnsi="Verdana" w:cs="Verdana"/>
                <w:sz w:val="18"/>
                <w:szCs w:val="18"/>
              </w:rPr>
            </w:pPr>
            <w:r w:rsidRPr="00D25F0C">
              <w:rPr>
                <w:rFonts w:ascii="Verdana" w:eastAsia="Verdana" w:hAnsi="Verdana" w:cs="Verdana"/>
                <w:sz w:val="18"/>
                <w:szCs w:val="18"/>
              </w:rPr>
              <w:t xml:space="preserve"> </w:t>
            </w:r>
          </w:p>
        </w:tc>
      </w:tr>
    </w:tbl>
    <w:p w14:paraId="36B09B0D" w14:textId="77777777" w:rsidR="00D25F0C" w:rsidRPr="00D25F0C" w:rsidRDefault="00D25F0C" w:rsidP="00677C01">
      <w:pPr>
        <w:spacing w:before="240" w:after="240"/>
        <w:rPr>
          <w:rFonts w:ascii="Verdana" w:eastAsia="Verdana" w:hAnsi="Verdana" w:cs="Verdana"/>
          <w:sz w:val="18"/>
          <w:szCs w:val="18"/>
        </w:rPr>
      </w:pPr>
      <w:r w:rsidRPr="00D25F0C">
        <w:rPr>
          <w:rFonts w:ascii="Verdana" w:eastAsia="Verdana" w:hAnsi="Verdana" w:cs="Verdana"/>
          <w:sz w:val="18"/>
          <w:szCs w:val="18"/>
          <w:vertAlign w:val="superscript"/>
        </w:rPr>
        <w:t xml:space="preserve">a </w:t>
      </w:r>
      <w:r w:rsidRPr="00D25F0C">
        <w:rPr>
          <w:rFonts w:ascii="Verdana" w:eastAsia="Verdana" w:hAnsi="Verdana" w:cs="Verdana"/>
          <w:sz w:val="18"/>
          <w:szCs w:val="18"/>
        </w:rPr>
        <w:t xml:space="preserve">Paired QS system, </w:t>
      </w:r>
      <w:r w:rsidRPr="00D25F0C">
        <w:rPr>
          <w:rFonts w:ascii="Verdana" w:eastAsia="Verdana" w:hAnsi="Verdana" w:cs="Verdana"/>
          <w:sz w:val="18"/>
          <w:szCs w:val="18"/>
          <w:vertAlign w:val="superscript"/>
        </w:rPr>
        <w:t xml:space="preserve">b </w:t>
      </w:r>
      <w:r w:rsidRPr="00D25F0C">
        <w:rPr>
          <w:rFonts w:ascii="Verdana" w:eastAsia="Verdana" w:hAnsi="Verdana" w:cs="Verdana"/>
          <w:sz w:val="18"/>
          <w:szCs w:val="18"/>
        </w:rPr>
        <w:t xml:space="preserve">Solo </w:t>
      </w:r>
      <w:proofErr w:type="spellStart"/>
      <w:r w:rsidRPr="00D25F0C">
        <w:rPr>
          <w:rFonts w:ascii="Verdana" w:eastAsia="Verdana" w:hAnsi="Verdana" w:cs="Verdana"/>
          <w:i/>
          <w:sz w:val="18"/>
          <w:szCs w:val="18"/>
        </w:rPr>
        <w:t>luxR</w:t>
      </w:r>
      <w:proofErr w:type="spellEnd"/>
      <w:r w:rsidRPr="00D25F0C">
        <w:rPr>
          <w:rFonts w:ascii="Verdana" w:eastAsia="Verdana" w:hAnsi="Verdana" w:cs="Verdana"/>
          <w:i/>
          <w:sz w:val="18"/>
          <w:szCs w:val="18"/>
        </w:rPr>
        <w:t>/</w:t>
      </w:r>
      <w:proofErr w:type="spellStart"/>
      <w:r w:rsidRPr="00D25F0C">
        <w:rPr>
          <w:rFonts w:ascii="Verdana" w:eastAsia="Verdana" w:hAnsi="Verdana" w:cs="Verdana"/>
          <w:i/>
          <w:sz w:val="18"/>
          <w:szCs w:val="18"/>
        </w:rPr>
        <w:t>luxI</w:t>
      </w:r>
      <w:proofErr w:type="spellEnd"/>
      <w:r w:rsidRPr="00D25F0C">
        <w:rPr>
          <w:rFonts w:ascii="Verdana" w:eastAsia="Verdana" w:hAnsi="Verdana" w:cs="Verdana"/>
          <w:iCs/>
          <w:sz w:val="18"/>
          <w:szCs w:val="18"/>
        </w:rPr>
        <w:t xml:space="preserve"> (gray)</w:t>
      </w:r>
      <w:r w:rsidRPr="00D25F0C">
        <w:rPr>
          <w:rFonts w:ascii="Verdana" w:eastAsia="Verdana" w:hAnsi="Verdana" w:cs="Verdana"/>
          <w:i/>
          <w:sz w:val="18"/>
          <w:szCs w:val="18"/>
        </w:rPr>
        <w:t>,</w:t>
      </w:r>
      <w:r w:rsidRPr="00D25F0C">
        <w:rPr>
          <w:rFonts w:ascii="Verdana" w:eastAsia="Verdana" w:hAnsi="Verdana" w:cs="Verdana"/>
          <w:sz w:val="18"/>
          <w:szCs w:val="18"/>
        </w:rPr>
        <w:t xml:space="preserve"> </w:t>
      </w:r>
      <w:proofErr w:type="spellStart"/>
      <w:r w:rsidRPr="00D25F0C">
        <w:rPr>
          <w:rFonts w:ascii="Verdana" w:eastAsia="Verdana" w:hAnsi="Verdana" w:cs="Verdana"/>
          <w:sz w:val="18"/>
          <w:szCs w:val="18"/>
          <w:vertAlign w:val="superscript"/>
        </w:rPr>
        <w:t>c</w:t>
      </w:r>
      <w:r w:rsidRPr="00D25F0C">
        <w:rPr>
          <w:rFonts w:ascii="Verdana" w:eastAsia="Verdana" w:hAnsi="Verdana" w:cs="Verdana"/>
          <w:sz w:val="18"/>
          <w:szCs w:val="18"/>
        </w:rPr>
        <w:t>Cude</w:t>
      </w:r>
      <w:proofErr w:type="spellEnd"/>
      <w:r w:rsidRPr="00D25F0C">
        <w:rPr>
          <w:rFonts w:ascii="Verdana" w:eastAsia="Verdana" w:hAnsi="Verdana" w:cs="Verdana"/>
          <w:sz w:val="18"/>
          <w:szCs w:val="18"/>
        </w:rPr>
        <w:t xml:space="preserve"> et al., 2013, </w:t>
      </w:r>
      <w:proofErr w:type="spellStart"/>
      <w:r w:rsidRPr="00D25F0C">
        <w:rPr>
          <w:rFonts w:ascii="Verdana" w:eastAsia="Verdana" w:hAnsi="Verdana" w:cs="Verdana"/>
          <w:sz w:val="18"/>
          <w:szCs w:val="18"/>
          <w:vertAlign w:val="superscript"/>
        </w:rPr>
        <w:t>d</w:t>
      </w:r>
      <w:r w:rsidRPr="00D25F0C">
        <w:rPr>
          <w:rFonts w:ascii="Verdana" w:eastAsia="Verdana" w:hAnsi="Verdana" w:cs="Verdana"/>
          <w:sz w:val="18"/>
          <w:szCs w:val="18"/>
        </w:rPr>
        <w:t>Cude</w:t>
      </w:r>
      <w:proofErr w:type="spellEnd"/>
      <w:r w:rsidRPr="00D25F0C">
        <w:rPr>
          <w:rFonts w:ascii="Verdana" w:eastAsia="Verdana" w:hAnsi="Verdana" w:cs="Verdana"/>
          <w:sz w:val="18"/>
          <w:szCs w:val="18"/>
        </w:rPr>
        <w:t xml:space="preserve"> et. al 2015</w:t>
      </w:r>
    </w:p>
    <w:p w14:paraId="30390E27" w14:textId="77777777" w:rsidR="00D25F0C" w:rsidRDefault="00D25F0C" w:rsidP="00677C01">
      <w:pPr>
        <w:spacing w:before="240"/>
        <w:rPr>
          <w:rFonts w:ascii="Verdana" w:eastAsia="Verdana" w:hAnsi="Verdana" w:cs="Verdana"/>
          <w:b/>
          <w:sz w:val="20"/>
          <w:szCs w:val="20"/>
        </w:rPr>
      </w:pPr>
      <w:r>
        <w:rPr>
          <w:rFonts w:ascii="Verdana" w:eastAsia="Verdana" w:hAnsi="Verdana" w:cs="Verdana"/>
          <w:b/>
          <w:sz w:val="20"/>
          <w:szCs w:val="20"/>
        </w:rPr>
        <w:br w:type="page"/>
      </w:r>
    </w:p>
    <w:p w14:paraId="6EC59916" w14:textId="4B2CFC29" w:rsidR="0057177E" w:rsidRPr="00822656" w:rsidRDefault="0057177E" w:rsidP="00677C01">
      <w:pPr>
        <w:pStyle w:val="Caption"/>
        <w:spacing w:before="240"/>
        <w:rPr>
          <w:rFonts w:ascii="Verdana" w:hAnsi="Verdana"/>
          <w:b w:val="0"/>
          <w:bCs w:val="0"/>
          <w:sz w:val="20"/>
          <w:szCs w:val="20"/>
        </w:rPr>
      </w:pPr>
      <w:bookmarkStart w:id="52" w:name="_Toc83387911"/>
      <w:r w:rsidRPr="00822656">
        <w:rPr>
          <w:rFonts w:ascii="Verdana" w:hAnsi="Verdana"/>
          <w:sz w:val="20"/>
          <w:szCs w:val="20"/>
        </w:rPr>
        <w:lastRenderedPageBreak/>
        <w:t xml:space="preserve">Table </w:t>
      </w:r>
      <w:r w:rsidR="00F8165F" w:rsidRPr="00822656">
        <w:rPr>
          <w:rFonts w:ascii="Verdana" w:hAnsi="Verdana"/>
          <w:sz w:val="20"/>
          <w:szCs w:val="20"/>
        </w:rPr>
        <w:fldChar w:fldCharType="begin"/>
      </w:r>
      <w:r w:rsidR="00F8165F" w:rsidRPr="00822656">
        <w:rPr>
          <w:rFonts w:ascii="Verdana" w:hAnsi="Verdana"/>
          <w:sz w:val="20"/>
          <w:szCs w:val="20"/>
        </w:rPr>
        <w:instrText xml:space="preserve"> STYLEREF 1 \s </w:instrText>
      </w:r>
      <w:r w:rsidR="00F8165F" w:rsidRPr="00822656">
        <w:rPr>
          <w:rFonts w:ascii="Verdana" w:hAnsi="Verdana"/>
          <w:sz w:val="20"/>
          <w:szCs w:val="20"/>
        </w:rPr>
        <w:fldChar w:fldCharType="separate"/>
      </w:r>
      <w:r w:rsidR="00F8165F" w:rsidRPr="00822656">
        <w:rPr>
          <w:rFonts w:ascii="Verdana" w:hAnsi="Verdana"/>
          <w:noProof/>
          <w:sz w:val="20"/>
          <w:szCs w:val="20"/>
        </w:rPr>
        <w:t>3</w:t>
      </w:r>
      <w:r w:rsidR="00F8165F" w:rsidRPr="00822656">
        <w:rPr>
          <w:rFonts w:ascii="Verdana" w:hAnsi="Verdana"/>
          <w:sz w:val="20"/>
          <w:szCs w:val="20"/>
        </w:rPr>
        <w:fldChar w:fldCharType="end"/>
      </w:r>
      <w:r w:rsidR="00F8165F" w:rsidRPr="00822656">
        <w:rPr>
          <w:rFonts w:ascii="Verdana" w:hAnsi="Verdana"/>
          <w:sz w:val="20"/>
          <w:szCs w:val="20"/>
        </w:rPr>
        <w:t>.</w:t>
      </w:r>
      <w:r w:rsidR="00F8165F" w:rsidRPr="00822656">
        <w:rPr>
          <w:rFonts w:ascii="Verdana" w:hAnsi="Verdana"/>
          <w:sz w:val="20"/>
          <w:szCs w:val="20"/>
        </w:rPr>
        <w:fldChar w:fldCharType="begin"/>
      </w:r>
      <w:r w:rsidR="00F8165F" w:rsidRPr="00822656">
        <w:rPr>
          <w:rFonts w:ascii="Verdana" w:hAnsi="Verdana"/>
          <w:sz w:val="20"/>
          <w:szCs w:val="20"/>
        </w:rPr>
        <w:instrText xml:space="preserve"> SEQ Table \* ARABIC \s 1 </w:instrText>
      </w:r>
      <w:r w:rsidR="00F8165F" w:rsidRPr="00822656">
        <w:rPr>
          <w:rFonts w:ascii="Verdana" w:hAnsi="Verdana"/>
          <w:sz w:val="20"/>
          <w:szCs w:val="20"/>
        </w:rPr>
        <w:fldChar w:fldCharType="separate"/>
      </w:r>
      <w:r w:rsidR="00F8165F" w:rsidRPr="00822656">
        <w:rPr>
          <w:rFonts w:ascii="Verdana" w:hAnsi="Verdana"/>
          <w:noProof/>
          <w:sz w:val="20"/>
          <w:szCs w:val="20"/>
        </w:rPr>
        <w:t>2</w:t>
      </w:r>
      <w:r w:rsidR="00F8165F" w:rsidRPr="00822656">
        <w:rPr>
          <w:rFonts w:ascii="Verdana" w:hAnsi="Verdana"/>
          <w:sz w:val="20"/>
          <w:szCs w:val="20"/>
        </w:rPr>
        <w:fldChar w:fldCharType="end"/>
      </w:r>
      <w:r w:rsidRPr="00822656">
        <w:rPr>
          <w:rFonts w:ascii="Verdana" w:hAnsi="Verdana"/>
          <w:sz w:val="20"/>
          <w:szCs w:val="20"/>
        </w:rPr>
        <w:t xml:space="preserve">. </w:t>
      </w:r>
      <w:r w:rsidRPr="00822656">
        <w:rPr>
          <w:rFonts w:ascii="Verdana" w:hAnsi="Verdana"/>
          <w:b w:val="0"/>
          <w:bCs w:val="0"/>
          <w:sz w:val="20"/>
          <w:szCs w:val="20"/>
        </w:rPr>
        <w:t>Factorial growth inhibition of synthetic community members.</w:t>
      </w:r>
      <w:bookmarkEnd w:id="52"/>
    </w:p>
    <w:p w14:paraId="17E0AC23" w14:textId="7D15D779" w:rsidR="00D25F0C" w:rsidRPr="00603E87" w:rsidRDefault="00D25F0C" w:rsidP="00677C01">
      <w:pPr>
        <w:spacing w:before="240"/>
        <w:rPr>
          <w:rFonts w:ascii="Verdana" w:eastAsia="Verdana" w:hAnsi="Verdana" w:cs="Verdana"/>
          <w:sz w:val="18"/>
          <w:szCs w:val="18"/>
        </w:rPr>
      </w:pPr>
    </w:p>
    <w:p w14:paraId="21387683" w14:textId="77777777" w:rsidR="00D25F0C" w:rsidRPr="00603E87" w:rsidRDefault="00D25F0C" w:rsidP="00677C01">
      <w:pPr>
        <w:spacing w:before="240"/>
        <w:rPr>
          <w:rFonts w:ascii="Verdana" w:eastAsia="Verdana" w:hAnsi="Verdana" w:cs="Verdana"/>
          <w:sz w:val="18"/>
          <w:szCs w:val="18"/>
        </w:rPr>
      </w:pPr>
    </w:p>
    <w:tbl>
      <w:tblPr>
        <w:tblW w:w="8820" w:type="dxa"/>
        <w:tblBorders>
          <w:top w:val="nil"/>
          <w:left w:val="nil"/>
          <w:bottom w:val="nil"/>
          <w:right w:val="nil"/>
          <w:insideH w:val="nil"/>
          <w:insideV w:val="nil"/>
        </w:tblBorders>
        <w:tblLayout w:type="fixed"/>
        <w:tblLook w:val="0600" w:firstRow="0" w:lastRow="0" w:firstColumn="0" w:lastColumn="0" w:noHBand="1" w:noVBand="1"/>
      </w:tblPr>
      <w:tblGrid>
        <w:gridCol w:w="990"/>
        <w:gridCol w:w="1170"/>
        <w:gridCol w:w="1350"/>
        <w:gridCol w:w="1350"/>
        <w:gridCol w:w="990"/>
        <w:gridCol w:w="990"/>
        <w:gridCol w:w="990"/>
        <w:gridCol w:w="990"/>
      </w:tblGrid>
      <w:tr w:rsidR="00D25F0C" w:rsidRPr="00603E87" w14:paraId="1ED77111" w14:textId="77777777" w:rsidTr="00603E87">
        <w:trPr>
          <w:trHeight w:val="242"/>
        </w:trPr>
        <w:tc>
          <w:tcPr>
            <w:tcW w:w="990" w:type="dxa"/>
            <w:tcBorders>
              <w:top w:val="nil"/>
              <w:left w:val="nil"/>
              <w:bottom w:val="single" w:sz="18" w:space="0" w:color="auto"/>
              <w:right w:val="nil"/>
            </w:tcBorders>
            <w:tcMar>
              <w:top w:w="100" w:type="dxa"/>
              <w:left w:w="100" w:type="dxa"/>
              <w:bottom w:w="100" w:type="dxa"/>
              <w:right w:w="100" w:type="dxa"/>
            </w:tcMar>
          </w:tcPr>
          <w:p w14:paraId="0E27311F" w14:textId="77777777" w:rsidR="00D25F0C" w:rsidRPr="00603E87" w:rsidRDefault="00D25F0C" w:rsidP="00677C01">
            <w:pPr>
              <w:widowControl w:val="0"/>
              <w:pBdr>
                <w:top w:val="nil"/>
                <w:left w:val="nil"/>
                <w:bottom w:val="nil"/>
                <w:right w:val="nil"/>
                <w:between w:val="nil"/>
              </w:pBdr>
              <w:spacing w:before="240"/>
              <w:rPr>
                <w:rFonts w:ascii="Verdana" w:eastAsia="Verdana" w:hAnsi="Verdana" w:cs="Verdana"/>
                <w:sz w:val="18"/>
                <w:szCs w:val="18"/>
              </w:rPr>
            </w:pPr>
          </w:p>
        </w:tc>
        <w:tc>
          <w:tcPr>
            <w:tcW w:w="7830" w:type="dxa"/>
            <w:gridSpan w:val="7"/>
            <w:tcBorders>
              <w:top w:val="single" w:sz="18" w:space="0" w:color="auto"/>
              <w:left w:val="nil"/>
              <w:bottom w:val="single" w:sz="18" w:space="0" w:color="auto"/>
              <w:right w:val="nil"/>
            </w:tcBorders>
            <w:tcMar>
              <w:top w:w="100" w:type="dxa"/>
              <w:left w:w="100" w:type="dxa"/>
              <w:bottom w:w="100" w:type="dxa"/>
              <w:right w:w="100" w:type="dxa"/>
            </w:tcMar>
          </w:tcPr>
          <w:p w14:paraId="10942837" w14:textId="77777777" w:rsidR="00D25F0C" w:rsidRPr="00603E87" w:rsidRDefault="00D25F0C" w:rsidP="00677C01">
            <w:pPr>
              <w:widowControl w:val="0"/>
              <w:pBdr>
                <w:top w:val="nil"/>
                <w:left w:val="nil"/>
                <w:bottom w:val="nil"/>
                <w:right w:val="nil"/>
                <w:between w:val="nil"/>
              </w:pBdr>
              <w:spacing w:before="240"/>
              <w:jc w:val="center"/>
              <w:rPr>
                <w:rFonts w:ascii="Verdana" w:eastAsia="Verdana" w:hAnsi="Verdana" w:cs="Verdana"/>
                <w:b/>
                <w:bCs/>
                <w:sz w:val="18"/>
                <w:szCs w:val="18"/>
              </w:rPr>
            </w:pPr>
            <w:r w:rsidRPr="00603E87">
              <w:rPr>
                <w:rFonts w:ascii="Verdana" w:eastAsia="Verdana" w:hAnsi="Verdana" w:cs="Verdana"/>
                <w:b/>
                <w:bCs/>
                <w:sz w:val="18"/>
                <w:szCs w:val="18"/>
              </w:rPr>
              <w:t>Inhibitor Organism</w:t>
            </w:r>
          </w:p>
        </w:tc>
      </w:tr>
      <w:tr w:rsidR="00D25F0C" w:rsidRPr="00603E87" w14:paraId="63FCCD34" w14:textId="77777777" w:rsidTr="00603E87">
        <w:trPr>
          <w:trHeight w:val="368"/>
        </w:trPr>
        <w:tc>
          <w:tcPr>
            <w:tcW w:w="990" w:type="dxa"/>
            <w:tcBorders>
              <w:top w:val="single" w:sz="18" w:space="0" w:color="auto"/>
              <w:left w:val="nil"/>
              <w:bottom w:val="nil"/>
              <w:right w:val="single" w:sz="12" w:space="0" w:color="auto"/>
            </w:tcBorders>
            <w:shd w:val="clear" w:color="auto" w:fill="auto"/>
            <w:tcMar>
              <w:top w:w="100" w:type="dxa"/>
              <w:left w:w="100" w:type="dxa"/>
              <w:bottom w:w="100" w:type="dxa"/>
              <w:right w:w="100" w:type="dxa"/>
            </w:tcMar>
          </w:tcPr>
          <w:p w14:paraId="4A195DA9" w14:textId="77777777" w:rsidR="00D25F0C" w:rsidRPr="00603E87" w:rsidRDefault="00D25F0C" w:rsidP="00677C01">
            <w:pPr>
              <w:spacing w:before="240"/>
              <w:rPr>
                <w:rFonts w:ascii="Verdana" w:eastAsia="Verdana" w:hAnsi="Verdana" w:cs="Verdana"/>
                <w:b/>
                <w:bCs/>
                <w:sz w:val="18"/>
                <w:szCs w:val="18"/>
              </w:rPr>
            </w:pPr>
            <w:r w:rsidRPr="00603E87">
              <w:rPr>
                <w:rFonts w:ascii="Verdana" w:eastAsia="Verdana" w:hAnsi="Verdana" w:cs="Verdana"/>
                <w:b/>
                <w:bCs/>
                <w:sz w:val="18"/>
                <w:szCs w:val="18"/>
              </w:rPr>
              <w:t>Lawn</w:t>
            </w:r>
          </w:p>
        </w:tc>
        <w:tc>
          <w:tcPr>
            <w:tcW w:w="1170" w:type="dxa"/>
            <w:tcBorders>
              <w:top w:val="single" w:sz="18" w:space="0" w:color="auto"/>
              <w:left w:val="single" w:sz="12" w:space="0" w:color="auto"/>
              <w:bottom w:val="single" w:sz="12" w:space="0" w:color="auto"/>
              <w:right w:val="nil"/>
            </w:tcBorders>
            <w:shd w:val="clear" w:color="auto" w:fill="auto"/>
            <w:tcMar>
              <w:top w:w="100" w:type="dxa"/>
              <w:left w:w="100" w:type="dxa"/>
              <w:bottom w:w="100" w:type="dxa"/>
              <w:right w:w="100" w:type="dxa"/>
            </w:tcMar>
          </w:tcPr>
          <w:p w14:paraId="4A2AF6FC" w14:textId="77777777" w:rsidR="00D25F0C" w:rsidRPr="00603E87" w:rsidRDefault="00D25F0C" w:rsidP="00677C01">
            <w:pPr>
              <w:spacing w:before="240"/>
              <w:jc w:val="center"/>
              <w:rPr>
                <w:rFonts w:ascii="Verdana" w:eastAsia="Verdana" w:hAnsi="Verdana" w:cs="Verdana"/>
                <w:sz w:val="18"/>
                <w:szCs w:val="18"/>
              </w:rPr>
            </w:pPr>
            <w:r w:rsidRPr="00603E87">
              <w:rPr>
                <w:rFonts w:ascii="Verdana" w:eastAsia="Verdana" w:hAnsi="Verdana" w:cs="Verdana"/>
                <w:sz w:val="18"/>
                <w:szCs w:val="18"/>
              </w:rPr>
              <w:t>Y4I</w:t>
            </w:r>
          </w:p>
        </w:tc>
        <w:tc>
          <w:tcPr>
            <w:tcW w:w="1350" w:type="dxa"/>
            <w:tcBorders>
              <w:top w:val="single" w:sz="18" w:space="0" w:color="auto"/>
              <w:left w:val="nil"/>
              <w:bottom w:val="single" w:sz="12" w:space="0" w:color="auto"/>
              <w:right w:val="nil"/>
            </w:tcBorders>
            <w:shd w:val="clear" w:color="auto" w:fill="auto"/>
            <w:tcMar>
              <w:top w:w="100" w:type="dxa"/>
              <w:left w:w="100" w:type="dxa"/>
              <w:bottom w:w="100" w:type="dxa"/>
              <w:right w:w="100" w:type="dxa"/>
            </w:tcMar>
          </w:tcPr>
          <w:p w14:paraId="6D51EC2C" w14:textId="77777777" w:rsidR="00D25F0C" w:rsidRPr="00603E87" w:rsidRDefault="00D25F0C" w:rsidP="00677C01">
            <w:pPr>
              <w:spacing w:before="240"/>
              <w:jc w:val="center"/>
              <w:rPr>
                <w:rFonts w:ascii="Verdana" w:eastAsia="Verdana" w:hAnsi="Verdana" w:cs="Verdana"/>
                <w:sz w:val="18"/>
                <w:szCs w:val="18"/>
              </w:rPr>
            </w:pPr>
            <w:r w:rsidRPr="00603E87">
              <w:rPr>
                <w:rFonts w:ascii="Verdana" w:eastAsia="Verdana" w:hAnsi="Verdana" w:cs="Verdana"/>
                <w:sz w:val="18"/>
                <w:szCs w:val="18"/>
              </w:rPr>
              <w:t>†</w:t>
            </w:r>
            <w:proofErr w:type="spellStart"/>
            <w:proofErr w:type="gramStart"/>
            <w:r w:rsidRPr="00603E87">
              <w:rPr>
                <w:rFonts w:ascii="Verdana" w:eastAsia="Verdana" w:hAnsi="Verdana" w:cs="Verdana"/>
                <w:i/>
                <w:iCs/>
                <w:sz w:val="18"/>
                <w:szCs w:val="18"/>
              </w:rPr>
              <w:t>clpA</w:t>
            </w:r>
            <w:proofErr w:type="spellEnd"/>
            <w:r w:rsidRPr="00603E87">
              <w:rPr>
                <w:rFonts w:ascii="Verdana" w:eastAsia="Verdana" w:hAnsi="Verdana" w:cs="Verdana"/>
                <w:sz w:val="18"/>
                <w:szCs w:val="18"/>
              </w:rPr>
              <w:t>::</w:t>
            </w:r>
            <w:proofErr w:type="gramEnd"/>
            <w:r w:rsidRPr="00603E87">
              <w:rPr>
                <w:rFonts w:ascii="Verdana" w:eastAsia="Verdana" w:hAnsi="Verdana" w:cs="Verdana"/>
                <w:sz w:val="18"/>
                <w:szCs w:val="18"/>
              </w:rPr>
              <w:t>Tn5-Km</w:t>
            </w:r>
            <w:r w:rsidRPr="00603E87">
              <w:rPr>
                <w:rFonts w:ascii="Verdana" w:eastAsia="Verdana" w:hAnsi="Verdana" w:cs="Verdana"/>
                <w:sz w:val="18"/>
                <w:szCs w:val="18"/>
                <w:vertAlign w:val="superscript"/>
              </w:rPr>
              <w:t>R</w:t>
            </w:r>
          </w:p>
        </w:tc>
        <w:tc>
          <w:tcPr>
            <w:tcW w:w="1350" w:type="dxa"/>
            <w:tcBorders>
              <w:top w:val="single" w:sz="18" w:space="0" w:color="auto"/>
              <w:left w:val="nil"/>
              <w:bottom w:val="single" w:sz="12" w:space="0" w:color="auto"/>
              <w:right w:val="nil"/>
            </w:tcBorders>
            <w:shd w:val="clear" w:color="auto" w:fill="auto"/>
            <w:tcMar>
              <w:top w:w="100" w:type="dxa"/>
              <w:left w:w="100" w:type="dxa"/>
              <w:bottom w:w="100" w:type="dxa"/>
              <w:right w:w="100" w:type="dxa"/>
            </w:tcMar>
          </w:tcPr>
          <w:p w14:paraId="7ADE50E3" w14:textId="77777777" w:rsidR="00D25F0C" w:rsidRPr="00603E87" w:rsidRDefault="00D25F0C" w:rsidP="00677C01">
            <w:pPr>
              <w:spacing w:before="240"/>
              <w:jc w:val="center"/>
              <w:rPr>
                <w:rFonts w:ascii="Verdana" w:eastAsia="Verdana" w:hAnsi="Verdana" w:cs="Verdana"/>
                <w:sz w:val="18"/>
                <w:szCs w:val="18"/>
              </w:rPr>
            </w:pPr>
            <w:r w:rsidRPr="00603E87">
              <w:rPr>
                <w:rFonts w:ascii="Verdana" w:eastAsia="Verdana" w:hAnsi="Verdana" w:cs="Verdana"/>
                <w:sz w:val="18"/>
                <w:szCs w:val="18"/>
              </w:rPr>
              <w:t>‡</w:t>
            </w:r>
            <w:proofErr w:type="spellStart"/>
            <w:proofErr w:type="gramStart"/>
            <w:r w:rsidRPr="00603E87">
              <w:rPr>
                <w:rFonts w:ascii="Verdana" w:eastAsia="Verdana" w:hAnsi="Verdana" w:cs="Verdana"/>
                <w:i/>
                <w:iCs/>
                <w:sz w:val="18"/>
                <w:szCs w:val="18"/>
              </w:rPr>
              <w:t>igiD</w:t>
            </w:r>
            <w:proofErr w:type="spellEnd"/>
            <w:r w:rsidRPr="00603E87">
              <w:rPr>
                <w:rFonts w:ascii="Verdana" w:eastAsia="Verdana" w:hAnsi="Verdana" w:cs="Verdana"/>
                <w:sz w:val="18"/>
                <w:szCs w:val="18"/>
              </w:rPr>
              <w:t>::</w:t>
            </w:r>
            <w:proofErr w:type="gramEnd"/>
            <w:r w:rsidRPr="00603E87">
              <w:rPr>
                <w:rFonts w:ascii="Verdana" w:eastAsia="Verdana" w:hAnsi="Verdana" w:cs="Verdana"/>
                <w:sz w:val="18"/>
                <w:szCs w:val="18"/>
              </w:rPr>
              <w:t>Tn5-Km</w:t>
            </w:r>
            <w:r w:rsidRPr="00603E87">
              <w:rPr>
                <w:rFonts w:ascii="Verdana" w:eastAsia="Verdana" w:hAnsi="Verdana" w:cs="Verdana"/>
                <w:sz w:val="18"/>
                <w:szCs w:val="18"/>
                <w:vertAlign w:val="superscript"/>
              </w:rPr>
              <w:t>R</w:t>
            </w:r>
          </w:p>
        </w:tc>
        <w:tc>
          <w:tcPr>
            <w:tcW w:w="990" w:type="dxa"/>
            <w:tcBorders>
              <w:top w:val="single" w:sz="18" w:space="0" w:color="auto"/>
              <w:left w:val="nil"/>
              <w:bottom w:val="single" w:sz="12" w:space="0" w:color="auto"/>
              <w:right w:val="nil"/>
            </w:tcBorders>
          </w:tcPr>
          <w:p w14:paraId="3DD20CE0" w14:textId="77777777" w:rsidR="00D25F0C" w:rsidRPr="00603E87" w:rsidRDefault="00D25F0C" w:rsidP="00677C01">
            <w:pPr>
              <w:spacing w:before="240"/>
              <w:jc w:val="center"/>
              <w:rPr>
                <w:rFonts w:ascii="Verdana" w:eastAsia="Verdana" w:hAnsi="Verdana" w:cs="Verdana"/>
                <w:sz w:val="18"/>
                <w:szCs w:val="18"/>
              </w:rPr>
            </w:pPr>
            <w:r w:rsidRPr="00603E87">
              <w:rPr>
                <w:rFonts w:ascii="Verdana" w:eastAsia="Verdana" w:hAnsi="Verdana" w:cs="Verdana"/>
                <w:sz w:val="18"/>
                <w:szCs w:val="18"/>
              </w:rPr>
              <w:t>E-37</w:t>
            </w:r>
          </w:p>
        </w:tc>
        <w:tc>
          <w:tcPr>
            <w:tcW w:w="990" w:type="dxa"/>
            <w:tcBorders>
              <w:top w:val="single" w:sz="18" w:space="0" w:color="auto"/>
              <w:left w:val="nil"/>
              <w:bottom w:val="single" w:sz="12" w:space="0" w:color="auto"/>
              <w:right w:val="nil"/>
            </w:tcBorders>
          </w:tcPr>
          <w:p w14:paraId="3E44C351" w14:textId="77777777" w:rsidR="00D25F0C" w:rsidRPr="00603E87" w:rsidRDefault="00D25F0C" w:rsidP="00677C01">
            <w:pPr>
              <w:spacing w:before="240"/>
              <w:jc w:val="center"/>
              <w:rPr>
                <w:rFonts w:ascii="Verdana" w:eastAsia="Verdana" w:hAnsi="Verdana" w:cs="Verdana"/>
                <w:sz w:val="18"/>
                <w:szCs w:val="18"/>
              </w:rPr>
            </w:pPr>
            <w:r w:rsidRPr="00603E87">
              <w:rPr>
                <w:rFonts w:ascii="Verdana" w:eastAsia="Verdana" w:hAnsi="Verdana" w:cs="Verdana"/>
                <w:sz w:val="18"/>
                <w:szCs w:val="18"/>
              </w:rPr>
              <w:t>EE-36</w:t>
            </w:r>
          </w:p>
        </w:tc>
        <w:tc>
          <w:tcPr>
            <w:tcW w:w="990" w:type="dxa"/>
            <w:tcBorders>
              <w:top w:val="single" w:sz="18" w:space="0" w:color="auto"/>
              <w:left w:val="nil"/>
              <w:bottom w:val="single" w:sz="12" w:space="0" w:color="auto"/>
              <w:right w:val="nil"/>
            </w:tcBorders>
          </w:tcPr>
          <w:p w14:paraId="6F05E160" w14:textId="77777777" w:rsidR="00D25F0C" w:rsidRPr="00603E87" w:rsidRDefault="00D25F0C" w:rsidP="00677C01">
            <w:pPr>
              <w:spacing w:before="240"/>
              <w:jc w:val="center"/>
              <w:rPr>
                <w:rFonts w:ascii="Verdana" w:eastAsia="Verdana" w:hAnsi="Verdana" w:cs="Verdana"/>
                <w:sz w:val="18"/>
                <w:szCs w:val="18"/>
              </w:rPr>
            </w:pPr>
            <w:r w:rsidRPr="00603E87">
              <w:rPr>
                <w:rFonts w:ascii="Verdana" w:eastAsia="Verdana" w:hAnsi="Verdana" w:cs="Verdana"/>
                <w:sz w:val="18"/>
                <w:szCs w:val="18"/>
              </w:rPr>
              <w:t>ISM</w:t>
            </w:r>
          </w:p>
        </w:tc>
        <w:tc>
          <w:tcPr>
            <w:tcW w:w="990" w:type="dxa"/>
            <w:tcBorders>
              <w:top w:val="single" w:sz="18" w:space="0" w:color="auto"/>
              <w:left w:val="nil"/>
              <w:bottom w:val="single" w:sz="12" w:space="0" w:color="auto"/>
              <w:right w:val="nil"/>
            </w:tcBorders>
          </w:tcPr>
          <w:p w14:paraId="4FA40FBE" w14:textId="77777777" w:rsidR="00D25F0C" w:rsidRPr="00603E87" w:rsidRDefault="00D25F0C" w:rsidP="00677C01">
            <w:pPr>
              <w:spacing w:before="240"/>
              <w:jc w:val="center"/>
              <w:rPr>
                <w:rFonts w:ascii="Verdana" w:eastAsia="Verdana" w:hAnsi="Verdana" w:cs="Verdana"/>
                <w:sz w:val="18"/>
                <w:szCs w:val="18"/>
              </w:rPr>
            </w:pPr>
            <w:r w:rsidRPr="00603E87">
              <w:rPr>
                <w:rFonts w:ascii="Verdana" w:eastAsia="Verdana" w:hAnsi="Verdana" w:cs="Verdana"/>
                <w:sz w:val="18"/>
                <w:szCs w:val="18"/>
              </w:rPr>
              <w:t>SE45</w:t>
            </w:r>
          </w:p>
        </w:tc>
      </w:tr>
      <w:tr w:rsidR="00D25F0C" w:rsidRPr="00603E87" w14:paraId="73BFDF11" w14:textId="77777777" w:rsidTr="00603E87">
        <w:trPr>
          <w:trHeight w:val="323"/>
        </w:trPr>
        <w:tc>
          <w:tcPr>
            <w:tcW w:w="990" w:type="dxa"/>
            <w:tcBorders>
              <w:top w:val="nil"/>
              <w:left w:val="nil"/>
              <w:bottom w:val="nil"/>
              <w:right w:val="single" w:sz="12" w:space="0" w:color="auto"/>
            </w:tcBorders>
            <w:shd w:val="clear" w:color="auto" w:fill="auto"/>
            <w:tcMar>
              <w:top w:w="100" w:type="dxa"/>
              <w:left w:w="100" w:type="dxa"/>
              <w:bottom w:w="100" w:type="dxa"/>
              <w:right w:w="100" w:type="dxa"/>
            </w:tcMar>
          </w:tcPr>
          <w:p w14:paraId="74593448" w14:textId="77777777" w:rsidR="00D25F0C" w:rsidRPr="00603E87" w:rsidRDefault="00D25F0C" w:rsidP="00677C01">
            <w:pPr>
              <w:spacing w:before="240"/>
              <w:rPr>
                <w:rFonts w:ascii="Verdana" w:eastAsia="Verdana" w:hAnsi="Verdana" w:cs="Verdana"/>
                <w:sz w:val="18"/>
                <w:szCs w:val="18"/>
              </w:rPr>
            </w:pPr>
            <w:r w:rsidRPr="00603E87">
              <w:rPr>
                <w:rFonts w:ascii="Verdana" w:eastAsia="Verdana" w:hAnsi="Verdana" w:cs="Verdana"/>
                <w:sz w:val="18"/>
                <w:szCs w:val="18"/>
              </w:rPr>
              <w:t>Y4I</w:t>
            </w:r>
          </w:p>
        </w:tc>
        <w:tc>
          <w:tcPr>
            <w:tcW w:w="1170" w:type="dxa"/>
            <w:tcBorders>
              <w:top w:val="single" w:sz="12" w:space="0" w:color="auto"/>
              <w:left w:val="single" w:sz="12" w:space="0" w:color="auto"/>
              <w:bottom w:val="nil"/>
              <w:right w:val="nil"/>
            </w:tcBorders>
            <w:shd w:val="clear" w:color="auto" w:fill="auto"/>
            <w:tcMar>
              <w:top w:w="100" w:type="dxa"/>
              <w:left w:w="100" w:type="dxa"/>
              <w:bottom w:w="100" w:type="dxa"/>
              <w:right w:w="100" w:type="dxa"/>
            </w:tcMar>
          </w:tcPr>
          <w:p w14:paraId="1D3799AE"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X</w:t>
            </w:r>
          </w:p>
        </w:tc>
        <w:tc>
          <w:tcPr>
            <w:tcW w:w="1350" w:type="dxa"/>
            <w:tcBorders>
              <w:top w:val="single" w:sz="12" w:space="0" w:color="auto"/>
              <w:left w:val="nil"/>
              <w:bottom w:val="nil"/>
              <w:right w:val="nil"/>
            </w:tcBorders>
            <w:shd w:val="clear" w:color="auto" w:fill="auto"/>
            <w:tcMar>
              <w:top w:w="100" w:type="dxa"/>
              <w:left w:w="100" w:type="dxa"/>
              <w:bottom w:w="100" w:type="dxa"/>
              <w:right w:w="100" w:type="dxa"/>
            </w:tcMar>
          </w:tcPr>
          <w:p w14:paraId="790F74DC"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X</w:t>
            </w:r>
          </w:p>
        </w:tc>
        <w:tc>
          <w:tcPr>
            <w:tcW w:w="1350" w:type="dxa"/>
            <w:tcBorders>
              <w:top w:val="single" w:sz="12" w:space="0" w:color="auto"/>
              <w:left w:val="nil"/>
              <w:bottom w:val="nil"/>
              <w:right w:val="nil"/>
            </w:tcBorders>
            <w:shd w:val="clear" w:color="auto" w:fill="auto"/>
            <w:tcMar>
              <w:top w:w="100" w:type="dxa"/>
              <w:left w:w="100" w:type="dxa"/>
              <w:bottom w:w="100" w:type="dxa"/>
              <w:right w:w="100" w:type="dxa"/>
            </w:tcMar>
          </w:tcPr>
          <w:p w14:paraId="61031527"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X</w:t>
            </w:r>
          </w:p>
        </w:tc>
        <w:tc>
          <w:tcPr>
            <w:tcW w:w="990" w:type="dxa"/>
            <w:tcBorders>
              <w:top w:val="single" w:sz="12" w:space="0" w:color="auto"/>
              <w:left w:val="nil"/>
              <w:bottom w:val="nil"/>
              <w:right w:val="nil"/>
            </w:tcBorders>
          </w:tcPr>
          <w:p w14:paraId="4E4F7579"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990" w:type="dxa"/>
            <w:tcBorders>
              <w:top w:val="single" w:sz="12" w:space="0" w:color="auto"/>
              <w:left w:val="nil"/>
              <w:bottom w:val="nil"/>
              <w:right w:val="nil"/>
            </w:tcBorders>
          </w:tcPr>
          <w:p w14:paraId="595A89E8"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990" w:type="dxa"/>
            <w:tcBorders>
              <w:top w:val="single" w:sz="12" w:space="0" w:color="auto"/>
              <w:left w:val="nil"/>
              <w:bottom w:val="nil"/>
              <w:right w:val="nil"/>
            </w:tcBorders>
          </w:tcPr>
          <w:p w14:paraId="01697927"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990" w:type="dxa"/>
            <w:tcBorders>
              <w:top w:val="single" w:sz="12" w:space="0" w:color="auto"/>
              <w:left w:val="nil"/>
              <w:bottom w:val="nil"/>
              <w:right w:val="nil"/>
            </w:tcBorders>
          </w:tcPr>
          <w:p w14:paraId="465987E9"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r>
      <w:tr w:rsidR="00D25F0C" w:rsidRPr="00603E87" w14:paraId="36776B2D" w14:textId="77777777" w:rsidTr="009E0920">
        <w:trPr>
          <w:trHeight w:val="323"/>
        </w:trPr>
        <w:tc>
          <w:tcPr>
            <w:tcW w:w="990" w:type="dxa"/>
            <w:tcBorders>
              <w:top w:val="nil"/>
              <w:left w:val="nil"/>
              <w:bottom w:val="nil"/>
              <w:right w:val="single" w:sz="12" w:space="0" w:color="auto"/>
            </w:tcBorders>
            <w:shd w:val="clear" w:color="auto" w:fill="auto"/>
            <w:tcMar>
              <w:top w:w="100" w:type="dxa"/>
              <w:left w:w="100" w:type="dxa"/>
              <w:bottom w:w="100" w:type="dxa"/>
              <w:right w:w="100" w:type="dxa"/>
            </w:tcMar>
          </w:tcPr>
          <w:p w14:paraId="22DD8A49" w14:textId="77777777" w:rsidR="00D25F0C" w:rsidRPr="00603E87" w:rsidRDefault="00D25F0C" w:rsidP="00677C01">
            <w:pPr>
              <w:spacing w:before="240"/>
              <w:rPr>
                <w:rFonts w:ascii="Verdana" w:eastAsia="Verdana" w:hAnsi="Verdana" w:cs="Verdana"/>
                <w:sz w:val="18"/>
                <w:szCs w:val="18"/>
              </w:rPr>
            </w:pPr>
            <w:r w:rsidRPr="00603E87">
              <w:rPr>
                <w:rFonts w:ascii="Verdana" w:eastAsia="Verdana" w:hAnsi="Verdana" w:cs="Verdana"/>
                <w:sz w:val="18"/>
                <w:szCs w:val="18"/>
              </w:rPr>
              <w:t>E-37</w:t>
            </w:r>
          </w:p>
        </w:tc>
        <w:tc>
          <w:tcPr>
            <w:tcW w:w="1170" w:type="dxa"/>
            <w:tcBorders>
              <w:top w:val="nil"/>
              <w:left w:val="single" w:sz="12" w:space="0" w:color="auto"/>
              <w:bottom w:val="nil"/>
              <w:right w:val="nil"/>
            </w:tcBorders>
            <w:shd w:val="clear" w:color="auto" w:fill="auto"/>
            <w:tcMar>
              <w:top w:w="100" w:type="dxa"/>
              <w:left w:w="100" w:type="dxa"/>
              <w:bottom w:w="100" w:type="dxa"/>
              <w:right w:w="100" w:type="dxa"/>
            </w:tcMar>
          </w:tcPr>
          <w:p w14:paraId="280ED6C8"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1350" w:type="dxa"/>
            <w:tcBorders>
              <w:top w:val="nil"/>
              <w:left w:val="nil"/>
              <w:bottom w:val="nil"/>
              <w:right w:val="nil"/>
            </w:tcBorders>
            <w:shd w:val="clear" w:color="auto" w:fill="auto"/>
            <w:tcMar>
              <w:top w:w="100" w:type="dxa"/>
              <w:left w:w="100" w:type="dxa"/>
              <w:bottom w:w="100" w:type="dxa"/>
              <w:right w:w="100" w:type="dxa"/>
            </w:tcMar>
          </w:tcPr>
          <w:p w14:paraId="5C527C57"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1350" w:type="dxa"/>
            <w:tcBorders>
              <w:top w:val="nil"/>
              <w:left w:val="nil"/>
              <w:bottom w:val="nil"/>
              <w:right w:val="nil"/>
            </w:tcBorders>
            <w:shd w:val="clear" w:color="auto" w:fill="auto"/>
            <w:tcMar>
              <w:top w:w="100" w:type="dxa"/>
              <w:left w:w="100" w:type="dxa"/>
              <w:bottom w:w="100" w:type="dxa"/>
              <w:right w:w="100" w:type="dxa"/>
            </w:tcMar>
          </w:tcPr>
          <w:p w14:paraId="6378EC98"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990" w:type="dxa"/>
            <w:tcBorders>
              <w:top w:val="nil"/>
              <w:left w:val="nil"/>
              <w:bottom w:val="nil"/>
              <w:right w:val="nil"/>
            </w:tcBorders>
          </w:tcPr>
          <w:p w14:paraId="31197F00"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X</w:t>
            </w:r>
          </w:p>
        </w:tc>
        <w:tc>
          <w:tcPr>
            <w:tcW w:w="990" w:type="dxa"/>
            <w:tcBorders>
              <w:top w:val="nil"/>
              <w:left w:val="nil"/>
              <w:bottom w:val="nil"/>
              <w:right w:val="nil"/>
            </w:tcBorders>
          </w:tcPr>
          <w:p w14:paraId="3A29FF8A"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990" w:type="dxa"/>
            <w:tcBorders>
              <w:top w:val="nil"/>
              <w:left w:val="nil"/>
              <w:bottom w:val="nil"/>
              <w:right w:val="nil"/>
            </w:tcBorders>
          </w:tcPr>
          <w:p w14:paraId="783D111E"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990" w:type="dxa"/>
            <w:tcBorders>
              <w:top w:val="nil"/>
              <w:left w:val="nil"/>
              <w:bottom w:val="nil"/>
              <w:right w:val="nil"/>
            </w:tcBorders>
          </w:tcPr>
          <w:p w14:paraId="59C6B0BF"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r>
      <w:tr w:rsidR="00D25F0C" w:rsidRPr="00603E87" w14:paraId="32D8C1BA" w14:textId="77777777" w:rsidTr="009E0920">
        <w:trPr>
          <w:trHeight w:val="62"/>
        </w:trPr>
        <w:tc>
          <w:tcPr>
            <w:tcW w:w="990" w:type="dxa"/>
            <w:tcBorders>
              <w:top w:val="nil"/>
              <w:left w:val="nil"/>
              <w:bottom w:val="nil"/>
              <w:right w:val="single" w:sz="12" w:space="0" w:color="auto"/>
            </w:tcBorders>
            <w:shd w:val="clear" w:color="auto" w:fill="auto"/>
            <w:tcMar>
              <w:top w:w="100" w:type="dxa"/>
              <w:left w:w="100" w:type="dxa"/>
              <w:bottom w:w="100" w:type="dxa"/>
              <w:right w:w="100" w:type="dxa"/>
            </w:tcMar>
          </w:tcPr>
          <w:p w14:paraId="1E576462" w14:textId="77777777" w:rsidR="00D25F0C" w:rsidRPr="00603E87" w:rsidRDefault="00D25F0C" w:rsidP="00677C01">
            <w:pPr>
              <w:spacing w:before="240"/>
              <w:rPr>
                <w:rFonts w:ascii="Verdana" w:eastAsia="Verdana" w:hAnsi="Verdana" w:cs="Verdana"/>
                <w:sz w:val="18"/>
                <w:szCs w:val="18"/>
              </w:rPr>
            </w:pPr>
          </w:p>
        </w:tc>
        <w:tc>
          <w:tcPr>
            <w:tcW w:w="1170" w:type="dxa"/>
            <w:tcBorders>
              <w:top w:val="nil"/>
              <w:left w:val="single" w:sz="12" w:space="0" w:color="auto"/>
              <w:bottom w:val="nil"/>
              <w:right w:val="nil"/>
            </w:tcBorders>
            <w:shd w:val="clear" w:color="auto" w:fill="auto"/>
            <w:tcMar>
              <w:top w:w="100" w:type="dxa"/>
              <w:left w:w="100" w:type="dxa"/>
              <w:bottom w:w="100" w:type="dxa"/>
              <w:right w:w="100" w:type="dxa"/>
            </w:tcMar>
          </w:tcPr>
          <w:p w14:paraId="19B2BE93" w14:textId="77777777" w:rsidR="00D25F0C" w:rsidRPr="00603E87" w:rsidRDefault="00D25F0C" w:rsidP="00677C01">
            <w:pPr>
              <w:widowControl w:val="0"/>
              <w:pBdr>
                <w:top w:val="nil"/>
                <w:left w:val="nil"/>
                <w:bottom w:val="nil"/>
                <w:right w:val="nil"/>
                <w:between w:val="nil"/>
              </w:pBdr>
              <w:spacing w:before="240"/>
              <w:rPr>
                <w:rFonts w:ascii="Verdana" w:eastAsia="Verdana" w:hAnsi="Verdana" w:cs="Verdana"/>
                <w:sz w:val="20"/>
                <w:szCs w:val="20"/>
              </w:rPr>
            </w:pPr>
          </w:p>
        </w:tc>
        <w:tc>
          <w:tcPr>
            <w:tcW w:w="1350" w:type="dxa"/>
            <w:tcBorders>
              <w:top w:val="nil"/>
              <w:left w:val="nil"/>
              <w:bottom w:val="nil"/>
              <w:right w:val="nil"/>
            </w:tcBorders>
            <w:shd w:val="clear" w:color="auto" w:fill="auto"/>
            <w:tcMar>
              <w:top w:w="100" w:type="dxa"/>
              <w:left w:w="100" w:type="dxa"/>
              <w:bottom w:w="100" w:type="dxa"/>
              <w:right w:w="100" w:type="dxa"/>
            </w:tcMar>
          </w:tcPr>
          <w:p w14:paraId="7945BF00" w14:textId="77777777" w:rsidR="00D25F0C" w:rsidRPr="00603E87" w:rsidRDefault="00D25F0C" w:rsidP="00677C01">
            <w:pPr>
              <w:widowControl w:val="0"/>
              <w:pBdr>
                <w:top w:val="nil"/>
                <w:left w:val="nil"/>
                <w:bottom w:val="nil"/>
                <w:right w:val="nil"/>
                <w:between w:val="nil"/>
              </w:pBdr>
              <w:spacing w:before="240"/>
              <w:rPr>
                <w:rFonts w:ascii="Verdana" w:eastAsia="Verdana" w:hAnsi="Verdana" w:cs="Verdana"/>
                <w:sz w:val="20"/>
                <w:szCs w:val="20"/>
              </w:rPr>
            </w:pPr>
          </w:p>
        </w:tc>
        <w:tc>
          <w:tcPr>
            <w:tcW w:w="1350" w:type="dxa"/>
            <w:tcBorders>
              <w:top w:val="nil"/>
              <w:left w:val="nil"/>
              <w:bottom w:val="nil"/>
              <w:right w:val="nil"/>
            </w:tcBorders>
            <w:shd w:val="clear" w:color="auto" w:fill="auto"/>
            <w:tcMar>
              <w:top w:w="100" w:type="dxa"/>
              <w:left w:w="100" w:type="dxa"/>
              <w:bottom w:w="100" w:type="dxa"/>
              <w:right w:w="100" w:type="dxa"/>
            </w:tcMar>
          </w:tcPr>
          <w:p w14:paraId="03BD6CA6" w14:textId="77777777" w:rsidR="00D25F0C" w:rsidRPr="00603E87" w:rsidRDefault="00D25F0C" w:rsidP="00677C01">
            <w:pPr>
              <w:widowControl w:val="0"/>
              <w:pBdr>
                <w:top w:val="nil"/>
                <w:left w:val="nil"/>
                <w:bottom w:val="nil"/>
                <w:right w:val="nil"/>
                <w:between w:val="nil"/>
              </w:pBdr>
              <w:spacing w:before="240"/>
              <w:rPr>
                <w:rFonts w:ascii="Verdana" w:eastAsia="Verdana" w:hAnsi="Verdana" w:cs="Verdana"/>
                <w:sz w:val="20"/>
                <w:szCs w:val="20"/>
              </w:rPr>
            </w:pPr>
          </w:p>
        </w:tc>
        <w:tc>
          <w:tcPr>
            <w:tcW w:w="990" w:type="dxa"/>
            <w:tcBorders>
              <w:top w:val="nil"/>
              <w:left w:val="nil"/>
              <w:bottom w:val="nil"/>
              <w:right w:val="nil"/>
            </w:tcBorders>
          </w:tcPr>
          <w:p w14:paraId="14FDC358" w14:textId="77777777" w:rsidR="00D25F0C" w:rsidRPr="00603E87" w:rsidRDefault="00D25F0C" w:rsidP="00677C01">
            <w:pPr>
              <w:widowControl w:val="0"/>
              <w:pBdr>
                <w:top w:val="nil"/>
                <w:left w:val="nil"/>
                <w:bottom w:val="nil"/>
                <w:right w:val="nil"/>
                <w:between w:val="nil"/>
              </w:pBdr>
              <w:spacing w:before="240"/>
              <w:rPr>
                <w:rFonts w:ascii="Verdana" w:eastAsia="Verdana" w:hAnsi="Verdana" w:cs="Verdana"/>
                <w:sz w:val="20"/>
                <w:szCs w:val="20"/>
              </w:rPr>
            </w:pPr>
          </w:p>
        </w:tc>
        <w:tc>
          <w:tcPr>
            <w:tcW w:w="990" w:type="dxa"/>
            <w:tcBorders>
              <w:top w:val="nil"/>
              <w:left w:val="nil"/>
              <w:bottom w:val="nil"/>
              <w:right w:val="nil"/>
            </w:tcBorders>
          </w:tcPr>
          <w:p w14:paraId="663BD2CB" w14:textId="77777777" w:rsidR="00D25F0C" w:rsidRPr="00603E87" w:rsidRDefault="00D25F0C" w:rsidP="00677C01">
            <w:pPr>
              <w:widowControl w:val="0"/>
              <w:pBdr>
                <w:top w:val="nil"/>
                <w:left w:val="nil"/>
                <w:bottom w:val="nil"/>
                <w:right w:val="nil"/>
                <w:between w:val="nil"/>
              </w:pBdr>
              <w:spacing w:before="240"/>
              <w:rPr>
                <w:rFonts w:ascii="Verdana" w:eastAsia="Verdana" w:hAnsi="Verdana" w:cs="Verdana"/>
                <w:sz w:val="20"/>
                <w:szCs w:val="20"/>
              </w:rPr>
            </w:pPr>
          </w:p>
        </w:tc>
        <w:tc>
          <w:tcPr>
            <w:tcW w:w="990" w:type="dxa"/>
            <w:tcBorders>
              <w:top w:val="nil"/>
              <w:left w:val="nil"/>
              <w:bottom w:val="nil"/>
              <w:right w:val="nil"/>
            </w:tcBorders>
          </w:tcPr>
          <w:p w14:paraId="2012AF0F" w14:textId="77777777" w:rsidR="00D25F0C" w:rsidRPr="00603E87" w:rsidRDefault="00D25F0C" w:rsidP="00677C01">
            <w:pPr>
              <w:widowControl w:val="0"/>
              <w:pBdr>
                <w:top w:val="nil"/>
                <w:left w:val="nil"/>
                <w:bottom w:val="nil"/>
                <w:right w:val="nil"/>
                <w:between w:val="nil"/>
              </w:pBdr>
              <w:spacing w:before="240"/>
              <w:rPr>
                <w:rFonts w:ascii="Verdana" w:eastAsia="Verdana" w:hAnsi="Verdana" w:cs="Verdana"/>
                <w:sz w:val="20"/>
                <w:szCs w:val="20"/>
              </w:rPr>
            </w:pPr>
          </w:p>
        </w:tc>
        <w:tc>
          <w:tcPr>
            <w:tcW w:w="990" w:type="dxa"/>
            <w:tcBorders>
              <w:top w:val="nil"/>
              <w:left w:val="nil"/>
              <w:bottom w:val="nil"/>
              <w:right w:val="nil"/>
            </w:tcBorders>
          </w:tcPr>
          <w:p w14:paraId="07D288DA" w14:textId="77777777" w:rsidR="00D25F0C" w:rsidRPr="00603E87" w:rsidRDefault="00D25F0C" w:rsidP="00677C01">
            <w:pPr>
              <w:widowControl w:val="0"/>
              <w:pBdr>
                <w:top w:val="nil"/>
                <w:left w:val="nil"/>
                <w:bottom w:val="nil"/>
                <w:right w:val="nil"/>
                <w:between w:val="nil"/>
              </w:pBdr>
              <w:spacing w:before="240"/>
              <w:rPr>
                <w:rFonts w:ascii="Verdana" w:eastAsia="Verdana" w:hAnsi="Verdana" w:cs="Verdana"/>
                <w:sz w:val="20"/>
                <w:szCs w:val="20"/>
              </w:rPr>
            </w:pPr>
          </w:p>
        </w:tc>
      </w:tr>
      <w:tr w:rsidR="00D25F0C" w:rsidRPr="00603E87" w14:paraId="670BE593" w14:textId="77777777" w:rsidTr="009E0920">
        <w:trPr>
          <w:trHeight w:val="25"/>
        </w:trPr>
        <w:tc>
          <w:tcPr>
            <w:tcW w:w="990" w:type="dxa"/>
            <w:tcBorders>
              <w:top w:val="nil"/>
              <w:left w:val="nil"/>
              <w:bottom w:val="nil"/>
              <w:right w:val="single" w:sz="12" w:space="0" w:color="auto"/>
            </w:tcBorders>
            <w:shd w:val="clear" w:color="auto" w:fill="auto"/>
            <w:tcMar>
              <w:top w:w="100" w:type="dxa"/>
              <w:left w:w="100" w:type="dxa"/>
              <w:bottom w:w="100" w:type="dxa"/>
              <w:right w:w="100" w:type="dxa"/>
            </w:tcMar>
          </w:tcPr>
          <w:p w14:paraId="408CCEB1" w14:textId="77777777" w:rsidR="00D25F0C" w:rsidRPr="00603E87" w:rsidRDefault="00D25F0C" w:rsidP="00677C01">
            <w:pPr>
              <w:spacing w:before="240"/>
              <w:rPr>
                <w:rFonts w:ascii="Verdana" w:eastAsia="Verdana" w:hAnsi="Verdana" w:cs="Verdana"/>
                <w:sz w:val="18"/>
                <w:szCs w:val="18"/>
              </w:rPr>
            </w:pPr>
            <w:r w:rsidRPr="00603E87">
              <w:rPr>
                <w:rFonts w:ascii="Verdana" w:eastAsia="Verdana" w:hAnsi="Verdana" w:cs="Verdana"/>
                <w:sz w:val="18"/>
                <w:szCs w:val="18"/>
              </w:rPr>
              <w:t>EE-36</w:t>
            </w:r>
          </w:p>
        </w:tc>
        <w:tc>
          <w:tcPr>
            <w:tcW w:w="1170" w:type="dxa"/>
            <w:tcBorders>
              <w:top w:val="nil"/>
              <w:left w:val="single" w:sz="12" w:space="0" w:color="auto"/>
              <w:bottom w:val="nil"/>
              <w:right w:val="nil"/>
            </w:tcBorders>
            <w:shd w:val="clear" w:color="auto" w:fill="auto"/>
            <w:tcMar>
              <w:top w:w="100" w:type="dxa"/>
              <w:left w:w="100" w:type="dxa"/>
              <w:bottom w:w="100" w:type="dxa"/>
              <w:right w:w="100" w:type="dxa"/>
            </w:tcMar>
          </w:tcPr>
          <w:p w14:paraId="74E23922"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1350" w:type="dxa"/>
            <w:tcBorders>
              <w:top w:val="nil"/>
              <w:left w:val="nil"/>
              <w:bottom w:val="nil"/>
              <w:right w:val="nil"/>
            </w:tcBorders>
            <w:shd w:val="clear" w:color="auto" w:fill="auto"/>
            <w:tcMar>
              <w:top w:w="100" w:type="dxa"/>
              <w:left w:w="100" w:type="dxa"/>
              <w:bottom w:w="100" w:type="dxa"/>
              <w:right w:w="100" w:type="dxa"/>
            </w:tcMar>
          </w:tcPr>
          <w:p w14:paraId="25B6CF94"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1350" w:type="dxa"/>
            <w:tcBorders>
              <w:top w:val="nil"/>
              <w:left w:val="nil"/>
              <w:bottom w:val="nil"/>
              <w:right w:val="nil"/>
            </w:tcBorders>
            <w:shd w:val="clear" w:color="auto" w:fill="auto"/>
            <w:tcMar>
              <w:top w:w="100" w:type="dxa"/>
              <w:left w:w="100" w:type="dxa"/>
              <w:bottom w:w="100" w:type="dxa"/>
              <w:right w:w="100" w:type="dxa"/>
            </w:tcMar>
          </w:tcPr>
          <w:p w14:paraId="71462EEA"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990" w:type="dxa"/>
            <w:tcBorders>
              <w:top w:val="nil"/>
              <w:left w:val="nil"/>
              <w:bottom w:val="nil"/>
              <w:right w:val="nil"/>
            </w:tcBorders>
          </w:tcPr>
          <w:p w14:paraId="2C82B228"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990" w:type="dxa"/>
            <w:tcBorders>
              <w:top w:val="nil"/>
              <w:left w:val="nil"/>
              <w:bottom w:val="nil"/>
              <w:right w:val="nil"/>
            </w:tcBorders>
          </w:tcPr>
          <w:p w14:paraId="2CF978C8"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X</w:t>
            </w:r>
          </w:p>
        </w:tc>
        <w:tc>
          <w:tcPr>
            <w:tcW w:w="990" w:type="dxa"/>
            <w:tcBorders>
              <w:top w:val="nil"/>
              <w:left w:val="nil"/>
              <w:bottom w:val="nil"/>
              <w:right w:val="nil"/>
            </w:tcBorders>
          </w:tcPr>
          <w:p w14:paraId="799B58BC"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990" w:type="dxa"/>
            <w:tcBorders>
              <w:top w:val="nil"/>
              <w:left w:val="nil"/>
              <w:bottom w:val="nil"/>
              <w:right w:val="nil"/>
            </w:tcBorders>
          </w:tcPr>
          <w:p w14:paraId="57A81A75"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r>
      <w:tr w:rsidR="00D25F0C" w:rsidRPr="00603E87" w14:paraId="363AF8FD" w14:textId="77777777" w:rsidTr="009E0920">
        <w:trPr>
          <w:trHeight w:val="20"/>
        </w:trPr>
        <w:tc>
          <w:tcPr>
            <w:tcW w:w="990" w:type="dxa"/>
            <w:tcBorders>
              <w:top w:val="nil"/>
              <w:left w:val="nil"/>
              <w:bottom w:val="nil"/>
              <w:right w:val="single" w:sz="12" w:space="0" w:color="auto"/>
            </w:tcBorders>
            <w:shd w:val="clear" w:color="auto" w:fill="auto"/>
            <w:tcMar>
              <w:top w:w="100" w:type="dxa"/>
              <w:left w:w="100" w:type="dxa"/>
              <w:bottom w:w="100" w:type="dxa"/>
              <w:right w:w="100" w:type="dxa"/>
            </w:tcMar>
          </w:tcPr>
          <w:p w14:paraId="4E7327E5" w14:textId="77777777" w:rsidR="00D25F0C" w:rsidRPr="00603E87" w:rsidRDefault="00D25F0C" w:rsidP="00677C01">
            <w:pPr>
              <w:spacing w:before="240"/>
              <w:rPr>
                <w:rFonts w:ascii="Verdana" w:eastAsia="Verdana" w:hAnsi="Verdana" w:cs="Verdana"/>
                <w:sz w:val="18"/>
                <w:szCs w:val="18"/>
              </w:rPr>
            </w:pPr>
          </w:p>
        </w:tc>
        <w:tc>
          <w:tcPr>
            <w:tcW w:w="1170" w:type="dxa"/>
            <w:tcBorders>
              <w:top w:val="nil"/>
              <w:left w:val="single" w:sz="12" w:space="0" w:color="auto"/>
              <w:bottom w:val="nil"/>
              <w:right w:val="nil"/>
            </w:tcBorders>
            <w:shd w:val="clear" w:color="auto" w:fill="auto"/>
            <w:tcMar>
              <w:top w:w="100" w:type="dxa"/>
              <w:left w:w="100" w:type="dxa"/>
              <w:bottom w:w="100" w:type="dxa"/>
              <w:right w:w="100" w:type="dxa"/>
            </w:tcMar>
          </w:tcPr>
          <w:p w14:paraId="32CE60D2" w14:textId="77777777" w:rsidR="00D25F0C" w:rsidRPr="00603E87" w:rsidRDefault="00D25F0C" w:rsidP="00677C01">
            <w:pPr>
              <w:widowControl w:val="0"/>
              <w:pBdr>
                <w:top w:val="nil"/>
                <w:left w:val="nil"/>
                <w:bottom w:val="nil"/>
                <w:right w:val="nil"/>
                <w:between w:val="nil"/>
              </w:pBdr>
              <w:spacing w:before="240"/>
              <w:rPr>
                <w:rFonts w:ascii="Verdana" w:eastAsia="Verdana" w:hAnsi="Verdana" w:cs="Verdana"/>
                <w:sz w:val="20"/>
                <w:szCs w:val="20"/>
              </w:rPr>
            </w:pPr>
          </w:p>
        </w:tc>
        <w:tc>
          <w:tcPr>
            <w:tcW w:w="1350" w:type="dxa"/>
            <w:tcBorders>
              <w:top w:val="nil"/>
              <w:left w:val="nil"/>
              <w:bottom w:val="nil"/>
              <w:right w:val="nil"/>
            </w:tcBorders>
            <w:shd w:val="clear" w:color="auto" w:fill="auto"/>
            <w:tcMar>
              <w:top w:w="100" w:type="dxa"/>
              <w:left w:w="100" w:type="dxa"/>
              <w:bottom w:w="100" w:type="dxa"/>
              <w:right w:w="100" w:type="dxa"/>
            </w:tcMar>
          </w:tcPr>
          <w:p w14:paraId="32652FF5" w14:textId="77777777" w:rsidR="00D25F0C" w:rsidRPr="00603E87" w:rsidRDefault="00D25F0C" w:rsidP="00677C01">
            <w:pPr>
              <w:widowControl w:val="0"/>
              <w:pBdr>
                <w:top w:val="nil"/>
                <w:left w:val="nil"/>
                <w:bottom w:val="nil"/>
                <w:right w:val="nil"/>
                <w:between w:val="nil"/>
              </w:pBdr>
              <w:spacing w:before="240"/>
              <w:rPr>
                <w:rFonts w:ascii="Verdana" w:eastAsia="Verdana" w:hAnsi="Verdana" w:cs="Verdana"/>
                <w:sz w:val="20"/>
                <w:szCs w:val="20"/>
              </w:rPr>
            </w:pPr>
          </w:p>
        </w:tc>
        <w:tc>
          <w:tcPr>
            <w:tcW w:w="1350" w:type="dxa"/>
            <w:tcBorders>
              <w:top w:val="nil"/>
              <w:left w:val="nil"/>
              <w:bottom w:val="nil"/>
              <w:right w:val="nil"/>
            </w:tcBorders>
            <w:shd w:val="clear" w:color="auto" w:fill="auto"/>
            <w:tcMar>
              <w:top w:w="100" w:type="dxa"/>
              <w:left w:w="100" w:type="dxa"/>
              <w:bottom w:w="100" w:type="dxa"/>
              <w:right w:w="100" w:type="dxa"/>
            </w:tcMar>
          </w:tcPr>
          <w:p w14:paraId="6EED9168" w14:textId="77777777" w:rsidR="00D25F0C" w:rsidRPr="00603E87" w:rsidRDefault="00D25F0C" w:rsidP="00677C01">
            <w:pPr>
              <w:widowControl w:val="0"/>
              <w:pBdr>
                <w:top w:val="nil"/>
                <w:left w:val="nil"/>
                <w:bottom w:val="nil"/>
                <w:right w:val="nil"/>
                <w:between w:val="nil"/>
              </w:pBdr>
              <w:spacing w:before="240"/>
              <w:rPr>
                <w:rFonts w:ascii="Verdana" w:eastAsia="Verdana" w:hAnsi="Verdana" w:cs="Verdana"/>
                <w:sz w:val="20"/>
                <w:szCs w:val="20"/>
              </w:rPr>
            </w:pPr>
          </w:p>
        </w:tc>
        <w:tc>
          <w:tcPr>
            <w:tcW w:w="990" w:type="dxa"/>
            <w:tcBorders>
              <w:top w:val="nil"/>
              <w:left w:val="nil"/>
              <w:bottom w:val="nil"/>
              <w:right w:val="nil"/>
            </w:tcBorders>
          </w:tcPr>
          <w:p w14:paraId="2AF046F5" w14:textId="77777777" w:rsidR="00D25F0C" w:rsidRPr="00603E87" w:rsidRDefault="00D25F0C" w:rsidP="00677C01">
            <w:pPr>
              <w:widowControl w:val="0"/>
              <w:pBdr>
                <w:top w:val="nil"/>
                <w:left w:val="nil"/>
                <w:bottom w:val="nil"/>
                <w:right w:val="nil"/>
                <w:between w:val="nil"/>
              </w:pBdr>
              <w:spacing w:before="240"/>
              <w:rPr>
                <w:rFonts w:ascii="Verdana" w:eastAsia="Verdana" w:hAnsi="Verdana" w:cs="Verdana"/>
                <w:sz w:val="20"/>
                <w:szCs w:val="20"/>
              </w:rPr>
            </w:pPr>
          </w:p>
        </w:tc>
        <w:tc>
          <w:tcPr>
            <w:tcW w:w="990" w:type="dxa"/>
            <w:tcBorders>
              <w:top w:val="nil"/>
              <w:left w:val="nil"/>
              <w:bottom w:val="nil"/>
              <w:right w:val="nil"/>
            </w:tcBorders>
          </w:tcPr>
          <w:p w14:paraId="5EDEE85D" w14:textId="77777777" w:rsidR="00D25F0C" w:rsidRPr="00603E87" w:rsidRDefault="00D25F0C" w:rsidP="00677C01">
            <w:pPr>
              <w:widowControl w:val="0"/>
              <w:pBdr>
                <w:top w:val="nil"/>
                <w:left w:val="nil"/>
                <w:bottom w:val="nil"/>
                <w:right w:val="nil"/>
                <w:between w:val="nil"/>
              </w:pBdr>
              <w:spacing w:before="240"/>
              <w:rPr>
                <w:rFonts w:ascii="Verdana" w:eastAsia="Verdana" w:hAnsi="Verdana" w:cs="Verdana"/>
                <w:sz w:val="20"/>
                <w:szCs w:val="20"/>
              </w:rPr>
            </w:pPr>
          </w:p>
        </w:tc>
        <w:tc>
          <w:tcPr>
            <w:tcW w:w="990" w:type="dxa"/>
            <w:tcBorders>
              <w:top w:val="nil"/>
              <w:left w:val="nil"/>
              <w:bottom w:val="nil"/>
              <w:right w:val="nil"/>
            </w:tcBorders>
          </w:tcPr>
          <w:p w14:paraId="28851CF1" w14:textId="77777777" w:rsidR="00D25F0C" w:rsidRPr="00603E87" w:rsidRDefault="00D25F0C" w:rsidP="00677C01">
            <w:pPr>
              <w:widowControl w:val="0"/>
              <w:pBdr>
                <w:top w:val="nil"/>
                <w:left w:val="nil"/>
                <w:bottom w:val="nil"/>
                <w:right w:val="nil"/>
                <w:between w:val="nil"/>
              </w:pBdr>
              <w:spacing w:before="240"/>
              <w:rPr>
                <w:rFonts w:ascii="Verdana" w:eastAsia="Verdana" w:hAnsi="Verdana" w:cs="Verdana"/>
                <w:sz w:val="20"/>
                <w:szCs w:val="20"/>
              </w:rPr>
            </w:pPr>
          </w:p>
        </w:tc>
        <w:tc>
          <w:tcPr>
            <w:tcW w:w="990" w:type="dxa"/>
            <w:tcBorders>
              <w:top w:val="nil"/>
              <w:left w:val="nil"/>
              <w:bottom w:val="nil"/>
              <w:right w:val="nil"/>
            </w:tcBorders>
          </w:tcPr>
          <w:p w14:paraId="15B40546" w14:textId="77777777" w:rsidR="00D25F0C" w:rsidRPr="00603E87" w:rsidRDefault="00D25F0C" w:rsidP="00677C01">
            <w:pPr>
              <w:widowControl w:val="0"/>
              <w:pBdr>
                <w:top w:val="nil"/>
                <w:left w:val="nil"/>
                <w:bottom w:val="nil"/>
                <w:right w:val="nil"/>
                <w:between w:val="nil"/>
              </w:pBdr>
              <w:spacing w:before="240"/>
              <w:rPr>
                <w:rFonts w:ascii="Verdana" w:eastAsia="Verdana" w:hAnsi="Verdana" w:cs="Verdana"/>
                <w:sz w:val="20"/>
                <w:szCs w:val="20"/>
              </w:rPr>
            </w:pPr>
          </w:p>
        </w:tc>
      </w:tr>
      <w:tr w:rsidR="00D25F0C" w:rsidRPr="00603E87" w14:paraId="0837A98D" w14:textId="77777777" w:rsidTr="009E0920">
        <w:trPr>
          <w:trHeight w:val="215"/>
        </w:trPr>
        <w:tc>
          <w:tcPr>
            <w:tcW w:w="990" w:type="dxa"/>
            <w:tcBorders>
              <w:top w:val="nil"/>
              <w:left w:val="nil"/>
              <w:bottom w:val="nil"/>
              <w:right w:val="single" w:sz="12" w:space="0" w:color="auto"/>
            </w:tcBorders>
            <w:shd w:val="clear" w:color="auto" w:fill="auto"/>
            <w:tcMar>
              <w:top w:w="100" w:type="dxa"/>
              <w:left w:w="100" w:type="dxa"/>
              <w:bottom w:w="100" w:type="dxa"/>
              <w:right w:w="100" w:type="dxa"/>
            </w:tcMar>
          </w:tcPr>
          <w:p w14:paraId="0F6EE259" w14:textId="77777777" w:rsidR="00D25F0C" w:rsidRPr="00603E87" w:rsidRDefault="00D25F0C" w:rsidP="00677C01">
            <w:pPr>
              <w:spacing w:before="240"/>
              <w:rPr>
                <w:rFonts w:ascii="Verdana" w:eastAsia="Verdana" w:hAnsi="Verdana" w:cs="Verdana"/>
                <w:sz w:val="18"/>
                <w:szCs w:val="18"/>
              </w:rPr>
            </w:pPr>
            <w:r w:rsidRPr="00603E87">
              <w:rPr>
                <w:rFonts w:ascii="Verdana" w:eastAsia="Verdana" w:hAnsi="Verdana" w:cs="Verdana"/>
                <w:sz w:val="18"/>
                <w:szCs w:val="18"/>
              </w:rPr>
              <w:t>ISM</w:t>
            </w:r>
          </w:p>
        </w:tc>
        <w:tc>
          <w:tcPr>
            <w:tcW w:w="1170" w:type="dxa"/>
            <w:tcBorders>
              <w:top w:val="nil"/>
              <w:left w:val="single" w:sz="12" w:space="0" w:color="auto"/>
              <w:bottom w:val="nil"/>
              <w:right w:val="nil"/>
            </w:tcBorders>
            <w:shd w:val="clear" w:color="auto" w:fill="auto"/>
            <w:tcMar>
              <w:top w:w="100" w:type="dxa"/>
              <w:left w:w="100" w:type="dxa"/>
              <w:bottom w:w="100" w:type="dxa"/>
              <w:right w:w="100" w:type="dxa"/>
            </w:tcMar>
          </w:tcPr>
          <w:p w14:paraId="2BEE1B0B"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1350" w:type="dxa"/>
            <w:tcBorders>
              <w:top w:val="nil"/>
              <w:left w:val="nil"/>
              <w:bottom w:val="nil"/>
              <w:right w:val="nil"/>
            </w:tcBorders>
            <w:shd w:val="clear" w:color="auto" w:fill="auto"/>
            <w:tcMar>
              <w:top w:w="100" w:type="dxa"/>
              <w:left w:w="100" w:type="dxa"/>
              <w:bottom w:w="100" w:type="dxa"/>
              <w:right w:w="100" w:type="dxa"/>
            </w:tcMar>
          </w:tcPr>
          <w:p w14:paraId="68903D00"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1350" w:type="dxa"/>
            <w:tcBorders>
              <w:top w:val="nil"/>
              <w:left w:val="nil"/>
              <w:bottom w:val="nil"/>
              <w:right w:val="nil"/>
            </w:tcBorders>
            <w:shd w:val="clear" w:color="auto" w:fill="auto"/>
            <w:tcMar>
              <w:top w:w="100" w:type="dxa"/>
              <w:left w:w="100" w:type="dxa"/>
              <w:bottom w:w="100" w:type="dxa"/>
              <w:right w:w="100" w:type="dxa"/>
            </w:tcMar>
          </w:tcPr>
          <w:p w14:paraId="00811833"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990" w:type="dxa"/>
            <w:tcBorders>
              <w:top w:val="nil"/>
              <w:left w:val="nil"/>
              <w:bottom w:val="nil"/>
              <w:right w:val="nil"/>
            </w:tcBorders>
          </w:tcPr>
          <w:p w14:paraId="7389FEEB"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990" w:type="dxa"/>
            <w:tcBorders>
              <w:top w:val="nil"/>
              <w:left w:val="nil"/>
              <w:bottom w:val="nil"/>
              <w:right w:val="nil"/>
            </w:tcBorders>
          </w:tcPr>
          <w:p w14:paraId="10056587"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990" w:type="dxa"/>
            <w:tcBorders>
              <w:top w:val="nil"/>
              <w:left w:val="nil"/>
              <w:bottom w:val="nil"/>
              <w:right w:val="nil"/>
            </w:tcBorders>
          </w:tcPr>
          <w:p w14:paraId="3A149721"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X</w:t>
            </w:r>
          </w:p>
        </w:tc>
        <w:tc>
          <w:tcPr>
            <w:tcW w:w="990" w:type="dxa"/>
            <w:tcBorders>
              <w:top w:val="nil"/>
              <w:left w:val="nil"/>
              <w:bottom w:val="nil"/>
              <w:right w:val="nil"/>
            </w:tcBorders>
          </w:tcPr>
          <w:p w14:paraId="42F69179"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r>
      <w:tr w:rsidR="00D25F0C" w:rsidRPr="00603E87" w14:paraId="69DEDD09" w14:textId="77777777" w:rsidTr="009E0920">
        <w:trPr>
          <w:trHeight w:val="20"/>
        </w:trPr>
        <w:tc>
          <w:tcPr>
            <w:tcW w:w="990" w:type="dxa"/>
            <w:tcBorders>
              <w:top w:val="nil"/>
              <w:left w:val="nil"/>
              <w:bottom w:val="nil"/>
              <w:right w:val="single" w:sz="12" w:space="0" w:color="auto"/>
            </w:tcBorders>
            <w:shd w:val="clear" w:color="auto" w:fill="auto"/>
            <w:tcMar>
              <w:top w:w="100" w:type="dxa"/>
              <w:left w:w="100" w:type="dxa"/>
              <w:bottom w:w="100" w:type="dxa"/>
              <w:right w:w="100" w:type="dxa"/>
            </w:tcMar>
          </w:tcPr>
          <w:p w14:paraId="5A702A7D" w14:textId="77777777" w:rsidR="00D25F0C" w:rsidRPr="00603E87" w:rsidRDefault="00D25F0C" w:rsidP="00677C01">
            <w:pPr>
              <w:spacing w:before="240"/>
              <w:rPr>
                <w:rFonts w:ascii="Verdana" w:eastAsia="Verdana" w:hAnsi="Verdana" w:cs="Verdana"/>
                <w:sz w:val="18"/>
                <w:szCs w:val="18"/>
              </w:rPr>
            </w:pPr>
          </w:p>
        </w:tc>
        <w:tc>
          <w:tcPr>
            <w:tcW w:w="1170" w:type="dxa"/>
            <w:tcBorders>
              <w:top w:val="nil"/>
              <w:left w:val="single" w:sz="12" w:space="0" w:color="auto"/>
              <w:bottom w:val="nil"/>
              <w:right w:val="nil"/>
            </w:tcBorders>
            <w:shd w:val="clear" w:color="auto" w:fill="auto"/>
            <w:tcMar>
              <w:top w:w="100" w:type="dxa"/>
              <w:left w:w="100" w:type="dxa"/>
              <w:bottom w:w="100" w:type="dxa"/>
              <w:right w:w="100" w:type="dxa"/>
            </w:tcMar>
          </w:tcPr>
          <w:p w14:paraId="1C1AD3F4" w14:textId="77777777" w:rsidR="00D25F0C" w:rsidRPr="00603E87" w:rsidRDefault="00D25F0C" w:rsidP="00677C01">
            <w:pPr>
              <w:widowControl w:val="0"/>
              <w:pBdr>
                <w:top w:val="nil"/>
                <w:left w:val="nil"/>
                <w:bottom w:val="nil"/>
                <w:right w:val="nil"/>
                <w:between w:val="nil"/>
              </w:pBdr>
              <w:spacing w:before="240"/>
              <w:rPr>
                <w:rFonts w:ascii="Verdana" w:eastAsia="Verdana" w:hAnsi="Verdana" w:cs="Verdana"/>
                <w:sz w:val="20"/>
                <w:szCs w:val="20"/>
              </w:rPr>
            </w:pPr>
          </w:p>
        </w:tc>
        <w:tc>
          <w:tcPr>
            <w:tcW w:w="1350" w:type="dxa"/>
            <w:tcBorders>
              <w:top w:val="nil"/>
              <w:left w:val="nil"/>
              <w:bottom w:val="nil"/>
              <w:right w:val="nil"/>
            </w:tcBorders>
            <w:shd w:val="clear" w:color="auto" w:fill="auto"/>
            <w:tcMar>
              <w:top w:w="100" w:type="dxa"/>
              <w:left w:w="100" w:type="dxa"/>
              <w:bottom w:w="100" w:type="dxa"/>
              <w:right w:w="100" w:type="dxa"/>
            </w:tcMar>
          </w:tcPr>
          <w:p w14:paraId="4C42099D" w14:textId="77777777" w:rsidR="00D25F0C" w:rsidRPr="00603E87" w:rsidRDefault="00D25F0C" w:rsidP="00677C01">
            <w:pPr>
              <w:widowControl w:val="0"/>
              <w:pBdr>
                <w:top w:val="nil"/>
                <w:left w:val="nil"/>
                <w:bottom w:val="nil"/>
                <w:right w:val="nil"/>
                <w:between w:val="nil"/>
              </w:pBdr>
              <w:spacing w:before="240"/>
              <w:rPr>
                <w:rFonts w:ascii="Verdana" w:eastAsia="Verdana" w:hAnsi="Verdana" w:cs="Verdana"/>
                <w:sz w:val="20"/>
                <w:szCs w:val="20"/>
              </w:rPr>
            </w:pPr>
          </w:p>
        </w:tc>
        <w:tc>
          <w:tcPr>
            <w:tcW w:w="1350" w:type="dxa"/>
            <w:tcBorders>
              <w:top w:val="nil"/>
              <w:left w:val="nil"/>
              <w:bottom w:val="nil"/>
              <w:right w:val="nil"/>
            </w:tcBorders>
            <w:shd w:val="clear" w:color="auto" w:fill="auto"/>
            <w:tcMar>
              <w:top w:w="100" w:type="dxa"/>
              <w:left w:w="100" w:type="dxa"/>
              <w:bottom w:w="100" w:type="dxa"/>
              <w:right w:w="100" w:type="dxa"/>
            </w:tcMar>
          </w:tcPr>
          <w:p w14:paraId="1C779AF0" w14:textId="77777777" w:rsidR="00D25F0C" w:rsidRPr="00603E87" w:rsidRDefault="00D25F0C" w:rsidP="00677C01">
            <w:pPr>
              <w:widowControl w:val="0"/>
              <w:pBdr>
                <w:top w:val="nil"/>
                <w:left w:val="nil"/>
                <w:bottom w:val="nil"/>
                <w:right w:val="nil"/>
                <w:between w:val="nil"/>
              </w:pBdr>
              <w:spacing w:before="240"/>
              <w:rPr>
                <w:rFonts w:ascii="Verdana" w:eastAsia="Verdana" w:hAnsi="Verdana" w:cs="Verdana"/>
                <w:sz w:val="20"/>
                <w:szCs w:val="20"/>
              </w:rPr>
            </w:pPr>
          </w:p>
        </w:tc>
        <w:tc>
          <w:tcPr>
            <w:tcW w:w="990" w:type="dxa"/>
            <w:tcBorders>
              <w:top w:val="nil"/>
              <w:left w:val="nil"/>
              <w:bottom w:val="nil"/>
              <w:right w:val="nil"/>
            </w:tcBorders>
          </w:tcPr>
          <w:p w14:paraId="337FA6EE" w14:textId="77777777" w:rsidR="00D25F0C" w:rsidRPr="00603E87" w:rsidRDefault="00D25F0C" w:rsidP="00677C01">
            <w:pPr>
              <w:widowControl w:val="0"/>
              <w:pBdr>
                <w:top w:val="nil"/>
                <w:left w:val="nil"/>
                <w:bottom w:val="nil"/>
                <w:right w:val="nil"/>
                <w:between w:val="nil"/>
              </w:pBdr>
              <w:spacing w:before="240"/>
              <w:rPr>
                <w:rFonts w:ascii="Verdana" w:eastAsia="Verdana" w:hAnsi="Verdana" w:cs="Verdana"/>
                <w:sz w:val="20"/>
                <w:szCs w:val="20"/>
              </w:rPr>
            </w:pPr>
          </w:p>
        </w:tc>
        <w:tc>
          <w:tcPr>
            <w:tcW w:w="990" w:type="dxa"/>
            <w:tcBorders>
              <w:top w:val="nil"/>
              <w:left w:val="nil"/>
              <w:bottom w:val="nil"/>
              <w:right w:val="nil"/>
            </w:tcBorders>
          </w:tcPr>
          <w:p w14:paraId="4333C5B6" w14:textId="77777777" w:rsidR="00D25F0C" w:rsidRPr="00603E87" w:rsidRDefault="00D25F0C" w:rsidP="00677C01">
            <w:pPr>
              <w:widowControl w:val="0"/>
              <w:pBdr>
                <w:top w:val="nil"/>
                <w:left w:val="nil"/>
                <w:bottom w:val="nil"/>
                <w:right w:val="nil"/>
                <w:between w:val="nil"/>
              </w:pBdr>
              <w:spacing w:before="240"/>
              <w:rPr>
                <w:rFonts w:ascii="Verdana" w:eastAsia="Verdana" w:hAnsi="Verdana" w:cs="Verdana"/>
                <w:sz w:val="20"/>
                <w:szCs w:val="20"/>
              </w:rPr>
            </w:pPr>
          </w:p>
        </w:tc>
        <w:tc>
          <w:tcPr>
            <w:tcW w:w="990" w:type="dxa"/>
            <w:tcBorders>
              <w:top w:val="nil"/>
              <w:left w:val="nil"/>
              <w:bottom w:val="nil"/>
              <w:right w:val="nil"/>
            </w:tcBorders>
          </w:tcPr>
          <w:p w14:paraId="3434BB5F" w14:textId="77777777" w:rsidR="00D25F0C" w:rsidRPr="00603E87" w:rsidRDefault="00D25F0C" w:rsidP="00677C01">
            <w:pPr>
              <w:widowControl w:val="0"/>
              <w:pBdr>
                <w:top w:val="nil"/>
                <w:left w:val="nil"/>
                <w:bottom w:val="nil"/>
                <w:right w:val="nil"/>
                <w:between w:val="nil"/>
              </w:pBdr>
              <w:spacing w:before="240"/>
              <w:rPr>
                <w:rFonts w:ascii="Verdana" w:eastAsia="Verdana" w:hAnsi="Verdana" w:cs="Verdana"/>
                <w:sz w:val="20"/>
                <w:szCs w:val="20"/>
              </w:rPr>
            </w:pPr>
          </w:p>
        </w:tc>
        <w:tc>
          <w:tcPr>
            <w:tcW w:w="990" w:type="dxa"/>
            <w:tcBorders>
              <w:top w:val="nil"/>
              <w:left w:val="nil"/>
              <w:bottom w:val="nil"/>
              <w:right w:val="nil"/>
            </w:tcBorders>
          </w:tcPr>
          <w:p w14:paraId="660506B3" w14:textId="77777777" w:rsidR="00D25F0C" w:rsidRPr="00603E87" w:rsidRDefault="00D25F0C" w:rsidP="00677C01">
            <w:pPr>
              <w:widowControl w:val="0"/>
              <w:pBdr>
                <w:top w:val="nil"/>
                <w:left w:val="nil"/>
                <w:bottom w:val="nil"/>
                <w:right w:val="nil"/>
                <w:between w:val="nil"/>
              </w:pBdr>
              <w:spacing w:before="240"/>
              <w:rPr>
                <w:rFonts w:ascii="Verdana" w:eastAsia="Verdana" w:hAnsi="Verdana" w:cs="Verdana"/>
                <w:sz w:val="20"/>
                <w:szCs w:val="20"/>
              </w:rPr>
            </w:pPr>
          </w:p>
        </w:tc>
      </w:tr>
      <w:tr w:rsidR="00D25F0C" w:rsidRPr="00603E87" w14:paraId="3DD32CDD" w14:textId="77777777" w:rsidTr="009E0920">
        <w:trPr>
          <w:trHeight w:val="25"/>
        </w:trPr>
        <w:tc>
          <w:tcPr>
            <w:tcW w:w="990" w:type="dxa"/>
            <w:tcBorders>
              <w:top w:val="nil"/>
              <w:left w:val="nil"/>
              <w:bottom w:val="single" w:sz="12" w:space="0" w:color="auto"/>
              <w:right w:val="single" w:sz="12" w:space="0" w:color="auto"/>
            </w:tcBorders>
            <w:shd w:val="clear" w:color="auto" w:fill="auto"/>
            <w:tcMar>
              <w:top w:w="100" w:type="dxa"/>
              <w:left w:w="100" w:type="dxa"/>
              <w:bottom w:w="100" w:type="dxa"/>
              <w:right w:w="100" w:type="dxa"/>
            </w:tcMar>
          </w:tcPr>
          <w:p w14:paraId="25D2A492" w14:textId="77777777" w:rsidR="00D25F0C" w:rsidRPr="00603E87" w:rsidRDefault="00D25F0C" w:rsidP="00677C01">
            <w:pPr>
              <w:spacing w:before="240"/>
              <w:rPr>
                <w:rFonts w:ascii="Verdana" w:eastAsia="Verdana" w:hAnsi="Verdana" w:cs="Verdana"/>
                <w:sz w:val="18"/>
                <w:szCs w:val="18"/>
              </w:rPr>
            </w:pPr>
            <w:r w:rsidRPr="00603E87">
              <w:rPr>
                <w:rFonts w:ascii="Verdana" w:eastAsia="Verdana" w:hAnsi="Verdana" w:cs="Verdana"/>
                <w:sz w:val="18"/>
                <w:szCs w:val="18"/>
              </w:rPr>
              <w:t>SE45</w:t>
            </w:r>
          </w:p>
        </w:tc>
        <w:tc>
          <w:tcPr>
            <w:tcW w:w="1170" w:type="dxa"/>
            <w:tcBorders>
              <w:top w:val="nil"/>
              <w:left w:val="single" w:sz="12" w:space="0" w:color="auto"/>
              <w:bottom w:val="single" w:sz="12" w:space="0" w:color="auto"/>
              <w:right w:val="nil"/>
            </w:tcBorders>
            <w:shd w:val="clear" w:color="auto" w:fill="auto"/>
            <w:tcMar>
              <w:top w:w="100" w:type="dxa"/>
              <w:left w:w="100" w:type="dxa"/>
              <w:bottom w:w="100" w:type="dxa"/>
              <w:right w:w="100" w:type="dxa"/>
            </w:tcMar>
          </w:tcPr>
          <w:p w14:paraId="1D004A03"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1350" w:type="dxa"/>
            <w:tcBorders>
              <w:top w:val="nil"/>
              <w:left w:val="nil"/>
              <w:bottom w:val="single" w:sz="12" w:space="0" w:color="auto"/>
              <w:right w:val="nil"/>
            </w:tcBorders>
            <w:shd w:val="clear" w:color="auto" w:fill="auto"/>
            <w:tcMar>
              <w:top w:w="100" w:type="dxa"/>
              <w:left w:w="100" w:type="dxa"/>
              <w:bottom w:w="100" w:type="dxa"/>
              <w:right w:w="100" w:type="dxa"/>
            </w:tcMar>
          </w:tcPr>
          <w:p w14:paraId="2F2407D1"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1350" w:type="dxa"/>
            <w:tcBorders>
              <w:top w:val="nil"/>
              <w:left w:val="nil"/>
              <w:bottom w:val="single" w:sz="12" w:space="0" w:color="auto"/>
              <w:right w:val="nil"/>
            </w:tcBorders>
            <w:shd w:val="clear" w:color="auto" w:fill="auto"/>
            <w:tcMar>
              <w:top w:w="100" w:type="dxa"/>
              <w:left w:w="100" w:type="dxa"/>
              <w:bottom w:w="100" w:type="dxa"/>
              <w:right w:w="100" w:type="dxa"/>
            </w:tcMar>
          </w:tcPr>
          <w:p w14:paraId="144CB5A5"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990" w:type="dxa"/>
            <w:tcBorders>
              <w:top w:val="nil"/>
              <w:left w:val="nil"/>
              <w:bottom w:val="single" w:sz="12" w:space="0" w:color="auto"/>
              <w:right w:val="nil"/>
            </w:tcBorders>
          </w:tcPr>
          <w:p w14:paraId="5DE130D0"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990" w:type="dxa"/>
            <w:tcBorders>
              <w:top w:val="nil"/>
              <w:left w:val="nil"/>
              <w:bottom w:val="single" w:sz="12" w:space="0" w:color="auto"/>
              <w:right w:val="nil"/>
            </w:tcBorders>
          </w:tcPr>
          <w:p w14:paraId="231A8C68"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990" w:type="dxa"/>
            <w:tcBorders>
              <w:top w:val="nil"/>
              <w:left w:val="nil"/>
              <w:bottom w:val="single" w:sz="12" w:space="0" w:color="auto"/>
              <w:right w:val="nil"/>
            </w:tcBorders>
          </w:tcPr>
          <w:p w14:paraId="4C893A63"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w:t>
            </w:r>
          </w:p>
        </w:tc>
        <w:tc>
          <w:tcPr>
            <w:tcW w:w="990" w:type="dxa"/>
            <w:tcBorders>
              <w:top w:val="nil"/>
              <w:left w:val="nil"/>
              <w:bottom w:val="single" w:sz="12" w:space="0" w:color="auto"/>
              <w:right w:val="nil"/>
            </w:tcBorders>
          </w:tcPr>
          <w:p w14:paraId="4791C22E" w14:textId="77777777" w:rsidR="00D25F0C" w:rsidRPr="00603E87" w:rsidRDefault="00D25F0C" w:rsidP="00677C01">
            <w:pPr>
              <w:spacing w:before="240"/>
              <w:jc w:val="center"/>
              <w:rPr>
                <w:rFonts w:ascii="Verdana" w:eastAsia="Verdana" w:hAnsi="Verdana" w:cs="Verdana"/>
                <w:sz w:val="20"/>
                <w:szCs w:val="20"/>
              </w:rPr>
            </w:pPr>
            <w:r w:rsidRPr="00603E87">
              <w:rPr>
                <w:rFonts w:ascii="Verdana" w:eastAsia="Verdana" w:hAnsi="Verdana" w:cs="Verdana"/>
                <w:sz w:val="20"/>
                <w:szCs w:val="20"/>
              </w:rPr>
              <w:t>X</w:t>
            </w:r>
          </w:p>
        </w:tc>
      </w:tr>
    </w:tbl>
    <w:p w14:paraId="696CDF11" w14:textId="77777777" w:rsidR="00D25F0C" w:rsidRPr="00603E87" w:rsidRDefault="00D25F0C" w:rsidP="00677C01">
      <w:pPr>
        <w:spacing w:before="240"/>
        <w:rPr>
          <w:rFonts w:ascii="Verdana" w:eastAsia="Verdana" w:hAnsi="Verdana" w:cs="Verdana"/>
          <w:sz w:val="18"/>
          <w:szCs w:val="18"/>
        </w:rPr>
      </w:pPr>
    </w:p>
    <w:p w14:paraId="10B685A4" w14:textId="77777777" w:rsidR="00D25F0C" w:rsidRPr="00603E87" w:rsidRDefault="00D25F0C" w:rsidP="00677C01">
      <w:pPr>
        <w:spacing w:before="240"/>
        <w:rPr>
          <w:rFonts w:ascii="Verdana" w:eastAsia="Verdana" w:hAnsi="Verdana" w:cs="Verdana"/>
          <w:b/>
          <w:sz w:val="18"/>
          <w:szCs w:val="18"/>
        </w:rPr>
      </w:pPr>
      <w:r w:rsidRPr="00603E87">
        <w:rPr>
          <w:rFonts w:ascii="Verdana" w:eastAsia="Verdana" w:hAnsi="Verdana" w:cs="Verdana"/>
          <w:sz w:val="18"/>
          <w:szCs w:val="18"/>
        </w:rPr>
        <w:t xml:space="preserve">(+) growth inhibition, (+/-) inconsistent growth inhibition, (-) no growth inhibition, (X) not tested; </w:t>
      </w:r>
      <w:r w:rsidRPr="00603E87">
        <w:rPr>
          <w:rFonts w:ascii="Verdana" w:eastAsia="Verdana" w:hAnsi="Verdana" w:cs="Verdana"/>
          <w:bCs/>
          <w:sz w:val="18"/>
          <w:szCs w:val="18"/>
        </w:rPr>
        <w:t>†</w:t>
      </w:r>
      <w:r w:rsidRPr="00603E87">
        <w:rPr>
          <w:rFonts w:ascii="Verdana" w:eastAsia="Verdana" w:hAnsi="Verdana" w:cs="Verdana"/>
          <w:sz w:val="18"/>
          <w:szCs w:val="18"/>
        </w:rPr>
        <w:t>hyperpigmented Y4I variant, ‡indigoidine null Y4I variant</w:t>
      </w:r>
    </w:p>
    <w:p w14:paraId="72DB1AE6" w14:textId="1A25F317" w:rsidR="00062215" w:rsidRDefault="00062215" w:rsidP="00677C01">
      <w:pPr>
        <w:spacing w:before="240"/>
        <w:rPr>
          <w:rFonts w:ascii="Verdana" w:hAnsi="Verdana" w:cs="Times New Roman"/>
          <w:b/>
          <w:bCs/>
          <w:iCs/>
          <w:sz w:val="18"/>
          <w:szCs w:val="18"/>
        </w:rPr>
      </w:pPr>
      <w:r>
        <w:rPr>
          <w:rFonts w:ascii="Verdana" w:hAnsi="Verdana" w:cs="Times New Roman"/>
          <w:sz w:val="18"/>
          <w:szCs w:val="18"/>
        </w:rPr>
        <w:br w:type="page"/>
      </w:r>
    </w:p>
    <w:p w14:paraId="76AF51C7" w14:textId="26324138" w:rsidR="00062215" w:rsidRPr="00822656" w:rsidRDefault="00062215" w:rsidP="001A7D05">
      <w:pPr>
        <w:pStyle w:val="Heading2"/>
        <w:numPr>
          <w:ilvl w:val="0"/>
          <w:numId w:val="0"/>
        </w:numPr>
        <w:rPr>
          <w:rFonts w:ascii="Verdana" w:hAnsi="Verdana" w:cs="Times New Roman"/>
          <w:sz w:val="24"/>
          <w:szCs w:val="24"/>
        </w:rPr>
      </w:pPr>
      <w:bookmarkStart w:id="53" w:name="_Toc83382610"/>
      <w:r w:rsidRPr="00822656">
        <w:rPr>
          <w:rFonts w:ascii="Verdana" w:hAnsi="Verdana" w:cs="Times New Roman"/>
          <w:sz w:val="24"/>
          <w:szCs w:val="24"/>
        </w:rPr>
        <w:lastRenderedPageBreak/>
        <w:t>Appendix: Figures</w:t>
      </w:r>
      <w:bookmarkEnd w:id="53"/>
    </w:p>
    <w:p w14:paraId="40F0A80E" w14:textId="77777777" w:rsidR="00254509" w:rsidRDefault="00254509" w:rsidP="00677C01">
      <w:pPr>
        <w:spacing w:before="240"/>
        <w:rPr>
          <w:rFonts w:ascii="Verdana" w:eastAsia="Verdana" w:hAnsi="Verdana" w:cs="Verdana"/>
          <w:b/>
          <w:sz w:val="20"/>
          <w:szCs w:val="20"/>
        </w:rPr>
      </w:pPr>
    </w:p>
    <w:p w14:paraId="6B6C057D" w14:textId="77777777" w:rsidR="00254509" w:rsidRDefault="00254509" w:rsidP="00677C01">
      <w:pPr>
        <w:spacing w:before="240"/>
        <w:rPr>
          <w:rFonts w:ascii="Verdana" w:eastAsia="Verdana" w:hAnsi="Verdana" w:cs="Verdana"/>
          <w:b/>
          <w:sz w:val="20"/>
          <w:szCs w:val="20"/>
        </w:rPr>
      </w:pPr>
      <w:r>
        <w:rPr>
          <w:rFonts w:ascii="Verdana" w:eastAsia="Verdana" w:hAnsi="Verdana" w:cs="Verdana"/>
          <w:b/>
          <w:noProof/>
          <w:sz w:val="20"/>
          <w:szCs w:val="20"/>
        </w:rPr>
        <w:drawing>
          <wp:inline distT="114300" distB="114300" distL="114300" distR="114300" wp14:anchorId="20051C89" wp14:editId="7F24745B">
            <wp:extent cx="5943600" cy="3962400"/>
            <wp:effectExtent l="0" t="0" r="0" b="0"/>
            <wp:docPr id="1" name="image2.png" descr="Shape&#10;&#10;Description automatically generated with low confidence"/>
            <wp:cNvGraphicFramePr/>
            <a:graphic xmlns:a="http://schemas.openxmlformats.org/drawingml/2006/main">
              <a:graphicData uri="http://schemas.openxmlformats.org/drawingml/2006/picture">
                <pic:pic xmlns:pic="http://schemas.openxmlformats.org/drawingml/2006/picture">
                  <pic:nvPicPr>
                    <pic:cNvPr id="1" name="image2.png" descr="Shape&#10;&#10;Description automatically generated with low confidence"/>
                    <pic:cNvPicPr preferRelativeResize="0"/>
                  </pic:nvPicPr>
                  <pic:blipFill>
                    <a:blip r:embed="rId20"/>
                    <a:srcRect/>
                    <a:stretch>
                      <a:fillRect/>
                    </a:stretch>
                  </pic:blipFill>
                  <pic:spPr>
                    <a:xfrm>
                      <a:off x="0" y="0"/>
                      <a:ext cx="5943600" cy="3962400"/>
                    </a:xfrm>
                    <a:prstGeom prst="rect">
                      <a:avLst/>
                    </a:prstGeom>
                    <a:ln/>
                  </pic:spPr>
                </pic:pic>
              </a:graphicData>
            </a:graphic>
          </wp:inline>
        </w:drawing>
      </w:r>
    </w:p>
    <w:p w14:paraId="2A1B7589" w14:textId="63283D64" w:rsidR="00254509" w:rsidRPr="00254509" w:rsidRDefault="00254509" w:rsidP="00822656">
      <w:pPr>
        <w:pStyle w:val="Caption"/>
        <w:spacing w:before="240"/>
        <w:jc w:val="both"/>
        <w:rPr>
          <w:rFonts w:ascii="Verdana" w:hAnsi="Verdana"/>
          <w:sz w:val="18"/>
          <w:szCs w:val="18"/>
        </w:rPr>
      </w:pPr>
      <w:bookmarkStart w:id="54" w:name="_Toc83383929"/>
      <w:r w:rsidRPr="00822656">
        <w:rPr>
          <w:rFonts w:ascii="Verdana" w:hAnsi="Verdana"/>
          <w:sz w:val="20"/>
          <w:szCs w:val="20"/>
        </w:rPr>
        <w:t xml:space="preserve">Figure </w:t>
      </w:r>
      <w:r w:rsidR="00975C53" w:rsidRPr="00822656">
        <w:rPr>
          <w:rFonts w:ascii="Verdana" w:hAnsi="Verdana"/>
          <w:sz w:val="20"/>
          <w:szCs w:val="20"/>
        </w:rPr>
        <w:fldChar w:fldCharType="begin"/>
      </w:r>
      <w:r w:rsidR="00975C53" w:rsidRPr="00822656">
        <w:rPr>
          <w:rFonts w:ascii="Verdana" w:hAnsi="Verdana"/>
          <w:sz w:val="20"/>
          <w:szCs w:val="20"/>
        </w:rPr>
        <w:instrText xml:space="preserve"> STYLEREF 1 \s </w:instrText>
      </w:r>
      <w:r w:rsidR="00975C53" w:rsidRPr="00822656">
        <w:rPr>
          <w:rFonts w:ascii="Verdana" w:hAnsi="Verdana"/>
          <w:sz w:val="20"/>
          <w:szCs w:val="20"/>
        </w:rPr>
        <w:fldChar w:fldCharType="separate"/>
      </w:r>
      <w:r w:rsidR="00975C53" w:rsidRPr="00822656">
        <w:rPr>
          <w:rFonts w:ascii="Verdana" w:hAnsi="Verdana"/>
          <w:noProof/>
          <w:sz w:val="20"/>
          <w:szCs w:val="20"/>
        </w:rPr>
        <w:t>3</w:t>
      </w:r>
      <w:r w:rsidR="00975C53" w:rsidRPr="00822656">
        <w:rPr>
          <w:rFonts w:ascii="Verdana" w:hAnsi="Verdana"/>
          <w:sz w:val="20"/>
          <w:szCs w:val="20"/>
        </w:rPr>
        <w:fldChar w:fldCharType="end"/>
      </w:r>
      <w:r w:rsidR="00975C53" w:rsidRPr="00822656">
        <w:rPr>
          <w:rFonts w:ascii="Verdana" w:hAnsi="Verdana"/>
          <w:sz w:val="20"/>
          <w:szCs w:val="20"/>
        </w:rPr>
        <w:t>.</w:t>
      </w:r>
      <w:r w:rsidR="00975C53" w:rsidRPr="00822656">
        <w:rPr>
          <w:rFonts w:ascii="Verdana" w:hAnsi="Verdana"/>
          <w:sz w:val="20"/>
          <w:szCs w:val="20"/>
        </w:rPr>
        <w:fldChar w:fldCharType="begin"/>
      </w:r>
      <w:r w:rsidR="00975C53" w:rsidRPr="00822656">
        <w:rPr>
          <w:rFonts w:ascii="Verdana" w:hAnsi="Verdana"/>
          <w:sz w:val="20"/>
          <w:szCs w:val="20"/>
        </w:rPr>
        <w:instrText xml:space="preserve"> SEQ Figure \* ARABIC \s 1 </w:instrText>
      </w:r>
      <w:r w:rsidR="00975C53" w:rsidRPr="00822656">
        <w:rPr>
          <w:rFonts w:ascii="Verdana" w:hAnsi="Verdana"/>
          <w:sz w:val="20"/>
          <w:szCs w:val="20"/>
        </w:rPr>
        <w:fldChar w:fldCharType="separate"/>
      </w:r>
      <w:r w:rsidR="00975C53" w:rsidRPr="00822656">
        <w:rPr>
          <w:rFonts w:ascii="Verdana" w:hAnsi="Verdana"/>
          <w:noProof/>
          <w:sz w:val="20"/>
          <w:szCs w:val="20"/>
        </w:rPr>
        <w:t>1</w:t>
      </w:r>
      <w:r w:rsidR="00975C53" w:rsidRPr="00822656">
        <w:rPr>
          <w:rFonts w:ascii="Verdana" w:hAnsi="Verdana"/>
          <w:sz w:val="20"/>
          <w:szCs w:val="20"/>
        </w:rPr>
        <w:fldChar w:fldCharType="end"/>
      </w:r>
      <w:r w:rsidRPr="00822656">
        <w:rPr>
          <w:rFonts w:ascii="Verdana" w:hAnsi="Verdana"/>
          <w:sz w:val="20"/>
          <w:szCs w:val="20"/>
        </w:rPr>
        <w:t xml:space="preserve">. Surface colonization of Roseobacter strains to glass beads in a complex medium over 48 hrs. </w:t>
      </w:r>
      <w:r w:rsidRPr="00822656">
        <w:rPr>
          <w:rFonts w:ascii="Verdana" w:eastAsia="Verdana" w:hAnsi="Verdana" w:cs="Verdana"/>
          <w:b w:val="0"/>
          <w:bCs w:val="0"/>
          <w:sz w:val="20"/>
          <w:szCs w:val="20"/>
        </w:rPr>
        <w:t xml:space="preserve">Viable cell abundance of 5 </w:t>
      </w:r>
      <w:proofErr w:type="spellStart"/>
      <w:r w:rsidRPr="00822656">
        <w:rPr>
          <w:rFonts w:ascii="Verdana" w:eastAsia="Verdana" w:hAnsi="Verdana" w:cs="Verdana"/>
          <w:b w:val="0"/>
          <w:bCs w:val="0"/>
          <w:sz w:val="20"/>
          <w:szCs w:val="20"/>
        </w:rPr>
        <w:t>Rosoebacters</w:t>
      </w:r>
      <w:proofErr w:type="spellEnd"/>
      <w:r w:rsidRPr="00822656">
        <w:rPr>
          <w:rFonts w:ascii="Verdana" w:eastAsia="Verdana" w:hAnsi="Verdana" w:cs="Verdana"/>
          <w:b w:val="0"/>
          <w:bCs w:val="0"/>
          <w:sz w:val="20"/>
          <w:szCs w:val="20"/>
        </w:rPr>
        <w:t xml:space="preserve"> strains: Y4I (closed circles), E-37 (open squares), SE45 (open circles), ISM (open upward triangles), and EE-36 (open downward triangles). Cellular abundance at 0 </w:t>
      </w:r>
      <w:proofErr w:type="spellStart"/>
      <w:r w:rsidRPr="00822656">
        <w:rPr>
          <w:rFonts w:ascii="Verdana" w:eastAsia="Verdana" w:hAnsi="Verdana" w:cs="Verdana"/>
          <w:b w:val="0"/>
          <w:bCs w:val="0"/>
          <w:sz w:val="20"/>
          <w:szCs w:val="20"/>
        </w:rPr>
        <w:t>hrs</w:t>
      </w:r>
      <w:proofErr w:type="spellEnd"/>
      <w:r w:rsidRPr="00822656">
        <w:rPr>
          <w:rFonts w:ascii="Verdana" w:eastAsia="Verdana" w:hAnsi="Verdana" w:cs="Verdana"/>
          <w:b w:val="0"/>
          <w:bCs w:val="0"/>
          <w:sz w:val="20"/>
          <w:szCs w:val="20"/>
        </w:rPr>
        <w:t xml:space="preserve"> represents CFU/mL from liquid inoculum culture (seeding density ~ 10</w:t>
      </w:r>
      <w:r w:rsidRPr="00822656">
        <w:rPr>
          <w:rFonts w:ascii="Verdana" w:eastAsia="Verdana" w:hAnsi="Verdana" w:cs="Verdana"/>
          <w:b w:val="0"/>
          <w:bCs w:val="0"/>
          <w:sz w:val="20"/>
          <w:szCs w:val="20"/>
          <w:vertAlign w:val="superscript"/>
        </w:rPr>
        <w:t>8</w:t>
      </w:r>
      <w:r w:rsidRPr="00822656">
        <w:rPr>
          <w:rFonts w:ascii="Verdana" w:eastAsia="Verdana" w:hAnsi="Verdana" w:cs="Verdana"/>
          <w:b w:val="0"/>
          <w:bCs w:val="0"/>
          <w:sz w:val="20"/>
          <w:szCs w:val="20"/>
        </w:rPr>
        <w:t xml:space="preserve"> cells/mL - Supplement Fig 2A). Each data point represents the average of three biological replicates. Error bars represent the standard error of the mean. All cultures were statistically significant from Y4I at 24 </w:t>
      </w:r>
      <w:proofErr w:type="spellStart"/>
      <w:r w:rsidRPr="00822656">
        <w:rPr>
          <w:rFonts w:ascii="Verdana" w:eastAsia="Verdana" w:hAnsi="Verdana" w:cs="Verdana"/>
          <w:b w:val="0"/>
          <w:bCs w:val="0"/>
          <w:sz w:val="20"/>
          <w:szCs w:val="20"/>
        </w:rPr>
        <w:t>hrs</w:t>
      </w:r>
      <w:proofErr w:type="spellEnd"/>
      <w:r w:rsidRPr="00822656">
        <w:rPr>
          <w:rFonts w:ascii="Verdana" w:eastAsia="Verdana" w:hAnsi="Verdana" w:cs="Verdana"/>
          <w:b w:val="0"/>
          <w:bCs w:val="0"/>
          <w:sz w:val="20"/>
          <w:szCs w:val="20"/>
        </w:rPr>
        <w:t xml:space="preserve"> and 48 </w:t>
      </w:r>
      <w:proofErr w:type="spellStart"/>
      <w:r w:rsidRPr="00822656">
        <w:rPr>
          <w:rFonts w:ascii="Verdana" w:eastAsia="Verdana" w:hAnsi="Verdana" w:cs="Verdana"/>
          <w:b w:val="0"/>
          <w:bCs w:val="0"/>
          <w:sz w:val="20"/>
          <w:szCs w:val="20"/>
        </w:rPr>
        <w:t>hrs</w:t>
      </w:r>
      <w:proofErr w:type="spellEnd"/>
      <w:r w:rsidRPr="00822656">
        <w:rPr>
          <w:rFonts w:ascii="Verdana" w:eastAsia="Verdana" w:hAnsi="Verdana" w:cs="Verdana"/>
          <w:b w:val="0"/>
          <w:bCs w:val="0"/>
          <w:sz w:val="20"/>
          <w:szCs w:val="20"/>
        </w:rPr>
        <w:t xml:space="preserve"> (p &lt;0.05) except for EE36 which was only significantly different at 24 hrs. Y4I variants (not shown) were not significantly different from WT Y4I (Supplemental Figure 2B). </w:t>
      </w:r>
      <w:proofErr w:type="gramStart"/>
      <w:r w:rsidRPr="00822656">
        <w:rPr>
          <w:rFonts w:ascii="Verdana" w:eastAsia="Verdana" w:hAnsi="Verdana" w:cs="Verdana"/>
          <w:b w:val="0"/>
          <w:bCs w:val="0"/>
          <w:sz w:val="20"/>
          <w:szCs w:val="20"/>
        </w:rPr>
        <w:t>Two way</w:t>
      </w:r>
      <w:proofErr w:type="gramEnd"/>
      <w:r w:rsidRPr="00822656">
        <w:rPr>
          <w:rFonts w:ascii="Verdana" w:eastAsia="Verdana" w:hAnsi="Verdana" w:cs="Verdana"/>
          <w:b w:val="0"/>
          <w:bCs w:val="0"/>
          <w:sz w:val="20"/>
          <w:szCs w:val="20"/>
        </w:rPr>
        <w:t xml:space="preserve"> analysis of variance for all strains used in this assay can be found in Supplemental Table 3.</w:t>
      </w:r>
      <w:bookmarkEnd w:id="54"/>
      <w:r w:rsidRPr="00822656">
        <w:rPr>
          <w:rFonts w:ascii="Verdana" w:eastAsia="Verdana" w:hAnsi="Verdana" w:cs="Verdana"/>
          <w:sz w:val="20"/>
          <w:szCs w:val="20"/>
        </w:rPr>
        <w:t xml:space="preserve"> </w:t>
      </w:r>
      <w:r w:rsidRPr="00254509">
        <w:rPr>
          <w:rFonts w:ascii="Verdana" w:hAnsi="Verdana"/>
          <w:sz w:val="18"/>
          <w:szCs w:val="18"/>
        </w:rPr>
        <w:br w:type="page"/>
      </w:r>
    </w:p>
    <w:p w14:paraId="7A78DC9C" w14:textId="77777777" w:rsidR="00254509" w:rsidRDefault="00254509" w:rsidP="00677C01">
      <w:pPr>
        <w:spacing w:before="240"/>
        <w:rPr>
          <w:rFonts w:ascii="Verdana" w:eastAsia="Verdana" w:hAnsi="Verdana" w:cs="Verdana"/>
          <w:b/>
          <w:sz w:val="20"/>
          <w:szCs w:val="20"/>
        </w:rPr>
      </w:pPr>
    </w:p>
    <w:p w14:paraId="09B456B2" w14:textId="77777777" w:rsidR="00254509" w:rsidRDefault="00254509" w:rsidP="00677C01">
      <w:pPr>
        <w:spacing w:before="240"/>
        <w:rPr>
          <w:rFonts w:ascii="Verdana" w:eastAsia="Verdana" w:hAnsi="Verdana" w:cs="Verdana"/>
          <w:b/>
          <w:sz w:val="20"/>
          <w:szCs w:val="20"/>
        </w:rPr>
      </w:pPr>
      <w:r>
        <w:rPr>
          <w:rFonts w:ascii="Verdana" w:eastAsia="Verdana" w:hAnsi="Verdana" w:cs="Verdana"/>
          <w:b/>
          <w:noProof/>
          <w:sz w:val="20"/>
          <w:szCs w:val="20"/>
        </w:rPr>
        <w:drawing>
          <wp:inline distT="114300" distB="114300" distL="114300" distR="114300" wp14:anchorId="3490B6ED" wp14:editId="2EC68348">
            <wp:extent cx="5943600" cy="4292600"/>
            <wp:effectExtent l="0" t="0" r="0" b="0"/>
            <wp:docPr id="4" name="image5.png" descr="Graphical user interface&#10;&#10;Description automatically generated"/>
            <wp:cNvGraphicFramePr/>
            <a:graphic xmlns:a="http://schemas.openxmlformats.org/drawingml/2006/main">
              <a:graphicData uri="http://schemas.openxmlformats.org/drawingml/2006/picture">
                <pic:pic xmlns:pic="http://schemas.openxmlformats.org/drawingml/2006/picture">
                  <pic:nvPicPr>
                    <pic:cNvPr id="4" name="image5.png" descr="Graphical user interface&#10;&#10;Description automatically generated"/>
                    <pic:cNvPicPr preferRelativeResize="0"/>
                  </pic:nvPicPr>
                  <pic:blipFill>
                    <a:blip r:embed="rId21"/>
                    <a:srcRect/>
                    <a:stretch>
                      <a:fillRect/>
                    </a:stretch>
                  </pic:blipFill>
                  <pic:spPr>
                    <a:xfrm>
                      <a:off x="0" y="0"/>
                      <a:ext cx="5943600" cy="4292600"/>
                    </a:xfrm>
                    <a:prstGeom prst="rect">
                      <a:avLst/>
                    </a:prstGeom>
                    <a:ln/>
                  </pic:spPr>
                </pic:pic>
              </a:graphicData>
            </a:graphic>
          </wp:inline>
        </w:drawing>
      </w:r>
    </w:p>
    <w:p w14:paraId="5A68C617" w14:textId="77777777" w:rsidR="00254509" w:rsidRPr="00822656" w:rsidRDefault="00254509" w:rsidP="00822656">
      <w:pPr>
        <w:spacing w:before="240"/>
        <w:jc w:val="both"/>
        <w:rPr>
          <w:rFonts w:ascii="Verdana" w:eastAsia="Verdana" w:hAnsi="Verdana" w:cs="Verdana"/>
          <w:b/>
          <w:sz w:val="22"/>
          <w:szCs w:val="22"/>
        </w:rPr>
      </w:pPr>
    </w:p>
    <w:p w14:paraId="666E8E41" w14:textId="0482B31B" w:rsidR="00254509" w:rsidRPr="00822656" w:rsidRDefault="00254509" w:rsidP="00822656">
      <w:pPr>
        <w:pStyle w:val="Caption"/>
        <w:spacing w:before="240"/>
        <w:jc w:val="both"/>
        <w:rPr>
          <w:rFonts w:ascii="Verdana" w:hAnsi="Verdana"/>
          <w:b w:val="0"/>
          <w:bCs w:val="0"/>
          <w:sz w:val="20"/>
          <w:szCs w:val="20"/>
        </w:rPr>
      </w:pPr>
      <w:bookmarkStart w:id="55" w:name="_Toc83383930"/>
      <w:r w:rsidRPr="00822656">
        <w:rPr>
          <w:rFonts w:ascii="Verdana" w:hAnsi="Verdana"/>
          <w:sz w:val="20"/>
          <w:szCs w:val="20"/>
        </w:rPr>
        <w:t xml:space="preserve">Figure </w:t>
      </w:r>
      <w:r w:rsidR="00975C53" w:rsidRPr="00822656">
        <w:rPr>
          <w:rFonts w:ascii="Verdana" w:hAnsi="Verdana"/>
          <w:sz w:val="20"/>
          <w:szCs w:val="20"/>
        </w:rPr>
        <w:fldChar w:fldCharType="begin"/>
      </w:r>
      <w:r w:rsidR="00975C53" w:rsidRPr="00822656">
        <w:rPr>
          <w:rFonts w:ascii="Verdana" w:hAnsi="Verdana"/>
          <w:sz w:val="20"/>
          <w:szCs w:val="20"/>
        </w:rPr>
        <w:instrText xml:space="preserve"> STYLEREF 1 \s </w:instrText>
      </w:r>
      <w:r w:rsidR="00975C53" w:rsidRPr="00822656">
        <w:rPr>
          <w:rFonts w:ascii="Verdana" w:hAnsi="Verdana"/>
          <w:sz w:val="20"/>
          <w:szCs w:val="20"/>
        </w:rPr>
        <w:fldChar w:fldCharType="separate"/>
      </w:r>
      <w:r w:rsidR="00975C53" w:rsidRPr="00822656">
        <w:rPr>
          <w:rFonts w:ascii="Verdana" w:hAnsi="Verdana"/>
          <w:noProof/>
          <w:sz w:val="20"/>
          <w:szCs w:val="20"/>
        </w:rPr>
        <w:t>3</w:t>
      </w:r>
      <w:r w:rsidR="00975C53" w:rsidRPr="00822656">
        <w:rPr>
          <w:rFonts w:ascii="Verdana" w:hAnsi="Verdana"/>
          <w:sz w:val="20"/>
          <w:szCs w:val="20"/>
        </w:rPr>
        <w:fldChar w:fldCharType="end"/>
      </w:r>
      <w:r w:rsidR="00975C53" w:rsidRPr="00822656">
        <w:rPr>
          <w:rFonts w:ascii="Verdana" w:hAnsi="Verdana"/>
          <w:sz w:val="20"/>
          <w:szCs w:val="20"/>
        </w:rPr>
        <w:t>.</w:t>
      </w:r>
      <w:r w:rsidR="00975C53" w:rsidRPr="00822656">
        <w:rPr>
          <w:rFonts w:ascii="Verdana" w:hAnsi="Verdana"/>
          <w:sz w:val="20"/>
          <w:szCs w:val="20"/>
        </w:rPr>
        <w:fldChar w:fldCharType="begin"/>
      </w:r>
      <w:r w:rsidR="00975C53" w:rsidRPr="00822656">
        <w:rPr>
          <w:rFonts w:ascii="Verdana" w:hAnsi="Verdana"/>
          <w:sz w:val="20"/>
          <w:szCs w:val="20"/>
        </w:rPr>
        <w:instrText xml:space="preserve"> SEQ Figure \* ARABIC \s 1 </w:instrText>
      </w:r>
      <w:r w:rsidR="00975C53" w:rsidRPr="00822656">
        <w:rPr>
          <w:rFonts w:ascii="Verdana" w:hAnsi="Verdana"/>
          <w:sz w:val="20"/>
          <w:szCs w:val="20"/>
        </w:rPr>
        <w:fldChar w:fldCharType="separate"/>
      </w:r>
      <w:r w:rsidR="00975C53" w:rsidRPr="00822656">
        <w:rPr>
          <w:rFonts w:ascii="Verdana" w:hAnsi="Verdana"/>
          <w:noProof/>
          <w:sz w:val="20"/>
          <w:szCs w:val="20"/>
        </w:rPr>
        <w:t>2</w:t>
      </w:r>
      <w:r w:rsidR="00975C53" w:rsidRPr="00822656">
        <w:rPr>
          <w:rFonts w:ascii="Verdana" w:hAnsi="Verdana"/>
          <w:sz w:val="20"/>
          <w:szCs w:val="20"/>
        </w:rPr>
        <w:fldChar w:fldCharType="end"/>
      </w:r>
      <w:r w:rsidRPr="00822656">
        <w:rPr>
          <w:rFonts w:ascii="Verdana" w:hAnsi="Verdana"/>
          <w:sz w:val="20"/>
          <w:szCs w:val="20"/>
        </w:rPr>
        <w:t xml:space="preserve">. Relative abundance of community members over time </w:t>
      </w:r>
      <w:r w:rsidRPr="00822656">
        <w:rPr>
          <w:rFonts w:ascii="Verdana" w:eastAsia="Verdana" w:hAnsi="Verdana" w:cs="Verdana"/>
          <w:sz w:val="20"/>
          <w:szCs w:val="20"/>
        </w:rPr>
        <w:t xml:space="preserve">of biofilms grown in complex medium (A) and defined medium (B). </w:t>
      </w:r>
      <w:r w:rsidRPr="00822656">
        <w:rPr>
          <w:rFonts w:ascii="Verdana" w:eastAsia="Verdana" w:hAnsi="Verdana" w:cs="Verdana"/>
          <w:b w:val="0"/>
          <w:bCs w:val="0"/>
          <w:sz w:val="20"/>
          <w:szCs w:val="20"/>
        </w:rPr>
        <w:t xml:space="preserve">Each mix type is designated by the Y4I variant included in the community (gray boxes): Wild type Y4I, </w:t>
      </w:r>
      <w:proofErr w:type="spellStart"/>
      <w:proofErr w:type="gramStart"/>
      <w:r w:rsidRPr="00822656">
        <w:rPr>
          <w:rFonts w:ascii="Verdana" w:eastAsia="Verdana" w:hAnsi="Verdana" w:cs="Verdana"/>
          <w:b w:val="0"/>
          <w:bCs w:val="0"/>
          <w:i/>
          <w:sz w:val="20"/>
          <w:szCs w:val="20"/>
        </w:rPr>
        <w:t>pgaR</w:t>
      </w:r>
      <w:proofErr w:type="spellEnd"/>
      <w:r w:rsidRPr="00822656">
        <w:rPr>
          <w:rFonts w:ascii="Verdana" w:eastAsia="Verdana" w:hAnsi="Verdana" w:cs="Verdana"/>
          <w:b w:val="0"/>
          <w:bCs w:val="0"/>
          <w:sz w:val="20"/>
          <w:szCs w:val="20"/>
        </w:rPr>
        <w:t>::</w:t>
      </w:r>
      <w:proofErr w:type="gramEnd"/>
      <w:r w:rsidRPr="00822656">
        <w:rPr>
          <w:rFonts w:ascii="Verdana" w:eastAsia="Verdana" w:hAnsi="Verdana" w:cs="Verdana"/>
          <w:b w:val="0"/>
          <w:bCs w:val="0"/>
          <w:sz w:val="20"/>
          <w:szCs w:val="20"/>
        </w:rPr>
        <w:t>Tn5-Km</w:t>
      </w:r>
      <w:r w:rsidRPr="00822656">
        <w:rPr>
          <w:rFonts w:ascii="Verdana" w:eastAsia="Verdana" w:hAnsi="Verdana" w:cs="Verdana"/>
          <w:b w:val="0"/>
          <w:bCs w:val="0"/>
          <w:sz w:val="20"/>
          <w:szCs w:val="20"/>
          <w:vertAlign w:val="superscript"/>
        </w:rPr>
        <w:t>R</w:t>
      </w:r>
      <w:r w:rsidRPr="00822656">
        <w:rPr>
          <w:rFonts w:ascii="Verdana" w:eastAsia="Verdana" w:hAnsi="Verdana" w:cs="Verdana"/>
          <w:b w:val="0"/>
          <w:bCs w:val="0"/>
          <w:sz w:val="20"/>
          <w:szCs w:val="20"/>
        </w:rPr>
        <w:t xml:space="preserve"> (</w:t>
      </w:r>
      <w:proofErr w:type="spellStart"/>
      <w:r w:rsidRPr="00822656">
        <w:rPr>
          <w:rFonts w:ascii="Verdana" w:eastAsia="Verdana" w:hAnsi="Verdana" w:cs="Verdana"/>
          <w:b w:val="0"/>
          <w:bCs w:val="0"/>
          <w:i/>
          <w:sz w:val="20"/>
          <w:szCs w:val="20"/>
        </w:rPr>
        <w:t>pgaR</w:t>
      </w:r>
      <w:proofErr w:type="spellEnd"/>
      <w:r w:rsidRPr="00822656">
        <w:rPr>
          <w:rFonts w:ascii="Verdana" w:eastAsia="Verdana" w:hAnsi="Verdana" w:cs="Verdana"/>
          <w:b w:val="0"/>
          <w:bCs w:val="0"/>
          <w:i/>
          <w:sz w:val="20"/>
          <w:szCs w:val="20"/>
          <w:vertAlign w:val="superscript"/>
        </w:rPr>
        <w:t>-</w:t>
      </w:r>
      <w:r w:rsidRPr="00822656">
        <w:rPr>
          <w:rFonts w:ascii="Verdana" w:eastAsia="Verdana" w:hAnsi="Verdana" w:cs="Verdana"/>
          <w:b w:val="0"/>
          <w:bCs w:val="0"/>
          <w:sz w:val="20"/>
          <w:szCs w:val="20"/>
        </w:rPr>
        <w:t xml:space="preserve">), </w:t>
      </w:r>
      <w:proofErr w:type="spellStart"/>
      <w:r w:rsidRPr="00822656">
        <w:rPr>
          <w:rFonts w:ascii="Verdana" w:eastAsia="Verdana" w:hAnsi="Verdana" w:cs="Verdana"/>
          <w:b w:val="0"/>
          <w:bCs w:val="0"/>
          <w:i/>
          <w:sz w:val="20"/>
          <w:szCs w:val="20"/>
        </w:rPr>
        <w:t>phaR</w:t>
      </w:r>
      <w:proofErr w:type="spellEnd"/>
      <w:r w:rsidRPr="00822656">
        <w:rPr>
          <w:rFonts w:ascii="Verdana" w:eastAsia="Verdana" w:hAnsi="Verdana" w:cs="Verdana"/>
          <w:b w:val="0"/>
          <w:bCs w:val="0"/>
          <w:sz w:val="20"/>
          <w:szCs w:val="20"/>
        </w:rPr>
        <w:t>::Tn5-Km</w:t>
      </w:r>
      <w:r w:rsidRPr="00822656">
        <w:rPr>
          <w:rFonts w:ascii="Verdana" w:eastAsia="Verdana" w:hAnsi="Verdana" w:cs="Verdana"/>
          <w:b w:val="0"/>
          <w:bCs w:val="0"/>
          <w:sz w:val="20"/>
          <w:szCs w:val="20"/>
          <w:vertAlign w:val="superscript"/>
        </w:rPr>
        <w:t xml:space="preserve">R </w:t>
      </w:r>
      <w:r w:rsidRPr="00822656">
        <w:rPr>
          <w:rFonts w:ascii="Verdana" w:eastAsia="Verdana" w:hAnsi="Verdana" w:cs="Verdana"/>
          <w:b w:val="0"/>
          <w:bCs w:val="0"/>
          <w:sz w:val="20"/>
          <w:szCs w:val="20"/>
        </w:rPr>
        <w:t>(</w:t>
      </w:r>
      <w:proofErr w:type="spellStart"/>
      <w:r w:rsidRPr="00822656">
        <w:rPr>
          <w:rFonts w:ascii="Verdana" w:eastAsia="Verdana" w:hAnsi="Verdana" w:cs="Verdana"/>
          <w:b w:val="0"/>
          <w:bCs w:val="0"/>
          <w:i/>
          <w:sz w:val="20"/>
          <w:szCs w:val="20"/>
        </w:rPr>
        <w:t>phaR</w:t>
      </w:r>
      <w:proofErr w:type="spellEnd"/>
      <w:r w:rsidRPr="00822656">
        <w:rPr>
          <w:rFonts w:ascii="Verdana" w:eastAsia="Verdana" w:hAnsi="Verdana" w:cs="Verdana"/>
          <w:b w:val="0"/>
          <w:bCs w:val="0"/>
          <w:i/>
          <w:sz w:val="20"/>
          <w:szCs w:val="20"/>
          <w:vertAlign w:val="superscript"/>
        </w:rPr>
        <w:t>-</w:t>
      </w:r>
      <w:r w:rsidRPr="00822656">
        <w:rPr>
          <w:rFonts w:ascii="Verdana" w:eastAsia="Verdana" w:hAnsi="Verdana" w:cs="Verdana"/>
          <w:b w:val="0"/>
          <w:bCs w:val="0"/>
          <w:sz w:val="20"/>
          <w:szCs w:val="20"/>
        </w:rPr>
        <w:t xml:space="preserve">), </w:t>
      </w:r>
      <w:proofErr w:type="spellStart"/>
      <w:r w:rsidRPr="00822656">
        <w:rPr>
          <w:rFonts w:ascii="Verdana" w:eastAsia="Verdana" w:hAnsi="Verdana" w:cs="Verdana"/>
          <w:b w:val="0"/>
          <w:bCs w:val="0"/>
          <w:i/>
          <w:sz w:val="20"/>
          <w:szCs w:val="20"/>
        </w:rPr>
        <w:t>phaI</w:t>
      </w:r>
      <w:proofErr w:type="spellEnd"/>
      <w:r w:rsidRPr="00822656">
        <w:rPr>
          <w:rFonts w:ascii="Verdana" w:eastAsia="Verdana" w:hAnsi="Verdana" w:cs="Verdana"/>
          <w:b w:val="0"/>
          <w:bCs w:val="0"/>
          <w:sz w:val="20"/>
          <w:szCs w:val="20"/>
        </w:rPr>
        <w:t>::</w:t>
      </w:r>
      <w:proofErr w:type="spellStart"/>
      <w:r w:rsidRPr="00822656">
        <w:rPr>
          <w:rFonts w:ascii="Verdana" w:eastAsia="Verdana" w:hAnsi="Verdana" w:cs="Verdana"/>
          <w:b w:val="0"/>
          <w:bCs w:val="0"/>
          <w:sz w:val="20"/>
          <w:szCs w:val="20"/>
        </w:rPr>
        <w:t>pKNOCK</w:t>
      </w:r>
      <w:proofErr w:type="spellEnd"/>
      <w:r w:rsidRPr="00822656">
        <w:rPr>
          <w:rFonts w:ascii="Verdana" w:eastAsia="Verdana" w:hAnsi="Verdana" w:cs="Verdana"/>
          <w:b w:val="0"/>
          <w:bCs w:val="0"/>
          <w:sz w:val="20"/>
          <w:szCs w:val="20"/>
        </w:rPr>
        <w:t xml:space="preserve"> (</w:t>
      </w:r>
      <w:proofErr w:type="spellStart"/>
      <w:r w:rsidRPr="00822656">
        <w:rPr>
          <w:rFonts w:ascii="Verdana" w:eastAsia="Verdana" w:hAnsi="Verdana" w:cs="Verdana"/>
          <w:b w:val="0"/>
          <w:bCs w:val="0"/>
          <w:i/>
          <w:sz w:val="20"/>
          <w:szCs w:val="20"/>
        </w:rPr>
        <w:t>phaI</w:t>
      </w:r>
      <w:proofErr w:type="spellEnd"/>
      <w:r w:rsidRPr="00822656">
        <w:rPr>
          <w:rFonts w:ascii="Verdana" w:eastAsia="Verdana" w:hAnsi="Verdana" w:cs="Verdana"/>
          <w:b w:val="0"/>
          <w:bCs w:val="0"/>
          <w:i/>
          <w:sz w:val="20"/>
          <w:szCs w:val="20"/>
          <w:vertAlign w:val="superscript"/>
        </w:rPr>
        <w:t>-</w:t>
      </w:r>
      <w:r w:rsidRPr="00822656">
        <w:rPr>
          <w:rFonts w:ascii="Verdana" w:eastAsia="Verdana" w:hAnsi="Verdana" w:cs="Verdana"/>
          <w:b w:val="0"/>
          <w:bCs w:val="0"/>
          <w:sz w:val="20"/>
          <w:szCs w:val="20"/>
        </w:rPr>
        <w:t xml:space="preserve">), </w:t>
      </w:r>
      <w:proofErr w:type="spellStart"/>
      <w:r w:rsidRPr="00822656">
        <w:rPr>
          <w:rFonts w:ascii="Verdana" w:eastAsia="Verdana" w:hAnsi="Verdana" w:cs="Verdana"/>
          <w:b w:val="0"/>
          <w:bCs w:val="0"/>
          <w:i/>
          <w:sz w:val="20"/>
          <w:szCs w:val="20"/>
        </w:rPr>
        <w:t>igiD</w:t>
      </w:r>
      <w:proofErr w:type="spellEnd"/>
      <w:r w:rsidRPr="00822656">
        <w:rPr>
          <w:rFonts w:ascii="Verdana" w:eastAsia="Verdana" w:hAnsi="Verdana" w:cs="Verdana"/>
          <w:b w:val="0"/>
          <w:bCs w:val="0"/>
          <w:sz w:val="20"/>
          <w:szCs w:val="20"/>
        </w:rPr>
        <w:t>::Tn5-Km</w:t>
      </w:r>
      <w:r w:rsidRPr="00822656">
        <w:rPr>
          <w:rFonts w:ascii="Verdana" w:eastAsia="Verdana" w:hAnsi="Verdana" w:cs="Verdana"/>
          <w:b w:val="0"/>
          <w:bCs w:val="0"/>
          <w:sz w:val="20"/>
          <w:szCs w:val="20"/>
          <w:vertAlign w:val="superscript"/>
        </w:rPr>
        <w:t xml:space="preserve">R </w:t>
      </w:r>
      <w:r w:rsidRPr="00822656">
        <w:rPr>
          <w:rFonts w:ascii="Verdana" w:eastAsia="Verdana" w:hAnsi="Verdana" w:cs="Verdana"/>
          <w:b w:val="0"/>
          <w:bCs w:val="0"/>
          <w:sz w:val="20"/>
          <w:szCs w:val="20"/>
        </w:rPr>
        <w:t>(</w:t>
      </w:r>
      <w:proofErr w:type="spellStart"/>
      <w:r w:rsidRPr="00822656">
        <w:rPr>
          <w:rFonts w:ascii="Verdana" w:eastAsia="Verdana" w:hAnsi="Verdana" w:cs="Verdana"/>
          <w:b w:val="0"/>
          <w:bCs w:val="0"/>
          <w:i/>
          <w:sz w:val="20"/>
          <w:szCs w:val="20"/>
        </w:rPr>
        <w:t>igiD</w:t>
      </w:r>
      <w:proofErr w:type="spellEnd"/>
      <w:r w:rsidRPr="00822656">
        <w:rPr>
          <w:rFonts w:ascii="Verdana" w:eastAsia="Verdana" w:hAnsi="Verdana" w:cs="Verdana"/>
          <w:b w:val="0"/>
          <w:bCs w:val="0"/>
          <w:i/>
          <w:sz w:val="20"/>
          <w:szCs w:val="20"/>
          <w:vertAlign w:val="superscript"/>
        </w:rPr>
        <w:t>-</w:t>
      </w:r>
      <w:r w:rsidRPr="00822656">
        <w:rPr>
          <w:rFonts w:ascii="Verdana" w:eastAsia="Verdana" w:hAnsi="Verdana" w:cs="Verdana"/>
          <w:b w:val="0"/>
          <w:bCs w:val="0"/>
          <w:sz w:val="20"/>
          <w:szCs w:val="20"/>
        </w:rPr>
        <w:t>). Relative abundance was calculated from the mean CFU/mL count of at least six replicates for each strain within each mix and the total CFU/mL for each mix. Individual strains are color-coded in each mixture according to the key.</w:t>
      </w:r>
      <w:bookmarkEnd w:id="55"/>
      <w:r w:rsidRPr="00822656">
        <w:rPr>
          <w:rFonts w:ascii="Verdana" w:eastAsia="Verdana" w:hAnsi="Verdana" w:cs="Verdana"/>
          <w:b w:val="0"/>
          <w:bCs w:val="0"/>
          <w:sz w:val="20"/>
          <w:szCs w:val="20"/>
        </w:rPr>
        <w:t xml:space="preserve"> </w:t>
      </w:r>
    </w:p>
    <w:p w14:paraId="3A54382B" w14:textId="77777777" w:rsidR="00254509" w:rsidRDefault="00254509" w:rsidP="00677C01">
      <w:pPr>
        <w:spacing w:before="240" w:after="240"/>
        <w:rPr>
          <w:rFonts w:ascii="Verdana" w:eastAsia="Verdana" w:hAnsi="Verdana" w:cs="Verdana"/>
          <w:sz w:val="20"/>
          <w:szCs w:val="20"/>
        </w:rPr>
      </w:pPr>
    </w:p>
    <w:p w14:paraId="4BFB9A52" w14:textId="77777777" w:rsidR="00254509" w:rsidRDefault="00254509" w:rsidP="00677C01">
      <w:pPr>
        <w:spacing w:before="240"/>
        <w:rPr>
          <w:rFonts w:ascii="Verdana" w:eastAsia="Verdana" w:hAnsi="Verdana" w:cs="Verdana"/>
          <w:sz w:val="20"/>
          <w:szCs w:val="20"/>
        </w:rPr>
      </w:pPr>
    </w:p>
    <w:p w14:paraId="0E5C0752" w14:textId="77777777" w:rsidR="00254509" w:rsidRDefault="00254509" w:rsidP="00677C01">
      <w:pPr>
        <w:spacing w:before="240"/>
        <w:rPr>
          <w:rFonts w:ascii="Verdana" w:eastAsia="Verdana" w:hAnsi="Verdana" w:cs="Verdana"/>
          <w:sz w:val="20"/>
          <w:szCs w:val="20"/>
        </w:rPr>
      </w:pPr>
      <w:r>
        <w:rPr>
          <w:rFonts w:ascii="Verdana" w:eastAsia="Verdana" w:hAnsi="Verdana" w:cs="Verdana"/>
          <w:noProof/>
          <w:sz w:val="20"/>
          <w:szCs w:val="20"/>
        </w:rPr>
        <w:lastRenderedPageBreak/>
        <w:drawing>
          <wp:inline distT="114300" distB="114300" distL="114300" distR="114300" wp14:anchorId="10A72B30" wp14:editId="78309598">
            <wp:extent cx="5943600" cy="4508500"/>
            <wp:effectExtent l="0" t="0" r="0" b="0"/>
            <wp:docPr id="2" name="image3.png" descr="Chart, scatt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2" name="image3.png" descr="Chart, scatter chart&#10;&#10;Description automatically generated"/>
                    <pic:cNvPicPr preferRelativeResize="0"/>
                  </pic:nvPicPr>
                  <pic:blipFill>
                    <a:blip r:embed="rId22"/>
                    <a:srcRect/>
                    <a:stretch>
                      <a:fillRect/>
                    </a:stretch>
                  </pic:blipFill>
                  <pic:spPr>
                    <a:xfrm>
                      <a:off x="0" y="0"/>
                      <a:ext cx="5943600" cy="4508500"/>
                    </a:xfrm>
                    <a:prstGeom prst="rect">
                      <a:avLst/>
                    </a:prstGeom>
                    <a:ln/>
                  </pic:spPr>
                </pic:pic>
              </a:graphicData>
            </a:graphic>
          </wp:inline>
        </w:drawing>
      </w:r>
    </w:p>
    <w:p w14:paraId="7B918BDC" w14:textId="4A1E5A73" w:rsidR="00254509" w:rsidRPr="00822656" w:rsidRDefault="00254509" w:rsidP="00677C01">
      <w:pPr>
        <w:pStyle w:val="Caption"/>
        <w:spacing w:before="240"/>
        <w:jc w:val="both"/>
        <w:rPr>
          <w:rFonts w:ascii="Verdana" w:hAnsi="Verdana"/>
          <w:b w:val="0"/>
          <w:bCs w:val="0"/>
          <w:sz w:val="20"/>
          <w:szCs w:val="20"/>
        </w:rPr>
      </w:pPr>
      <w:bookmarkStart w:id="56" w:name="_Toc83383931"/>
      <w:r w:rsidRPr="00822656">
        <w:rPr>
          <w:rFonts w:ascii="Verdana" w:hAnsi="Verdana"/>
          <w:sz w:val="20"/>
          <w:szCs w:val="20"/>
        </w:rPr>
        <w:t xml:space="preserve">Figure </w:t>
      </w:r>
      <w:r w:rsidR="00975C53" w:rsidRPr="00822656">
        <w:rPr>
          <w:rFonts w:ascii="Verdana" w:hAnsi="Verdana"/>
          <w:sz w:val="20"/>
          <w:szCs w:val="20"/>
        </w:rPr>
        <w:fldChar w:fldCharType="begin"/>
      </w:r>
      <w:r w:rsidR="00975C53" w:rsidRPr="00822656">
        <w:rPr>
          <w:rFonts w:ascii="Verdana" w:hAnsi="Verdana"/>
          <w:sz w:val="20"/>
          <w:szCs w:val="20"/>
        </w:rPr>
        <w:instrText xml:space="preserve"> STYLEREF 1 \s </w:instrText>
      </w:r>
      <w:r w:rsidR="00975C53" w:rsidRPr="00822656">
        <w:rPr>
          <w:rFonts w:ascii="Verdana" w:hAnsi="Verdana"/>
          <w:sz w:val="20"/>
          <w:szCs w:val="20"/>
        </w:rPr>
        <w:fldChar w:fldCharType="separate"/>
      </w:r>
      <w:r w:rsidR="00975C53" w:rsidRPr="00822656">
        <w:rPr>
          <w:rFonts w:ascii="Verdana" w:hAnsi="Verdana"/>
          <w:noProof/>
          <w:sz w:val="20"/>
          <w:szCs w:val="20"/>
        </w:rPr>
        <w:t>3</w:t>
      </w:r>
      <w:r w:rsidR="00975C53" w:rsidRPr="00822656">
        <w:rPr>
          <w:rFonts w:ascii="Verdana" w:hAnsi="Verdana"/>
          <w:sz w:val="20"/>
          <w:szCs w:val="20"/>
        </w:rPr>
        <w:fldChar w:fldCharType="end"/>
      </w:r>
      <w:r w:rsidR="00975C53" w:rsidRPr="00822656">
        <w:rPr>
          <w:rFonts w:ascii="Verdana" w:hAnsi="Verdana"/>
          <w:sz w:val="20"/>
          <w:szCs w:val="20"/>
        </w:rPr>
        <w:t>.</w:t>
      </w:r>
      <w:r w:rsidR="00975C53" w:rsidRPr="00822656">
        <w:rPr>
          <w:rFonts w:ascii="Verdana" w:hAnsi="Verdana"/>
          <w:sz w:val="20"/>
          <w:szCs w:val="20"/>
        </w:rPr>
        <w:fldChar w:fldCharType="begin"/>
      </w:r>
      <w:r w:rsidR="00975C53" w:rsidRPr="00822656">
        <w:rPr>
          <w:rFonts w:ascii="Verdana" w:hAnsi="Verdana"/>
          <w:sz w:val="20"/>
          <w:szCs w:val="20"/>
        </w:rPr>
        <w:instrText xml:space="preserve"> SEQ Figure \* ARABIC \s 1 </w:instrText>
      </w:r>
      <w:r w:rsidR="00975C53" w:rsidRPr="00822656">
        <w:rPr>
          <w:rFonts w:ascii="Verdana" w:hAnsi="Verdana"/>
          <w:sz w:val="20"/>
          <w:szCs w:val="20"/>
        </w:rPr>
        <w:fldChar w:fldCharType="separate"/>
      </w:r>
      <w:r w:rsidR="00975C53" w:rsidRPr="00822656">
        <w:rPr>
          <w:rFonts w:ascii="Verdana" w:hAnsi="Verdana"/>
          <w:noProof/>
          <w:sz w:val="20"/>
          <w:szCs w:val="20"/>
        </w:rPr>
        <w:t>3</w:t>
      </w:r>
      <w:r w:rsidR="00975C53" w:rsidRPr="00822656">
        <w:rPr>
          <w:rFonts w:ascii="Verdana" w:hAnsi="Verdana"/>
          <w:sz w:val="20"/>
          <w:szCs w:val="20"/>
        </w:rPr>
        <w:fldChar w:fldCharType="end"/>
      </w:r>
      <w:r w:rsidRPr="00822656">
        <w:rPr>
          <w:rFonts w:ascii="Verdana" w:hAnsi="Verdana"/>
          <w:sz w:val="20"/>
          <w:szCs w:val="20"/>
        </w:rPr>
        <w:t xml:space="preserve">. </w:t>
      </w:r>
      <w:proofErr w:type="spellStart"/>
      <w:r w:rsidRPr="00822656">
        <w:rPr>
          <w:rFonts w:ascii="Verdana" w:hAnsi="Verdana"/>
          <w:sz w:val="20"/>
          <w:szCs w:val="20"/>
        </w:rPr>
        <w:t>PCoA</w:t>
      </w:r>
      <w:proofErr w:type="spellEnd"/>
      <w:r w:rsidRPr="00822656">
        <w:rPr>
          <w:rFonts w:ascii="Verdana" w:hAnsi="Verdana"/>
          <w:sz w:val="20"/>
          <w:szCs w:val="20"/>
        </w:rPr>
        <w:t xml:space="preserve"> plot using Bray Curtis Dissimilarity Index </w:t>
      </w:r>
      <w:r w:rsidRPr="00822656">
        <w:rPr>
          <w:rFonts w:ascii="Verdana" w:eastAsia="Verdana" w:hAnsi="Verdana" w:cs="Verdana"/>
          <w:sz w:val="20"/>
          <w:szCs w:val="20"/>
        </w:rPr>
        <w:t xml:space="preserve">to determine beta diversity between each carbon source, mixed community, and time point. </w:t>
      </w:r>
      <w:r w:rsidRPr="00822656">
        <w:rPr>
          <w:rFonts w:ascii="Verdana" w:eastAsia="Verdana" w:hAnsi="Verdana" w:cs="Verdana"/>
          <w:b w:val="0"/>
          <w:bCs w:val="0"/>
          <w:sz w:val="20"/>
          <w:szCs w:val="20"/>
        </w:rPr>
        <w:t>Media type is denoted by closed (complex medium) and open shapes (defined medium), mixed community harboring Y4I variants are differentiated by color, and time point is denoted by shape.</w:t>
      </w:r>
      <w:bookmarkEnd w:id="56"/>
      <w:r w:rsidRPr="00822656">
        <w:rPr>
          <w:rFonts w:ascii="Verdana" w:eastAsia="Verdana" w:hAnsi="Verdana" w:cs="Verdana"/>
          <w:b w:val="0"/>
          <w:bCs w:val="0"/>
          <w:sz w:val="20"/>
          <w:szCs w:val="20"/>
        </w:rPr>
        <w:t xml:space="preserve"> </w:t>
      </w:r>
    </w:p>
    <w:p w14:paraId="19AF642C" w14:textId="77777777" w:rsidR="00254509" w:rsidRPr="00254509" w:rsidRDefault="00254509" w:rsidP="00677C01">
      <w:pPr>
        <w:spacing w:before="240"/>
        <w:rPr>
          <w:rFonts w:ascii="Verdana" w:eastAsia="Verdana" w:hAnsi="Verdana" w:cs="Verdana"/>
          <w:sz w:val="20"/>
          <w:szCs w:val="20"/>
        </w:rPr>
      </w:pPr>
    </w:p>
    <w:p w14:paraId="78A2992A" w14:textId="77777777" w:rsidR="00254509" w:rsidRDefault="00254509" w:rsidP="00677C01">
      <w:pPr>
        <w:spacing w:before="240"/>
        <w:rPr>
          <w:rFonts w:ascii="Verdana" w:eastAsia="Verdana" w:hAnsi="Verdana" w:cs="Verdana"/>
          <w:sz w:val="20"/>
          <w:szCs w:val="20"/>
        </w:rPr>
      </w:pPr>
      <w:r>
        <w:br w:type="page"/>
      </w:r>
    </w:p>
    <w:p w14:paraId="10DACE68" w14:textId="77777777" w:rsidR="00254509" w:rsidRDefault="00254509" w:rsidP="00677C01">
      <w:pPr>
        <w:spacing w:before="240"/>
        <w:rPr>
          <w:rFonts w:ascii="Verdana" w:eastAsia="Verdana" w:hAnsi="Verdana" w:cs="Verdana"/>
          <w:sz w:val="20"/>
          <w:szCs w:val="20"/>
        </w:rPr>
      </w:pPr>
      <w:r>
        <w:rPr>
          <w:rFonts w:ascii="Verdana" w:eastAsia="Verdana" w:hAnsi="Verdana" w:cs="Verdana"/>
          <w:noProof/>
          <w:sz w:val="20"/>
          <w:szCs w:val="20"/>
        </w:rPr>
        <w:lastRenderedPageBreak/>
        <w:drawing>
          <wp:inline distT="114300" distB="114300" distL="114300" distR="114300" wp14:anchorId="7AE7DB28" wp14:editId="2BCF7FF3">
            <wp:extent cx="5943600" cy="8686800"/>
            <wp:effectExtent l="0" t="0" r="0" b="0"/>
            <wp:docPr id="5" name="image4.png" descr="Chart, box and whisk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5" name="image4.png" descr="Chart, box and whisker chart&#10;&#10;Description automatically generated"/>
                    <pic:cNvPicPr preferRelativeResize="0"/>
                  </pic:nvPicPr>
                  <pic:blipFill>
                    <a:blip r:embed="rId23"/>
                    <a:srcRect/>
                    <a:stretch>
                      <a:fillRect/>
                    </a:stretch>
                  </pic:blipFill>
                  <pic:spPr>
                    <a:xfrm>
                      <a:off x="0" y="0"/>
                      <a:ext cx="5943600" cy="8686800"/>
                    </a:xfrm>
                    <a:prstGeom prst="rect">
                      <a:avLst/>
                    </a:prstGeom>
                    <a:ln/>
                  </pic:spPr>
                </pic:pic>
              </a:graphicData>
            </a:graphic>
          </wp:inline>
        </w:drawing>
      </w:r>
    </w:p>
    <w:p w14:paraId="352D1FDB" w14:textId="62680E25" w:rsidR="00254509" w:rsidRPr="00822656" w:rsidRDefault="003B0DE0" w:rsidP="00822656">
      <w:pPr>
        <w:pStyle w:val="Caption"/>
        <w:spacing w:before="240"/>
        <w:jc w:val="both"/>
        <w:rPr>
          <w:rFonts w:ascii="Verdana" w:hAnsi="Verdana"/>
          <w:b w:val="0"/>
          <w:bCs w:val="0"/>
          <w:sz w:val="18"/>
          <w:szCs w:val="18"/>
        </w:rPr>
      </w:pPr>
      <w:bookmarkStart w:id="57" w:name="_Toc83383932"/>
      <w:r w:rsidRPr="00822656">
        <w:rPr>
          <w:rFonts w:ascii="Verdana" w:hAnsi="Verdana"/>
          <w:sz w:val="20"/>
          <w:szCs w:val="20"/>
        </w:rPr>
        <w:lastRenderedPageBreak/>
        <w:t xml:space="preserve">Figure </w:t>
      </w:r>
      <w:r w:rsidR="00975C53" w:rsidRPr="00822656">
        <w:rPr>
          <w:rFonts w:ascii="Verdana" w:hAnsi="Verdana"/>
          <w:sz w:val="20"/>
          <w:szCs w:val="20"/>
        </w:rPr>
        <w:fldChar w:fldCharType="begin"/>
      </w:r>
      <w:r w:rsidR="00975C53" w:rsidRPr="00822656">
        <w:rPr>
          <w:rFonts w:ascii="Verdana" w:hAnsi="Verdana"/>
          <w:sz w:val="20"/>
          <w:szCs w:val="20"/>
        </w:rPr>
        <w:instrText xml:space="preserve"> STYLEREF 1 \s </w:instrText>
      </w:r>
      <w:r w:rsidR="00975C53" w:rsidRPr="00822656">
        <w:rPr>
          <w:rFonts w:ascii="Verdana" w:hAnsi="Verdana"/>
          <w:sz w:val="20"/>
          <w:szCs w:val="20"/>
        </w:rPr>
        <w:fldChar w:fldCharType="separate"/>
      </w:r>
      <w:r w:rsidR="00975C53" w:rsidRPr="00822656">
        <w:rPr>
          <w:rFonts w:ascii="Verdana" w:hAnsi="Verdana"/>
          <w:noProof/>
          <w:sz w:val="20"/>
          <w:szCs w:val="20"/>
        </w:rPr>
        <w:t>3</w:t>
      </w:r>
      <w:r w:rsidR="00975C53" w:rsidRPr="00822656">
        <w:rPr>
          <w:rFonts w:ascii="Verdana" w:hAnsi="Verdana"/>
          <w:sz w:val="20"/>
          <w:szCs w:val="20"/>
        </w:rPr>
        <w:fldChar w:fldCharType="end"/>
      </w:r>
      <w:r w:rsidR="00975C53" w:rsidRPr="00822656">
        <w:rPr>
          <w:rFonts w:ascii="Verdana" w:hAnsi="Verdana"/>
          <w:sz w:val="20"/>
          <w:szCs w:val="20"/>
        </w:rPr>
        <w:t>.</w:t>
      </w:r>
      <w:r w:rsidR="00975C53" w:rsidRPr="00822656">
        <w:rPr>
          <w:rFonts w:ascii="Verdana" w:hAnsi="Verdana"/>
          <w:sz w:val="20"/>
          <w:szCs w:val="20"/>
        </w:rPr>
        <w:fldChar w:fldCharType="begin"/>
      </w:r>
      <w:r w:rsidR="00975C53" w:rsidRPr="00822656">
        <w:rPr>
          <w:rFonts w:ascii="Verdana" w:hAnsi="Verdana"/>
          <w:sz w:val="20"/>
          <w:szCs w:val="20"/>
        </w:rPr>
        <w:instrText xml:space="preserve"> SEQ Figure \* ARABIC \s 1 </w:instrText>
      </w:r>
      <w:r w:rsidR="00975C53" w:rsidRPr="00822656">
        <w:rPr>
          <w:rFonts w:ascii="Verdana" w:hAnsi="Verdana"/>
          <w:sz w:val="20"/>
          <w:szCs w:val="20"/>
        </w:rPr>
        <w:fldChar w:fldCharType="separate"/>
      </w:r>
      <w:r w:rsidR="00975C53" w:rsidRPr="00822656">
        <w:rPr>
          <w:rFonts w:ascii="Verdana" w:hAnsi="Verdana"/>
          <w:noProof/>
          <w:sz w:val="20"/>
          <w:szCs w:val="20"/>
        </w:rPr>
        <w:t>4</w:t>
      </w:r>
      <w:r w:rsidR="00975C53" w:rsidRPr="00822656">
        <w:rPr>
          <w:rFonts w:ascii="Verdana" w:hAnsi="Verdana"/>
          <w:sz w:val="20"/>
          <w:szCs w:val="20"/>
        </w:rPr>
        <w:fldChar w:fldCharType="end"/>
      </w:r>
      <w:r w:rsidRPr="00822656">
        <w:rPr>
          <w:rFonts w:ascii="Verdana" w:hAnsi="Verdana"/>
          <w:sz w:val="20"/>
          <w:szCs w:val="20"/>
        </w:rPr>
        <w:t xml:space="preserve"> Biofilm production of monoculture community members </w:t>
      </w:r>
      <w:r w:rsidR="002163D0" w:rsidRPr="00822656">
        <w:rPr>
          <w:rFonts w:ascii="Verdana" w:hAnsi="Verdana"/>
          <w:sz w:val="20"/>
          <w:szCs w:val="20"/>
        </w:rPr>
        <w:t>in complex me</w:t>
      </w:r>
      <w:r w:rsidR="00E93EA5" w:rsidRPr="00822656">
        <w:rPr>
          <w:rFonts w:ascii="Verdana" w:hAnsi="Verdana"/>
          <w:sz w:val="20"/>
          <w:szCs w:val="20"/>
        </w:rPr>
        <w:t xml:space="preserve">dium </w:t>
      </w:r>
      <w:r w:rsidR="00254509" w:rsidRPr="00822656">
        <w:rPr>
          <w:rFonts w:ascii="Verdana" w:eastAsia="Verdana" w:hAnsi="Verdana" w:cs="Verdana"/>
          <w:sz w:val="20"/>
          <w:szCs w:val="20"/>
        </w:rPr>
        <w:t xml:space="preserve">and five-member synthetic communities over time (A-C). </w:t>
      </w:r>
      <w:r w:rsidR="00254509" w:rsidRPr="00822656">
        <w:rPr>
          <w:rFonts w:ascii="Verdana" w:eastAsia="Verdana" w:hAnsi="Verdana" w:cs="Verdana"/>
          <w:b w:val="0"/>
          <w:bCs w:val="0"/>
          <w:sz w:val="20"/>
          <w:szCs w:val="20"/>
        </w:rPr>
        <w:t>Synthetic communities (</w:t>
      </w:r>
      <w:proofErr w:type="spellStart"/>
      <w:r w:rsidR="00254509" w:rsidRPr="00822656">
        <w:rPr>
          <w:rFonts w:ascii="Verdana" w:eastAsia="Verdana" w:hAnsi="Verdana" w:cs="Verdana"/>
          <w:b w:val="0"/>
          <w:bCs w:val="0"/>
          <w:sz w:val="20"/>
          <w:szCs w:val="20"/>
        </w:rPr>
        <w:t>SynCom</w:t>
      </w:r>
      <w:proofErr w:type="spellEnd"/>
      <w:r w:rsidR="00254509" w:rsidRPr="00822656">
        <w:rPr>
          <w:rFonts w:ascii="Verdana" w:eastAsia="Verdana" w:hAnsi="Verdana" w:cs="Verdana"/>
          <w:b w:val="0"/>
          <w:bCs w:val="0"/>
          <w:sz w:val="20"/>
          <w:szCs w:val="20"/>
        </w:rPr>
        <w:t>) are designated by the Y4I variant in each community</w:t>
      </w:r>
      <w:r w:rsidR="00B0062E" w:rsidRPr="00822656">
        <w:rPr>
          <w:rFonts w:ascii="Verdana" w:eastAsia="Verdana" w:hAnsi="Verdana" w:cs="Verdana"/>
          <w:b w:val="0"/>
          <w:bCs w:val="0"/>
          <w:sz w:val="20"/>
          <w:szCs w:val="20"/>
        </w:rPr>
        <w:t xml:space="preserve"> [Wild type Y4I, </w:t>
      </w:r>
      <w:proofErr w:type="spellStart"/>
      <w:proofErr w:type="gramStart"/>
      <w:r w:rsidR="00B0062E" w:rsidRPr="00822656">
        <w:rPr>
          <w:rFonts w:ascii="Verdana" w:eastAsia="Verdana" w:hAnsi="Verdana" w:cs="Verdana"/>
          <w:b w:val="0"/>
          <w:bCs w:val="0"/>
          <w:i/>
          <w:sz w:val="20"/>
          <w:szCs w:val="20"/>
        </w:rPr>
        <w:t>pgaR</w:t>
      </w:r>
      <w:proofErr w:type="spellEnd"/>
      <w:r w:rsidR="00B0062E" w:rsidRPr="00822656">
        <w:rPr>
          <w:rFonts w:ascii="Verdana" w:eastAsia="Verdana" w:hAnsi="Verdana" w:cs="Verdana"/>
          <w:b w:val="0"/>
          <w:bCs w:val="0"/>
          <w:sz w:val="20"/>
          <w:szCs w:val="20"/>
        </w:rPr>
        <w:t>::</w:t>
      </w:r>
      <w:proofErr w:type="gramEnd"/>
      <w:r w:rsidR="00B0062E" w:rsidRPr="00822656">
        <w:rPr>
          <w:rFonts w:ascii="Verdana" w:eastAsia="Verdana" w:hAnsi="Verdana" w:cs="Verdana"/>
          <w:b w:val="0"/>
          <w:bCs w:val="0"/>
          <w:sz w:val="20"/>
          <w:szCs w:val="20"/>
        </w:rPr>
        <w:t>Tn5-Km</w:t>
      </w:r>
      <w:r w:rsidR="00B0062E" w:rsidRPr="00822656">
        <w:rPr>
          <w:rFonts w:ascii="Verdana" w:eastAsia="Verdana" w:hAnsi="Verdana" w:cs="Verdana"/>
          <w:b w:val="0"/>
          <w:bCs w:val="0"/>
          <w:sz w:val="20"/>
          <w:szCs w:val="20"/>
          <w:vertAlign w:val="superscript"/>
        </w:rPr>
        <w:t>R</w:t>
      </w:r>
      <w:r w:rsidR="00B0062E" w:rsidRPr="00822656">
        <w:rPr>
          <w:rFonts w:ascii="Verdana" w:eastAsia="Verdana" w:hAnsi="Verdana" w:cs="Verdana"/>
          <w:b w:val="0"/>
          <w:bCs w:val="0"/>
          <w:sz w:val="20"/>
          <w:szCs w:val="20"/>
        </w:rPr>
        <w:t xml:space="preserve"> (</w:t>
      </w:r>
      <w:proofErr w:type="spellStart"/>
      <w:r w:rsidR="00B0062E" w:rsidRPr="00822656">
        <w:rPr>
          <w:rFonts w:ascii="Verdana" w:eastAsia="Verdana" w:hAnsi="Verdana" w:cs="Verdana"/>
          <w:b w:val="0"/>
          <w:bCs w:val="0"/>
          <w:i/>
          <w:sz w:val="20"/>
          <w:szCs w:val="20"/>
        </w:rPr>
        <w:t>pgaR</w:t>
      </w:r>
      <w:proofErr w:type="spellEnd"/>
      <w:r w:rsidR="00B0062E" w:rsidRPr="00822656">
        <w:rPr>
          <w:rFonts w:ascii="Verdana" w:eastAsia="Verdana" w:hAnsi="Verdana" w:cs="Verdana"/>
          <w:b w:val="0"/>
          <w:bCs w:val="0"/>
          <w:i/>
          <w:sz w:val="20"/>
          <w:szCs w:val="20"/>
          <w:vertAlign w:val="superscript"/>
        </w:rPr>
        <w:t>-</w:t>
      </w:r>
      <w:r w:rsidR="00B0062E" w:rsidRPr="00822656">
        <w:rPr>
          <w:rFonts w:ascii="Verdana" w:eastAsia="Verdana" w:hAnsi="Verdana" w:cs="Verdana"/>
          <w:b w:val="0"/>
          <w:bCs w:val="0"/>
          <w:sz w:val="20"/>
          <w:szCs w:val="20"/>
        </w:rPr>
        <w:t xml:space="preserve">), </w:t>
      </w:r>
      <w:proofErr w:type="spellStart"/>
      <w:r w:rsidR="00B0062E" w:rsidRPr="00822656">
        <w:rPr>
          <w:rFonts w:ascii="Verdana" w:eastAsia="Verdana" w:hAnsi="Verdana" w:cs="Verdana"/>
          <w:b w:val="0"/>
          <w:bCs w:val="0"/>
          <w:i/>
          <w:sz w:val="20"/>
          <w:szCs w:val="20"/>
        </w:rPr>
        <w:t>phaR</w:t>
      </w:r>
      <w:proofErr w:type="spellEnd"/>
      <w:r w:rsidR="00B0062E" w:rsidRPr="00822656">
        <w:rPr>
          <w:rFonts w:ascii="Verdana" w:eastAsia="Verdana" w:hAnsi="Verdana" w:cs="Verdana"/>
          <w:b w:val="0"/>
          <w:bCs w:val="0"/>
          <w:sz w:val="20"/>
          <w:szCs w:val="20"/>
        </w:rPr>
        <w:t>::Tn5-Km</w:t>
      </w:r>
      <w:r w:rsidR="00B0062E" w:rsidRPr="00822656">
        <w:rPr>
          <w:rFonts w:ascii="Verdana" w:eastAsia="Verdana" w:hAnsi="Verdana" w:cs="Verdana"/>
          <w:b w:val="0"/>
          <w:bCs w:val="0"/>
          <w:sz w:val="20"/>
          <w:szCs w:val="20"/>
          <w:vertAlign w:val="superscript"/>
        </w:rPr>
        <w:t xml:space="preserve">R </w:t>
      </w:r>
      <w:r w:rsidR="00B0062E" w:rsidRPr="00822656">
        <w:rPr>
          <w:rFonts w:ascii="Verdana" w:eastAsia="Verdana" w:hAnsi="Verdana" w:cs="Verdana"/>
          <w:b w:val="0"/>
          <w:bCs w:val="0"/>
          <w:sz w:val="20"/>
          <w:szCs w:val="20"/>
        </w:rPr>
        <w:t>(</w:t>
      </w:r>
      <w:proofErr w:type="spellStart"/>
      <w:r w:rsidR="00B0062E" w:rsidRPr="00822656">
        <w:rPr>
          <w:rFonts w:ascii="Verdana" w:eastAsia="Verdana" w:hAnsi="Verdana" w:cs="Verdana"/>
          <w:b w:val="0"/>
          <w:bCs w:val="0"/>
          <w:i/>
          <w:sz w:val="20"/>
          <w:szCs w:val="20"/>
        </w:rPr>
        <w:t>phaR</w:t>
      </w:r>
      <w:proofErr w:type="spellEnd"/>
      <w:r w:rsidR="00B0062E" w:rsidRPr="00822656">
        <w:rPr>
          <w:rFonts w:ascii="Verdana" w:eastAsia="Verdana" w:hAnsi="Verdana" w:cs="Verdana"/>
          <w:b w:val="0"/>
          <w:bCs w:val="0"/>
          <w:i/>
          <w:sz w:val="20"/>
          <w:szCs w:val="20"/>
          <w:vertAlign w:val="superscript"/>
        </w:rPr>
        <w:t>-</w:t>
      </w:r>
      <w:r w:rsidR="00B0062E" w:rsidRPr="00822656">
        <w:rPr>
          <w:rFonts w:ascii="Verdana" w:eastAsia="Verdana" w:hAnsi="Verdana" w:cs="Verdana"/>
          <w:b w:val="0"/>
          <w:bCs w:val="0"/>
          <w:sz w:val="20"/>
          <w:szCs w:val="20"/>
        </w:rPr>
        <w:t xml:space="preserve">), </w:t>
      </w:r>
      <w:proofErr w:type="spellStart"/>
      <w:r w:rsidR="00B0062E" w:rsidRPr="00822656">
        <w:rPr>
          <w:rFonts w:ascii="Verdana" w:eastAsia="Verdana" w:hAnsi="Verdana" w:cs="Verdana"/>
          <w:b w:val="0"/>
          <w:bCs w:val="0"/>
          <w:i/>
          <w:sz w:val="20"/>
          <w:szCs w:val="20"/>
        </w:rPr>
        <w:t>phaI</w:t>
      </w:r>
      <w:proofErr w:type="spellEnd"/>
      <w:r w:rsidR="00B0062E" w:rsidRPr="00822656">
        <w:rPr>
          <w:rFonts w:ascii="Verdana" w:eastAsia="Verdana" w:hAnsi="Verdana" w:cs="Verdana"/>
          <w:b w:val="0"/>
          <w:bCs w:val="0"/>
          <w:sz w:val="20"/>
          <w:szCs w:val="20"/>
        </w:rPr>
        <w:t>::</w:t>
      </w:r>
      <w:proofErr w:type="spellStart"/>
      <w:r w:rsidR="00B0062E" w:rsidRPr="00822656">
        <w:rPr>
          <w:rFonts w:ascii="Verdana" w:eastAsia="Verdana" w:hAnsi="Verdana" w:cs="Verdana"/>
          <w:b w:val="0"/>
          <w:bCs w:val="0"/>
          <w:sz w:val="20"/>
          <w:szCs w:val="20"/>
        </w:rPr>
        <w:t>pKNOCK</w:t>
      </w:r>
      <w:proofErr w:type="spellEnd"/>
      <w:r w:rsidR="00B0062E" w:rsidRPr="00822656">
        <w:rPr>
          <w:rFonts w:ascii="Verdana" w:eastAsia="Verdana" w:hAnsi="Verdana" w:cs="Verdana"/>
          <w:b w:val="0"/>
          <w:bCs w:val="0"/>
          <w:sz w:val="20"/>
          <w:szCs w:val="20"/>
        </w:rPr>
        <w:t xml:space="preserve"> (</w:t>
      </w:r>
      <w:proofErr w:type="spellStart"/>
      <w:r w:rsidR="00B0062E" w:rsidRPr="00822656">
        <w:rPr>
          <w:rFonts w:ascii="Verdana" w:eastAsia="Verdana" w:hAnsi="Verdana" w:cs="Verdana"/>
          <w:b w:val="0"/>
          <w:bCs w:val="0"/>
          <w:i/>
          <w:sz w:val="20"/>
          <w:szCs w:val="20"/>
        </w:rPr>
        <w:t>phaI</w:t>
      </w:r>
      <w:proofErr w:type="spellEnd"/>
      <w:r w:rsidR="00B0062E" w:rsidRPr="00822656">
        <w:rPr>
          <w:rFonts w:ascii="Verdana" w:eastAsia="Verdana" w:hAnsi="Verdana" w:cs="Verdana"/>
          <w:b w:val="0"/>
          <w:bCs w:val="0"/>
          <w:i/>
          <w:sz w:val="20"/>
          <w:szCs w:val="20"/>
          <w:vertAlign w:val="superscript"/>
        </w:rPr>
        <w:t>-</w:t>
      </w:r>
      <w:r w:rsidR="00B0062E" w:rsidRPr="00822656">
        <w:rPr>
          <w:rFonts w:ascii="Verdana" w:eastAsia="Verdana" w:hAnsi="Verdana" w:cs="Verdana"/>
          <w:b w:val="0"/>
          <w:bCs w:val="0"/>
          <w:sz w:val="20"/>
          <w:szCs w:val="20"/>
        </w:rPr>
        <w:t xml:space="preserve">), </w:t>
      </w:r>
      <w:proofErr w:type="spellStart"/>
      <w:r w:rsidR="00B0062E" w:rsidRPr="00822656">
        <w:rPr>
          <w:rFonts w:ascii="Verdana" w:eastAsia="Verdana" w:hAnsi="Verdana" w:cs="Verdana"/>
          <w:b w:val="0"/>
          <w:bCs w:val="0"/>
          <w:i/>
          <w:sz w:val="20"/>
          <w:szCs w:val="20"/>
        </w:rPr>
        <w:t>igiD</w:t>
      </w:r>
      <w:proofErr w:type="spellEnd"/>
      <w:r w:rsidR="00B0062E" w:rsidRPr="00822656">
        <w:rPr>
          <w:rFonts w:ascii="Verdana" w:eastAsia="Verdana" w:hAnsi="Verdana" w:cs="Verdana"/>
          <w:b w:val="0"/>
          <w:bCs w:val="0"/>
          <w:sz w:val="20"/>
          <w:szCs w:val="20"/>
        </w:rPr>
        <w:t>::Tn5-Km</w:t>
      </w:r>
      <w:r w:rsidR="00B0062E" w:rsidRPr="00822656">
        <w:rPr>
          <w:rFonts w:ascii="Verdana" w:eastAsia="Verdana" w:hAnsi="Verdana" w:cs="Verdana"/>
          <w:b w:val="0"/>
          <w:bCs w:val="0"/>
          <w:sz w:val="20"/>
          <w:szCs w:val="20"/>
          <w:vertAlign w:val="superscript"/>
        </w:rPr>
        <w:t xml:space="preserve">R </w:t>
      </w:r>
      <w:r w:rsidR="00B0062E" w:rsidRPr="00822656">
        <w:rPr>
          <w:rFonts w:ascii="Verdana" w:eastAsia="Verdana" w:hAnsi="Verdana" w:cs="Verdana"/>
          <w:b w:val="0"/>
          <w:bCs w:val="0"/>
          <w:sz w:val="20"/>
          <w:szCs w:val="20"/>
        </w:rPr>
        <w:t>(</w:t>
      </w:r>
      <w:proofErr w:type="spellStart"/>
      <w:r w:rsidR="00B0062E" w:rsidRPr="00822656">
        <w:rPr>
          <w:rFonts w:ascii="Verdana" w:eastAsia="Verdana" w:hAnsi="Verdana" w:cs="Verdana"/>
          <w:b w:val="0"/>
          <w:bCs w:val="0"/>
          <w:i/>
          <w:sz w:val="20"/>
          <w:szCs w:val="20"/>
        </w:rPr>
        <w:t>igiD</w:t>
      </w:r>
      <w:proofErr w:type="spellEnd"/>
      <w:r w:rsidR="00B0062E" w:rsidRPr="00822656">
        <w:rPr>
          <w:rFonts w:ascii="Verdana" w:eastAsia="Verdana" w:hAnsi="Verdana" w:cs="Verdana"/>
          <w:b w:val="0"/>
          <w:bCs w:val="0"/>
          <w:i/>
          <w:sz w:val="20"/>
          <w:szCs w:val="20"/>
          <w:vertAlign w:val="superscript"/>
        </w:rPr>
        <w:t>-</w:t>
      </w:r>
      <w:r w:rsidR="00B0062E" w:rsidRPr="00822656">
        <w:rPr>
          <w:rFonts w:ascii="Verdana" w:eastAsia="Verdana" w:hAnsi="Verdana" w:cs="Verdana"/>
          <w:b w:val="0"/>
          <w:bCs w:val="0"/>
          <w:sz w:val="20"/>
          <w:szCs w:val="20"/>
        </w:rPr>
        <w:t>)]</w:t>
      </w:r>
      <w:r w:rsidR="00254509" w:rsidRPr="00822656">
        <w:rPr>
          <w:rFonts w:ascii="Verdana" w:eastAsia="Verdana" w:hAnsi="Verdana" w:cs="Verdana"/>
          <w:b w:val="0"/>
          <w:bCs w:val="0"/>
          <w:sz w:val="20"/>
          <w:szCs w:val="20"/>
        </w:rPr>
        <w:t>. Each data point (black dots) was collected by quantifying biomass production using a standard crystal violet assay. Error bars represent the standard error of the mean of three biological replicates and three technical replicates. Gray dotted line represents biomass production of the best biofilm former in monoculture, red dotted line indicates biomass production of the worst biofilm former in monoculture at that time point.  Biologically relevant statistical significances are depicted (p &lt; 0.05 [*], 0.01 [**], 0.001 [***]). For full statistical results see Supplemental Table 1.</w:t>
      </w:r>
      <w:bookmarkEnd w:id="57"/>
      <w:r w:rsidR="00254509" w:rsidRPr="00822656">
        <w:rPr>
          <w:rFonts w:ascii="Verdana" w:eastAsia="Verdana" w:hAnsi="Verdana" w:cs="Verdana"/>
          <w:b w:val="0"/>
          <w:bCs w:val="0"/>
          <w:sz w:val="20"/>
          <w:szCs w:val="20"/>
        </w:rPr>
        <w:t xml:space="preserve"> </w:t>
      </w:r>
    </w:p>
    <w:p w14:paraId="1F2BF79E" w14:textId="77777777" w:rsidR="00254509" w:rsidRDefault="00254509" w:rsidP="00677C01">
      <w:pPr>
        <w:spacing w:before="240"/>
        <w:rPr>
          <w:rFonts w:ascii="Verdana" w:eastAsia="Verdana" w:hAnsi="Verdana" w:cs="Verdana"/>
          <w:sz w:val="20"/>
          <w:szCs w:val="20"/>
        </w:rPr>
      </w:pPr>
    </w:p>
    <w:p w14:paraId="74C720D1" w14:textId="77777777" w:rsidR="00254509" w:rsidRDefault="00254509" w:rsidP="00677C01">
      <w:pPr>
        <w:spacing w:before="240"/>
        <w:rPr>
          <w:rFonts w:ascii="Verdana" w:eastAsia="Verdana" w:hAnsi="Verdana" w:cs="Verdana"/>
          <w:b/>
          <w:sz w:val="20"/>
          <w:szCs w:val="20"/>
        </w:rPr>
      </w:pPr>
      <w:r>
        <w:rPr>
          <w:rFonts w:ascii="Verdana" w:eastAsia="Verdana" w:hAnsi="Verdana" w:cs="Verdana"/>
          <w:b/>
          <w:noProof/>
          <w:sz w:val="20"/>
          <w:szCs w:val="20"/>
        </w:rPr>
        <w:lastRenderedPageBreak/>
        <w:drawing>
          <wp:inline distT="114300" distB="114300" distL="114300" distR="114300" wp14:anchorId="526C4ED7" wp14:editId="2CAE783B">
            <wp:extent cx="5049078" cy="8947095"/>
            <wp:effectExtent l="0" t="0" r="0" b="6985"/>
            <wp:docPr id="3" name="image1.jpg" descr="Chart, box and whisker ch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1.jpg" descr="Chart, box and whisker chart&#10;&#10;Description automatically generated"/>
                    <pic:cNvPicPr preferRelativeResize="0"/>
                  </pic:nvPicPr>
                  <pic:blipFill>
                    <a:blip r:embed="rId24"/>
                    <a:srcRect/>
                    <a:stretch>
                      <a:fillRect/>
                    </a:stretch>
                  </pic:blipFill>
                  <pic:spPr>
                    <a:xfrm>
                      <a:off x="0" y="0"/>
                      <a:ext cx="5057703" cy="8962379"/>
                    </a:xfrm>
                    <a:prstGeom prst="rect">
                      <a:avLst/>
                    </a:prstGeom>
                    <a:ln/>
                  </pic:spPr>
                </pic:pic>
              </a:graphicData>
            </a:graphic>
          </wp:inline>
        </w:drawing>
      </w:r>
    </w:p>
    <w:p w14:paraId="1642E984" w14:textId="5900F2DC" w:rsidR="00254509" w:rsidRPr="00822656" w:rsidRDefault="00B0062E" w:rsidP="00822656">
      <w:pPr>
        <w:pStyle w:val="Caption"/>
        <w:spacing w:before="240"/>
        <w:jc w:val="both"/>
        <w:rPr>
          <w:rFonts w:ascii="Verdana" w:hAnsi="Verdana"/>
          <w:b w:val="0"/>
          <w:bCs w:val="0"/>
          <w:sz w:val="20"/>
          <w:szCs w:val="20"/>
        </w:rPr>
      </w:pPr>
      <w:bookmarkStart w:id="58" w:name="_Toc83383933"/>
      <w:r w:rsidRPr="00822656">
        <w:rPr>
          <w:rFonts w:ascii="Verdana" w:hAnsi="Verdana"/>
          <w:sz w:val="20"/>
          <w:szCs w:val="20"/>
        </w:rPr>
        <w:lastRenderedPageBreak/>
        <w:t xml:space="preserve">Figure </w:t>
      </w:r>
      <w:r w:rsidR="00975C53" w:rsidRPr="00822656">
        <w:rPr>
          <w:rFonts w:ascii="Verdana" w:hAnsi="Verdana"/>
          <w:sz w:val="20"/>
          <w:szCs w:val="20"/>
        </w:rPr>
        <w:fldChar w:fldCharType="begin"/>
      </w:r>
      <w:r w:rsidR="00975C53" w:rsidRPr="00822656">
        <w:rPr>
          <w:rFonts w:ascii="Verdana" w:hAnsi="Verdana"/>
          <w:sz w:val="20"/>
          <w:szCs w:val="20"/>
        </w:rPr>
        <w:instrText xml:space="preserve"> STYLEREF 1 \s </w:instrText>
      </w:r>
      <w:r w:rsidR="00975C53" w:rsidRPr="00822656">
        <w:rPr>
          <w:rFonts w:ascii="Verdana" w:hAnsi="Verdana"/>
          <w:sz w:val="20"/>
          <w:szCs w:val="20"/>
        </w:rPr>
        <w:fldChar w:fldCharType="separate"/>
      </w:r>
      <w:r w:rsidR="00975C53" w:rsidRPr="00822656">
        <w:rPr>
          <w:rFonts w:ascii="Verdana" w:hAnsi="Verdana"/>
          <w:noProof/>
          <w:sz w:val="20"/>
          <w:szCs w:val="20"/>
        </w:rPr>
        <w:t>3</w:t>
      </w:r>
      <w:r w:rsidR="00975C53" w:rsidRPr="00822656">
        <w:rPr>
          <w:rFonts w:ascii="Verdana" w:hAnsi="Verdana"/>
          <w:sz w:val="20"/>
          <w:szCs w:val="20"/>
        </w:rPr>
        <w:fldChar w:fldCharType="end"/>
      </w:r>
      <w:r w:rsidR="00975C53" w:rsidRPr="00822656">
        <w:rPr>
          <w:rFonts w:ascii="Verdana" w:hAnsi="Verdana"/>
          <w:sz w:val="20"/>
          <w:szCs w:val="20"/>
        </w:rPr>
        <w:t>.</w:t>
      </w:r>
      <w:r w:rsidR="00975C53" w:rsidRPr="00822656">
        <w:rPr>
          <w:rFonts w:ascii="Verdana" w:hAnsi="Verdana"/>
          <w:sz w:val="20"/>
          <w:szCs w:val="20"/>
        </w:rPr>
        <w:fldChar w:fldCharType="begin"/>
      </w:r>
      <w:r w:rsidR="00975C53" w:rsidRPr="00822656">
        <w:rPr>
          <w:rFonts w:ascii="Verdana" w:hAnsi="Verdana"/>
          <w:sz w:val="20"/>
          <w:szCs w:val="20"/>
        </w:rPr>
        <w:instrText xml:space="preserve"> SEQ Figure \* ARABIC \s 1 </w:instrText>
      </w:r>
      <w:r w:rsidR="00975C53" w:rsidRPr="00822656">
        <w:rPr>
          <w:rFonts w:ascii="Verdana" w:hAnsi="Verdana"/>
          <w:sz w:val="20"/>
          <w:szCs w:val="20"/>
        </w:rPr>
        <w:fldChar w:fldCharType="separate"/>
      </w:r>
      <w:r w:rsidR="00975C53" w:rsidRPr="00822656">
        <w:rPr>
          <w:rFonts w:ascii="Verdana" w:hAnsi="Verdana"/>
          <w:noProof/>
          <w:sz w:val="20"/>
          <w:szCs w:val="20"/>
        </w:rPr>
        <w:t>5</w:t>
      </w:r>
      <w:r w:rsidR="00975C53" w:rsidRPr="00822656">
        <w:rPr>
          <w:rFonts w:ascii="Verdana" w:hAnsi="Verdana"/>
          <w:sz w:val="20"/>
          <w:szCs w:val="20"/>
        </w:rPr>
        <w:fldChar w:fldCharType="end"/>
      </w:r>
      <w:r w:rsidRPr="00822656">
        <w:rPr>
          <w:rFonts w:ascii="Verdana" w:hAnsi="Verdana"/>
          <w:sz w:val="20"/>
          <w:szCs w:val="20"/>
        </w:rPr>
        <w:t xml:space="preserve"> Biofilm production of monoculture community </w:t>
      </w:r>
      <w:proofErr w:type="gramStart"/>
      <w:r w:rsidRPr="00822656">
        <w:rPr>
          <w:rFonts w:ascii="Verdana" w:hAnsi="Verdana"/>
          <w:sz w:val="20"/>
          <w:szCs w:val="20"/>
        </w:rPr>
        <w:t>members  and</w:t>
      </w:r>
      <w:proofErr w:type="gramEnd"/>
      <w:r w:rsidRPr="00822656">
        <w:rPr>
          <w:rFonts w:ascii="Verdana" w:hAnsi="Verdana"/>
          <w:sz w:val="20"/>
          <w:szCs w:val="20"/>
        </w:rPr>
        <w:t xml:space="preserve"> five-member synthetic communities over time (A-D) in defined medium (2 mM coumarate). </w:t>
      </w:r>
      <w:r w:rsidR="00254509" w:rsidRPr="00822656">
        <w:rPr>
          <w:rFonts w:ascii="Verdana" w:eastAsia="Verdana" w:hAnsi="Verdana" w:cs="Verdana"/>
          <w:b w:val="0"/>
          <w:bCs w:val="0"/>
          <w:sz w:val="20"/>
          <w:szCs w:val="20"/>
        </w:rPr>
        <w:t>Synthetic communities (</w:t>
      </w:r>
      <w:proofErr w:type="spellStart"/>
      <w:r w:rsidR="00254509" w:rsidRPr="00822656">
        <w:rPr>
          <w:rFonts w:ascii="Verdana" w:eastAsia="Verdana" w:hAnsi="Verdana" w:cs="Verdana"/>
          <w:b w:val="0"/>
          <w:bCs w:val="0"/>
          <w:sz w:val="20"/>
          <w:szCs w:val="20"/>
        </w:rPr>
        <w:t>SynCom</w:t>
      </w:r>
      <w:proofErr w:type="spellEnd"/>
      <w:r w:rsidR="00254509" w:rsidRPr="00822656">
        <w:rPr>
          <w:rFonts w:ascii="Verdana" w:eastAsia="Verdana" w:hAnsi="Verdana" w:cs="Verdana"/>
          <w:b w:val="0"/>
          <w:bCs w:val="0"/>
          <w:sz w:val="20"/>
          <w:szCs w:val="20"/>
        </w:rPr>
        <w:t>) are designated by the Y4I variant in each community</w:t>
      </w:r>
      <w:r w:rsidRPr="00822656">
        <w:rPr>
          <w:rFonts w:ascii="Verdana" w:eastAsia="Verdana" w:hAnsi="Verdana" w:cs="Verdana"/>
          <w:b w:val="0"/>
          <w:bCs w:val="0"/>
          <w:sz w:val="20"/>
          <w:szCs w:val="20"/>
        </w:rPr>
        <w:t xml:space="preserve"> [Wild type Y4I, </w:t>
      </w:r>
      <w:proofErr w:type="spellStart"/>
      <w:proofErr w:type="gramStart"/>
      <w:r w:rsidRPr="00822656">
        <w:rPr>
          <w:rFonts w:ascii="Verdana" w:eastAsia="Verdana" w:hAnsi="Verdana" w:cs="Verdana"/>
          <w:b w:val="0"/>
          <w:bCs w:val="0"/>
          <w:i/>
          <w:sz w:val="20"/>
          <w:szCs w:val="20"/>
        </w:rPr>
        <w:t>pgaR</w:t>
      </w:r>
      <w:proofErr w:type="spellEnd"/>
      <w:r w:rsidRPr="00822656">
        <w:rPr>
          <w:rFonts w:ascii="Verdana" w:eastAsia="Verdana" w:hAnsi="Verdana" w:cs="Verdana"/>
          <w:b w:val="0"/>
          <w:bCs w:val="0"/>
          <w:sz w:val="20"/>
          <w:szCs w:val="20"/>
        </w:rPr>
        <w:t>::</w:t>
      </w:r>
      <w:proofErr w:type="gramEnd"/>
      <w:r w:rsidRPr="00822656">
        <w:rPr>
          <w:rFonts w:ascii="Verdana" w:eastAsia="Verdana" w:hAnsi="Verdana" w:cs="Verdana"/>
          <w:b w:val="0"/>
          <w:bCs w:val="0"/>
          <w:sz w:val="20"/>
          <w:szCs w:val="20"/>
        </w:rPr>
        <w:t>Tn5-Km</w:t>
      </w:r>
      <w:r w:rsidRPr="00822656">
        <w:rPr>
          <w:rFonts w:ascii="Verdana" w:eastAsia="Verdana" w:hAnsi="Verdana" w:cs="Verdana"/>
          <w:b w:val="0"/>
          <w:bCs w:val="0"/>
          <w:sz w:val="20"/>
          <w:szCs w:val="20"/>
          <w:vertAlign w:val="superscript"/>
        </w:rPr>
        <w:t>R</w:t>
      </w:r>
      <w:r w:rsidRPr="00822656">
        <w:rPr>
          <w:rFonts w:ascii="Verdana" w:eastAsia="Verdana" w:hAnsi="Verdana" w:cs="Verdana"/>
          <w:b w:val="0"/>
          <w:bCs w:val="0"/>
          <w:sz w:val="20"/>
          <w:szCs w:val="20"/>
        </w:rPr>
        <w:t xml:space="preserve"> (</w:t>
      </w:r>
      <w:proofErr w:type="spellStart"/>
      <w:r w:rsidRPr="00822656">
        <w:rPr>
          <w:rFonts w:ascii="Verdana" w:eastAsia="Verdana" w:hAnsi="Verdana" w:cs="Verdana"/>
          <w:b w:val="0"/>
          <w:bCs w:val="0"/>
          <w:i/>
          <w:sz w:val="20"/>
          <w:szCs w:val="20"/>
        </w:rPr>
        <w:t>pgaR</w:t>
      </w:r>
      <w:proofErr w:type="spellEnd"/>
      <w:r w:rsidRPr="00822656">
        <w:rPr>
          <w:rFonts w:ascii="Verdana" w:eastAsia="Verdana" w:hAnsi="Verdana" w:cs="Verdana"/>
          <w:b w:val="0"/>
          <w:bCs w:val="0"/>
          <w:i/>
          <w:sz w:val="20"/>
          <w:szCs w:val="20"/>
          <w:vertAlign w:val="superscript"/>
        </w:rPr>
        <w:t>-</w:t>
      </w:r>
      <w:r w:rsidRPr="00822656">
        <w:rPr>
          <w:rFonts w:ascii="Verdana" w:eastAsia="Verdana" w:hAnsi="Verdana" w:cs="Verdana"/>
          <w:b w:val="0"/>
          <w:bCs w:val="0"/>
          <w:sz w:val="20"/>
          <w:szCs w:val="20"/>
        </w:rPr>
        <w:t xml:space="preserve">), </w:t>
      </w:r>
      <w:proofErr w:type="spellStart"/>
      <w:r w:rsidRPr="00822656">
        <w:rPr>
          <w:rFonts w:ascii="Verdana" w:eastAsia="Verdana" w:hAnsi="Verdana" w:cs="Verdana"/>
          <w:b w:val="0"/>
          <w:bCs w:val="0"/>
          <w:i/>
          <w:sz w:val="20"/>
          <w:szCs w:val="20"/>
        </w:rPr>
        <w:t>phaR</w:t>
      </w:r>
      <w:proofErr w:type="spellEnd"/>
      <w:r w:rsidRPr="00822656">
        <w:rPr>
          <w:rFonts w:ascii="Verdana" w:eastAsia="Verdana" w:hAnsi="Verdana" w:cs="Verdana"/>
          <w:b w:val="0"/>
          <w:bCs w:val="0"/>
          <w:sz w:val="20"/>
          <w:szCs w:val="20"/>
        </w:rPr>
        <w:t>::Tn5-Km</w:t>
      </w:r>
      <w:r w:rsidRPr="00822656">
        <w:rPr>
          <w:rFonts w:ascii="Verdana" w:eastAsia="Verdana" w:hAnsi="Verdana" w:cs="Verdana"/>
          <w:b w:val="0"/>
          <w:bCs w:val="0"/>
          <w:sz w:val="20"/>
          <w:szCs w:val="20"/>
          <w:vertAlign w:val="superscript"/>
        </w:rPr>
        <w:t xml:space="preserve">R </w:t>
      </w:r>
      <w:r w:rsidRPr="00822656">
        <w:rPr>
          <w:rFonts w:ascii="Verdana" w:eastAsia="Verdana" w:hAnsi="Verdana" w:cs="Verdana"/>
          <w:b w:val="0"/>
          <w:bCs w:val="0"/>
          <w:sz w:val="20"/>
          <w:szCs w:val="20"/>
        </w:rPr>
        <w:t>(</w:t>
      </w:r>
      <w:proofErr w:type="spellStart"/>
      <w:r w:rsidRPr="00822656">
        <w:rPr>
          <w:rFonts w:ascii="Verdana" w:eastAsia="Verdana" w:hAnsi="Verdana" w:cs="Verdana"/>
          <w:b w:val="0"/>
          <w:bCs w:val="0"/>
          <w:i/>
          <w:sz w:val="20"/>
          <w:szCs w:val="20"/>
        </w:rPr>
        <w:t>phaR</w:t>
      </w:r>
      <w:proofErr w:type="spellEnd"/>
      <w:r w:rsidRPr="00822656">
        <w:rPr>
          <w:rFonts w:ascii="Verdana" w:eastAsia="Verdana" w:hAnsi="Verdana" w:cs="Verdana"/>
          <w:b w:val="0"/>
          <w:bCs w:val="0"/>
          <w:i/>
          <w:sz w:val="20"/>
          <w:szCs w:val="20"/>
          <w:vertAlign w:val="superscript"/>
        </w:rPr>
        <w:t>-</w:t>
      </w:r>
      <w:r w:rsidRPr="00822656">
        <w:rPr>
          <w:rFonts w:ascii="Verdana" w:eastAsia="Verdana" w:hAnsi="Verdana" w:cs="Verdana"/>
          <w:b w:val="0"/>
          <w:bCs w:val="0"/>
          <w:sz w:val="20"/>
          <w:szCs w:val="20"/>
        </w:rPr>
        <w:t xml:space="preserve">), </w:t>
      </w:r>
      <w:proofErr w:type="spellStart"/>
      <w:r w:rsidRPr="00822656">
        <w:rPr>
          <w:rFonts w:ascii="Verdana" w:eastAsia="Verdana" w:hAnsi="Verdana" w:cs="Verdana"/>
          <w:b w:val="0"/>
          <w:bCs w:val="0"/>
          <w:i/>
          <w:sz w:val="20"/>
          <w:szCs w:val="20"/>
        </w:rPr>
        <w:t>phaI</w:t>
      </w:r>
      <w:proofErr w:type="spellEnd"/>
      <w:r w:rsidRPr="00822656">
        <w:rPr>
          <w:rFonts w:ascii="Verdana" w:eastAsia="Verdana" w:hAnsi="Verdana" w:cs="Verdana"/>
          <w:b w:val="0"/>
          <w:bCs w:val="0"/>
          <w:sz w:val="20"/>
          <w:szCs w:val="20"/>
        </w:rPr>
        <w:t>::</w:t>
      </w:r>
      <w:proofErr w:type="spellStart"/>
      <w:r w:rsidRPr="00822656">
        <w:rPr>
          <w:rFonts w:ascii="Verdana" w:eastAsia="Verdana" w:hAnsi="Verdana" w:cs="Verdana"/>
          <w:b w:val="0"/>
          <w:bCs w:val="0"/>
          <w:sz w:val="20"/>
          <w:szCs w:val="20"/>
        </w:rPr>
        <w:t>pKNOCK</w:t>
      </w:r>
      <w:proofErr w:type="spellEnd"/>
      <w:r w:rsidRPr="00822656">
        <w:rPr>
          <w:rFonts w:ascii="Verdana" w:eastAsia="Verdana" w:hAnsi="Verdana" w:cs="Verdana"/>
          <w:b w:val="0"/>
          <w:bCs w:val="0"/>
          <w:sz w:val="20"/>
          <w:szCs w:val="20"/>
        </w:rPr>
        <w:t xml:space="preserve"> (</w:t>
      </w:r>
      <w:proofErr w:type="spellStart"/>
      <w:r w:rsidRPr="00822656">
        <w:rPr>
          <w:rFonts w:ascii="Verdana" w:eastAsia="Verdana" w:hAnsi="Verdana" w:cs="Verdana"/>
          <w:b w:val="0"/>
          <w:bCs w:val="0"/>
          <w:i/>
          <w:sz w:val="20"/>
          <w:szCs w:val="20"/>
        </w:rPr>
        <w:t>phaI</w:t>
      </w:r>
      <w:proofErr w:type="spellEnd"/>
      <w:r w:rsidRPr="00822656">
        <w:rPr>
          <w:rFonts w:ascii="Verdana" w:eastAsia="Verdana" w:hAnsi="Verdana" w:cs="Verdana"/>
          <w:b w:val="0"/>
          <w:bCs w:val="0"/>
          <w:i/>
          <w:sz w:val="20"/>
          <w:szCs w:val="20"/>
          <w:vertAlign w:val="superscript"/>
        </w:rPr>
        <w:t>-</w:t>
      </w:r>
      <w:r w:rsidRPr="00822656">
        <w:rPr>
          <w:rFonts w:ascii="Verdana" w:eastAsia="Verdana" w:hAnsi="Verdana" w:cs="Verdana"/>
          <w:b w:val="0"/>
          <w:bCs w:val="0"/>
          <w:sz w:val="20"/>
          <w:szCs w:val="20"/>
        </w:rPr>
        <w:t xml:space="preserve">), </w:t>
      </w:r>
      <w:proofErr w:type="spellStart"/>
      <w:r w:rsidRPr="00822656">
        <w:rPr>
          <w:rFonts w:ascii="Verdana" w:eastAsia="Verdana" w:hAnsi="Verdana" w:cs="Verdana"/>
          <w:b w:val="0"/>
          <w:bCs w:val="0"/>
          <w:i/>
          <w:sz w:val="20"/>
          <w:szCs w:val="20"/>
        </w:rPr>
        <w:t>igiD</w:t>
      </w:r>
      <w:proofErr w:type="spellEnd"/>
      <w:r w:rsidRPr="00822656">
        <w:rPr>
          <w:rFonts w:ascii="Verdana" w:eastAsia="Verdana" w:hAnsi="Verdana" w:cs="Verdana"/>
          <w:b w:val="0"/>
          <w:bCs w:val="0"/>
          <w:sz w:val="20"/>
          <w:szCs w:val="20"/>
        </w:rPr>
        <w:t>::Tn5-Km</w:t>
      </w:r>
      <w:r w:rsidRPr="00822656">
        <w:rPr>
          <w:rFonts w:ascii="Verdana" w:eastAsia="Verdana" w:hAnsi="Verdana" w:cs="Verdana"/>
          <w:b w:val="0"/>
          <w:bCs w:val="0"/>
          <w:sz w:val="20"/>
          <w:szCs w:val="20"/>
          <w:vertAlign w:val="superscript"/>
        </w:rPr>
        <w:t xml:space="preserve">R </w:t>
      </w:r>
      <w:r w:rsidRPr="00822656">
        <w:rPr>
          <w:rFonts w:ascii="Verdana" w:eastAsia="Verdana" w:hAnsi="Verdana" w:cs="Verdana"/>
          <w:b w:val="0"/>
          <w:bCs w:val="0"/>
          <w:sz w:val="20"/>
          <w:szCs w:val="20"/>
        </w:rPr>
        <w:t>(</w:t>
      </w:r>
      <w:proofErr w:type="spellStart"/>
      <w:r w:rsidRPr="00822656">
        <w:rPr>
          <w:rFonts w:ascii="Verdana" w:eastAsia="Verdana" w:hAnsi="Verdana" w:cs="Verdana"/>
          <w:b w:val="0"/>
          <w:bCs w:val="0"/>
          <w:i/>
          <w:sz w:val="20"/>
          <w:szCs w:val="20"/>
        </w:rPr>
        <w:t>igiD</w:t>
      </w:r>
      <w:proofErr w:type="spellEnd"/>
      <w:r w:rsidRPr="00822656">
        <w:rPr>
          <w:rFonts w:ascii="Verdana" w:eastAsia="Verdana" w:hAnsi="Verdana" w:cs="Verdana"/>
          <w:b w:val="0"/>
          <w:bCs w:val="0"/>
          <w:i/>
          <w:sz w:val="20"/>
          <w:szCs w:val="20"/>
          <w:vertAlign w:val="superscript"/>
        </w:rPr>
        <w:t>-</w:t>
      </w:r>
      <w:r w:rsidRPr="00822656">
        <w:rPr>
          <w:rFonts w:ascii="Verdana" w:eastAsia="Verdana" w:hAnsi="Verdana" w:cs="Verdana"/>
          <w:b w:val="0"/>
          <w:bCs w:val="0"/>
          <w:sz w:val="20"/>
          <w:szCs w:val="20"/>
        </w:rPr>
        <w:t>)]</w:t>
      </w:r>
      <w:r w:rsidR="00254509" w:rsidRPr="00822656">
        <w:rPr>
          <w:rFonts w:ascii="Verdana" w:eastAsia="Verdana" w:hAnsi="Verdana" w:cs="Verdana"/>
          <w:b w:val="0"/>
          <w:bCs w:val="0"/>
          <w:sz w:val="20"/>
          <w:szCs w:val="20"/>
        </w:rPr>
        <w:t>. Each data point (black dots) was collected by quantifying biomass production using a standard crystal violet assay for at least 6 replicates for mixed and monocultures. Error bars represent the standard error of the mean. Gray dotted line represents biomass production of the best biofilm former in monoculture, red dotted line indicates biomass production of the worst biofilm former in monoculture at that time point. Asterisks represent statistical significance between cultures (p &lt; 0.05 [*], 0.01 [**]). ANOVA table of significance can be found in Supplemental Table 2.</w:t>
      </w:r>
      <w:bookmarkEnd w:id="58"/>
      <w:r w:rsidR="00254509" w:rsidRPr="00822656">
        <w:rPr>
          <w:rFonts w:ascii="Verdana" w:eastAsia="Verdana" w:hAnsi="Verdana" w:cs="Verdana"/>
          <w:b w:val="0"/>
          <w:bCs w:val="0"/>
          <w:sz w:val="20"/>
          <w:szCs w:val="20"/>
        </w:rPr>
        <w:t xml:space="preserve"> </w:t>
      </w:r>
    </w:p>
    <w:p w14:paraId="737F08D7" w14:textId="77777777" w:rsidR="004C2071" w:rsidRPr="00C51113" w:rsidRDefault="004C2071" w:rsidP="00677C01">
      <w:pPr>
        <w:spacing w:before="240"/>
        <w:jc w:val="both"/>
        <w:rPr>
          <w:rFonts w:ascii="Verdana" w:hAnsi="Verdana" w:cs="Times New Roman"/>
          <w:sz w:val="18"/>
          <w:szCs w:val="18"/>
        </w:rPr>
      </w:pPr>
    </w:p>
    <w:p w14:paraId="647BE2DA" w14:textId="77777777" w:rsidR="00DA1ED7" w:rsidRDefault="00DA1ED7" w:rsidP="00677C01">
      <w:pPr>
        <w:spacing w:before="240"/>
        <w:rPr>
          <w:rFonts w:ascii="Verdana" w:hAnsi="Verdana" w:cs="Times New Roman"/>
          <w:b/>
          <w:bCs/>
          <w:iCs/>
          <w:sz w:val="18"/>
          <w:szCs w:val="18"/>
        </w:rPr>
      </w:pPr>
      <w:r>
        <w:rPr>
          <w:rFonts w:ascii="Verdana" w:hAnsi="Verdana" w:cs="Times New Roman"/>
          <w:sz w:val="18"/>
          <w:szCs w:val="18"/>
        </w:rPr>
        <w:br w:type="page"/>
      </w:r>
    </w:p>
    <w:p w14:paraId="5A1DC2C8" w14:textId="55A125EC" w:rsidR="00DA1ED7" w:rsidRPr="00822656" w:rsidRDefault="00DA1ED7" w:rsidP="001A7D05">
      <w:pPr>
        <w:pStyle w:val="Heading2"/>
        <w:numPr>
          <w:ilvl w:val="0"/>
          <w:numId w:val="0"/>
        </w:numPr>
        <w:rPr>
          <w:rFonts w:ascii="Verdana" w:hAnsi="Verdana" w:cs="Times New Roman"/>
          <w:sz w:val="24"/>
          <w:szCs w:val="24"/>
        </w:rPr>
      </w:pPr>
      <w:bookmarkStart w:id="59" w:name="_Toc83382611"/>
      <w:r w:rsidRPr="00822656">
        <w:rPr>
          <w:rFonts w:ascii="Verdana" w:hAnsi="Verdana" w:cs="Times New Roman"/>
          <w:sz w:val="24"/>
          <w:szCs w:val="24"/>
        </w:rPr>
        <w:lastRenderedPageBreak/>
        <w:t>Appendix: Supplemental Materials</w:t>
      </w:r>
      <w:bookmarkEnd w:id="59"/>
    </w:p>
    <w:p w14:paraId="2238BCF5" w14:textId="06462937" w:rsidR="0010187B" w:rsidRDefault="0010187B" w:rsidP="00677C01">
      <w:pPr>
        <w:spacing w:before="240"/>
        <w:rPr>
          <w:rFonts w:ascii="Verdana" w:hAnsi="Verdana"/>
          <w:sz w:val="18"/>
          <w:szCs w:val="18"/>
        </w:rPr>
      </w:pPr>
    </w:p>
    <w:p w14:paraId="4CA7C752" w14:textId="26A531BD" w:rsidR="00FC71DA" w:rsidRPr="00FC71DA" w:rsidRDefault="00C0207D" w:rsidP="00677C01">
      <w:pPr>
        <w:spacing w:before="240"/>
        <w:rPr>
          <w:rFonts w:ascii="Verdana" w:hAnsi="Verdana"/>
          <w:sz w:val="20"/>
          <w:szCs w:val="20"/>
        </w:rPr>
      </w:pPr>
      <w:r>
        <w:rPr>
          <w:rFonts w:ascii="Verdana" w:hAnsi="Verdana"/>
          <w:sz w:val="20"/>
          <w:szCs w:val="20"/>
        </w:rPr>
        <w:t xml:space="preserve">For brevity, the </w:t>
      </w:r>
      <w:r w:rsidR="003D20F0">
        <w:rPr>
          <w:rFonts w:ascii="Verdana" w:hAnsi="Verdana"/>
          <w:sz w:val="20"/>
          <w:szCs w:val="20"/>
        </w:rPr>
        <w:t>extensive</w:t>
      </w:r>
      <w:r>
        <w:rPr>
          <w:rFonts w:ascii="Verdana" w:hAnsi="Verdana"/>
          <w:sz w:val="20"/>
          <w:szCs w:val="20"/>
        </w:rPr>
        <w:t xml:space="preserve"> supplemental materials </w:t>
      </w:r>
      <w:r w:rsidR="003D20F0">
        <w:rPr>
          <w:rFonts w:ascii="Verdana" w:hAnsi="Verdana"/>
          <w:sz w:val="20"/>
          <w:szCs w:val="20"/>
        </w:rPr>
        <w:t>for</w:t>
      </w:r>
      <w:r>
        <w:rPr>
          <w:rFonts w:ascii="Verdana" w:hAnsi="Verdana"/>
          <w:sz w:val="20"/>
          <w:szCs w:val="20"/>
        </w:rPr>
        <w:t xml:space="preserve"> this chapter </w:t>
      </w:r>
      <w:r w:rsidR="003D20F0">
        <w:rPr>
          <w:rFonts w:ascii="Verdana" w:hAnsi="Verdana"/>
          <w:sz w:val="20"/>
          <w:szCs w:val="20"/>
        </w:rPr>
        <w:t>are not included in this document</w:t>
      </w:r>
      <w:r>
        <w:rPr>
          <w:rFonts w:ascii="Verdana" w:hAnsi="Verdana"/>
          <w:sz w:val="20"/>
          <w:szCs w:val="20"/>
        </w:rPr>
        <w:t>, please refer to [Insert link]</w:t>
      </w:r>
      <w:r w:rsidR="003D20F0">
        <w:rPr>
          <w:rFonts w:ascii="Verdana" w:hAnsi="Verdana"/>
          <w:sz w:val="20"/>
          <w:szCs w:val="20"/>
        </w:rPr>
        <w:t xml:space="preserve">. </w:t>
      </w:r>
    </w:p>
    <w:p w14:paraId="7F89F746" w14:textId="0F1B18B0" w:rsidR="00FC71DA" w:rsidRPr="00FC71DA" w:rsidRDefault="00FC71DA" w:rsidP="00677C01">
      <w:pPr>
        <w:spacing w:before="240"/>
        <w:rPr>
          <w:rFonts w:ascii="Verdana" w:hAnsi="Verdana"/>
          <w:sz w:val="18"/>
          <w:szCs w:val="18"/>
        </w:rPr>
      </w:pPr>
    </w:p>
    <w:p w14:paraId="4A92BF92" w14:textId="271BF64B" w:rsidR="0092091F" w:rsidRPr="004B03EC" w:rsidRDefault="004C2071" w:rsidP="00677C01">
      <w:pPr>
        <w:pStyle w:val="Heading1"/>
        <w:spacing w:before="240"/>
        <w:rPr>
          <w:rFonts w:ascii="Verdana" w:hAnsi="Verdana" w:cs="Times New Roman"/>
          <w:szCs w:val="28"/>
        </w:rPr>
      </w:pPr>
      <w:r w:rsidRPr="00C51113">
        <w:rPr>
          <w:rFonts w:ascii="Verdana" w:hAnsi="Verdana" w:cs="Times New Roman"/>
          <w:sz w:val="18"/>
          <w:szCs w:val="18"/>
        </w:rPr>
        <w:br w:type="page"/>
      </w:r>
      <w:bookmarkStart w:id="60" w:name="_Toc83382612"/>
      <w:r w:rsidR="0092091F" w:rsidRPr="004B03EC">
        <w:rPr>
          <w:rFonts w:ascii="Verdana" w:hAnsi="Verdana" w:cs="Times New Roman"/>
          <w:szCs w:val="28"/>
        </w:rPr>
        <w:lastRenderedPageBreak/>
        <w:t>: Quorum Sensing in Roseobacters: Clade specific Roseobox identifies genes regulated by quorum sensing.</w:t>
      </w:r>
      <w:bookmarkEnd w:id="60"/>
      <w:r w:rsidR="0092091F" w:rsidRPr="004B03EC">
        <w:rPr>
          <w:rFonts w:ascii="Verdana" w:hAnsi="Verdana" w:cs="Times New Roman"/>
          <w:szCs w:val="28"/>
        </w:rPr>
        <w:br/>
      </w:r>
    </w:p>
    <w:p w14:paraId="7ACC242B" w14:textId="5ABA1A0A" w:rsidR="0092091F" w:rsidRPr="00565E6B" w:rsidRDefault="0092091F" w:rsidP="00565E6B">
      <w:pPr>
        <w:spacing w:before="240"/>
        <w:jc w:val="both"/>
        <w:rPr>
          <w:rFonts w:ascii="Verdana" w:hAnsi="Verdana" w:cs="Times New Roman"/>
          <w:sz w:val="20"/>
          <w:szCs w:val="20"/>
        </w:rPr>
      </w:pPr>
      <w:r w:rsidRPr="00C51113">
        <w:rPr>
          <w:rFonts w:ascii="Verdana" w:hAnsi="Verdana" w:cs="Times New Roman"/>
          <w:sz w:val="18"/>
          <w:szCs w:val="18"/>
        </w:rPr>
        <w:br w:type="page"/>
      </w:r>
    </w:p>
    <w:p w14:paraId="0494878D" w14:textId="77777777" w:rsidR="0092091F" w:rsidRPr="00565E6B" w:rsidRDefault="0092091F" w:rsidP="00565E6B">
      <w:pPr>
        <w:spacing w:before="240"/>
        <w:jc w:val="both"/>
        <w:rPr>
          <w:rFonts w:ascii="Verdana" w:hAnsi="Verdana" w:cs="Times New Roman"/>
          <w:sz w:val="20"/>
          <w:szCs w:val="20"/>
        </w:rPr>
      </w:pPr>
      <w:r w:rsidRPr="00565E6B">
        <w:rPr>
          <w:rFonts w:ascii="Verdana" w:hAnsi="Verdana" w:cs="Times New Roman"/>
          <w:sz w:val="20"/>
          <w:szCs w:val="20"/>
        </w:rPr>
        <w:lastRenderedPageBreak/>
        <w:tab/>
      </w:r>
    </w:p>
    <w:p w14:paraId="6EE3D812" w14:textId="77777777" w:rsidR="00565E6B" w:rsidRPr="00565E6B" w:rsidRDefault="00565E6B" w:rsidP="00565E6B">
      <w:pPr>
        <w:jc w:val="both"/>
        <w:rPr>
          <w:rFonts w:ascii="Verdana" w:hAnsi="Verdana"/>
          <w:sz w:val="20"/>
          <w:szCs w:val="20"/>
        </w:rPr>
        <w:sectPr w:rsidR="00565E6B" w:rsidRPr="00565E6B">
          <w:footerReference w:type="default" r:id="rId25"/>
          <w:pgSz w:w="12240" w:h="15840"/>
          <w:pgMar w:top="1440" w:right="1440" w:bottom="1440" w:left="1440" w:header="720" w:footer="720" w:gutter="0"/>
          <w:cols w:space="720"/>
          <w:docGrid w:linePitch="360"/>
        </w:sectPr>
      </w:pPr>
      <w:r w:rsidRPr="00565E6B">
        <w:rPr>
          <w:rFonts w:ascii="Verdana" w:hAnsi="Verdana"/>
          <w:sz w:val="20"/>
          <w:szCs w:val="20"/>
        </w:rPr>
        <w:t xml:space="preserve">A.C.A and T. R. designed the bioinformatic workflow, performed analysis, and wrote the manuscript. Specifically, A.C.A retrieved the sequences, utilized MSA and phylogenetic relatedness to narrow the sequences. T.R. generated motifs, modeled the motif to increase confidence, ran motifs against individual genomes. A.C.A. and T.R. analyzed the results and wrote the manuscript. A.B. edited the manuscript. All authors contributed equally to this project. </w:t>
      </w:r>
    </w:p>
    <w:p w14:paraId="5120DE80" w14:textId="77777777" w:rsidR="0092091F" w:rsidRPr="00C51113" w:rsidRDefault="0092091F" w:rsidP="00677C01">
      <w:pPr>
        <w:spacing w:before="240"/>
        <w:jc w:val="both"/>
        <w:rPr>
          <w:rFonts w:ascii="Verdana" w:hAnsi="Verdana" w:cs="Times New Roman"/>
          <w:sz w:val="18"/>
          <w:szCs w:val="18"/>
        </w:rPr>
      </w:pPr>
    </w:p>
    <w:p w14:paraId="4EF1B92A" w14:textId="77777777" w:rsidR="0092091F" w:rsidRPr="00C51113" w:rsidRDefault="0092091F" w:rsidP="00677C01">
      <w:pPr>
        <w:spacing w:before="240"/>
        <w:jc w:val="both"/>
        <w:rPr>
          <w:rFonts w:ascii="Verdana" w:hAnsi="Verdana" w:cs="Times New Roman"/>
          <w:sz w:val="18"/>
          <w:szCs w:val="18"/>
        </w:rPr>
      </w:pPr>
    </w:p>
    <w:p w14:paraId="2A596EEE" w14:textId="64A10B23" w:rsidR="0092091F" w:rsidRPr="004B03EC" w:rsidRDefault="0092091F" w:rsidP="004B03EC">
      <w:pPr>
        <w:pStyle w:val="Heading2"/>
        <w:numPr>
          <w:ilvl w:val="0"/>
          <w:numId w:val="9"/>
        </w:numPr>
        <w:ind w:left="720"/>
        <w:jc w:val="left"/>
        <w:rPr>
          <w:rFonts w:ascii="Verdana" w:hAnsi="Verdana" w:cs="Times New Roman"/>
          <w:sz w:val="24"/>
          <w:szCs w:val="24"/>
        </w:rPr>
      </w:pPr>
      <w:bookmarkStart w:id="61" w:name="_Toc83382613"/>
      <w:r w:rsidRPr="004B03EC">
        <w:rPr>
          <w:rFonts w:ascii="Verdana" w:hAnsi="Verdana" w:cs="Times New Roman"/>
          <w:sz w:val="24"/>
          <w:szCs w:val="24"/>
        </w:rPr>
        <w:t>Abstract</w:t>
      </w:r>
      <w:bookmarkEnd w:id="61"/>
    </w:p>
    <w:p w14:paraId="039EBD1C" w14:textId="77777777" w:rsidR="0092091F" w:rsidRPr="004B03EC" w:rsidRDefault="0092091F" w:rsidP="004B03EC">
      <w:pPr>
        <w:spacing w:before="240"/>
        <w:rPr>
          <w:rFonts w:ascii="Verdana" w:hAnsi="Verdana" w:cs="Times New Roman"/>
        </w:rPr>
      </w:pPr>
    </w:p>
    <w:p w14:paraId="7BC99E74" w14:textId="77777777" w:rsidR="0092091F" w:rsidRPr="004B03EC" w:rsidRDefault="0092091F" w:rsidP="004B03EC">
      <w:pPr>
        <w:spacing w:before="240"/>
        <w:rPr>
          <w:rFonts w:ascii="Verdana" w:hAnsi="Verdana" w:cs="Times New Roman"/>
          <w:b/>
          <w:bCs/>
          <w:iCs/>
        </w:rPr>
      </w:pPr>
      <w:r w:rsidRPr="004B03EC">
        <w:rPr>
          <w:rFonts w:ascii="Verdana" w:hAnsi="Verdana" w:cs="Times New Roman"/>
        </w:rPr>
        <w:br w:type="page"/>
      </w:r>
    </w:p>
    <w:p w14:paraId="00D0CCB1" w14:textId="3BCE55B0" w:rsidR="0092091F" w:rsidRPr="004B03EC" w:rsidRDefault="0092091F" w:rsidP="004B03EC">
      <w:pPr>
        <w:pStyle w:val="Heading2"/>
        <w:numPr>
          <w:ilvl w:val="0"/>
          <w:numId w:val="9"/>
        </w:numPr>
        <w:ind w:left="720"/>
        <w:jc w:val="left"/>
        <w:rPr>
          <w:rFonts w:ascii="Verdana" w:hAnsi="Verdana" w:cs="Times New Roman"/>
          <w:sz w:val="24"/>
          <w:szCs w:val="24"/>
        </w:rPr>
      </w:pPr>
      <w:bookmarkStart w:id="62" w:name="_Toc83382614"/>
      <w:r w:rsidRPr="004B03EC">
        <w:rPr>
          <w:rFonts w:ascii="Verdana" w:hAnsi="Verdana" w:cs="Times New Roman"/>
          <w:sz w:val="24"/>
          <w:szCs w:val="24"/>
        </w:rPr>
        <w:lastRenderedPageBreak/>
        <w:t>Introduction</w:t>
      </w:r>
      <w:bookmarkEnd w:id="62"/>
    </w:p>
    <w:p w14:paraId="59FB8351" w14:textId="17CC3C3B" w:rsidR="005804FC" w:rsidRPr="004B03EC" w:rsidRDefault="005804FC" w:rsidP="004B03EC">
      <w:pPr>
        <w:spacing w:before="240"/>
        <w:rPr>
          <w:rFonts w:ascii="Verdana" w:hAnsi="Verdana" w:cs="Times New Roman"/>
        </w:rPr>
      </w:pPr>
    </w:p>
    <w:p w14:paraId="5BB8E99B" w14:textId="77777777" w:rsidR="00E61BB1" w:rsidRPr="00E61BB1" w:rsidRDefault="00E61BB1" w:rsidP="00E61BB1">
      <w:pPr>
        <w:pStyle w:val="ListParagraph"/>
        <w:ind w:left="0" w:firstLine="720"/>
        <w:jc w:val="both"/>
        <w:rPr>
          <w:rFonts w:ascii="Verdana" w:hAnsi="Verdana"/>
          <w:sz w:val="20"/>
          <w:szCs w:val="20"/>
        </w:rPr>
      </w:pPr>
      <w:r w:rsidRPr="00E61BB1">
        <w:rPr>
          <w:rFonts w:ascii="Verdana" w:hAnsi="Verdana"/>
          <w:sz w:val="20"/>
          <w:szCs w:val="20"/>
        </w:rPr>
        <w:t>Bacterial cell-to-cell communication regulates essential behaviors: from monitoring environmental conditions to regulating social behaviors (CITE). This type of cell-to-cell communication is often referred to as quorum sensing (QS) as it often depends on the concentration of small, diffusible signaling molecules to elicit quorum, or population, level responses. Acylhomoserine lactones (AHL)-based quorum sensing in Gram negative bacteria typically involves a two-component regulatory system. AHL synthases (</w:t>
      </w:r>
      <w:proofErr w:type="spellStart"/>
      <w:r w:rsidRPr="00E61BB1">
        <w:rPr>
          <w:rFonts w:ascii="Verdana" w:hAnsi="Verdana"/>
          <w:sz w:val="20"/>
          <w:szCs w:val="20"/>
        </w:rPr>
        <w:t>LuxI</w:t>
      </w:r>
      <w:proofErr w:type="spellEnd"/>
      <w:r w:rsidRPr="00E61BB1">
        <w:rPr>
          <w:rFonts w:ascii="Verdana" w:hAnsi="Verdana"/>
          <w:sz w:val="20"/>
          <w:szCs w:val="20"/>
        </w:rPr>
        <w:t xml:space="preserve"> homologs) produce the signaling molecules which then binds to transcriptional regulators, belonging to the </w:t>
      </w:r>
      <w:proofErr w:type="spellStart"/>
      <w:r w:rsidRPr="00E61BB1">
        <w:rPr>
          <w:rFonts w:ascii="Verdana" w:hAnsi="Verdana"/>
          <w:sz w:val="20"/>
          <w:szCs w:val="20"/>
        </w:rPr>
        <w:t>LuxR</w:t>
      </w:r>
      <w:proofErr w:type="spellEnd"/>
      <w:r w:rsidRPr="00E61BB1">
        <w:rPr>
          <w:rFonts w:ascii="Verdana" w:hAnsi="Verdana"/>
          <w:sz w:val="20"/>
          <w:szCs w:val="20"/>
        </w:rPr>
        <w:t xml:space="preserve"> family of transcriptional regulators. Once bound to its cognate AHL, the </w:t>
      </w:r>
      <w:proofErr w:type="spellStart"/>
      <w:r w:rsidRPr="00E61BB1">
        <w:rPr>
          <w:rFonts w:ascii="Verdana" w:hAnsi="Verdana"/>
          <w:sz w:val="20"/>
          <w:szCs w:val="20"/>
        </w:rPr>
        <w:t>LuxR</w:t>
      </w:r>
      <w:proofErr w:type="spellEnd"/>
      <w:r w:rsidRPr="00E61BB1">
        <w:rPr>
          <w:rFonts w:ascii="Verdana" w:hAnsi="Verdana"/>
          <w:sz w:val="20"/>
          <w:szCs w:val="20"/>
        </w:rPr>
        <w:t>-AHL protein complex binds to a regulatory DNA sequence, often overlapping the sigma 70 promoter region (</w:t>
      </w:r>
      <w:proofErr w:type="spellStart"/>
      <w:r w:rsidRPr="00E61BB1">
        <w:rPr>
          <w:rFonts w:ascii="Verdana" w:hAnsi="Verdana"/>
          <w:sz w:val="20"/>
          <w:szCs w:val="20"/>
        </w:rPr>
        <w:t>Bassler</w:t>
      </w:r>
      <w:proofErr w:type="spellEnd"/>
      <w:r w:rsidRPr="00E61BB1">
        <w:rPr>
          <w:rFonts w:ascii="Verdana" w:hAnsi="Verdana"/>
          <w:sz w:val="20"/>
          <w:szCs w:val="20"/>
        </w:rPr>
        <w:t xml:space="preserve">, 1999; Miller and </w:t>
      </w:r>
      <w:proofErr w:type="spellStart"/>
      <w:r w:rsidRPr="00E61BB1">
        <w:rPr>
          <w:rFonts w:ascii="Verdana" w:hAnsi="Verdana"/>
          <w:sz w:val="20"/>
          <w:szCs w:val="20"/>
        </w:rPr>
        <w:t>Bassler</w:t>
      </w:r>
      <w:proofErr w:type="spellEnd"/>
      <w:r w:rsidRPr="00E61BB1">
        <w:rPr>
          <w:rFonts w:ascii="Verdana" w:hAnsi="Verdana"/>
          <w:sz w:val="20"/>
          <w:szCs w:val="20"/>
        </w:rPr>
        <w:t xml:space="preserve">, 2001; </w:t>
      </w:r>
      <w:proofErr w:type="spellStart"/>
      <w:r w:rsidRPr="00E61BB1">
        <w:rPr>
          <w:rFonts w:ascii="Verdana" w:hAnsi="Verdana"/>
          <w:sz w:val="20"/>
          <w:szCs w:val="20"/>
        </w:rPr>
        <w:t>Schauder</w:t>
      </w:r>
      <w:proofErr w:type="spellEnd"/>
      <w:r w:rsidRPr="00E61BB1">
        <w:rPr>
          <w:rFonts w:ascii="Verdana" w:hAnsi="Verdana"/>
          <w:sz w:val="20"/>
          <w:szCs w:val="20"/>
        </w:rPr>
        <w:t xml:space="preserve"> and </w:t>
      </w:r>
      <w:proofErr w:type="spellStart"/>
      <w:r w:rsidRPr="00E61BB1">
        <w:rPr>
          <w:rFonts w:ascii="Verdana" w:hAnsi="Verdana"/>
          <w:sz w:val="20"/>
          <w:szCs w:val="20"/>
        </w:rPr>
        <w:t>Bassler</w:t>
      </w:r>
      <w:proofErr w:type="spellEnd"/>
      <w:r w:rsidRPr="00E61BB1">
        <w:rPr>
          <w:rFonts w:ascii="Verdana" w:hAnsi="Verdana"/>
          <w:sz w:val="20"/>
          <w:szCs w:val="20"/>
        </w:rPr>
        <w:t xml:space="preserve">, 2001, England and Greenberg 1997). This regulatory DNA element has been previously termed the “lux box” and was first identified in </w:t>
      </w:r>
      <w:r w:rsidRPr="00E61BB1">
        <w:rPr>
          <w:rFonts w:ascii="Verdana" w:hAnsi="Verdana"/>
          <w:i/>
          <w:iCs/>
          <w:sz w:val="20"/>
          <w:szCs w:val="20"/>
        </w:rPr>
        <w:t xml:space="preserve">Vibrio </w:t>
      </w:r>
      <w:proofErr w:type="spellStart"/>
      <w:r w:rsidRPr="00E61BB1">
        <w:rPr>
          <w:rFonts w:ascii="Verdana" w:hAnsi="Verdana"/>
          <w:i/>
          <w:iCs/>
          <w:sz w:val="20"/>
          <w:szCs w:val="20"/>
        </w:rPr>
        <w:t>fischeri</w:t>
      </w:r>
      <w:proofErr w:type="spellEnd"/>
      <w:r w:rsidRPr="00E61BB1">
        <w:rPr>
          <w:rFonts w:ascii="Verdana" w:hAnsi="Verdana"/>
          <w:sz w:val="20"/>
          <w:szCs w:val="20"/>
        </w:rPr>
        <w:t xml:space="preserve"> (Devine JH, </w:t>
      </w:r>
      <w:proofErr w:type="spellStart"/>
      <w:r w:rsidRPr="00E61BB1">
        <w:rPr>
          <w:rFonts w:ascii="Verdana" w:hAnsi="Verdana"/>
          <w:sz w:val="20"/>
          <w:szCs w:val="20"/>
        </w:rPr>
        <w:t>Shadel</w:t>
      </w:r>
      <w:proofErr w:type="spellEnd"/>
      <w:r w:rsidRPr="00E61BB1">
        <w:rPr>
          <w:rFonts w:ascii="Verdana" w:hAnsi="Verdana"/>
          <w:sz w:val="20"/>
          <w:szCs w:val="20"/>
        </w:rPr>
        <w:t xml:space="preserve"> GS, Baldwin TO. 1989). Identification of the operator of the </w:t>
      </w:r>
      <w:r w:rsidRPr="00E61BB1">
        <w:rPr>
          <w:rFonts w:ascii="Verdana" w:hAnsi="Verdana"/>
          <w:i/>
          <w:sz w:val="20"/>
          <w:szCs w:val="20"/>
        </w:rPr>
        <w:t>lux</w:t>
      </w:r>
      <w:r w:rsidRPr="00E61BB1">
        <w:rPr>
          <w:rFonts w:ascii="Verdana" w:hAnsi="Verdana"/>
          <w:sz w:val="20"/>
          <w:szCs w:val="20"/>
        </w:rPr>
        <w:t xml:space="preserve"> regulon from the </w:t>
      </w:r>
      <w:r w:rsidRPr="00E61BB1">
        <w:rPr>
          <w:rFonts w:ascii="Verdana" w:hAnsi="Verdana"/>
          <w:i/>
          <w:iCs/>
          <w:sz w:val="20"/>
          <w:szCs w:val="20"/>
        </w:rPr>
        <w:t xml:space="preserve">Vibrio </w:t>
      </w:r>
      <w:proofErr w:type="spellStart"/>
      <w:r w:rsidRPr="00E61BB1">
        <w:rPr>
          <w:rFonts w:ascii="Verdana" w:hAnsi="Verdana"/>
          <w:i/>
          <w:iCs/>
          <w:sz w:val="20"/>
          <w:szCs w:val="20"/>
        </w:rPr>
        <w:t>fischeri</w:t>
      </w:r>
      <w:proofErr w:type="spellEnd"/>
      <w:r w:rsidRPr="00E61BB1">
        <w:rPr>
          <w:rFonts w:ascii="Verdana" w:hAnsi="Verdana"/>
          <w:sz w:val="20"/>
          <w:szCs w:val="20"/>
        </w:rPr>
        <w:t xml:space="preserve"> strain ATCC7744. (Proc. Natl. Acad. Sci. USA 86:5688–92).  While AHL-based QS has been well studied in the </w:t>
      </w:r>
      <w:r w:rsidRPr="00E61BB1">
        <w:rPr>
          <w:rFonts w:ascii="Verdana" w:hAnsi="Verdana"/>
          <w:i/>
          <w:iCs/>
          <w:sz w:val="20"/>
          <w:szCs w:val="20"/>
        </w:rPr>
        <w:t xml:space="preserve">V. </w:t>
      </w:r>
      <w:proofErr w:type="spellStart"/>
      <w:r w:rsidRPr="00E61BB1">
        <w:rPr>
          <w:rFonts w:ascii="Verdana" w:hAnsi="Verdana"/>
          <w:i/>
          <w:iCs/>
          <w:sz w:val="20"/>
          <w:szCs w:val="20"/>
        </w:rPr>
        <w:t>fischeri</w:t>
      </w:r>
      <w:proofErr w:type="spellEnd"/>
      <w:r w:rsidRPr="00E61BB1">
        <w:rPr>
          <w:rFonts w:ascii="Verdana" w:hAnsi="Verdana"/>
          <w:sz w:val="20"/>
          <w:szCs w:val="20"/>
        </w:rPr>
        <w:t xml:space="preserve"> model system [as well as human pathogen models such as pseudomonas aeruginosa] relatively little work has been done to characterize QS in marine bacteria outside the </w:t>
      </w:r>
      <w:r w:rsidRPr="00E61BB1">
        <w:rPr>
          <w:rFonts w:ascii="Verdana" w:hAnsi="Verdana"/>
          <w:i/>
          <w:iCs/>
          <w:sz w:val="20"/>
          <w:szCs w:val="20"/>
        </w:rPr>
        <w:t xml:space="preserve">Vibrio </w:t>
      </w:r>
      <w:r w:rsidRPr="00E61BB1">
        <w:rPr>
          <w:rFonts w:ascii="Verdana" w:hAnsi="Verdana"/>
          <w:sz w:val="20"/>
          <w:szCs w:val="20"/>
        </w:rPr>
        <w:t>(these)</w:t>
      </w:r>
      <w:r w:rsidRPr="00E61BB1">
        <w:rPr>
          <w:rFonts w:ascii="Verdana" w:hAnsi="Verdana"/>
          <w:i/>
          <w:iCs/>
          <w:sz w:val="20"/>
          <w:szCs w:val="20"/>
        </w:rPr>
        <w:t xml:space="preserve"> </w:t>
      </w:r>
      <w:r w:rsidRPr="00E61BB1">
        <w:rPr>
          <w:rFonts w:ascii="Verdana" w:hAnsi="Verdana"/>
          <w:sz w:val="20"/>
          <w:szCs w:val="20"/>
        </w:rPr>
        <w:t xml:space="preserve">genera. </w:t>
      </w:r>
    </w:p>
    <w:p w14:paraId="5FE6C044" w14:textId="77777777" w:rsidR="00E61BB1" w:rsidRPr="00E61BB1" w:rsidRDefault="00E61BB1" w:rsidP="00E61BB1">
      <w:pPr>
        <w:pStyle w:val="ListParagraph"/>
        <w:ind w:left="0"/>
        <w:jc w:val="both"/>
        <w:rPr>
          <w:rFonts w:ascii="Verdana" w:hAnsi="Verdana"/>
          <w:sz w:val="20"/>
          <w:szCs w:val="20"/>
        </w:rPr>
      </w:pPr>
    </w:p>
    <w:p w14:paraId="326ACC31" w14:textId="2BD8AD26" w:rsidR="00E61BB1" w:rsidRDefault="00E61BB1" w:rsidP="00E61BB1">
      <w:pPr>
        <w:pStyle w:val="ListParagraph"/>
        <w:ind w:left="0" w:firstLine="720"/>
        <w:jc w:val="both"/>
        <w:rPr>
          <w:rFonts w:ascii="Verdana" w:hAnsi="Verdana"/>
          <w:sz w:val="20"/>
          <w:szCs w:val="20"/>
        </w:rPr>
      </w:pPr>
      <w:r w:rsidRPr="00E61BB1">
        <w:rPr>
          <w:rFonts w:ascii="Verdana" w:hAnsi="Verdana"/>
          <w:sz w:val="20"/>
          <w:szCs w:val="20"/>
        </w:rPr>
        <w:t>A prevalent class of marine heterotrophic Alpha-proteobacteria, known as the Roseobacter Clade, are arguably some of the most ecologically relevant marine microorganisms. Members of the clade can comprise up to 20% of microbial abundance in marine ecosystems. Their contributions to global biogeochemical cycles, such as carbon, sulfur, and phosphorous largely stem from their vast array of diverse metabolisms (Buchan et al. 2005; Wagner-</w:t>
      </w:r>
      <w:proofErr w:type="spellStart"/>
      <w:r w:rsidRPr="00E61BB1">
        <w:rPr>
          <w:rFonts w:ascii="Verdana" w:hAnsi="Verdana"/>
          <w:sz w:val="20"/>
          <w:szCs w:val="20"/>
        </w:rPr>
        <w:t>Dobler</w:t>
      </w:r>
      <w:proofErr w:type="spellEnd"/>
      <w:r w:rsidRPr="00E61BB1">
        <w:rPr>
          <w:rFonts w:ascii="Verdana" w:hAnsi="Verdana"/>
          <w:sz w:val="20"/>
          <w:szCs w:val="20"/>
        </w:rPr>
        <w:t xml:space="preserve"> and </w:t>
      </w:r>
      <w:proofErr w:type="spellStart"/>
      <w:r w:rsidRPr="00E61BB1">
        <w:rPr>
          <w:rFonts w:ascii="Verdana" w:hAnsi="Verdana"/>
          <w:sz w:val="20"/>
          <w:szCs w:val="20"/>
        </w:rPr>
        <w:t>Biebl</w:t>
      </w:r>
      <w:proofErr w:type="spellEnd"/>
      <w:r w:rsidRPr="00E61BB1">
        <w:rPr>
          <w:rFonts w:ascii="Verdana" w:hAnsi="Verdana"/>
          <w:sz w:val="20"/>
          <w:szCs w:val="20"/>
        </w:rPr>
        <w:t xml:space="preserve">, 2006). Many </w:t>
      </w:r>
      <w:proofErr w:type="spellStart"/>
      <w:r w:rsidRPr="00E61BB1">
        <w:rPr>
          <w:rFonts w:ascii="Verdana" w:hAnsi="Verdana"/>
          <w:sz w:val="20"/>
          <w:szCs w:val="20"/>
        </w:rPr>
        <w:t>roseobacter</w:t>
      </w:r>
      <w:proofErr w:type="spellEnd"/>
      <w:r w:rsidRPr="00E61BB1">
        <w:rPr>
          <w:rFonts w:ascii="Verdana" w:hAnsi="Verdana"/>
          <w:sz w:val="20"/>
          <w:szCs w:val="20"/>
        </w:rPr>
        <w:t xml:space="preserve"> physiologies are regulated by QS (cite). Furthermore, we recently demonstrated that QS impacts community composition and dynamics in multi-species biofilms (Armes and Walton, in prep). Thus, understanding the regulatory elements influencing these </w:t>
      </w:r>
      <w:proofErr w:type="spellStart"/>
      <w:r w:rsidRPr="00E61BB1">
        <w:rPr>
          <w:rFonts w:ascii="Verdana" w:hAnsi="Verdana"/>
          <w:sz w:val="20"/>
          <w:szCs w:val="20"/>
        </w:rPr>
        <w:t>roseobacter</w:t>
      </w:r>
      <w:proofErr w:type="spellEnd"/>
      <w:r w:rsidRPr="00E61BB1">
        <w:rPr>
          <w:rFonts w:ascii="Verdana" w:hAnsi="Verdana"/>
          <w:sz w:val="20"/>
          <w:szCs w:val="20"/>
        </w:rPr>
        <w:t xml:space="preserve"> physiology aids in our ability to utilize Roseobacters as model organisms for marine ecology. Recent genomic evidence suggests up to 87% of sequenced </w:t>
      </w:r>
      <w:proofErr w:type="spellStart"/>
      <w:r w:rsidRPr="00E61BB1">
        <w:rPr>
          <w:rFonts w:ascii="Verdana" w:hAnsi="Verdana"/>
          <w:sz w:val="20"/>
          <w:szCs w:val="20"/>
        </w:rPr>
        <w:t>roseobacter</w:t>
      </w:r>
      <w:proofErr w:type="spellEnd"/>
      <w:r w:rsidRPr="00E61BB1">
        <w:rPr>
          <w:rFonts w:ascii="Verdana" w:hAnsi="Verdana"/>
          <w:sz w:val="20"/>
          <w:szCs w:val="20"/>
        </w:rPr>
        <w:t xml:space="preserve"> genomes contain at least one QS systems. Of those, half contain multiple QS systems (Zan 2014). Despite this prevalence for QS in clade members, relatively few strains have been studied with regards to QS. Furthermore, it is not clear whether sufficient genetic conservation of QS loci exists across strains within the clade to facilitate bioinformatic predictions of QS-regulated phenotypes to strains for experimental characterization of QS does not yet exist.</w:t>
      </w:r>
    </w:p>
    <w:p w14:paraId="32774A45" w14:textId="77777777" w:rsidR="00E61BB1" w:rsidRPr="00E61BB1" w:rsidRDefault="00E61BB1" w:rsidP="00E61BB1">
      <w:pPr>
        <w:pStyle w:val="ListParagraph"/>
        <w:ind w:left="0" w:firstLine="720"/>
        <w:jc w:val="both"/>
        <w:rPr>
          <w:rFonts w:ascii="Verdana" w:hAnsi="Verdana"/>
          <w:sz w:val="20"/>
          <w:szCs w:val="20"/>
        </w:rPr>
      </w:pPr>
    </w:p>
    <w:p w14:paraId="41F05B88" w14:textId="77777777" w:rsidR="00E61BB1" w:rsidRDefault="00E61BB1" w:rsidP="00E61BB1">
      <w:pPr>
        <w:pStyle w:val="ListParagraph"/>
        <w:ind w:left="0" w:firstLine="720"/>
        <w:jc w:val="both"/>
        <w:rPr>
          <w:rFonts w:ascii="Verdana" w:hAnsi="Verdana"/>
          <w:sz w:val="20"/>
          <w:szCs w:val="20"/>
        </w:rPr>
      </w:pPr>
      <w:r w:rsidRPr="00E61BB1">
        <w:rPr>
          <w:rFonts w:ascii="Verdana" w:hAnsi="Verdana"/>
          <w:sz w:val="20"/>
          <w:szCs w:val="20"/>
        </w:rPr>
        <w:t xml:space="preserve">The bioinformatic tools available to identify DNA regulatory elements, such as the </w:t>
      </w:r>
      <w:r w:rsidRPr="00E61BB1">
        <w:rPr>
          <w:rFonts w:ascii="Verdana" w:hAnsi="Verdana"/>
          <w:i/>
          <w:sz w:val="20"/>
          <w:szCs w:val="20"/>
        </w:rPr>
        <w:t xml:space="preserve">lux </w:t>
      </w:r>
      <w:r w:rsidRPr="00E61BB1">
        <w:rPr>
          <w:rFonts w:ascii="Verdana" w:hAnsi="Verdana"/>
          <w:sz w:val="20"/>
          <w:szCs w:val="20"/>
        </w:rPr>
        <w:t xml:space="preserve">box, within the Roseobacter clade have proven insufficient. Presumably because they have focused on more phylogenetically distinct </w:t>
      </w:r>
      <w:proofErr w:type="spellStart"/>
      <w:r w:rsidRPr="00E61BB1">
        <w:rPr>
          <w:rFonts w:ascii="Verdana" w:hAnsi="Verdana"/>
          <w:sz w:val="20"/>
          <w:szCs w:val="20"/>
        </w:rPr>
        <w:t>organsims</w:t>
      </w:r>
      <w:proofErr w:type="spellEnd"/>
      <w:r w:rsidRPr="00E61BB1">
        <w:rPr>
          <w:rFonts w:ascii="Verdana" w:hAnsi="Verdana"/>
          <w:sz w:val="20"/>
          <w:szCs w:val="20"/>
        </w:rPr>
        <w:t xml:space="preserve"> (e.g., the Gamma-Proteobacteria </w:t>
      </w:r>
      <w:r w:rsidRPr="00E61BB1">
        <w:rPr>
          <w:rFonts w:ascii="Verdana" w:hAnsi="Verdana"/>
          <w:i/>
          <w:iCs/>
          <w:sz w:val="20"/>
          <w:szCs w:val="20"/>
        </w:rPr>
        <w:t xml:space="preserve">V. </w:t>
      </w:r>
      <w:proofErr w:type="spellStart"/>
      <w:r w:rsidRPr="00E61BB1">
        <w:rPr>
          <w:rFonts w:ascii="Verdana" w:hAnsi="Verdana"/>
          <w:i/>
          <w:iCs/>
          <w:sz w:val="20"/>
          <w:szCs w:val="20"/>
        </w:rPr>
        <w:t>fischeri</w:t>
      </w:r>
      <w:proofErr w:type="spellEnd"/>
      <w:r w:rsidRPr="00E61BB1">
        <w:rPr>
          <w:rFonts w:ascii="Verdana" w:hAnsi="Verdana"/>
          <w:sz w:val="20"/>
          <w:szCs w:val="20"/>
        </w:rPr>
        <w:t xml:space="preserve"> and </w:t>
      </w:r>
      <w:r w:rsidRPr="00E61BB1">
        <w:rPr>
          <w:rFonts w:ascii="Verdana" w:hAnsi="Verdana"/>
          <w:i/>
          <w:iCs/>
          <w:sz w:val="20"/>
          <w:szCs w:val="20"/>
        </w:rPr>
        <w:t xml:space="preserve">Pseudomonas aeruginosa </w:t>
      </w:r>
      <w:r w:rsidRPr="00E61BB1">
        <w:rPr>
          <w:rFonts w:ascii="Verdana" w:hAnsi="Verdana"/>
          <w:sz w:val="20"/>
          <w:szCs w:val="20"/>
        </w:rPr>
        <w:t xml:space="preserve">(cite)). While some conservation within </w:t>
      </w:r>
      <w:proofErr w:type="spellStart"/>
      <w:r w:rsidRPr="00E61BB1">
        <w:rPr>
          <w:rFonts w:ascii="Verdana" w:hAnsi="Verdana"/>
          <w:sz w:val="20"/>
          <w:szCs w:val="20"/>
        </w:rPr>
        <w:t>LuxRI</w:t>
      </w:r>
      <w:proofErr w:type="spellEnd"/>
      <w:r w:rsidRPr="00E61BB1">
        <w:rPr>
          <w:rFonts w:ascii="Verdana" w:hAnsi="Verdana"/>
          <w:sz w:val="20"/>
          <w:szCs w:val="20"/>
        </w:rPr>
        <w:t xml:space="preserve"> homologs spans across Proteobacteria classes, studies have demonstrated that even within similar species, lux box consensus sequences do not full capture all genes regulated by QS (cite). Thus, applying consensus motifs generated for Gamma-proteobacteria is inadequate to identify QS-regulated genes in members of the Roseobacter clade. </w:t>
      </w:r>
    </w:p>
    <w:p w14:paraId="11F84C9C" w14:textId="6BD0BD05" w:rsidR="00E61BB1" w:rsidRPr="00E61BB1" w:rsidRDefault="00E61BB1" w:rsidP="00E61BB1">
      <w:pPr>
        <w:pStyle w:val="ListParagraph"/>
        <w:ind w:left="0" w:firstLine="720"/>
        <w:jc w:val="both"/>
        <w:rPr>
          <w:rFonts w:ascii="Verdana" w:hAnsi="Verdana"/>
          <w:sz w:val="20"/>
          <w:szCs w:val="20"/>
        </w:rPr>
      </w:pPr>
      <w:r w:rsidRPr="00E61BB1">
        <w:rPr>
          <w:rFonts w:ascii="Verdana" w:hAnsi="Verdana"/>
          <w:sz w:val="20"/>
          <w:szCs w:val="20"/>
        </w:rPr>
        <w:lastRenderedPageBreak/>
        <w:t xml:space="preserve">In this study, we employ a bioinformatic approach, that is independent of previous approaches. We applied our </w:t>
      </w:r>
      <w:proofErr w:type="spellStart"/>
      <w:r w:rsidRPr="00E61BB1">
        <w:rPr>
          <w:rFonts w:ascii="Verdana" w:hAnsi="Verdana"/>
          <w:sz w:val="20"/>
          <w:szCs w:val="20"/>
        </w:rPr>
        <w:t>roseo</w:t>
      </w:r>
      <w:proofErr w:type="spellEnd"/>
      <w:r w:rsidRPr="00E61BB1">
        <w:rPr>
          <w:rFonts w:ascii="Verdana" w:hAnsi="Verdana"/>
          <w:sz w:val="20"/>
          <w:szCs w:val="20"/>
        </w:rPr>
        <w:t xml:space="preserve"> box to identify putative genes regulated by QS in the </w:t>
      </w:r>
      <w:proofErr w:type="spellStart"/>
      <w:r w:rsidRPr="00E61BB1">
        <w:rPr>
          <w:rFonts w:ascii="Verdana" w:hAnsi="Verdana"/>
          <w:i/>
          <w:iCs/>
          <w:sz w:val="20"/>
          <w:szCs w:val="20"/>
        </w:rPr>
        <w:t>Phaeobacter</w:t>
      </w:r>
      <w:r w:rsidRPr="00E61BB1">
        <w:rPr>
          <w:rFonts w:ascii="Verdana" w:hAnsi="Verdana"/>
          <w:sz w:val="20"/>
          <w:szCs w:val="20"/>
        </w:rPr>
        <w:t>-</w:t>
      </w:r>
      <w:r w:rsidRPr="00E61BB1">
        <w:rPr>
          <w:rFonts w:ascii="Verdana" w:hAnsi="Verdana"/>
          <w:i/>
          <w:iCs/>
          <w:sz w:val="20"/>
          <w:szCs w:val="20"/>
        </w:rPr>
        <w:t>Leisingera</w:t>
      </w:r>
      <w:proofErr w:type="spellEnd"/>
      <w:r w:rsidRPr="00E61BB1">
        <w:rPr>
          <w:rFonts w:ascii="Verdana" w:hAnsi="Verdana"/>
          <w:i/>
          <w:iCs/>
          <w:sz w:val="20"/>
          <w:szCs w:val="20"/>
        </w:rPr>
        <w:t xml:space="preserve"> </w:t>
      </w:r>
      <w:r w:rsidRPr="00E61BB1">
        <w:rPr>
          <w:rFonts w:ascii="Verdana" w:hAnsi="Verdana"/>
          <w:sz w:val="20"/>
          <w:szCs w:val="20"/>
        </w:rPr>
        <w:t xml:space="preserve">lineages of the Roseobacter clade. </w:t>
      </w:r>
      <w:r w:rsidRPr="00E61BB1">
        <w:rPr>
          <w:rFonts w:ascii="Verdana" w:hAnsi="Verdana" w:cs="Times New Roman"/>
          <w:sz w:val="20"/>
          <w:szCs w:val="20"/>
        </w:rPr>
        <w:t xml:space="preserve">Given the prevalence of QS in members of the Roseobacter clade, their diverse metabolic capabilities, abundance in marine ecosystems, and predilection for colonizing surfaces, we posit QS is a critical regulatory mechanism employed by roseobacters aiding in the </w:t>
      </w:r>
      <w:proofErr w:type="gramStart"/>
      <w:r w:rsidRPr="00E61BB1">
        <w:rPr>
          <w:rFonts w:ascii="Verdana" w:hAnsi="Verdana" w:cs="Times New Roman"/>
          <w:sz w:val="20"/>
          <w:szCs w:val="20"/>
        </w:rPr>
        <w:t>aforementioned processes</w:t>
      </w:r>
      <w:proofErr w:type="gramEnd"/>
      <w:r w:rsidRPr="00E61BB1">
        <w:rPr>
          <w:rFonts w:ascii="Verdana" w:hAnsi="Verdana" w:cs="Times New Roman"/>
          <w:sz w:val="20"/>
          <w:szCs w:val="20"/>
        </w:rPr>
        <w:t xml:space="preserve">. Because the complexity of QS and its role in regulating a variety of behaviors, it is impossible to experimentally characterize the vast network that is QS in this clade. </w:t>
      </w:r>
      <w:r w:rsidRPr="00E61BB1">
        <w:rPr>
          <w:rFonts w:ascii="Verdana" w:hAnsi="Verdana"/>
          <w:sz w:val="20"/>
          <w:szCs w:val="20"/>
        </w:rPr>
        <w:t xml:space="preserve">Thus, the identification of a clade-specific </w:t>
      </w:r>
      <w:proofErr w:type="spellStart"/>
      <w:r w:rsidRPr="00E61BB1">
        <w:rPr>
          <w:rFonts w:ascii="Verdana" w:hAnsi="Verdana"/>
          <w:sz w:val="20"/>
          <w:szCs w:val="20"/>
        </w:rPr>
        <w:t>roseo</w:t>
      </w:r>
      <w:proofErr w:type="spellEnd"/>
      <w:r w:rsidRPr="00E61BB1">
        <w:rPr>
          <w:rFonts w:ascii="Verdana" w:hAnsi="Verdana"/>
          <w:sz w:val="20"/>
          <w:szCs w:val="20"/>
        </w:rPr>
        <w:t xml:space="preserve"> box provides a genetic tool for future researchers when studying putative genes regulated by QS. </w:t>
      </w:r>
    </w:p>
    <w:p w14:paraId="4B7757B0" w14:textId="77777777" w:rsidR="0092091F" w:rsidRPr="004B03EC" w:rsidRDefault="0092091F" w:rsidP="004B03EC">
      <w:pPr>
        <w:spacing w:before="240"/>
        <w:rPr>
          <w:rFonts w:ascii="Verdana" w:hAnsi="Verdana" w:cs="Times New Roman"/>
        </w:rPr>
      </w:pPr>
    </w:p>
    <w:p w14:paraId="3C6BD3BA" w14:textId="20114A54" w:rsidR="0092091F" w:rsidRPr="004B03EC" w:rsidRDefault="00777BAE" w:rsidP="004B03EC">
      <w:pPr>
        <w:pStyle w:val="Heading2"/>
        <w:numPr>
          <w:ilvl w:val="0"/>
          <w:numId w:val="9"/>
        </w:numPr>
        <w:ind w:left="720"/>
        <w:jc w:val="left"/>
        <w:rPr>
          <w:rFonts w:ascii="Verdana" w:hAnsi="Verdana" w:cs="Times New Roman"/>
          <w:sz w:val="24"/>
          <w:szCs w:val="24"/>
        </w:rPr>
      </w:pPr>
      <w:r>
        <w:rPr>
          <w:rFonts w:ascii="Verdana" w:hAnsi="Verdana" w:cs="Times New Roman"/>
          <w:sz w:val="24"/>
          <w:szCs w:val="24"/>
        </w:rPr>
        <w:t>Methodology</w:t>
      </w:r>
    </w:p>
    <w:p w14:paraId="4A4099FE" w14:textId="77777777" w:rsidR="00777BAE" w:rsidRPr="00777BAE" w:rsidRDefault="00777BAE" w:rsidP="00777BAE">
      <w:pPr>
        <w:jc w:val="both"/>
        <w:rPr>
          <w:rFonts w:ascii="Verdana" w:hAnsi="Verdana"/>
          <w:b/>
          <w:bCs/>
          <w:i/>
          <w:iCs/>
          <w:sz w:val="20"/>
          <w:szCs w:val="20"/>
        </w:rPr>
      </w:pPr>
    </w:p>
    <w:p w14:paraId="6A03F7C7" w14:textId="03F0DC50" w:rsidR="00777BAE" w:rsidRPr="00777BAE" w:rsidRDefault="00777BAE" w:rsidP="00777BAE">
      <w:pPr>
        <w:jc w:val="both"/>
        <w:rPr>
          <w:rFonts w:ascii="Verdana" w:hAnsi="Verdana"/>
          <w:b/>
          <w:bCs/>
          <w:i/>
          <w:iCs/>
          <w:sz w:val="20"/>
          <w:szCs w:val="20"/>
        </w:rPr>
      </w:pPr>
      <w:r w:rsidRPr="00777BAE">
        <w:rPr>
          <w:rFonts w:ascii="Verdana" w:hAnsi="Verdana"/>
          <w:b/>
          <w:bCs/>
          <w:i/>
          <w:iCs/>
          <w:sz w:val="20"/>
          <w:szCs w:val="20"/>
        </w:rPr>
        <w:t>Sequence retrieval, gene homology search, phylogenetic relatedness</w:t>
      </w:r>
    </w:p>
    <w:p w14:paraId="23D3F294" w14:textId="1EEB107E" w:rsidR="001763F9" w:rsidRPr="001763F9" w:rsidRDefault="001763F9" w:rsidP="00777BAE">
      <w:pPr>
        <w:spacing w:before="240"/>
        <w:ind w:firstLine="720"/>
        <w:jc w:val="both"/>
        <w:rPr>
          <w:rFonts w:ascii="Verdana" w:hAnsi="Verdana" w:cs="Times New Roman"/>
          <w:sz w:val="20"/>
          <w:szCs w:val="20"/>
        </w:rPr>
      </w:pPr>
      <w:r w:rsidRPr="001763F9">
        <w:rPr>
          <w:rFonts w:ascii="Verdana" w:hAnsi="Verdana" w:cs="Times New Roman"/>
          <w:sz w:val="20"/>
          <w:szCs w:val="20"/>
        </w:rPr>
        <w:t xml:space="preserve">Roseobacter genome sequences (374) were retrieved from the Integrated Microbial Genomes and Microbiomes Database at the Joint Genome Institute (https://img.jgi.doe.gov/cgi-bin/mer/main.cgi). For those sequences that could not be downloaded from IMG, genomes were retrieved from NCBI. Genome sequences were queried for the presence of homologous genes to pgaI in Y4I using a cutoff of 50% amino acid (aa) similarity (Supplemental Table A). Of the 374 genomes queried, 214 genomes possessed 218 gene homologs with 50% or greater aa similarity. Of those, 34 gene sequences shared &lt;60% aa similarity to PgaI in Y4I. In addition to these 34 genes, we included another </w:t>
      </w:r>
      <w:proofErr w:type="spellStart"/>
      <w:r w:rsidRPr="001763F9">
        <w:rPr>
          <w:rFonts w:ascii="Verdana" w:hAnsi="Verdana" w:cs="Times New Roman"/>
          <w:sz w:val="20"/>
          <w:szCs w:val="20"/>
        </w:rPr>
        <w:t>luxI</w:t>
      </w:r>
      <w:proofErr w:type="spellEnd"/>
      <w:r w:rsidRPr="001763F9">
        <w:rPr>
          <w:rFonts w:ascii="Verdana" w:hAnsi="Verdana" w:cs="Times New Roman"/>
          <w:sz w:val="20"/>
          <w:szCs w:val="20"/>
        </w:rPr>
        <w:t xml:space="preserve"> homolog in Y4I, </w:t>
      </w:r>
      <w:proofErr w:type="spellStart"/>
      <w:r w:rsidRPr="001763F9">
        <w:rPr>
          <w:rFonts w:ascii="Verdana" w:hAnsi="Verdana" w:cs="Times New Roman"/>
          <w:sz w:val="20"/>
          <w:szCs w:val="20"/>
        </w:rPr>
        <w:t>PhaI</w:t>
      </w:r>
      <w:proofErr w:type="spellEnd"/>
      <w:r w:rsidRPr="001763F9">
        <w:rPr>
          <w:rFonts w:ascii="Verdana" w:hAnsi="Verdana" w:cs="Times New Roman"/>
          <w:sz w:val="20"/>
          <w:szCs w:val="20"/>
        </w:rPr>
        <w:t xml:space="preserve">, to construct the initial DNA motif. Homologs were aligned by using </w:t>
      </w:r>
      <w:proofErr w:type="spellStart"/>
      <w:r w:rsidRPr="001763F9">
        <w:rPr>
          <w:rFonts w:ascii="Verdana" w:hAnsi="Verdana" w:cs="Times New Roman"/>
          <w:sz w:val="20"/>
          <w:szCs w:val="20"/>
        </w:rPr>
        <w:t>Clustal</w:t>
      </w:r>
      <w:proofErr w:type="spellEnd"/>
      <w:r w:rsidRPr="001763F9">
        <w:rPr>
          <w:rFonts w:ascii="Verdana" w:hAnsi="Verdana" w:cs="Times New Roman"/>
          <w:sz w:val="20"/>
          <w:szCs w:val="20"/>
        </w:rPr>
        <w:t xml:space="preserve"> W v2.1 (Larkin 2007) and phylogenetic trees were constructed using MEGA X. </w:t>
      </w:r>
    </w:p>
    <w:p w14:paraId="150DE6BE" w14:textId="77777777" w:rsidR="001763F9" w:rsidRPr="001763F9" w:rsidRDefault="001763F9" w:rsidP="00777BAE">
      <w:pPr>
        <w:spacing w:before="240"/>
        <w:jc w:val="both"/>
        <w:rPr>
          <w:rFonts w:ascii="Verdana" w:hAnsi="Verdana" w:cs="Times New Roman"/>
          <w:b/>
          <w:bCs/>
          <w:i/>
          <w:iCs/>
          <w:sz w:val="20"/>
          <w:szCs w:val="20"/>
        </w:rPr>
      </w:pPr>
      <w:proofErr w:type="spellStart"/>
      <w:r w:rsidRPr="001763F9">
        <w:rPr>
          <w:rFonts w:ascii="Verdana" w:hAnsi="Verdana" w:cs="Times New Roman"/>
          <w:b/>
          <w:bCs/>
          <w:i/>
          <w:iCs/>
          <w:sz w:val="20"/>
          <w:szCs w:val="20"/>
        </w:rPr>
        <w:t>Roseo</w:t>
      </w:r>
      <w:proofErr w:type="spellEnd"/>
      <w:r w:rsidRPr="001763F9">
        <w:rPr>
          <w:rFonts w:ascii="Verdana" w:hAnsi="Verdana" w:cs="Times New Roman"/>
          <w:b/>
          <w:bCs/>
          <w:i/>
          <w:iCs/>
          <w:sz w:val="20"/>
          <w:szCs w:val="20"/>
        </w:rPr>
        <w:t xml:space="preserve"> box motif identification and query</w:t>
      </w:r>
    </w:p>
    <w:p w14:paraId="5159CBBB" w14:textId="77777777" w:rsidR="001763F9" w:rsidRPr="001763F9" w:rsidRDefault="001763F9" w:rsidP="00777BAE">
      <w:pPr>
        <w:spacing w:before="240"/>
        <w:ind w:firstLine="720"/>
        <w:jc w:val="both"/>
        <w:rPr>
          <w:rFonts w:ascii="Verdana" w:hAnsi="Verdana" w:cs="Times New Roman"/>
          <w:sz w:val="20"/>
          <w:szCs w:val="20"/>
        </w:rPr>
      </w:pPr>
      <w:r w:rsidRPr="001763F9">
        <w:rPr>
          <w:rFonts w:ascii="Verdana" w:hAnsi="Verdana" w:cs="Times New Roman"/>
          <w:sz w:val="20"/>
          <w:szCs w:val="20"/>
        </w:rPr>
        <w:t xml:space="preserve">We extracted the intergenic region between </w:t>
      </w:r>
      <w:proofErr w:type="spellStart"/>
      <w:r w:rsidRPr="001763F9">
        <w:rPr>
          <w:rFonts w:ascii="Verdana" w:hAnsi="Verdana" w:cs="Times New Roman"/>
          <w:sz w:val="20"/>
          <w:szCs w:val="20"/>
        </w:rPr>
        <w:t>luxRI</w:t>
      </w:r>
      <w:proofErr w:type="spellEnd"/>
      <w:r w:rsidRPr="001763F9">
        <w:rPr>
          <w:rFonts w:ascii="Verdana" w:hAnsi="Verdana" w:cs="Times New Roman"/>
          <w:sz w:val="20"/>
          <w:szCs w:val="20"/>
        </w:rPr>
        <w:t xml:space="preserve"> homologs from 30 Roseobacter genomes. Intergenic regions were used to build a model consensus sequence using Gapped Local Alignment of Motifs (GLAM2) software (Frith, et al 2008; https://meme-suite.org/meme/tools/glam2). GLAM2 parameters were left as default (GLAM2 -M -z 2 -a 2 -b 100 -w 20 -r 10 -n 2000 -D 0.1 -E 2.0 -I 0.02 -J 1.0) Motif matches containing a putative sigma70 consensus sequence (TATAA) were identified and used for further analysis. Two motif structures were evident: The first motif was chosen due to its somewhat palindromic sequence. The second motif was built using isolated components of the intergenic region between </w:t>
      </w:r>
      <w:proofErr w:type="spellStart"/>
      <w:r w:rsidRPr="001763F9">
        <w:rPr>
          <w:rFonts w:ascii="Verdana" w:hAnsi="Verdana" w:cs="Times New Roman"/>
          <w:sz w:val="20"/>
          <w:szCs w:val="20"/>
        </w:rPr>
        <w:t>luxRI</w:t>
      </w:r>
      <w:proofErr w:type="spellEnd"/>
      <w:r w:rsidRPr="001763F9">
        <w:rPr>
          <w:rFonts w:ascii="Verdana" w:hAnsi="Verdana" w:cs="Times New Roman"/>
          <w:sz w:val="20"/>
          <w:szCs w:val="20"/>
        </w:rPr>
        <w:t xml:space="preserve"> sequences not used to build the first motif. Significant positive hits were determined as follows. The intergenic regions for individual Roseobacter genomes were randomized 1000 times with </w:t>
      </w:r>
      <w:proofErr w:type="spellStart"/>
      <w:r w:rsidRPr="001763F9">
        <w:rPr>
          <w:rFonts w:ascii="Verdana" w:hAnsi="Verdana" w:cs="Times New Roman"/>
          <w:sz w:val="20"/>
          <w:szCs w:val="20"/>
        </w:rPr>
        <w:t>fasta</w:t>
      </w:r>
      <w:proofErr w:type="spellEnd"/>
      <w:r w:rsidRPr="001763F9">
        <w:rPr>
          <w:rFonts w:ascii="Verdana" w:hAnsi="Verdana" w:cs="Times New Roman"/>
          <w:sz w:val="20"/>
          <w:szCs w:val="20"/>
        </w:rPr>
        <w:t xml:space="preserve">-shuffle-letters (MEME Suite). </w:t>
      </w:r>
      <w:proofErr w:type="spellStart"/>
      <w:r w:rsidRPr="001763F9">
        <w:rPr>
          <w:rFonts w:ascii="Verdana" w:hAnsi="Verdana" w:cs="Times New Roman"/>
          <w:sz w:val="20"/>
          <w:szCs w:val="20"/>
        </w:rPr>
        <w:t>Fasta</w:t>
      </w:r>
      <w:proofErr w:type="spellEnd"/>
      <w:r w:rsidRPr="001763F9">
        <w:rPr>
          <w:rFonts w:ascii="Verdana" w:hAnsi="Verdana" w:cs="Times New Roman"/>
          <w:sz w:val="20"/>
          <w:szCs w:val="20"/>
        </w:rPr>
        <w:t xml:space="preserve">-shuffle-letters shuffles so that a given intergenic region’s length and GC content is persevered after randomization. For each iteration, the randomized intergenic regions were queried against the two motif models using GLAM2SCAN (-2 -t -n 1000; Frith et al. 2008). The top </w:t>
      </w:r>
      <w:proofErr w:type="spellStart"/>
      <w:r w:rsidRPr="001763F9">
        <w:rPr>
          <w:rFonts w:ascii="Verdana" w:hAnsi="Verdana" w:cs="Times New Roman"/>
          <w:sz w:val="20"/>
          <w:szCs w:val="20"/>
        </w:rPr>
        <w:t>bitscore</w:t>
      </w:r>
      <w:proofErr w:type="spellEnd"/>
      <w:r w:rsidRPr="001763F9">
        <w:rPr>
          <w:rFonts w:ascii="Verdana" w:hAnsi="Verdana" w:cs="Times New Roman"/>
          <w:sz w:val="20"/>
          <w:szCs w:val="20"/>
        </w:rPr>
        <w:t xml:space="preserve"> hits for both motifs, respectively, were retained from this query. These </w:t>
      </w:r>
      <w:proofErr w:type="spellStart"/>
      <w:r w:rsidRPr="001763F9">
        <w:rPr>
          <w:rFonts w:ascii="Verdana" w:hAnsi="Verdana" w:cs="Times New Roman"/>
          <w:sz w:val="20"/>
          <w:szCs w:val="20"/>
        </w:rPr>
        <w:t>bitscores</w:t>
      </w:r>
      <w:proofErr w:type="spellEnd"/>
      <w:r w:rsidRPr="001763F9">
        <w:rPr>
          <w:rFonts w:ascii="Verdana" w:hAnsi="Verdana" w:cs="Times New Roman"/>
          <w:sz w:val="20"/>
          <w:szCs w:val="20"/>
        </w:rPr>
        <w:t xml:space="preserve"> corresponded to the maximum false positive </w:t>
      </w:r>
      <w:proofErr w:type="spellStart"/>
      <w:r w:rsidRPr="001763F9">
        <w:rPr>
          <w:rFonts w:ascii="Verdana" w:hAnsi="Verdana" w:cs="Times New Roman"/>
          <w:sz w:val="20"/>
          <w:szCs w:val="20"/>
        </w:rPr>
        <w:t>bitscores</w:t>
      </w:r>
      <w:proofErr w:type="spellEnd"/>
      <w:r w:rsidRPr="001763F9">
        <w:rPr>
          <w:rFonts w:ascii="Verdana" w:hAnsi="Verdana" w:cs="Times New Roman"/>
          <w:sz w:val="20"/>
          <w:szCs w:val="20"/>
        </w:rPr>
        <w:t xml:space="preserve"> one might expect relative to randomized intergenic region sequences. The final significance threshold could then be defined as a quantile of these false positive </w:t>
      </w:r>
      <w:proofErr w:type="spellStart"/>
      <w:r w:rsidRPr="001763F9">
        <w:rPr>
          <w:rFonts w:ascii="Verdana" w:hAnsi="Verdana" w:cs="Times New Roman"/>
          <w:sz w:val="20"/>
          <w:szCs w:val="20"/>
        </w:rPr>
        <w:t>bitscores</w:t>
      </w:r>
      <w:proofErr w:type="spellEnd"/>
      <w:r w:rsidRPr="001763F9">
        <w:rPr>
          <w:rFonts w:ascii="Verdana" w:hAnsi="Verdana" w:cs="Times New Roman"/>
          <w:sz w:val="20"/>
          <w:szCs w:val="20"/>
        </w:rPr>
        <w:t xml:space="preserve"> for individual Roseobacter genomes. This quantile was </w:t>
      </w:r>
      <w:r w:rsidRPr="001763F9">
        <w:rPr>
          <w:rFonts w:ascii="Verdana" w:hAnsi="Verdana" w:cs="Times New Roman"/>
          <w:sz w:val="20"/>
          <w:szCs w:val="20"/>
        </w:rPr>
        <w:lastRenderedPageBreak/>
        <w:t xml:space="preserve">adjustable to change the motif model sensitivity such that regions of varying sequence homology could be labelled as putative motifs. The final significance threshold was established by comparing the median </w:t>
      </w:r>
      <w:proofErr w:type="spellStart"/>
      <w:r w:rsidRPr="001763F9">
        <w:rPr>
          <w:rFonts w:ascii="Verdana" w:hAnsi="Verdana" w:cs="Times New Roman"/>
          <w:sz w:val="20"/>
          <w:szCs w:val="20"/>
        </w:rPr>
        <w:t>bitscore</w:t>
      </w:r>
      <w:proofErr w:type="spellEnd"/>
      <w:r w:rsidRPr="001763F9">
        <w:rPr>
          <w:rFonts w:ascii="Verdana" w:hAnsi="Verdana" w:cs="Times New Roman"/>
          <w:sz w:val="20"/>
          <w:szCs w:val="20"/>
        </w:rPr>
        <w:t xml:space="preserve"> for putative motifs versus the </w:t>
      </w:r>
      <w:proofErr w:type="spellStart"/>
      <w:r w:rsidRPr="001763F9">
        <w:rPr>
          <w:rFonts w:ascii="Verdana" w:hAnsi="Verdana" w:cs="Times New Roman"/>
          <w:sz w:val="20"/>
          <w:szCs w:val="20"/>
        </w:rPr>
        <w:t>bitscore</w:t>
      </w:r>
      <w:proofErr w:type="spellEnd"/>
      <w:r w:rsidRPr="001763F9">
        <w:rPr>
          <w:rFonts w:ascii="Verdana" w:hAnsi="Verdana" w:cs="Times New Roman"/>
          <w:sz w:val="20"/>
          <w:szCs w:val="20"/>
        </w:rPr>
        <w:t xml:space="preserve"> quantile. The </w:t>
      </w:r>
      <w:proofErr w:type="spellStart"/>
      <w:r w:rsidRPr="001763F9">
        <w:rPr>
          <w:rFonts w:ascii="Verdana" w:hAnsi="Verdana" w:cs="Times New Roman"/>
          <w:sz w:val="20"/>
          <w:szCs w:val="20"/>
        </w:rPr>
        <w:t>bitscore</w:t>
      </w:r>
      <w:proofErr w:type="spellEnd"/>
      <w:r w:rsidRPr="001763F9">
        <w:rPr>
          <w:rFonts w:ascii="Verdana" w:hAnsi="Verdana" w:cs="Times New Roman"/>
          <w:sz w:val="20"/>
          <w:szCs w:val="20"/>
        </w:rPr>
        <w:t xml:space="preserve"> quantile leading to a rapid decrease in putative match </w:t>
      </w:r>
      <w:proofErr w:type="spellStart"/>
      <w:r w:rsidRPr="001763F9">
        <w:rPr>
          <w:rFonts w:ascii="Verdana" w:hAnsi="Verdana" w:cs="Times New Roman"/>
          <w:sz w:val="20"/>
          <w:szCs w:val="20"/>
        </w:rPr>
        <w:t>bitscore</w:t>
      </w:r>
      <w:proofErr w:type="spellEnd"/>
      <w:r w:rsidRPr="001763F9">
        <w:rPr>
          <w:rFonts w:ascii="Verdana" w:hAnsi="Verdana" w:cs="Times New Roman"/>
          <w:sz w:val="20"/>
          <w:szCs w:val="20"/>
        </w:rPr>
        <w:t xml:space="preserve"> was defined as the significance threshold. This is based on the rationale that there should be a clear demarcation in which sequences are and are not homologous with the </w:t>
      </w:r>
      <w:proofErr w:type="spellStart"/>
      <w:r w:rsidRPr="001763F9">
        <w:rPr>
          <w:rFonts w:ascii="Verdana" w:hAnsi="Verdana" w:cs="Times New Roman"/>
          <w:sz w:val="20"/>
          <w:szCs w:val="20"/>
        </w:rPr>
        <w:t>roseo</w:t>
      </w:r>
      <w:proofErr w:type="spellEnd"/>
      <w:r w:rsidRPr="001763F9">
        <w:rPr>
          <w:rFonts w:ascii="Verdana" w:hAnsi="Verdana" w:cs="Times New Roman"/>
          <w:sz w:val="20"/>
          <w:szCs w:val="20"/>
        </w:rPr>
        <w:t xml:space="preserve"> box motifs. Initially, these thresholds were 0.50 and 0.74 for </w:t>
      </w:r>
      <w:proofErr w:type="spellStart"/>
      <w:r w:rsidRPr="001763F9">
        <w:rPr>
          <w:rFonts w:ascii="Verdana" w:hAnsi="Verdana" w:cs="Times New Roman"/>
          <w:sz w:val="20"/>
          <w:szCs w:val="20"/>
        </w:rPr>
        <w:t>roseo</w:t>
      </w:r>
      <w:proofErr w:type="spellEnd"/>
      <w:r w:rsidRPr="001763F9">
        <w:rPr>
          <w:rFonts w:ascii="Verdana" w:hAnsi="Verdana" w:cs="Times New Roman"/>
          <w:sz w:val="20"/>
          <w:szCs w:val="20"/>
        </w:rPr>
        <w:t xml:space="preserve"> box motifs 1 and 2, respectively. The </w:t>
      </w:r>
      <w:proofErr w:type="spellStart"/>
      <w:r w:rsidRPr="001763F9">
        <w:rPr>
          <w:rFonts w:ascii="Verdana" w:hAnsi="Verdana" w:cs="Times New Roman"/>
          <w:sz w:val="20"/>
          <w:szCs w:val="20"/>
        </w:rPr>
        <w:t>roseo</w:t>
      </w:r>
      <w:proofErr w:type="spellEnd"/>
      <w:r w:rsidRPr="001763F9">
        <w:rPr>
          <w:rFonts w:ascii="Verdana" w:hAnsi="Verdana" w:cs="Times New Roman"/>
          <w:sz w:val="20"/>
          <w:szCs w:val="20"/>
        </w:rPr>
        <w:t xml:space="preserve"> box motifs were then compared with previously described motifs in </w:t>
      </w:r>
      <w:proofErr w:type="spellStart"/>
      <w:r w:rsidRPr="001763F9">
        <w:rPr>
          <w:rFonts w:ascii="Verdana" w:hAnsi="Verdana" w:cs="Times New Roman"/>
          <w:sz w:val="20"/>
          <w:szCs w:val="20"/>
        </w:rPr>
        <w:t>CollecTF</w:t>
      </w:r>
      <w:proofErr w:type="spellEnd"/>
      <w:r w:rsidRPr="001763F9">
        <w:rPr>
          <w:rFonts w:ascii="Verdana" w:hAnsi="Verdana" w:cs="Times New Roman"/>
          <w:sz w:val="20"/>
          <w:szCs w:val="20"/>
        </w:rPr>
        <w:t xml:space="preserve">, </w:t>
      </w:r>
      <w:proofErr w:type="spellStart"/>
      <w:r w:rsidRPr="001763F9">
        <w:rPr>
          <w:rFonts w:ascii="Verdana" w:hAnsi="Verdana" w:cs="Times New Roman"/>
          <w:sz w:val="20"/>
          <w:szCs w:val="20"/>
        </w:rPr>
        <w:t>Prodoric</w:t>
      </w:r>
      <w:proofErr w:type="spellEnd"/>
      <w:r w:rsidRPr="001763F9">
        <w:rPr>
          <w:rFonts w:ascii="Verdana" w:hAnsi="Verdana" w:cs="Times New Roman"/>
          <w:sz w:val="20"/>
          <w:szCs w:val="20"/>
        </w:rPr>
        <w:t xml:space="preserve"> (v8.9), and </w:t>
      </w:r>
      <w:proofErr w:type="spellStart"/>
      <w:r w:rsidRPr="001763F9">
        <w:rPr>
          <w:rFonts w:ascii="Verdana" w:hAnsi="Verdana" w:cs="Times New Roman"/>
          <w:sz w:val="20"/>
          <w:szCs w:val="20"/>
        </w:rPr>
        <w:t>RegTransBase</w:t>
      </w:r>
      <w:proofErr w:type="spellEnd"/>
      <w:r w:rsidRPr="001763F9">
        <w:rPr>
          <w:rFonts w:ascii="Verdana" w:hAnsi="Verdana" w:cs="Times New Roman"/>
          <w:sz w:val="20"/>
          <w:szCs w:val="20"/>
        </w:rPr>
        <w:t xml:space="preserve"> (v4) using TOMTOM (citation). There were no significant matches, with the lowest match e-values being 1.56 and 6.54 for </w:t>
      </w:r>
      <w:proofErr w:type="spellStart"/>
      <w:r w:rsidRPr="001763F9">
        <w:rPr>
          <w:rFonts w:ascii="Verdana" w:hAnsi="Verdana" w:cs="Times New Roman"/>
          <w:sz w:val="20"/>
          <w:szCs w:val="20"/>
        </w:rPr>
        <w:t>roseo</w:t>
      </w:r>
      <w:proofErr w:type="spellEnd"/>
      <w:r w:rsidRPr="001763F9">
        <w:rPr>
          <w:rFonts w:ascii="Verdana" w:hAnsi="Verdana" w:cs="Times New Roman"/>
          <w:sz w:val="20"/>
          <w:szCs w:val="20"/>
        </w:rPr>
        <w:t xml:space="preserve"> box motif 1, and 2, respectively. </w:t>
      </w:r>
    </w:p>
    <w:p w14:paraId="7CE9B46C" w14:textId="77777777" w:rsidR="001763F9" w:rsidRPr="001763F9" w:rsidRDefault="001763F9" w:rsidP="00777BAE">
      <w:pPr>
        <w:spacing w:before="240"/>
        <w:ind w:firstLine="720"/>
        <w:jc w:val="both"/>
        <w:rPr>
          <w:rFonts w:ascii="Verdana" w:hAnsi="Verdana" w:cs="Times New Roman"/>
          <w:sz w:val="20"/>
          <w:szCs w:val="20"/>
        </w:rPr>
      </w:pPr>
      <w:proofErr w:type="gramStart"/>
      <w:r w:rsidRPr="001763F9">
        <w:rPr>
          <w:rFonts w:ascii="Verdana" w:hAnsi="Verdana" w:cs="Times New Roman"/>
          <w:sz w:val="20"/>
          <w:szCs w:val="20"/>
        </w:rPr>
        <w:t>In an attempt to</w:t>
      </w:r>
      <w:proofErr w:type="gramEnd"/>
      <w:r w:rsidRPr="001763F9">
        <w:rPr>
          <w:rFonts w:ascii="Verdana" w:hAnsi="Verdana" w:cs="Times New Roman"/>
          <w:sz w:val="20"/>
          <w:szCs w:val="20"/>
        </w:rPr>
        <w:t xml:space="preserve"> improve model specificity for both </w:t>
      </w:r>
      <w:proofErr w:type="spellStart"/>
      <w:r w:rsidRPr="001763F9">
        <w:rPr>
          <w:rFonts w:ascii="Verdana" w:hAnsi="Verdana" w:cs="Times New Roman"/>
          <w:sz w:val="20"/>
          <w:szCs w:val="20"/>
        </w:rPr>
        <w:t>roseo</w:t>
      </w:r>
      <w:proofErr w:type="spellEnd"/>
      <w:r w:rsidRPr="001763F9">
        <w:rPr>
          <w:rFonts w:ascii="Verdana" w:hAnsi="Verdana" w:cs="Times New Roman"/>
          <w:sz w:val="20"/>
          <w:szCs w:val="20"/>
        </w:rPr>
        <w:t xml:space="preserve"> box motifs, an iterative approach was taken that constructed new motif models using positive matches from earlier motif model queries. Similar approaches have been taken with tools such as </w:t>
      </w:r>
      <w:proofErr w:type="spellStart"/>
      <w:r w:rsidRPr="001763F9">
        <w:rPr>
          <w:rFonts w:ascii="Verdana" w:hAnsi="Verdana" w:cs="Times New Roman"/>
          <w:sz w:val="20"/>
          <w:szCs w:val="20"/>
        </w:rPr>
        <w:t>JackHMMER</w:t>
      </w:r>
      <w:proofErr w:type="spellEnd"/>
      <w:r w:rsidRPr="001763F9">
        <w:rPr>
          <w:rFonts w:ascii="Verdana" w:hAnsi="Verdana" w:cs="Times New Roman"/>
          <w:sz w:val="20"/>
          <w:szCs w:val="20"/>
        </w:rPr>
        <w:t xml:space="preserve"> (Johnson et al. 2010) and PSI-BLAST (</w:t>
      </w:r>
      <w:proofErr w:type="spellStart"/>
      <w:r w:rsidRPr="001763F9">
        <w:rPr>
          <w:rFonts w:ascii="Verdana" w:hAnsi="Verdana" w:cs="Times New Roman"/>
          <w:sz w:val="20"/>
          <w:szCs w:val="20"/>
        </w:rPr>
        <w:t>Altschul</w:t>
      </w:r>
      <w:proofErr w:type="spellEnd"/>
      <w:r w:rsidRPr="001763F9">
        <w:rPr>
          <w:rFonts w:ascii="Verdana" w:hAnsi="Verdana" w:cs="Times New Roman"/>
          <w:sz w:val="20"/>
          <w:szCs w:val="20"/>
        </w:rPr>
        <w:t xml:space="preserve"> et al. 1997). Briefly, the motifs were constructed as before and queried against the intergenic regions of the 30 Roseobacter genomes using GLAM2SCAN (-2 -t -n 1000). As before, intergenic regions from the Roseobacter genomes were randomized using </w:t>
      </w:r>
      <w:proofErr w:type="spellStart"/>
      <w:r w:rsidRPr="001763F9">
        <w:rPr>
          <w:rFonts w:ascii="Verdana" w:hAnsi="Verdana" w:cs="Times New Roman"/>
          <w:sz w:val="20"/>
          <w:szCs w:val="20"/>
        </w:rPr>
        <w:t>fasta</w:t>
      </w:r>
      <w:proofErr w:type="spellEnd"/>
      <w:r w:rsidRPr="001763F9">
        <w:rPr>
          <w:rFonts w:ascii="Verdana" w:hAnsi="Verdana" w:cs="Times New Roman"/>
          <w:sz w:val="20"/>
          <w:szCs w:val="20"/>
        </w:rPr>
        <w:t xml:space="preserve">-shuffle-letters and analyzed for the maximum false positive </w:t>
      </w:r>
      <w:proofErr w:type="spellStart"/>
      <w:r w:rsidRPr="001763F9">
        <w:rPr>
          <w:rFonts w:ascii="Verdana" w:hAnsi="Verdana" w:cs="Times New Roman"/>
          <w:sz w:val="20"/>
          <w:szCs w:val="20"/>
        </w:rPr>
        <w:t>bitscore</w:t>
      </w:r>
      <w:proofErr w:type="spellEnd"/>
      <w:r w:rsidRPr="001763F9">
        <w:rPr>
          <w:rFonts w:ascii="Verdana" w:hAnsi="Verdana" w:cs="Times New Roman"/>
          <w:sz w:val="20"/>
          <w:szCs w:val="20"/>
        </w:rPr>
        <w:t xml:space="preserve">. The 95th quantile from the maximum false positive </w:t>
      </w:r>
      <w:proofErr w:type="spellStart"/>
      <w:r w:rsidRPr="001763F9">
        <w:rPr>
          <w:rFonts w:ascii="Verdana" w:hAnsi="Verdana" w:cs="Times New Roman"/>
          <w:sz w:val="20"/>
          <w:szCs w:val="20"/>
        </w:rPr>
        <w:t>bitscores</w:t>
      </w:r>
      <w:proofErr w:type="spellEnd"/>
      <w:r w:rsidRPr="001763F9">
        <w:rPr>
          <w:rFonts w:ascii="Verdana" w:hAnsi="Verdana" w:cs="Times New Roman"/>
          <w:sz w:val="20"/>
          <w:szCs w:val="20"/>
        </w:rPr>
        <w:t xml:space="preserve"> was taken as the threshold for defining a significant match. Next, all significant matches from the initial GLAM2SCAN query were used to construct </w:t>
      </w:r>
      <w:proofErr w:type="spellStart"/>
      <w:r w:rsidRPr="001763F9">
        <w:rPr>
          <w:rFonts w:ascii="Verdana" w:hAnsi="Verdana" w:cs="Times New Roman"/>
          <w:sz w:val="20"/>
          <w:szCs w:val="20"/>
        </w:rPr>
        <w:t>roseo</w:t>
      </w:r>
      <w:proofErr w:type="spellEnd"/>
      <w:r w:rsidRPr="001763F9">
        <w:rPr>
          <w:rFonts w:ascii="Verdana" w:hAnsi="Verdana" w:cs="Times New Roman"/>
          <w:sz w:val="20"/>
          <w:szCs w:val="20"/>
        </w:rPr>
        <w:t xml:space="preserve"> box motif 3 and 4 with GLAM2, respectively. These new models were then used to query for new putative matches based on new false positive </w:t>
      </w:r>
      <w:proofErr w:type="spellStart"/>
      <w:r w:rsidRPr="001763F9">
        <w:rPr>
          <w:rFonts w:ascii="Verdana" w:hAnsi="Verdana" w:cs="Times New Roman"/>
          <w:sz w:val="20"/>
          <w:szCs w:val="20"/>
        </w:rPr>
        <w:t>bitscore</w:t>
      </w:r>
      <w:proofErr w:type="spellEnd"/>
      <w:r w:rsidRPr="001763F9">
        <w:rPr>
          <w:rFonts w:ascii="Verdana" w:hAnsi="Verdana" w:cs="Times New Roman"/>
          <w:sz w:val="20"/>
          <w:szCs w:val="20"/>
        </w:rPr>
        <w:t xml:space="preserve"> thresholds. New models were iteratively constructed in this fashion until model scores did not improve by more than 5% for two iterations in a row. This required five and seven iterations (including the initial model) for the </w:t>
      </w:r>
      <w:proofErr w:type="spellStart"/>
      <w:r w:rsidRPr="001763F9">
        <w:rPr>
          <w:rFonts w:ascii="Verdana" w:hAnsi="Verdana" w:cs="Times New Roman"/>
          <w:sz w:val="20"/>
          <w:szCs w:val="20"/>
        </w:rPr>
        <w:t>roseo</w:t>
      </w:r>
      <w:proofErr w:type="spellEnd"/>
      <w:r w:rsidRPr="001763F9">
        <w:rPr>
          <w:rFonts w:ascii="Verdana" w:hAnsi="Verdana" w:cs="Times New Roman"/>
          <w:sz w:val="20"/>
          <w:szCs w:val="20"/>
        </w:rPr>
        <w:t xml:space="preserve"> box motifs 1 and 2, respectively. Last, the </w:t>
      </w:r>
      <w:proofErr w:type="spellStart"/>
      <w:r w:rsidRPr="001763F9">
        <w:rPr>
          <w:rFonts w:ascii="Verdana" w:hAnsi="Verdana" w:cs="Times New Roman"/>
          <w:sz w:val="20"/>
          <w:szCs w:val="20"/>
        </w:rPr>
        <w:t>roseo</w:t>
      </w:r>
      <w:proofErr w:type="spellEnd"/>
      <w:r w:rsidRPr="001763F9">
        <w:rPr>
          <w:rFonts w:ascii="Verdana" w:hAnsi="Verdana" w:cs="Times New Roman"/>
          <w:sz w:val="20"/>
          <w:szCs w:val="20"/>
        </w:rPr>
        <w:t xml:space="preserve"> box motifs were compared with previously described motifs using TOMTOM. Again, there were no significant matches, with the lowest match e-values being 0.74 and 1.58 for </w:t>
      </w:r>
      <w:proofErr w:type="spellStart"/>
      <w:r w:rsidRPr="001763F9">
        <w:rPr>
          <w:rFonts w:ascii="Verdana" w:hAnsi="Verdana" w:cs="Times New Roman"/>
          <w:sz w:val="20"/>
          <w:szCs w:val="20"/>
        </w:rPr>
        <w:t>roseo</w:t>
      </w:r>
      <w:proofErr w:type="spellEnd"/>
      <w:r w:rsidRPr="001763F9">
        <w:rPr>
          <w:rFonts w:ascii="Verdana" w:hAnsi="Verdana" w:cs="Times New Roman"/>
          <w:sz w:val="20"/>
          <w:szCs w:val="20"/>
        </w:rPr>
        <w:t xml:space="preserve"> box motif 3, and 4, respectively.</w:t>
      </w:r>
    </w:p>
    <w:p w14:paraId="6AF96D01" w14:textId="2CBB9E3A" w:rsidR="0092091F" w:rsidRPr="001763F9" w:rsidRDefault="001763F9" w:rsidP="00777BAE">
      <w:pPr>
        <w:spacing w:before="240"/>
        <w:ind w:firstLine="720"/>
        <w:jc w:val="both"/>
        <w:rPr>
          <w:rFonts w:ascii="Verdana" w:hAnsi="Verdana" w:cs="Times New Roman"/>
          <w:sz w:val="20"/>
          <w:szCs w:val="20"/>
        </w:rPr>
      </w:pPr>
      <w:r w:rsidRPr="001763F9">
        <w:rPr>
          <w:rFonts w:ascii="Verdana" w:hAnsi="Verdana" w:cs="Times New Roman"/>
          <w:sz w:val="20"/>
          <w:szCs w:val="20"/>
        </w:rPr>
        <w:t xml:space="preserve">The final models were used to find putative motifs in the 30 Roseobacter genomes.  Final significance threshold for false positives was established using the approach described in the previous section, where median </w:t>
      </w:r>
      <w:proofErr w:type="spellStart"/>
      <w:r w:rsidRPr="001763F9">
        <w:rPr>
          <w:rFonts w:ascii="Verdana" w:hAnsi="Verdana" w:cs="Times New Roman"/>
          <w:sz w:val="20"/>
          <w:szCs w:val="20"/>
        </w:rPr>
        <w:t>bitscores</w:t>
      </w:r>
      <w:proofErr w:type="spellEnd"/>
      <w:r w:rsidRPr="001763F9">
        <w:rPr>
          <w:rFonts w:ascii="Verdana" w:hAnsi="Verdana" w:cs="Times New Roman"/>
          <w:sz w:val="20"/>
          <w:szCs w:val="20"/>
        </w:rPr>
        <w:t xml:space="preserve"> for putative matches were compared against the false positive </w:t>
      </w:r>
      <w:proofErr w:type="spellStart"/>
      <w:r w:rsidRPr="001763F9">
        <w:rPr>
          <w:rFonts w:ascii="Verdana" w:hAnsi="Verdana" w:cs="Times New Roman"/>
          <w:sz w:val="20"/>
          <w:szCs w:val="20"/>
        </w:rPr>
        <w:t>bitscore</w:t>
      </w:r>
      <w:proofErr w:type="spellEnd"/>
      <w:r w:rsidRPr="001763F9">
        <w:rPr>
          <w:rFonts w:ascii="Verdana" w:hAnsi="Verdana" w:cs="Times New Roman"/>
          <w:sz w:val="20"/>
          <w:szCs w:val="20"/>
        </w:rPr>
        <w:t xml:space="preserve"> quantiles. Using this approach, the final thresholds were 0.7 and 0.96 for </w:t>
      </w:r>
      <w:proofErr w:type="spellStart"/>
      <w:r w:rsidRPr="001763F9">
        <w:rPr>
          <w:rFonts w:ascii="Verdana" w:hAnsi="Verdana" w:cs="Times New Roman"/>
          <w:sz w:val="20"/>
          <w:szCs w:val="20"/>
        </w:rPr>
        <w:t>roseo</w:t>
      </w:r>
      <w:proofErr w:type="spellEnd"/>
      <w:r w:rsidRPr="001763F9">
        <w:rPr>
          <w:rFonts w:ascii="Verdana" w:hAnsi="Verdana" w:cs="Times New Roman"/>
          <w:sz w:val="20"/>
          <w:szCs w:val="20"/>
        </w:rPr>
        <w:t xml:space="preserve"> box motifs 3 and 4, respectively.</w:t>
      </w:r>
    </w:p>
    <w:p w14:paraId="7DD7BD77" w14:textId="77777777" w:rsidR="0092091F" w:rsidRPr="004B03EC" w:rsidRDefault="0092091F" w:rsidP="00777BAE">
      <w:pPr>
        <w:spacing w:before="240"/>
        <w:ind w:left="720"/>
        <w:jc w:val="both"/>
        <w:rPr>
          <w:rFonts w:ascii="Verdana" w:hAnsi="Verdana" w:cs="Times New Roman"/>
        </w:rPr>
      </w:pPr>
    </w:p>
    <w:p w14:paraId="588C730B" w14:textId="77777777" w:rsidR="0092091F" w:rsidRPr="004B03EC" w:rsidRDefault="0092091F" w:rsidP="004B03EC">
      <w:pPr>
        <w:pStyle w:val="Heading2"/>
        <w:numPr>
          <w:ilvl w:val="0"/>
          <w:numId w:val="9"/>
        </w:numPr>
        <w:ind w:left="720"/>
        <w:jc w:val="left"/>
        <w:rPr>
          <w:rFonts w:ascii="Verdana" w:hAnsi="Verdana" w:cs="Times New Roman"/>
          <w:sz w:val="24"/>
          <w:szCs w:val="24"/>
        </w:rPr>
      </w:pPr>
      <w:bookmarkStart w:id="63" w:name="_Toc83382616"/>
      <w:r w:rsidRPr="004B03EC">
        <w:rPr>
          <w:rFonts w:ascii="Verdana" w:hAnsi="Verdana" w:cs="Times New Roman"/>
          <w:sz w:val="24"/>
          <w:szCs w:val="24"/>
        </w:rPr>
        <w:t>Results</w:t>
      </w:r>
      <w:bookmarkEnd w:id="63"/>
    </w:p>
    <w:p w14:paraId="3B3B594C" w14:textId="37126FBB" w:rsidR="00254B47" w:rsidRPr="00254B47" w:rsidRDefault="00254B47" w:rsidP="00254B47">
      <w:pPr>
        <w:spacing w:after="240"/>
        <w:ind w:firstLine="720"/>
        <w:jc w:val="both"/>
        <w:rPr>
          <w:rFonts w:ascii="Verdana" w:hAnsi="Verdana"/>
          <w:sz w:val="20"/>
          <w:szCs w:val="20"/>
        </w:rPr>
      </w:pPr>
      <w:bookmarkStart w:id="64" w:name="_Toc289175843"/>
      <w:r w:rsidRPr="00254B47">
        <w:rPr>
          <w:rFonts w:ascii="Verdana" w:hAnsi="Verdana"/>
          <w:sz w:val="20"/>
          <w:szCs w:val="20"/>
        </w:rPr>
        <w:t xml:space="preserve">We surveyed 374 publicly available Roseobacter genomes for genes encoding </w:t>
      </w:r>
      <w:proofErr w:type="spellStart"/>
      <w:r w:rsidRPr="00254B47">
        <w:rPr>
          <w:rFonts w:ascii="Verdana" w:hAnsi="Verdana"/>
          <w:sz w:val="20"/>
          <w:szCs w:val="20"/>
        </w:rPr>
        <w:t>LuxI</w:t>
      </w:r>
      <w:proofErr w:type="spellEnd"/>
      <w:r w:rsidRPr="00254B47">
        <w:rPr>
          <w:rFonts w:ascii="Verdana" w:hAnsi="Verdana"/>
          <w:sz w:val="20"/>
          <w:szCs w:val="20"/>
        </w:rPr>
        <w:t xml:space="preserve"> homologs. Of those, 57% shared amino acid (aa) similarity to </w:t>
      </w:r>
      <w:proofErr w:type="spellStart"/>
      <w:r w:rsidRPr="00254B47">
        <w:rPr>
          <w:rFonts w:ascii="Verdana" w:hAnsi="Verdana"/>
          <w:sz w:val="20"/>
          <w:szCs w:val="20"/>
        </w:rPr>
        <w:t>LuxI</w:t>
      </w:r>
      <w:proofErr w:type="spellEnd"/>
      <w:r w:rsidRPr="00254B47">
        <w:rPr>
          <w:rFonts w:ascii="Verdana" w:hAnsi="Verdana"/>
          <w:sz w:val="20"/>
          <w:szCs w:val="20"/>
        </w:rPr>
        <w:t xml:space="preserve"> homologs in Rhodobacterales sp. Strain Y4I. We found 218 genes and 11 genes with 50% or greater aa similarity with </w:t>
      </w:r>
      <w:proofErr w:type="spellStart"/>
      <w:r w:rsidRPr="00254B47">
        <w:rPr>
          <w:rFonts w:ascii="Verdana" w:hAnsi="Verdana"/>
          <w:sz w:val="20"/>
          <w:szCs w:val="20"/>
        </w:rPr>
        <w:t>LuxI</w:t>
      </w:r>
      <w:proofErr w:type="spellEnd"/>
      <w:r w:rsidRPr="00254B47">
        <w:rPr>
          <w:rFonts w:ascii="Verdana" w:hAnsi="Verdana"/>
          <w:sz w:val="20"/>
          <w:szCs w:val="20"/>
        </w:rPr>
        <w:t xml:space="preserve"> homologs, PgaI and </w:t>
      </w:r>
      <w:proofErr w:type="spellStart"/>
      <w:r w:rsidRPr="00254B47">
        <w:rPr>
          <w:rFonts w:ascii="Verdana" w:hAnsi="Verdana"/>
          <w:sz w:val="20"/>
          <w:szCs w:val="20"/>
        </w:rPr>
        <w:t>PhaI</w:t>
      </w:r>
      <w:proofErr w:type="spellEnd"/>
      <w:r w:rsidRPr="00254B47">
        <w:rPr>
          <w:rFonts w:ascii="Verdana" w:hAnsi="Verdana"/>
          <w:sz w:val="20"/>
          <w:szCs w:val="20"/>
        </w:rPr>
        <w:t xml:space="preserve">, respectively </w:t>
      </w:r>
      <w:r w:rsidRPr="00254B47">
        <w:rPr>
          <w:rFonts w:ascii="Verdana" w:hAnsi="Verdana"/>
          <w:b/>
          <w:bCs/>
          <w:sz w:val="20"/>
          <w:szCs w:val="20"/>
        </w:rPr>
        <w:t>(Supplemental Table 1)</w:t>
      </w:r>
      <w:r w:rsidRPr="00254B47">
        <w:rPr>
          <w:rFonts w:ascii="Verdana" w:hAnsi="Verdana"/>
          <w:sz w:val="20"/>
          <w:szCs w:val="20"/>
        </w:rPr>
        <w:t xml:space="preserve">. Given the overwhelming number of Roseobacters containing </w:t>
      </w:r>
      <w:proofErr w:type="spellStart"/>
      <w:r w:rsidRPr="00254B47">
        <w:rPr>
          <w:rFonts w:ascii="Verdana" w:hAnsi="Verdana"/>
          <w:sz w:val="20"/>
          <w:szCs w:val="20"/>
        </w:rPr>
        <w:t>LuxI</w:t>
      </w:r>
      <w:proofErr w:type="spellEnd"/>
      <w:r w:rsidRPr="00254B47">
        <w:rPr>
          <w:rFonts w:ascii="Verdana" w:hAnsi="Verdana"/>
          <w:sz w:val="20"/>
          <w:szCs w:val="20"/>
        </w:rPr>
        <w:t xml:space="preserve"> homologs that share amino acid similarity to PgaI and that this AHL synthase produces a relatively common AHL, C8-HSL, in Y4I (&gt;&gt;other roseobacters&lt;&lt;?), we used these sequences to generate two/three </w:t>
      </w:r>
      <w:proofErr w:type="spellStart"/>
      <w:r w:rsidRPr="00254B47">
        <w:rPr>
          <w:rFonts w:ascii="Verdana" w:hAnsi="Verdana"/>
          <w:sz w:val="20"/>
          <w:szCs w:val="20"/>
        </w:rPr>
        <w:t>roseo</w:t>
      </w:r>
      <w:proofErr w:type="spellEnd"/>
      <w:r w:rsidRPr="00254B47">
        <w:rPr>
          <w:rFonts w:ascii="Verdana" w:hAnsi="Verdana"/>
          <w:sz w:val="20"/>
          <w:szCs w:val="20"/>
        </w:rPr>
        <w:t xml:space="preserve"> box motifs (Figure 1 – sequence logos/consensus sequence). Additionally, we focused our analysis of QS regulated genes using the </w:t>
      </w:r>
      <w:r w:rsidRPr="00254B47">
        <w:rPr>
          <w:rFonts w:ascii="Verdana" w:hAnsi="Verdana"/>
          <w:sz w:val="20"/>
          <w:szCs w:val="20"/>
        </w:rPr>
        <w:lastRenderedPageBreak/>
        <w:t xml:space="preserve">regulatory elements of these gene homologs to 30/34 </w:t>
      </w:r>
      <w:proofErr w:type="spellStart"/>
      <w:r w:rsidRPr="00254B47">
        <w:rPr>
          <w:rFonts w:ascii="Verdana" w:hAnsi="Verdana"/>
          <w:i/>
          <w:sz w:val="20"/>
          <w:szCs w:val="20"/>
        </w:rPr>
        <w:t>Phaeobacter</w:t>
      </w:r>
      <w:proofErr w:type="spellEnd"/>
      <w:r w:rsidRPr="00254B47">
        <w:rPr>
          <w:rFonts w:ascii="Verdana" w:hAnsi="Verdana"/>
          <w:iCs/>
          <w:sz w:val="20"/>
          <w:szCs w:val="20"/>
        </w:rPr>
        <w:t>/</w:t>
      </w:r>
      <w:proofErr w:type="spellStart"/>
      <w:r w:rsidRPr="00254B47">
        <w:rPr>
          <w:rFonts w:ascii="Verdana" w:hAnsi="Verdana"/>
          <w:i/>
          <w:sz w:val="20"/>
          <w:szCs w:val="20"/>
        </w:rPr>
        <w:t>Lesingera</w:t>
      </w:r>
      <w:proofErr w:type="spellEnd"/>
      <w:r w:rsidRPr="00254B47">
        <w:rPr>
          <w:rFonts w:ascii="Verdana" w:hAnsi="Verdana"/>
          <w:sz w:val="20"/>
          <w:szCs w:val="20"/>
        </w:rPr>
        <w:t xml:space="preserve"> genomes in the Roseobacter clade that clustered phylogenetically (Figure 2). </w:t>
      </w:r>
    </w:p>
    <w:p w14:paraId="46EEA470" w14:textId="0FECA1EC" w:rsidR="00254B47" w:rsidRPr="00254B47" w:rsidRDefault="00254B47" w:rsidP="00254B47">
      <w:pPr>
        <w:spacing w:after="240"/>
        <w:ind w:firstLine="720"/>
        <w:jc w:val="both"/>
        <w:rPr>
          <w:rFonts w:ascii="Verdana" w:hAnsi="Verdana"/>
          <w:b/>
          <w:bCs/>
          <w:i/>
          <w:iCs/>
          <w:sz w:val="20"/>
          <w:szCs w:val="20"/>
        </w:rPr>
      </w:pPr>
      <w:r w:rsidRPr="00254B47">
        <w:rPr>
          <w:rFonts w:ascii="Verdana" w:hAnsi="Verdana"/>
          <w:b/>
          <w:bCs/>
          <w:i/>
          <w:iCs/>
          <w:sz w:val="20"/>
          <w:szCs w:val="20"/>
        </w:rPr>
        <w:t>Initial motif analysis</w:t>
      </w:r>
      <w:r>
        <w:rPr>
          <w:rFonts w:ascii="Verdana" w:hAnsi="Verdana"/>
          <w:b/>
          <w:bCs/>
          <w:i/>
          <w:iCs/>
          <w:sz w:val="20"/>
          <w:szCs w:val="20"/>
        </w:rPr>
        <w:t xml:space="preserve">. </w:t>
      </w:r>
      <w:r w:rsidRPr="00254B47">
        <w:rPr>
          <w:rFonts w:ascii="Verdana" w:hAnsi="Verdana"/>
          <w:sz w:val="20"/>
          <w:szCs w:val="20"/>
        </w:rPr>
        <w:t xml:space="preserve">The intergenic region of these Roseobacter genomes was assessed to identify matches defined by the significance threshold for </w:t>
      </w:r>
      <w:proofErr w:type="spellStart"/>
      <w:r w:rsidRPr="00254B47">
        <w:rPr>
          <w:rFonts w:ascii="Verdana" w:hAnsi="Verdana"/>
          <w:sz w:val="20"/>
          <w:szCs w:val="20"/>
        </w:rPr>
        <w:t>roseo</w:t>
      </w:r>
      <w:proofErr w:type="spellEnd"/>
      <w:r w:rsidRPr="00254B47">
        <w:rPr>
          <w:rFonts w:ascii="Verdana" w:hAnsi="Verdana"/>
          <w:sz w:val="20"/>
          <w:szCs w:val="20"/>
        </w:rPr>
        <w:t xml:space="preserve"> box motifs 1 and 2 (0.44 and 0.74 </w:t>
      </w:r>
      <w:proofErr w:type="spellStart"/>
      <w:r w:rsidRPr="00254B47">
        <w:rPr>
          <w:rFonts w:ascii="Verdana" w:hAnsi="Verdana"/>
          <w:sz w:val="20"/>
          <w:szCs w:val="20"/>
        </w:rPr>
        <w:t>bitscore</w:t>
      </w:r>
      <w:proofErr w:type="spellEnd"/>
      <w:r w:rsidRPr="00254B47">
        <w:rPr>
          <w:rFonts w:ascii="Verdana" w:hAnsi="Verdana"/>
          <w:sz w:val="20"/>
          <w:szCs w:val="20"/>
        </w:rPr>
        <w:t xml:space="preserve">, respectively - Supp figure). Genes up and downstream of the motif matches were inspected for analysis. Genes that were located closer (bp distance) to motif match were assumed to be under transcriptional regulation of QS. In total, 90 putative genes were identified to be transcriptionally regulated by QS via </w:t>
      </w:r>
      <w:proofErr w:type="spellStart"/>
      <w:r w:rsidRPr="00254B47">
        <w:rPr>
          <w:rFonts w:ascii="Verdana" w:hAnsi="Verdana"/>
          <w:sz w:val="20"/>
          <w:szCs w:val="20"/>
        </w:rPr>
        <w:t>roseo</w:t>
      </w:r>
      <w:proofErr w:type="spellEnd"/>
      <w:r w:rsidRPr="00254B47">
        <w:rPr>
          <w:rFonts w:ascii="Verdana" w:hAnsi="Verdana"/>
          <w:sz w:val="20"/>
          <w:szCs w:val="20"/>
        </w:rPr>
        <w:t xml:space="preserve"> box motif 1. Putative QS-controlled genes ranged from 0.02 – 0.13 % of the total genome for both motifs</w:t>
      </w:r>
      <w:r w:rsidRPr="00254B47">
        <w:rPr>
          <w:rFonts w:ascii="Verdana" w:hAnsi="Verdana"/>
          <w:sz w:val="20"/>
          <w:szCs w:val="20"/>
          <w:highlight w:val="cyan"/>
        </w:rPr>
        <w:t>.</w:t>
      </w:r>
      <w:r w:rsidRPr="00254B47">
        <w:rPr>
          <w:rFonts w:ascii="Verdana" w:hAnsi="Verdana"/>
          <w:sz w:val="20"/>
          <w:szCs w:val="20"/>
        </w:rPr>
        <w:t xml:space="preserve"> </w:t>
      </w:r>
      <w:proofErr w:type="spellStart"/>
      <w:r w:rsidRPr="00254B47">
        <w:rPr>
          <w:rFonts w:ascii="Verdana" w:hAnsi="Verdana"/>
          <w:i/>
          <w:iCs/>
          <w:sz w:val="20"/>
          <w:szCs w:val="20"/>
        </w:rPr>
        <w:t>Leisingera</w:t>
      </w:r>
      <w:proofErr w:type="spellEnd"/>
      <w:r w:rsidRPr="00254B47">
        <w:rPr>
          <w:rFonts w:ascii="Verdana" w:hAnsi="Verdana"/>
          <w:sz w:val="20"/>
          <w:szCs w:val="20"/>
        </w:rPr>
        <w:t xml:space="preserve"> sp. ANG-M1 possessed the most positive hits (6) to </w:t>
      </w:r>
      <w:proofErr w:type="spellStart"/>
      <w:r w:rsidRPr="00254B47">
        <w:rPr>
          <w:rFonts w:ascii="Verdana" w:hAnsi="Verdana"/>
          <w:sz w:val="20"/>
          <w:szCs w:val="20"/>
        </w:rPr>
        <w:t>roseo</w:t>
      </w:r>
      <w:proofErr w:type="spellEnd"/>
      <w:r w:rsidRPr="00254B47">
        <w:rPr>
          <w:rFonts w:ascii="Verdana" w:hAnsi="Verdana"/>
          <w:sz w:val="20"/>
          <w:szCs w:val="20"/>
        </w:rPr>
        <w:t xml:space="preserve"> box motif 1 representing 0.12 % of its genome. However, the highest percentage of positive hits to </w:t>
      </w:r>
      <w:proofErr w:type="spellStart"/>
      <w:r w:rsidRPr="00254B47">
        <w:rPr>
          <w:rFonts w:ascii="Verdana" w:hAnsi="Verdana"/>
          <w:sz w:val="20"/>
          <w:szCs w:val="20"/>
        </w:rPr>
        <w:t>roseo</w:t>
      </w:r>
      <w:proofErr w:type="spellEnd"/>
      <w:r w:rsidRPr="00254B47">
        <w:rPr>
          <w:rFonts w:ascii="Verdana" w:hAnsi="Verdana"/>
          <w:sz w:val="20"/>
          <w:szCs w:val="20"/>
        </w:rPr>
        <w:t xml:space="preserve"> box motif 1 compared to genes in genome belonged to </w:t>
      </w:r>
      <w:proofErr w:type="spellStart"/>
      <w:r w:rsidRPr="00254B47">
        <w:rPr>
          <w:rFonts w:ascii="Verdana" w:hAnsi="Verdana"/>
          <w:sz w:val="20"/>
          <w:szCs w:val="20"/>
        </w:rPr>
        <w:t>Phaeobacter</w:t>
      </w:r>
      <w:proofErr w:type="spellEnd"/>
      <w:r w:rsidRPr="00254B47">
        <w:rPr>
          <w:rFonts w:ascii="Verdana" w:hAnsi="Verdana"/>
          <w:sz w:val="20"/>
          <w:szCs w:val="20"/>
        </w:rPr>
        <w:t xml:space="preserve"> sp. CECT 5382 (.12%). While the lowest belongs to </w:t>
      </w:r>
      <w:proofErr w:type="spellStart"/>
      <w:r w:rsidRPr="00254B47">
        <w:rPr>
          <w:rFonts w:ascii="Verdana" w:hAnsi="Verdana"/>
          <w:i/>
          <w:iCs/>
          <w:sz w:val="20"/>
          <w:szCs w:val="20"/>
        </w:rPr>
        <w:t>Phaeobacter</w:t>
      </w:r>
      <w:proofErr w:type="spellEnd"/>
      <w:r w:rsidRPr="00254B47">
        <w:rPr>
          <w:rFonts w:ascii="Verdana" w:hAnsi="Verdana"/>
          <w:i/>
          <w:iCs/>
          <w:sz w:val="20"/>
          <w:szCs w:val="20"/>
        </w:rPr>
        <w:t xml:space="preserve"> </w:t>
      </w:r>
      <w:proofErr w:type="spellStart"/>
      <w:r w:rsidRPr="00254B47">
        <w:rPr>
          <w:rFonts w:ascii="Verdana" w:hAnsi="Verdana"/>
          <w:i/>
          <w:iCs/>
          <w:sz w:val="20"/>
          <w:szCs w:val="20"/>
        </w:rPr>
        <w:t>porticola</w:t>
      </w:r>
      <w:proofErr w:type="spellEnd"/>
      <w:r w:rsidRPr="00254B47">
        <w:rPr>
          <w:rFonts w:ascii="Verdana" w:hAnsi="Verdana"/>
          <w:sz w:val="20"/>
          <w:szCs w:val="20"/>
        </w:rPr>
        <w:t xml:space="preserve"> P97. Most matches (44 %) to </w:t>
      </w:r>
      <w:proofErr w:type="spellStart"/>
      <w:r w:rsidRPr="00254B47">
        <w:rPr>
          <w:rFonts w:ascii="Verdana" w:hAnsi="Verdana"/>
          <w:sz w:val="20"/>
          <w:szCs w:val="20"/>
        </w:rPr>
        <w:t>roseo</w:t>
      </w:r>
      <w:proofErr w:type="spellEnd"/>
      <w:r w:rsidRPr="00254B47">
        <w:rPr>
          <w:rFonts w:ascii="Verdana" w:hAnsi="Verdana"/>
          <w:sz w:val="20"/>
          <w:szCs w:val="20"/>
        </w:rPr>
        <w:t xml:space="preserve"> box motif 1 were identified in intergenic regions surrounding transcriptional regulators. Of those transcriptional regulators, nearly one third were QS homologs for </w:t>
      </w:r>
      <w:proofErr w:type="spellStart"/>
      <w:r w:rsidRPr="00254B47">
        <w:rPr>
          <w:rFonts w:ascii="Verdana" w:hAnsi="Verdana"/>
          <w:sz w:val="20"/>
          <w:szCs w:val="20"/>
        </w:rPr>
        <w:t>LuxR</w:t>
      </w:r>
      <w:proofErr w:type="spellEnd"/>
      <w:r w:rsidRPr="00254B47">
        <w:rPr>
          <w:rFonts w:ascii="Verdana" w:hAnsi="Verdana"/>
          <w:sz w:val="20"/>
          <w:szCs w:val="20"/>
        </w:rPr>
        <w:t xml:space="preserve"> or </w:t>
      </w:r>
      <w:proofErr w:type="spellStart"/>
      <w:r w:rsidRPr="00254B47">
        <w:rPr>
          <w:rFonts w:ascii="Verdana" w:hAnsi="Verdana"/>
          <w:sz w:val="20"/>
          <w:szCs w:val="20"/>
        </w:rPr>
        <w:t>CsgD</w:t>
      </w:r>
      <w:proofErr w:type="spellEnd"/>
      <w:r w:rsidRPr="00254B47">
        <w:rPr>
          <w:rFonts w:ascii="Verdana" w:hAnsi="Verdana"/>
          <w:sz w:val="20"/>
          <w:szCs w:val="20"/>
        </w:rPr>
        <w:t xml:space="preserve"> family transcriptional regulators. </w:t>
      </w:r>
      <w:proofErr w:type="gramStart"/>
      <w:r w:rsidRPr="00254B47">
        <w:rPr>
          <w:rFonts w:ascii="Verdana" w:hAnsi="Verdana"/>
          <w:sz w:val="20"/>
          <w:szCs w:val="20"/>
        </w:rPr>
        <w:t>A number of</w:t>
      </w:r>
      <w:proofErr w:type="gramEnd"/>
      <w:r w:rsidRPr="00254B47">
        <w:rPr>
          <w:rFonts w:ascii="Verdana" w:hAnsi="Verdana"/>
          <w:sz w:val="20"/>
          <w:szCs w:val="20"/>
        </w:rPr>
        <w:t xml:space="preserve"> unique, not directly associated with QS, transcriptional factors were also identified in this search: </w:t>
      </w:r>
      <w:proofErr w:type="spellStart"/>
      <w:r w:rsidRPr="00254B47">
        <w:rPr>
          <w:rFonts w:ascii="Verdana" w:hAnsi="Verdana"/>
          <w:sz w:val="20"/>
          <w:szCs w:val="20"/>
        </w:rPr>
        <w:t>Lrp</w:t>
      </w:r>
      <w:proofErr w:type="spellEnd"/>
      <w:r w:rsidRPr="00254B47">
        <w:rPr>
          <w:rFonts w:ascii="Verdana" w:hAnsi="Verdana"/>
          <w:sz w:val="20"/>
          <w:szCs w:val="20"/>
        </w:rPr>
        <w:t>/</w:t>
      </w:r>
      <w:proofErr w:type="spellStart"/>
      <w:r w:rsidRPr="00254B47">
        <w:rPr>
          <w:rFonts w:ascii="Verdana" w:hAnsi="Verdana"/>
          <w:sz w:val="20"/>
          <w:szCs w:val="20"/>
        </w:rPr>
        <w:t>AsnC</w:t>
      </w:r>
      <w:proofErr w:type="spellEnd"/>
      <w:r w:rsidRPr="00254B47">
        <w:rPr>
          <w:rFonts w:ascii="Verdana" w:hAnsi="Verdana"/>
          <w:sz w:val="20"/>
          <w:szCs w:val="20"/>
        </w:rPr>
        <w:t xml:space="preserve"> family regulators, </w:t>
      </w:r>
      <w:proofErr w:type="spellStart"/>
      <w:r w:rsidRPr="00254B47">
        <w:rPr>
          <w:rFonts w:ascii="Verdana" w:hAnsi="Verdana"/>
          <w:sz w:val="20"/>
          <w:szCs w:val="20"/>
        </w:rPr>
        <w:t>PtsN</w:t>
      </w:r>
      <w:proofErr w:type="spellEnd"/>
      <w:r w:rsidRPr="00254B47">
        <w:rPr>
          <w:rFonts w:ascii="Verdana" w:hAnsi="Verdana"/>
          <w:sz w:val="20"/>
          <w:szCs w:val="20"/>
        </w:rPr>
        <w:t xml:space="preserve">, </w:t>
      </w:r>
      <w:proofErr w:type="spellStart"/>
      <w:r w:rsidRPr="00254B47">
        <w:rPr>
          <w:rFonts w:ascii="Verdana" w:hAnsi="Verdana"/>
          <w:sz w:val="20"/>
          <w:szCs w:val="20"/>
        </w:rPr>
        <w:t>RpoE</w:t>
      </w:r>
      <w:proofErr w:type="spellEnd"/>
      <w:r w:rsidRPr="00254B47">
        <w:rPr>
          <w:rFonts w:ascii="Verdana" w:hAnsi="Verdana"/>
          <w:sz w:val="20"/>
          <w:szCs w:val="20"/>
        </w:rPr>
        <w:t>/</w:t>
      </w:r>
      <w:proofErr w:type="spellStart"/>
      <w:r w:rsidRPr="00254B47">
        <w:rPr>
          <w:rFonts w:ascii="Verdana" w:hAnsi="Verdana"/>
          <w:sz w:val="20"/>
          <w:szCs w:val="20"/>
        </w:rPr>
        <w:t>Fis</w:t>
      </w:r>
      <w:proofErr w:type="spellEnd"/>
      <w:r w:rsidRPr="00254B47">
        <w:rPr>
          <w:rFonts w:ascii="Verdana" w:hAnsi="Verdana"/>
          <w:sz w:val="20"/>
          <w:szCs w:val="20"/>
        </w:rPr>
        <w:t xml:space="preserve">, </w:t>
      </w:r>
      <w:proofErr w:type="spellStart"/>
      <w:r w:rsidRPr="00254B47">
        <w:rPr>
          <w:rFonts w:ascii="Verdana" w:hAnsi="Verdana"/>
          <w:sz w:val="20"/>
          <w:szCs w:val="20"/>
        </w:rPr>
        <w:t>NtrC</w:t>
      </w:r>
      <w:proofErr w:type="spellEnd"/>
      <w:r w:rsidRPr="00254B47">
        <w:rPr>
          <w:rFonts w:ascii="Verdana" w:hAnsi="Verdana"/>
          <w:sz w:val="20"/>
          <w:szCs w:val="20"/>
        </w:rPr>
        <w:t>/</w:t>
      </w:r>
      <w:proofErr w:type="spellStart"/>
      <w:r w:rsidRPr="00254B47">
        <w:rPr>
          <w:rFonts w:ascii="Verdana" w:hAnsi="Verdana"/>
          <w:sz w:val="20"/>
          <w:szCs w:val="20"/>
        </w:rPr>
        <w:t>RpoE</w:t>
      </w:r>
      <w:proofErr w:type="spellEnd"/>
      <w:r w:rsidRPr="00254B47">
        <w:rPr>
          <w:rFonts w:ascii="Verdana" w:hAnsi="Verdana"/>
          <w:sz w:val="20"/>
          <w:szCs w:val="20"/>
        </w:rPr>
        <w:t xml:space="preserve">, </w:t>
      </w:r>
      <w:proofErr w:type="spellStart"/>
      <w:r w:rsidRPr="00254B47">
        <w:rPr>
          <w:rFonts w:ascii="Verdana" w:hAnsi="Verdana"/>
          <w:sz w:val="20"/>
          <w:szCs w:val="20"/>
        </w:rPr>
        <w:t>GntR</w:t>
      </w:r>
      <w:proofErr w:type="spellEnd"/>
      <w:r w:rsidRPr="00254B47">
        <w:rPr>
          <w:rFonts w:ascii="Verdana" w:hAnsi="Verdana"/>
          <w:sz w:val="20"/>
          <w:szCs w:val="20"/>
        </w:rPr>
        <w:t xml:space="preserve">, </w:t>
      </w:r>
      <w:proofErr w:type="spellStart"/>
      <w:r w:rsidRPr="00254B47">
        <w:rPr>
          <w:rFonts w:ascii="Verdana" w:hAnsi="Verdana"/>
          <w:sz w:val="20"/>
          <w:szCs w:val="20"/>
        </w:rPr>
        <w:t>LysR</w:t>
      </w:r>
      <w:proofErr w:type="spellEnd"/>
      <w:r w:rsidRPr="00254B47">
        <w:rPr>
          <w:rFonts w:ascii="Verdana" w:hAnsi="Verdana"/>
          <w:sz w:val="20"/>
          <w:szCs w:val="20"/>
        </w:rPr>
        <w:t xml:space="preserve">, </w:t>
      </w:r>
      <w:proofErr w:type="spellStart"/>
      <w:r w:rsidRPr="00254B47">
        <w:rPr>
          <w:rFonts w:ascii="Verdana" w:hAnsi="Verdana"/>
          <w:sz w:val="20"/>
          <w:szCs w:val="20"/>
        </w:rPr>
        <w:t>OmpR</w:t>
      </w:r>
      <w:proofErr w:type="spellEnd"/>
      <w:r w:rsidRPr="00254B47">
        <w:rPr>
          <w:rFonts w:ascii="Verdana" w:hAnsi="Verdana"/>
          <w:sz w:val="20"/>
          <w:szCs w:val="20"/>
        </w:rPr>
        <w:t xml:space="preserve"> family protein </w:t>
      </w:r>
      <w:proofErr w:type="spellStart"/>
      <w:r w:rsidRPr="00254B47">
        <w:rPr>
          <w:rFonts w:ascii="Verdana" w:hAnsi="Verdana"/>
          <w:sz w:val="20"/>
          <w:szCs w:val="20"/>
        </w:rPr>
        <w:t>EnvZ</w:t>
      </w:r>
      <w:proofErr w:type="spellEnd"/>
      <w:r w:rsidRPr="00254B47">
        <w:rPr>
          <w:rFonts w:ascii="Verdana" w:hAnsi="Verdana"/>
          <w:sz w:val="20"/>
          <w:szCs w:val="20"/>
        </w:rPr>
        <w:t xml:space="preserve">. </w:t>
      </w:r>
      <w:proofErr w:type="spellStart"/>
      <w:r w:rsidRPr="00254B47">
        <w:rPr>
          <w:rFonts w:ascii="Verdana" w:hAnsi="Verdana"/>
          <w:sz w:val="20"/>
          <w:szCs w:val="20"/>
        </w:rPr>
        <w:t>Roseo</w:t>
      </w:r>
      <w:proofErr w:type="spellEnd"/>
      <w:r w:rsidRPr="00254B47">
        <w:rPr>
          <w:rFonts w:ascii="Verdana" w:hAnsi="Verdana"/>
          <w:sz w:val="20"/>
          <w:szCs w:val="20"/>
        </w:rPr>
        <w:t xml:space="preserve"> box motif 1 matches were also identified in intergenic regions of genes that are not classified as transcriptional regulators: Cytochrome P450, methyl-accepting chemotaxis proteins (MCPs), </w:t>
      </w:r>
      <w:proofErr w:type="spellStart"/>
      <w:r w:rsidRPr="00254B47">
        <w:rPr>
          <w:rFonts w:ascii="Verdana" w:hAnsi="Verdana"/>
          <w:sz w:val="20"/>
          <w:szCs w:val="20"/>
        </w:rPr>
        <w:t>amidophosphoribosyltransferase</w:t>
      </w:r>
      <w:proofErr w:type="spellEnd"/>
      <w:r w:rsidRPr="00254B47">
        <w:rPr>
          <w:rFonts w:ascii="Verdana" w:hAnsi="Verdana"/>
          <w:sz w:val="20"/>
          <w:szCs w:val="20"/>
        </w:rPr>
        <w:t>/</w:t>
      </w:r>
      <w:proofErr w:type="spellStart"/>
      <w:r w:rsidRPr="00254B47">
        <w:rPr>
          <w:rFonts w:ascii="Verdana" w:hAnsi="Verdana"/>
          <w:sz w:val="20"/>
          <w:szCs w:val="20"/>
        </w:rPr>
        <w:t>AmtB</w:t>
      </w:r>
      <w:proofErr w:type="spellEnd"/>
      <w:r w:rsidRPr="00254B47">
        <w:rPr>
          <w:rFonts w:ascii="Verdana" w:hAnsi="Verdana"/>
          <w:sz w:val="20"/>
          <w:szCs w:val="20"/>
        </w:rPr>
        <w:t>, transposases, and uridylate kinase. In fact, an overwhelming number of matches (21 %) were identified as the intergenic regions surrounding a (R)-</w:t>
      </w:r>
      <w:proofErr w:type="spellStart"/>
      <w:r w:rsidRPr="00254B47">
        <w:rPr>
          <w:rFonts w:ascii="Verdana" w:hAnsi="Verdana"/>
          <w:sz w:val="20"/>
          <w:szCs w:val="20"/>
        </w:rPr>
        <w:t>ethylmalonyl</w:t>
      </w:r>
      <w:proofErr w:type="spellEnd"/>
      <w:r w:rsidRPr="00254B47">
        <w:rPr>
          <w:rFonts w:ascii="Verdana" w:hAnsi="Verdana"/>
          <w:sz w:val="20"/>
          <w:szCs w:val="20"/>
        </w:rPr>
        <w:t>-CoA mutase. However, in all cases, motif matches were closer to a conserved hypothetical protein (CHP) upstream of (R)-</w:t>
      </w:r>
      <w:proofErr w:type="spellStart"/>
      <w:r w:rsidRPr="00254B47">
        <w:rPr>
          <w:rFonts w:ascii="Verdana" w:hAnsi="Verdana"/>
          <w:sz w:val="20"/>
          <w:szCs w:val="20"/>
        </w:rPr>
        <w:t>ethylmalonyl</w:t>
      </w:r>
      <w:proofErr w:type="spellEnd"/>
      <w:r w:rsidRPr="00254B47">
        <w:rPr>
          <w:rFonts w:ascii="Verdana" w:hAnsi="Verdana"/>
          <w:sz w:val="20"/>
          <w:szCs w:val="20"/>
        </w:rPr>
        <w:t xml:space="preserve">-CoA mutase. Given the prevalence of this gene and the gene neighborhood synteny in these genomes, we posit that these two genes make up an operon that is regulated by QS via </w:t>
      </w:r>
      <w:proofErr w:type="spellStart"/>
      <w:r w:rsidRPr="00254B47">
        <w:rPr>
          <w:rFonts w:ascii="Verdana" w:hAnsi="Verdana"/>
          <w:sz w:val="20"/>
          <w:szCs w:val="20"/>
        </w:rPr>
        <w:t>roseo</w:t>
      </w:r>
      <w:proofErr w:type="spellEnd"/>
      <w:r w:rsidRPr="00254B47">
        <w:rPr>
          <w:rFonts w:ascii="Verdana" w:hAnsi="Verdana"/>
          <w:sz w:val="20"/>
          <w:szCs w:val="20"/>
        </w:rPr>
        <w:t xml:space="preserve"> box 1. A handful of conserved hypothetical proteins and domains of unknown functions (DUFs) were also identified </w:t>
      </w:r>
      <w:r w:rsidRPr="00254B47">
        <w:rPr>
          <w:rFonts w:ascii="Verdana" w:hAnsi="Verdana"/>
          <w:b/>
          <w:sz w:val="20"/>
          <w:szCs w:val="20"/>
        </w:rPr>
        <w:t>(Table 1).</w:t>
      </w:r>
      <w:r w:rsidRPr="00254B47">
        <w:rPr>
          <w:rFonts w:ascii="Verdana" w:hAnsi="Verdana"/>
          <w:b/>
          <w:bCs/>
          <w:sz w:val="20"/>
          <w:szCs w:val="20"/>
        </w:rPr>
        <w:t xml:space="preserve">  </w:t>
      </w:r>
    </w:p>
    <w:p w14:paraId="4C273E2B" w14:textId="59551E51" w:rsidR="00254B47" w:rsidRPr="00254B47" w:rsidRDefault="00254B47" w:rsidP="00254B47">
      <w:pPr>
        <w:spacing w:after="240"/>
        <w:ind w:firstLine="720"/>
        <w:jc w:val="both"/>
        <w:rPr>
          <w:rFonts w:ascii="Verdana" w:hAnsi="Verdana"/>
          <w:sz w:val="20"/>
          <w:szCs w:val="20"/>
        </w:rPr>
      </w:pPr>
      <w:r w:rsidRPr="00254B47">
        <w:rPr>
          <w:rFonts w:ascii="Verdana" w:hAnsi="Verdana"/>
          <w:sz w:val="20"/>
          <w:szCs w:val="20"/>
        </w:rPr>
        <w:t xml:space="preserve">Among the 30 Roseobacter genomes queried, 50 putative genes were identified to be transcriptionally regulated by QS via </w:t>
      </w:r>
      <w:proofErr w:type="spellStart"/>
      <w:r w:rsidRPr="00254B47">
        <w:rPr>
          <w:rFonts w:ascii="Verdana" w:hAnsi="Verdana"/>
          <w:sz w:val="20"/>
          <w:szCs w:val="20"/>
        </w:rPr>
        <w:t>roseo</w:t>
      </w:r>
      <w:proofErr w:type="spellEnd"/>
      <w:r w:rsidRPr="00254B47">
        <w:rPr>
          <w:rFonts w:ascii="Verdana" w:hAnsi="Verdana"/>
          <w:sz w:val="20"/>
          <w:szCs w:val="20"/>
        </w:rPr>
        <w:t xml:space="preserve"> box motif 2. </w:t>
      </w:r>
      <w:proofErr w:type="spellStart"/>
      <w:r w:rsidRPr="00254B47">
        <w:rPr>
          <w:rFonts w:ascii="Verdana" w:hAnsi="Verdana"/>
          <w:i/>
          <w:iCs/>
          <w:sz w:val="20"/>
          <w:szCs w:val="20"/>
        </w:rPr>
        <w:t>Phaeobacter</w:t>
      </w:r>
      <w:proofErr w:type="spellEnd"/>
      <w:r w:rsidRPr="00254B47">
        <w:rPr>
          <w:rFonts w:ascii="Verdana" w:hAnsi="Verdana"/>
          <w:i/>
          <w:iCs/>
          <w:sz w:val="20"/>
          <w:szCs w:val="20"/>
        </w:rPr>
        <w:t xml:space="preserve"> </w:t>
      </w:r>
      <w:proofErr w:type="spellStart"/>
      <w:r w:rsidRPr="00254B47">
        <w:rPr>
          <w:rFonts w:ascii="Verdana" w:hAnsi="Verdana"/>
          <w:i/>
          <w:iCs/>
          <w:sz w:val="20"/>
          <w:szCs w:val="20"/>
        </w:rPr>
        <w:t>inhibens</w:t>
      </w:r>
      <w:proofErr w:type="spellEnd"/>
      <w:r w:rsidRPr="00254B47">
        <w:rPr>
          <w:rFonts w:ascii="Verdana" w:hAnsi="Verdana"/>
          <w:i/>
          <w:iCs/>
          <w:sz w:val="20"/>
          <w:szCs w:val="20"/>
        </w:rPr>
        <w:t xml:space="preserve"> </w:t>
      </w:r>
      <w:r w:rsidRPr="00254B47">
        <w:rPr>
          <w:rFonts w:ascii="Verdana" w:hAnsi="Verdana"/>
          <w:sz w:val="20"/>
          <w:szCs w:val="20"/>
        </w:rPr>
        <w:t xml:space="preserve">S4Sm possessed both the most positive hits to </w:t>
      </w:r>
      <w:proofErr w:type="spellStart"/>
      <w:r w:rsidRPr="00254B47">
        <w:rPr>
          <w:rFonts w:ascii="Verdana" w:hAnsi="Verdana"/>
          <w:sz w:val="20"/>
          <w:szCs w:val="20"/>
        </w:rPr>
        <w:t>roseo</w:t>
      </w:r>
      <w:proofErr w:type="spellEnd"/>
      <w:r w:rsidRPr="00254B47">
        <w:rPr>
          <w:rFonts w:ascii="Verdana" w:hAnsi="Verdana"/>
          <w:sz w:val="20"/>
          <w:szCs w:val="20"/>
        </w:rPr>
        <w:t xml:space="preserve"> box motif 2 (5) and the highest percentage of its genes to be transcriptionally regulated by QS (0.11 %), while </w:t>
      </w:r>
      <w:proofErr w:type="spellStart"/>
      <w:r w:rsidRPr="00254B47">
        <w:rPr>
          <w:rFonts w:ascii="Verdana" w:hAnsi="Verdana"/>
          <w:i/>
          <w:iCs/>
          <w:sz w:val="20"/>
          <w:szCs w:val="20"/>
        </w:rPr>
        <w:t>Leisingera</w:t>
      </w:r>
      <w:proofErr w:type="spellEnd"/>
      <w:r w:rsidRPr="00254B47">
        <w:rPr>
          <w:rFonts w:ascii="Verdana" w:hAnsi="Verdana"/>
          <w:i/>
          <w:iCs/>
          <w:sz w:val="20"/>
          <w:szCs w:val="20"/>
        </w:rPr>
        <w:t xml:space="preserve"> </w:t>
      </w:r>
      <w:proofErr w:type="spellStart"/>
      <w:r w:rsidRPr="00254B47">
        <w:rPr>
          <w:rFonts w:ascii="Verdana" w:hAnsi="Verdana"/>
          <w:i/>
          <w:iCs/>
          <w:sz w:val="20"/>
          <w:szCs w:val="20"/>
        </w:rPr>
        <w:t>methylohalidivorans</w:t>
      </w:r>
      <w:proofErr w:type="spellEnd"/>
      <w:r w:rsidRPr="00254B47">
        <w:rPr>
          <w:rFonts w:ascii="Verdana" w:hAnsi="Verdana"/>
          <w:sz w:val="20"/>
          <w:szCs w:val="20"/>
        </w:rPr>
        <w:t xml:space="preserve"> MB2, DSM 14336 represents the lower end of the spectrum with only 0.021% of its genes transcriptionally regulated by QS. Similar to </w:t>
      </w:r>
      <w:proofErr w:type="spellStart"/>
      <w:r w:rsidRPr="00254B47">
        <w:rPr>
          <w:rFonts w:ascii="Verdana" w:hAnsi="Verdana"/>
          <w:sz w:val="20"/>
          <w:szCs w:val="20"/>
        </w:rPr>
        <w:t>roseo</w:t>
      </w:r>
      <w:proofErr w:type="spellEnd"/>
      <w:r w:rsidRPr="00254B47">
        <w:rPr>
          <w:rFonts w:ascii="Verdana" w:hAnsi="Verdana"/>
          <w:sz w:val="20"/>
          <w:szCs w:val="20"/>
        </w:rPr>
        <w:t xml:space="preserve"> box motif 1, the second motif returned 38% positive hits to the intergenic regions near transcriptional regulators, all but one </w:t>
      </w:r>
      <w:proofErr w:type="gramStart"/>
      <w:r w:rsidRPr="00254B47">
        <w:rPr>
          <w:rFonts w:ascii="Verdana" w:hAnsi="Verdana"/>
          <w:sz w:val="20"/>
          <w:szCs w:val="20"/>
        </w:rPr>
        <w:t>were</w:t>
      </w:r>
      <w:proofErr w:type="gramEnd"/>
      <w:r w:rsidRPr="00254B47">
        <w:rPr>
          <w:rFonts w:ascii="Verdana" w:hAnsi="Verdana"/>
          <w:sz w:val="20"/>
          <w:szCs w:val="20"/>
        </w:rPr>
        <w:t xml:space="preserve"> QS homologs for </w:t>
      </w:r>
      <w:proofErr w:type="spellStart"/>
      <w:r w:rsidRPr="00254B47">
        <w:rPr>
          <w:rFonts w:ascii="Verdana" w:hAnsi="Verdana"/>
          <w:sz w:val="20"/>
          <w:szCs w:val="20"/>
        </w:rPr>
        <w:t>LuxR</w:t>
      </w:r>
      <w:proofErr w:type="spellEnd"/>
      <w:r w:rsidRPr="00254B47">
        <w:rPr>
          <w:rFonts w:ascii="Verdana" w:hAnsi="Verdana"/>
          <w:sz w:val="20"/>
          <w:szCs w:val="20"/>
        </w:rPr>
        <w:t xml:space="preserve"> or </w:t>
      </w:r>
      <w:proofErr w:type="spellStart"/>
      <w:r w:rsidRPr="00254B47">
        <w:rPr>
          <w:rFonts w:ascii="Verdana" w:hAnsi="Verdana"/>
          <w:sz w:val="20"/>
          <w:szCs w:val="20"/>
        </w:rPr>
        <w:t>CsgD</w:t>
      </w:r>
      <w:proofErr w:type="spellEnd"/>
      <w:r w:rsidRPr="00254B47">
        <w:rPr>
          <w:rFonts w:ascii="Verdana" w:hAnsi="Verdana"/>
          <w:sz w:val="20"/>
          <w:szCs w:val="20"/>
        </w:rPr>
        <w:t xml:space="preserve"> family transcriptional regulators. The one transcriptional regulator not belonging to </w:t>
      </w:r>
      <w:proofErr w:type="spellStart"/>
      <w:r w:rsidRPr="00254B47">
        <w:rPr>
          <w:rFonts w:ascii="Verdana" w:hAnsi="Verdana"/>
          <w:sz w:val="20"/>
          <w:szCs w:val="20"/>
        </w:rPr>
        <w:t>LuxR</w:t>
      </w:r>
      <w:proofErr w:type="spellEnd"/>
      <w:r w:rsidRPr="00254B47">
        <w:rPr>
          <w:rFonts w:ascii="Verdana" w:hAnsi="Verdana"/>
          <w:sz w:val="20"/>
          <w:szCs w:val="20"/>
        </w:rPr>
        <w:t xml:space="preserve"> or </w:t>
      </w:r>
      <w:proofErr w:type="spellStart"/>
      <w:r w:rsidRPr="00254B47">
        <w:rPr>
          <w:rFonts w:ascii="Verdana" w:hAnsi="Verdana"/>
          <w:sz w:val="20"/>
          <w:szCs w:val="20"/>
        </w:rPr>
        <w:t>CsgD</w:t>
      </w:r>
      <w:proofErr w:type="spellEnd"/>
      <w:r w:rsidRPr="00254B47">
        <w:rPr>
          <w:rFonts w:ascii="Verdana" w:hAnsi="Verdana"/>
          <w:sz w:val="20"/>
          <w:szCs w:val="20"/>
        </w:rPr>
        <w:t xml:space="preserve"> family of transcriptional regulators was identified as the cell cycle response regulator, </w:t>
      </w:r>
      <w:proofErr w:type="spellStart"/>
      <w:r w:rsidRPr="00254B47">
        <w:rPr>
          <w:rFonts w:ascii="Verdana" w:hAnsi="Verdana"/>
          <w:sz w:val="20"/>
          <w:szCs w:val="20"/>
        </w:rPr>
        <w:t>CtrA</w:t>
      </w:r>
      <w:proofErr w:type="spellEnd"/>
      <w:r w:rsidRPr="00254B47">
        <w:rPr>
          <w:rFonts w:ascii="Verdana" w:hAnsi="Verdana"/>
          <w:sz w:val="20"/>
          <w:szCs w:val="20"/>
        </w:rPr>
        <w:t xml:space="preserve">. However, it should be noted that nearest gene in this intergenic region matching </w:t>
      </w:r>
      <w:proofErr w:type="spellStart"/>
      <w:r w:rsidRPr="00254B47">
        <w:rPr>
          <w:rFonts w:ascii="Verdana" w:hAnsi="Verdana"/>
          <w:sz w:val="20"/>
          <w:szCs w:val="20"/>
        </w:rPr>
        <w:t>roseo</w:t>
      </w:r>
      <w:proofErr w:type="spellEnd"/>
      <w:r w:rsidRPr="00254B47">
        <w:rPr>
          <w:rFonts w:ascii="Verdana" w:hAnsi="Verdana"/>
          <w:sz w:val="20"/>
          <w:szCs w:val="20"/>
        </w:rPr>
        <w:t xml:space="preserve"> box motif 2 belonged to a hypothetical protein. The distance from the motif match between these two genes differed by ~ 50 bp. Given the integration of </w:t>
      </w:r>
      <w:proofErr w:type="spellStart"/>
      <w:r w:rsidRPr="00254B47">
        <w:rPr>
          <w:rFonts w:ascii="Verdana" w:hAnsi="Verdana"/>
          <w:sz w:val="20"/>
          <w:szCs w:val="20"/>
        </w:rPr>
        <w:t>CtrA</w:t>
      </w:r>
      <w:proofErr w:type="spellEnd"/>
      <w:r w:rsidRPr="00254B47">
        <w:rPr>
          <w:rFonts w:ascii="Verdana" w:hAnsi="Verdana"/>
          <w:sz w:val="20"/>
          <w:szCs w:val="20"/>
        </w:rPr>
        <w:t xml:space="preserve"> into QS regulatory networks (Cite), it is likely that QS via </w:t>
      </w:r>
      <w:proofErr w:type="spellStart"/>
      <w:r w:rsidRPr="00254B47">
        <w:rPr>
          <w:rFonts w:ascii="Verdana" w:hAnsi="Verdana"/>
          <w:sz w:val="20"/>
          <w:szCs w:val="20"/>
        </w:rPr>
        <w:t>roseo</w:t>
      </w:r>
      <w:proofErr w:type="spellEnd"/>
      <w:r w:rsidRPr="00254B47">
        <w:rPr>
          <w:rFonts w:ascii="Verdana" w:hAnsi="Verdana"/>
          <w:sz w:val="20"/>
          <w:szCs w:val="20"/>
        </w:rPr>
        <w:t xml:space="preserve"> box motif 2 transcriptionally controls </w:t>
      </w:r>
      <w:proofErr w:type="spellStart"/>
      <w:r w:rsidRPr="00254B47">
        <w:rPr>
          <w:rFonts w:ascii="Verdana" w:hAnsi="Verdana"/>
          <w:i/>
          <w:iCs/>
          <w:sz w:val="20"/>
          <w:szCs w:val="20"/>
        </w:rPr>
        <w:t>ctrA</w:t>
      </w:r>
      <w:proofErr w:type="spellEnd"/>
      <w:r w:rsidRPr="00254B47">
        <w:rPr>
          <w:rFonts w:ascii="Verdana" w:hAnsi="Verdana"/>
          <w:sz w:val="20"/>
          <w:szCs w:val="20"/>
        </w:rPr>
        <w:t xml:space="preserve"> found in </w:t>
      </w:r>
      <w:proofErr w:type="spellStart"/>
      <w:r w:rsidRPr="00254B47">
        <w:rPr>
          <w:rFonts w:ascii="Verdana" w:hAnsi="Verdana"/>
          <w:i/>
          <w:iCs/>
          <w:sz w:val="20"/>
          <w:szCs w:val="20"/>
        </w:rPr>
        <w:t>Leisingera</w:t>
      </w:r>
      <w:proofErr w:type="spellEnd"/>
      <w:r w:rsidRPr="00254B47">
        <w:rPr>
          <w:rFonts w:ascii="Verdana" w:hAnsi="Verdana"/>
          <w:i/>
          <w:iCs/>
          <w:sz w:val="20"/>
          <w:szCs w:val="20"/>
        </w:rPr>
        <w:t xml:space="preserve"> </w:t>
      </w:r>
      <w:proofErr w:type="spellStart"/>
      <w:r w:rsidRPr="00254B47">
        <w:rPr>
          <w:rFonts w:ascii="Verdana" w:hAnsi="Verdana"/>
          <w:i/>
          <w:iCs/>
          <w:sz w:val="20"/>
          <w:szCs w:val="20"/>
        </w:rPr>
        <w:t>caerulea</w:t>
      </w:r>
      <w:proofErr w:type="spellEnd"/>
      <w:r w:rsidRPr="00254B47">
        <w:rPr>
          <w:rFonts w:ascii="Verdana" w:hAnsi="Verdana"/>
          <w:sz w:val="20"/>
          <w:szCs w:val="20"/>
        </w:rPr>
        <w:t xml:space="preserve"> DSM 24564.  Other matches to </w:t>
      </w:r>
      <w:proofErr w:type="spellStart"/>
      <w:r w:rsidRPr="00254B47">
        <w:rPr>
          <w:rFonts w:ascii="Verdana" w:hAnsi="Verdana"/>
          <w:sz w:val="20"/>
          <w:szCs w:val="20"/>
        </w:rPr>
        <w:t>roseo</w:t>
      </w:r>
      <w:proofErr w:type="spellEnd"/>
      <w:r w:rsidRPr="00254B47">
        <w:rPr>
          <w:rFonts w:ascii="Verdana" w:hAnsi="Verdana"/>
          <w:sz w:val="20"/>
          <w:szCs w:val="20"/>
        </w:rPr>
        <w:t xml:space="preserve"> box motif 2 were found in the intergenic regions surrounding: transposases, type VI secretion system, acetyl esterase, and oxidoreductases (salicylate hydroxylase; </w:t>
      </w:r>
      <w:proofErr w:type="spellStart"/>
      <w:r w:rsidRPr="00254B47">
        <w:rPr>
          <w:rFonts w:ascii="Verdana" w:hAnsi="Verdana"/>
          <w:sz w:val="20"/>
          <w:szCs w:val="20"/>
        </w:rPr>
        <w:t>homogentisate</w:t>
      </w:r>
      <w:proofErr w:type="spellEnd"/>
      <w:r w:rsidRPr="00254B47">
        <w:rPr>
          <w:rFonts w:ascii="Verdana" w:hAnsi="Verdana"/>
          <w:sz w:val="20"/>
          <w:szCs w:val="20"/>
        </w:rPr>
        <w:t xml:space="preserve"> 1,</w:t>
      </w:r>
      <w:proofErr w:type="gramStart"/>
      <w:r w:rsidRPr="00254B47">
        <w:rPr>
          <w:rFonts w:ascii="Verdana" w:hAnsi="Verdana"/>
          <w:sz w:val="20"/>
          <w:szCs w:val="20"/>
        </w:rPr>
        <w:t>2,-</w:t>
      </w:r>
      <w:proofErr w:type="gramEnd"/>
      <w:r w:rsidRPr="00254B47">
        <w:rPr>
          <w:rFonts w:ascii="Verdana" w:hAnsi="Verdana"/>
          <w:sz w:val="20"/>
          <w:szCs w:val="20"/>
        </w:rPr>
        <w:t xml:space="preserve">dioxygenase, Catechol 2,3-dioxygenase). 18% of matches to </w:t>
      </w:r>
      <w:proofErr w:type="spellStart"/>
      <w:r w:rsidRPr="00254B47">
        <w:rPr>
          <w:rFonts w:ascii="Verdana" w:hAnsi="Verdana"/>
          <w:sz w:val="20"/>
          <w:szCs w:val="20"/>
        </w:rPr>
        <w:t>roseo</w:t>
      </w:r>
      <w:proofErr w:type="spellEnd"/>
      <w:r w:rsidRPr="00254B47">
        <w:rPr>
          <w:rFonts w:ascii="Verdana" w:hAnsi="Verdana"/>
          <w:sz w:val="20"/>
          <w:szCs w:val="20"/>
        </w:rPr>
        <w:t xml:space="preserve"> box motif 2 were found in the intergenic region of (R)-</w:t>
      </w:r>
      <w:proofErr w:type="spellStart"/>
      <w:r w:rsidRPr="00254B47">
        <w:rPr>
          <w:rFonts w:ascii="Verdana" w:hAnsi="Verdana"/>
          <w:sz w:val="20"/>
          <w:szCs w:val="20"/>
        </w:rPr>
        <w:t>ethylmalonyl</w:t>
      </w:r>
      <w:proofErr w:type="spellEnd"/>
      <w:r w:rsidRPr="00254B47">
        <w:rPr>
          <w:rFonts w:ascii="Verdana" w:hAnsi="Verdana"/>
          <w:sz w:val="20"/>
          <w:szCs w:val="20"/>
        </w:rPr>
        <w:t xml:space="preserve">-CoA-mutase indicating some degree of overlap in the conservative areas </w:t>
      </w:r>
      <w:r w:rsidRPr="00254B47">
        <w:rPr>
          <w:rFonts w:ascii="Verdana" w:hAnsi="Verdana"/>
          <w:sz w:val="20"/>
          <w:szCs w:val="20"/>
        </w:rPr>
        <w:lastRenderedPageBreak/>
        <w:t>in each motif. That both motifs returned positive hits in regions corresponding to (R)-</w:t>
      </w:r>
      <w:proofErr w:type="spellStart"/>
      <w:r w:rsidRPr="00254B47">
        <w:rPr>
          <w:rFonts w:ascii="Verdana" w:hAnsi="Verdana"/>
          <w:sz w:val="20"/>
          <w:szCs w:val="20"/>
        </w:rPr>
        <w:t>ethylmalonyl</w:t>
      </w:r>
      <w:proofErr w:type="spellEnd"/>
      <w:r w:rsidRPr="00254B47">
        <w:rPr>
          <w:rFonts w:ascii="Verdana" w:hAnsi="Verdana"/>
          <w:sz w:val="20"/>
          <w:szCs w:val="20"/>
        </w:rPr>
        <w:t xml:space="preserve">-CoA-mutase is a strong indication that this gene is under the transcriptional regulation of QS </w:t>
      </w:r>
      <w:r w:rsidRPr="00254B47">
        <w:rPr>
          <w:rFonts w:ascii="Verdana" w:hAnsi="Verdana"/>
          <w:b/>
          <w:sz w:val="20"/>
          <w:szCs w:val="20"/>
        </w:rPr>
        <w:t>(Table 2)</w:t>
      </w:r>
      <w:r w:rsidRPr="00254B47">
        <w:rPr>
          <w:rFonts w:ascii="Verdana" w:hAnsi="Verdana"/>
          <w:sz w:val="20"/>
          <w:szCs w:val="20"/>
        </w:rPr>
        <w:t xml:space="preserve">. </w:t>
      </w:r>
    </w:p>
    <w:p w14:paraId="1F264DBB" w14:textId="1E5247CA" w:rsidR="0092091F" w:rsidRPr="00254B47" w:rsidRDefault="00254B47" w:rsidP="00254B47">
      <w:pPr>
        <w:spacing w:after="240"/>
        <w:ind w:firstLine="720"/>
        <w:jc w:val="both"/>
        <w:rPr>
          <w:rFonts w:ascii="Verdana" w:hAnsi="Verdana"/>
          <w:i/>
          <w:iCs/>
          <w:sz w:val="20"/>
          <w:szCs w:val="20"/>
        </w:rPr>
      </w:pPr>
      <w:r w:rsidRPr="00254B47">
        <w:rPr>
          <w:rFonts w:ascii="Verdana" w:hAnsi="Verdana"/>
          <w:b/>
          <w:bCs/>
          <w:i/>
          <w:iCs/>
          <w:sz w:val="20"/>
          <w:szCs w:val="20"/>
        </w:rPr>
        <w:t>Iterative motif analysis</w:t>
      </w:r>
      <w:r w:rsidRPr="00254B47">
        <w:rPr>
          <w:rFonts w:ascii="Verdana" w:hAnsi="Verdana"/>
          <w:b/>
          <w:bCs/>
          <w:i/>
          <w:iCs/>
          <w:sz w:val="20"/>
          <w:szCs w:val="20"/>
        </w:rPr>
        <w:t>.</w:t>
      </w:r>
      <w:r>
        <w:rPr>
          <w:rFonts w:ascii="Verdana" w:hAnsi="Verdana"/>
          <w:i/>
          <w:iCs/>
          <w:sz w:val="20"/>
          <w:szCs w:val="20"/>
        </w:rPr>
        <w:t xml:space="preserve"> </w:t>
      </w:r>
      <w:proofErr w:type="gramStart"/>
      <w:r w:rsidRPr="00254B47">
        <w:rPr>
          <w:rFonts w:ascii="Verdana" w:hAnsi="Verdana"/>
          <w:sz w:val="20"/>
          <w:szCs w:val="20"/>
        </w:rPr>
        <w:t>In an attempt to</w:t>
      </w:r>
      <w:proofErr w:type="gramEnd"/>
      <w:r w:rsidRPr="00254B47">
        <w:rPr>
          <w:rFonts w:ascii="Verdana" w:hAnsi="Verdana"/>
          <w:sz w:val="20"/>
          <w:szCs w:val="20"/>
        </w:rPr>
        <w:t xml:space="preserve"> refine our analysis and identify important regulatory elements within our motifs, we took an iterative approach. Intergenic regions matching </w:t>
      </w:r>
      <w:proofErr w:type="spellStart"/>
      <w:r w:rsidRPr="00254B47">
        <w:rPr>
          <w:rFonts w:ascii="Verdana" w:hAnsi="Verdana"/>
          <w:sz w:val="20"/>
          <w:szCs w:val="20"/>
        </w:rPr>
        <w:t>roseo</w:t>
      </w:r>
      <w:proofErr w:type="spellEnd"/>
      <w:r w:rsidRPr="00254B47">
        <w:rPr>
          <w:rFonts w:ascii="Verdana" w:hAnsi="Verdana"/>
          <w:sz w:val="20"/>
          <w:szCs w:val="20"/>
        </w:rPr>
        <w:t xml:space="preserve"> box motifs 1 and 2 were extracted and together with the sequences used to generate </w:t>
      </w:r>
      <w:proofErr w:type="spellStart"/>
      <w:r w:rsidRPr="00254B47">
        <w:rPr>
          <w:rFonts w:ascii="Verdana" w:hAnsi="Verdana"/>
          <w:sz w:val="20"/>
          <w:szCs w:val="20"/>
        </w:rPr>
        <w:t>roseo</w:t>
      </w:r>
      <w:proofErr w:type="spellEnd"/>
      <w:r w:rsidRPr="00254B47">
        <w:rPr>
          <w:rFonts w:ascii="Verdana" w:hAnsi="Verdana"/>
          <w:sz w:val="20"/>
          <w:szCs w:val="20"/>
        </w:rPr>
        <w:t xml:space="preserve"> box motifs 1 and 2, </w:t>
      </w:r>
      <w:proofErr w:type="spellStart"/>
      <w:r w:rsidRPr="00254B47">
        <w:rPr>
          <w:rFonts w:ascii="Verdana" w:hAnsi="Verdana"/>
          <w:sz w:val="20"/>
          <w:szCs w:val="20"/>
        </w:rPr>
        <w:t>roseo</w:t>
      </w:r>
      <w:proofErr w:type="spellEnd"/>
      <w:r w:rsidRPr="00254B47">
        <w:rPr>
          <w:rFonts w:ascii="Verdana" w:hAnsi="Verdana"/>
          <w:sz w:val="20"/>
          <w:szCs w:val="20"/>
        </w:rPr>
        <w:t xml:space="preserve"> box motifs 3 and 4 were generated (Figure 3). Both motifs generated using this iterative approach were </w:t>
      </w:r>
      <w:proofErr w:type="gramStart"/>
      <w:r w:rsidRPr="00254B47">
        <w:rPr>
          <w:rFonts w:ascii="Verdana" w:hAnsi="Verdana"/>
          <w:sz w:val="20"/>
          <w:szCs w:val="20"/>
        </w:rPr>
        <w:t>similar to</w:t>
      </w:r>
      <w:proofErr w:type="gramEnd"/>
      <w:r w:rsidRPr="00254B47">
        <w:rPr>
          <w:rFonts w:ascii="Verdana" w:hAnsi="Verdana"/>
          <w:sz w:val="20"/>
          <w:szCs w:val="20"/>
        </w:rPr>
        <w:t xml:space="preserve"> their non-iterative counterparts, however, the consensus sequence for </w:t>
      </w:r>
      <w:proofErr w:type="spellStart"/>
      <w:r w:rsidRPr="00254B47">
        <w:rPr>
          <w:rFonts w:ascii="Verdana" w:hAnsi="Verdana"/>
          <w:sz w:val="20"/>
          <w:szCs w:val="20"/>
        </w:rPr>
        <w:t>roseo</w:t>
      </w:r>
      <w:proofErr w:type="spellEnd"/>
      <w:r w:rsidRPr="00254B47">
        <w:rPr>
          <w:rFonts w:ascii="Verdana" w:hAnsi="Verdana"/>
          <w:sz w:val="20"/>
          <w:szCs w:val="20"/>
        </w:rPr>
        <w:t xml:space="preserve"> box motif 4 became much more refined around 16 -21 bp. This region corresponds to sigma 70 motif (TATAA). While this approach allowed us to visualize highly conserved regions within </w:t>
      </w:r>
      <w:proofErr w:type="spellStart"/>
      <w:r w:rsidRPr="00254B47">
        <w:rPr>
          <w:rFonts w:ascii="Verdana" w:hAnsi="Verdana"/>
          <w:sz w:val="20"/>
          <w:szCs w:val="20"/>
        </w:rPr>
        <w:t>roseo</w:t>
      </w:r>
      <w:proofErr w:type="spellEnd"/>
      <w:r w:rsidRPr="00254B47">
        <w:rPr>
          <w:rFonts w:ascii="Verdana" w:hAnsi="Verdana"/>
          <w:sz w:val="20"/>
          <w:szCs w:val="20"/>
        </w:rPr>
        <w:t xml:space="preserve"> box motif 4, it ultimately resulted in fewer positive hits to these iterative motifs. </w:t>
      </w:r>
      <w:proofErr w:type="spellStart"/>
      <w:r w:rsidRPr="00254B47">
        <w:rPr>
          <w:rFonts w:ascii="Verdana" w:hAnsi="Verdana"/>
          <w:sz w:val="20"/>
          <w:szCs w:val="20"/>
        </w:rPr>
        <w:t>Roseo</w:t>
      </w:r>
      <w:proofErr w:type="spellEnd"/>
      <w:r w:rsidRPr="00254B47">
        <w:rPr>
          <w:rFonts w:ascii="Verdana" w:hAnsi="Verdana"/>
          <w:sz w:val="20"/>
          <w:szCs w:val="20"/>
        </w:rPr>
        <w:t xml:space="preserve"> box motifs 3 and 4 matched to intergenic regions </w:t>
      </w:r>
      <w:proofErr w:type="gramStart"/>
      <w:r w:rsidRPr="00254B47">
        <w:rPr>
          <w:rFonts w:ascii="Verdana" w:hAnsi="Verdana"/>
          <w:sz w:val="20"/>
          <w:szCs w:val="20"/>
        </w:rPr>
        <w:t>similar to</w:t>
      </w:r>
      <w:proofErr w:type="gramEnd"/>
      <w:r w:rsidRPr="00254B47">
        <w:rPr>
          <w:rFonts w:ascii="Verdana" w:hAnsi="Verdana"/>
          <w:sz w:val="20"/>
          <w:szCs w:val="20"/>
        </w:rPr>
        <w:t xml:space="preserve"> those found in </w:t>
      </w:r>
      <w:proofErr w:type="spellStart"/>
      <w:r w:rsidRPr="00254B47">
        <w:rPr>
          <w:rFonts w:ascii="Verdana" w:hAnsi="Verdana"/>
          <w:sz w:val="20"/>
          <w:szCs w:val="20"/>
        </w:rPr>
        <w:t>roseo</w:t>
      </w:r>
      <w:proofErr w:type="spellEnd"/>
      <w:r w:rsidRPr="00254B47">
        <w:rPr>
          <w:rFonts w:ascii="Verdana" w:hAnsi="Verdana"/>
          <w:sz w:val="20"/>
          <w:szCs w:val="20"/>
        </w:rPr>
        <w:t xml:space="preserve"> box 1 and 2. Notably, … Additionally, a few novel matches corresponding to genes reportedly regulated by QS were identified including, </w:t>
      </w:r>
      <w:proofErr w:type="spellStart"/>
      <w:r w:rsidRPr="00254B47">
        <w:rPr>
          <w:rFonts w:ascii="Verdana" w:hAnsi="Verdana"/>
          <w:i/>
          <w:iCs/>
          <w:sz w:val="20"/>
          <w:szCs w:val="20"/>
        </w:rPr>
        <w:t>cheA</w:t>
      </w:r>
      <w:proofErr w:type="spellEnd"/>
      <w:r w:rsidRPr="00254B47">
        <w:rPr>
          <w:rFonts w:ascii="Verdana" w:hAnsi="Verdana"/>
          <w:sz w:val="20"/>
          <w:szCs w:val="20"/>
        </w:rPr>
        <w:t xml:space="preserve"> and </w:t>
      </w:r>
      <w:proofErr w:type="spellStart"/>
      <w:r w:rsidRPr="00254B47">
        <w:rPr>
          <w:rFonts w:ascii="Verdana" w:hAnsi="Verdana"/>
          <w:i/>
          <w:iCs/>
          <w:sz w:val="20"/>
          <w:szCs w:val="20"/>
        </w:rPr>
        <w:t>cheR</w:t>
      </w:r>
      <w:proofErr w:type="spellEnd"/>
      <w:r w:rsidRPr="00254B47">
        <w:rPr>
          <w:rFonts w:ascii="Verdana" w:hAnsi="Verdana"/>
          <w:i/>
          <w:iCs/>
          <w:sz w:val="20"/>
          <w:szCs w:val="20"/>
        </w:rPr>
        <w:t xml:space="preserve"> </w:t>
      </w:r>
      <w:r w:rsidRPr="00254B47">
        <w:rPr>
          <w:rFonts w:ascii="Verdana" w:hAnsi="Verdana"/>
          <w:sz w:val="20"/>
          <w:szCs w:val="20"/>
        </w:rPr>
        <w:t xml:space="preserve">for </w:t>
      </w:r>
      <w:proofErr w:type="spellStart"/>
      <w:r w:rsidRPr="00254B47">
        <w:rPr>
          <w:rFonts w:ascii="Verdana" w:hAnsi="Verdana"/>
          <w:sz w:val="20"/>
          <w:szCs w:val="20"/>
        </w:rPr>
        <w:t>roseo</w:t>
      </w:r>
      <w:proofErr w:type="spellEnd"/>
      <w:r w:rsidRPr="00254B47">
        <w:rPr>
          <w:rFonts w:ascii="Verdana" w:hAnsi="Verdana"/>
          <w:sz w:val="20"/>
          <w:szCs w:val="20"/>
        </w:rPr>
        <w:t xml:space="preserve"> box motif 4 in </w:t>
      </w:r>
      <w:proofErr w:type="spellStart"/>
      <w:r w:rsidRPr="00254B47">
        <w:rPr>
          <w:rFonts w:ascii="Verdana" w:hAnsi="Verdana"/>
          <w:i/>
          <w:iCs/>
          <w:sz w:val="20"/>
          <w:szCs w:val="20"/>
        </w:rPr>
        <w:t>Phaeobacter</w:t>
      </w:r>
      <w:proofErr w:type="spellEnd"/>
      <w:r w:rsidRPr="00254B47">
        <w:rPr>
          <w:rFonts w:ascii="Verdana" w:hAnsi="Verdana"/>
          <w:i/>
          <w:iCs/>
          <w:sz w:val="20"/>
          <w:szCs w:val="20"/>
        </w:rPr>
        <w:t xml:space="preserve"> </w:t>
      </w:r>
      <w:proofErr w:type="spellStart"/>
      <w:r w:rsidRPr="00254B47">
        <w:rPr>
          <w:rFonts w:ascii="Verdana" w:hAnsi="Verdana"/>
          <w:i/>
          <w:iCs/>
          <w:sz w:val="20"/>
          <w:szCs w:val="20"/>
        </w:rPr>
        <w:t>gallaeciensis</w:t>
      </w:r>
      <w:proofErr w:type="spellEnd"/>
      <w:r w:rsidRPr="00254B47">
        <w:rPr>
          <w:rFonts w:ascii="Verdana" w:hAnsi="Verdana"/>
          <w:sz w:val="20"/>
          <w:szCs w:val="20"/>
        </w:rPr>
        <w:t xml:space="preserve"> DSM 17395, </w:t>
      </w:r>
      <w:proofErr w:type="spellStart"/>
      <w:r w:rsidRPr="00254B47">
        <w:rPr>
          <w:rFonts w:ascii="Verdana" w:hAnsi="Verdana"/>
          <w:i/>
          <w:iCs/>
          <w:sz w:val="20"/>
          <w:szCs w:val="20"/>
        </w:rPr>
        <w:t>Phaeobacter</w:t>
      </w:r>
      <w:proofErr w:type="spellEnd"/>
      <w:r w:rsidRPr="00254B47">
        <w:rPr>
          <w:rFonts w:ascii="Verdana" w:hAnsi="Verdana"/>
          <w:i/>
          <w:iCs/>
          <w:sz w:val="20"/>
          <w:szCs w:val="20"/>
        </w:rPr>
        <w:t xml:space="preserve"> </w:t>
      </w:r>
      <w:proofErr w:type="spellStart"/>
      <w:r w:rsidRPr="00254B47">
        <w:rPr>
          <w:rFonts w:ascii="Verdana" w:hAnsi="Verdana"/>
          <w:i/>
          <w:iCs/>
          <w:sz w:val="20"/>
          <w:szCs w:val="20"/>
        </w:rPr>
        <w:t>inhibens</w:t>
      </w:r>
      <w:proofErr w:type="spellEnd"/>
      <w:r w:rsidRPr="00254B47">
        <w:rPr>
          <w:rFonts w:ascii="Verdana" w:hAnsi="Verdana"/>
          <w:i/>
          <w:iCs/>
          <w:sz w:val="20"/>
          <w:szCs w:val="20"/>
        </w:rPr>
        <w:t xml:space="preserve"> 2.10, </w:t>
      </w:r>
      <w:proofErr w:type="spellStart"/>
      <w:r w:rsidRPr="00254B47">
        <w:rPr>
          <w:rFonts w:ascii="Verdana" w:hAnsi="Verdana"/>
          <w:i/>
          <w:iCs/>
          <w:sz w:val="20"/>
          <w:szCs w:val="20"/>
        </w:rPr>
        <w:t>Leisingera</w:t>
      </w:r>
      <w:proofErr w:type="spellEnd"/>
      <w:r w:rsidRPr="00254B47">
        <w:rPr>
          <w:rFonts w:ascii="Verdana" w:hAnsi="Verdana"/>
          <w:i/>
          <w:iCs/>
          <w:sz w:val="20"/>
          <w:szCs w:val="20"/>
        </w:rPr>
        <w:t xml:space="preserve"> </w:t>
      </w:r>
      <w:proofErr w:type="spellStart"/>
      <w:r w:rsidRPr="00254B47">
        <w:rPr>
          <w:rFonts w:ascii="Verdana" w:hAnsi="Verdana"/>
          <w:i/>
          <w:iCs/>
          <w:sz w:val="20"/>
          <w:szCs w:val="20"/>
        </w:rPr>
        <w:t>caerulea</w:t>
      </w:r>
      <w:proofErr w:type="spellEnd"/>
      <w:r w:rsidRPr="00254B47">
        <w:rPr>
          <w:rFonts w:ascii="Verdana" w:hAnsi="Verdana"/>
          <w:sz w:val="20"/>
          <w:szCs w:val="20"/>
        </w:rPr>
        <w:t xml:space="preserve"> DSM 24564, and </w:t>
      </w:r>
      <w:proofErr w:type="spellStart"/>
      <w:r w:rsidRPr="00254B47">
        <w:rPr>
          <w:rFonts w:ascii="Verdana" w:hAnsi="Verdana"/>
          <w:i/>
          <w:iCs/>
          <w:sz w:val="20"/>
          <w:szCs w:val="20"/>
        </w:rPr>
        <w:t>Phaeobacter</w:t>
      </w:r>
      <w:proofErr w:type="spellEnd"/>
      <w:r w:rsidRPr="00254B47">
        <w:rPr>
          <w:rFonts w:ascii="Verdana" w:hAnsi="Verdana"/>
          <w:i/>
          <w:iCs/>
          <w:sz w:val="20"/>
          <w:szCs w:val="20"/>
        </w:rPr>
        <w:t xml:space="preserve"> </w:t>
      </w:r>
      <w:r w:rsidRPr="00254B47">
        <w:rPr>
          <w:rFonts w:ascii="Verdana" w:hAnsi="Verdana"/>
          <w:sz w:val="20"/>
          <w:szCs w:val="20"/>
        </w:rPr>
        <w:t xml:space="preserve">sp. LSS9 (Supplemental tables 2-3).  </w:t>
      </w:r>
    </w:p>
    <w:p w14:paraId="1B80C585" w14:textId="77777777" w:rsidR="0092091F" w:rsidRPr="004B03EC" w:rsidRDefault="0092091F" w:rsidP="004B03EC">
      <w:pPr>
        <w:pStyle w:val="Heading2"/>
        <w:numPr>
          <w:ilvl w:val="0"/>
          <w:numId w:val="9"/>
        </w:numPr>
        <w:ind w:left="720"/>
        <w:jc w:val="left"/>
        <w:rPr>
          <w:rFonts w:ascii="Verdana" w:hAnsi="Verdana" w:cs="Times New Roman"/>
          <w:sz w:val="24"/>
          <w:szCs w:val="24"/>
        </w:rPr>
      </w:pPr>
      <w:bookmarkStart w:id="65" w:name="_Toc83382617"/>
      <w:r w:rsidRPr="004B03EC">
        <w:rPr>
          <w:rFonts w:ascii="Verdana" w:hAnsi="Verdana" w:cs="Times New Roman"/>
          <w:sz w:val="24"/>
          <w:szCs w:val="24"/>
        </w:rPr>
        <w:t>Discussion</w:t>
      </w:r>
      <w:bookmarkEnd w:id="65"/>
    </w:p>
    <w:p w14:paraId="362636D7" w14:textId="77777777" w:rsidR="0092091F" w:rsidRPr="004B03EC" w:rsidRDefault="0092091F" w:rsidP="004B03EC">
      <w:pPr>
        <w:spacing w:before="240"/>
        <w:rPr>
          <w:rFonts w:ascii="Verdana" w:hAnsi="Verdana" w:cs="Times New Roman"/>
        </w:rPr>
      </w:pPr>
    </w:p>
    <w:p w14:paraId="1147EE1D" w14:textId="77777777" w:rsidR="00FC6425" w:rsidRPr="00FC6425" w:rsidRDefault="00FC6425" w:rsidP="00FC6425">
      <w:pPr>
        <w:tabs>
          <w:tab w:val="left" w:pos="3306"/>
        </w:tabs>
        <w:spacing w:after="240"/>
        <w:jc w:val="both"/>
        <w:rPr>
          <w:rFonts w:ascii="Verdana" w:hAnsi="Verdana"/>
          <w:b/>
          <w:bCs/>
          <w:i/>
          <w:iCs/>
          <w:sz w:val="20"/>
          <w:szCs w:val="20"/>
        </w:rPr>
      </w:pPr>
      <w:r w:rsidRPr="00FC6425">
        <w:rPr>
          <w:rFonts w:ascii="Verdana" w:hAnsi="Verdana"/>
          <w:b/>
          <w:bCs/>
          <w:i/>
          <w:iCs/>
          <w:sz w:val="20"/>
          <w:szCs w:val="20"/>
        </w:rPr>
        <w:t>QS regulates the regulators</w:t>
      </w:r>
    </w:p>
    <w:p w14:paraId="0F8678F3" w14:textId="77777777" w:rsidR="00FC6425" w:rsidRPr="00FC6425" w:rsidRDefault="00FC6425" w:rsidP="00FC6425">
      <w:pPr>
        <w:spacing w:after="240"/>
        <w:jc w:val="both"/>
        <w:rPr>
          <w:rFonts w:ascii="Verdana" w:hAnsi="Verdana"/>
          <w:sz w:val="20"/>
          <w:szCs w:val="20"/>
        </w:rPr>
      </w:pPr>
      <w:r w:rsidRPr="00FC6425">
        <w:rPr>
          <w:rFonts w:ascii="Verdana" w:hAnsi="Verdana"/>
          <w:sz w:val="20"/>
          <w:szCs w:val="20"/>
        </w:rPr>
        <w:tab/>
        <w:t xml:space="preserve">The gene encoding the </w:t>
      </w:r>
      <w:proofErr w:type="spellStart"/>
      <w:r w:rsidRPr="00FC6425">
        <w:rPr>
          <w:rFonts w:ascii="Verdana" w:hAnsi="Verdana"/>
          <w:sz w:val="20"/>
          <w:szCs w:val="20"/>
        </w:rPr>
        <w:t>LuxI</w:t>
      </w:r>
      <w:proofErr w:type="spellEnd"/>
      <w:r w:rsidRPr="00FC6425">
        <w:rPr>
          <w:rFonts w:ascii="Verdana" w:hAnsi="Verdana"/>
          <w:sz w:val="20"/>
          <w:szCs w:val="20"/>
        </w:rPr>
        <w:t xml:space="preserve"> homologs are positively regulated by </w:t>
      </w:r>
      <w:proofErr w:type="spellStart"/>
      <w:r w:rsidRPr="00FC6425">
        <w:rPr>
          <w:rFonts w:ascii="Verdana" w:hAnsi="Verdana"/>
          <w:sz w:val="20"/>
          <w:szCs w:val="20"/>
        </w:rPr>
        <w:t>LuxR</w:t>
      </w:r>
      <w:proofErr w:type="spellEnd"/>
      <w:r w:rsidRPr="00FC6425">
        <w:rPr>
          <w:rFonts w:ascii="Verdana" w:hAnsi="Verdana"/>
          <w:sz w:val="20"/>
          <w:szCs w:val="20"/>
        </w:rPr>
        <w:t xml:space="preserve">-family transcriptional regulators binding to a conserved region of DNA in the vicinity of the sigma70 promotor (CITE). As such, it is not surprising we found evidence of this DNA regulatory element, identified as </w:t>
      </w:r>
      <w:proofErr w:type="spellStart"/>
      <w:r w:rsidRPr="00FC6425">
        <w:rPr>
          <w:rFonts w:ascii="Verdana" w:hAnsi="Verdana"/>
          <w:sz w:val="20"/>
          <w:szCs w:val="20"/>
        </w:rPr>
        <w:t>roseo</w:t>
      </w:r>
      <w:proofErr w:type="spellEnd"/>
      <w:r w:rsidRPr="00FC6425">
        <w:rPr>
          <w:rFonts w:ascii="Verdana" w:hAnsi="Verdana"/>
          <w:sz w:val="20"/>
          <w:szCs w:val="20"/>
        </w:rPr>
        <w:t xml:space="preserve"> box, in the intergenic regions of the transcriptional regulators </w:t>
      </w:r>
      <w:proofErr w:type="spellStart"/>
      <w:r w:rsidRPr="00FC6425">
        <w:rPr>
          <w:rFonts w:ascii="Verdana" w:hAnsi="Verdana"/>
          <w:sz w:val="20"/>
          <w:szCs w:val="20"/>
        </w:rPr>
        <w:t>LuxR</w:t>
      </w:r>
      <w:proofErr w:type="spellEnd"/>
      <w:r w:rsidRPr="00FC6425">
        <w:rPr>
          <w:rFonts w:ascii="Verdana" w:hAnsi="Verdana"/>
          <w:sz w:val="20"/>
          <w:szCs w:val="20"/>
        </w:rPr>
        <w:t xml:space="preserve"> and </w:t>
      </w:r>
      <w:proofErr w:type="spellStart"/>
      <w:r w:rsidRPr="00FC6425">
        <w:rPr>
          <w:rFonts w:ascii="Verdana" w:hAnsi="Verdana"/>
          <w:sz w:val="20"/>
          <w:szCs w:val="20"/>
        </w:rPr>
        <w:t>CsgD</w:t>
      </w:r>
      <w:proofErr w:type="spellEnd"/>
      <w:r w:rsidRPr="00FC6425">
        <w:rPr>
          <w:rFonts w:ascii="Verdana" w:hAnsi="Verdana"/>
          <w:sz w:val="20"/>
          <w:szCs w:val="20"/>
        </w:rPr>
        <w:t xml:space="preserve">. </w:t>
      </w:r>
      <w:proofErr w:type="spellStart"/>
      <w:r w:rsidRPr="00FC6425">
        <w:rPr>
          <w:rFonts w:ascii="Verdana" w:hAnsi="Verdana"/>
          <w:sz w:val="20"/>
          <w:szCs w:val="20"/>
        </w:rPr>
        <w:t>LuxR</w:t>
      </w:r>
      <w:proofErr w:type="spellEnd"/>
      <w:r w:rsidRPr="00FC6425">
        <w:rPr>
          <w:rFonts w:ascii="Verdana" w:hAnsi="Verdana"/>
          <w:sz w:val="20"/>
          <w:szCs w:val="20"/>
        </w:rPr>
        <w:t xml:space="preserve">-family transcriptional regulators are classified as DNA-binding transcriptional regulators containing </w:t>
      </w:r>
      <w:proofErr w:type="gramStart"/>
      <w:r w:rsidRPr="00FC6425">
        <w:rPr>
          <w:rFonts w:ascii="Verdana" w:hAnsi="Verdana"/>
          <w:sz w:val="20"/>
          <w:szCs w:val="20"/>
        </w:rPr>
        <w:t>an</w:t>
      </w:r>
      <w:proofErr w:type="gramEnd"/>
      <w:r w:rsidRPr="00FC6425">
        <w:rPr>
          <w:rFonts w:ascii="Verdana" w:hAnsi="Verdana"/>
          <w:sz w:val="20"/>
          <w:szCs w:val="20"/>
        </w:rPr>
        <w:t xml:space="preserve"> C-terminal helix-trans-helix (HTH) DNA binding domain and contain a N-terminal ligand-binding domain which binds a signal molecule, known as an autoinducer (AI) (CITE). </w:t>
      </w:r>
      <w:proofErr w:type="spellStart"/>
      <w:r w:rsidRPr="00FC6425">
        <w:rPr>
          <w:rFonts w:ascii="Verdana" w:hAnsi="Verdana"/>
          <w:sz w:val="20"/>
          <w:szCs w:val="20"/>
        </w:rPr>
        <w:t>LuxR</w:t>
      </w:r>
      <w:proofErr w:type="spellEnd"/>
      <w:r w:rsidRPr="00FC6425">
        <w:rPr>
          <w:rFonts w:ascii="Verdana" w:hAnsi="Verdana"/>
          <w:sz w:val="20"/>
          <w:szCs w:val="20"/>
        </w:rPr>
        <w:t xml:space="preserve"> homologs can act as transcriptional activators or repressors and recognize cis-acting consensus sequences typically referred to as ‘boxes’ (</w:t>
      </w:r>
      <w:proofErr w:type="gramStart"/>
      <w:r w:rsidRPr="00FC6425">
        <w:rPr>
          <w:rFonts w:ascii="Verdana" w:hAnsi="Verdana"/>
          <w:sz w:val="20"/>
          <w:szCs w:val="20"/>
        </w:rPr>
        <w:t>i.e.</w:t>
      </w:r>
      <w:proofErr w:type="gramEnd"/>
      <w:r w:rsidRPr="00FC6425">
        <w:rPr>
          <w:rFonts w:ascii="Verdana" w:hAnsi="Verdana"/>
          <w:sz w:val="20"/>
          <w:szCs w:val="20"/>
        </w:rPr>
        <w:t xml:space="preserve"> </w:t>
      </w:r>
      <w:r w:rsidRPr="00FC6425">
        <w:rPr>
          <w:rFonts w:ascii="Verdana" w:hAnsi="Verdana"/>
          <w:i/>
          <w:iCs/>
          <w:sz w:val="20"/>
          <w:szCs w:val="20"/>
        </w:rPr>
        <w:t>lux</w:t>
      </w:r>
      <w:r w:rsidRPr="00FC6425">
        <w:rPr>
          <w:rFonts w:ascii="Verdana" w:hAnsi="Verdana"/>
          <w:sz w:val="20"/>
          <w:szCs w:val="20"/>
        </w:rPr>
        <w:t xml:space="preserve">, </w:t>
      </w:r>
      <w:proofErr w:type="spellStart"/>
      <w:r w:rsidRPr="00FC6425">
        <w:rPr>
          <w:rFonts w:ascii="Verdana" w:hAnsi="Verdana"/>
          <w:i/>
          <w:iCs/>
          <w:sz w:val="20"/>
          <w:szCs w:val="20"/>
        </w:rPr>
        <w:t>tra</w:t>
      </w:r>
      <w:proofErr w:type="spellEnd"/>
      <w:r w:rsidRPr="00FC6425">
        <w:rPr>
          <w:rFonts w:ascii="Verdana" w:hAnsi="Verdana"/>
          <w:sz w:val="20"/>
          <w:szCs w:val="20"/>
        </w:rPr>
        <w:t xml:space="preserve">, </w:t>
      </w:r>
      <w:r w:rsidRPr="00FC6425">
        <w:rPr>
          <w:rFonts w:ascii="Verdana" w:hAnsi="Verdana"/>
          <w:i/>
          <w:iCs/>
          <w:sz w:val="20"/>
          <w:szCs w:val="20"/>
        </w:rPr>
        <w:t>las</w:t>
      </w:r>
      <w:r w:rsidRPr="00FC6425">
        <w:rPr>
          <w:rFonts w:ascii="Verdana" w:hAnsi="Verdana"/>
          <w:sz w:val="20"/>
          <w:szCs w:val="20"/>
        </w:rPr>
        <w:t xml:space="preserve">, </w:t>
      </w:r>
      <w:proofErr w:type="spellStart"/>
      <w:r w:rsidRPr="00FC6425">
        <w:rPr>
          <w:rFonts w:ascii="Verdana" w:hAnsi="Verdana"/>
          <w:sz w:val="20"/>
          <w:szCs w:val="20"/>
        </w:rPr>
        <w:t>etc</w:t>
      </w:r>
      <w:proofErr w:type="spellEnd"/>
      <w:r w:rsidRPr="00FC6425">
        <w:rPr>
          <w:rFonts w:ascii="Verdana" w:hAnsi="Verdana"/>
          <w:sz w:val="20"/>
          <w:szCs w:val="20"/>
        </w:rPr>
        <w:t xml:space="preserve"> –Fuqua and </w:t>
      </w:r>
      <w:proofErr w:type="spellStart"/>
      <w:r w:rsidRPr="00FC6425">
        <w:rPr>
          <w:rFonts w:ascii="Verdana" w:hAnsi="Verdana"/>
          <w:sz w:val="20"/>
          <w:szCs w:val="20"/>
        </w:rPr>
        <w:t>Winans</w:t>
      </w:r>
      <w:proofErr w:type="spellEnd"/>
      <w:r w:rsidRPr="00FC6425">
        <w:rPr>
          <w:rFonts w:ascii="Verdana" w:hAnsi="Verdana"/>
          <w:sz w:val="20"/>
          <w:szCs w:val="20"/>
        </w:rPr>
        <w:t xml:space="preserve"> 1996; Pesci et al 1997; </w:t>
      </w:r>
      <w:proofErr w:type="spellStart"/>
      <w:r w:rsidRPr="00FC6425">
        <w:rPr>
          <w:rFonts w:ascii="Verdana" w:hAnsi="Verdana"/>
          <w:sz w:val="20"/>
          <w:szCs w:val="20"/>
        </w:rPr>
        <w:t>Egland</w:t>
      </w:r>
      <w:proofErr w:type="spellEnd"/>
      <w:r w:rsidRPr="00FC6425">
        <w:rPr>
          <w:rFonts w:ascii="Verdana" w:hAnsi="Verdana"/>
          <w:sz w:val="20"/>
          <w:szCs w:val="20"/>
        </w:rPr>
        <w:t xml:space="preserve"> and Greenberg 1999; </w:t>
      </w:r>
      <w:proofErr w:type="spellStart"/>
      <w:r w:rsidRPr="00FC6425">
        <w:rPr>
          <w:rFonts w:ascii="Verdana" w:hAnsi="Verdana"/>
          <w:sz w:val="20"/>
          <w:szCs w:val="20"/>
        </w:rPr>
        <w:t>McAnulla</w:t>
      </w:r>
      <w:proofErr w:type="spellEnd"/>
      <w:r w:rsidRPr="00FC6425">
        <w:rPr>
          <w:rFonts w:ascii="Verdana" w:hAnsi="Verdana"/>
          <w:sz w:val="20"/>
          <w:szCs w:val="20"/>
        </w:rPr>
        <w:t xml:space="preserve"> 2007). These regulatory DNA elements are typically located upstream of the genes that encode these regulators and are required for transcriptional activation (CITE – idea came from Fuqua, </w:t>
      </w:r>
      <w:proofErr w:type="spellStart"/>
      <w:r w:rsidRPr="00FC6425">
        <w:rPr>
          <w:rFonts w:ascii="Verdana" w:hAnsi="Verdana"/>
          <w:sz w:val="20"/>
          <w:szCs w:val="20"/>
        </w:rPr>
        <w:t>Winans</w:t>
      </w:r>
      <w:proofErr w:type="spellEnd"/>
      <w:r w:rsidRPr="00FC6425">
        <w:rPr>
          <w:rFonts w:ascii="Verdana" w:hAnsi="Verdana"/>
          <w:sz w:val="20"/>
          <w:szCs w:val="20"/>
        </w:rPr>
        <w:t xml:space="preserve">, and Greenberg 1996 but you could probably find something more recent), facilitating auto-regulation of the </w:t>
      </w:r>
      <w:proofErr w:type="spellStart"/>
      <w:r w:rsidRPr="00FC6425">
        <w:rPr>
          <w:rFonts w:ascii="Verdana" w:hAnsi="Verdana"/>
          <w:i/>
          <w:iCs/>
          <w:sz w:val="20"/>
          <w:szCs w:val="20"/>
        </w:rPr>
        <w:t>luxRI</w:t>
      </w:r>
      <w:proofErr w:type="spellEnd"/>
      <w:r w:rsidRPr="00FC6425">
        <w:rPr>
          <w:rFonts w:ascii="Verdana" w:hAnsi="Verdana"/>
          <w:sz w:val="20"/>
          <w:szCs w:val="20"/>
        </w:rPr>
        <w:t xml:space="preserve"> operon (cite). The </w:t>
      </w:r>
      <w:proofErr w:type="spellStart"/>
      <w:r w:rsidRPr="00FC6425">
        <w:rPr>
          <w:rFonts w:ascii="Verdana" w:hAnsi="Verdana"/>
          <w:sz w:val="20"/>
          <w:szCs w:val="20"/>
        </w:rPr>
        <w:t>CsgD</w:t>
      </w:r>
      <w:proofErr w:type="spellEnd"/>
      <w:r w:rsidRPr="00FC6425">
        <w:rPr>
          <w:rFonts w:ascii="Verdana" w:hAnsi="Verdana"/>
          <w:sz w:val="20"/>
          <w:szCs w:val="20"/>
        </w:rPr>
        <w:t xml:space="preserve"> family of transcriptional was originally classified in the </w:t>
      </w:r>
      <w:proofErr w:type="spellStart"/>
      <w:r w:rsidRPr="00FC6425">
        <w:rPr>
          <w:rFonts w:ascii="Verdana" w:hAnsi="Verdana"/>
          <w:sz w:val="20"/>
          <w:szCs w:val="20"/>
        </w:rPr>
        <w:t>LuxR</w:t>
      </w:r>
      <w:proofErr w:type="spellEnd"/>
      <w:r w:rsidRPr="00FC6425">
        <w:rPr>
          <w:rFonts w:ascii="Verdana" w:hAnsi="Verdana"/>
          <w:sz w:val="20"/>
          <w:szCs w:val="20"/>
        </w:rPr>
        <w:t xml:space="preserve"> family of transcriptional regulators due to similarities in its C-terminal HTH DNA binding domain (CITE). Previously, the N-terminal ligand binding domain was unidentified in representatives of this class of regulator, however, more recently Wen et al (2017) discovered a novel atypical receiver domain in the N-terminus using a combination of genetic and structural analysis of the </w:t>
      </w:r>
      <w:proofErr w:type="spellStart"/>
      <w:r w:rsidRPr="00FC6425">
        <w:rPr>
          <w:rFonts w:ascii="Verdana" w:hAnsi="Verdana"/>
          <w:sz w:val="20"/>
          <w:szCs w:val="20"/>
        </w:rPr>
        <w:t>CsgD</w:t>
      </w:r>
      <w:proofErr w:type="spellEnd"/>
      <w:r w:rsidRPr="00FC6425">
        <w:rPr>
          <w:rFonts w:ascii="Verdana" w:hAnsi="Verdana"/>
          <w:sz w:val="20"/>
          <w:szCs w:val="20"/>
        </w:rPr>
        <w:t xml:space="preserve"> protein in </w:t>
      </w:r>
      <w:r w:rsidRPr="00FC6425">
        <w:rPr>
          <w:rFonts w:ascii="Verdana" w:hAnsi="Verdana"/>
          <w:i/>
          <w:iCs/>
          <w:sz w:val="20"/>
          <w:szCs w:val="20"/>
        </w:rPr>
        <w:t>Salmonella typhimurium</w:t>
      </w:r>
      <w:r w:rsidRPr="00FC6425">
        <w:rPr>
          <w:rFonts w:ascii="Verdana" w:hAnsi="Verdana"/>
          <w:sz w:val="20"/>
          <w:szCs w:val="20"/>
        </w:rPr>
        <w:t xml:space="preserve">. They posit that </w:t>
      </w:r>
      <w:proofErr w:type="spellStart"/>
      <w:r w:rsidRPr="00FC6425">
        <w:rPr>
          <w:rFonts w:ascii="Verdana" w:hAnsi="Verdana"/>
          <w:sz w:val="20"/>
          <w:szCs w:val="20"/>
        </w:rPr>
        <w:t>CsgD</w:t>
      </w:r>
      <w:proofErr w:type="spellEnd"/>
      <w:r w:rsidRPr="00FC6425">
        <w:rPr>
          <w:rFonts w:ascii="Verdana" w:hAnsi="Verdana"/>
          <w:sz w:val="20"/>
          <w:szCs w:val="20"/>
        </w:rPr>
        <w:t xml:space="preserve"> family regulators are modulated </w:t>
      </w:r>
      <w:proofErr w:type="gramStart"/>
      <w:r w:rsidRPr="00FC6425">
        <w:rPr>
          <w:rFonts w:ascii="Verdana" w:hAnsi="Verdana"/>
          <w:sz w:val="20"/>
          <w:szCs w:val="20"/>
        </w:rPr>
        <w:t>as a result of</w:t>
      </w:r>
      <w:proofErr w:type="gramEnd"/>
      <w:r w:rsidRPr="00FC6425">
        <w:rPr>
          <w:rFonts w:ascii="Verdana" w:hAnsi="Verdana"/>
          <w:sz w:val="20"/>
          <w:szCs w:val="20"/>
        </w:rPr>
        <w:t xml:space="preserve"> dimerization similar to </w:t>
      </w:r>
      <w:proofErr w:type="spellStart"/>
      <w:r w:rsidRPr="00FC6425">
        <w:rPr>
          <w:rFonts w:ascii="Verdana" w:hAnsi="Verdana"/>
          <w:sz w:val="20"/>
          <w:szCs w:val="20"/>
        </w:rPr>
        <w:t>LuxR</w:t>
      </w:r>
      <w:proofErr w:type="spellEnd"/>
      <w:r w:rsidRPr="00FC6425">
        <w:rPr>
          <w:rFonts w:ascii="Verdana" w:hAnsi="Verdana"/>
          <w:sz w:val="20"/>
          <w:szCs w:val="20"/>
        </w:rPr>
        <w:t xml:space="preserve"> type regulators. The </w:t>
      </w:r>
      <w:proofErr w:type="spellStart"/>
      <w:r w:rsidRPr="00FC6425">
        <w:rPr>
          <w:rFonts w:ascii="Verdana" w:hAnsi="Verdana"/>
          <w:sz w:val="20"/>
          <w:szCs w:val="20"/>
        </w:rPr>
        <w:t>CsgD</w:t>
      </w:r>
      <w:proofErr w:type="spellEnd"/>
      <w:r w:rsidRPr="00FC6425">
        <w:rPr>
          <w:rFonts w:ascii="Verdana" w:hAnsi="Verdana"/>
          <w:sz w:val="20"/>
          <w:szCs w:val="20"/>
        </w:rPr>
        <w:t xml:space="preserve"> family of transcriptional regulators represents a highly conserved class of master regulators for biofilm formation among Proteobacteria (</w:t>
      </w:r>
      <w:proofErr w:type="spellStart"/>
      <w:r w:rsidRPr="00FC6425">
        <w:rPr>
          <w:rFonts w:ascii="Verdana" w:hAnsi="Verdana"/>
          <w:sz w:val="20"/>
          <w:szCs w:val="20"/>
        </w:rPr>
        <w:t>Romling</w:t>
      </w:r>
      <w:proofErr w:type="spellEnd"/>
      <w:r w:rsidRPr="00FC6425">
        <w:rPr>
          <w:rFonts w:ascii="Verdana" w:hAnsi="Verdana"/>
          <w:sz w:val="20"/>
          <w:szCs w:val="20"/>
        </w:rPr>
        <w:t xml:space="preserve"> et al 1998; Barnhart and Chapman 2006) </w:t>
      </w:r>
      <w:r w:rsidRPr="00FC6425">
        <w:rPr>
          <w:rFonts w:ascii="Verdana" w:hAnsi="Verdana"/>
          <w:strike/>
          <w:sz w:val="20"/>
          <w:szCs w:val="20"/>
        </w:rPr>
        <w:t xml:space="preserve">controlling the suite of genes responsible curli fimbriae biosynthesis of curli </w:t>
      </w:r>
      <w:r w:rsidRPr="00FC6425">
        <w:rPr>
          <w:rFonts w:ascii="Verdana" w:hAnsi="Verdana"/>
          <w:strike/>
          <w:sz w:val="20"/>
          <w:szCs w:val="20"/>
        </w:rPr>
        <w:lastRenderedPageBreak/>
        <w:t>fimbriae (</w:t>
      </w:r>
      <w:proofErr w:type="spellStart"/>
      <w:r w:rsidRPr="00FC6425">
        <w:rPr>
          <w:rFonts w:ascii="Verdana" w:hAnsi="Verdana"/>
          <w:strike/>
          <w:sz w:val="20"/>
          <w:szCs w:val="20"/>
        </w:rPr>
        <w:t>Nenninger</w:t>
      </w:r>
      <w:proofErr w:type="spellEnd"/>
      <w:r w:rsidRPr="00FC6425">
        <w:rPr>
          <w:rFonts w:ascii="Verdana" w:hAnsi="Verdana"/>
          <w:strike/>
          <w:sz w:val="20"/>
          <w:szCs w:val="20"/>
        </w:rPr>
        <w:t xml:space="preserve"> et al 2009; 2011; Evans et al 2015) in addition to cellulose production (</w:t>
      </w:r>
      <w:proofErr w:type="spellStart"/>
      <w:r w:rsidRPr="00FC6425">
        <w:rPr>
          <w:rFonts w:ascii="Verdana" w:hAnsi="Verdana"/>
          <w:strike/>
          <w:sz w:val="20"/>
          <w:szCs w:val="20"/>
        </w:rPr>
        <w:t>Chirwa</w:t>
      </w:r>
      <w:proofErr w:type="spellEnd"/>
      <w:r w:rsidRPr="00FC6425">
        <w:rPr>
          <w:rFonts w:ascii="Verdana" w:hAnsi="Verdana"/>
          <w:strike/>
          <w:sz w:val="20"/>
          <w:szCs w:val="20"/>
        </w:rPr>
        <w:t xml:space="preserve"> and Herrington 2003; Gerstel and </w:t>
      </w:r>
      <w:proofErr w:type="spellStart"/>
      <w:r w:rsidRPr="00FC6425">
        <w:rPr>
          <w:rFonts w:ascii="Verdana" w:hAnsi="Verdana"/>
          <w:strike/>
          <w:sz w:val="20"/>
          <w:szCs w:val="20"/>
        </w:rPr>
        <w:t>Romling</w:t>
      </w:r>
      <w:proofErr w:type="spellEnd"/>
      <w:r w:rsidRPr="00FC6425">
        <w:rPr>
          <w:rFonts w:ascii="Verdana" w:hAnsi="Verdana"/>
          <w:strike/>
          <w:sz w:val="20"/>
          <w:szCs w:val="20"/>
        </w:rPr>
        <w:t xml:space="preserve"> 2003)</w:t>
      </w:r>
      <w:r w:rsidRPr="00FC6425">
        <w:rPr>
          <w:rFonts w:ascii="Verdana" w:hAnsi="Verdana"/>
          <w:sz w:val="20"/>
          <w:szCs w:val="20"/>
        </w:rPr>
        <w:t xml:space="preserve">. Biofilm formation is often modulated by QS and the Roseobacter group of Alphaproteobacteria represents some of the most prolific surface colonizers in marine ecosystems (Silva et al 2017; Buchan 2005). </w:t>
      </w:r>
    </w:p>
    <w:p w14:paraId="3C5E1797" w14:textId="746CBFE2" w:rsidR="00FC6425" w:rsidRPr="00FC6425" w:rsidRDefault="00FC6425" w:rsidP="00FC6425">
      <w:pPr>
        <w:spacing w:after="240"/>
        <w:jc w:val="both"/>
        <w:rPr>
          <w:rFonts w:ascii="Verdana" w:hAnsi="Verdana"/>
          <w:sz w:val="20"/>
          <w:szCs w:val="20"/>
        </w:rPr>
      </w:pPr>
      <w:r w:rsidRPr="00FC6425">
        <w:rPr>
          <w:rFonts w:ascii="Verdana" w:hAnsi="Verdana"/>
          <w:sz w:val="20"/>
          <w:szCs w:val="20"/>
        </w:rPr>
        <w:tab/>
      </w:r>
      <w:r w:rsidRPr="00FC6425">
        <w:rPr>
          <w:rFonts w:ascii="Verdana" w:hAnsi="Verdana"/>
          <w:sz w:val="20"/>
          <w:szCs w:val="20"/>
        </w:rPr>
        <w:t xml:space="preserve">Among the transcriptional regulators found to be putatively regulated by QS in the </w:t>
      </w:r>
      <w:proofErr w:type="spellStart"/>
      <w:r w:rsidRPr="00FC6425">
        <w:rPr>
          <w:rFonts w:ascii="Verdana" w:hAnsi="Verdana"/>
          <w:i/>
          <w:iCs/>
          <w:sz w:val="20"/>
          <w:szCs w:val="20"/>
        </w:rPr>
        <w:t>Phaeobacter</w:t>
      </w:r>
      <w:r w:rsidRPr="00FC6425">
        <w:rPr>
          <w:rFonts w:ascii="Verdana" w:hAnsi="Verdana"/>
          <w:sz w:val="20"/>
          <w:szCs w:val="20"/>
        </w:rPr>
        <w:t>-</w:t>
      </w:r>
      <w:r w:rsidRPr="00FC6425">
        <w:rPr>
          <w:rFonts w:ascii="Verdana" w:hAnsi="Verdana"/>
          <w:i/>
          <w:iCs/>
          <w:sz w:val="20"/>
          <w:szCs w:val="20"/>
        </w:rPr>
        <w:t>Leisingera</w:t>
      </w:r>
      <w:proofErr w:type="spellEnd"/>
      <w:r w:rsidRPr="00FC6425">
        <w:rPr>
          <w:rFonts w:ascii="Verdana" w:hAnsi="Verdana"/>
          <w:sz w:val="20"/>
          <w:szCs w:val="20"/>
        </w:rPr>
        <w:t xml:space="preserve"> group of the Roseobacter clade were </w:t>
      </w:r>
      <w:r w:rsidRPr="00FC6425">
        <w:rPr>
          <w:rFonts w:ascii="Verdana" w:hAnsi="Verdana"/>
          <w:sz w:val="20"/>
          <w:szCs w:val="20"/>
        </w:rPr>
        <w:t>… This paragraph will detail other transcriptional regulators (</w:t>
      </w:r>
      <w:proofErr w:type="gramStart"/>
      <w:r w:rsidRPr="00FC6425">
        <w:rPr>
          <w:rFonts w:ascii="Verdana" w:hAnsi="Verdana"/>
          <w:sz w:val="20"/>
          <w:szCs w:val="20"/>
        </w:rPr>
        <w:t>i.e.</w:t>
      </w:r>
      <w:proofErr w:type="gramEnd"/>
      <w:r w:rsidRPr="00FC6425">
        <w:rPr>
          <w:rFonts w:ascii="Verdana" w:hAnsi="Verdana"/>
          <w:sz w:val="20"/>
          <w:szCs w:val="20"/>
        </w:rPr>
        <w:t xml:space="preserve"> the Feast/Famine regulatory proteins </w:t>
      </w:r>
      <w:proofErr w:type="spellStart"/>
      <w:r w:rsidRPr="00FC6425">
        <w:rPr>
          <w:rFonts w:ascii="Verdana" w:hAnsi="Verdana"/>
          <w:sz w:val="20"/>
          <w:szCs w:val="20"/>
        </w:rPr>
        <w:t>Lrp</w:t>
      </w:r>
      <w:proofErr w:type="spellEnd"/>
      <w:r w:rsidRPr="00FC6425">
        <w:rPr>
          <w:rFonts w:ascii="Verdana" w:hAnsi="Verdana"/>
          <w:sz w:val="20"/>
          <w:szCs w:val="20"/>
        </w:rPr>
        <w:t>/</w:t>
      </w:r>
      <w:proofErr w:type="spellStart"/>
      <w:r w:rsidRPr="00FC6425">
        <w:rPr>
          <w:rFonts w:ascii="Verdana" w:hAnsi="Verdana"/>
          <w:sz w:val="20"/>
          <w:szCs w:val="20"/>
        </w:rPr>
        <w:t>AnsC</w:t>
      </w:r>
      <w:proofErr w:type="spellEnd"/>
      <w:r w:rsidRPr="00FC6425">
        <w:rPr>
          <w:rFonts w:ascii="Verdana" w:hAnsi="Verdana"/>
          <w:sz w:val="20"/>
          <w:szCs w:val="20"/>
        </w:rPr>
        <w:t xml:space="preserve">, </w:t>
      </w:r>
      <w:proofErr w:type="spellStart"/>
      <w:r w:rsidRPr="00FC6425">
        <w:rPr>
          <w:rFonts w:ascii="Verdana" w:hAnsi="Verdana"/>
          <w:sz w:val="20"/>
          <w:szCs w:val="20"/>
        </w:rPr>
        <w:t>NsrR</w:t>
      </w:r>
      <w:proofErr w:type="spellEnd"/>
      <w:r w:rsidRPr="00FC6425">
        <w:rPr>
          <w:rFonts w:ascii="Verdana" w:hAnsi="Verdana"/>
          <w:sz w:val="20"/>
          <w:szCs w:val="20"/>
        </w:rPr>
        <w:t xml:space="preserve">, </w:t>
      </w:r>
      <w:proofErr w:type="spellStart"/>
      <w:r w:rsidRPr="00FC6425">
        <w:rPr>
          <w:rFonts w:ascii="Verdana" w:hAnsi="Verdana"/>
          <w:sz w:val="20"/>
          <w:szCs w:val="20"/>
        </w:rPr>
        <w:t>Fis</w:t>
      </w:r>
      <w:proofErr w:type="spellEnd"/>
      <w:r w:rsidRPr="00FC6425">
        <w:rPr>
          <w:rFonts w:ascii="Verdana" w:hAnsi="Verdana"/>
          <w:sz w:val="20"/>
          <w:szCs w:val="20"/>
        </w:rPr>
        <w:t xml:space="preserve">, </w:t>
      </w:r>
      <w:proofErr w:type="spellStart"/>
      <w:r w:rsidRPr="00FC6425">
        <w:rPr>
          <w:rFonts w:ascii="Verdana" w:hAnsi="Verdana"/>
          <w:sz w:val="20"/>
          <w:szCs w:val="20"/>
        </w:rPr>
        <w:t>etc</w:t>
      </w:r>
      <w:proofErr w:type="spellEnd"/>
      <w:r w:rsidRPr="00FC6425">
        <w:rPr>
          <w:rFonts w:ascii="Verdana" w:hAnsi="Verdana"/>
          <w:sz w:val="20"/>
          <w:szCs w:val="20"/>
        </w:rPr>
        <w:t xml:space="preserve">) in which motif matches were found within the 30 Roseobacter genes surveyed. These transcriptional regulators mediate a myriad of cellular processes including metabolism (including both amino acid and central), DNA repair, combination, and topology, NO detox, growth phase and abiotic stress response as well as physiology such as bacterial persistence, virulence, biofilm formation? These results suggest that QS is employed to mediate diverse transcriptional regulators in metabolic, X, and Y pathways providing additional support for the role of QS in facilitating global scale processes in an individual cell resulting in population level behaviors for a community of cells. </w:t>
      </w:r>
    </w:p>
    <w:p w14:paraId="00BBDCE4" w14:textId="77777777" w:rsidR="00FC6425" w:rsidRPr="00FC6425" w:rsidRDefault="00FC6425" w:rsidP="00FC6425">
      <w:pPr>
        <w:tabs>
          <w:tab w:val="left" w:pos="3306"/>
        </w:tabs>
        <w:spacing w:after="240"/>
        <w:jc w:val="both"/>
        <w:rPr>
          <w:rFonts w:ascii="Verdana" w:hAnsi="Verdana"/>
          <w:b/>
          <w:bCs/>
          <w:i/>
          <w:iCs/>
          <w:sz w:val="20"/>
          <w:szCs w:val="20"/>
        </w:rPr>
      </w:pPr>
      <w:r w:rsidRPr="00FC6425">
        <w:rPr>
          <w:rFonts w:ascii="Verdana" w:hAnsi="Verdana"/>
          <w:b/>
          <w:bCs/>
          <w:i/>
          <w:iCs/>
          <w:sz w:val="20"/>
          <w:szCs w:val="20"/>
        </w:rPr>
        <w:t xml:space="preserve">Evidence of coordinated metabolism </w:t>
      </w:r>
    </w:p>
    <w:p w14:paraId="4215D2EC" w14:textId="77777777" w:rsidR="00FC6425" w:rsidRPr="00FC6425" w:rsidRDefault="00FC6425" w:rsidP="00FC6425">
      <w:pPr>
        <w:tabs>
          <w:tab w:val="left" w:pos="3306"/>
        </w:tabs>
        <w:spacing w:after="240"/>
        <w:jc w:val="both"/>
        <w:rPr>
          <w:rFonts w:ascii="Verdana" w:hAnsi="Verdana"/>
          <w:sz w:val="20"/>
          <w:szCs w:val="20"/>
        </w:rPr>
      </w:pPr>
      <w:r w:rsidRPr="00FC6425">
        <w:rPr>
          <w:rFonts w:ascii="Verdana" w:hAnsi="Verdana"/>
          <w:sz w:val="20"/>
          <w:szCs w:val="20"/>
        </w:rPr>
        <w:t xml:space="preserve">One of the most common genes putatively regulated by the </w:t>
      </w:r>
      <w:proofErr w:type="spellStart"/>
      <w:r w:rsidRPr="00FC6425">
        <w:rPr>
          <w:rFonts w:ascii="Verdana" w:hAnsi="Verdana"/>
          <w:sz w:val="20"/>
          <w:szCs w:val="20"/>
        </w:rPr>
        <w:t>roseo</w:t>
      </w:r>
      <w:proofErr w:type="spellEnd"/>
      <w:r w:rsidRPr="00FC6425">
        <w:rPr>
          <w:rFonts w:ascii="Verdana" w:hAnsi="Verdana"/>
          <w:sz w:val="20"/>
          <w:szCs w:val="20"/>
        </w:rPr>
        <w:t xml:space="preserve"> box was an (R)-</w:t>
      </w:r>
      <w:proofErr w:type="spellStart"/>
      <w:r w:rsidRPr="00FC6425">
        <w:rPr>
          <w:rFonts w:ascii="Verdana" w:hAnsi="Verdana"/>
          <w:sz w:val="20"/>
          <w:szCs w:val="20"/>
        </w:rPr>
        <w:t>ethylmalonyl</w:t>
      </w:r>
      <w:proofErr w:type="spellEnd"/>
      <w:r w:rsidRPr="00FC6425">
        <w:rPr>
          <w:rFonts w:ascii="Verdana" w:hAnsi="Verdana"/>
          <w:sz w:val="20"/>
          <w:szCs w:val="20"/>
        </w:rPr>
        <w:t xml:space="preserve">-CoA mutase encoded by </w:t>
      </w:r>
      <w:proofErr w:type="spellStart"/>
      <w:r w:rsidRPr="00FC6425">
        <w:rPr>
          <w:rFonts w:ascii="Verdana" w:hAnsi="Verdana"/>
          <w:i/>
          <w:iCs/>
          <w:sz w:val="20"/>
          <w:szCs w:val="20"/>
        </w:rPr>
        <w:t>emc</w:t>
      </w:r>
      <w:proofErr w:type="spellEnd"/>
      <w:r w:rsidRPr="00FC6425">
        <w:rPr>
          <w:rFonts w:ascii="Verdana" w:hAnsi="Verdana"/>
          <w:sz w:val="20"/>
          <w:szCs w:val="20"/>
        </w:rPr>
        <w:t xml:space="preserve">. This enzyme is involved in acetate assimilation through the </w:t>
      </w:r>
      <w:proofErr w:type="spellStart"/>
      <w:r w:rsidRPr="00FC6425">
        <w:rPr>
          <w:rFonts w:ascii="Verdana" w:hAnsi="Verdana"/>
          <w:sz w:val="20"/>
          <w:szCs w:val="20"/>
          <w:u w:val="single"/>
        </w:rPr>
        <w:t>e</w:t>
      </w:r>
      <w:r w:rsidRPr="00FC6425">
        <w:rPr>
          <w:rFonts w:ascii="Verdana" w:hAnsi="Verdana"/>
          <w:sz w:val="20"/>
          <w:szCs w:val="20"/>
        </w:rPr>
        <w:t>thyl</w:t>
      </w:r>
      <w:r w:rsidRPr="00FC6425">
        <w:rPr>
          <w:rFonts w:ascii="Verdana" w:hAnsi="Verdana"/>
          <w:sz w:val="20"/>
          <w:szCs w:val="20"/>
          <w:u w:val="single"/>
        </w:rPr>
        <w:t>m</w:t>
      </w:r>
      <w:r w:rsidRPr="00FC6425">
        <w:rPr>
          <w:rFonts w:ascii="Verdana" w:hAnsi="Verdana"/>
          <w:sz w:val="20"/>
          <w:szCs w:val="20"/>
        </w:rPr>
        <w:t>alonyl</w:t>
      </w:r>
      <w:proofErr w:type="spellEnd"/>
      <w:r w:rsidRPr="00FC6425">
        <w:rPr>
          <w:rFonts w:ascii="Verdana" w:hAnsi="Verdana"/>
          <w:sz w:val="20"/>
          <w:szCs w:val="20"/>
        </w:rPr>
        <w:t>-</w:t>
      </w:r>
      <w:r w:rsidRPr="00FC6425">
        <w:rPr>
          <w:rFonts w:ascii="Verdana" w:hAnsi="Verdana"/>
          <w:sz w:val="20"/>
          <w:szCs w:val="20"/>
          <w:u w:val="single"/>
        </w:rPr>
        <w:t>C</w:t>
      </w:r>
      <w:r w:rsidRPr="00FC6425">
        <w:rPr>
          <w:rFonts w:ascii="Verdana" w:hAnsi="Verdana"/>
          <w:sz w:val="20"/>
          <w:szCs w:val="20"/>
        </w:rPr>
        <w:t>oA (EMC) pathway. All genomes surveyed possess this and all other genes necessary for a fully functional EMC pathway (Supplementary tables or data not shown). To date, only one transcriptional regulator (</w:t>
      </w:r>
      <w:proofErr w:type="spellStart"/>
      <w:r w:rsidRPr="00FC6425">
        <w:rPr>
          <w:rFonts w:ascii="Verdana" w:hAnsi="Verdana"/>
          <w:sz w:val="20"/>
          <w:szCs w:val="20"/>
        </w:rPr>
        <w:t>CcrR</w:t>
      </w:r>
      <w:proofErr w:type="spellEnd"/>
      <w:r w:rsidRPr="00FC6425">
        <w:rPr>
          <w:rFonts w:ascii="Verdana" w:hAnsi="Verdana"/>
          <w:sz w:val="20"/>
          <w:szCs w:val="20"/>
        </w:rPr>
        <w:t xml:space="preserve">) has been reported for this pathway, yet 70% of the Roseobacter genomes queried had a positive match to rose box motif 1 in the intergenic region surrounding </w:t>
      </w:r>
      <w:proofErr w:type="spellStart"/>
      <w:r w:rsidRPr="00FC6425">
        <w:rPr>
          <w:rFonts w:ascii="Verdana" w:hAnsi="Verdana"/>
          <w:i/>
          <w:iCs/>
          <w:sz w:val="20"/>
          <w:szCs w:val="20"/>
        </w:rPr>
        <w:t>emc</w:t>
      </w:r>
      <w:proofErr w:type="spellEnd"/>
      <w:r w:rsidRPr="00FC6425">
        <w:rPr>
          <w:rFonts w:ascii="Verdana" w:hAnsi="Verdana"/>
          <w:sz w:val="20"/>
          <w:szCs w:val="20"/>
        </w:rPr>
        <w:t>. (R)-</w:t>
      </w:r>
      <w:proofErr w:type="spellStart"/>
      <w:r w:rsidRPr="00FC6425">
        <w:rPr>
          <w:rFonts w:ascii="Verdana" w:hAnsi="Verdana"/>
          <w:sz w:val="20"/>
          <w:szCs w:val="20"/>
        </w:rPr>
        <w:t>ethylmalonyl</w:t>
      </w:r>
      <w:proofErr w:type="spellEnd"/>
      <w:r w:rsidRPr="00FC6425">
        <w:rPr>
          <w:rFonts w:ascii="Verdana" w:hAnsi="Verdana"/>
          <w:sz w:val="20"/>
          <w:szCs w:val="20"/>
        </w:rPr>
        <w:t xml:space="preserve">-CoA mutase and has been demonstrated to be essential for metabolism where acetate is the sole carbon source in a </w:t>
      </w:r>
      <w:proofErr w:type="spellStart"/>
      <w:r w:rsidRPr="00FC6425">
        <w:rPr>
          <w:rFonts w:ascii="Verdana" w:hAnsi="Verdana"/>
          <w:sz w:val="20"/>
          <w:szCs w:val="20"/>
        </w:rPr>
        <w:t>roseobacter</w:t>
      </w:r>
      <w:proofErr w:type="spellEnd"/>
      <w:r w:rsidRPr="00FC6425">
        <w:rPr>
          <w:rFonts w:ascii="Verdana" w:hAnsi="Verdana"/>
          <w:sz w:val="20"/>
          <w:szCs w:val="20"/>
        </w:rPr>
        <w:t xml:space="preserve"> representative (</w:t>
      </w:r>
      <w:proofErr w:type="spellStart"/>
      <w:r w:rsidRPr="00FC6425">
        <w:rPr>
          <w:rFonts w:ascii="Verdana" w:hAnsi="Verdana"/>
          <w:sz w:val="20"/>
          <w:szCs w:val="20"/>
        </w:rPr>
        <w:t>Erb</w:t>
      </w:r>
      <w:proofErr w:type="spellEnd"/>
      <w:r w:rsidRPr="00FC6425">
        <w:rPr>
          <w:rFonts w:ascii="Verdana" w:hAnsi="Verdana"/>
          <w:sz w:val="20"/>
          <w:szCs w:val="20"/>
        </w:rPr>
        <w:t xml:space="preserve"> et al 2008) and is a metabolic check point for another alpha-proteobacteria (Good et al 2015). Roseobacters are well known for their diverse metabolic capabilities including but not limited to degradation of recalcitrant organic matter (Quigley et al 2016?), aromatic compound degradation (Frank and/or Chua), as well as nitrogen fixation (cite).  Both aromatic compound degradation and nitrogen fixation have ties to the EMC pathway. For example, aromatic carbons compounds are cleaved in such a way that a resulting product is acetyl-CoA (Cite). Acetyl-CoA is the entry molecule for the EMC pathway (cite). In </w:t>
      </w:r>
      <w:proofErr w:type="spellStart"/>
      <w:r w:rsidRPr="00FC6425">
        <w:rPr>
          <w:rFonts w:ascii="Verdana" w:hAnsi="Verdana"/>
          <w:i/>
          <w:iCs/>
          <w:sz w:val="20"/>
          <w:szCs w:val="20"/>
        </w:rPr>
        <w:t>Rhodobacter</w:t>
      </w:r>
      <w:proofErr w:type="spellEnd"/>
      <w:r w:rsidRPr="00FC6425">
        <w:rPr>
          <w:rFonts w:ascii="Verdana" w:hAnsi="Verdana"/>
          <w:i/>
          <w:iCs/>
          <w:sz w:val="20"/>
          <w:szCs w:val="20"/>
        </w:rPr>
        <w:t xml:space="preserve"> </w:t>
      </w:r>
      <w:proofErr w:type="spellStart"/>
      <w:r w:rsidRPr="00FC6425">
        <w:rPr>
          <w:rFonts w:ascii="Verdana" w:hAnsi="Verdana"/>
          <w:i/>
          <w:iCs/>
          <w:sz w:val="20"/>
          <w:szCs w:val="20"/>
        </w:rPr>
        <w:t>sphaeroides</w:t>
      </w:r>
      <w:proofErr w:type="spellEnd"/>
      <w:r w:rsidRPr="00FC6425">
        <w:rPr>
          <w:rFonts w:ascii="Verdana" w:hAnsi="Verdana"/>
          <w:sz w:val="20"/>
          <w:szCs w:val="20"/>
        </w:rPr>
        <w:t xml:space="preserve">, the EMC pathway augments nitrogen fixation during phototrophic growth with acetate (Shimizu et al 2019).  These previous findings suggest that this enzyme is critical for metabolic processes in </w:t>
      </w:r>
      <w:proofErr w:type="spellStart"/>
      <w:proofErr w:type="gramStart"/>
      <w:r w:rsidRPr="00FC6425">
        <w:rPr>
          <w:rFonts w:ascii="Verdana" w:hAnsi="Verdana"/>
          <w:sz w:val="20"/>
          <w:szCs w:val="20"/>
        </w:rPr>
        <w:t>alphaproteobacteria</w:t>
      </w:r>
      <w:proofErr w:type="spellEnd"/>
      <w:proofErr w:type="gramEnd"/>
      <w:r w:rsidRPr="00FC6425">
        <w:rPr>
          <w:rFonts w:ascii="Verdana" w:hAnsi="Verdana"/>
          <w:sz w:val="20"/>
          <w:szCs w:val="20"/>
        </w:rPr>
        <w:t xml:space="preserve"> and our results suggest (R)-</w:t>
      </w:r>
      <w:proofErr w:type="spellStart"/>
      <w:r w:rsidRPr="00FC6425">
        <w:rPr>
          <w:rFonts w:ascii="Verdana" w:hAnsi="Verdana"/>
          <w:sz w:val="20"/>
          <w:szCs w:val="20"/>
        </w:rPr>
        <w:t>ethylmalonyl</w:t>
      </w:r>
      <w:proofErr w:type="spellEnd"/>
      <w:r w:rsidRPr="00FC6425">
        <w:rPr>
          <w:rFonts w:ascii="Verdana" w:hAnsi="Verdana"/>
          <w:sz w:val="20"/>
          <w:szCs w:val="20"/>
        </w:rPr>
        <w:t>-CoA mutase is linked to QS. Together, these results suggest that ecologically relevant metabolism, such as aromatic compound degradation and nitrogen fixation, requires community coordination.</w:t>
      </w:r>
    </w:p>
    <w:p w14:paraId="5A497523" w14:textId="77777777" w:rsidR="00FC6425" w:rsidRPr="00FC6425" w:rsidRDefault="00FC6425" w:rsidP="00FC6425">
      <w:pPr>
        <w:tabs>
          <w:tab w:val="left" w:pos="3306"/>
        </w:tabs>
        <w:spacing w:after="240"/>
        <w:jc w:val="both"/>
        <w:rPr>
          <w:rFonts w:ascii="Verdana" w:hAnsi="Verdana"/>
          <w:b/>
          <w:bCs/>
          <w:sz w:val="20"/>
          <w:szCs w:val="20"/>
        </w:rPr>
      </w:pPr>
      <w:r w:rsidRPr="00FC6425">
        <w:rPr>
          <w:rFonts w:ascii="Verdana" w:hAnsi="Verdana"/>
          <w:b/>
          <w:bCs/>
          <w:i/>
          <w:iCs/>
          <w:sz w:val="20"/>
          <w:szCs w:val="20"/>
        </w:rPr>
        <w:t>Metabolic checkpoints, functional redundancy, and public goods</w:t>
      </w:r>
    </w:p>
    <w:p w14:paraId="09F0F2A9" w14:textId="7B9405A1" w:rsidR="00FC6425" w:rsidRPr="00FC6425" w:rsidRDefault="00FC6425" w:rsidP="00FC6425">
      <w:pPr>
        <w:tabs>
          <w:tab w:val="left" w:pos="3306"/>
        </w:tabs>
        <w:spacing w:after="240"/>
        <w:jc w:val="both"/>
        <w:rPr>
          <w:rFonts w:ascii="Verdana" w:hAnsi="Verdana"/>
          <w:sz w:val="20"/>
          <w:szCs w:val="20"/>
        </w:rPr>
      </w:pPr>
      <w:r w:rsidRPr="00FC6425">
        <w:rPr>
          <w:rFonts w:ascii="Verdana" w:hAnsi="Verdana"/>
          <w:sz w:val="20"/>
          <w:szCs w:val="20"/>
        </w:rPr>
        <w:t>In this section, I will discuss how QS regulation of components of the EMC pathway (</w:t>
      </w:r>
      <w:proofErr w:type="spellStart"/>
      <w:proofErr w:type="gramStart"/>
      <w:r w:rsidRPr="00FC6425">
        <w:rPr>
          <w:rFonts w:ascii="Verdana" w:hAnsi="Verdana"/>
          <w:sz w:val="20"/>
          <w:szCs w:val="20"/>
        </w:rPr>
        <w:t>ie</w:t>
      </w:r>
      <w:proofErr w:type="spellEnd"/>
      <w:proofErr w:type="gramEnd"/>
      <w:r w:rsidRPr="00FC6425">
        <w:rPr>
          <w:rFonts w:ascii="Verdana" w:hAnsi="Verdana"/>
          <w:sz w:val="20"/>
          <w:szCs w:val="20"/>
        </w:rPr>
        <w:t xml:space="preserve"> EMC </w:t>
      </w:r>
      <w:proofErr w:type="spellStart"/>
      <w:r w:rsidRPr="00FC6425">
        <w:rPr>
          <w:rFonts w:ascii="Verdana" w:hAnsi="Verdana"/>
          <w:sz w:val="20"/>
          <w:szCs w:val="20"/>
        </w:rPr>
        <w:t>mutaste</w:t>
      </w:r>
      <w:proofErr w:type="spellEnd"/>
      <w:r w:rsidRPr="00FC6425">
        <w:rPr>
          <w:rFonts w:ascii="Verdana" w:hAnsi="Verdana"/>
          <w:sz w:val="20"/>
          <w:szCs w:val="20"/>
        </w:rPr>
        <w:t xml:space="preserve"> and </w:t>
      </w:r>
      <w:proofErr w:type="spellStart"/>
      <w:r w:rsidRPr="00FC6425">
        <w:rPr>
          <w:rFonts w:ascii="Verdana" w:hAnsi="Verdana"/>
          <w:sz w:val="20"/>
          <w:szCs w:val="20"/>
        </w:rPr>
        <w:t>ccrA</w:t>
      </w:r>
      <w:proofErr w:type="spellEnd"/>
      <w:r w:rsidRPr="00FC6425">
        <w:rPr>
          <w:rFonts w:ascii="Verdana" w:hAnsi="Verdana"/>
          <w:sz w:val="20"/>
          <w:szCs w:val="20"/>
        </w:rPr>
        <w:t>) could aid roseobacters in the utilization products from aromatic ring degradation as novel signaling molecules referencing p-</w:t>
      </w:r>
      <w:proofErr w:type="spellStart"/>
      <w:r w:rsidRPr="00FC6425">
        <w:rPr>
          <w:rFonts w:ascii="Verdana" w:hAnsi="Verdana"/>
          <w:sz w:val="20"/>
          <w:szCs w:val="20"/>
        </w:rPr>
        <w:t>Coumaryl</w:t>
      </w:r>
      <w:proofErr w:type="spellEnd"/>
      <w:r w:rsidRPr="00FC6425">
        <w:rPr>
          <w:rFonts w:ascii="Verdana" w:hAnsi="Verdana"/>
          <w:sz w:val="20"/>
          <w:szCs w:val="20"/>
        </w:rPr>
        <w:t xml:space="preserve"> acid HSL as an example. </w:t>
      </w:r>
    </w:p>
    <w:p w14:paraId="7B99E315" w14:textId="77777777" w:rsidR="00FC6425" w:rsidRPr="00FC6425" w:rsidRDefault="00FC6425" w:rsidP="00FC6425">
      <w:pPr>
        <w:tabs>
          <w:tab w:val="left" w:pos="3306"/>
        </w:tabs>
        <w:spacing w:after="240"/>
        <w:jc w:val="both"/>
        <w:rPr>
          <w:rFonts w:ascii="Verdana" w:hAnsi="Verdana"/>
          <w:b/>
          <w:bCs/>
          <w:sz w:val="20"/>
          <w:szCs w:val="20"/>
        </w:rPr>
      </w:pPr>
      <w:r w:rsidRPr="00FC6425">
        <w:rPr>
          <w:rFonts w:ascii="Verdana" w:hAnsi="Verdana"/>
          <w:b/>
          <w:bCs/>
          <w:sz w:val="20"/>
          <w:szCs w:val="20"/>
        </w:rPr>
        <w:lastRenderedPageBreak/>
        <w:t>Conclusions and Future directions</w:t>
      </w:r>
    </w:p>
    <w:p w14:paraId="59A9847A" w14:textId="1C894892" w:rsidR="00FC6425" w:rsidRPr="00FC6425" w:rsidRDefault="00FC6425" w:rsidP="00FC6425">
      <w:pPr>
        <w:tabs>
          <w:tab w:val="left" w:pos="3306"/>
        </w:tabs>
        <w:spacing w:after="240"/>
        <w:jc w:val="both"/>
        <w:rPr>
          <w:rFonts w:ascii="Verdana" w:hAnsi="Verdana"/>
          <w:sz w:val="20"/>
          <w:szCs w:val="20"/>
        </w:rPr>
      </w:pPr>
      <w:r w:rsidRPr="00FC6425">
        <w:rPr>
          <w:rFonts w:ascii="Verdana" w:hAnsi="Verdana"/>
          <w:sz w:val="20"/>
          <w:szCs w:val="20"/>
        </w:rPr>
        <w:t xml:space="preserve">Quorum sensing has long been studied due to its role in global regulation of population level behaviors. Multiple reviews have discussed the role of quorum sensing in bacteria (; Silva et al 2017). Traditional genetic analysis, in addition to transcriptomics, is typically used to assess QS-regulated genes in a single organism. However, these approaches are limited to lab-based studies and cannot be applied to meta-data. </w:t>
      </w:r>
      <w:proofErr w:type="gramStart"/>
      <w:r w:rsidRPr="00FC6425">
        <w:rPr>
          <w:rFonts w:ascii="Verdana" w:hAnsi="Verdana"/>
          <w:sz w:val="20"/>
          <w:szCs w:val="20"/>
        </w:rPr>
        <w:t>Additionally</w:t>
      </w:r>
      <w:proofErr w:type="gramEnd"/>
      <w:r w:rsidRPr="00FC6425">
        <w:rPr>
          <w:rFonts w:ascii="Verdana" w:hAnsi="Verdana"/>
          <w:sz w:val="20"/>
          <w:szCs w:val="20"/>
        </w:rPr>
        <w:t xml:space="preserve"> these types of analysis may encompass genes indirectly regulated by QS as they rely on expression data (i.e. the increases and decreases in gene expression in the presence and absence of a mutated system). While both approaches are valuable in providing a set of possible genes to explore when examining the role of QS. Unlike traditional approaches, our analysis targets the intergenic region between genes. It is here where direct transcriptional regulation takes place (in other words regulator elements bind to binding sites to activate, repress, augment, or inhibit transcription). Given, then motif modeling for </w:t>
      </w:r>
      <w:proofErr w:type="spellStart"/>
      <w:r w:rsidRPr="00FC6425">
        <w:rPr>
          <w:rFonts w:ascii="Verdana" w:hAnsi="Verdana"/>
          <w:sz w:val="20"/>
          <w:szCs w:val="20"/>
        </w:rPr>
        <w:t>roseo</w:t>
      </w:r>
      <w:proofErr w:type="spellEnd"/>
      <w:r w:rsidRPr="00FC6425">
        <w:rPr>
          <w:rFonts w:ascii="Verdana" w:hAnsi="Verdana"/>
          <w:sz w:val="20"/>
          <w:szCs w:val="20"/>
        </w:rPr>
        <w:t xml:space="preserve"> box consensus sequences used the sigma70 consensus (TATAA) as a guide to target regions where this clade specific “lux box” would be found, it is possible we isolated genetic regulatory elements corresponding to the sigma70 motif instead. Nonetheless, our results reflect a selection of candidate genes, and associated phenotypes and conditions with a worthy of further investigation. The results presented here give a strong indication of the conservative regions present in QS transcriptional regulation within the </w:t>
      </w:r>
      <w:proofErr w:type="spellStart"/>
      <w:r w:rsidRPr="00FC6425">
        <w:rPr>
          <w:rFonts w:ascii="Verdana" w:hAnsi="Verdana"/>
          <w:i/>
          <w:iCs/>
          <w:sz w:val="20"/>
          <w:szCs w:val="20"/>
        </w:rPr>
        <w:t>Phaeobacter-Leisingera</w:t>
      </w:r>
      <w:proofErr w:type="spellEnd"/>
      <w:r w:rsidRPr="00FC6425">
        <w:rPr>
          <w:rFonts w:ascii="Verdana" w:hAnsi="Verdana"/>
          <w:sz w:val="20"/>
          <w:szCs w:val="20"/>
        </w:rPr>
        <w:t xml:space="preserve"> lineage of the Roseobacter clade. To bolster this analysis, inclusion of more sequences could be done. However, one would have to be careful regarding the cut offs for gene similarly as the Roseobacter clade is vast and many issues have arisen when trying to perform phylogenetic analysis using select genes (ref that paper we read in lab mtg).</w:t>
      </w:r>
    </w:p>
    <w:p w14:paraId="7312A06E" w14:textId="5F30D1EA" w:rsidR="0092091F" w:rsidRPr="004B03EC" w:rsidRDefault="0092091F" w:rsidP="004B03EC">
      <w:pPr>
        <w:pStyle w:val="Heading2"/>
        <w:numPr>
          <w:ilvl w:val="0"/>
          <w:numId w:val="9"/>
        </w:numPr>
        <w:ind w:left="630"/>
        <w:jc w:val="left"/>
        <w:rPr>
          <w:rFonts w:ascii="Verdana" w:hAnsi="Verdana" w:cs="Times New Roman"/>
          <w:sz w:val="24"/>
          <w:szCs w:val="24"/>
        </w:rPr>
      </w:pPr>
      <w:r w:rsidRPr="004B03EC">
        <w:rPr>
          <w:rFonts w:ascii="Verdana" w:hAnsi="Verdana" w:cs="Times New Roman"/>
          <w:sz w:val="24"/>
          <w:szCs w:val="24"/>
        </w:rPr>
        <w:br w:type="page"/>
      </w:r>
      <w:bookmarkStart w:id="66" w:name="_Toc83382618"/>
      <w:r w:rsidRPr="004B03EC">
        <w:rPr>
          <w:rFonts w:ascii="Verdana" w:hAnsi="Verdana" w:cs="Times New Roman"/>
          <w:sz w:val="24"/>
          <w:szCs w:val="24"/>
        </w:rPr>
        <w:lastRenderedPageBreak/>
        <w:t>References</w:t>
      </w:r>
      <w:bookmarkEnd w:id="66"/>
    </w:p>
    <w:p w14:paraId="2CA1A35C" w14:textId="77777777" w:rsidR="0092091F" w:rsidRPr="004B03EC" w:rsidRDefault="0092091F" w:rsidP="004B03EC">
      <w:pPr>
        <w:spacing w:before="240"/>
        <w:rPr>
          <w:rFonts w:ascii="Verdana" w:hAnsi="Verdana" w:cs="Times New Roman"/>
        </w:rPr>
      </w:pPr>
    </w:p>
    <w:p w14:paraId="65D20252" w14:textId="77777777" w:rsidR="0092091F" w:rsidRPr="00C51113" w:rsidRDefault="0092091F" w:rsidP="00677C01">
      <w:pPr>
        <w:spacing w:before="240"/>
        <w:jc w:val="both"/>
        <w:rPr>
          <w:rFonts w:ascii="Verdana" w:hAnsi="Verdana" w:cs="Times New Roman"/>
          <w:sz w:val="18"/>
          <w:szCs w:val="18"/>
        </w:rPr>
      </w:pPr>
    </w:p>
    <w:p w14:paraId="2D45D396" w14:textId="27B272D0" w:rsidR="00FC6425" w:rsidRDefault="00FC6425">
      <w:pPr>
        <w:rPr>
          <w:rFonts w:ascii="Verdana" w:hAnsi="Verdana" w:cs="Times New Roman"/>
          <w:b/>
          <w:bCs/>
          <w:iCs/>
        </w:rPr>
      </w:pPr>
      <w:r>
        <w:rPr>
          <w:rFonts w:ascii="Verdana" w:hAnsi="Verdana" w:cs="Times New Roman"/>
          <w:b/>
          <w:bCs/>
          <w:iCs/>
        </w:rPr>
        <w:br w:type="page"/>
      </w:r>
    </w:p>
    <w:p w14:paraId="03EB51F5" w14:textId="77777777" w:rsidR="0092091F" w:rsidRPr="00C51113" w:rsidRDefault="0092091F" w:rsidP="00677C01">
      <w:pPr>
        <w:spacing w:before="240"/>
        <w:jc w:val="both"/>
        <w:rPr>
          <w:rFonts w:ascii="Verdana" w:hAnsi="Verdana" w:cs="Times New Roman"/>
          <w:sz w:val="18"/>
          <w:szCs w:val="18"/>
        </w:rPr>
      </w:pPr>
    </w:p>
    <w:p w14:paraId="170C2877" w14:textId="62A17833" w:rsidR="006D1E1B" w:rsidRPr="00822656" w:rsidRDefault="0097298A" w:rsidP="002B6156">
      <w:pPr>
        <w:pStyle w:val="Heading2"/>
        <w:numPr>
          <w:ilvl w:val="0"/>
          <w:numId w:val="0"/>
        </w:numPr>
        <w:rPr>
          <w:rFonts w:ascii="Verdana" w:hAnsi="Verdana"/>
          <w:sz w:val="24"/>
          <w:szCs w:val="24"/>
        </w:rPr>
      </w:pPr>
      <w:bookmarkStart w:id="67" w:name="_Toc83382620"/>
      <w:r w:rsidRPr="00822656">
        <w:rPr>
          <w:rFonts w:ascii="Verdana" w:hAnsi="Verdana"/>
          <w:sz w:val="24"/>
          <w:szCs w:val="24"/>
        </w:rPr>
        <w:t>Appendix: Tables</w:t>
      </w:r>
    </w:p>
    <w:p w14:paraId="7BB79330" w14:textId="77777777" w:rsidR="005F4A1D" w:rsidRDefault="005F4A1D" w:rsidP="002B6156">
      <w:pPr>
        <w:sectPr w:rsidR="005F4A1D" w:rsidSect="00477C35">
          <w:pgSz w:w="12240" w:h="15840" w:code="1"/>
          <w:pgMar w:top="1440" w:right="1800" w:bottom="1872" w:left="1800" w:header="720" w:footer="1440" w:gutter="0"/>
          <w:cols w:space="720"/>
          <w:noEndnote/>
          <w:docGrid w:linePitch="360"/>
        </w:sectPr>
      </w:pPr>
    </w:p>
    <w:p w14:paraId="4FA49334" w14:textId="18010705" w:rsidR="00E80FF5" w:rsidRPr="00822656" w:rsidRDefault="00E80FF5" w:rsidP="00E80FF5">
      <w:pPr>
        <w:pStyle w:val="Caption"/>
        <w:rPr>
          <w:rFonts w:ascii="Verdana" w:hAnsi="Verdana"/>
          <w:sz w:val="20"/>
          <w:szCs w:val="20"/>
        </w:rPr>
      </w:pPr>
      <w:bookmarkStart w:id="68" w:name="_Toc83387912"/>
      <w:r w:rsidRPr="00822656">
        <w:rPr>
          <w:rFonts w:ascii="Verdana" w:hAnsi="Verdana"/>
          <w:sz w:val="20"/>
          <w:szCs w:val="20"/>
        </w:rPr>
        <w:lastRenderedPageBreak/>
        <w:t xml:space="preserve">Table </w:t>
      </w:r>
      <w:r w:rsidR="00F8165F" w:rsidRPr="00822656">
        <w:rPr>
          <w:rFonts w:ascii="Verdana" w:hAnsi="Verdana"/>
          <w:sz w:val="20"/>
          <w:szCs w:val="20"/>
        </w:rPr>
        <w:fldChar w:fldCharType="begin"/>
      </w:r>
      <w:r w:rsidR="00F8165F" w:rsidRPr="00822656">
        <w:rPr>
          <w:rFonts w:ascii="Verdana" w:hAnsi="Verdana"/>
          <w:sz w:val="20"/>
          <w:szCs w:val="20"/>
        </w:rPr>
        <w:instrText xml:space="preserve"> STYLEREF 1 \s </w:instrText>
      </w:r>
      <w:r w:rsidR="00F8165F" w:rsidRPr="00822656">
        <w:rPr>
          <w:rFonts w:ascii="Verdana" w:hAnsi="Verdana"/>
          <w:sz w:val="20"/>
          <w:szCs w:val="20"/>
        </w:rPr>
        <w:fldChar w:fldCharType="separate"/>
      </w:r>
      <w:r w:rsidR="00F8165F" w:rsidRPr="00822656">
        <w:rPr>
          <w:rFonts w:ascii="Verdana" w:hAnsi="Verdana"/>
          <w:noProof/>
          <w:sz w:val="20"/>
          <w:szCs w:val="20"/>
        </w:rPr>
        <w:t>4</w:t>
      </w:r>
      <w:r w:rsidR="00F8165F" w:rsidRPr="00822656">
        <w:rPr>
          <w:rFonts w:ascii="Verdana" w:hAnsi="Verdana"/>
          <w:sz w:val="20"/>
          <w:szCs w:val="20"/>
        </w:rPr>
        <w:fldChar w:fldCharType="end"/>
      </w:r>
      <w:r w:rsidR="00F8165F" w:rsidRPr="00822656">
        <w:rPr>
          <w:rFonts w:ascii="Verdana" w:hAnsi="Verdana"/>
          <w:sz w:val="20"/>
          <w:szCs w:val="20"/>
        </w:rPr>
        <w:t>.</w:t>
      </w:r>
      <w:r w:rsidR="00F8165F" w:rsidRPr="00822656">
        <w:rPr>
          <w:rFonts w:ascii="Verdana" w:hAnsi="Verdana"/>
          <w:sz w:val="20"/>
          <w:szCs w:val="20"/>
        </w:rPr>
        <w:fldChar w:fldCharType="begin"/>
      </w:r>
      <w:r w:rsidR="00F8165F" w:rsidRPr="00822656">
        <w:rPr>
          <w:rFonts w:ascii="Verdana" w:hAnsi="Verdana"/>
          <w:sz w:val="20"/>
          <w:szCs w:val="20"/>
        </w:rPr>
        <w:instrText xml:space="preserve"> SEQ Table \* ARABIC \s 1 </w:instrText>
      </w:r>
      <w:r w:rsidR="00F8165F" w:rsidRPr="00822656">
        <w:rPr>
          <w:rFonts w:ascii="Verdana" w:hAnsi="Verdana"/>
          <w:sz w:val="20"/>
          <w:szCs w:val="20"/>
        </w:rPr>
        <w:fldChar w:fldCharType="separate"/>
      </w:r>
      <w:r w:rsidR="00F8165F" w:rsidRPr="00822656">
        <w:rPr>
          <w:rFonts w:ascii="Verdana" w:hAnsi="Verdana"/>
          <w:noProof/>
          <w:sz w:val="20"/>
          <w:szCs w:val="20"/>
        </w:rPr>
        <w:t>1</w:t>
      </w:r>
      <w:r w:rsidR="00F8165F" w:rsidRPr="00822656">
        <w:rPr>
          <w:rFonts w:ascii="Verdana" w:hAnsi="Verdana"/>
          <w:sz w:val="20"/>
          <w:szCs w:val="20"/>
        </w:rPr>
        <w:fldChar w:fldCharType="end"/>
      </w:r>
      <w:r w:rsidRPr="00822656">
        <w:rPr>
          <w:rFonts w:ascii="Verdana" w:hAnsi="Verdana"/>
          <w:sz w:val="20"/>
          <w:szCs w:val="20"/>
        </w:rPr>
        <w:t xml:space="preserve"> Positive matches to </w:t>
      </w:r>
      <w:proofErr w:type="spellStart"/>
      <w:r w:rsidRPr="00822656">
        <w:rPr>
          <w:rFonts w:ascii="Verdana" w:hAnsi="Verdana"/>
          <w:sz w:val="20"/>
          <w:szCs w:val="20"/>
        </w:rPr>
        <w:t>roseo</w:t>
      </w:r>
      <w:proofErr w:type="spellEnd"/>
      <w:r w:rsidRPr="00822656">
        <w:rPr>
          <w:rFonts w:ascii="Verdana" w:hAnsi="Verdana"/>
          <w:sz w:val="20"/>
          <w:szCs w:val="20"/>
        </w:rPr>
        <w:t xml:space="preserve"> box motif 1</w:t>
      </w:r>
      <w:bookmarkEnd w:id="68"/>
    </w:p>
    <w:tbl>
      <w:tblPr>
        <w:tblpPr w:leftFromText="180" w:rightFromText="180" w:vertAnchor="text" w:tblpXSpec="center" w:tblpY="1"/>
        <w:tblOverlap w:val="never"/>
        <w:tblW w:w="5000" w:type="pct"/>
        <w:jc w:val="center"/>
        <w:tblLayout w:type="fixed"/>
        <w:tblLook w:val="04A0" w:firstRow="1" w:lastRow="0" w:firstColumn="1" w:lastColumn="0" w:noHBand="0" w:noVBand="1"/>
      </w:tblPr>
      <w:tblGrid>
        <w:gridCol w:w="1345"/>
        <w:gridCol w:w="1171"/>
        <w:gridCol w:w="899"/>
        <w:gridCol w:w="811"/>
        <w:gridCol w:w="1710"/>
        <w:gridCol w:w="1619"/>
        <w:gridCol w:w="1174"/>
        <w:gridCol w:w="806"/>
        <w:gridCol w:w="725"/>
        <w:gridCol w:w="899"/>
        <w:gridCol w:w="811"/>
        <w:gridCol w:w="985"/>
      </w:tblGrid>
      <w:tr w:rsidR="000D6168" w:rsidRPr="000A5942" w14:paraId="103BDE3C" w14:textId="77777777" w:rsidTr="00323FD6">
        <w:trPr>
          <w:trHeight w:val="290"/>
          <w:tblHeader/>
          <w:jc w:val="center"/>
        </w:trPr>
        <w:tc>
          <w:tcPr>
            <w:tcW w:w="519" w:type="pct"/>
            <w:tcBorders>
              <w:top w:val="single" w:sz="4" w:space="0" w:color="000000"/>
              <w:left w:val="single" w:sz="4" w:space="0" w:color="000000"/>
              <w:bottom w:val="nil"/>
              <w:right w:val="nil"/>
            </w:tcBorders>
            <w:shd w:val="clear" w:color="000000" w:fill="000000"/>
            <w:noWrap/>
            <w:vAlign w:val="bottom"/>
            <w:hideMark/>
          </w:tcPr>
          <w:p w14:paraId="701C6D8F" w14:textId="77777777" w:rsidR="000D6168" w:rsidRPr="000A5942" w:rsidRDefault="000D6168" w:rsidP="00323FD6">
            <w:pPr>
              <w:rPr>
                <w:rFonts w:ascii="Calibri" w:hAnsi="Calibri" w:cs="Calibri"/>
                <w:b/>
                <w:bCs/>
                <w:color w:val="FFFFFF"/>
              </w:rPr>
            </w:pPr>
            <w:r w:rsidRPr="000A5942">
              <w:rPr>
                <w:rFonts w:ascii="Calibri" w:hAnsi="Calibri" w:cs="Calibri"/>
                <w:b/>
                <w:bCs/>
                <w:color w:val="FFFFFF"/>
              </w:rPr>
              <w:t>Genome.ID</w:t>
            </w:r>
          </w:p>
        </w:tc>
        <w:tc>
          <w:tcPr>
            <w:tcW w:w="452" w:type="pct"/>
            <w:tcBorders>
              <w:top w:val="single" w:sz="4" w:space="0" w:color="000000"/>
              <w:left w:val="nil"/>
              <w:bottom w:val="nil"/>
              <w:right w:val="nil"/>
            </w:tcBorders>
            <w:shd w:val="clear" w:color="000000" w:fill="000000"/>
            <w:noWrap/>
            <w:vAlign w:val="bottom"/>
            <w:hideMark/>
          </w:tcPr>
          <w:p w14:paraId="0DA3F373" w14:textId="77777777" w:rsidR="000D6168" w:rsidRPr="000A5942" w:rsidRDefault="000D6168" w:rsidP="00323FD6">
            <w:pPr>
              <w:rPr>
                <w:rFonts w:ascii="Calibri" w:hAnsi="Calibri" w:cs="Calibri"/>
                <w:b/>
                <w:bCs/>
                <w:color w:val="FFFFFF"/>
              </w:rPr>
            </w:pPr>
            <w:proofErr w:type="spellStart"/>
            <w:r w:rsidRPr="000A5942">
              <w:rPr>
                <w:rFonts w:ascii="Calibri" w:hAnsi="Calibri" w:cs="Calibri"/>
                <w:b/>
                <w:bCs/>
                <w:color w:val="FFFFFF"/>
              </w:rPr>
              <w:t>Genome.Name</w:t>
            </w:r>
            <w:proofErr w:type="spellEnd"/>
          </w:p>
        </w:tc>
        <w:tc>
          <w:tcPr>
            <w:tcW w:w="347" w:type="pct"/>
            <w:tcBorders>
              <w:top w:val="single" w:sz="4" w:space="0" w:color="000000"/>
              <w:left w:val="nil"/>
              <w:bottom w:val="nil"/>
              <w:right w:val="nil"/>
            </w:tcBorders>
            <w:shd w:val="clear" w:color="000000" w:fill="000000"/>
            <w:noWrap/>
            <w:vAlign w:val="bottom"/>
            <w:hideMark/>
          </w:tcPr>
          <w:p w14:paraId="65BF36DA" w14:textId="77777777" w:rsidR="000D6168" w:rsidRPr="000A5942" w:rsidRDefault="000D6168" w:rsidP="00323FD6">
            <w:pPr>
              <w:rPr>
                <w:rFonts w:ascii="Calibri" w:hAnsi="Calibri" w:cs="Calibri"/>
                <w:b/>
                <w:bCs/>
                <w:color w:val="FFFFFF"/>
              </w:rPr>
            </w:pPr>
            <w:r w:rsidRPr="000A5942">
              <w:rPr>
                <w:rFonts w:ascii="Calibri" w:hAnsi="Calibri" w:cs="Calibri"/>
                <w:b/>
                <w:bCs/>
                <w:color w:val="FFFFFF"/>
              </w:rPr>
              <w:t>contig</w:t>
            </w:r>
          </w:p>
        </w:tc>
        <w:tc>
          <w:tcPr>
            <w:tcW w:w="313" w:type="pct"/>
            <w:tcBorders>
              <w:top w:val="single" w:sz="4" w:space="0" w:color="000000"/>
              <w:left w:val="nil"/>
              <w:bottom w:val="nil"/>
              <w:right w:val="nil"/>
            </w:tcBorders>
            <w:shd w:val="clear" w:color="000000" w:fill="000000"/>
            <w:noWrap/>
            <w:vAlign w:val="bottom"/>
            <w:hideMark/>
          </w:tcPr>
          <w:p w14:paraId="73A82C3F" w14:textId="77777777" w:rsidR="000D6168" w:rsidRPr="000A5942" w:rsidRDefault="000D6168" w:rsidP="00323FD6">
            <w:pPr>
              <w:rPr>
                <w:rFonts w:ascii="Calibri" w:hAnsi="Calibri" w:cs="Calibri"/>
                <w:b/>
                <w:bCs/>
                <w:color w:val="FFFFFF"/>
              </w:rPr>
            </w:pPr>
            <w:r w:rsidRPr="000A5942">
              <w:rPr>
                <w:rFonts w:ascii="Calibri" w:hAnsi="Calibri" w:cs="Calibri"/>
                <w:b/>
                <w:bCs/>
                <w:color w:val="FFFFFF"/>
              </w:rPr>
              <w:t>strand</w:t>
            </w:r>
          </w:p>
        </w:tc>
        <w:tc>
          <w:tcPr>
            <w:tcW w:w="660" w:type="pct"/>
            <w:tcBorders>
              <w:top w:val="single" w:sz="4" w:space="0" w:color="000000"/>
              <w:left w:val="nil"/>
              <w:bottom w:val="nil"/>
              <w:right w:val="nil"/>
            </w:tcBorders>
            <w:shd w:val="clear" w:color="000000" w:fill="000000"/>
            <w:noWrap/>
            <w:vAlign w:val="bottom"/>
            <w:hideMark/>
          </w:tcPr>
          <w:p w14:paraId="15B6720A" w14:textId="77777777" w:rsidR="000D6168" w:rsidRPr="000A5942" w:rsidRDefault="000D6168" w:rsidP="00323FD6">
            <w:pPr>
              <w:rPr>
                <w:rFonts w:ascii="Calibri" w:hAnsi="Calibri" w:cs="Calibri"/>
                <w:b/>
                <w:bCs/>
                <w:color w:val="FFFFFF"/>
              </w:rPr>
            </w:pPr>
            <w:r w:rsidRPr="000A5942">
              <w:rPr>
                <w:rFonts w:ascii="Calibri" w:hAnsi="Calibri" w:cs="Calibri"/>
                <w:b/>
                <w:bCs/>
                <w:color w:val="FFFFFF"/>
              </w:rPr>
              <w:t>Upstream</w:t>
            </w:r>
            <w:r>
              <w:rPr>
                <w:rFonts w:ascii="Calibri" w:hAnsi="Calibri" w:cs="Calibri"/>
                <w:b/>
                <w:bCs/>
                <w:color w:val="FFFFFF"/>
              </w:rPr>
              <w:t xml:space="preserve"> </w:t>
            </w:r>
            <w:r w:rsidRPr="000A5942">
              <w:rPr>
                <w:rFonts w:ascii="Calibri" w:hAnsi="Calibri" w:cs="Calibri"/>
                <w:b/>
                <w:bCs/>
                <w:color w:val="FFFFFF"/>
              </w:rPr>
              <w:t>annotation</w:t>
            </w:r>
            <w:r>
              <w:rPr>
                <w:rFonts w:ascii="Calibri" w:hAnsi="Calibri" w:cs="Calibri"/>
                <w:b/>
                <w:bCs/>
                <w:color w:val="FFFFFF"/>
              </w:rPr>
              <w:t xml:space="preserve"> (bp)</w:t>
            </w:r>
          </w:p>
        </w:tc>
        <w:tc>
          <w:tcPr>
            <w:tcW w:w="625" w:type="pct"/>
            <w:tcBorders>
              <w:top w:val="single" w:sz="4" w:space="0" w:color="000000"/>
              <w:left w:val="nil"/>
              <w:bottom w:val="nil"/>
              <w:right w:val="nil"/>
            </w:tcBorders>
            <w:shd w:val="clear" w:color="000000" w:fill="000000"/>
            <w:noWrap/>
            <w:vAlign w:val="bottom"/>
            <w:hideMark/>
          </w:tcPr>
          <w:p w14:paraId="13419492" w14:textId="77777777" w:rsidR="000D6168" w:rsidRPr="000A5942" w:rsidRDefault="000D6168" w:rsidP="00323FD6">
            <w:pPr>
              <w:rPr>
                <w:rFonts w:ascii="Calibri" w:hAnsi="Calibri" w:cs="Calibri"/>
                <w:b/>
                <w:bCs/>
                <w:color w:val="FFFFFF"/>
              </w:rPr>
            </w:pPr>
            <w:r w:rsidRPr="000A5942">
              <w:rPr>
                <w:rFonts w:ascii="Calibri" w:hAnsi="Calibri" w:cs="Calibri"/>
                <w:b/>
                <w:bCs/>
                <w:color w:val="FFFFFF"/>
              </w:rPr>
              <w:t>Downstream</w:t>
            </w:r>
            <w:r>
              <w:rPr>
                <w:rFonts w:ascii="Calibri" w:hAnsi="Calibri" w:cs="Calibri"/>
                <w:b/>
                <w:bCs/>
                <w:color w:val="FFFFFF"/>
              </w:rPr>
              <w:t xml:space="preserve"> </w:t>
            </w:r>
            <w:r w:rsidRPr="000A5942">
              <w:rPr>
                <w:rFonts w:ascii="Calibri" w:hAnsi="Calibri" w:cs="Calibri"/>
                <w:b/>
                <w:bCs/>
                <w:color w:val="FFFFFF"/>
              </w:rPr>
              <w:t>annotation</w:t>
            </w:r>
            <w:r>
              <w:rPr>
                <w:rFonts w:ascii="Calibri" w:hAnsi="Calibri" w:cs="Calibri"/>
                <w:b/>
                <w:bCs/>
                <w:color w:val="FFFFFF"/>
              </w:rPr>
              <w:t xml:space="preserve"> (bp)</w:t>
            </w:r>
          </w:p>
        </w:tc>
        <w:tc>
          <w:tcPr>
            <w:tcW w:w="453" w:type="pct"/>
            <w:tcBorders>
              <w:top w:val="single" w:sz="4" w:space="0" w:color="000000"/>
              <w:left w:val="nil"/>
              <w:bottom w:val="nil"/>
              <w:right w:val="nil"/>
            </w:tcBorders>
            <w:shd w:val="clear" w:color="000000" w:fill="000000"/>
            <w:noWrap/>
            <w:vAlign w:val="bottom"/>
            <w:hideMark/>
          </w:tcPr>
          <w:p w14:paraId="55ED5B96" w14:textId="77777777" w:rsidR="000D6168" w:rsidRPr="000A5942" w:rsidRDefault="000D6168" w:rsidP="00323FD6">
            <w:pPr>
              <w:rPr>
                <w:rFonts w:ascii="Calibri" w:hAnsi="Calibri" w:cs="Calibri"/>
                <w:b/>
                <w:bCs/>
                <w:color w:val="FFFFFF"/>
              </w:rPr>
            </w:pPr>
            <w:proofErr w:type="spellStart"/>
            <w:r w:rsidRPr="000A5942">
              <w:rPr>
                <w:rFonts w:ascii="Calibri" w:hAnsi="Calibri" w:cs="Calibri"/>
                <w:b/>
                <w:bCs/>
                <w:color w:val="FFFFFF"/>
              </w:rPr>
              <w:t>upstream_dist</w:t>
            </w:r>
            <w:proofErr w:type="spellEnd"/>
          </w:p>
        </w:tc>
        <w:tc>
          <w:tcPr>
            <w:tcW w:w="311" w:type="pct"/>
            <w:tcBorders>
              <w:top w:val="single" w:sz="4" w:space="0" w:color="000000"/>
              <w:left w:val="nil"/>
              <w:bottom w:val="nil"/>
              <w:right w:val="nil"/>
            </w:tcBorders>
            <w:shd w:val="clear" w:color="000000" w:fill="000000"/>
            <w:noWrap/>
            <w:vAlign w:val="bottom"/>
            <w:hideMark/>
          </w:tcPr>
          <w:p w14:paraId="0DDF6C53" w14:textId="77777777" w:rsidR="000D6168" w:rsidRPr="000A5942" w:rsidRDefault="000D6168" w:rsidP="00323FD6">
            <w:pPr>
              <w:rPr>
                <w:rFonts w:ascii="Calibri" w:hAnsi="Calibri" w:cs="Calibri"/>
                <w:b/>
                <w:bCs/>
                <w:color w:val="FFFFFF"/>
              </w:rPr>
            </w:pPr>
            <w:proofErr w:type="spellStart"/>
            <w:r w:rsidRPr="000A5942">
              <w:rPr>
                <w:rFonts w:ascii="Calibri" w:hAnsi="Calibri" w:cs="Calibri"/>
                <w:b/>
                <w:bCs/>
                <w:color w:val="FFFFFF"/>
              </w:rPr>
              <w:t>downstream_dist</w:t>
            </w:r>
            <w:proofErr w:type="spellEnd"/>
          </w:p>
        </w:tc>
        <w:tc>
          <w:tcPr>
            <w:tcW w:w="280" w:type="pct"/>
            <w:tcBorders>
              <w:top w:val="single" w:sz="4" w:space="0" w:color="000000"/>
              <w:left w:val="nil"/>
              <w:bottom w:val="nil"/>
              <w:right w:val="nil"/>
            </w:tcBorders>
            <w:shd w:val="clear" w:color="000000" w:fill="000000"/>
            <w:noWrap/>
            <w:vAlign w:val="bottom"/>
            <w:hideMark/>
          </w:tcPr>
          <w:p w14:paraId="4F4B7608" w14:textId="77777777" w:rsidR="000D6168" w:rsidRPr="000A5942" w:rsidRDefault="000D6168" w:rsidP="00323FD6">
            <w:pPr>
              <w:rPr>
                <w:rFonts w:ascii="Calibri" w:hAnsi="Calibri" w:cs="Calibri"/>
                <w:b/>
                <w:bCs/>
                <w:color w:val="FFFFFF"/>
              </w:rPr>
            </w:pPr>
            <w:r w:rsidRPr="000A5942">
              <w:rPr>
                <w:rFonts w:ascii="Calibri" w:hAnsi="Calibri" w:cs="Calibri"/>
                <w:b/>
                <w:bCs/>
                <w:color w:val="FFFFFF"/>
              </w:rPr>
              <w:t>Bit</w:t>
            </w:r>
            <w:r>
              <w:rPr>
                <w:rFonts w:ascii="Calibri" w:hAnsi="Calibri" w:cs="Calibri"/>
                <w:b/>
                <w:bCs/>
                <w:color w:val="FFFFFF"/>
              </w:rPr>
              <w:t xml:space="preserve"> </w:t>
            </w:r>
            <w:r w:rsidRPr="000A5942">
              <w:rPr>
                <w:rFonts w:ascii="Calibri" w:hAnsi="Calibri" w:cs="Calibri"/>
                <w:b/>
                <w:bCs/>
                <w:color w:val="FFFFFF"/>
              </w:rPr>
              <w:t>score</w:t>
            </w:r>
          </w:p>
        </w:tc>
        <w:tc>
          <w:tcPr>
            <w:tcW w:w="347" w:type="pct"/>
            <w:tcBorders>
              <w:top w:val="single" w:sz="4" w:space="0" w:color="000000"/>
              <w:left w:val="nil"/>
              <w:bottom w:val="nil"/>
              <w:right w:val="single" w:sz="4" w:space="0" w:color="000000"/>
            </w:tcBorders>
            <w:shd w:val="clear" w:color="000000" w:fill="000000"/>
            <w:noWrap/>
            <w:vAlign w:val="bottom"/>
            <w:hideMark/>
          </w:tcPr>
          <w:p w14:paraId="1CFBEE7F" w14:textId="77777777" w:rsidR="000D6168" w:rsidRPr="000A5942" w:rsidRDefault="000D6168" w:rsidP="00323FD6">
            <w:pPr>
              <w:rPr>
                <w:rFonts w:ascii="Calibri" w:hAnsi="Calibri" w:cs="Calibri"/>
                <w:b/>
                <w:bCs/>
                <w:color w:val="FFFFFF"/>
              </w:rPr>
            </w:pPr>
            <w:proofErr w:type="spellStart"/>
            <w:r w:rsidRPr="000A5942">
              <w:rPr>
                <w:rFonts w:ascii="Calibri" w:hAnsi="Calibri" w:cs="Calibri"/>
                <w:b/>
                <w:bCs/>
                <w:color w:val="FFFFFF"/>
              </w:rPr>
              <w:t>postive</w:t>
            </w:r>
            <w:proofErr w:type="spellEnd"/>
            <w:r w:rsidRPr="000A5942">
              <w:rPr>
                <w:rFonts w:ascii="Calibri" w:hAnsi="Calibri" w:cs="Calibri"/>
                <w:b/>
                <w:bCs/>
                <w:color w:val="FFFFFF"/>
              </w:rPr>
              <w:t xml:space="preserve"> hits</w:t>
            </w:r>
          </w:p>
        </w:tc>
        <w:tc>
          <w:tcPr>
            <w:tcW w:w="313" w:type="pct"/>
            <w:tcBorders>
              <w:top w:val="single" w:sz="4" w:space="0" w:color="000000"/>
              <w:left w:val="nil"/>
              <w:bottom w:val="nil"/>
              <w:right w:val="nil"/>
            </w:tcBorders>
            <w:shd w:val="clear" w:color="000000" w:fill="000000"/>
            <w:noWrap/>
            <w:vAlign w:val="bottom"/>
            <w:hideMark/>
          </w:tcPr>
          <w:p w14:paraId="07F92C99" w14:textId="77777777" w:rsidR="000D6168" w:rsidRDefault="000D6168" w:rsidP="00323FD6">
            <w:pPr>
              <w:rPr>
                <w:rFonts w:ascii="Calibri" w:hAnsi="Calibri" w:cs="Calibri"/>
                <w:b/>
                <w:bCs/>
                <w:color w:val="FFFFFF"/>
              </w:rPr>
            </w:pPr>
            <w:r w:rsidRPr="000A5942">
              <w:rPr>
                <w:rFonts w:ascii="Calibri" w:hAnsi="Calibri" w:cs="Calibri"/>
                <w:b/>
                <w:bCs/>
                <w:color w:val="FFFFFF"/>
              </w:rPr>
              <w:t>Gene</w:t>
            </w:r>
          </w:p>
          <w:p w14:paraId="7D308E5E" w14:textId="77777777" w:rsidR="000D6168" w:rsidRPr="000A5942" w:rsidRDefault="000D6168" w:rsidP="00323FD6">
            <w:pPr>
              <w:rPr>
                <w:rFonts w:ascii="Calibri" w:hAnsi="Calibri" w:cs="Calibri"/>
                <w:b/>
                <w:bCs/>
                <w:color w:val="FFFFFF"/>
              </w:rPr>
            </w:pPr>
            <w:r w:rsidRPr="000A5942">
              <w:rPr>
                <w:rFonts w:ascii="Calibri" w:hAnsi="Calibri" w:cs="Calibri"/>
                <w:b/>
                <w:bCs/>
                <w:color w:val="FFFFFF"/>
              </w:rPr>
              <w:t>Count</w:t>
            </w:r>
          </w:p>
        </w:tc>
        <w:tc>
          <w:tcPr>
            <w:tcW w:w="380" w:type="pct"/>
            <w:tcBorders>
              <w:top w:val="nil"/>
              <w:left w:val="nil"/>
              <w:bottom w:val="nil"/>
              <w:right w:val="nil"/>
            </w:tcBorders>
            <w:shd w:val="clear" w:color="000000" w:fill="000000"/>
            <w:noWrap/>
            <w:vAlign w:val="bottom"/>
            <w:hideMark/>
          </w:tcPr>
          <w:p w14:paraId="4AD2B378" w14:textId="77777777" w:rsidR="000D6168" w:rsidRPr="000A5942" w:rsidRDefault="000D6168" w:rsidP="00323FD6">
            <w:pPr>
              <w:rPr>
                <w:rFonts w:ascii="Calibri" w:hAnsi="Calibri" w:cs="Calibri"/>
                <w:b/>
                <w:bCs/>
                <w:color w:val="FFFFFF"/>
              </w:rPr>
            </w:pPr>
            <w:proofErr w:type="gramStart"/>
            <w:r w:rsidRPr="000A5942">
              <w:rPr>
                <w:rFonts w:ascii="Calibri" w:hAnsi="Calibri" w:cs="Calibri"/>
                <w:b/>
                <w:bCs/>
                <w:color w:val="FFFFFF"/>
              </w:rPr>
              <w:t>%  regulated</w:t>
            </w:r>
            <w:proofErr w:type="gramEnd"/>
          </w:p>
        </w:tc>
      </w:tr>
      <w:tr w:rsidR="000D6168" w:rsidRPr="000A5942" w14:paraId="69BC6CEF" w14:textId="77777777" w:rsidTr="00323FD6">
        <w:trPr>
          <w:trHeight w:val="290"/>
          <w:jc w:val="center"/>
        </w:trPr>
        <w:tc>
          <w:tcPr>
            <w:tcW w:w="519" w:type="pct"/>
            <w:tcBorders>
              <w:top w:val="single" w:sz="4" w:space="0" w:color="auto"/>
              <w:left w:val="single" w:sz="4" w:space="0" w:color="auto"/>
              <w:bottom w:val="nil"/>
              <w:right w:val="nil"/>
            </w:tcBorders>
            <w:shd w:val="clear" w:color="auto" w:fill="auto"/>
            <w:noWrap/>
            <w:vAlign w:val="center"/>
            <w:hideMark/>
          </w:tcPr>
          <w:p w14:paraId="63C95CE4" w14:textId="77777777" w:rsidR="000D6168" w:rsidRPr="000A5942" w:rsidRDefault="000D6168" w:rsidP="00323FD6">
            <w:pPr>
              <w:rPr>
                <w:rFonts w:ascii="Calibri" w:hAnsi="Calibri" w:cs="Calibri"/>
              </w:rPr>
            </w:pPr>
            <w:r w:rsidRPr="000A5942">
              <w:rPr>
                <w:rFonts w:ascii="Calibri" w:hAnsi="Calibri" w:cs="Calibri"/>
              </w:rPr>
              <w:t>2713896966</w:t>
            </w:r>
          </w:p>
        </w:tc>
        <w:tc>
          <w:tcPr>
            <w:tcW w:w="452" w:type="pct"/>
            <w:tcBorders>
              <w:top w:val="single" w:sz="4" w:space="0" w:color="auto"/>
              <w:left w:val="nil"/>
              <w:bottom w:val="nil"/>
              <w:right w:val="nil"/>
            </w:tcBorders>
            <w:shd w:val="clear" w:color="auto" w:fill="auto"/>
            <w:noWrap/>
            <w:vAlign w:val="center"/>
            <w:hideMark/>
          </w:tcPr>
          <w:p w14:paraId="3EFD8067" w14:textId="77777777" w:rsidR="000D6168" w:rsidRPr="000A5942" w:rsidRDefault="000D6168" w:rsidP="00323FD6">
            <w:pPr>
              <w:rPr>
                <w:rFonts w:ascii="Calibri" w:hAnsi="Calibri" w:cs="Calibri"/>
              </w:rPr>
            </w:pPr>
            <w:proofErr w:type="spellStart"/>
            <w:r w:rsidRPr="000A5942">
              <w:rPr>
                <w:rFonts w:ascii="Calibri" w:hAnsi="Calibri" w:cs="Calibri"/>
              </w:rPr>
              <w:t>Leisingera</w:t>
            </w:r>
            <w:proofErr w:type="spellEnd"/>
            <w:r w:rsidRPr="000A5942">
              <w:rPr>
                <w:rFonts w:ascii="Calibri" w:hAnsi="Calibri" w:cs="Calibri"/>
              </w:rPr>
              <w:t xml:space="preserve"> </w:t>
            </w:r>
            <w:proofErr w:type="spellStart"/>
            <w:r w:rsidRPr="000A5942">
              <w:rPr>
                <w:rFonts w:ascii="Calibri" w:hAnsi="Calibri" w:cs="Calibri"/>
              </w:rPr>
              <w:t>aquaemixtae</w:t>
            </w:r>
            <w:proofErr w:type="spellEnd"/>
            <w:r w:rsidRPr="000A5942">
              <w:rPr>
                <w:rFonts w:ascii="Calibri" w:hAnsi="Calibri" w:cs="Calibri"/>
              </w:rPr>
              <w:t xml:space="preserve"> CECT 8399</w:t>
            </w:r>
          </w:p>
        </w:tc>
        <w:tc>
          <w:tcPr>
            <w:tcW w:w="347" w:type="pct"/>
            <w:tcBorders>
              <w:top w:val="single" w:sz="4" w:space="0" w:color="auto"/>
              <w:left w:val="nil"/>
              <w:bottom w:val="nil"/>
              <w:right w:val="nil"/>
            </w:tcBorders>
            <w:shd w:val="clear" w:color="auto" w:fill="auto"/>
            <w:noWrap/>
            <w:vAlign w:val="center"/>
            <w:hideMark/>
          </w:tcPr>
          <w:p w14:paraId="1E33C6A3" w14:textId="77777777" w:rsidR="000D6168" w:rsidRPr="000A5942" w:rsidRDefault="000D6168" w:rsidP="00323FD6">
            <w:pPr>
              <w:rPr>
                <w:rFonts w:ascii="Calibri" w:hAnsi="Calibri" w:cs="Calibri"/>
              </w:rPr>
            </w:pPr>
            <w:r w:rsidRPr="000A5942">
              <w:rPr>
                <w:rFonts w:ascii="Calibri" w:hAnsi="Calibri" w:cs="Calibri"/>
              </w:rPr>
              <w:t>Ga0125397_110</w:t>
            </w:r>
          </w:p>
        </w:tc>
        <w:tc>
          <w:tcPr>
            <w:tcW w:w="313" w:type="pct"/>
            <w:tcBorders>
              <w:top w:val="single" w:sz="4" w:space="0" w:color="auto"/>
              <w:left w:val="nil"/>
              <w:bottom w:val="nil"/>
              <w:right w:val="nil"/>
            </w:tcBorders>
            <w:shd w:val="clear" w:color="auto" w:fill="auto"/>
            <w:noWrap/>
            <w:vAlign w:val="center"/>
            <w:hideMark/>
          </w:tcPr>
          <w:p w14:paraId="43581F2D"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single" w:sz="4" w:space="0" w:color="auto"/>
              <w:left w:val="nil"/>
              <w:bottom w:val="nil"/>
              <w:right w:val="nil"/>
            </w:tcBorders>
            <w:shd w:val="clear" w:color="auto" w:fill="auto"/>
            <w:noWrap/>
            <w:vAlign w:val="center"/>
            <w:hideMark/>
          </w:tcPr>
          <w:p w14:paraId="26B0D186" w14:textId="77777777" w:rsidR="000D6168" w:rsidRPr="000A5942" w:rsidRDefault="000D6168" w:rsidP="00323FD6">
            <w:pPr>
              <w:rPr>
                <w:rFonts w:ascii="Calibri" w:hAnsi="Calibri" w:cs="Calibri"/>
              </w:rPr>
            </w:pPr>
            <w:r w:rsidRPr="000A5942">
              <w:rPr>
                <w:rFonts w:ascii="Calibri" w:hAnsi="Calibri" w:cs="Calibri"/>
              </w:rPr>
              <w:t xml:space="preserve"> (R)-</w:t>
            </w:r>
            <w:proofErr w:type="spellStart"/>
            <w:r w:rsidRPr="000A5942">
              <w:rPr>
                <w:rFonts w:ascii="Calibri" w:hAnsi="Calibri" w:cs="Calibri"/>
              </w:rPr>
              <w:t>ethylmalonyl</w:t>
            </w:r>
            <w:proofErr w:type="spellEnd"/>
            <w:r w:rsidRPr="000A5942">
              <w:rPr>
                <w:rFonts w:ascii="Calibri" w:hAnsi="Calibri" w:cs="Calibri"/>
              </w:rPr>
              <w:t>-CoA mutase</w:t>
            </w:r>
          </w:p>
        </w:tc>
        <w:tc>
          <w:tcPr>
            <w:tcW w:w="625" w:type="pct"/>
            <w:tcBorders>
              <w:top w:val="single" w:sz="4" w:space="0" w:color="auto"/>
              <w:left w:val="nil"/>
              <w:bottom w:val="nil"/>
              <w:right w:val="nil"/>
            </w:tcBorders>
            <w:shd w:val="clear" w:color="auto" w:fill="auto"/>
            <w:noWrap/>
            <w:vAlign w:val="center"/>
            <w:hideMark/>
          </w:tcPr>
          <w:p w14:paraId="6862C2CA"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453" w:type="pct"/>
            <w:tcBorders>
              <w:top w:val="single" w:sz="4" w:space="0" w:color="auto"/>
              <w:left w:val="nil"/>
              <w:bottom w:val="nil"/>
              <w:right w:val="nil"/>
            </w:tcBorders>
            <w:shd w:val="clear" w:color="auto" w:fill="auto"/>
            <w:noWrap/>
            <w:vAlign w:val="center"/>
            <w:hideMark/>
          </w:tcPr>
          <w:p w14:paraId="2FD7B9AB" w14:textId="77777777" w:rsidR="000D6168" w:rsidRPr="000A5942" w:rsidRDefault="000D6168" w:rsidP="00323FD6">
            <w:pPr>
              <w:rPr>
                <w:rFonts w:ascii="Calibri" w:hAnsi="Calibri" w:cs="Calibri"/>
              </w:rPr>
            </w:pPr>
            <w:r w:rsidRPr="000A5942">
              <w:rPr>
                <w:rFonts w:ascii="Calibri" w:hAnsi="Calibri" w:cs="Calibri"/>
              </w:rPr>
              <w:t>5327</w:t>
            </w:r>
          </w:p>
        </w:tc>
        <w:tc>
          <w:tcPr>
            <w:tcW w:w="311" w:type="pct"/>
            <w:tcBorders>
              <w:top w:val="single" w:sz="4" w:space="0" w:color="auto"/>
              <w:left w:val="nil"/>
              <w:bottom w:val="nil"/>
              <w:right w:val="nil"/>
            </w:tcBorders>
            <w:shd w:val="clear" w:color="auto" w:fill="auto"/>
            <w:noWrap/>
            <w:vAlign w:val="center"/>
            <w:hideMark/>
          </w:tcPr>
          <w:p w14:paraId="01FA9963" w14:textId="77777777" w:rsidR="000D6168" w:rsidRPr="000A5942" w:rsidRDefault="000D6168" w:rsidP="00323FD6">
            <w:pPr>
              <w:rPr>
                <w:rFonts w:ascii="Calibri" w:hAnsi="Calibri" w:cs="Calibri"/>
              </w:rPr>
            </w:pPr>
            <w:r w:rsidRPr="000A5942">
              <w:rPr>
                <w:rFonts w:ascii="Calibri" w:hAnsi="Calibri" w:cs="Calibri"/>
              </w:rPr>
              <w:t>3195</w:t>
            </w:r>
          </w:p>
        </w:tc>
        <w:tc>
          <w:tcPr>
            <w:tcW w:w="280" w:type="pct"/>
            <w:tcBorders>
              <w:top w:val="single" w:sz="4" w:space="0" w:color="auto"/>
              <w:left w:val="nil"/>
              <w:bottom w:val="nil"/>
              <w:right w:val="nil"/>
            </w:tcBorders>
            <w:shd w:val="clear" w:color="auto" w:fill="auto"/>
            <w:noWrap/>
            <w:vAlign w:val="center"/>
            <w:hideMark/>
          </w:tcPr>
          <w:p w14:paraId="05DB0A4A" w14:textId="77777777" w:rsidR="000D6168" w:rsidRPr="000A5942" w:rsidRDefault="000D6168" w:rsidP="00323FD6">
            <w:pPr>
              <w:rPr>
                <w:rFonts w:ascii="Calibri" w:hAnsi="Calibri" w:cs="Calibri"/>
              </w:rPr>
            </w:pPr>
            <w:r w:rsidRPr="000A5942">
              <w:rPr>
                <w:rFonts w:ascii="Calibri" w:hAnsi="Calibri" w:cs="Calibri"/>
              </w:rPr>
              <w:t>35.9</w:t>
            </w:r>
          </w:p>
        </w:tc>
        <w:tc>
          <w:tcPr>
            <w:tcW w:w="347" w:type="pct"/>
            <w:tcBorders>
              <w:top w:val="single" w:sz="4" w:space="0" w:color="auto"/>
              <w:left w:val="nil"/>
              <w:bottom w:val="nil"/>
              <w:right w:val="nil"/>
            </w:tcBorders>
            <w:shd w:val="clear" w:color="auto" w:fill="auto"/>
            <w:noWrap/>
            <w:vAlign w:val="center"/>
            <w:hideMark/>
          </w:tcPr>
          <w:p w14:paraId="3F266984" w14:textId="77777777" w:rsidR="000D6168" w:rsidRPr="000A5942" w:rsidRDefault="000D6168" w:rsidP="00323FD6">
            <w:pPr>
              <w:rPr>
                <w:rFonts w:ascii="Calibri" w:hAnsi="Calibri" w:cs="Calibri"/>
              </w:rPr>
            </w:pPr>
            <w:r w:rsidRPr="000A5942">
              <w:rPr>
                <w:rFonts w:ascii="Calibri" w:hAnsi="Calibri" w:cs="Calibri"/>
              </w:rPr>
              <w:t>2</w:t>
            </w:r>
          </w:p>
        </w:tc>
        <w:tc>
          <w:tcPr>
            <w:tcW w:w="313" w:type="pct"/>
            <w:tcBorders>
              <w:top w:val="single" w:sz="4" w:space="0" w:color="auto"/>
              <w:left w:val="nil"/>
              <w:bottom w:val="nil"/>
              <w:right w:val="nil"/>
            </w:tcBorders>
            <w:shd w:val="clear" w:color="auto" w:fill="auto"/>
            <w:noWrap/>
            <w:vAlign w:val="center"/>
            <w:hideMark/>
          </w:tcPr>
          <w:p w14:paraId="3FAAB301" w14:textId="77777777" w:rsidR="000D6168" w:rsidRPr="000A5942" w:rsidRDefault="000D6168" w:rsidP="00323FD6">
            <w:pPr>
              <w:rPr>
                <w:rFonts w:ascii="Calibri" w:hAnsi="Calibri" w:cs="Calibri"/>
              </w:rPr>
            </w:pPr>
            <w:r w:rsidRPr="000A5942">
              <w:rPr>
                <w:rFonts w:ascii="Calibri" w:hAnsi="Calibri" w:cs="Calibri"/>
              </w:rPr>
              <w:t>4406</w:t>
            </w:r>
          </w:p>
        </w:tc>
        <w:tc>
          <w:tcPr>
            <w:tcW w:w="380" w:type="pct"/>
            <w:tcBorders>
              <w:top w:val="single" w:sz="4" w:space="0" w:color="auto"/>
              <w:left w:val="nil"/>
              <w:bottom w:val="nil"/>
              <w:right w:val="single" w:sz="4" w:space="0" w:color="auto"/>
            </w:tcBorders>
            <w:shd w:val="clear" w:color="auto" w:fill="auto"/>
            <w:noWrap/>
            <w:vAlign w:val="center"/>
            <w:hideMark/>
          </w:tcPr>
          <w:p w14:paraId="12A1F18D" w14:textId="77777777" w:rsidR="000D6168" w:rsidRPr="000A5942" w:rsidRDefault="000D6168" w:rsidP="00323FD6">
            <w:pPr>
              <w:rPr>
                <w:rFonts w:ascii="Calibri" w:hAnsi="Calibri" w:cs="Calibri"/>
              </w:rPr>
            </w:pPr>
            <w:r w:rsidRPr="000A5942">
              <w:rPr>
                <w:rFonts w:ascii="Calibri" w:hAnsi="Calibri" w:cs="Calibri"/>
              </w:rPr>
              <w:t xml:space="preserve"> 0.0454%</w:t>
            </w:r>
          </w:p>
        </w:tc>
      </w:tr>
      <w:tr w:rsidR="000D6168" w:rsidRPr="000A5942" w14:paraId="102DF488" w14:textId="77777777" w:rsidTr="00323FD6">
        <w:trPr>
          <w:trHeight w:val="290"/>
          <w:jc w:val="center"/>
        </w:trPr>
        <w:tc>
          <w:tcPr>
            <w:tcW w:w="971" w:type="pct"/>
            <w:gridSpan w:val="2"/>
            <w:tcBorders>
              <w:top w:val="nil"/>
              <w:left w:val="single" w:sz="4" w:space="0" w:color="auto"/>
              <w:bottom w:val="single" w:sz="4" w:space="0" w:color="auto"/>
              <w:right w:val="nil"/>
            </w:tcBorders>
            <w:shd w:val="clear" w:color="auto" w:fill="auto"/>
            <w:noWrap/>
            <w:vAlign w:val="center"/>
            <w:hideMark/>
          </w:tcPr>
          <w:p w14:paraId="7CAC0E4C"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6FAD7504" w14:textId="77777777" w:rsidR="000D6168" w:rsidRPr="000A5942" w:rsidRDefault="000D6168" w:rsidP="00323FD6">
            <w:pPr>
              <w:rPr>
                <w:rFonts w:ascii="Calibri" w:hAnsi="Calibri" w:cs="Calibri"/>
              </w:rPr>
            </w:pPr>
            <w:r w:rsidRPr="000A5942">
              <w:rPr>
                <w:rFonts w:ascii="Calibri" w:hAnsi="Calibri" w:cs="Calibri"/>
              </w:rPr>
              <w:t>Ga0125397_110</w:t>
            </w:r>
          </w:p>
        </w:tc>
        <w:tc>
          <w:tcPr>
            <w:tcW w:w="313" w:type="pct"/>
            <w:tcBorders>
              <w:top w:val="nil"/>
              <w:left w:val="nil"/>
              <w:bottom w:val="single" w:sz="4" w:space="0" w:color="auto"/>
              <w:right w:val="nil"/>
            </w:tcBorders>
            <w:shd w:val="clear" w:color="auto" w:fill="auto"/>
            <w:noWrap/>
            <w:vAlign w:val="center"/>
            <w:hideMark/>
          </w:tcPr>
          <w:p w14:paraId="6C6EFA95"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78902820"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regulator, </w:t>
            </w:r>
            <w:proofErr w:type="spellStart"/>
            <w:r w:rsidRPr="000A5942">
              <w:rPr>
                <w:rFonts w:ascii="Calibri" w:hAnsi="Calibri" w:cs="Calibri"/>
              </w:rPr>
              <w:t>CsgD</w:t>
            </w:r>
            <w:proofErr w:type="spellEnd"/>
            <w:r w:rsidRPr="000A5942">
              <w:rPr>
                <w:rFonts w:ascii="Calibri" w:hAnsi="Calibri" w:cs="Calibri"/>
              </w:rPr>
              <w:t xml:space="preserve"> family</w:t>
            </w:r>
          </w:p>
        </w:tc>
        <w:tc>
          <w:tcPr>
            <w:tcW w:w="625" w:type="pct"/>
            <w:tcBorders>
              <w:top w:val="nil"/>
              <w:left w:val="nil"/>
              <w:bottom w:val="single" w:sz="4" w:space="0" w:color="auto"/>
              <w:right w:val="nil"/>
            </w:tcBorders>
            <w:shd w:val="clear" w:color="auto" w:fill="auto"/>
            <w:noWrap/>
            <w:vAlign w:val="center"/>
            <w:hideMark/>
          </w:tcPr>
          <w:p w14:paraId="4D605985" w14:textId="77777777" w:rsidR="000D6168" w:rsidRPr="000A5942" w:rsidRDefault="000D6168" w:rsidP="00323FD6">
            <w:pPr>
              <w:rPr>
                <w:rFonts w:ascii="Calibri" w:hAnsi="Calibri" w:cs="Calibri"/>
              </w:rPr>
            </w:pPr>
            <w:r w:rsidRPr="000A5942">
              <w:rPr>
                <w:rFonts w:ascii="Calibri" w:hAnsi="Calibri" w:cs="Calibri"/>
              </w:rPr>
              <w:t>acyl homoserine lactone synthase</w:t>
            </w:r>
          </w:p>
        </w:tc>
        <w:tc>
          <w:tcPr>
            <w:tcW w:w="453" w:type="pct"/>
            <w:tcBorders>
              <w:top w:val="nil"/>
              <w:left w:val="nil"/>
              <w:bottom w:val="single" w:sz="4" w:space="0" w:color="auto"/>
              <w:right w:val="nil"/>
            </w:tcBorders>
            <w:shd w:val="clear" w:color="auto" w:fill="auto"/>
            <w:noWrap/>
            <w:vAlign w:val="center"/>
            <w:hideMark/>
          </w:tcPr>
          <w:p w14:paraId="045733F0" w14:textId="77777777" w:rsidR="000D6168" w:rsidRPr="000A5942" w:rsidRDefault="000D6168" w:rsidP="00323FD6">
            <w:pPr>
              <w:rPr>
                <w:rFonts w:ascii="Calibri" w:hAnsi="Calibri" w:cs="Calibri"/>
              </w:rPr>
            </w:pPr>
            <w:r w:rsidRPr="000A5942">
              <w:rPr>
                <w:rFonts w:ascii="Calibri" w:hAnsi="Calibri" w:cs="Calibri"/>
              </w:rPr>
              <w:t>57</w:t>
            </w:r>
          </w:p>
        </w:tc>
        <w:tc>
          <w:tcPr>
            <w:tcW w:w="311" w:type="pct"/>
            <w:tcBorders>
              <w:top w:val="nil"/>
              <w:left w:val="nil"/>
              <w:bottom w:val="single" w:sz="4" w:space="0" w:color="auto"/>
              <w:right w:val="nil"/>
            </w:tcBorders>
            <w:shd w:val="clear" w:color="auto" w:fill="auto"/>
            <w:noWrap/>
            <w:vAlign w:val="center"/>
            <w:hideMark/>
          </w:tcPr>
          <w:p w14:paraId="207031E4" w14:textId="77777777" w:rsidR="000D6168" w:rsidRPr="000A5942" w:rsidRDefault="000D6168" w:rsidP="00323FD6">
            <w:pPr>
              <w:rPr>
                <w:rFonts w:ascii="Calibri" w:hAnsi="Calibri" w:cs="Calibri"/>
              </w:rPr>
            </w:pPr>
            <w:r w:rsidRPr="000A5942">
              <w:rPr>
                <w:rFonts w:ascii="Calibri" w:hAnsi="Calibri" w:cs="Calibri"/>
              </w:rPr>
              <w:t>2</w:t>
            </w:r>
          </w:p>
        </w:tc>
        <w:tc>
          <w:tcPr>
            <w:tcW w:w="280" w:type="pct"/>
            <w:tcBorders>
              <w:top w:val="nil"/>
              <w:left w:val="nil"/>
              <w:bottom w:val="single" w:sz="4" w:space="0" w:color="auto"/>
              <w:right w:val="nil"/>
            </w:tcBorders>
            <w:shd w:val="clear" w:color="auto" w:fill="auto"/>
            <w:noWrap/>
            <w:vAlign w:val="center"/>
            <w:hideMark/>
          </w:tcPr>
          <w:p w14:paraId="0B36B80C" w14:textId="77777777" w:rsidR="000D6168" w:rsidRPr="000A5942" w:rsidRDefault="000D6168" w:rsidP="00323FD6">
            <w:pPr>
              <w:rPr>
                <w:rFonts w:ascii="Calibri" w:hAnsi="Calibri" w:cs="Calibri"/>
              </w:rPr>
            </w:pPr>
            <w:r w:rsidRPr="000A5942">
              <w:rPr>
                <w:rFonts w:ascii="Calibri" w:hAnsi="Calibri" w:cs="Calibri"/>
              </w:rPr>
              <w:t>30.2</w:t>
            </w:r>
          </w:p>
        </w:tc>
        <w:tc>
          <w:tcPr>
            <w:tcW w:w="1040" w:type="pct"/>
            <w:gridSpan w:val="3"/>
            <w:tcBorders>
              <w:top w:val="nil"/>
              <w:left w:val="nil"/>
              <w:bottom w:val="single" w:sz="4" w:space="0" w:color="auto"/>
              <w:right w:val="single" w:sz="4" w:space="0" w:color="auto"/>
            </w:tcBorders>
            <w:shd w:val="clear" w:color="auto" w:fill="auto"/>
            <w:noWrap/>
            <w:vAlign w:val="center"/>
            <w:hideMark/>
          </w:tcPr>
          <w:p w14:paraId="4D3F4B06" w14:textId="77777777" w:rsidR="000D6168" w:rsidRPr="000A5942" w:rsidRDefault="000D6168" w:rsidP="00323FD6">
            <w:pPr>
              <w:rPr>
                <w:rFonts w:ascii="Calibri" w:hAnsi="Calibri" w:cs="Calibri"/>
              </w:rPr>
            </w:pPr>
          </w:p>
        </w:tc>
      </w:tr>
      <w:tr w:rsidR="000D6168" w:rsidRPr="000A5942" w14:paraId="711D9FF5" w14:textId="77777777" w:rsidTr="00323FD6">
        <w:trPr>
          <w:trHeight w:val="290"/>
          <w:jc w:val="center"/>
        </w:trPr>
        <w:tc>
          <w:tcPr>
            <w:tcW w:w="519" w:type="pct"/>
            <w:tcBorders>
              <w:top w:val="nil"/>
              <w:left w:val="single" w:sz="4" w:space="0" w:color="auto"/>
              <w:bottom w:val="single" w:sz="4" w:space="0" w:color="auto"/>
              <w:right w:val="nil"/>
            </w:tcBorders>
            <w:shd w:val="clear" w:color="auto" w:fill="auto"/>
            <w:noWrap/>
            <w:vAlign w:val="center"/>
            <w:hideMark/>
          </w:tcPr>
          <w:p w14:paraId="4E0AC698" w14:textId="77777777" w:rsidR="000D6168" w:rsidRPr="000A5942" w:rsidRDefault="000D6168" w:rsidP="00323FD6">
            <w:pPr>
              <w:rPr>
                <w:rFonts w:ascii="Calibri" w:hAnsi="Calibri" w:cs="Calibri"/>
              </w:rPr>
            </w:pPr>
            <w:r w:rsidRPr="000A5942">
              <w:rPr>
                <w:rFonts w:ascii="Calibri" w:hAnsi="Calibri" w:cs="Calibri"/>
              </w:rPr>
              <w:t>2521172617</w:t>
            </w:r>
          </w:p>
        </w:tc>
        <w:tc>
          <w:tcPr>
            <w:tcW w:w="452" w:type="pct"/>
            <w:tcBorders>
              <w:top w:val="nil"/>
              <w:left w:val="nil"/>
              <w:bottom w:val="single" w:sz="4" w:space="0" w:color="auto"/>
              <w:right w:val="nil"/>
            </w:tcBorders>
            <w:shd w:val="clear" w:color="auto" w:fill="auto"/>
            <w:noWrap/>
            <w:vAlign w:val="center"/>
            <w:hideMark/>
          </w:tcPr>
          <w:p w14:paraId="0E71901C" w14:textId="77777777" w:rsidR="000D6168" w:rsidRPr="000A5942" w:rsidRDefault="000D6168" w:rsidP="00323FD6">
            <w:pPr>
              <w:rPr>
                <w:rFonts w:ascii="Calibri" w:hAnsi="Calibri" w:cs="Calibri"/>
              </w:rPr>
            </w:pPr>
            <w:proofErr w:type="spellStart"/>
            <w:r w:rsidRPr="000A5942">
              <w:rPr>
                <w:rFonts w:ascii="Calibri" w:hAnsi="Calibri" w:cs="Calibri"/>
              </w:rPr>
              <w:t>Leisingera</w:t>
            </w:r>
            <w:proofErr w:type="spellEnd"/>
            <w:r w:rsidRPr="000A5942">
              <w:rPr>
                <w:rFonts w:ascii="Calibri" w:hAnsi="Calibri" w:cs="Calibri"/>
              </w:rPr>
              <w:t xml:space="preserve"> </w:t>
            </w:r>
            <w:proofErr w:type="spellStart"/>
            <w:r w:rsidRPr="000A5942">
              <w:rPr>
                <w:rFonts w:ascii="Calibri" w:hAnsi="Calibri" w:cs="Calibri"/>
              </w:rPr>
              <w:t>aquimarina</w:t>
            </w:r>
            <w:proofErr w:type="spellEnd"/>
            <w:r w:rsidRPr="000A5942">
              <w:rPr>
                <w:rFonts w:ascii="Calibri" w:hAnsi="Calibri" w:cs="Calibri"/>
              </w:rPr>
              <w:t xml:space="preserve"> DSM 24565</w:t>
            </w:r>
          </w:p>
        </w:tc>
        <w:tc>
          <w:tcPr>
            <w:tcW w:w="347" w:type="pct"/>
            <w:tcBorders>
              <w:top w:val="nil"/>
              <w:left w:val="nil"/>
              <w:bottom w:val="single" w:sz="4" w:space="0" w:color="auto"/>
              <w:right w:val="nil"/>
            </w:tcBorders>
            <w:shd w:val="clear" w:color="auto" w:fill="auto"/>
            <w:noWrap/>
            <w:vAlign w:val="center"/>
            <w:hideMark/>
          </w:tcPr>
          <w:p w14:paraId="35B24250" w14:textId="77777777" w:rsidR="000D6168" w:rsidRPr="000A5942" w:rsidRDefault="000D6168" w:rsidP="00323FD6">
            <w:pPr>
              <w:rPr>
                <w:rFonts w:ascii="Calibri" w:hAnsi="Calibri" w:cs="Calibri"/>
              </w:rPr>
            </w:pPr>
            <w:r w:rsidRPr="000A5942">
              <w:rPr>
                <w:rFonts w:ascii="Calibri" w:hAnsi="Calibri" w:cs="Calibri"/>
              </w:rPr>
              <w:t>NA</w:t>
            </w:r>
          </w:p>
        </w:tc>
        <w:tc>
          <w:tcPr>
            <w:tcW w:w="313" w:type="pct"/>
            <w:tcBorders>
              <w:top w:val="nil"/>
              <w:left w:val="nil"/>
              <w:bottom w:val="single" w:sz="4" w:space="0" w:color="auto"/>
              <w:right w:val="nil"/>
            </w:tcBorders>
            <w:shd w:val="clear" w:color="auto" w:fill="auto"/>
            <w:noWrap/>
            <w:vAlign w:val="center"/>
            <w:hideMark/>
          </w:tcPr>
          <w:p w14:paraId="12A6BD20" w14:textId="77777777" w:rsidR="000D6168" w:rsidRPr="000A5942" w:rsidRDefault="000D6168" w:rsidP="00323FD6">
            <w:pPr>
              <w:rPr>
                <w:rFonts w:ascii="Calibri" w:hAnsi="Calibri" w:cs="Calibri"/>
              </w:rPr>
            </w:pPr>
            <w:r w:rsidRPr="000A5942">
              <w:rPr>
                <w:rFonts w:ascii="Calibri" w:hAnsi="Calibri" w:cs="Calibri"/>
              </w:rPr>
              <w:t>NA</w:t>
            </w:r>
          </w:p>
        </w:tc>
        <w:tc>
          <w:tcPr>
            <w:tcW w:w="660" w:type="pct"/>
            <w:tcBorders>
              <w:top w:val="nil"/>
              <w:left w:val="nil"/>
              <w:bottom w:val="single" w:sz="4" w:space="0" w:color="auto"/>
              <w:right w:val="nil"/>
            </w:tcBorders>
            <w:shd w:val="clear" w:color="auto" w:fill="auto"/>
            <w:noWrap/>
            <w:vAlign w:val="center"/>
            <w:hideMark/>
          </w:tcPr>
          <w:p w14:paraId="21B221BC" w14:textId="77777777" w:rsidR="000D6168" w:rsidRPr="000A5942" w:rsidRDefault="000D6168" w:rsidP="00323FD6">
            <w:pPr>
              <w:rPr>
                <w:rFonts w:ascii="Calibri" w:hAnsi="Calibri" w:cs="Calibri"/>
              </w:rPr>
            </w:pPr>
            <w:r w:rsidRPr="000A5942">
              <w:rPr>
                <w:rFonts w:ascii="Calibri" w:hAnsi="Calibri" w:cs="Calibri"/>
              </w:rPr>
              <w:t>NA</w:t>
            </w:r>
          </w:p>
        </w:tc>
        <w:tc>
          <w:tcPr>
            <w:tcW w:w="625" w:type="pct"/>
            <w:tcBorders>
              <w:top w:val="nil"/>
              <w:left w:val="nil"/>
              <w:bottom w:val="single" w:sz="4" w:space="0" w:color="auto"/>
              <w:right w:val="nil"/>
            </w:tcBorders>
            <w:shd w:val="clear" w:color="auto" w:fill="auto"/>
            <w:noWrap/>
            <w:vAlign w:val="center"/>
            <w:hideMark/>
          </w:tcPr>
          <w:p w14:paraId="49C4EA1C" w14:textId="77777777" w:rsidR="000D6168" w:rsidRPr="000A5942" w:rsidRDefault="000D6168" w:rsidP="00323FD6">
            <w:pPr>
              <w:rPr>
                <w:rFonts w:ascii="Calibri" w:hAnsi="Calibri" w:cs="Calibri"/>
              </w:rPr>
            </w:pPr>
            <w:r w:rsidRPr="000A5942">
              <w:rPr>
                <w:rFonts w:ascii="Calibri" w:hAnsi="Calibri" w:cs="Calibri"/>
              </w:rPr>
              <w:t>NA</w:t>
            </w:r>
          </w:p>
        </w:tc>
        <w:tc>
          <w:tcPr>
            <w:tcW w:w="453" w:type="pct"/>
            <w:tcBorders>
              <w:top w:val="nil"/>
              <w:left w:val="nil"/>
              <w:bottom w:val="single" w:sz="4" w:space="0" w:color="auto"/>
              <w:right w:val="nil"/>
            </w:tcBorders>
            <w:shd w:val="clear" w:color="auto" w:fill="auto"/>
            <w:noWrap/>
            <w:vAlign w:val="center"/>
            <w:hideMark/>
          </w:tcPr>
          <w:p w14:paraId="22561295" w14:textId="77777777" w:rsidR="000D6168" w:rsidRPr="000A5942" w:rsidRDefault="000D6168" w:rsidP="00323FD6">
            <w:pPr>
              <w:rPr>
                <w:rFonts w:ascii="Calibri" w:hAnsi="Calibri" w:cs="Calibri"/>
              </w:rPr>
            </w:pPr>
            <w:r w:rsidRPr="000A5942">
              <w:rPr>
                <w:rFonts w:ascii="Calibri" w:hAnsi="Calibri" w:cs="Calibri"/>
              </w:rPr>
              <w:t>NA</w:t>
            </w:r>
          </w:p>
        </w:tc>
        <w:tc>
          <w:tcPr>
            <w:tcW w:w="311" w:type="pct"/>
            <w:tcBorders>
              <w:top w:val="nil"/>
              <w:left w:val="nil"/>
              <w:bottom w:val="single" w:sz="4" w:space="0" w:color="auto"/>
              <w:right w:val="nil"/>
            </w:tcBorders>
            <w:shd w:val="clear" w:color="auto" w:fill="auto"/>
            <w:noWrap/>
            <w:vAlign w:val="center"/>
            <w:hideMark/>
          </w:tcPr>
          <w:p w14:paraId="5B13B2DF" w14:textId="77777777" w:rsidR="000D6168" w:rsidRPr="000A5942" w:rsidRDefault="000D6168" w:rsidP="00323FD6">
            <w:pPr>
              <w:rPr>
                <w:rFonts w:ascii="Calibri" w:hAnsi="Calibri" w:cs="Calibri"/>
              </w:rPr>
            </w:pPr>
            <w:r w:rsidRPr="000A5942">
              <w:rPr>
                <w:rFonts w:ascii="Calibri" w:hAnsi="Calibri" w:cs="Calibri"/>
              </w:rPr>
              <w:t>NA</w:t>
            </w:r>
          </w:p>
        </w:tc>
        <w:tc>
          <w:tcPr>
            <w:tcW w:w="280" w:type="pct"/>
            <w:tcBorders>
              <w:top w:val="nil"/>
              <w:left w:val="nil"/>
              <w:bottom w:val="single" w:sz="4" w:space="0" w:color="auto"/>
              <w:right w:val="nil"/>
            </w:tcBorders>
            <w:shd w:val="clear" w:color="auto" w:fill="auto"/>
            <w:noWrap/>
            <w:vAlign w:val="center"/>
            <w:hideMark/>
          </w:tcPr>
          <w:p w14:paraId="1DC1FF90" w14:textId="77777777" w:rsidR="000D6168" w:rsidRPr="000A5942" w:rsidRDefault="000D6168" w:rsidP="00323FD6">
            <w:pPr>
              <w:rPr>
                <w:rFonts w:ascii="Calibri" w:hAnsi="Calibri" w:cs="Calibri"/>
              </w:rPr>
            </w:pPr>
            <w:r w:rsidRPr="000A5942">
              <w:rPr>
                <w:rFonts w:ascii="Calibri" w:hAnsi="Calibri" w:cs="Calibri"/>
              </w:rPr>
              <w:t> </w:t>
            </w:r>
          </w:p>
        </w:tc>
        <w:tc>
          <w:tcPr>
            <w:tcW w:w="347" w:type="pct"/>
            <w:tcBorders>
              <w:top w:val="nil"/>
              <w:left w:val="nil"/>
              <w:bottom w:val="single" w:sz="4" w:space="0" w:color="auto"/>
              <w:right w:val="nil"/>
            </w:tcBorders>
            <w:shd w:val="clear" w:color="auto" w:fill="auto"/>
            <w:noWrap/>
            <w:vAlign w:val="center"/>
            <w:hideMark/>
          </w:tcPr>
          <w:p w14:paraId="3675F607" w14:textId="77777777" w:rsidR="000D6168" w:rsidRPr="000A5942" w:rsidRDefault="000D6168" w:rsidP="00323FD6">
            <w:pPr>
              <w:rPr>
                <w:rFonts w:ascii="Calibri" w:hAnsi="Calibri" w:cs="Calibri"/>
              </w:rPr>
            </w:pPr>
            <w:r w:rsidRPr="000A5942">
              <w:rPr>
                <w:rFonts w:ascii="Calibri" w:hAnsi="Calibri" w:cs="Calibri"/>
              </w:rPr>
              <w:t>0</w:t>
            </w:r>
          </w:p>
        </w:tc>
        <w:tc>
          <w:tcPr>
            <w:tcW w:w="313" w:type="pct"/>
            <w:tcBorders>
              <w:top w:val="nil"/>
              <w:left w:val="nil"/>
              <w:bottom w:val="single" w:sz="4" w:space="0" w:color="auto"/>
              <w:right w:val="nil"/>
            </w:tcBorders>
            <w:shd w:val="clear" w:color="auto" w:fill="auto"/>
            <w:noWrap/>
            <w:vAlign w:val="center"/>
            <w:hideMark/>
          </w:tcPr>
          <w:p w14:paraId="666C45A7" w14:textId="77777777" w:rsidR="000D6168" w:rsidRPr="000A5942" w:rsidRDefault="000D6168" w:rsidP="00323FD6">
            <w:pPr>
              <w:rPr>
                <w:rFonts w:ascii="Calibri" w:hAnsi="Calibri" w:cs="Calibri"/>
              </w:rPr>
            </w:pPr>
            <w:r w:rsidRPr="000A5942">
              <w:rPr>
                <w:rFonts w:ascii="Calibri" w:hAnsi="Calibri" w:cs="Calibri"/>
              </w:rPr>
              <w:t>5217</w:t>
            </w:r>
          </w:p>
        </w:tc>
        <w:tc>
          <w:tcPr>
            <w:tcW w:w="380" w:type="pct"/>
            <w:tcBorders>
              <w:top w:val="nil"/>
              <w:left w:val="nil"/>
              <w:bottom w:val="single" w:sz="4" w:space="0" w:color="auto"/>
              <w:right w:val="single" w:sz="4" w:space="0" w:color="auto"/>
            </w:tcBorders>
            <w:shd w:val="clear" w:color="auto" w:fill="auto"/>
            <w:noWrap/>
            <w:vAlign w:val="center"/>
            <w:hideMark/>
          </w:tcPr>
          <w:p w14:paraId="62B91313" w14:textId="77777777" w:rsidR="000D6168" w:rsidRPr="000A5942" w:rsidRDefault="000D6168" w:rsidP="00323FD6">
            <w:pPr>
              <w:rPr>
                <w:rFonts w:ascii="Calibri" w:hAnsi="Calibri" w:cs="Calibri"/>
              </w:rPr>
            </w:pPr>
            <w:r w:rsidRPr="000A5942">
              <w:rPr>
                <w:rFonts w:ascii="Calibri" w:hAnsi="Calibri" w:cs="Calibri"/>
              </w:rPr>
              <w:t xml:space="preserve"> 0.00%</w:t>
            </w:r>
          </w:p>
        </w:tc>
      </w:tr>
      <w:tr w:rsidR="000D6168" w:rsidRPr="000A5942" w14:paraId="30D6B311"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188E74F7" w14:textId="77777777" w:rsidR="000D6168" w:rsidRPr="000A5942" w:rsidRDefault="000D6168" w:rsidP="00323FD6">
            <w:pPr>
              <w:rPr>
                <w:rFonts w:ascii="Calibri" w:hAnsi="Calibri" w:cs="Calibri"/>
              </w:rPr>
            </w:pPr>
            <w:r w:rsidRPr="000A5942">
              <w:rPr>
                <w:rFonts w:ascii="Calibri" w:hAnsi="Calibri" w:cs="Calibri"/>
              </w:rPr>
              <w:t>2512047087</w:t>
            </w:r>
          </w:p>
        </w:tc>
        <w:tc>
          <w:tcPr>
            <w:tcW w:w="452" w:type="pct"/>
            <w:tcBorders>
              <w:top w:val="nil"/>
              <w:left w:val="nil"/>
              <w:bottom w:val="nil"/>
              <w:right w:val="nil"/>
            </w:tcBorders>
            <w:shd w:val="clear" w:color="auto" w:fill="auto"/>
            <w:noWrap/>
            <w:vAlign w:val="center"/>
            <w:hideMark/>
          </w:tcPr>
          <w:p w14:paraId="2C29DE0E" w14:textId="77777777" w:rsidR="000D6168" w:rsidRPr="000A5942" w:rsidRDefault="000D6168" w:rsidP="00323FD6">
            <w:pPr>
              <w:rPr>
                <w:rFonts w:ascii="Calibri" w:hAnsi="Calibri" w:cs="Calibri"/>
              </w:rPr>
            </w:pPr>
            <w:proofErr w:type="spellStart"/>
            <w:r w:rsidRPr="000A5942">
              <w:rPr>
                <w:rFonts w:ascii="Calibri" w:hAnsi="Calibri" w:cs="Calibri"/>
              </w:rPr>
              <w:t>Leisingera</w:t>
            </w:r>
            <w:proofErr w:type="spellEnd"/>
            <w:r w:rsidRPr="000A5942">
              <w:rPr>
                <w:rFonts w:ascii="Calibri" w:hAnsi="Calibri" w:cs="Calibri"/>
              </w:rPr>
              <w:t xml:space="preserve"> </w:t>
            </w:r>
            <w:proofErr w:type="spellStart"/>
            <w:r w:rsidRPr="000A5942">
              <w:rPr>
                <w:rFonts w:ascii="Calibri" w:hAnsi="Calibri" w:cs="Calibri"/>
              </w:rPr>
              <w:t>caerulea</w:t>
            </w:r>
            <w:proofErr w:type="spellEnd"/>
            <w:r w:rsidRPr="000A5942">
              <w:rPr>
                <w:rFonts w:ascii="Calibri" w:hAnsi="Calibri" w:cs="Calibri"/>
              </w:rPr>
              <w:t xml:space="preserve"> DSM 24564</w:t>
            </w:r>
          </w:p>
        </w:tc>
        <w:tc>
          <w:tcPr>
            <w:tcW w:w="347" w:type="pct"/>
            <w:tcBorders>
              <w:top w:val="nil"/>
              <w:left w:val="nil"/>
              <w:bottom w:val="nil"/>
              <w:right w:val="nil"/>
            </w:tcBorders>
            <w:shd w:val="clear" w:color="auto" w:fill="auto"/>
            <w:noWrap/>
            <w:vAlign w:val="center"/>
            <w:hideMark/>
          </w:tcPr>
          <w:p w14:paraId="5D388D03" w14:textId="77777777" w:rsidR="000D6168" w:rsidRPr="000A5942" w:rsidRDefault="000D6168" w:rsidP="00323FD6">
            <w:pPr>
              <w:rPr>
                <w:rFonts w:ascii="Calibri" w:hAnsi="Calibri" w:cs="Calibri"/>
              </w:rPr>
            </w:pPr>
            <w:r w:rsidRPr="000A5942">
              <w:rPr>
                <w:rFonts w:ascii="Calibri" w:hAnsi="Calibri" w:cs="Calibri"/>
              </w:rPr>
              <w:t>PhacaeDRAFT_Scaffold1.6</w:t>
            </w:r>
          </w:p>
        </w:tc>
        <w:tc>
          <w:tcPr>
            <w:tcW w:w="313" w:type="pct"/>
            <w:tcBorders>
              <w:top w:val="nil"/>
              <w:left w:val="nil"/>
              <w:bottom w:val="nil"/>
              <w:right w:val="nil"/>
            </w:tcBorders>
            <w:shd w:val="clear" w:color="auto" w:fill="auto"/>
            <w:noWrap/>
            <w:vAlign w:val="center"/>
            <w:hideMark/>
          </w:tcPr>
          <w:p w14:paraId="5D868255"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0C42D358"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625" w:type="pct"/>
            <w:tcBorders>
              <w:top w:val="nil"/>
              <w:left w:val="nil"/>
              <w:bottom w:val="nil"/>
              <w:right w:val="nil"/>
            </w:tcBorders>
            <w:shd w:val="clear" w:color="auto" w:fill="auto"/>
            <w:noWrap/>
            <w:vAlign w:val="center"/>
            <w:hideMark/>
          </w:tcPr>
          <w:p w14:paraId="7AB28FFC" w14:textId="77777777" w:rsidR="000D6168" w:rsidRPr="000A5942" w:rsidRDefault="000D6168" w:rsidP="00323FD6">
            <w:pPr>
              <w:rPr>
                <w:rFonts w:ascii="Calibri" w:hAnsi="Calibri" w:cs="Calibri"/>
              </w:rPr>
            </w:pPr>
            <w:r w:rsidRPr="000A5942">
              <w:rPr>
                <w:rFonts w:ascii="Calibri" w:hAnsi="Calibri" w:cs="Calibri"/>
              </w:rPr>
              <w:t>(R)-</w:t>
            </w:r>
            <w:proofErr w:type="spellStart"/>
            <w:r w:rsidRPr="000A5942">
              <w:rPr>
                <w:rFonts w:ascii="Calibri" w:hAnsi="Calibri" w:cs="Calibri"/>
              </w:rPr>
              <w:t>ethylmalonyl</w:t>
            </w:r>
            <w:proofErr w:type="spellEnd"/>
            <w:r w:rsidRPr="000A5942">
              <w:rPr>
                <w:rFonts w:ascii="Calibri" w:hAnsi="Calibri" w:cs="Calibri"/>
              </w:rPr>
              <w:t>-CoA mutase</w:t>
            </w:r>
          </w:p>
        </w:tc>
        <w:tc>
          <w:tcPr>
            <w:tcW w:w="453" w:type="pct"/>
            <w:tcBorders>
              <w:top w:val="nil"/>
              <w:left w:val="nil"/>
              <w:bottom w:val="nil"/>
              <w:right w:val="nil"/>
            </w:tcBorders>
            <w:shd w:val="clear" w:color="auto" w:fill="auto"/>
            <w:noWrap/>
            <w:vAlign w:val="center"/>
            <w:hideMark/>
          </w:tcPr>
          <w:p w14:paraId="2F4ABF84" w14:textId="77777777" w:rsidR="000D6168" w:rsidRPr="000A5942" w:rsidRDefault="000D6168" w:rsidP="00323FD6">
            <w:pPr>
              <w:rPr>
                <w:rFonts w:ascii="Calibri" w:hAnsi="Calibri" w:cs="Calibri"/>
              </w:rPr>
            </w:pPr>
            <w:r w:rsidRPr="000A5942">
              <w:rPr>
                <w:rFonts w:ascii="Calibri" w:hAnsi="Calibri" w:cs="Calibri"/>
              </w:rPr>
              <w:t>3157</w:t>
            </w:r>
          </w:p>
        </w:tc>
        <w:tc>
          <w:tcPr>
            <w:tcW w:w="311" w:type="pct"/>
            <w:tcBorders>
              <w:top w:val="nil"/>
              <w:left w:val="nil"/>
              <w:bottom w:val="nil"/>
              <w:right w:val="nil"/>
            </w:tcBorders>
            <w:shd w:val="clear" w:color="auto" w:fill="auto"/>
            <w:noWrap/>
            <w:vAlign w:val="center"/>
            <w:hideMark/>
          </w:tcPr>
          <w:p w14:paraId="61A2064A" w14:textId="77777777" w:rsidR="000D6168" w:rsidRPr="000A5942" w:rsidRDefault="000D6168" w:rsidP="00323FD6">
            <w:pPr>
              <w:rPr>
                <w:rFonts w:ascii="Calibri" w:hAnsi="Calibri" w:cs="Calibri"/>
              </w:rPr>
            </w:pPr>
            <w:r w:rsidRPr="000A5942">
              <w:rPr>
                <w:rFonts w:ascii="Calibri" w:hAnsi="Calibri" w:cs="Calibri"/>
              </w:rPr>
              <w:t>5326</w:t>
            </w:r>
          </w:p>
        </w:tc>
        <w:tc>
          <w:tcPr>
            <w:tcW w:w="280" w:type="pct"/>
            <w:tcBorders>
              <w:top w:val="nil"/>
              <w:left w:val="nil"/>
              <w:bottom w:val="nil"/>
              <w:right w:val="nil"/>
            </w:tcBorders>
            <w:shd w:val="clear" w:color="auto" w:fill="auto"/>
            <w:noWrap/>
            <w:vAlign w:val="center"/>
            <w:hideMark/>
          </w:tcPr>
          <w:p w14:paraId="1FD82ED5" w14:textId="77777777" w:rsidR="000D6168" w:rsidRPr="000A5942" w:rsidRDefault="000D6168" w:rsidP="00323FD6">
            <w:pPr>
              <w:rPr>
                <w:rFonts w:ascii="Calibri" w:hAnsi="Calibri" w:cs="Calibri"/>
              </w:rPr>
            </w:pPr>
            <w:r w:rsidRPr="000A5942">
              <w:rPr>
                <w:rFonts w:ascii="Calibri" w:hAnsi="Calibri" w:cs="Calibri"/>
              </w:rPr>
              <w:t>33.6</w:t>
            </w:r>
          </w:p>
        </w:tc>
        <w:tc>
          <w:tcPr>
            <w:tcW w:w="347" w:type="pct"/>
            <w:tcBorders>
              <w:top w:val="nil"/>
              <w:left w:val="nil"/>
              <w:bottom w:val="nil"/>
              <w:right w:val="nil"/>
            </w:tcBorders>
            <w:shd w:val="clear" w:color="auto" w:fill="auto"/>
            <w:noWrap/>
            <w:vAlign w:val="center"/>
            <w:hideMark/>
          </w:tcPr>
          <w:p w14:paraId="43897513" w14:textId="77777777" w:rsidR="000D6168" w:rsidRPr="000A5942" w:rsidRDefault="000D6168" w:rsidP="00323FD6">
            <w:pPr>
              <w:rPr>
                <w:rFonts w:ascii="Calibri" w:hAnsi="Calibri" w:cs="Calibri"/>
              </w:rPr>
            </w:pPr>
            <w:r w:rsidRPr="000A5942">
              <w:rPr>
                <w:rFonts w:ascii="Calibri" w:hAnsi="Calibri" w:cs="Calibri"/>
              </w:rPr>
              <w:t>4</w:t>
            </w:r>
          </w:p>
        </w:tc>
        <w:tc>
          <w:tcPr>
            <w:tcW w:w="313" w:type="pct"/>
            <w:tcBorders>
              <w:top w:val="nil"/>
              <w:left w:val="nil"/>
              <w:bottom w:val="nil"/>
              <w:right w:val="nil"/>
            </w:tcBorders>
            <w:shd w:val="clear" w:color="auto" w:fill="auto"/>
            <w:noWrap/>
            <w:vAlign w:val="center"/>
            <w:hideMark/>
          </w:tcPr>
          <w:p w14:paraId="0B5D2FA0" w14:textId="77777777" w:rsidR="000D6168" w:rsidRPr="000A5942" w:rsidRDefault="000D6168" w:rsidP="00323FD6">
            <w:pPr>
              <w:rPr>
                <w:rFonts w:ascii="Calibri" w:hAnsi="Calibri" w:cs="Calibri"/>
              </w:rPr>
            </w:pPr>
            <w:r w:rsidRPr="000A5942">
              <w:rPr>
                <w:rFonts w:ascii="Calibri" w:hAnsi="Calibri" w:cs="Calibri"/>
              </w:rPr>
              <w:t>5335</w:t>
            </w:r>
          </w:p>
        </w:tc>
        <w:tc>
          <w:tcPr>
            <w:tcW w:w="380" w:type="pct"/>
            <w:tcBorders>
              <w:top w:val="nil"/>
              <w:left w:val="nil"/>
              <w:bottom w:val="nil"/>
              <w:right w:val="single" w:sz="4" w:space="0" w:color="auto"/>
            </w:tcBorders>
            <w:shd w:val="clear" w:color="auto" w:fill="auto"/>
            <w:noWrap/>
            <w:vAlign w:val="center"/>
            <w:hideMark/>
          </w:tcPr>
          <w:p w14:paraId="10F8B8D0" w14:textId="77777777" w:rsidR="000D6168" w:rsidRPr="000A5942" w:rsidRDefault="000D6168" w:rsidP="00323FD6">
            <w:pPr>
              <w:rPr>
                <w:rFonts w:ascii="Calibri" w:hAnsi="Calibri" w:cs="Calibri"/>
              </w:rPr>
            </w:pPr>
            <w:r w:rsidRPr="000A5942">
              <w:rPr>
                <w:rFonts w:ascii="Calibri" w:hAnsi="Calibri" w:cs="Calibri"/>
              </w:rPr>
              <w:t xml:space="preserve"> 0.075%</w:t>
            </w:r>
          </w:p>
        </w:tc>
      </w:tr>
      <w:tr w:rsidR="000D6168" w:rsidRPr="000A5942" w14:paraId="5907D881" w14:textId="77777777" w:rsidTr="00323FD6">
        <w:trPr>
          <w:trHeight w:val="290"/>
          <w:jc w:val="center"/>
        </w:trPr>
        <w:tc>
          <w:tcPr>
            <w:tcW w:w="971" w:type="pct"/>
            <w:gridSpan w:val="2"/>
            <w:vMerge w:val="restart"/>
            <w:tcBorders>
              <w:top w:val="nil"/>
              <w:left w:val="single" w:sz="4" w:space="0" w:color="auto"/>
              <w:right w:val="nil"/>
            </w:tcBorders>
            <w:shd w:val="clear" w:color="auto" w:fill="auto"/>
            <w:noWrap/>
            <w:vAlign w:val="center"/>
            <w:hideMark/>
          </w:tcPr>
          <w:p w14:paraId="37A07329"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216EB986" w14:textId="77777777" w:rsidR="000D6168" w:rsidRPr="000A5942" w:rsidRDefault="000D6168" w:rsidP="00323FD6">
            <w:pPr>
              <w:rPr>
                <w:rFonts w:ascii="Calibri" w:hAnsi="Calibri" w:cs="Calibri"/>
              </w:rPr>
            </w:pPr>
            <w:r w:rsidRPr="000A5942">
              <w:rPr>
                <w:rFonts w:ascii="Calibri" w:hAnsi="Calibri" w:cs="Calibri"/>
              </w:rPr>
              <w:t>PhacaeDRAFT_Scaffold1.6</w:t>
            </w:r>
          </w:p>
        </w:tc>
        <w:tc>
          <w:tcPr>
            <w:tcW w:w="313" w:type="pct"/>
            <w:tcBorders>
              <w:top w:val="nil"/>
              <w:left w:val="nil"/>
              <w:bottom w:val="nil"/>
              <w:right w:val="nil"/>
            </w:tcBorders>
            <w:shd w:val="clear" w:color="auto" w:fill="auto"/>
            <w:noWrap/>
            <w:vAlign w:val="center"/>
            <w:hideMark/>
          </w:tcPr>
          <w:p w14:paraId="2FD0040D"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5A382D4E" w14:textId="77777777" w:rsidR="000D6168" w:rsidRPr="000A5942" w:rsidRDefault="000D6168" w:rsidP="00323FD6">
            <w:pPr>
              <w:rPr>
                <w:rFonts w:ascii="Calibri" w:hAnsi="Calibri" w:cs="Calibri"/>
              </w:rPr>
            </w:pPr>
            <w:r w:rsidRPr="000A5942">
              <w:rPr>
                <w:rFonts w:ascii="Calibri" w:hAnsi="Calibri" w:cs="Calibri"/>
              </w:rPr>
              <w:t>N-acyl-L-homoserine lactone synthetase</w:t>
            </w:r>
          </w:p>
        </w:tc>
        <w:tc>
          <w:tcPr>
            <w:tcW w:w="625" w:type="pct"/>
            <w:tcBorders>
              <w:top w:val="nil"/>
              <w:left w:val="nil"/>
              <w:bottom w:val="nil"/>
              <w:right w:val="nil"/>
            </w:tcBorders>
            <w:shd w:val="clear" w:color="auto" w:fill="auto"/>
            <w:noWrap/>
            <w:vAlign w:val="center"/>
            <w:hideMark/>
          </w:tcPr>
          <w:p w14:paraId="382EE739"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regulator, </w:t>
            </w:r>
            <w:proofErr w:type="spellStart"/>
            <w:r w:rsidRPr="000A5942">
              <w:rPr>
                <w:rFonts w:ascii="Calibri" w:hAnsi="Calibri" w:cs="Calibri"/>
              </w:rPr>
              <w:t>CsgD</w:t>
            </w:r>
            <w:proofErr w:type="spellEnd"/>
            <w:r w:rsidRPr="000A5942">
              <w:rPr>
                <w:rFonts w:ascii="Calibri" w:hAnsi="Calibri" w:cs="Calibri"/>
              </w:rPr>
              <w:t xml:space="preserve"> family</w:t>
            </w:r>
          </w:p>
        </w:tc>
        <w:tc>
          <w:tcPr>
            <w:tcW w:w="453" w:type="pct"/>
            <w:tcBorders>
              <w:top w:val="nil"/>
              <w:left w:val="nil"/>
              <w:bottom w:val="nil"/>
              <w:right w:val="nil"/>
            </w:tcBorders>
            <w:shd w:val="clear" w:color="auto" w:fill="auto"/>
            <w:noWrap/>
            <w:vAlign w:val="center"/>
            <w:hideMark/>
          </w:tcPr>
          <w:p w14:paraId="7A694008" w14:textId="77777777" w:rsidR="000D6168" w:rsidRPr="000A5942" w:rsidRDefault="000D6168" w:rsidP="00323FD6">
            <w:pPr>
              <w:rPr>
                <w:rFonts w:ascii="Calibri" w:hAnsi="Calibri" w:cs="Calibri"/>
              </w:rPr>
            </w:pPr>
            <w:r w:rsidRPr="000A5942">
              <w:rPr>
                <w:rFonts w:ascii="Calibri" w:hAnsi="Calibri" w:cs="Calibri"/>
              </w:rPr>
              <w:t>2</w:t>
            </w:r>
          </w:p>
        </w:tc>
        <w:tc>
          <w:tcPr>
            <w:tcW w:w="311" w:type="pct"/>
            <w:tcBorders>
              <w:top w:val="nil"/>
              <w:left w:val="nil"/>
              <w:bottom w:val="nil"/>
              <w:right w:val="nil"/>
            </w:tcBorders>
            <w:shd w:val="clear" w:color="auto" w:fill="auto"/>
            <w:noWrap/>
            <w:vAlign w:val="center"/>
            <w:hideMark/>
          </w:tcPr>
          <w:p w14:paraId="32CA7A4E" w14:textId="77777777" w:rsidR="000D6168" w:rsidRPr="000A5942" w:rsidRDefault="000D6168" w:rsidP="00323FD6">
            <w:pPr>
              <w:rPr>
                <w:rFonts w:ascii="Calibri" w:hAnsi="Calibri" w:cs="Calibri"/>
              </w:rPr>
            </w:pPr>
            <w:r w:rsidRPr="000A5942">
              <w:rPr>
                <w:rFonts w:ascii="Calibri" w:hAnsi="Calibri" w:cs="Calibri"/>
              </w:rPr>
              <w:t>57</w:t>
            </w:r>
          </w:p>
        </w:tc>
        <w:tc>
          <w:tcPr>
            <w:tcW w:w="280" w:type="pct"/>
            <w:tcBorders>
              <w:top w:val="nil"/>
              <w:left w:val="nil"/>
              <w:bottom w:val="nil"/>
              <w:right w:val="nil"/>
            </w:tcBorders>
            <w:shd w:val="clear" w:color="auto" w:fill="auto"/>
            <w:noWrap/>
            <w:vAlign w:val="center"/>
            <w:hideMark/>
          </w:tcPr>
          <w:p w14:paraId="1CC2BE81" w14:textId="77777777" w:rsidR="000D6168" w:rsidRPr="000A5942" w:rsidRDefault="000D6168" w:rsidP="00323FD6">
            <w:pPr>
              <w:rPr>
                <w:rFonts w:ascii="Calibri" w:hAnsi="Calibri" w:cs="Calibri"/>
              </w:rPr>
            </w:pPr>
            <w:r w:rsidRPr="000A5942">
              <w:rPr>
                <w:rFonts w:ascii="Calibri" w:hAnsi="Calibri" w:cs="Calibri"/>
              </w:rPr>
              <w:t>17</w:t>
            </w:r>
          </w:p>
        </w:tc>
        <w:tc>
          <w:tcPr>
            <w:tcW w:w="1040" w:type="pct"/>
            <w:gridSpan w:val="3"/>
            <w:vMerge w:val="restart"/>
            <w:tcBorders>
              <w:top w:val="nil"/>
              <w:left w:val="nil"/>
              <w:right w:val="single" w:sz="4" w:space="0" w:color="auto"/>
            </w:tcBorders>
            <w:shd w:val="clear" w:color="auto" w:fill="auto"/>
            <w:noWrap/>
            <w:vAlign w:val="center"/>
            <w:hideMark/>
          </w:tcPr>
          <w:p w14:paraId="76132F3B" w14:textId="77777777" w:rsidR="000D6168" w:rsidRPr="000A5942" w:rsidRDefault="000D6168" w:rsidP="00323FD6">
            <w:pPr>
              <w:rPr>
                <w:rFonts w:ascii="Calibri" w:hAnsi="Calibri" w:cs="Calibri"/>
              </w:rPr>
            </w:pPr>
          </w:p>
        </w:tc>
      </w:tr>
      <w:tr w:rsidR="000D6168" w:rsidRPr="000A5942" w14:paraId="4FB4E9AE" w14:textId="77777777" w:rsidTr="00323FD6">
        <w:trPr>
          <w:trHeight w:val="290"/>
          <w:jc w:val="center"/>
        </w:trPr>
        <w:tc>
          <w:tcPr>
            <w:tcW w:w="971" w:type="pct"/>
            <w:gridSpan w:val="2"/>
            <w:vMerge/>
            <w:tcBorders>
              <w:left w:val="single" w:sz="4" w:space="0" w:color="auto"/>
              <w:right w:val="nil"/>
            </w:tcBorders>
            <w:shd w:val="clear" w:color="auto" w:fill="auto"/>
            <w:noWrap/>
            <w:vAlign w:val="center"/>
            <w:hideMark/>
          </w:tcPr>
          <w:p w14:paraId="1D09A043"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1555E430" w14:textId="77777777" w:rsidR="000D6168" w:rsidRPr="000A5942" w:rsidRDefault="000D6168" w:rsidP="00323FD6">
            <w:pPr>
              <w:rPr>
                <w:rFonts w:ascii="Calibri" w:hAnsi="Calibri" w:cs="Calibri"/>
              </w:rPr>
            </w:pPr>
            <w:r w:rsidRPr="000A5942">
              <w:rPr>
                <w:rFonts w:ascii="Calibri" w:hAnsi="Calibri" w:cs="Calibri"/>
              </w:rPr>
              <w:t>PhacaeDRAF</w:t>
            </w:r>
            <w:r w:rsidRPr="000A5942">
              <w:rPr>
                <w:rFonts w:ascii="Calibri" w:hAnsi="Calibri" w:cs="Calibri"/>
              </w:rPr>
              <w:lastRenderedPageBreak/>
              <w:t>T_Scaffold3.7</w:t>
            </w:r>
          </w:p>
        </w:tc>
        <w:tc>
          <w:tcPr>
            <w:tcW w:w="313" w:type="pct"/>
            <w:tcBorders>
              <w:top w:val="nil"/>
              <w:left w:val="nil"/>
              <w:bottom w:val="nil"/>
              <w:right w:val="nil"/>
            </w:tcBorders>
            <w:shd w:val="clear" w:color="auto" w:fill="auto"/>
            <w:noWrap/>
            <w:vAlign w:val="center"/>
            <w:hideMark/>
          </w:tcPr>
          <w:p w14:paraId="1B1FC19C" w14:textId="77777777" w:rsidR="000D6168" w:rsidRPr="000A5942" w:rsidRDefault="000D6168" w:rsidP="00323FD6">
            <w:pPr>
              <w:rPr>
                <w:rFonts w:ascii="Calibri" w:hAnsi="Calibri" w:cs="Calibri"/>
              </w:rPr>
            </w:pPr>
            <w:r w:rsidRPr="000A5942">
              <w:rPr>
                <w:rFonts w:ascii="Calibri" w:hAnsi="Calibri" w:cs="Calibri"/>
              </w:rPr>
              <w:lastRenderedPageBreak/>
              <w:t>-</w:t>
            </w:r>
          </w:p>
        </w:tc>
        <w:tc>
          <w:tcPr>
            <w:tcW w:w="660" w:type="pct"/>
            <w:tcBorders>
              <w:top w:val="nil"/>
              <w:left w:val="nil"/>
              <w:bottom w:val="nil"/>
              <w:right w:val="nil"/>
            </w:tcBorders>
            <w:shd w:val="clear" w:color="auto" w:fill="auto"/>
            <w:noWrap/>
            <w:vAlign w:val="center"/>
            <w:hideMark/>
          </w:tcPr>
          <w:p w14:paraId="2C532BAE" w14:textId="77777777" w:rsidR="000D6168" w:rsidRPr="000A5942" w:rsidRDefault="000D6168" w:rsidP="00323FD6">
            <w:pPr>
              <w:rPr>
                <w:rFonts w:ascii="Calibri" w:hAnsi="Calibri" w:cs="Calibri"/>
              </w:rPr>
            </w:pPr>
            <w:r w:rsidRPr="000A5942">
              <w:rPr>
                <w:rFonts w:ascii="Calibri" w:hAnsi="Calibri" w:cs="Calibri"/>
              </w:rPr>
              <w:t xml:space="preserve">NAD(P)H-quinone </w:t>
            </w:r>
            <w:r w:rsidRPr="000A5942">
              <w:rPr>
                <w:rFonts w:ascii="Calibri" w:hAnsi="Calibri" w:cs="Calibri"/>
              </w:rPr>
              <w:lastRenderedPageBreak/>
              <w:t>oxidoreductase subunit 5</w:t>
            </w:r>
          </w:p>
        </w:tc>
        <w:tc>
          <w:tcPr>
            <w:tcW w:w="625" w:type="pct"/>
            <w:tcBorders>
              <w:top w:val="nil"/>
              <w:left w:val="nil"/>
              <w:bottom w:val="nil"/>
              <w:right w:val="nil"/>
            </w:tcBorders>
            <w:shd w:val="clear" w:color="auto" w:fill="auto"/>
            <w:noWrap/>
            <w:vAlign w:val="center"/>
            <w:hideMark/>
          </w:tcPr>
          <w:p w14:paraId="0DBF79EC" w14:textId="77777777" w:rsidR="000D6168" w:rsidRPr="000A5942" w:rsidRDefault="000D6168" w:rsidP="00323FD6">
            <w:pPr>
              <w:rPr>
                <w:rFonts w:ascii="Calibri" w:hAnsi="Calibri" w:cs="Calibri"/>
              </w:rPr>
            </w:pPr>
            <w:r w:rsidRPr="000A5942">
              <w:rPr>
                <w:rFonts w:ascii="Calibri" w:hAnsi="Calibri" w:cs="Calibri"/>
              </w:rPr>
              <w:lastRenderedPageBreak/>
              <w:t xml:space="preserve">methyl-accepting </w:t>
            </w:r>
            <w:r w:rsidRPr="000A5942">
              <w:rPr>
                <w:rFonts w:ascii="Calibri" w:hAnsi="Calibri" w:cs="Calibri"/>
              </w:rPr>
              <w:lastRenderedPageBreak/>
              <w:t>chemotaxis protein</w:t>
            </w:r>
          </w:p>
        </w:tc>
        <w:tc>
          <w:tcPr>
            <w:tcW w:w="453" w:type="pct"/>
            <w:tcBorders>
              <w:top w:val="nil"/>
              <w:left w:val="nil"/>
              <w:bottom w:val="nil"/>
              <w:right w:val="nil"/>
            </w:tcBorders>
            <w:shd w:val="clear" w:color="auto" w:fill="auto"/>
            <w:noWrap/>
            <w:vAlign w:val="center"/>
            <w:hideMark/>
          </w:tcPr>
          <w:p w14:paraId="05B4FFB2" w14:textId="77777777" w:rsidR="000D6168" w:rsidRPr="000A5942" w:rsidRDefault="000D6168" w:rsidP="00323FD6">
            <w:pPr>
              <w:rPr>
                <w:rFonts w:ascii="Calibri" w:hAnsi="Calibri" w:cs="Calibri"/>
              </w:rPr>
            </w:pPr>
            <w:r w:rsidRPr="000A5942">
              <w:rPr>
                <w:rFonts w:ascii="Calibri" w:hAnsi="Calibri" w:cs="Calibri"/>
              </w:rPr>
              <w:lastRenderedPageBreak/>
              <w:t>5982</w:t>
            </w:r>
          </w:p>
        </w:tc>
        <w:tc>
          <w:tcPr>
            <w:tcW w:w="311" w:type="pct"/>
            <w:tcBorders>
              <w:top w:val="nil"/>
              <w:left w:val="nil"/>
              <w:bottom w:val="nil"/>
              <w:right w:val="nil"/>
            </w:tcBorders>
            <w:shd w:val="clear" w:color="auto" w:fill="auto"/>
            <w:noWrap/>
            <w:vAlign w:val="center"/>
            <w:hideMark/>
          </w:tcPr>
          <w:p w14:paraId="0BC2028B" w14:textId="77777777" w:rsidR="000D6168" w:rsidRPr="000A5942" w:rsidRDefault="000D6168" w:rsidP="00323FD6">
            <w:pPr>
              <w:rPr>
                <w:rFonts w:ascii="Calibri" w:hAnsi="Calibri" w:cs="Calibri"/>
              </w:rPr>
            </w:pPr>
            <w:r w:rsidRPr="000A5942">
              <w:rPr>
                <w:rFonts w:ascii="Calibri" w:hAnsi="Calibri" w:cs="Calibri"/>
              </w:rPr>
              <w:t>1492</w:t>
            </w:r>
          </w:p>
        </w:tc>
        <w:tc>
          <w:tcPr>
            <w:tcW w:w="280" w:type="pct"/>
            <w:tcBorders>
              <w:top w:val="nil"/>
              <w:left w:val="nil"/>
              <w:bottom w:val="nil"/>
              <w:right w:val="nil"/>
            </w:tcBorders>
            <w:shd w:val="clear" w:color="auto" w:fill="auto"/>
            <w:noWrap/>
            <w:vAlign w:val="center"/>
            <w:hideMark/>
          </w:tcPr>
          <w:p w14:paraId="2CE84EC9" w14:textId="77777777" w:rsidR="000D6168" w:rsidRPr="000A5942" w:rsidRDefault="000D6168" w:rsidP="00323FD6">
            <w:pPr>
              <w:rPr>
                <w:rFonts w:ascii="Calibri" w:hAnsi="Calibri" w:cs="Calibri"/>
              </w:rPr>
            </w:pPr>
            <w:r w:rsidRPr="000A5942">
              <w:rPr>
                <w:rFonts w:ascii="Calibri" w:hAnsi="Calibri" w:cs="Calibri"/>
              </w:rPr>
              <w:t>13.9</w:t>
            </w:r>
          </w:p>
        </w:tc>
        <w:tc>
          <w:tcPr>
            <w:tcW w:w="1040" w:type="pct"/>
            <w:gridSpan w:val="3"/>
            <w:vMerge/>
            <w:tcBorders>
              <w:left w:val="nil"/>
              <w:right w:val="single" w:sz="4" w:space="0" w:color="auto"/>
            </w:tcBorders>
            <w:shd w:val="clear" w:color="auto" w:fill="auto"/>
            <w:noWrap/>
            <w:vAlign w:val="center"/>
            <w:hideMark/>
          </w:tcPr>
          <w:p w14:paraId="67234903" w14:textId="77777777" w:rsidR="000D6168" w:rsidRPr="000A5942" w:rsidRDefault="000D6168" w:rsidP="00323FD6">
            <w:pPr>
              <w:rPr>
                <w:rFonts w:ascii="Calibri" w:hAnsi="Calibri" w:cs="Calibri"/>
              </w:rPr>
            </w:pPr>
          </w:p>
        </w:tc>
      </w:tr>
      <w:tr w:rsidR="000D6168" w:rsidRPr="000A5942" w14:paraId="051F6D93" w14:textId="77777777" w:rsidTr="00323FD6">
        <w:trPr>
          <w:trHeight w:val="290"/>
          <w:jc w:val="center"/>
        </w:trPr>
        <w:tc>
          <w:tcPr>
            <w:tcW w:w="971" w:type="pct"/>
            <w:gridSpan w:val="2"/>
            <w:vMerge/>
            <w:tcBorders>
              <w:left w:val="single" w:sz="4" w:space="0" w:color="auto"/>
              <w:bottom w:val="nil"/>
              <w:right w:val="nil"/>
            </w:tcBorders>
            <w:shd w:val="clear" w:color="auto" w:fill="auto"/>
            <w:noWrap/>
            <w:vAlign w:val="center"/>
            <w:hideMark/>
          </w:tcPr>
          <w:p w14:paraId="6A75A022"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3D8D3615" w14:textId="77777777" w:rsidR="000D6168" w:rsidRPr="000A5942" w:rsidRDefault="000D6168" w:rsidP="00323FD6">
            <w:pPr>
              <w:rPr>
                <w:rFonts w:ascii="Calibri" w:hAnsi="Calibri" w:cs="Calibri"/>
              </w:rPr>
            </w:pPr>
            <w:r w:rsidRPr="000A5942">
              <w:rPr>
                <w:rFonts w:ascii="Calibri" w:hAnsi="Calibri" w:cs="Calibri"/>
              </w:rPr>
              <w:t>PhacaeDRAFT_Scaffold2.3</w:t>
            </w:r>
          </w:p>
        </w:tc>
        <w:tc>
          <w:tcPr>
            <w:tcW w:w="313" w:type="pct"/>
            <w:tcBorders>
              <w:top w:val="nil"/>
              <w:left w:val="nil"/>
              <w:bottom w:val="nil"/>
              <w:right w:val="nil"/>
            </w:tcBorders>
            <w:shd w:val="clear" w:color="auto" w:fill="auto"/>
            <w:noWrap/>
            <w:vAlign w:val="center"/>
            <w:hideMark/>
          </w:tcPr>
          <w:p w14:paraId="6D609586"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2D5523FA" w14:textId="77777777" w:rsidR="000D6168" w:rsidRPr="000A5942" w:rsidRDefault="000D6168" w:rsidP="00323FD6">
            <w:pPr>
              <w:rPr>
                <w:rFonts w:ascii="Calibri" w:hAnsi="Calibri" w:cs="Calibri"/>
              </w:rPr>
            </w:pPr>
            <w:r w:rsidRPr="000A5942">
              <w:rPr>
                <w:rFonts w:ascii="Calibri" w:hAnsi="Calibri" w:cs="Calibri"/>
              </w:rPr>
              <w:t>Di- and tricarboxylate transporter</w:t>
            </w:r>
          </w:p>
        </w:tc>
        <w:tc>
          <w:tcPr>
            <w:tcW w:w="625" w:type="pct"/>
            <w:tcBorders>
              <w:top w:val="nil"/>
              <w:left w:val="nil"/>
              <w:bottom w:val="nil"/>
              <w:right w:val="nil"/>
            </w:tcBorders>
            <w:shd w:val="clear" w:color="auto" w:fill="auto"/>
            <w:noWrap/>
            <w:vAlign w:val="center"/>
            <w:hideMark/>
          </w:tcPr>
          <w:p w14:paraId="3651EFAF" w14:textId="77777777" w:rsidR="000D6168" w:rsidRPr="000A5942" w:rsidRDefault="000D6168" w:rsidP="00323FD6">
            <w:pPr>
              <w:rPr>
                <w:rFonts w:ascii="Calibri" w:hAnsi="Calibri" w:cs="Calibri"/>
              </w:rPr>
            </w:pPr>
            <w:r w:rsidRPr="000A5942">
              <w:rPr>
                <w:rFonts w:ascii="Calibri" w:hAnsi="Calibri" w:cs="Calibri"/>
              </w:rPr>
              <w:t>NADPH</w:t>
            </w:r>
            <w:proofErr w:type="gramStart"/>
            <w:r w:rsidRPr="000A5942">
              <w:rPr>
                <w:rFonts w:ascii="Calibri" w:hAnsi="Calibri" w:cs="Calibri"/>
              </w:rPr>
              <w:t>2:quinone</w:t>
            </w:r>
            <w:proofErr w:type="gramEnd"/>
            <w:r w:rsidRPr="000A5942">
              <w:rPr>
                <w:rFonts w:ascii="Calibri" w:hAnsi="Calibri" w:cs="Calibri"/>
              </w:rPr>
              <w:t xml:space="preserve"> reductase</w:t>
            </w:r>
          </w:p>
        </w:tc>
        <w:tc>
          <w:tcPr>
            <w:tcW w:w="453" w:type="pct"/>
            <w:tcBorders>
              <w:top w:val="nil"/>
              <w:left w:val="nil"/>
              <w:bottom w:val="nil"/>
              <w:right w:val="nil"/>
            </w:tcBorders>
            <w:shd w:val="clear" w:color="auto" w:fill="auto"/>
            <w:noWrap/>
            <w:vAlign w:val="center"/>
            <w:hideMark/>
          </w:tcPr>
          <w:p w14:paraId="0064D974" w14:textId="77777777" w:rsidR="000D6168" w:rsidRPr="000A5942" w:rsidRDefault="000D6168" w:rsidP="00323FD6">
            <w:pPr>
              <w:rPr>
                <w:rFonts w:ascii="Calibri" w:hAnsi="Calibri" w:cs="Calibri"/>
              </w:rPr>
            </w:pPr>
            <w:r w:rsidRPr="000A5942">
              <w:rPr>
                <w:rFonts w:ascii="Calibri" w:hAnsi="Calibri" w:cs="Calibri"/>
              </w:rPr>
              <w:t>5315</w:t>
            </w:r>
          </w:p>
        </w:tc>
        <w:tc>
          <w:tcPr>
            <w:tcW w:w="311" w:type="pct"/>
            <w:tcBorders>
              <w:top w:val="nil"/>
              <w:left w:val="nil"/>
              <w:bottom w:val="nil"/>
              <w:right w:val="nil"/>
            </w:tcBorders>
            <w:shd w:val="clear" w:color="auto" w:fill="auto"/>
            <w:noWrap/>
            <w:vAlign w:val="center"/>
            <w:hideMark/>
          </w:tcPr>
          <w:p w14:paraId="37F6F88E" w14:textId="77777777" w:rsidR="000D6168" w:rsidRPr="000A5942" w:rsidRDefault="000D6168" w:rsidP="00323FD6">
            <w:pPr>
              <w:rPr>
                <w:rFonts w:ascii="Calibri" w:hAnsi="Calibri" w:cs="Calibri"/>
              </w:rPr>
            </w:pPr>
            <w:r w:rsidRPr="000A5942">
              <w:rPr>
                <w:rFonts w:ascii="Calibri" w:hAnsi="Calibri" w:cs="Calibri"/>
              </w:rPr>
              <w:t>4384</w:t>
            </w:r>
          </w:p>
        </w:tc>
        <w:tc>
          <w:tcPr>
            <w:tcW w:w="280" w:type="pct"/>
            <w:tcBorders>
              <w:top w:val="nil"/>
              <w:left w:val="nil"/>
              <w:bottom w:val="nil"/>
              <w:right w:val="nil"/>
            </w:tcBorders>
            <w:shd w:val="clear" w:color="auto" w:fill="auto"/>
            <w:noWrap/>
            <w:vAlign w:val="center"/>
            <w:hideMark/>
          </w:tcPr>
          <w:p w14:paraId="18AA2905" w14:textId="77777777" w:rsidR="000D6168" w:rsidRPr="000A5942" w:rsidRDefault="000D6168" w:rsidP="00323FD6">
            <w:pPr>
              <w:rPr>
                <w:rFonts w:ascii="Calibri" w:hAnsi="Calibri" w:cs="Calibri"/>
              </w:rPr>
            </w:pPr>
            <w:r w:rsidRPr="000A5942">
              <w:rPr>
                <w:rFonts w:ascii="Calibri" w:hAnsi="Calibri" w:cs="Calibri"/>
              </w:rPr>
              <w:t>10.4</w:t>
            </w:r>
          </w:p>
        </w:tc>
        <w:tc>
          <w:tcPr>
            <w:tcW w:w="1040" w:type="pct"/>
            <w:gridSpan w:val="3"/>
            <w:vMerge/>
            <w:tcBorders>
              <w:left w:val="nil"/>
              <w:bottom w:val="nil"/>
              <w:right w:val="single" w:sz="4" w:space="0" w:color="auto"/>
            </w:tcBorders>
            <w:shd w:val="clear" w:color="auto" w:fill="auto"/>
            <w:noWrap/>
            <w:vAlign w:val="center"/>
            <w:hideMark/>
          </w:tcPr>
          <w:p w14:paraId="52F466FA" w14:textId="77777777" w:rsidR="000D6168" w:rsidRPr="000A5942" w:rsidRDefault="000D6168" w:rsidP="00323FD6">
            <w:pPr>
              <w:rPr>
                <w:rFonts w:ascii="Calibri" w:hAnsi="Calibri" w:cs="Calibri"/>
              </w:rPr>
            </w:pPr>
          </w:p>
        </w:tc>
      </w:tr>
      <w:tr w:rsidR="000D6168" w:rsidRPr="000A5942" w14:paraId="73E3147F" w14:textId="77777777" w:rsidTr="00323FD6">
        <w:trPr>
          <w:trHeight w:val="290"/>
          <w:jc w:val="center"/>
        </w:trPr>
        <w:tc>
          <w:tcPr>
            <w:tcW w:w="519" w:type="pct"/>
            <w:tcBorders>
              <w:top w:val="single" w:sz="4" w:space="0" w:color="auto"/>
              <w:left w:val="single" w:sz="4" w:space="0" w:color="auto"/>
              <w:bottom w:val="single" w:sz="4" w:space="0" w:color="auto"/>
              <w:right w:val="nil"/>
            </w:tcBorders>
            <w:shd w:val="clear" w:color="auto" w:fill="auto"/>
            <w:noWrap/>
            <w:vAlign w:val="center"/>
            <w:hideMark/>
          </w:tcPr>
          <w:p w14:paraId="21BB5155" w14:textId="77777777" w:rsidR="000D6168" w:rsidRPr="000A5942" w:rsidRDefault="000D6168" w:rsidP="00323FD6">
            <w:pPr>
              <w:rPr>
                <w:rFonts w:ascii="Calibri" w:hAnsi="Calibri" w:cs="Calibri"/>
              </w:rPr>
            </w:pPr>
            <w:r w:rsidRPr="000A5942">
              <w:rPr>
                <w:rFonts w:ascii="Calibri" w:hAnsi="Calibri" w:cs="Calibri"/>
              </w:rPr>
              <w:t>2521172619</w:t>
            </w:r>
          </w:p>
        </w:tc>
        <w:tc>
          <w:tcPr>
            <w:tcW w:w="452" w:type="pct"/>
            <w:tcBorders>
              <w:top w:val="single" w:sz="4" w:space="0" w:color="auto"/>
              <w:left w:val="nil"/>
              <w:bottom w:val="single" w:sz="4" w:space="0" w:color="auto"/>
              <w:right w:val="nil"/>
            </w:tcBorders>
            <w:shd w:val="clear" w:color="auto" w:fill="auto"/>
            <w:noWrap/>
            <w:vAlign w:val="center"/>
            <w:hideMark/>
          </w:tcPr>
          <w:p w14:paraId="2A2BF4CF" w14:textId="77777777" w:rsidR="000D6168" w:rsidRPr="000A5942" w:rsidRDefault="000D6168" w:rsidP="00323FD6">
            <w:pPr>
              <w:rPr>
                <w:rFonts w:ascii="Calibri" w:hAnsi="Calibri" w:cs="Calibri"/>
              </w:rPr>
            </w:pPr>
            <w:proofErr w:type="spellStart"/>
            <w:r w:rsidRPr="000A5942">
              <w:rPr>
                <w:rFonts w:ascii="Calibri" w:hAnsi="Calibri" w:cs="Calibri"/>
              </w:rPr>
              <w:t>Leisingera</w:t>
            </w:r>
            <w:proofErr w:type="spellEnd"/>
            <w:r w:rsidRPr="000A5942">
              <w:rPr>
                <w:rFonts w:ascii="Calibri" w:hAnsi="Calibri" w:cs="Calibri"/>
              </w:rPr>
              <w:t xml:space="preserve"> </w:t>
            </w:r>
            <w:proofErr w:type="spellStart"/>
            <w:r w:rsidRPr="000A5942">
              <w:rPr>
                <w:rFonts w:ascii="Calibri" w:hAnsi="Calibri" w:cs="Calibri"/>
              </w:rPr>
              <w:t>daeponensis</w:t>
            </w:r>
            <w:proofErr w:type="spellEnd"/>
            <w:r w:rsidRPr="000A5942">
              <w:rPr>
                <w:rFonts w:ascii="Calibri" w:hAnsi="Calibri" w:cs="Calibri"/>
              </w:rPr>
              <w:t xml:space="preserve"> DSM 23529</w:t>
            </w:r>
          </w:p>
        </w:tc>
        <w:tc>
          <w:tcPr>
            <w:tcW w:w="347" w:type="pct"/>
            <w:tcBorders>
              <w:top w:val="single" w:sz="4" w:space="0" w:color="auto"/>
              <w:left w:val="nil"/>
              <w:bottom w:val="single" w:sz="4" w:space="0" w:color="auto"/>
              <w:right w:val="nil"/>
            </w:tcBorders>
            <w:shd w:val="clear" w:color="auto" w:fill="auto"/>
            <w:noWrap/>
            <w:vAlign w:val="center"/>
            <w:hideMark/>
          </w:tcPr>
          <w:p w14:paraId="735B7540" w14:textId="77777777" w:rsidR="000D6168" w:rsidRPr="000A5942" w:rsidRDefault="000D6168" w:rsidP="00323FD6">
            <w:pPr>
              <w:rPr>
                <w:rFonts w:ascii="Calibri" w:hAnsi="Calibri" w:cs="Calibri"/>
              </w:rPr>
            </w:pPr>
            <w:r w:rsidRPr="000A5942">
              <w:rPr>
                <w:rFonts w:ascii="Calibri" w:hAnsi="Calibri" w:cs="Calibri"/>
              </w:rPr>
              <w:t>NA</w:t>
            </w:r>
          </w:p>
        </w:tc>
        <w:tc>
          <w:tcPr>
            <w:tcW w:w="313" w:type="pct"/>
            <w:tcBorders>
              <w:top w:val="single" w:sz="4" w:space="0" w:color="auto"/>
              <w:left w:val="nil"/>
              <w:bottom w:val="single" w:sz="4" w:space="0" w:color="auto"/>
              <w:right w:val="nil"/>
            </w:tcBorders>
            <w:shd w:val="clear" w:color="auto" w:fill="auto"/>
            <w:noWrap/>
            <w:vAlign w:val="center"/>
            <w:hideMark/>
          </w:tcPr>
          <w:p w14:paraId="16AE001A" w14:textId="77777777" w:rsidR="000D6168" w:rsidRPr="000A5942" w:rsidRDefault="000D6168" w:rsidP="00323FD6">
            <w:pPr>
              <w:rPr>
                <w:rFonts w:ascii="Calibri" w:hAnsi="Calibri" w:cs="Calibri"/>
              </w:rPr>
            </w:pPr>
            <w:r w:rsidRPr="000A5942">
              <w:rPr>
                <w:rFonts w:ascii="Calibri" w:hAnsi="Calibri" w:cs="Calibri"/>
              </w:rPr>
              <w:t>NA</w:t>
            </w:r>
          </w:p>
        </w:tc>
        <w:tc>
          <w:tcPr>
            <w:tcW w:w="660" w:type="pct"/>
            <w:tcBorders>
              <w:top w:val="single" w:sz="4" w:space="0" w:color="auto"/>
              <w:left w:val="nil"/>
              <w:bottom w:val="single" w:sz="4" w:space="0" w:color="auto"/>
              <w:right w:val="nil"/>
            </w:tcBorders>
            <w:shd w:val="clear" w:color="auto" w:fill="auto"/>
            <w:noWrap/>
            <w:vAlign w:val="center"/>
            <w:hideMark/>
          </w:tcPr>
          <w:p w14:paraId="2C46B5FF" w14:textId="77777777" w:rsidR="000D6168" w:rsidRPr="000A5942" w:rsidRDefault="000D6168" w:rsidP="00323FD6">
            <w:pPr>
              <w:rPr>
                <w:rFonts w:ascii="Calibri" w:hAnsi="Calibri" w:cs="Calibri"/>
              </w:rPr>
            </w:pPr>
            <w:r w:rsidRPr="000A5942">
              <w:rPr>
                <w:rFonts w:ascii="Calibri" w:hAnsi="Calibri" w:cs="Calibri"/>
              </w:rPr>
              <w:t>NA</w:t>
            </w:r>
          </w:p>
        </w:tc>
        <w:tc>
          <w:tcPr>
            <w:tcW w:w="625" w:type="pct"/>
            <w:tcBorders>
              <w:top w:val="single" w:sz="4" w:space="0" w:color="auto"/>
              <w:left w:val="nil"/>
              <w:bottom w:val="single" w:sz="4" w:space="0" w:color="auto"/>
              <w:right w:val="nil"/>
            </w:tcBorders>
            <w:shd w:val="clear" w:color="auto" w:fill="auto"/>
            <w:noWrap/>
            <w:vAlign w:val="center"/>
            <w:hideMark/>
          </w:tcPr>
          <w:p w14:paraId="2FC0B53B" w14:textId="77777777" w:rsidR="000D6168" w:rsidRPr="000A5942" w:rsidRDefault="000D6168" w:rsidP="00323FD6">
            <w:pPr>
              <w:rPr>
                <w:rFonts w:ascii="Calibri" w:hAnsi="Calibri" w:cs="Calibri"/>
              </w:rPr>
            </w:pPr>
            <w:r w:rsidRPr="000A5942">
              <w:rPr>
                <w:rFonts w:ascii="Calibri" w:hAnsi="Calibri" w:cs="Calibri"/>
              </w:rPr>
              <w:t>NA</w:t>
            </w:r>
          </w:p>
        </w:tc>
        <w:tc>
          <w:tcPr>
            <w:tcW w:w="453" w:type="pct"/>
            <w:tcBorders>
              <w:top w:val="single" w:sz="4" w:space="0" w:color="auto"/>
              <w:left w:val="nil"/>
              <w:bottom w:val="single" w:sz="4" w:space="0" w:color="auto"/>
              <w:right w:val="nil"/>
            </w:tcBorders>
            <w:shd w:val="clear" w:color="auto" w:fill="auto"/>
            <w:noWrap/>
            <w:vAlign w:val="center"/>
            <w:hideMark/>
          </w:tcPr>
          <w:p w14:paraId="0EF557C0" w14:textId="77777777" w:rsidR="000D6168" w:rsidRPr="000A5942" w:rsidRDefault="000D6168" w:rsidP="00323FD6">
            <w:pPr>
              <w:rPr>
                <w:rFonts w:ascii="Calibri" w:hAnsi="Calibri" w:cs="Calibri"/>
              </w:rPr>
            </w:pPr>
            <w:r w:rsidRPr="000A5942">
              <w:rPr>
                <w:rFonts w:ascii="Calibri" w:hAnsi="Calibri" w:cs="Calibri"/>
              </w:rPr>
              <w:t>NA</w:t>
            </w:r>
          </w:p>
        </w:tc>
        <w:tc>
          <w:tcPr>
            <w:tcW w:w="311" w:type="pct"/>
            <w:tcBorders>
              <w:top w:val="single" w:sz="4" w:space="0" w:color="auto"/>
              <w:left w:val="nil"/>
              <w:bottom w:val="single" w:sz="4" w:space="0" w:color="auto"/>
              <w:right w:val="nil"/>
            </w:tcBorders>
            <w:shd w:val="clear" w:color="auto" w:fill="auto"/>
            <w:noWrap/>
            <w:vAlign w:val="center"/>
            <w:hideMark/>
          </w:tcPr>
          <w:p w14:paraId="753426E1" w14:textId="77777777" w:rsidR="000D6168" w:rsidRPr="000A5942" w:rsidRDefault="000D6168" w:rsidP="00323FD6">
            <w:pPr>
              <w:rPr>
                <w:rFonts w:ascii="Calibri" w:hAnsi="Calibri" w:cs="Calibri"/>
              </w:rPr>
            </w:pPr>
            <w:r w:rsidRPr="000A5942">
              <w:rPr>
                <w:rFonts w:ascii="Calibri" w:hAnsi="Calibri" w:cs="Calibri"/>
              </w:rPr>
              <w:t>NA</w:t>
            </w:r>
          </w:p>
        </w:tc>
        <w:tc>
          <w:tcPr>
            <w:tcW w:w="280" w:type="pct"/>
            <w:tcBorders>
              <w:top w:val="single" w:sz="4" w:space="0" w:color="auto"/>
              <w:left w:val="nil"/>
              <w:bottom w:val="single" w:sz="4" w:space="0" w:color="auto"/>
              <w:right w:val="nil"/>
            </w:tcBorders>
            <w:shd w:val="clear" w:color="auto" w:fill="auto"/>
            <w:noWrap/>
            <w:vAlign w:val="center"/>
            <w:hideMark/>
          </w:tcPr>
          <w:p w14:paraId="6CC4868A" w14:textId="77777777" w:rsidR="000D6168" w:rsidRPr="000A5942" w:rsidRDefault="000D6168" w:rsidP="00323FD6">
            <w:pPr>
              <w:rPr>
                <w:rFonts w:ascii="Calibri" w:hAnsi="Calibri" w:cs="Calibri"/>
              </w:rPr>
            </w:pPr>
            <w:r w:rsidRPr="000A5942">
              <w:rPr>
                <w:rFonts w:ascii="Calibri" w:hAnsi="Calibri" w:cs="Calibri"/>
              </w:rPr>
              <w:t> </w:t>
            </w:r>
          </w:p>
        </w:tc>
        <w:tc>
          <w:tcPr>
            <w:tcW w:w="347" w:type="pct"/>
            <w:tcBorders>
              <w:top w:val="single" w:sz="4" w:space="0" w:color="auto"/>
              <w:left w:val="nil"/>
              <w:bottom w:val="single" w:sz="4" w:space="0" w:color="auto"/>
              <w:right w:val="nil"/>
            </w:tcBorders>
            <w:shd w:val="clear" w:color="auto" w:fill="auto"/>
            <w:noWrap/>
            <w:vAlign w:val="center"/>
            <w:hideMark/>
          </w:tcPr>
          <w:p w14:paraId="4A6A3F43" w14:textId="77777777" w:rsidR="000D6168" w:rsidRPr="000A5942" w:rsidRDefault="000D6168" w:rsidP="00323FD6">
            <w:pPr>
              <w:rPr>
                <w:rFonts w:ascii="Calibri" w:hAnsi="Calibri" w:cs="Calibri"/>
              </w:rPr>
            </w:pPr>
            <w:r w:rsidRPr="000A5942">
              <w:rPr>
                <w:rFonts w:ascii="Calibri" w:hAnsi="Calibri" w:cs="Calibri"/>
              </w:rPr>
              <w:t>0</w:t>
            </w:r>
          </w:p>
        </w:tc>
        <w:tc>
          <w:tcPr>
            <w:tcW w:w="313" w:type="pct"/>
            <w:tcBorders>
              <w:top w:val="single" w:sz="4" w:space="0" w:color="auto"/>
              <w:left w:val="nil"/>
              <w:bottom w:val="single" w:sz="4" w:space="0" w:color="auto"/>
              <w:right w:val="nil"/>
            </w:tcBorders>
            <w:shd w:val="clear" w:color="auto" w:fill="auto"/>
            <w:noWrap/>
            <w:vAlign w:val="center"/>
            <w:hideMark/>
          </w:tcPr>
          <w:p w14:paraId="6909D32A" w14:textId="77777777" w:rsidR="000D6168" w:rsidRPr="000A5942" w:rsidRDefault="000D6168" w:rsidP="00323FD6">
            <w:pPr>
              <w:rPr>
                <w:rFonts w:ascii="Calibri" w:hAnsi="Calibri" w:cs="Calibri"/>
              </w:rPr>
            </w:pPr>
            <w:r w:rsidRPr="000A5942">
              <w:rPr>
                <w:rFonts w:ascii="Calibri" w:hAnsi="Calibri" w:cs="Calibri"/>
              </w:rPr>
              <w:t>4388</w:t>
            </w:r>
          </w:p>
        </w:tc>
        <w:tc>
          <w:tcPr>
            <w:tcW w:w="380" w:type="pct"/>
            <w:tcBorders>
              <w:top w:val="single" w:sz="4" w:space="0" w:color="auto"/>
              <w:left w:val="nil"/>
              <w:bottom w:val="single" w:sz="4" w:space="0" w:color="auto"/>
              <w:right w:val="single" w:sz="4" w:space="0" w:color="auto"/>
            </w:tcBorders>
            <w:shd w:val="clear" w:color="auto" w:fill="auto"/>
            <w:noWrap/>
            <w:vAlign w:val="center"/>
            <w:hideMark/>
          </w:tcPr>
          <w:p w14:paraId="38F6ECB1" w14:textId="77777777" w:rsidR="000D6168" w:rsidRPr="000A5942" w:rsidRDefault="000D6168" w:rsidP="00323FD6">
            <w:pPr>
              <w:rPr>
                <w:rFonts w:ascii="Calibri" w:hAnsi="Calibri" w:cs="Calibri"/>
              </w:rPr>
            </w:pPr>
            <w:r w:rsidRPr="000A5942">
              <w:rPr>
                <w:rFonts w:ascii="Calibri" w:hAnsi="Calibri" w:cs="Calibri"/>
              </w:rPr>
              <w:t xml:space="preserve"> 0.00%</w:t>
            </w:r>
          </w:p>
        </w:tc>
      </w:tr>
      <w:tr w:rsidR="000D6168" w:rsidRPr="000A5942" w14:paraId="16C99AEC"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69962FF0" w14:textId="77777777" w:rsidR="000D6168" w:rsidRPr="000A5942" w:rsidRDefault="000D6168" w:rsidP="00323FD6">
            <w:pPr>
              <w:rPr>
                <w:rFonts w:ascii="Calibri" w:hAnsi="Calibri" w:cs="Calibri"/>
              </w:rPr>
            </w:pPr>
            <w:r w:rsidRPr="000A5942">
              <w:rPr>
                <w:rFonts w:ascii="Calibri" w:hAnsi="Calibri" w:cs="Calibri"/>
              </w:rPr>
              <w:t>2512564009</w:t>
            </w:r>
          </w:p>
        </w:tc>
        <w:tc>
          <w:tcPr>
            <w:tcW w:w="452" w:type="pct"/>
            <w:tcBorders>
              <w:top w:val="nil"/>
              <w:left w:val="nil"/>
              <w:bottom w:val="nil"/>
              <w:right w:val="nil"/>
            </w:tcBorders>
            <w:shd w:val="clear" w:color="auto" w:fill="auto"/>
            <w:noWrap/>
            <w:vAlign w:val="center"/>
            <w:hideMark/>
          </w:tcPr>
          <w:p w14:paraId="41BA084B" w14:textId="77777777" w:rsidR="000D6168" w:rsidRPr="000A5942" w:rsidRDefault="000D6168" w:rsidP="00323FD6">
            <w:pPr>
              <w:rPr>
                <w:rFonts w:ascii="Calibri" w:hAnsi="Calibri" w:cs="Calibri"/>
              </w:rPr>
            </w:pPr>
            <w:proofErr w:type="spellStart"/>
            <w:r w:rsidRPr="000A5942">
              <w:rPr>
                <w:rFonts w:ascii="Calibri" w:hAnsi="Calibri" w:cs="Calibri"/>
              </w:rPr>
              <w:t>Leisingera</w:t>
            </w:r>
            <w:proofErr w:type="spellEnd"/>
            <w:r w:rsidRPr="000A5942">
              <w:rPr>
                <w:rFonts w:ascii="Calibri" w:hAnsi="Calibri" w:cs="Calibri"/>
              </w:rPr>
              <w:t xml:space="preserve"> </w:t>
            </w:r>
            <w:proofErr w:type="spellStart"/>
            <w:r w:rsidRPr="000A5942">
              <w:rPr>
                <w:rFonts w:ascii="Calibri" w:hAnsi="Calibri" w:cs="Calibri"/>
              </w:rPr>
              <w:t>methylohalidivorans</w:t>
            </w:r>
            <w:proofErr w:type="spellEnd"/>
            <w:r w:rsidRPr="000A5942">
              <w:rPr>
                <w:rFonts w:ascii="Calibri" w:hAnsi="Calibri" w:cs="Calibri"/>
              </w:rPr>
              <w:t xml:space="preserve"> MB2, DSM 14336</w:t>
            </w:r>
          </w:p>
        </w:tc>
        <w:tc>
          <w:tcPr>
            <w:tcW w:w="347" w:type="pct"/>
            <w:tcBorders>
              <w:top w:val="nil"/>
              <w:left w:val="nil"/>
              <w:bottom w:val="nil"/>
              <w:right w:val="nil"/>
            </w:tcBorders>
            <w:shd w:val="clear" w:color="auto" w:fill="auto"/>
            <w:noWrap/>
            <w:vAlign w:val="center"/>
            <w:hideMark/>
          </w:tcPr>
          <w:p w14:paraId="18DCF3A0" w14:textId="77777777" w:rsidR="000D6168" w:rsidRPr="000A5942" w:rsidRDefault="000D6168" w:rsidP="00323FD6">
            <w:pPr>
              <w:rPr>
                <w:rFonts w:ascii="Calibri" w:hAnsi="Calibri" w:cs="Calibri"/>
              </w:rPr>
            </w:pPr>
            <w:r w:rsidRPr="000A5942">
              <w:rPr>
                <w:rFonts w:ascii="Calibri" w:hAnsi="Calibri" w:cs="Calibri"/>
              </w:rPr>
              <w:t>Leime_Contig76.3</w:t>
            </w:r>
          </w:p>
        </w:tc>
        <w:tc>
          <w:tcPr>
            <w:tcW w:w="313" w:type="pct"/>
            <w:tcBorders>
              <w:top w:val="nil"/>
              <w:left w:val="nil"/>
              <w:bottom w:val="nil"/>
              <w:right w:val="nil"/>
            </w:tcBorders>
            <w:shd w:val="clear" w:color="auto" w:fill="auto"/>
            <w:noWrap/>
            <w:vAlign w:val="center"/>
            <w:hideMark/>
          </w:tcPr>
          <w:p w14:paraId="6F7AF473"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5B00C9E0" w14:textId="77777777" w:rsidR="000D6168" w:rsidRPr="000A5942" w:rsidRDefault="000D6168" w:rsidP="00323FD6">
            <w:pPr>
              <w:rPr>
                <w:rFonts w:ascii="Calibri" w:hAnsi="Calibri" w:cs="Calibri"/>
              </w:rPr>
            </w:pPr>
            <w:r w:rsidRPr="000A5942">
              <w:rPr>
                <w:rFonts w:ascii="Calibri" w:hAnsi="Calibri" w:cs="Calibri"/>
              </w:rPr>
              <w:t>(R)-</w:t>
            </w:r>
            <w:proofErr w:type="spellStart"/>
            <w:r w:rsidRPr="000A5942">
              <w:rPr>
                <w:rFonts w:ascii="Calibri" w:hAnsi="Calibri" w:cs="Calibri"/>
              </w:rPr>
              <w:t>ethylmalonyl</w:t>
            </w:r>
            <w:proofErr w:type="spellEnd"/>
            <w:r w:rsidRPr="000A5942">
              <w:rPr>
                <w:rFonts w:ascii="Calibri" w:hAnsi="Calibri" w:cs="Calibri"/>
              </w:rPr>
              <w:t>-CoA mutase</w:t>
            </w:r>
          </w:p>
        </w:tc>
        <w:tc>
          <w:tcPr>
            <w:tcW w:w="625" w:type="pct"/>
            <w:tcBorders>
              <w:top w:val="nil"/>
              <w:left w:val="nil"/>
              <w:bottom w:val="nil"/>
              <w:right w:val="nil"/>
            </w:tcBorders>
            <w:shd w:val="clear" w:color="auto" w:fill="auto"/>
            <w:noWrap/>
            <w:vAlign w:val="center"/>
            <w:hideMark/>
          </w:tcPr>
          <w:p w14:paraId="484D7802"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453" w:type="pct"/>
            <w:tcBorders>
              <w:top w:val="nil"/>
              <w:left w:val="nil"/>
              <w:bottom w:val="nil"/>
              <w:right w:val="nil"/>
            </w:tcBorders>
            <w:shd w:val="clear" w:color="auto" w:fill="auto"/>
            <w:noWrap/>
            <w:vAlign w:val="center"/>
            <w:hideMark/>
          </w:tcPr>
          <w:p w14:paraId="5F01B233" w14:textId="77777777" w:rsidR="000D6168" w:rsidRPr="000A5942" w:rsidRDefault="000D6168" w:rsidP="00323FD6">
            <w:pPr>
              <w:rPr>
                <w:rFonts w:ascii="Calibri" w:hAnsi="Calibri" w:cs="Calibri"/>
              </w:rPr>
            </w:pPr>
            <w:r w:rsidRPr="000A5942">
              <w:rPr>
                <w:rFonts w:ascii="Calibri" w:hAnsi="Calibri" w:cs="Calibri"/>
              </w:rPr>
              <w:t>4130</w:t>
            </w:r>
          </w:p>
        </w:tc>
        <w:tc>
          <w:tcPr>
            <w:tcW w:w="311" w:type="pct"/>
            <w:tcBorders>
              <w:top w:val="nil"/>
              <w:left w:val="nil"/>
              <w:bottom w:val="nil"/>
              <w:right w:val="nil"/>
            </w:tcBorders>
            <w:shd w:val="clear" w:color="auto" w:fill="auto"/>
            <w:noWrap/>
            <w:vAlign w:val="center"/>
            <w:hideMark/>
          </w:tcPr>
          <w:p w14:paraId="5F1E47AF" w14:textId="77777777" w:rsidR="000D6168" w:rsidRPr="000A5942" w:rsidRDefault="000D6168" w:rsidP="00323FD6">
            <w:pPr>
              <w:rPr>
                <w:rFonts w:ascii="Calibri" w:hAnsi="Calibri" w:cs="Calibri"/>
              </w:rPr>
            </w:pPr>
            <w:r w:rsidRPr="000A5942">
              <w:rPr>
                <w:rFonts w:ascii="Calibri" w:hAnsi="Calibri" w:cs="Calibri"/>
              </w:rPr>
              <w:t>3155</w:t>
            </w:r>
          </w:p>
        </w:tc>
        <w:tc>
          <w:tcPr>
            <w:tcW w:w="280" w:type="pct"/>
            <w:tcBorders>
              <w:top w:val="nil"/>
              <w:left w:val="nil"/>
              <w:bottom w:val="nil"/>
              <w:right w:val="nil"/>
            </w:tcBorders>
            <w:shd w:val="clear" w:color="auto" w:fill="auto"/>
            <w:noWrap/>
            <w:vAlign w:val="center"/>
            <w:hideMark/>
          </w:tcPr>
          <w:p w14:paraId="27B0F9C4" w14:textId="77777777" w:rsidR="000D6168" w:rsidRPr="000A5942" w:rsidRDefault="000D6168" w:rsidP="00323FD6">
            <w:pPr>
              <w:rPr>
                <w:rFonts w:ascii="Calibri" w:hAnsi="Calibri" w:cs="Calibri"/>
              </w:rPr>
            </w:pPr>
            <w:r w:rsidRPr="000A5942">
              <w:rPr>
                <w:rFonts w:ascii="Calibri" w:hAnsi="Calibri" w:cs="Calibri"/>
              </w:rPr>
              <w:t>30.7</w:t>
            </w:r>
          </w:p>
        </w:tc>
        <w:tc>
          <w:tcPr>
            <w:tcW w:w="347" w:type="pct"/>
            <w:tcBorders>
              <w:top w:val="nil"/>
              <w:left w:val="nil"/>
              <w:bottom w:val="nil"/>
              <w:right w:val="nil"/>
            </w:tcBorders>
            <w:shd w:val="clear" w:color="auto" w:fill="auto"/>
            <w:noWrap/>
            <w:vAlign w:val="center"/>
            <w:hideMark/>
          </w:tcPr>
          <w:p w14:paraId="4B6A8AFA" w14:textId="77777777" w:rsidR="000D6168" w:rsidRPr="000A5942" w:rsidRDefault="000D6168" w:rsidP="00323FD6">
            <w:pPr>
              <w:rPr>
                <w:rFonts w:ascii="Calibri" w:hAnsi="Calibri" w:cs="Calibri"/>
              </w:rPr>
            </w:pPr>
            <w:r w:rsidRPr="000A5942">
              <w:rPr>
                <w:rFonts w:ascii="Calibri" w:hAnsi="Calibri" w:cs="Calibri"/>
              </w:rPr>
              <w:t>3</w:t>
            </w:r>
          </w:p>
        </w:tc>
        <w:tc>
          <w:tcPr>
            <w:tcW w:w="313" w:type="pct"/>
            <w:tcBorders>
              <w:top w:val="nil"/>
              <w:left w:val="nil"/>
              <w:bottom w:val="nil"/>
              <w:right w:val="nil"/>
            </w:tcBorders>
            <w:shd w:val="clear" w:color="auto" w:fill="auto"/>
            <w:noWrap/>
            <w:vAlign w:val="center"/>
            <w:hideMark/>
          </w:tcPr>
          <w:p w14:paraId="51626A31" w14:textId="77777777" w:rsidR="000D6168" w:rsidRPr="000A5942" w:rsidRDefault="000D6168" w:rsidP="00323FD6">
            <w:pPr>
              <w:rPr>
                <w:rFonts w:ascii="Calibri" w:hAnsi="Calibri" w:cs="Calibri"/>
              </w:rPr>
            </w:pPr>
            <w:r w:rsidRPr="000A5942">
              <w:rPr>
                <w:rFonts w:ascii="Calibri" w:hAnsi="Calibri" w:cs="Calibri"/>
              </w:rPr>
              <w:t>4608</w:t>
            </w:r>
          </w:p>
        </w:tc>
        <w:tc>
          <w:tcPr>
            <w:tcW w:w="380" w:type="pct"/>
            <w:tcBorders>
              <w:top w:val="nil"/>
              <w:left w:val="nil"/>
              <w:bottom w:val="nil"/>
              <w:right w:val="single" w:sz="4" w:space="0" w:color="auto"/>
            </w:tcBorders>
            <w:shd w:val="clear" w:color="auto" w:fill="auto"/>
            <w:noWrap/>
            <w:vAlign w:val="center"/>
            <w:hideMark/>
          </w:tcPr>
          <w:p w14:paraId="4790BDAE" w14:textId="77777777" w:rsidR="000D6168" w:rsidRPr="000A5942" w:rsidRDefault="000D6168" w:rsidP="00323FD6">
            <w:pPr>
              <w:rPr>
                <w:rFonts w:ascii="Calibri" w:hAnsi="Calibri" w:cs="Calibri"/>
              </w:rPr>
            </w:pPr>
            <w:r w:rsidRPr="000A5942">
              <w:rPr>
                <w:rFonts w:ascii="Calibri" w:hAnsi="Calibri" w:cs="Calibri"/>
              </w:rPr>
              <w:t xml:space="preserve"> 0.0651%</w:t>
            </w:r>
          </w:p>
        </w:tc>
      </w:tr>
      <w:tr w:rsidR="000D6168" w:rsidRPr="000A5942" w14:paraId="6581C691" w14:textId="77777777" w:rsidTr="00323FD6">
        <w:trPr>
          <w:trHeight w:val="290"/>
          <w:jc w:val="center"/>
        </w:trPr>
        <w:tc>
          <w:tcPr>
            <w:tcW w:w="971" w:type="pct"/>
            <w:gridSpan w:val="2"/>
            <w:vMerge w:val="restart"/>
            <w:tcBorders>
              <w:top w:val="nil"/>
              <w:left w:val="single" w:sz="4" w:space="0" w:color="auto"/>
              <w:right w:val="nil"/>
            </w:tcBorders>
            <w:shd w:val="clear" w:color="auto" w:fill="auto"/>
            <w:noWrap/>
            <w:vAlign w:val="center"/>
            <w:hideMark/>
          </w:tcPr>
          <w:p w14:paraId="4F4919FD"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4276D8F9" w14:textId="77777777" w:rsidR="000D6168" w:rsidRPr="000A5942" w:rsidRDefault="000D6168" w:rsidP="00323FD6">
            <w:pPr>
              <w:rPr>
                <w:rFonts w:ascii="Calibri" w:hAnsi="Calibri" w:cs="Calibri"/>
              </w:rPr>
            </w:pPr>
            <w:r w:rsidRPr="000A5942">
              <w:rPr>
                <w:rFonts w:ascii="Calibri" w:hAnsi="Calibri" w:cs="Calibri"/>
              </w:rPr>
              <w:t>Leime_Contig76.3</w:t>
            </w:r>
          </w:p>
        </w:tc>
        <w:tc>
          <w:tcPr>
            <w:tcW w:w="313" w:type="pct"/>
            <w:tcBorders>
              <w:top w:val="nil"/>
              <w:left w:val="nil"/>
              <w:bottom w:val="nil"/>
              <w:right w:val="nil"/>
            </w:tcBorders>
            <w:shd w:val="clear" w:color="auto" w:fill="auto"/>
            <w:noWrap/>
            <w:vAlign w:val="center"/>
            <w:hideMark/>
          </w:tcPr>
          <w:p w14:paraId="646EAF08"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053DB94D" w14:textId="77777777" w:rsidR="000D6168" w:rsidRPr="000A5942" w:rsidRDefault="000D6168" w:rsidP="00323FD6">
            <w:pPr>
              <w:rPr>
                <w:rFonts w:ascii="Calibri" w:hAnsi="Calibri" w:cs="Calibri"/>
              </w:rPr>
            </w:pPr>
            <w:r w:rsidRPr="000A5942">
              <w:rPr>
                <w:rFonts w:ascii="Calibri" w:hAnsi="Calibri" w:cs="Calibri"/>
              </w:rPr>
              <w:t xml:space="preserve">Response regulator containing a </w:t>
            </w:r>
            <w:proofErr w:type="spellStart"/>
            <w:r w:rsidRPr="000A5942">
              <w:rPr>
                <w:rFonts w:ascii="Calibri" w:hAnsi="Calibri" w:cs="Calibri"/>
              </w:rPr>
              <w:t>CheY</w:t>
            </w:r>
            <w:proofErr w:type="spellEnd"/>
            <w:r w:rsidRPr="000A5942">
              <w:rPr>
                <w:rFonts w:ascii="Calibri" w:hAnsi="Calibri" w:cs="Calibri"/>
              </w:rPr>
              <w:t>-like receiver domain and an HTH DNA-binding domain</w:t>
            </w:r>
          </w:p>
        </w:tc>
        <w:tc>
          <w:tcPr>
            <w:tcW w:w="625" w:type="pct"/>
            <w:tcBorders>
              <w:top w:val="nil"/>
              <w:left w:val="nil"/>
              <w:bottom w:val="nil"/>
              <w:right w:val="nil"/>
            </w:tcBorders>
            <w:shd w:val="clear" w:color="auto" w:fill="auto"/>
            <w:noWrap/>
            <w:vAlign w:val="center"/>
            <w:hideMark/>
          </w:tcPr>
          <w:p w14:paraId="2BFA67F6" w14:textId="77777777" w:rsidR="000D6168" w:rsidRPr="000A5942" w:rsidRDefault="000D6168" w:rsidP="00323FD6">
            <w:pPr>
              <w:rPr>
                <w:rFonts w:ascii="Calibri" w:hAnsi="Calibri" w:cs="Calibri"/>
              </w:rPr>
            </w:pPr>
            <w:r w:rsidRPr="000A5942">
              <w:rPr>
                <w:rFonts w:ascii="Calibri" w:hAnsi="Calibri" w:cs="Calibri"/>
              </w:rPr>
              <w:t>N-acyl-L-homoserine lactone synthetase</w:t>
            </w:r>
          </w:p>
        </w:tc>
        <w:tc>
          <w:tcPr>
            <w:tcW w:w="453" w:type="pct"/>
            <w:tcBorders>
              <w:top w:val="nil"/>
              <w:left w:val="nil"/>
              <w:bottom w:val="nil"/>
              <w:right w:val="nil"/>
            </w:tcBorders>
            <w:shd w:val="clear" w:color="auto" w:fill="auto"/>
            <w:noWrap/>
            <w:vAlign w:val="center"/>
            <w:hideMark/>
          </w:tcPr>
          <w:p w14:paraId="4073098E" w14:textId="77777777" w:rsidR="000D6168" w:rsidRPr="000A5942" w:rsidRDefault="000D6168" w:rsidP="00323FD6">
            <w:pPr>
              <w:rPr>
                <w:rFonts w:ascii="Calibri" w:hAnsi="Calibri" w:cs="Calibri"/>
              </w:rPr>
            </w:pPr>
            <w:r w:rsidRPr="000A5942">
              <w:rPr>
                <w:rFonts w:ascii="Calibri" w:hAnsi="Calibri" w:cs="Calibri"/>
              </w:rPr>
              <w:t>56</w:t>
            </w:r>
          </w:p>
        </w:tc>
        <w:tc>
          <w:tcPr>
            <w:tcW w:w="311" w:type="pct"/>
            <w:tcBorders>
              <w:top w:val="nil"/>
              <w:left w:val="nil"/>
              <w:bottom w:val="nil"/>
              <w:right w:val="nil"/>
            </w:tcBorders>
            <w:shd w:val="clear" w:color="auto" w:fill="auto"/>
            <w:noWrap/>
            <w:vAlign w:val="center"/>
            <w:hideMark/>
          </w:tcPr>
          <w:p w14:paraId="1842677A" w14:textId="77777777" w:rsidR="000D6168" w:rsidRPr="000A5942" w:rsidRDefault="000D6168" w:rsidP="00323FD6">
            <w:pPr>
              <w:rPr>
                <w:rFonts w:ascii="Calibri" w:hAnsi="Calibri" w:cs="Calibri"/>
              </w:rPr>
            </w:pPr>
            <w:r w:rsidRPr="000A5942">
              <w:rPr>
                <w:rFonts w:ascii="Calibri" w:hAnsi="Calibri" w:cs="Calibri"/>
              </w:rPr>
              <w:t>3</w:t>
            </w:r>
          </w:p>
        </w:tc>
        <w:tc>
          <w:tcPr>
            <w:tcW w:w="280" w:type="pct"/>
            <w:tcBorders>
              <w:top w:val="nil"/>
              <w:left w:val="nil"/>
              <w:bottom w:val="nil"/>
              <w:right w:val="nil"/>
            </w:tcBorders>
            <w:shd w:val="clear" w:color="auto" w:fill="auto"/>
            <w:noWrap/>
            <w:vAlign w:val="center"/>
            <w:hideMark/>
          </w:tcPr>
          <w:p w14:paraId="46887375" w14:textId="77777777" w:rsidR="000D6168" w:rsidRPr="000A5942" w:rsidRDefault="000D6168" w:rsidP="00323FD6">
            <w:pPr>
              <w:rPr>
                <w:rFonts w:ascii="Calibri" w:hAnsi="Calibri" w:cs="Calibri"/>
              </w:rPr>
            </w:pPr>
            <w:r w:rsidRPr="000A5942">
              <w:rPr>
                <w:rFonts w:ascii="Calibri" w:hAnsi="Calibri" w:cs="Calibri"/>
              </w:rPr>
              <w:t>30</w:t>
            </w:r>
          </w:p>
        </w:tc>
        <w:tc>
          <w:tcPr>
            <w:tcW w:w="1040" w:type="pct"/>
            <w:gridSpan w:val="3"/>
            <w:vMerge w:val="restart"/>
            <w:tcBorders>
              <w:top w:val="nil"/>
              <w:left w:val="nil"/>
              <w:right w:val="single" w:sz="4" w:space="0" w:color="auto"/>
            </w:tcBorders>
            <w:shd w:val="clear" w:color="auto" w:fill="auto"/>
            <w:noWrap/>
            <w:vAlign w:val="center"/>
            <w:hideMark/>
          </w:tcPr>
          <w:p w14:paraId="7BC23BEC" w14:textId="77777777" w:rsidR="000D6168" w:rsidRPr="000A5942" w:rsidRDefault="000D6168" w:rsidP="00323FD6">
            <w:pPr>
              <w:rPr>
                <w:rFonts w:ascii="Calibri" w:hAnsi="Calibri" w:cs="Calibri"/>
              </w:rPr>
            </w:pPr>
          </w:p>
        </w:tc>
      </w:tr>
      <w:tr w:rsidR="000D6168" w:rsidRPr="000A5942" w14:paraId="24D99E98" w14:textId="77777777" w:rsidTr="00323FD6">
        <w:trPr>
          <w:trHeight w:val="290"/>
          <w:jc w:val="center"/>
        </w:trPr>
        <w:tc>
          <w:tcPr>
            <w:tcW w:w="971" w:type="pct"/>
            <w:gridSpan w:val="2"/>
            <w:vMerge/>
            <w:tcBorders>
              <w:left w:val="single" w:sz="4" w:space="0" w:color="auto"/>
              <w:bottom w:val="nil"/>
              <w:right w:val="nil"/>
            </w:tcBorders>
            <w:shd w:val="clear" w:color="auto" w:fill="auto"/>
            <w:noWrap/>
            <w:vAlign w:val="center"/>
            <w:hideMark/>
          </w:tcPr>
          <w:p w14:paraId="3EAB9001"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56C03C58" w14:textId="77777777" w:rsidR="000D6168" w:rsidRPr="000A5942" w:rsidRDefault="000D6168" w:rsidP="00323FD6">
            <w:pPr>
              <w:rPr>
                <w:rFonts w:ascii="Calibri" w:hAnsi="Calibri" w:cs="Calibri"/>
              </w:rPr>
            </w:pPr>
            <w:r w:rsidRPr="000A5942">
              <w:rPr>
                <w:rFonts w:ascii="Calibri" w:hAnsi="Calibri" w:cs="Calibri"/>
              </w:rPr>
              <w:t>Leime_Contig75.2</w:t>
            </w:r>
          </w:p>
        </w:tc>
        <w:tc>
          <w:tcPr>
            <w:tcW w:w="313" w:type="pct"/>
            <w:tcBorders>
              <w:top w:val="nil"/>
              <w:left w:val="nil"/>
              <w:bottom w:val="nil"/>
              <w:right w:val="nil"/>
            </w:tcBorders>
            <w:shd w:val="clear" w:color="auto" w:fill="auto"/>
            <w:noWrap/>
            <w:vAlign w:val="center"/>
            <w:hideMark/>
          </w:tcPr>
          <w:p w14:paraId="27D7EED6"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21F24CAE" w14:textId="77777777" w:rsidR="000D6168" w:rsidRPr="000A5942" w:rsidRDefault="000D6168" w:rsidP="00323FD6">
            <w:pPr>
              <w:rPr>
                <w:rFonts w:ascii="Calibri" w:hAnsi="Calibri" w:cs="Calibri"/>
              </w:rPr>
            </w:pPr>
            <w:r w:rsidRPr="000A5942">
              <w:rPr>
                <w:rFonts w:ascii="Calibri" w:hAnsi="Calibri" w:cs="Calibri"/>
              </w:rPr>
              <w:t>Transposase</w:t>
            </w:r>
          </w:p>
        </w:tc>
        <w:tc>
          <w:tcPr>
            <w:tcW w:w="625" w:type="pct"/>
            <w:tcBorders>
              <w:top w:val="nil"/>
              <w:left w:val="nil"/>
              <w:bottom w:val="nil"/>
              <w:right w:val="nil"/>
            </w:tcBorders>
            <w:shd w:val="clear" w:color="auto" w:fill="auto"/>
            <w:noWrap/>
            <w:vAlign w:val="center"/>
            <w:hideMark/>
          </w:tcPr>
          <w:p w14:paraId="677466E1" w14:textId="77777777" w:rsidR="000D6168" w:rsidRPr="000A5942" w:rsidRDefault="000D6168" w:rsidP="00323FD6">
            <w:pPr>
              <w:rPr>
                <w:rFonts w:ascii="Calibri" w:hAnsi="Calibri" w:cs="Calibri"/>
              </w:rPr>
            </w:pPr>
            <w:proofErr w:type="gramStart"/>
            <w:r w:rsidRPr="000A5942">
              <w:rPr>
                <w:rFonts w:ascii="Calibri" w:hAnsi="Calibri" w:cs="Calibri"/>
              </w:rPr>
              <w:t>iron(</w:t>
            </w:r>
            <w:proofErr w:type="gramEnd"/>
            <w:r w:rsidRPr="000A5942">
              <w:rPr>
                <w:rFonts w:ascii="Calibri" w:hAnsi="Calibri" w:cs="Calibri"/>
              </w:rPr>
              <w:t>III) transport system permease protein</w:t>
            </w:r>
          </w:p>
        </w:tc>
        <w:tc>
          <w:tcPr>
            <w:tcW w:w="453" w:type="pct"/>
            <w:tcBorders>
              <w:top w:val="nil"/>
              <w:left w:val="nil"/>
              <w:bottom w:val="nil"/>
              <w:right w:val="nil"/>
            </w:tcBorders>
            <w:shd w:val="clear" w:color="auto" w:fill="auto"/>
            <w:noWrap/>
            <w:vAlign w:val="center"/>
            <w:hideMark/>
          </w:tcPr>
          <w:p w14:paraId="779BC45D" w14:textId="77777777" w:rsidR="000D6168" w:rsidRPr="000A5942" w:rsidRDefault="000D6168" w:rsidP="00323FD6">
            <w:pPr>
              <w:rPr>
                <w:rFonts w:ascii="Calibri" w:hAnsi="Calibri" w:cs="Calibri"/>
              </w:rPr>
            </w:pPr>
            <w:r w:rsidRPr="000A5942">
              <w:rPr>
                <w:rFonts w:ascii="Calibri" w:hAnsi="Calibri" w:cs="Calibri"/>
              </w:rPr>
              <w:t>1007</w:t>
            </w:r>
          </w:p>
        </w:tc>
        <w:tc>
          <w:tcPr>
            <w:tcW w:w="311" w:type="pct"/>
            <w:tcBorders>
              <w:top w:val="nil"/>
              <w:left w:val="nil"/>
              <w:bottom w:val="nil"/>
              <w:right w:val="nil"/>
            </w:tcBorders>
            <w:shd w:val="clear" w:color="auto" w:fill="auto"/>
            <w:noWrap/>
            <w:vAlign w:val="center"/>
            <w:hideMark/>
          </w:tcPr>
          <w:p w14:paraId="2DC922F1" w14:textId="77777777" w:rsidR="000D6168" w:rsidRPr="000A5942" w:rsidRDefault="000D6168" w:rsidP="00323FD6">
            <w:pPr>
              <w:rPr>
                <w:rFonts w:ascii="Calibri" w:hAnsi="Calibri" w:cs="Calibri"/>
              </w:rPr>
            </w:pPr>
            <w:r w:rsidRPr="000A5942">
              <w:rPr>
                <w:rFonts w:ascii="Calibri" w:hAnsi="Calibri" w:cs="Calibri"/>
              </w:rPr>
              <w:t>1234</w:t>
            </w:r>
          </w:p>
        </w:tc>
        <w:tc>
          <w:tcPr>
            <w:tcW w:w="280" w:type="pct"/>
            <w:tcBorders>
              <w:top w:val="nil"/>
              <w:left w:val="nil"/>
              <w:bottom w:val="nil"/>
              <w:right w:val="nil"/>
            </w:tcBorders>
            <w:shd w:val="clear" w:color="auto" w:fill="auto"/>
            <w:noWrap/>
            <w:vAlign w:val="center"/>
            <w:hideMark/>
          </w:tcPr>
          <w:p w14:paraId="184E3478" w14:textId="77777777" w:rsidR="000D6168" w:rsidRPr="000A5942" w:rsidRDefault="000D6168" w:rsidP="00323FD6">
            <w:pPr>
              <w:rPr>
                <w:rFonts w:ascii="Calibri" w:hAnsi="Calibri" w:cs="Calibri"/>
              </w:rPr>
            </w:pPr>
            <w:r w:rsidRPr="000A5942">
              <w:rPr>
                <w:rFonts w:ascii="Calibri" w:hAnsi="Calibri" w:cs="Calibri"/>
              </w:rPr>
              <w:t>10.8</w:t>
            </w:r>
          </w:p>
        </w:tc>
        <w:tc>
          <w:tcPr>
            <w:tcW w:w="1040" w:type="pct"/>
            <w:gridSpan w:val="3"/>
            <w:vMerge/>
            <w:tcBorders>
              <w:left w:val="nil"/>
              <w:bottom w:val="nil"/>
              <w:right w:val="single" w:sz="4" w:space="0" w:color="auto"/>
            </w:tcBorders>
            <w:shd w:val="clear" w:color="auto" w:fill="auto"/>
            <w:noWrap/>
            <w:vAlign w:val="center"/>
            <w:hideMark/>
          </w:tcPr>
          <w:p w14:paraId="0B3FACEC" w14:textId="77777777" w:rsidR="000D6168" w:rsidRPr="000A5942" w:rsidRDefault="000D6168" w:rsidP="00323FD6">
            <w:pPr>
              <w:rPr>
                <w:rFonts w:ascii="Calibri" w:hAnsi="Calibri" w:cs="Calibri"/>
              </w:rPr>
            </w:pPr>
          </w:p>
        </w:tc>
      </w:tr>
      <w:tr w:rsidR="000D6168" w:rsidRPr="000A5942" w14:paraId="3E426024" w14:textId="77777777" w:rsidTr="00323FD6">
        <w:trPr>
          <w:trHeight w:val="290"/>
          <w:jc w:val="center"/>
        </w:trPr>
        <w:tc>
          <w:tcPr>
            <w:tcW w:w="519" w:type="pct"/>
            <w:tcBorders>
              <w:top w:val="single" w:sz="4" w:space="0" w:color="auto"/>
              <w:left w:val="single" w:sz="4" w:space="0" w:color="auto"/>
              <w:bottom w:val="nil"/>
              <w:right w:val="nil"/>
            </w:tcBorders>
            <w:shd w:val="clear" w:color="auto" w:fill="auto"/>
            <w:noWrap/>
            <w:vAlign w:val="center"/>
            <w:hideMark/>
          </w:tcPr>
          <w:p w14:paraId="4BA60449" w14:textId="77777777" w:rsidR="000D6168" w:rsidRPr="000A5942" w:rsidRDefault="000D6168" w:rsidP="00323FD6">
            <w:pPr>
              <w:rPr>
                <w:rFonts w:ascii="Calibri" w:hAnsi="Calibri" w:cs="Calibri"/>
              </w:rPr>
            </w:pPr>
            <w:r w:rsidRPr="000A5942">
              <w:rPr>
                <w:rFonts w:ascii="Calibri" w:hAnsi="Calibri" w:cs="Calibri"/>
              </w:rPr>
              <w:t>2556921661</w:t>
            </w:r>
          </w:p>
        </w:tc>
        <w:tc>
          <w:tcPr>
            <w:tcW w:w="452" w:type="pct"/>
            <w:tcBorders>
              <w:top w:val="single" w:sz="4" w:space="0" w:color="auto"/>
              <w:left w:val="nil"/>
              <w:bottom w:val="nil"/>
              <w:right w:val="nil"/>
            </w:tcBorders>
            <w:shd w:val="clear" w:color="auto" w:fill="auto"/>
            <w:noWrap/>
            <w:vAlign w:val="center"/>
            <w:hideMark/>
          </w:tcPr>
          <w:p w14:paraId="3AFF40E8" w14:textId="77777777" w:rsidR="000D6168" w:rsidRPr="000A5942" w:rsidRDefault="000D6168" w:rsidP="00323FD6">
            <w:pPr>
              <w:rPr>
                <w:rFonts w:ascii="Calibri" w:hAnsi="Calibri" w:cs="Calibri"/>
              </w:rPr>
            </w:pPr>
            <w:proofErr w:type="spellStart"/>
            <w:r w:rsidRPr="000A5942">
              <w:rPr>
                <w:rFonts w:ascii="Calibri" w:hAnsi="Calibri" w:cs="Calibri"/>
              </w:rPr>
              <w:t>Leisingera</w:t>
            </w:r>
            <w:proofErr w:type="spellEnd"/>
            <w:r w:rsidRPr="000A5942">
              <w:rPr>
                <w:rFonts w:ascii="Calibri" w:hAnsi="Calibri" w:cs="Calibri"/>
              </w:rPr>
              <w:t xml:space="preserve"> sp. ANG1</w:t>
            </w:r>
          </w:p>
        </w:tc>
        <w:tc>
          <w:tcPr>
            <w:tcW w:w="347" w:type="pct"/>
            <w:tcBorders>
              <w:top w:val="single" w:sz="4" w:space="0" w:color="auto"/>
              <w:left w:val="nil"/>
              <w:bottom w:val="nil"/>
              <w:right w:val="nil"/>
            </w:tcBorders>
            <w:shd w:val="clear" w:color="auto" w:fill="auto"/>
            <w:noWrap/>
            <w:vAlign w:val="center"/>
            <w:hideMark/>
          </w:tcPr>
          <w:p w14:paraId="6D69DCB2" w14:textId="77777777" w:rsidR="000D6168" w:rsidRPr="000A5942" w:rsidRDefault="000D6168" w:rsidP="00323FD6">
            <w:pPr>
              <w:rPr>
                <w:rFonts w:ascii="Calibri" w:hAnsi="Calibri" w:cs="Calibri"/>
              </w:rPr>
            </w:pPr>
            <w:r w:rsidRPr="000A5942">
              <w:rPr>
                <w:rFonts w:ascii="Calibri" w:hAnsi="Calibri" w:cs="Calibri"/>
              </w:rPr>
              <w:t>ANG1_gi328751003.54</w:t>
            </w:r>
          </w:p>
        </w:tc>
        <w:tc>
          <w:tcPr>
            <w:tcW w:w="313" w:type="pct"/>
            <w:tcBorders>
              <w:top w:val="single" w:sz="4" w:space="0" w:color="auto"/>
              <w:left w:val="nil"/>
              <w:bottom w:val="nil"/>
              <w:right w:val="nil"/>
            </w:tcBorders>
            <w:shd w:val="clear" w:color="auto" w:fill="auto"/>
            <w:noWrap/>
            <w:vAlign w:val="center"/>
            <w:hideMark/>
          </w:tcPr>
          <w:p w14:paraId="11447F65"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single" w:sz="4" w:space="0" w:color="auto"/>
              <w:left w:val="nil"/>
              <w:bottom w:val="nil"/>
              <w:right w:val="nil"/>
            </w:tcBorders>
            <w:shd w:val="clear" w:color="auto" w:fill="auto"/>
            <w:noWrap/>
            <w:vAlign w:val="center"/>
            <w:hideMark/>
          </w:tcPr>
          <w:p w14:paraId="0BD7FA5F"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625" w:type="pct"/>
            <w:tcBorders>
              <w:top w:val="single" w:sz="4" w:space="0" w:color="auto"/>
              <w:left w:val="nil"/>
              <w:bottom w:val="nil"/>
              <w:right w:val="nil"/>
            </w:tcBorders>
            <w:shd w:val="clear" w:color="auto" w:fill="auto"/>
            <w:noWrap/>
            <w:vAlign w:val="center"/>
            <w:hideMark/>
          </w:tcPr>
          <w:p w14:paraId="77ACB638" w14:textId="77777777" w:rsidR="000D6168" w:rsidRPr="000A5942" w:rsidRDefault="000D6168" w:rsidP="00323FD6">
            <w:pPr>
              <w:rPr>
                <w:rFonts w:ascii="Calibri" w:hAnsi="Calibri" w:cs="Calibri"/>
              </w:rPr>
            </w:pPr>
            <w:r w:rsidRPr="000A5942">
              <w:rPr>
                <w:rFonts w:ascii="Calibri" w:hAnsi="Calibri" w:cs="Calibri"/>
              </w:rPr>
              <w:t>(R)-</w:t>
            </w:r>
            <w:proofErr w:type="spellStart"/>
            <w:r w:rsidRPr="000A5942">
              <w:rPr>
                <w:rFonts w:ascii="Calibri" w:hAnsi="Calibri" w:cs="Calibri"/>
              </w:rPr>
              <w:t>ethylmalonyl</w:t>
            </w:r>
            <w:proofErr w:type="spellEnd"/>
            <w:r w:rsidRPr="000A5942">
              <w:rPr>
                <w:rFonts w:ascii="Calibri" w:hAnsi="Calibri" w:cs="Calibri"/>
              </w:rPr>
              <w:t>-CoA mutase</w:t>
            </w:r>
          </w:p>
        </w:tc>
        <w:tc>
          <w:tcPr>
            <w:tcW w:w="453" w:type="pct"/>
            <w:tcBorders>
              <w:top w:val="single" w:sz="4" w:space="0" w:color="auto"/>
              <w:left w:val="nil"/>
              <w:bottom w:val="nil"/>
              <w:right w:val="nil"/>
            </w:tcBorders>
            <w:shd w:val="clear" w:color="auto" w:fill="auto"/>
            <w:noWrap/>
            <w:vAlign w:val="center"/>
            <w:hideMark/>
          </w:tcPr>
          <w:p w14:paraId="37D78CE3" w14:textId="77777777" w:rsidR="000D6168" w:rsidRPr="000A5942" w:rsidRDefault="000D6168" w:rsidP="00323FD6">
            <w:pPr>
              <w:rPr>
                <w:rFonts w:ascii="Calibri" w:hAnsi="Calibri" w:cs="Calibri"/>
              </w:rPr>
            </w:pPr>
            <w:r w:rsidRPr="000A5942">
              <w:rPr>
                <w:rFonts w:ascii="Calibri" w:hAnsi="Calibri" w:cs="Calibri"/>
              </w:rPr>
              <w:t>3060</w:t>
            </w:r>
          </w:p>
        </w:tc>
        <w:tc>
          <w:tcPr>
            <w:tcW w:w="311" w:type="pct"/>
            <w:tcBorders>
              <w:top w:val="single" w:sz="4" w:space="0" w:color="auto"/>
              <w:left w:val="nil"/>
              <w:bottom w:val="nil"/>
              <w:right w:val="nil"/>
            </w:tcBorders>
            <w:shd w:val="clear" w:color="auto" w:fill="auto"/>
            <w:noWrap/>
            <w:vAlign w:val="center"/>
            <w:hideMark/>
          </w:tcPr>
          <w:p w14:paraId="6344B4C2" w14:textId="77777777" w:rsidR="000D6168" w:rsidRPr="000A5942" w:rsidRDefault="000D6168" w:rsidP="00323FD6">
            <w:pPr>
              <w:rPr>
                <w:rFonts w:ascii="Calibri" w:hAnsi="Calibri" w:cs="Calibri"/>
              </w:rPr>
            </w:pPr>
            <w:r w:rsidRPr="000A5942">
              <w:rPr>
                <w:rFonts w:ascii="Calibri" w:hAnsi="Calibri" w:cs="Calibri"/>
              </w:rPr>
              <w:t>4122</w:t>
            </w:r>
          </w:p>
        </w:tc>
        <w:tc>
          <w:tcPr>
            <w:tcW w:w="280" w:type="pct"/>
            <w:tcBorders>
              <w:top w:val="single" w:sz="4" w:space="0" w:color="auto"/>
              <w:left w:val="nil"/>
              <w:bottom w:val="nil"/>
              <w:right w:val="nil"/>
            </w:tcBorders>
            <w:shd w:val="clear" w:color="auto" w:fill="auto"/>
            <w:noWrap/>
            <w:vAlign w:val="center"/>
            <w:hideMark/>
          </w:tcPr>
          <w:p w14:paraId="5DD75D94" w14:textId="77777777" w:rsidR="000D6168" w:rsidRPr="000A5942" w:rsidRDefault="000D6168" w:rsidP="00323FD6">
            <w:pPr>
              <w:rPr>
                <w:rFonts w:ascii="Calibri" w:hAnsi="Calibri" w:cs="Calibri"/>
              </w:rPr>
            </w:pPr>
            <w:r w:rsidRPr="000A5942">
              <w:rPr>
                <w:rFonts w:ascii="Calibri" w:hAnsi="Calibri" w:cs="Calibri"/>
              </w:rPr>
              <w:t>38.8</w:t>
            </w:r>
          </w:p>
        </w:tc>
        <w:tc>
          <w:tcPr>
            <w:tcW w:w="347" w:type="pct"/>
            <w:tcBorders>
              <w:top w:val="single" w:sz="4" w:space="0" w:color="auto"/>
              <w:left w:val="nil"/>
              <w:bottom w:val="nil"/>
              <w:right w:val="nil"/>
            </w:tcBorders>
            <w:shd w:val="clear" w:color="auto" w:fill="auto"/>
            <w:noWrap/>
            <w:vAlign w:val="center"/>
            <w:hideMark/>
          </w:tcPr>
          <w:p w14:paraId="2A2DCE35" w14:textId="77777777" w:rsidR="000D6168" w:rsidRPr="000A5942" w:rsidRDefault="000D6168" w:rsidP="00323FD6">
            <w:pPr>
              <w:rPr>
                <w:rFonts w:ascii="Calibri" w:hAnsi="Calibri" w:cs="Calibri"/>
              </w:rPr>
            </w:pPr>
            <w:r w:rsidRPr="000A5942">
              <w:rPr>
                <w:rFonts w:ascii="Calibri" w:hAnsi="Calibri" w:cs="Calibri"/>
              </w:rPr>
              <w:t>4</w:t>
            </w:r>
          </w:p>
        </w:tc>
        <w:tc>
          <w:tcPr>
            <w:tcW w:w="313" w:type="pct"/>
            <w:tcBorders>
              <w:top w:val="single" w:sz="4" w:space="0" w:color="auto"/>
              <w:left w:val="nil"/>
              <w:bottom w:val="nil"/>
              <w:right w:val="nil"/>
            </w:tcBorders>
            <w:shd w:val="clear" w:color="auto" w:fill="auto"/>
            <w:noWrap/>
            <w:vAlign w:val="center"/>
            <w:hideMark/>
          </w:tcPr>
          <w:p w14:paraId="3A4CA01F" w14:textId="77777777" w:rsidR="000D6168" w:rsidRPr="000A5942" w:rsidRDefault="000D6168" w:rsidP="00323FD6">
            <w:pPr>
              <w:rPr>
                <w:rFonts w:ascii="Calibri" w:hAnsi="Calibri" w:cs="Calibri"/>
              </w:rPr>
            </w:pPr>
            <w:r w:rsidRPr="000A5942">
              <w:rPr>
                <w:rFonts w:ascii="Calibri" w:hAnsi="Calibri" w:cs="Calibri"/>
              </w:rPr>
              <w:t>4405</w:t>
            </w:r>
          </w:p>
        </w:tc>
        <w:tc>
          <w:tcPr>
            <w:tcW w:w="380" w:type="pct"/>
            <w:tcBorders>
              <w:top w:val="single" w:sz="4" w:space="0" w:color="auto"/>
              <w:left w:val="nil"/>
              <w:bottom w:val="nil"/>
              <w:right w:val="single" w:sz="4" w:space="0" w:color="auto"/>
            </w:tcBorders>
            <w:shd w:val="clear" w:color="auto" w:fill="auto"/>
            <w:noWrap/>
            <w:vAlign w:val="center"/>
            <w:hideMark/>
          </w:tcPr>
          <w:p w14:paraId="28A78913" w14:textId="77777777" w:rsidR="000D6168" w:rsidRPr="000A5942" w:rsidRDefault="000D6168" w:rsidP="00323FD6">
            <w:pPr>
              <w:rPr>
                <w:rFonts w:ascii="Calibri" w:hAnsi="Calibri" w:cs="Calibri"/>
              </w:rPr>
            </w:pPr>
            <w:r w:rsidRPr="000A5942">
              <w:rPr>
                <w:rFonts w:ascii="Calibri" w:hAnsi="Calibri" w:cs="Calibri"/>
              </w:rPr>
              <w:t xml:space="preserve"> 0.0908%</w:t>
            </w:r>
          </w:p>
        </w:tc>
      </w:tr>
      <w:tr w:rsidR="000D6168" w:rsidRPr="000A5942" w14:paraId="1A77A6BA" w14:textId="77777777" w:rsidTr="00323FD6">
        <w:trPr>
          <w:trHeight w:val="290"/>
          <w:jc w:val="center"/>
        </w:trPr>
        <w:tc>
          <w:tcPr>
            <w:tcW w:w="971" w:type="pct"/>
            <w:gridSpan w:val="2"/>
            <w:vMerge w:val="restart"/>
            <w:tcBorders>
              <w:top w:val="nil"/>
              <w:left w:val="single" w:sz="4" w:space="0" w:color="auto"/>
              <w:right w:val="nil"/>
            </w:tcBorders>
            <w:shd w:val="clear" w:color="auto" w:fill="auto"/>
            <w:noWrap/>
            <w:vAlign w:val="center"/>
            <w:hideMark/>
          </w:tcPr>
          <w:p w14:paraId="136F0E70"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26898B7F" w14:textId="77777777" w:rsidR="000D6168" w:rsidRPr="000A5942" w:rsidRDefault="000D6168" w:rsidP="00323FD6">
            <w:pPr>
              <w:rPr>
                <w:rFonts w:ascii="Calibri" w:hAnsi="Calibri" w:cs="Calibri"/>
              </w:rPr>
            </w:pPr>
            <w:r w:rsidRPr="000A5942">
              <w:rPr>
                <w:rFonts w:ascii="Calibri" w:hAnsi="Calibri" w:cs="Calibri"/>
              </w:rPr>
              <w:t>ANG1_gi328751003.54</w:t>
            </w:r>
          </w:p>
        </w:tc>
        <w:tc>
          <w:tcPr>
            <w:tcW w:w="313" w:type="pct"/>
            <w:tcBorders>
              <w:top w:val="nil"/>
              <w:left w:val="nil"/>
              <w:bottom w:val="nil"/>
              <w:right w:val="nil"/>
            </w:tcBorders>
            <w:shd w:val="clear" w:color="auto" w:fill="auto"/>
            <w:noWrap/>
            <w:vAlign w:val="center"/>
            <w:hideMark/>
          </w:tcPr>
          <w:p w14:paraId="05B95272"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319C8195" w14:textId="77777777" w:rsidR="000D6168" w:rsidRPr="000A5942" w:rsidRDefault="000D6168" w:rsidP="00323FD6">
            <w:pPr>
              <w:rPr>
                <w:rFonts w:ascii="Calibri" w:hAnsi="Calibri" w:cs="Calibri"/>
              </w:rPr>
            </w:pPr>
            <w:r w:rsidRPr="000A5942">
              <w:rPr>
                <w:rFonts w:ascii="Calibri" w:hAnsi="Calibri" w:cs="Calibri"/>
              </w:rPr>
              <w:t>N-acyl-L-homoserine lactone synthetase</w:t>
            </w:r>
          </w:p>
        </w:tc>
        <w:tc>
          <w:tcPr>
            <w:tcW w:w="625" w:type="pct"/>
            <w:tcBorders>
              <w:top w:val="nil"/>
              <w:left w:val="nil"/>
              <w:bottom w:val="nil"/>
              <w:right w:val="nil"/>
            </w:tcBorders>
            <w:shd w:val="clear" w:color="auto" w:fill="auto"/>
            <w:noWrap/>
            <w:vAlign w:val="center"/>
            <w:hideMark/>
          </w:tcPr>
          <w:p w14:paraId="5C24045F"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regulator, </w:t>
            </w:r>
            <w:proofErr w:type="spellStart"/>
            <w:r w:rsidRPr="000A5942">
              <w:rPr>
                <w:rFonts w:ascii="Calibri" w:hAnsi="Calibri" w:cs="Calibri"/>
              </w:rPr>
              <w:t>CsgD</w:t>
            </w:r>
            <w:proofErr w:type="spellEnd"/>
            <w:r w:rsidRPr="000A5942">
              <w:rPr>
                <w:rFonts w:ascii="Calibri" w:hAnsi="Calibri" w:cs="Calibri"/>
              </w:rPr>
              <w:t xml:space="preserve"> family</w:t>
            </w:r>
          </w:p>
        </w:tc>
        <w:tc>
          <w:tcPr>
            <w:tcW w:w="453" w:type="pct"/>
            <w:tcBorders>
              <w:top w:val="nil"/>
              <w:left w:val="nil"/>
              <w:bottom w:val="nil"/>
              <w:right w:val="nil"/>
            </w:tcBorders>
            <w:shd w:val="clear" w:color="auto" w:fill="auto"/>
            <w:noWrap/>
            <w:vAlign w:val="center"/>
            <w:hideMark/>
          </w:tcPr>
          <w:p w14:paraId="6CC8A925" w14:textId="77777777" w:rsidR="000D6168" w:rsidRPr="000A5942" w:rsidRDefault="000D6168" w:rsidP="00323FD6">
            <w:pPr>
              <w:rPr>
                <w:rFonts w:ascii="Calibri" w:hAnsi="Calibri" w:cs="Calibri"/>
              </w:rPr>
            </w:pPr>
            <w:r w:rsidRPr="000A5942">
              <w:rPr>
                <w:rFonts w:ascii="Calibri" w:hAnsi="Calibri" w:cs="Calibri"/>
              </w:rPr>
              <w:t>2</w:t>
            </w:r>
          </w:p>
        </w:tc>
        <w:tc>
          <w:tcPr>
            <w:tcW w:w="311" w:type="pct"/>
            <w:tcBorders>
              <w:top w:val="nil"/>
              <w:left w:val="nil"/>
              <w:bottom w:val="nil"/>
              <w:right w:val="nil"/>
            </w:tcBorders>
            <w:shd w:val="clear" w:color="auto" w:fill="auto"/>
            <w:noWrap/>
            <w:vAlign w:val="center"/>
            <w:hideMark/>
          </w:tcPr>
          <w:p w14:paraId="690DDB36" w14:textId="77777777" w:rsidR="000D6168" w:rsidRPr="000A5942" w:rsidRDefault="000D6168" w:rsidP="00323FD6">
            <w:pPr>
              <w:rPr>
                <w:rFonts w:ascii="Calibri" w:hAnsi="Calibri" w:cs="Calibri"/>
              </w:rPr>
            </w:pPr>
            <w:r w:rsidRPr="000A5942">
              <w:rPr>
                <w:rFonts w:ascii="Calibri" w:hAnsi="Calibri" w:cs="Calibri"/>
              </w:rPr>
              <w:t>56</w:t>
            </w:r>
          </w:p>
        </w:tc>
        <w:tc>
          <w:tcPr>
            <w:tcW w:w="280" w:type="pct"/>
            <w:tcBorders>
              <w:top w:val="nil"/>
              <w:left w:val="nil"/>
              <w:bottom w:val="nil"/>
              <w:right w:val="nil"/>
            </w:tcBorders>
            <w:shd w:val="clear" w:color="auto" w:fill="auto"/>
            <w:noWrap/>
            <w:vAlign w:val="center"/>
            <w:hideMark/>
          </w:tcPr>
          <w:p w14:paraId="539FA0AD" w14:textId="77777777" w:rsidR="000D6168" w:rsidRPr="000A5942" w:rsidRDefault="000D6168" w:rsidP="00323FD6">
            <w:pPr>
              <w:rPr>
                <w:rFonts w:ascii="Calibri" w:hAnsi="Calibri" w:cs="Calibri"/>
              </w:rPr>
            </w:pPr>
            <w:r w:rsidRPr="000A5942">
              <w:rPr>
                <w:rFonts w:ascii="Calibri" w:hAnsi="Calibri" w:cs="Calibri"/>
              </w:rPr>
              <w:t>29.2</w:t>
            </w:r>
          </w:p>
        </w:tc>
        <w:tc>
          <w:tcPr>
            <w:tcW w:w="1040" w:type="pct"/>
            <w:gridSpan w:val="3"/>
            <w:vMerge w:val="restart"/>
            <w:tcBorders>
              <w:top w:val="nil"/>
              <w:left w:val="nil"/>
              <w:right w:val="single" w:sz="4" w:space="0" w:color="auto"/>
            </w:tcBorders>
            <w:shd w:val="clear" w:color="auto" w:fill="auto"/>
            <w:noWrap/>
            <w:vAlign w:val="center"/>
            <w:hideMark/>
          </w:tcPr>
          <w:p w14:paraId="2DE3E291" w14:textId="77777777" w:rsidR="000D6168" w:rsidRPr="000A5942" w:rsidRDefault="000D6168" w:rsidP="00323FD6">
            <w:pPr>
              <w:rPr>
                <w:rFonts w:ascii="Calibri" w:hAnsi="Calibri" w:cs="Calibri"/>
              </w:rPr>
            </w:pPr>
          </w:p>
        </w:tc>
      </w:tr>
      <w:tr w:rsidR="000D6168" w:rsidRPr="000A5942" w14:paraId="26096F6B" w14:textId="77777777" w:rsidTr="00323FD6">
        <w:trPr>
          <w:trHeight w:val="290"/>
          <w:jc w:val="center"/>
        </w:trPr>
        <w:tc>
          <w:tcPr>
            <w:tcW w:w="971" w:type="pct"/>
            <w:gridSpan w:val="2"/>
            <w:vMerge/>
            <w:tcBorders>
              <w:left w:val="single" w:sz="4" w:space="0" w:color="auto"/>
              <w:right w:val="nil"/>
            </w:tcBorders>
            <w:shd w:val="clear" w:color="auto" w:fill="auto"/>
            <w:noWrap/>
            <w:vAlign w:val="center"/>
            <w:hideMark/>
          </w:tcPr>
          <w:p w14:paraId="7B43DD12"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758501E2" w14:textId="77777777" w:rsidR="000D6168" w:rsidRPr="000A5942" w:rsidRDefault="000D6168" w:rsidP="00323FD6">
            <w:pPr>
              <w:rPr>
                <w:rFonts w:ascii="Calibri" w:hAnsi="Calibri" w:cs="Calibri"/>
              </w:rPr>
            </w:pPr>
            <w:r w:rsidRPr="000A5942">
              <w:rPr>
                <w:rFonts w:ascii="Calibri" w:hAnsi="Calibri" w:cs="Calibri"/>
              </w:rPr>
              <w:t>ANG1_gi328751055.2</w:t>
            </w:r>
          </w:p>
        </w:tc>
        <w:tc>
          <w:tcPr>
            <w:tcW w:w="313" w:type="pct"/>
            <w:tcBorders>
              <w:top w:val="nil"/>
              <w:left w:val="nil"/>
              <w:bottom w:val="nil"/>
              <w:right w:val="nil"/>
            </w:tcBorders>
            <w:shd w:val="clear" w:color="auto" w:fill="auto"/>
            <w:noWrap/>
            <w:vAlign w:val="center"/>
            <w:hideMark/>
          </w:tcPr>
          <w:p w14:paraId="0AA62F2B"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246C4609" w14:textId="77777777" w:rsidR="000D6168" w:rsidRPr="000A5942" w:rsidRDefault="000D6168" w:rsidP="00323FD6">
            <w:pPr>
              <w:rPr>
                <w:rFonts w:ascii="Calibri" w:hAnsi="Calibri" w:cs="Calibri"/>
              </w:rPr>
            </w:pPr>
            <w:r w:rsidRPr="000A5942">
              <w:rPr>
                <w:rFonts w:ascii="Calibri" w:hAnsi="Calibri" w:cs="Calibri"/>
              </w:rPr>
              <w:t>Predicted ATP-dependent endonuclease of the OLD family, contains P-loop ATPase and TOPRIM domains</w:t>
            </w:r>
          </w:p>
        </w:tc>
        <w:tc>
          <w:tcPr>
            <w:tcW w:w="625" w:type="pct"/>
            <w:tcBorders>
              <w:top w:val="nil"/>
              <w:left w:val="nil"/>
              <w:bottom w:val="nil"/>
              <w:right w:val="nil"/>
            </w:tcBorders>
            <w:shd w:val="clear" w:color="auto" w:fill="auto"/>
            <w:noWrap/>
            <w:vAlign w:val="center"/>
            <w:hideMark/>
          </w:tcPr>
          <w:p w14:paraId="68C790B2" w14:textId="77777777" w:rsidR="000D6168" w:rsidRPr="000A5942" w:rsidRDefault="000D6168" w:rsidP="00323FD6">
            <w:pPr>
              <w:rPr>
                <w:rFonts w:ascii="Calibri" w:hAnsi="Calibri" w:cs="Calibri"/>
              </w:rPr>
            </w:pPr>
            <w:r w:rsidRPr="000A5942">
              <w:rPr>
                <w:rFonts w:ascii="Calibri" w:hAnsi="Calibri" w:cs="Calibri"/>
              </w:rPr>
              <w:t xml:space="preserve">bifunctional NMN </w:t>
            </w:r>
            <w:proofErr w:type="spellStart"/>
            <w:r w:rsidRPr="000A5942">
              <w:rPr>
                <w:rFonts w:ascii="Calibri" w:hAnsi="Calibri" w:cs="Calibri"/>
              </w:rPr>
              <w:t>adenylyltransferase</w:t>
            </w:r>
            <w:proofErr w:type="spellEnd"/>
            <w:r w:rsidRPr="000A5942">
              <w:rPr>
                <w:rFonts w:ascii="Calibri" w:hAnsi="Calibri" w:cs="Calibri"/>
              </w:rPr>
              <w:t>/</w:t>
            </w:r>
            <w:proofErr w:type="spellStart"/>
            <w:r w:rsidRPr="000A5942">
              <w:rPr>
                <w:rFonts w:ascii="Calibri" w:hAnsi="Calibri" w:cs="Calibri"/>
              </w:rPr>
              <w:t>nudix</w:t>
            </w:r>
            <w:proofErr w:type="spellEnd"/>
            <w:r w:rsidRPr="000A5942">
              <w:rPr>
                <w:rFonts w:ascii="Calibri" w:hAnsi="Calibri" w:cs="Calibri"/>
              </w:rPr>
              <w:t xml:space="preserve"> hydrolase</w:t>
            </w:r>
          </w:p>
        </w:tc>
        <w:tc>
          <w:tcPr>
            <w:tcW w:w="453" w:type="pct"/>
            <w:tcBorders>
              <w:top w:val="nil"/>
              <w:left w:val="nil"/>
              <w:bottom w:val="nil"/>
              <w:right w:val="nil"/>
            </w:tcBorders>
            <w:shd w:val="clear" w:color="auto" w:fill="auto"/>
            <w:noWrap/>
            <w:vAlign w:val="center"/>
            <w:hideMark/>
          </w:tcPr>
          <w:p w14:paraId="4B06FD2A" w14:textId="77777777" w:rsidR="000D6168" w:rsidRPr="000A5942" w:rsidRDefault="000D6168" w:rsidP="00323FD6">
            <w:pPr>
              <w:rPr>
                <w:rFonts w:ascii="Calibri" w:hAnsi="Calibri" w:cs="Calibri"/>
              </w:rPr>
            </w:pPr>
            <w:r w:rsidRPr="000A5942">
              <w:rPr>
                <w:rFonts w:ascii="Calibri" w:hAnsi="Calibri" w:cs="Calibri"/>
              </w:rPr>
              <w:t>1453</w:t>
            </w:r>
          </w:p>
        </w:tc>
        <w:tc>
          <w:tcPr>
            <w:tcW w:w="311" w:type="pct"/>
            <w:tcBorders>
              <w:top w:val="nil"/>
              <w:left w:val="nil"/>
              <w:bottom w:val="nil"/>
              <w:right w:val="nil"/>
            </w:tcBorders>
            <w:shd w:val="clear" w:color="auto" w:fill="auto"/>
            <w:noWrap/>
            <w:vAlign w:val="center"/>
            <w:hideMark/>
          </w:tcPr>
          <w:p w14:paraId="662B21CD" w14:textId="77777777" w:rsidR="000D6168" w:rsidRPr="000A5942" w:rsidRDefault="000D6168" w:rsidP="00323FD6">
            <w:pPr>
              <w:rPr>
                <w:rFonts w:ascii="Calibri" w:hAnsi="Calibri" w:cs="Calibri"/>
              </w:rPr>
            </w:pPr>
            <w:r w:rsidRPr="000A5942">
              <w:rPr>
                <w:rFonts w:ascii="Calibri" w:hAnsi="Calibri" w:cs="Calibri"/>
              </w:rPr>
              <w:t>670</w:t>
            </w:r>
          </w:p>
        </w:tc>
        <w:tc>
          <w:tcPr>
            <w:tcW w:w="280" w:type="pct"/>
            <w:tcBorders>
              <w:top w:val="nil"/>
              <w:left w:val="nil"/>
              <w:bottom w:val="nil"/>
              <w:right w:val="nil"/>
            </w:tcBorders>
            <w:shd w:val="clear" w:color="auto" w:fill="auto"/>
            <w:noWrap/>
            <w:vAlign w:val="center"/>
            <w:hideMark/>
          </w:tcPr>
          <w:p w14:paraId="1FBCA4BE" w14:textId="77777777" w:rsidR="000D6168" w:rsidRPr="000A5942" w:rsidRDefault="000D6168" w:rsidP="00323FD6">
            <w:pPr>
              <w:rPr>
                <w:rFonts w:ascii="Calibri" w:hAnsi="Calibri" w:cs="Calibri"/>
              </w:rPr>
            </w:pPr>
            <w:r w:rsidRPr="000A5942">
              <w:rPr>
                <w:rFonts w:ascii="Calibri" w:hAnsi="Calibri" w:cs="Calibri"/>
              </w:rPr>
              <w:t>11.5</w:t>
            </w:r>
          </w:p>
        </w:tc>
        <w:tc>
          <w:tcPr>
            <w:tcW w:w="1040" w:type="pct"/>
            <w:gridSpan w:val="3"/>
            <w:vMerge/>
            <w:tcBorders>
              <w:left w:val="nil"/>
              <w:right w:val="single" w:sz="4" w:space="0" w:color="auto"/>
            </w:tcBorders>
            <w:shd w:val="clear" w:color="auto" w:fill="auto"/>
            <w:noWrap/>
            <w:vAlign w:val="center"/>
            <w:hideMark/>
          </w:tcPr>
          <w:p w14:paraId="2308DCC0" w14:textId="77777777" w:rsidR="000D6168" w:rsidRPr="000A5942" w:rsidRDefault="000D6168" w:rsidP="00323FD6">
            <w:pPr>
              <w:rPr>
                <w:rFonts w:ascii="Calibri" w:hAnsi="Calibri" w:cs="Calibri"/>
              </w:rPr>
            </w:pPr>
          </w:p>
        </w:tc>
      </w:tr>
      <w:tr w:rsidR="000D6168" w:rsidRPr="000A5942" w14:paraId="489776BD" w14:textId="77777777" w:rsidTr="00323FD6">
        <w:trPr>
          <w:trHeight w:val="290"/>
          <w:jc w:val="center"/>
        </w:trPr>
        <w:tc>
          <w:tcPr>
            <w:tcW w:w="971" w:type="pct"/>
            <w:gridSpan w:val="2"/>
            <w:vMerge/>
            <w:tcBorders>
              <w:left w:val="single" w:sz="4" w:space="0" w:color="auto"/>
              <w:bottom w:val="single" w:sz="4" w:space="0" w:color="auto"/>
              <w:right w:val="nil"/>
            </w:tcBorders>
            <w:shd w:val="clear" w:color="auto" w:fill="auto"/>
            <w:noWrap/>
            <w:vAlign w:val="center"/>
            <w:hideMark/>
          </w:tcPr>
          <w:p w14:paraId="53042227"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609F1A8B" w14:textId="77777777" w:rsidR="000D6168" w:rsidRPr="000A5942" w:rsidRDefault="000D6168" w:rsidP="00323FD6">
            <w:pPr>
              <w:rPr>
                <w:rFonts w:ascii="Calibri" w:hAnsi="Calibri" w:cs="Calibri"/>
              </w:rPr>
            </w:pPr>
            <w:r w:rsidRPr="000A5942">
              <w:rPr>
                <w:rFonts w:ascii="Calibri" w:hAnsi="Calibri" w:cs="Calibri"/>
              </w:rPr>
              <w:t>ANG1_gi328751025.32</w:t>
            </w:r>
          </w:p>
        </w:tc>
        <w:tc>
          <w:tcPr>
            <w:tcW w:w="313" w:type="pct"/>
            <w:tcBorders>
              <w:top w:val="nil"/>
              <w:left w:val="nil"/>
              <w:bottom w:val="single" w:sz="4" w:space="0" w:color="auto"/>
              <w:right w:val="nil"/>
            </w:tcBorders>
            <w:shd w:val="clear" w:color="auto" w:fill="auto"/>
            <w:noWrap/>
            <w:vAlign w:val="center"/>
            <w:hideMark/>
          </w:tcPr>
          <w:p w14:paraId="52CA214F"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2F6CB33C"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625" w:type="pct"/>
            <w:tcBorders>
              <w:top w:val="nil"/>
              <w:left w:val="nil"/>
              <w:bottom w:val="single" w:sz="4" w:space="0" w:color="auto"/>
              <w:right w:val="nil"/>
            </w:tcBorders>
            <w:shd w:val="clear" w:color="auto" w:fill="auto"/>
            <w:noWrap/>
            <w:vAlign w:val="center"/>
            <w:hideMark/>
          </w:tcPr>
          <w:p w14:paraId="7824CEF9" w14:textId="77777777" w:rsidR="000D6168" w:rsidRPr="000A5942" w:rsidRDefault="000D6168" w:rsidP="00323FD6">
            <w:pPr>
              <w:rPr>
                <w:rFonts w:ascii="Calibri" w:hAnsi="Calibri" w:cs="Calibri"/>
              </w:rPr>
            </w:pPr>
            <w:r w:rsidRPr="000A5942">
              <w:rPr>
                <w:rFonts w:ascii="Calibri" w:hAnsi="Calibri" w:cs="Calibri"/>
              </w:rPr>
              <w:t>uridylate kinase</w:t>
            </w:r>
          </w:p>
        </w:tc>
        <w:tc>
          <w:tcPr>
            <w:tcW w:w="453" w:type="pct"/>
            <w:tcBorders>
              <w:top w:val="nil"/>
              <w:left w:val="nil"/>
              <w:bottom w:val="single" w:sz="4" w:space="0" w:color="auto"/>
              <w:right w:val="nil"/>
            </w:tcBorders>
            <w:shd w:val="clear" w:color="auto" w:fill="auto"/>
            <w:noWrap/>
            <w:vAlign w:val="center"/>
            <w:hideMark/>
          </w:tcPr>
          <w:p w14:paraId="37251FEB" w14:textId="77777777" w:rsidR="000D6168" w:rsidRPr="000A5942" w:rsidRDefault="000D6168" w:rsidP="00323FD6">
            <w:pPr>
              <w:rPr>
                <w:rFonts w:ascii="Calibri" w:hAnsi="Calibri" w:cs="Calibri"/>
              </w:rPr>
            </w:pPr>
            <w:r w:rsidRPr="000A5942">
              <w:rPr>
                <w:rFonts w:ascii="Calibri" w:hAnsi="Calibri" w:cs="Calibri"/>
              </w:rPr>
              <w:t>2245</w:t>
            </w:r>
          </w:p>
        </w:tc>
        <w:tc>
          <w:tcPr>
            <w:tcW w:w="311" w:type="pct"/>
            <w:tcBorders>
              <w:top w:val="nil"/>
              <w:left w:val="nil"/>
              <w:bottom w:val="single" w:sz="4" w:space="0" w:color="auto"/>
              <w:right w:val="nil"/>
            </w:tcBorders>
            <w:shd w:val="clear" w:color="auto" w:fill="auto"/>
            <w:noWrap/>
            <w:vAlign w:val="center"/>
            <w:hideMark/>
          </w:tcPr>
          <w:p w14:paraId="26463EC8" w14:textId="77777777" w:rsidR="000D6168" w:rsidRPr="000A5942" w:rsidRDefault="000D6168" w:rsidP="00323FD6">
            <w:pPr>
              <w:rPr>
                <w:rFonts w:ascii="Calibri" w:hAnsi="Calibri" w:cs="Calibri"/>
              </w:rPr>
            </w:pPr>
            <w:r w:rsidRPr="000A5942">
              <w:rPr>
                <w:rFonts w:ascii="Calibri" w:hAnsi="Calibri" w:cs="Calibri"/>
              </w:rPr>
              <w:t>6360</w:t>
            </w:r>
          </w:p>
        </w:tc>
        <w:tc>
          <w:tcPr>
            <w:tcW w:w="280" w:type="pct"/>
            <w:tcBorders>
              <w:top w:val="nil"/>
              <w:left w:val="nil"/>
              <w:bottom w:val="single" w:sz="4" w:space="0" w:color="auto"/>
              <w:right w:val="nil"/>
            </w:tcBorders>
            <w:shd w:val="clear" w:color="auto" w:fill="auto"/>
            <w:noWrap/>
            <w:vAlign w:val="center"/>
            <w:hideMark/>
          </w:tcPr>
          <w:p w14:paraId="6FE35246" w14:textId="77777777" w:rsidR="000D6168" w:rsidRPr="000A5942" w:rsidRDefault="000D6168" w:rsidP="00323FD6">
            <w:pPr>
              <w:rPr>
                <w:rFonts w:ascii="Calibri" w:hAnsi="Calibri" w:cs="Calibri"/>
              </w:rPr>
            </w:pPr>
            <w:r w:rsidRPr="000A5942">
              <w:rPr>
                <w:rFonts w:ascii="Calibri" w:hAnsi="Calibri" w:cs="Calibri"/>
              </w:rPr>
              <w:t>11.3</w:t>
            </w:r>
          </w:p>
        </w:tc>
        <w:tc>
          <w:tcPr>
            <w:tcW w:w="1040" w:type="pct"/>
            <w:gridSpan w:val="3"/>
            <w:vMerge/>
            <w:tcBorders>
              <w:left w:val="nil"/>
              <w:bottom w:val="single" w:sz="4" w:space="0" w:color="auto"/>
              <w:right w:val="single" w:sz="4" w:space="0" w:color="auto"/>
            </w:tcBorders>
            <w:shd w:val="clear" w:color="auto" w:fill="auto"/>
            <w:noWrap/>
            <w:vAlign w:val="center"/>
            <w:hideMark/>
          </w:tcPr>
          <w:p w14:paraId="7ED83C8A" w14:textId="77777777" w:rsidR="000D6168" w:rsidRPr="000A5942" w:rsidRDefault="000D6168" w:rsidP="00323FD6">
            <w:pPr>
              <w:rPr>
                <w:rFonts w:ascii="Calibri" w:hAnsi="Calibri" w:cs="Calibri"/>
              </w:rPr>
            </w:pPr>
          </w:p>
        </w:tc>
      </w:tr>
      <w:tr w:rsidR="000D6168" w:rsidRPr="000A5942" w14:paraId="46D56D56"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75B30D32" w14:textId="77777777" w:rsidR="000D6168" w:rsidRPr="000A5942" w:rsidRDefault="000D6168" w:rsidP="00323FD6">
            <w:pPr>
              <w:rPr>
                <w:rFonts w:ascii="Calibri" w:hAnsi="Calibri" w:cs="Calibri"/>
              </w:rPr>
            </w:pPr>
            <w:r w:rsidRPr="000A5942">
              <w:rPr>
                <w:rFonts w:ascii="Calibri" w:hAnsi="Calibri" w:cs="Calibri"/>
              </w:rPr>
              <w:t>2657245004</w:t>
            </w:r>
          </w:p>
        </w:tc>
        <w:tc>
          <w:tcPr>
            <w:tcW w:w="452" w:type="pct"/>
            <w:tcBorders>
              <w:top w:val="nil"/>
              <w:left w:val="nil"/>
              <w:bottom w:val="nil"/>
              <w:right w:val="nil"/>
            </w:tcBorders>
            <w:shd w:val="clear" w:color="auto" w:fill="auto"/>
            <w:noWrap/>
            <w:vAlign w:val="center"/>
            <w:hideMark/>
          </w:tcPr>
          <w:p w14:paraId="710E1D83" w14:textId="77777777" w:rsidR="000D6168" w:rsidRPr="000A5942" w:rsidRDefault="000D6168" w:rsidP="00323FD6">
            <w:pPr>
              <w:rPr>
                <w:rFonts w:ascii="Calibri" w:hAnsi="Calibri" w:cs="Calibri"/>
              </w:rPr>
            </w:pPr>
            <w:proofErr w:type="spellStart"/>
            <w:r w:rsidRPr="000A5942">
              <w:rPr>
                <w:rFonts w:ascii="Calibri" w:hAnsi="Calibri" w:cs="Calibri"/>
              </w:rPr>
              <w:t>Leisingera</w:t>
            </w:r>
            <w:proofErr w:type="spellEnd"/>
            <w:r w:rsidRPr="000A5942">
              <w:rPr>
                <w:rFonts w:ascii="Calibri" w:hAnsi="Calibri" w:cs="Calibri"/>
              </w:rPr>
              <w:t xml:space="preserve"> sp. ANG-DT</w:t>
            </w:r>
          </w:p>
        </w:tc>
        <w:tc>
          <w:tcPr>
            <w:tcW w:w="347" w:type="pct"/>
            <w:tcBorders>
              <w:top w:val="nil"/>
              <w:left w:val="nil"/>
              <w:bottom w:val="nil"/>
              <w:right w:val="nil"/>
            </w:tcBorders>
            <w:shd w:val="clear" w:color="auto" w:fill="auto"/>
            <w:noWrap/>
            <w:vAlign w:val="center"/>
            <w:hideMark/>
          </w:tcPr>
          <w:p w14:paraId="458F2F96" w14:textId="77777777" w:rsidR="000D6168" w:rsidRPr="000A5942" w:rsidRDefault="000D6168" w:rsidP="00323FD6">
            <w:pPr>
              <w:rPr>
                <w:rFonts w:ascii="Calibri" w:hAnsi="Calibri" w:cs="Calibri"/>
              </w:rPr>
            </w:pPr>
            <w:r w:rsidRPr="000A5942">
              <w:rPr>
                <w:rFonts w:ascii="Calibri" w:hAnsi="Calibri" w:cs="Calibri"/>
              </w:rPr>
              <w:t>Ga0112991_111</w:t>
            </w:r>
          </w:p>
        </w:tc>
        <w:tc>
          <w:tcPr>
            <w:tcW w:w="313" w:type="pct"/>
            <w:tcBorders>
              <w:top w:val="nil"/>
              <w:left w:val="nil"/>
              <w:bottom w:val="nil"/>
              <w:right w:val="nil"/>
            </w:tcBorders>
            <w:shd w:val="clear" w:color="auto" w:fill="auto"/>
            <w:noWrap/>
            <w:vAlign w:val="center"/>
            <w:hideMark/>
          </w:tcPr>
          <w:p w14:paraId="21217738"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1BE75E23"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625" w:type="pct"/>
            <w:tcBorders>
              <w:top w:val="nil"/>
              <w:left w:val="nil"/>
              <w:bottom w:val="nil"/>
              <w:right w:val="nil"/>
            </w:tcBorders>
            <w:shd w:val="clear" w:color="auto" w:fill="auto"/>
            <w:noWrap/>
            <w:vAlign w:val="center"/>
            <w:hideMark/>
          </w:tcPr>
          <w:p w14:paraId="16132070" w14:textId="77777777" w:rsidR="000D6168" w:rsidRPr="000A5942" w:rsidRDefault="000D6168" w:rsidP="00323FD6">
            <w:pPr>
              <w:rPr>
                <w:rFonts w:ascii="Calibri" w:hAnsi="Calibri" w:cs="Calibri"/>
              </w:rPr>
            </w:pPr>
            <w:r w:rsidRPr="000A5942">
              <w:rPr>
                <w:rFonts w:ascii="Calibri" w:hAnsi="Calibri" w:cs="Calibri"/>
              </w:rPr>
              <w:t xml:space="preserve"> (R)-</w:t>
            </w:r>
            <w:proofErr w:type="spellStart"/>
            <w:r w:rsidRPr="000A5942">
              <w:rPr>
                <w:rFonts w:ascii="Calibri" w:hAnsi="Calibri" w:cs="Calibri"/>
              </w:rPr>
              <w:t>ethylmalonyl</w:t>
            </w:r>
            <w:proofErr w:type="spellEnd"/>
            <w:r w:rsidRPr="000A5942">
              <w:rPr>
                <w:rFonts w:ascii="Calibri" w:hAnsi="Calibri" w:cs="Calibri"/>
              </w:rPr>
              <w:t>-CoA mutase</w:t>
            </w:r>
          </w:p>
        </w:tc>
        <w:tc>
          <w:tcPr>
            <w:tcW w:w="453" w:type="pct"/>
            <w:tcBorders>
              <w:top w:val="nil"/>
              <w:left w:val="nil"/>
              <w:bottom w:val="nil"/>
              <w:right w:val="nil"/>
            </w:tcBorders>
            <w:shd w:val="clear" w:color="auto" w:fill="auto"/>
            <w:noWrap/>
            <w:vAlign w:val="center"/>
            <w:hideMark/>
          </w:tcPr>
          <w:p w14:paraId="76D0133E" w14:textId="77777777" w:rsidR="000D6168" w:rsidRPr="000A5942" w:rsidRDefault="000D6168" w:rsidP="00323FD6">
            <w:pPr>
              <w:rPr>
                <w:rFonts w:ascii="Calibri" w:hAnsi="Calibri" w:cs="Calibri"/>
              </w:rPr>
            </w:pPr>
            <w:r w:rsidRPr="000A5942">
              <w:rPr>
                <w:rFonts w:ascii="Calibri" w:hAnsi="Calibri" w:cs="Calibri"/>
              </w:rPr>
              <w:t>3060</w:t>
            </w:r>
          </w:p>
        </w:tc>
        <w:tc>
          <w:tcPr>
            <w:tcW w:w="311" w:type="pct"/>
            <w:tcBorders>
              <w:top w:val="nil"/>
              <w:left w:val="nil"/>
              <w:bottom w:val="nil"/>
              <w:right w:val="nil"/>
            </w:tcBorders>
            <w:shd w:val="clear" w:color="auto" w:fill="auto"/>
            <w:noWrap/>
            <w:vAlign w:val="center"/>
            <w:hideMark/>
          </w:tcPr>
          <w:p w14:paraId="277F3852" w14:textId="77777777" w:rsidR="000D6168" w:rsidRPr="000A5942" w:rsidRDefault="000D6168" w:rsidP="00323FD6">
            <w:pPr>
              <w:rPr>
                <w:rFonts w:ascii="Calibri" w:hAnsi="Calibri" w:cs="Calibri"/>
              </w:rPr>
            </w:pPr>
            <w:r w:rsidRPr="000A5942">
              <w:rPr>
                <w:rFonts w:ascii="Calibri" w:hAnsi="Calibri" w:cs="Calibri"/>
              </w:rPr>
              <w:t>4122</w:t>
            </w:r>
          </w:p>
        </w:tc>
        <w:tc>
          <w:tcPr>
            <w:tcW w:w="280" w:type="pct"/>
            <w:tcBorders>
              <w:top w:val="nil"/>
              <w:left w:val="nil"/>
              <w:bottom w:val="nil"/>
              <w:right w:val="nil"/>
            </w:tcBorders>
            <w:shd w:val="clear" w:color="auto" w:fill="auto"/>
            <w:noWrap/>
            <w:vAlign w:val="center"/>
            <w:hideMark/>
          </w:tcPr>
          <w:p w14:paraId="56A072EF" w14:textId="77777777" w:rsidR="000D6168" w:rsidRPr="000A5942" w:rsidRDefault="000D6168" w:rsidP="00323FD6">
            <w:pPr>
              <w:rPr>
                <w:rFonts w:ascii="Calibri" w:hAnsi="Calibri" w:cs="Calibri"/>
              </w:rPr>
            </w:pPr>
            <w:r w:rsidRPr="000A5942">
              <w:rPr>
                <w:rFonts w:ascii="Calibri" w:hAnsi="Calibri" w:cs="Calibri"/>
              </w:rPr>
              <w:t>38.8</w:t>
            </w:r>
          </w:p>
        </w:tc>
        <w:tc>
          <w:tcPr>
            <w:tcW w:w="347" w:type="pct"/>
            <w:tcBorders>
              <w:top w:val="nil"/>
              <w:left w:val="nil"/>
              <w:bottom w:val="nil"/>
              <w:right w:val="nil"/>
            </w:tcBorders>
            <w:shd w:val="clear" w:color="auto" w:fill="auto"/>
            <w:noWrap/>
            <w:vAlign w:val="center"/>
            <w:hideMark/>
          </w:tcPr>
          <w:p w14:paraId="64663029" w14:textId="77777777" w:rsidR="000D6168" w:rsidRPr="000A5942" w:rsidRDefault="000D6168" w:rsidP="00323FD6">
            <w:pPr>
              <w:rPr>
                <w:rFonts w:ascii="Calibri" w:hAnsi="Calibri" w:cs="Calibri"/>
              </w:rPr>
            </w:pPr>
            <w:r w:rsidRPr="000A5942">
              <w:rPr>
                <w:rFonts w:ascii="Calibri" w:hAnsi="Calibri" w:cs="Calibri"/>
              </w:rPr>
              <w:t>3</w:t>
            </w:r>
          </w:p>
        </w:tc>
        <w:tc>
          <w:tcPr>
            <w:tcW w:w="313" w:type="pct"/>
            <w:tcBorders>
              <w:top w:val="nil"/>
              <w:left w:val="nil"/>
              <w:bottom w:val="nil"/>
              <w:right w:val="nil"/>
            </w:tcBorders>
            <w:shd w:val="clear" w:color="auto" w:fill="auto"/>
            <w:noWrap/>
            <w:vAlign w:val="center"/>
            <w:hideMark/>
          </w:tcPr>
          <w:p w14:paraId="3F527FF8" w14:textId="77777777" w:rsidR="000D6168" w:rsidRPr="000A5942" w:rsidRDefault="000D6168" w:rsidP="00323FD6">
            <w:pPr>
              <w:rPr>
                <w:rFonts w:ascii="Calibri" w:hAnsi="Calibri" w:cs="Calibri"/>
              </w:rPr>
            </w:pPr>
            <w:r w:rsidRPr="000A5942">
              <w:rPr>
                <w:rFonts w:ascii="Calibri" w:hAnsi="Calibri" w:cs="Calibri"/>
              </w:rPr>
              <w:t>4417</w:t>
            </w:r>
          </w:p>
        </w:tc>
        <w:tc>
          <w:tcPr>
            <w:tcW w:w="380" w:type="pct"/>
            <w:tcBorders>
              <w:top w:val="nil"/>
              <w:left w:val="nil"/>
              <w:bottom w:val="nil"/>
              <w:right w:val="single" w:sz="4" w:space="0" w:color="auto"/>
            </w:tcBorders>
            <w:shd w:val="clear" w:color="auto" w:fill="auto"/>
            <w:noWrap/>
            <w:vAlign w:val="center"/>
            <w:hideMark/>
          </w:tcPr>
          <w:p w14:paraId="5B041639" w14:textId="77777777" w:rsidR="000D6168" w:rsidRPr="000A5942" w:rsidRDefault="000D6168" w:rsidP="00323FD6">
            <w:pPr>
              <w:rPr>
                <w:rFonts w:ascii="Calibri" w:hAnsi="Calibri" w:cs="Calibri"/>
              </w:rPr>
            </w:pPr>
            <w:r w:rsidRPr="000A5942">
              <w:rPr>
                <w:rFonts w:ascii="Calibri" w:hAnsi="Calibri" w:cs="Calibri"/>
              </w:rPr>
              <w:t xml:space="preserve"> 0.0679%</w:t>
            </w:r>
          </w:p>
        </w:tc>
      </w:tr>
      <w:tr w:rsidR="000D6168" w:rsidRPr="000A5942" w14:paraId="1AB88B17" w14:textId="77777777" w:rsidTr="00323FD6">
        <w:trPr>
          <w:trHeight w:val="290"/>
          <w:jc w:val="center"/>
        </w:trPr>
        <w:tc>
          <w:tcPr>
            <w:tcW w:w="971" w:type="pct"/>
            <w:gridSpan w:val="2"/>
            <w:vMerge w:val="restart"/>
            <w:tcBorders>
              <w:top w:val="nil"/>
              <w:left w:val="single" w:sz="4" w:space="0" w:color="auto"/>
              <w:right w:val="nil"/>
            </w:tcBorders>
            <w:shd w:val="clear" w:color="auto" w:fill="auto"/>
            <w:noWrap/>
            <w:vAlign w:val="center"/>
            <w:hideMark/>
          </w:tcPr>
          <w:p w14:paraId="04D053EA"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472FD90D" w14:textId="77777777" w:rsidR="000D6168" w:rsidRPr="000A5942" w:rsidRDefault="000D6168" w:rsidP="00323FD6">
            <w:pPr>
              <w:rPr>
                <w:rFonts w:ascii="Calibri" w:hAnsi="Calibri" w:cs="Calibri"/>
              </w:rPr>
            </w:pPr>
            <w:r w:rsidRPr="000A5942">
              <w:rPr>
                <w:rFonts w:ascii="Calibri" w:hAnsi="Calibri" w:cs="Calibri"/>
              </w:rPr>
              <w:t>Ga0112991_111</w:t>
            </w:r>
          </w:p>
        </w:tc>
        <w:tc>
          <w:tcPr>
            <w:tcW w:w="313" w:type="pct"/>
            <w:tcBorders>
              <w:top w:val="nil"/>
              <w:left w:val="nil"/>
              <w:bottom w:val="nil"/>
              <w:right w:val="nil"/>
            </w:tcBorders>
            <w:shd w:val="clear" w:color="auto" w:fill="auto"/>
            <w:noWrap/>
            <w:vAlign w:val="center"/>
            <w:hideMark/>
          </w:tcPr>
          <w:p w14:paraId="11A6A589"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41293C21" w14:textId="77777777" w:rsidR="000D6168" w:rsidRPr="000A5942" w:rsidRDefault="000D6168" w:rsidP="00323FD6">
            <w:pPr>
              <w:rPr>
                <w:rFonts w:ascii="Calibri" w:hAnsi="Calibri" w:cs="Calibri"/>
              </w:rPr>
            </w:pPr>
            <w:r w:rsidRPr="000A5942">
              <w:rPr>
                <w:rFonts w:ascii="Calibri" w:hAnsi="Calibri" w:cs="Calibri"/>
              </w:rPr>
              <w:t>acyl homoserine lactone synthase</w:t>
            </w:r>
          </w:p>
        </w:tc>
        <w:tc>
          <w:tcPr>
            <w:tcW w:w="625" w:type="pct"/>
            <w:tcBorders>
              <w:top w:val="nil"/>
              <w:left w:val="nil"/>
              <w:bottom w:val="nil"/>
              <w:right w:val="nil"/>
            </w:tcBorders>
            <w:shd w:val="clear" w:color="auto" w:fill="auto"/>
            <w:noWrap/>
            <w:vAlign w:val="center"/>
            <w:hideMark/>
          </w:tcPr>
          <w:p w14:paraId="65F4A324"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regulator, </w:t>
            </w:r>
            <w:proofErr w:type="spellStart"/>
            <w:r w:rsidRPr="000A5942">
              <w:rPr>
                <w:rFonts w:ascii="Calibri" w:hAnsi="Calibri" w:cs="Calibri"/>
              </w:rPr>
              <w:t>CsgD</w:t>
            </w:r>
            <w:proofErr w:type="spellEnd"/>
            <w:r w:rsidRPr="000A5942">
              <w:rPr>
                <w:rFonts w:ascii="Calibri" w:hAnsi="Calibri" w:cs="Calibri"/>
              </w:rPr>
              <w:t xml:space="preserve"> family</w:t>
            </w:r>
          </w:p>
        </w:tc>
        <w:tc>
          <w:tcPr>
            <w:tcW w:w="453" w:type="pct"/>
            <w:tcBorders>
              <w:top w:val="nil"/>
              <w:left w:val="nil"/>
              <w:bottom w:val="nil"/>
              <w:right w:val="nil"/>
            </w:tcBorders>
            <w:shd w:val="clear" w:color="auto" w:fill="auto"/>
            <w:noWrap/>
            <w:vAlign w:val="center"/>
            <w:hideMark/>
          </w:tcPr>
          <w:p w14:paraId="75237E28" w14:textId="77777777" w:rsidR="000D6168" w:rsidRPr="000A5942" w:rsidRDefault="000D6168" w:rsidP="00323FD6">
            <w:pPr>
              <w:rPr>
                <w:rFonts w:ascii="Calibri" w:hAnsi="Calibri" w:cs="Calibri"/>
              </w:rPr>
            </w:pPr>
            <w:r w:rsidRPr="000A5942">
              <w:rPr>
                <w:rFonts w:ascii="Calibri" w:hAnsi="Calibri" w:cs="Calibri"/>
              </w:rPr>
              <w:t>2</w:t>
            </w:r>
          </w:p>
        </w:tc>
        <w:tc>
          <w:tcPr>
            <w:tcW w:w="311" w:type="pct"/>
            <w:tcBorders>
              <w:top w:val="nil"/>
              <w:left w:val="nil"/>
              <w:bottom w:val="nil"/>
              <w:right w:val="nil"/>
            </w:tcBorders>
            <w:shd w:val="clear" w:color="auto" w:fill="auto"/>
            <w:noWrap/>
            <w:vAlign w:val="center"/>
            <w:hideMark/>
          </w:tcPr>
          <w:p w14:paraId="6DABBBD1" w14:textId="77777777" w:rsidR="000D6168" w:rsidRPr="000A5942" w:rsidRDefault="000D6168" w:rsidP="00323FD6">
            <w:pPr>
              <w:rPr>
                <w:rFonts w:ascii="Calibri" w:hAnsi="Calibri" w:cs="Calibri"/>
              </w:rPr>
            </w:pPr>
            <w:r w:rsidRPr="000A5942">
              <w:rPr>
                <w:rFonts w:ascii="Calibri" w:hAnsi="Calibri" w:cs="Calibri"/>
              </w:rPr>
              <w:t>56</w:t>
            </w:r>
          </w:p>
        </w:tc>
        <w:tc>
          <w:tcPr>
            <w:tcW w:w="280" w:type="pct"/>
            <w:tcBorders>
              <w:top w:val="nil"/>
              <w:left w:val="nil"/>
              <w:bottom w:val="nil"/>
              <w:right w:val="nil"/>
            </w:tcBorders>
            <w:shd w:val="clear" w:color="auto" w:fill="auto"/>
            <w:noWrap/>
            <w:vAlign w:val="center"/>
            <w:hideMark/>
          </w:tcPr>
          <w:p w14:paraId="7051215B" w14:textId="77777777" w:rsidR="000D6168" w:rsidRPr="000A5942" w:rsidRDefault="000D6168" w:rsidP="00323FD6">
            <w:pPr>
              <w:rPr>
                <w:rFonts w:ascii="Calibri" w:hAnsi="Calibri" w:cs="Calibri"/>
              </w:rPr>
            </w:pPr>
            <w:r w:rsidRPr="000A5942">
              <w:rPr>
                <w:rFonts w:ascii="Calibri" w:hAnsi="Calibri" w:cs="Calibri"/>
              </w:rPr>
              <w:t>29.2</w:t>
            </w:r>
          </w:p>
        </w:tc>
        <w:tc>
          <w:tcPr>
            <w:tcW w:w="1040" w:type="pct"/>
            <w:gridSpan w:val="3"/>
            <w:vMerge w:val="restart"/>
            <w:tcBorders>
              <w:top w:val="nil"/>
              <w:left w:val="nil"/>
              <w:right w:val="single" w:sz="4" w:space="0" w:color="auto"/>
            </w:tcBorders>
            <w:shd w:val="clear" w:color="auto" w:fill="auto"/>
            <w:noWrap/>
            <w:vAlign w:val="center"/>
            <w:hideMark/>
          </w:tcPr>
          <w:p w14:paraId="73799791" w14:textId="77777777" w:rsidR="000D6168" w:rsidRPr="000A5942" w:rsidRDefault="000D6168" w:rsidP="00323FD6">
            <w:pPr>
              <w:rPr>
                <w:rFonts w:ascii="Calibri" w:hAnsi="Calibri" w:cs="Calibri"/>
              </w:rPr>
            </w:pPr>
          </w:p>
        </w:tc>
      </w:tr>
      <w:tr w:rsidR="000D6168" w:rsidRPr="000A5942" w14:paraId="690E1D28" w14:textId="77777777" w:rsidTr="00323FD6">
        <w:trPr>
          <w:trHeight w:val="290"/>
          <w:jc w:val="center"/>
        </w:trPr>
        <w:tc>
          <w:tcPr>
            <w:tcW w:w="971" w:type="pct"/>
            <w:gridSpan w:val="2"/>
            <w:vMerge/>
            <w:tcBorders>
              <w:left w:val="single" w:sz="4" w:space="0" w:color="auto"/>
              <w:bottom w:val="single" w:sz="4" w:space="0" w:color="auto"/>
              <w:right w:val="nil"/>
            </w:tcBorders>
            <w:shd w:val="clear" w:color="auto" w:fill="auto"/>
            <w:noWrap/>
            <w:vAlign w:val="center"/>
            <w:hideMark/>
          </w:tcPr>
          <w:p w14:paraId="34BCBD1C"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47AFA726" w14:textId="77777777" w:rsidR="000D6168" w:rsidRPr="000A5942" w:rsidRDefault="000D6168" w:rsidP="00323FD6">
            <w:pPr>
              <w:rPr>
                <w:rFonts w:ascii="Calibri" w:hAnsi="Calibri" w:cs="Calibri"/>
              </w:rPr>
            </w:pPr>
            <w:r w:rsidRPr="000A5942">
              <w:rPr>
                <w:rFonts w:ascii="Calibri" w:hAnsi="Calibri" w:cs="Calibri"/>
              </w:rPr>
              <w:t>Ga0112991_101</w:t>
            </w:r>
          </w:p>
        </w:tc>
        <w:tc>
          <w:tcPr>
            <w:tcW w:w="313" w:type="pct"/>
            <w:tcBorders>
              <w:top w:val="nil"/>
              <w:left w:val="nil"/>
              <w:bottom w:val="single" w:sz="4" w:space="0" w:color="auto"/>
              <w:right w:val="nil"/>
            </w:tcBorders>
            <w:shd w:val="clear" w:color="auto" w:fill="auto"/>
            <w:noWrap/>
            <w:vAlign w:val="center"/>
            <w:hideMark/>
          </w:tcPr>
          <w:p w14:paraId="38AC3DB0"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42C75D75"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625" w:type="pct"/>
            <w:tcBorders>
              <w:top w:val="nil"/>
              <w:left w:val="nil"/>
              <w:bottom w:val="single" w:sz="4" w:space="0" w:color="auto"/>
              <w:right w:val="nil"/>
            </w:tcBorders>
            <w:shd w:val="clear" w:color="auto" w:fill="auto"/>
            <w:noWrap/>
            <w:vAlign w:val="center"/>
            <w:hideMark/>
          </w:tcPr>
          <w:p w14:paraId="75592725" w14:textId="77777777" w:rsidR="000D6168" w:rsidRPr="000A5942" w:rsidRDefault="000D6168" w:rsidP="00323FD6">
            <w:pPr>
              <w:rPr>
                <w:rFonts w:ascii="Calibri" w:hAnsi="Calibri" w:cs="Calibri"/>
              </w:rPr>
            </w:pPr>
            <w:r w:rsidRPr="000A5942">
              <w:rPr>
                <w:rFonts w:ascii="Calibri" w:hAnsi="Calibri" w:cs="Calibri"/>
              </w:rPr>
              <w:t xml:space="preserve"> uridylate kinase</w:t>
            </w:r>
          </w:p>
        </w:tc>
        <w:tc>
          <w:tcPr>
            <w:tcW w:w="453" w:type="pct"/>
            <w:tcBorders>
              <w:top w:val="nil"/>
              <w:left w:val="nil"/>
              <w:bottom w:val="single" w:sz="4" w:space="0" w:color="auto"/>
              <w:right w:val="nil"/>
            </w:tcBorders>
            <w:shd w:val="clear" w:color="auto" w:fill="auto"/>
            <w:noWrap/>
            <w:vAlign w:val="center"/>
            <w:hideMark/>
          </w:tcPr>
          <w:p w14:paraId="783FA7E1" w14:textId="77777777" w:rsidR="000D6168" w:rsidRPr="000A5942" w:rsidRDefault="000D6168" w:rsidP="00323FD6">
            <w:pPr>
              <w:rPr>
                <w:rFonts w:ascii="Calibri" w:hAnsi="Calibri" w:cs="Calibri"/>
              </w:rPr>
            </w:pPr>
            <w:r w:rsidRPr="000A5942">
              <w:rPr>
                <w:rFonts w:ascii="Calibri" w:hAnsi="Calibri" w:cs="Calibri"/>
              </w:rPr>
              <w:t>2245</w:t>
            </w:r>
          </w:p>
        </w:tc>
        <w:tc>
          <w:tcPr>
            <w:tcW w:w="311" w:type="pct"/>
            <w:tcBorders>
              <w:top w:val="nil"/>
              <w:left w:val="nil"/>
              <w:bottom w:val="single" w:sz="4" w:space="0" w:color="auto"/>
              <w:right w:val="nil"/>
            </w:tcBorders>
            <w:shd w:val="clear" w:color="auto" w:fill="auto"/>
            <w:noWrap/>
            <w:vAlign w:val="center"/>
            <w:hideMark/>
          </w:tcPr>
          <w:p w14:paraId="3D18633E" w14:textId="77777777" w:rsidR="000D6168" w:rsidRPr="000A5942" w:rsidRDefault="000D6168" w:rsidP="00323FD6">
            <w:pPr>
              <w:rPr>
                <w:rFonts w:ascii="Calibri" w:hAnsi="Calibri" w:cs="Calibri"/>
              </w:rPr>
            </w:pPr>
            <w:r w:rsidRPr="000A5942">
              <w:rPr>
                <w:rFonts w:ascii="Calibri" w:hAnsi="Calibri" w:cs="Calibri"/>
              </w:rPr>
              <w:t>6360</w:t>
            </w:r>
          </w:p>
        </w:tc>
        <w:tc>
          <w:tcPr>
            <w:tcW w:w="280" w:type="pct"/>
            <w:tcBorders>
              <w:top w:val="nil"/>
              <w:left w:val="nil"/>
              <w:bottom w:val="single" w:sz="4" w:space="0" w:color="auto"/>
              <w:right w:val="nil"/>
            </w:tcBorders>
            <w:shd w:val="clear" w:color="auto" w:fill="auto"/>
            <w:noWrap/>
            <w:vAlign w:val="center"/>
            <w:hideMark/>
          </w:tcPr>
          <w:p w14:paraId="6BA408C7" w14:textId="77777777" w:rsidR="000D6168" w:rsidRPr="000A5942" w:rsidRDefault="000D6168" w:rsidP="00323FD6">
            <w:pPr>
              <w:rPr>
                <w:rFonts w:ascii="Calibri" w:hAnsi="Calibri" w:cs="Calibri"/>
              </w:rPr>
            </w:pPr>
            <w:r w:rsidRPr="000A5942">
              <w:rPr>
                <w:rFonts w:ascii="Calibri" w:hAnsi="Calibri" w:cs="Calibri"/>
              </w:rPr>
              <w:t>13</w:t>
            </w:r>
          </w:p>
        </w:tc>
        <w:tc>
          <w:tcPr>
            <w:tcW w:w="1040" w:type="pct"/>
            <w:gridSpan w:val="3"/>
            <w:vMerge/>
            <w:tcBorders>
              <w:left w:val="nil"/>
              <w:bottom w:val="single" w:sz="4" w:space="0" w:color="auto"/>
              <w:right w:val="single" w:sz="4" w:space="0" w:color="auto"/>
            </w:tcBorders>
            <w:shd w:val="clear" w:color="auto" w:fill="auto"/>
            <w:noWrap/>
            <w:vAlign w:val="center"/>
            <w:hideMark/>
          </w:tcPr>
          <w:p w14:paraId="0EF1B088" w14:textId="77777777" w:rsidR="000D6168" w:rsidRPr="000A5942" w:rsidRDefault="000D6168" w:rsidP="00323FD6">
            <w:pPr>
              <w:rPr>
                <w:rFonts w:ascii="Calibri" w:hAnsi="Calibri" w:cs="Calibri"/>
              </w:rPr>
            </w:pPr>
          </w:p>
        </w:tc>
      </w:tr>
      <w:tr w:rsidR="000D6168" w:rsidRPr="000A5942" w14:paraId="1A41F10E"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5D8179DF" w14:textId="77777777" w:rsidR="000D6168" w:rsidRPr="000A5942" w:rsidRDefault="000D6168" w:rsidP="00323FD6">
            <w:pPr>
              <w:rPr>
                <w:rFonts w:ascii="Calibri" w:hAnsi="Calibri" w:cs="Calibri"/>
              </w:rPr>
            </w:pPr>
            <w:r w:rsidRPr="000A5942">
              <w:rPr>
                <w:rFonts w:ascii="Calibri" w:hAnsi="Calibri" w:cs="Calibri"/>
              </w:rPr>
              <w:t>2690316183</w:t>
            </w:r>
          </w:p>
        </w:tc>
        <w:tc>
          <w:tcPr>
            <w:tcW w:w="452" w:type="pct"/>
            <w:tcBorders>
              <w:top w:val="nil"/>
              <w:left w:val="nil"/>
              <w:bottom w:val="nil"/>
              <w:right w:val="nil"/>
            </w:tcBorders>
            <w:shd w:val="clear" w:color="auto" w:fill="auto"/>
            <w:noWrap/>
            <w:vAlign w:val="center"/>
            <w:hideMark/>
          </w:tcPr>
          <w:p w14:paraId="4B2D40E5" w14:textId="77777777" w:rsidR="000D6168" w:rsidRPr="000A5942" w:rsidRDefault="000D6168" w:rsidP="00323FD6">
            <w:pPr>
              <w:rPr>
                <w:rFonts w:ascii="Calibri" w:hAnsi="Calibri" w:cs="Calibri"/>
              </w:rPr>
            </w:pPr>
            <w:proofErr w:type="spellStart"/>
            <w:r w:rsidRPr="000A5942">
              <w:rPr>
                <w:rFonts w:ascii="Calibri" w:hAnsi="Calibri" w:cs="Calibri"/>
              </w:rPr>
              <w:t>Leisingera</w:t>
            </w:r>
            <w:proofErr w:type="spellEnd"/>
            <w:r w:rsidRPr="000A5942">
              <w:rPr>
                <w:rFonts w:ascii="Calibri" w:hAnsi="Calibri" w:cs="Calibri"/>
              </w:rPr>
              <w:t xml:space="preserve"> sp. ANG-M1</w:t>
            </w:r>
          </w:p>
        </w:tc>
        <w:tc>
          <w:tcPr>
            <w:tcW w:w="347" w:type="pct"/>
            <w:tcBorders>
              <w:top w:val="nil"/>
              <w:left w:val="nil"/>
              <w:bottom w:val="nil"/>
              <w:right w:val="nil"/>
            </w:tcBorders>
            <w:shd w:val="clear" w:color="auto" w:fill="auto"/>
            <w:noWrap/>
            <w:vAlign w:val="center"/>
            <w:hideMark/>
          </w:tcPr>
          <w:p w14:paraId="221F65B6" w14:textId="77777777" w:rsidR="000D6168" w:rsidRPr="000A5942" w:rsidRDefault="000D6168" w:rsidP="00323FD6">
            <w:pPr>
              <w:rPr>
                <w:rFonts w:ascii="Calibri" w:hAnsi="Calibri" w:cs="Calibri"/>
              </w:rPr>
            </w:pPr>
            <w:r w:rsidRPr="000A5942">
              <w:rPr>
                <w:rFonts w:ascii="Calibri" w:hAnsi="Calibri" w:cs="Calibri"/>
              </w:rPr>
              <w:t>Ga0112989_106</w:t>
            </w:r>
          </w:p>
        </w:tc>
        <w:tc>
          <w:tcPr>
            <w:tcW w:w="313" w:type="pct"/>
            <w:tcBorders>
              <w:top w:val="nil"/>
              <w:left w:val="nil"/>
              <w:bottom w:val="nil"/>
              <w:right w:val="nil"/>
            </w:tcBorders>
            <w:shd w:val="clear" w:color="auto" w:fill="auto"/>
            <w:noWrap/>
            <w:vAlign w:val="center"/>
            <w:hideMark/>
          </w:tcPr>
          <w:p w14:paraId="298DCCC3"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3FF51FEB"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625" w:type="pct"/>
            <w:tcBorders>
              <w:top w:val="nil"/>
              <w:left w:val="nil"/>
              <w:bottom w:val="nil"/>
              <w:right w:val="nil"/>
            </w:tcBorders>
            <w:shd w:val="clear" w:color="auto" w:fill="auto"/>
            <w:noWrap/>
            <w:vAlign w:val="center"/>
            <w:hideMark/>
          </w:tcPr>
          <w:p w14:paraId="39D6545C" w14:textId="77777777" w:rsidR="000D6168" w:rsidRPr="000A5942" w:rsidRDefault="000D6168" w:rsidP="00323FD6">
            <w:pPr>
              <w:rPr>
                <w:rFonts w:ascii="Calibri" w:hAnsi="Calibri" w:cs="Calibri"/>
              </w:rPr>
            </w:pPr>
            <w:r w:rsidRPr="000A5942">
              <w:rPr>
                <w:rFonts w:ascii="Calibri" w:hAnsi="Calibri" w:cs="Calibri"/>
              </w:rPr>
              <w:t xml:space="preserve"> (R)-</w:t>
            </w:r>
            <w:proofErr w:type="spellStart"/>
            <w:r w:rsidRPr="000A5942">
              <w:rPr>
                <w:rFonts w:ascii="Calibri" w:hAnsi="Calibri" w:cs="Calibri"/>
              </w:rPr>
              <w:t>ethylmalonyl</w:t>
            </w:r>
            <w:proofErr w:type="spellEnd"/>
            <w:r w:rsidRPr="000A5942">
              <w:rPr>
                <w:rFonts w:ascii="Calibri" w:hAnsi="Calibri" w:cs="Calibri"/>
              </w:rPr>
              <w:t>-CoA mutase</w:t>
            </w:r>
          </w:p>
        </w:tc>
        <w:tc>
          <w:tcPr>
            <w:tcW w:w="453" w:type="pct"/>
            <w:tcBorders>
              <w:top w:val="nil"/>
              <w:left w:val="nil"/>
              <w:bottom w:val="nil"/>
              <w:right w:val="nil"/>
            </w:tcBorders>
            <w:shd w:val="clear" w:color="auto" w:fill="auto"/>
            <w:noWrap/>
            <w:vAlign w:val="center"/>
            <w:hideMark/>
          </w:tcPr>
          <w:p w14:paraId="6E6F2D07" w14:textId="77777777" w:rsidR="000D6168" w:rsidRPr="000A5942" w:rsidRDefault="000D6168" w:rsidP="00323FD6">
            <w:pPr>
              <w:rPr>
                <w:rFonts w:ascii="Calibri" w:hAnsi="Calibri" w:cs="Calibri"/>
              </w:rPr>
            </w:pPr>
            <w:r w:rsidRPr="000A5942">
              <w:rPr>
                <w:rFonts w:ascii="Calibri" w:hAnsi="Calibri" w:cs="Calibri"/>
              </w:rPr>
              <w:t>3158</w:t>
            </w:r>
          </w:p>
        </w:tc>
        <w:tc>
          <w:tcPr>
            <w:tcW w:w="311" w:type="pct"/>
            <w:tcBorders>
              <w:top w:val="nil"/>
              <w:left w:val="nil"/>
              <w:bottom w:val="nil"/>
              <w:right w:val="nil"/>
            </w:tcBorders>
            <w:shd w:val="clear" w:color="auto" w:fill="auto"/>
            <w:noWrap/>
            <w:vAlign w:val="center"/>
            <w:hideMark/>
          </w:tcPr>
          <w:p w14:paraId="3A1F5D0E" w14:textId="77777777" w:rsidR="000D6168" w:rsidRPr="000A5942" w:rsidRDefault="000D6168" w:rsidP="00323FD6">
            <w:pPr>
              <w:rPr>
                <w:rFonts w:ascii="Calibri" w:hAnsi="Calibri" w:cs="Calibri"/>
              </w:rPr>
            </w:pPr>
            <w:r w:rsidRPr="000A5942">
              <w:rPr>
                <w:rFonts w:ascii="Calibri" w:hAnsi="Calibri" w:cs="Calibri"/>
              </w:rPr>
              <w:t>4125</w:t>
            </w:r>
          </w:p>
        </w:tc>
        <w:tc>
          <w:tcPr>
            <w:tcW w:w="280" w:type="pct"/>
            <w:tcBorders>
              <w:top w:val="nil"/>
              <w:left w:val="nil"/>
              <w:bottom w:val="nil"/>
              <w:right w:val="nil"/>
            </w:tcBorders>
            <w:shd w:val="clear" w:color="auto" w:fill="auto"/>
            <w:noWrap/>
            <w:vAlign w:val="center"/>
            <w:hideMark/>
          </w:tcPr>
          <w:p w14:paraId="6041B122" w14:textId="77777777" w:rsidR="000D6168" w:rsidRPr="000A5942" w:rsidRDefault="000D6168" w:rsidP="00323FD6">
            <w:pPr>
              <w:rPr>
                <w:rFonts w:ascii="Calibri" w:hAnsi="Calibri" w:cs="Calibri"/>
              </w:rPr>
            </w:pPr>
            <w:r w:rsidRPr="000A5942">
              <w:rPr>
                <w:rFonts w:ascii="Calibri" w:hAnsi="Calibri" w:cs="Calibri"/>
              </w:rPr>
              <w:t>35.8</w:t>
            </w:r>
          </w:p>
        </w:tc>
        <w:tc>
          <w:tcPr>
            <w:tcW w:w="347" w:type="pct"/>
            <w:tcBorders>
              <w:top w:val="nil"/>
              <w:left w:val="nil"/>
              <w:bottom w:val="nil"/>
              <w:right w:val="nil"/>
            </w:tcBorders>
            <w:shd w:val="clear" w:color="auto" w:fill="auto"/>
            <w:noWrap/>
            <w:vAlign w:val="center"/>
            <w:hideMark/>
          </w:tcPr>
          <w:p w14:paraId="53355764" w14:textId="77777777" w:rsidR="000D6168" w:rsidRPr="000A5942" w:rsidRDefault="000D6168" w:rsidP="00323FD6">
            <w:pPr>
              <w:rPr>
                <w:rFonts w:ascii="Calibri" w:hAnsi="Calibri" w:cs="Calibri"/>
              </w:rPr>
            </w:pPr>
            <w:r w:rsidRPr="000A5942">
              <w:rPr>
                <w:rFonts w:ascii="Calibri" w:hAnsi="Calibri" w:cs="Calibri"/>
              </w:rPr>
              <w:t>6</w:t>
            </w:r>
          </w:p>
        </w:tc>
        <w:tc>
          <w:tcPr>
            <w:tcW w:w="313" w:type="pct"/>
            <w:tcBorders>
              <w:top w:val="nil"/>
              <w:left w:val="nil"/>
              <w:bottom w:val="nil"/>
              <w:right w:val="nil"/>
            </w:tcBorders>
            <w:shd w:val="clear" w:color="auto" w:fill="auto"/>
            <w:noWrap/>
            <w:vAlign w:val="center"/>
            <w:hideMark/>
          </w:tcPr>
          <w:p w14:paraId="406682B3" w14:textId="77777777" w:rsidR="000D6168" w:rsidRPr="000A5942" w:rsidRDefault="000D6168" w:rsidP="00323FD6">
            <w:pPr>
              <w:rPr>
                <w:rFonts w:ascii="Calibri" w:hAnsi="Calibri" w:cs="Calibri"/>
              </w:rPr>
            </w:pPr>
            <w:r w:rsidRPr="000A5942">
              <w:rPr>
                <w:rFonts w:ascii="Calibri" w:hAnsi="Calibri" w:cs="Calibri"/>
              </w:rPr>
              <w:t>5111</w:t>
            </w:r>
          </w:p>
        </w:tc>
        <w:tc>
          <w:tcPr>
            <w:tcW w:w="380" w:type="pct"/>
            <w:tcBorders>
              <w:top w:val="nil"/>
              <w:left w:val="nil"/>
              <w:bottom w:val="nil"/>
              <w:right w:val="single" w:sz="4" w:space="0" w:color="auto"/>
            </w:tcBorders>
            <w:shd w:val="clear" w:color="auto" w:fill="auto"/>
            <w:noWrap/>
            <w:vAlign w:val="center"/>
            <w:hideMark/>
          </w:tcPr>
          <w:p w14:paraId="37B0F208" w14:textId="77777777" w:rsidR="000D6168" w:rsidRPr="000A5942" w:rsidRDefault="000D6168" w:rsidP="00323FD6">
            <w:pPr>
              <w:rPr>
                <w:rFonts w:ascii="Calibri" w:hAnsi="Calibri" w:cs="Calibri"/>
              </w:rPr>
            </w:pPr>
            <w:r w:rsidRPr="000A5942">
              <w:rPr>
                <w:rFonts w:ascii="Calibri" w:hAnsi="Calibri" w:cs="Calibri"/>
              </w:rPr>
              <w:t xml:space="preserve"> 0.1174%</w:t>
            </w:r>
          </w:p>
        </w:tc>
      </w:tr>
      <w:tr w:rsidR="000D6168" w:rsidRPr="000A5942" w14:paraId="71220CA1" w14:textId="77777777" w:rsidTr="00323FD6">
        <w:trPr>
          <w:trHeight w:val="290"/>
          <w:jc w:val="center"/>
        </w:trPr>
        <w:tc>
          <w:tcPr>
            <w:tcW w:w="971" w:type="pct"/>
            <w:gridSpan w:val="2"/>
            <w:vMerge w:val="restart"/>
            <w:tcBorders>
              <w:top w:val="nil"/>
              <w:left w:val="single" w:sz="4" w:space="0" w:color="auto"/>
              <w:right w:val="nil"/>
            </w:tcBorders>
            <w:shd w:val="clear" w:color="auto" w:fill="auto"/>
            <w:noWrap/>
            <w:vAlign w:val="center"/>
            <w:hideMark/>
          </w:tcPr>
          <w:p w14:paraId="6EC958E3"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3D63DC26" w14:textId="77777777" w:rsidR="000D6168" w:rsidRPr="000A5942" w:rsidRDefault="000D6168" w:rsidP="00323FD6">
            <w:pPr>
              <w:rPr>
                <w:rFonts w:ascii="Calibri" w:hAnsi="Calibri" w:cs="Calibri"/>
              </w:rPr>
            </w:pPr>
            <w:r w:rsidRPr="000A5942">
              <w:rPr>
                <w:rFonts w:ascii="Calibri" w:hAnsi="Calibri" w:cs="Calibri"/>
              </w:rPr>
              <w:t>Ga0112989_106</w:t>
            </w:r>
          </w:p>
        </w:tc>
        <w:tc>
          <w:tcPr>
            <w:tcW w:w="313" w:type="pct"/>
            <w:tcBorders>
              <w:top w:val="nil"/>
              <w:left w:val="nil"/>
              <w:bottom w:val="nil"/>
              <w:right w:val="nil"/>
            </w:tcBorders>
            <w:shd w:val="clear" w:color="auto" w:fill="auto"/>
            <w:noWrap/>
            <w:vAlign w:val="center"/>
            <w:hideMark/>
          </w:tcPr>
          <w:p w14:paraId="3B0175FF"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42188975" w14:textId="77777777" w:rsidR="000D6168" w:rsidRPr="000A5942" w:rsidRDefault="000D6168" w:rsidP="00323FD6">
            <w:pPr>
              <w:rPr>
                <w:rFonts w:ascii="Calibri" w:hAnsi="Calibri" w:cs="Calibri"/>
              </w:rPr>
            </w:pPr>
            <w:r w:rsidRPr="000A5942">
              <w:rPr>
                <w:rFonts w:ascii="Calibri" w:hAnsi="Calibri" w:cs="Calibri"/>
              </w:rPr>
              <w:t>acyl homoserine lactone synthase</w:t>
            </w:r>
          </w:p>
        </w:tc>
        <w:tc>
          <w:tcPr>
            <w:tcW w:w="625" w:type="pct"/>
            <w:tcBorders>
              <w:top w:val="nil"/>
              <w:left w:val="nil"/>
              <w:bottom w:val="nil"/>
              <w:right w:val="nil"/>
            </w:tcBorders>
            <w:shd w:val="clear" w:color="auto" w:fill="auto"/>
            <w:noWrap/>
            <w:vAlign w:val="center"/>
            <w:hideMark/>
          </w:tcPr>
          <w:p w14:paraId="425E34D5" w14:textId="77777777" w:rsidR="000D6168" w:rsidRPr="000A5942" w:rsidRDefault="000D6168" w:rsidP="00323FD6">
            <w:pPr>
              <w:rPr>
                <w:rFonts w:ascii="Calibri" w:hAnsi="Calibri" w:cs="Calibri"/>
              </w:rPr>
            </w:pPr>
            <w:r w:rsidRPr="000A5942">
              <w:rPr>
                <w:rFonts w:ascii="Calibri" w:hAnsi="Calibri" w:cs="Calibri"/>
              </w:rPr>
              <w:t xml:space="preserve">regulatory protein, </w:t>
            </w:r>
            <w:proofErr w:type="spellStart"/>
            <w:r w:rsidRPr="000A5942">
              <w:rPr>
                <w:rFonts w:ascii="Calibri" w:hAnsi="Calibri" w:cs="Calibri"/>
              </w:rPr>
              <w:t>luxR</w:t>
            </w:r>
            <w:proofErr w:type="spellEnd"/>
            <w:r w:rsidRPr="000A5942">
              <w:rPr>
                <w:rFonts w:ascii="Calibri" w:hAnsi="Calibri" w:cs="Calibri"/>
              </w:rPr>
              <w:t xml:space="preserve"> family</w:t>
            </w:r>
          </w:p>
        </w:tc>
        <w:tc>
          <w:tcPr>
            <w:tcW w:w="453" w:type="pct"/>
            <w:tcBorders>
              <w:top w:val="nil"/>
              <w:left w:val="nil"/>
              <w:bottom w:val="nil"/>
              <w:right w:val="nil"/>
            </w:tcBorders>
            <w:shd w:val="clear" w:color="auto" w:fill="auto"/>
            <w:noWrap/>
            <w:vAlign w:val="center"/>
            <w:hideMark/>
          </w:tcPr>
          <w:p w14:paraId="331D955D" w14:textId="77777777" w:rsidR="000D6168" w:rsidRPr="000A5942" w:rsidRDefault="000D6168" w:rsidP="00323FD6">
            <w:pPr>
              <w:rPr>
                <w:rFonts w:ascii="Calibri" w:hAnsi="Calibri" w:cs="Calibri"/>
              </w:rPr>
            </w:pPr>
            <w:r w:rsidRPr="000A5942">
              <w:rPr>
                <w:rFonts w:ascii="Calibri" w:hAnsi="Calibri" w:cs="Calibri"/>
              </w:rPr>
              <w:t>2</w:t>
            </w:r>
          </w:p>
        </w:tc>
        <w:tc>
          <w:tcPr>
            <w:tcW w:w="311" w:type="pct"/>
            <w:tcBorders>
              <w:top w:val="nil"/>
              <w:left w:val="nil"/>
              <w:bottom w:val="nil"/>
              <w:right w:val="nil"/>
            </w:tcBorders>
            <w:shd w:val="clear" w:color="auto" w:fill="auto"/>
            <w:noWrap/>
            <w:vAlign w:val="center"/>
            <w:hideMark/>
          </w:tcPr>
          <w:p w14:paraId="10F7DD4A" w14:textId="77777777" w:rsidR="000D6168" w:rsidRPr="000A5942" w:rsidRDefault="000D6168" w:rsidP="00323FD6">
            <w:pPr>
              <w:rPr>
                <w:rFonts w:ascii="Calibri" w:hAnsi="Calibri" w:cs="Calibri"/>
              </w:rPr>
            </w:pPr>
            <w:r w:rsidRPr="000A5942">
              <w:rPr>
                <w:rFonts w:ascii="Calibri" w:hAnsi="Calibri" w:cs="Calibri"/>
              </w:rPr>
              <w:t>60</w:t>
            </w:r>
          </w:p>
        </w:tc>
        <w:tc>
          <w:tcPr>
            <w:tcW w:w="280" w:type="pct"/>
            <w:tcBorders>
              <w:top w:val="nil"/>
              <w:left w:val="nil"/>
              <w:bottom w:val="nil"/>
              <w:right w:val="nil"/>
            </w:tcBorders>
            <w:shd w:val="clear" w:color="auto" w:fill="auto"/>
            <w:noWrap/>
            <w:vAlign w:val="center"/>
            <w:hideMark/>
          </w:tcPr>
          <w:p w14:paraId="0FF124D2" w14:textId="77777777" w:rsidR="000D6168" w:rsidRPr="000A5942" w:rsidRDefault="000D6168" w:rsidP="00323FD6">
            <w:pPr>
              <w:rPr>
                <w:rFonts w:ascii="Calibri" w:hAnsi="Calibri" w:cs="Calibri"/>
              </w:rPr>
            </w:pPr>
            <w:r w:rsidRPr="000A5942">
              <w:rPr>
                <w:rFonts w:ascii="Calibri" w:hAnsi="Calibri" w:cs="Calibri"/>
              </w:rPr>
              <w:t>17</w:t>
            </w:r>
          </w:p>
        </w:tc>
        <w:tc>
          <w:tcPr>
            <w:tcW w:w="1040" w:type="pct"/>
            <w:gridSpan w:val="3"/>
            <w:vMerge w:val="restart"/>
            <w:tcBorders>
              <w:top w:val="nil"/>
              <w:left w:val="nil"/>
              <w:right w:val="single" w:sz="4" w:space="0" w:color="auto"/>
            </w:tcBorders>
            <w:shd w:val="clear" w:color="auto" w:fill="auto"/>
            <w:noWrap/>
            <w:vAlign w:val="center"/>
            <w:hideMark/>
          </w:tcPr>
          <w:p w14:paraId="311E43F6" w14:textId="77777777" w:rsidR="000D6168" w:rsidRPr="000A5942" w:rsidRDefault="000D6168" w:rsidP="00323FD6">
            <w:pPr>
              <w:rPr>
                <w:rFonts w:ascii="Calibri" w:hAnsi="Calibri" w:cs="Calibri"/>
              </w:rPr>
            </w:pPr>
          </w:p>
        </w:tc>
      </w:tr>
      <w:tr w:rsidR="000D6168" w:rsidRPr="000A5942" w14:paraId="348488C4" w14:textId="77777777" w:rsidTr="00323FD6">
        <w:trPr>
          <w:trHeight w:val="290"/>
          <w:jc w:val="center"/>
        </w:trPr>
        <w:tc>
          <w:tcPr>
            <w:tcW w:w="971" w:type="pct"/>
            <w:gridSpan w:val="2"/>
            <w:vMerge/>
            <w:tcBorders>
              <w:left w:val="single" w:sz="4" w:space="0" w:color="auto"/>
              <w:right w:val="nil"/>
            </w:tcBorders>
            <w:shd w:val="clear" w:color="auto" w:fill="auto"/>
            <w:noWrap/>
            <w:vAlign w:val="center"/>
            <w:hideMark/>
          </w:tcPr>
          <w:p w14:paraId="424B7BA4"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64D325DB" w14:textId="77777777" w:rsidR="000D6168" w:rsidRPr="000A5942" w:rsidRDefault="000D6168" w:rsidP="00323FD6">
            <w:pPr>
              <w:rPr>
                <w:rFonts w:ascii="Calibri" w:hAnsi="Calibri" w:cs="Calibri"/>
              </w:rPr>
            </w:pPr>
            <w:r w:rsidRPr="000A5942">
              <w:rPr>
                <w:rFonts w:ascii="Calibri" w:hAnsi="Calibri" w:cs="Calibri"/>
              </w:rPr>
              <w:t>Ga0112989_108</w:t>
            </w:r>
          </w:p>
        </w:tc>
        <w:tc>
          <w:tcPr>
            <w:tcW w:w="313" w:type="pct"/>
            <w:tcBorders>
              <w:top w:val="nil"/>
              <w:left w:val="nil"/>
              <w:bottom w:val="nil"/>
              <w:right w:val="nil"/>
            </w:tcBorders>
            <w:shd w:val="clear" w:color="auto" w:fill="auto"/>
            <w:noWrap/>
            <w:vAlign w:val="center"/>
            <w:hideMark/>
          </w:tcPr>
          <w:p w14:paraId="13603640"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6D0DFA1B" w14:textId="77777777" w:rsidR="000D6168" w:rsidRPr="000A5942" w:rsidRDefault="000D6168" w:rsidP="00323FD6">
            <w:pPr>
              <w:rPr>
                <w:rFonts w:ascii="Calibri" w:hAnsi="Calibri" w:cs="Calibri"/>
              </w:rPr>
            </w:pPr>
            <w:r w:rsidRPr="000A5942">
              <w:rPr>
                <w:rFonts w:ascii="Calibri" w:hAnsi="Calibri" w:cs="Calibri"/>
              </w:rPr>
              <w:t>Tetratricopeptide repeat-containing protein</w:t>
            </w:r>
          </w:p>
        </w:tc>
        <w:tc>
          <w:tcPr>
            <w:tcW w:w="625" w:type="pct"/>
            <w:tcBorders>
              <w:top w:val="nil"/>
              <w:left w:val="nil"/>
              <w:bottom w:val="nil"/>
              <w:right w:val="nil"/>
            </w:tcBorders>
            <w:shd w:val="clear" w:color="auto" w:fill="auto"/>
            <w:noWrap/>
            <w:vAlign w:val="center"/>
            <w:hideMark/>
          </w:tcPr>
          <w:p w14:paraId="4C40DB3D" w14:textId="77777777" w:rsidR="000D6168" w:rsidRPr="000A5942" w:rsidRDefault="000D6168" w:rsidP="00323FD6">
            <w:pPr>
              <w:rPr>
                <w:rFonts w:ascii="Calibri" w:hAnsi="Calibri" w:cs="Calibri"/>
              </w:rPr>
            </w:pPr>
            <w:r w:rsidRPr="000A5942">
              <w:rPr>
                <w:rFonts w:ascii="Calibri" w:hAnsi="Calibri" w:cs="Calibri"/>
              </w:rPr>
              <w:t xml:space="preserve"> uridylate kinase</w:t>
            </w:r>
          </w:p>
        </w:tc>
        <w:tc>
          <w:tcPr>
            <w:tcW w:w="453" w:type="pct"/>
            <w:tcBorders>
              <w:top w:val="nil"/>
              <w:left w:val="nil"/>
              <w:bottom w:val="nil"/>
              <w:right w:val="nil"/>
            </w:tcBorders>
            <w:shd w:val="clear" w:color="auto" w:fill="auto"/>
            <w:noWrap/>
            <w:vAlign w:val="center"/>
            <w:hideMark/>
          </w:tcPr>
          <w:p w14:paraId="6F278FB2" w14:textId="77777777" w:rsidR="000D6168" w:rsidRPr="000A5942" w:rsidRDefault="000D6168" w:rsidP="00323FD6">
            <w:pPr>
              <w:rPr>
                <w:rFonts w:ascii="Calibri" w:hAnsi="Calibri" w:cs="Calibri"/>
              </w:rPr>
            </w:pPr>
            <w:r w:rsidRPr="000A5942">
              <w:rPr>
                <w:rFonts w:ascii="Calibri" w:hAnsi="Calibri" w:cs="Calibri"/>
              </w:rPr>
              <w:t>2187</w:t>
            </w:r>
          </w:p>
        </w:tc>
        <w:tc>
          <w:tcPr>
            <w:tcW w:w="311" w:type="pct"/>
            <w:tcBorders>
              <w:top w:val="nil"/>
              <w:left w:val="nil"/>
              <w:bottom w:val="nil"/>
              <w:right w:val="nil"/>
            </w:tcBorders>
            <w:shd w:val="clear" w:color="auto" w:fill="auto"/>
            <w:noWrap/>
            <w:vAlign w:val="center"/>
            <w:hideMark/>
          </w:tcPr>
          <w:p w14:paraId="5BC08604" w14:textId="77777777" w:rsidR="000D6168" w:rsidRPr="000A5942" w:rsidRDefault="000D6168" w:rsidP="00323FD6">
            <w:pPr>
              <w:rPr>
                <w:rFonts w:ascii="Calibri" w:hAnsi="Calibri" w:cs="Calibri"/>
              </w:rPr>
            </w:pPr>
            <w:r w:rsidRPr="000A5942">
              <w:rPr>
                <w:rFonts w:ascii="Calibri" w:hAnsi="Calibri" w:cs="Calibri"/>
              </w:rPr>
              <w:t>6682</w:t>
            </w:r>
          </w:p>
        </w:tc>
        <w:tc>
          <w:tcPr>
            <w:tcW w:w="280" w:type="pct"/>
            <w:tcBorders>
              <w:top w:val="nil"/>
              <w:left w:val="nil"/>
              <w:bottom w:val="nil"/>
              <w:right w:val="nil"/>
            </w:tcBorders>
            <w:shd w:val="clear" w:color="auto" w:fill="auto"/>
            <w:noWrap/>
            <w:vAlign w:val="center"/>
            <w:hideMark/>
          </w:tcPr>
          <w:p w14:paraId="03E22617" w14:textId="77777777" w:rsidR="000D6168" w:rsidRPr="000A5942" w:rsidRDefault="000D6168" w:rsidP="00323FD6">
            <w:pPr>
              <w:rPr>
                <w:rFonts w:ascii="Calibri" w:hAnsi="Calibri" w:cs="Calibri"/>
              </w:rPr>
            </w:pPr>
            <w:r w:rsidRPr="000A5942">
              <w:rPr>
                <w:rFonts w:ascii="Calibri" w:hAnsi="Calibri" w:cs="Calibri"/>
              </w:rPr>
              <w:t>17</w:t>
            </w:r>
          </w:p>
        </w:tc>
        <w:tc>
          <w:tcPr>
            <w:tcW w:w="1040" w:type="pct"/>
            <w:gridSpan w:val="3"/>
            <w:vMerge/>
            <w:tcBorders>
              <w:left w:val="nil"/>
              <w:right w:val="single" w:sz="4" w:space="0" w:color="auto"/>
            </w:tcBorders>
            <w:shd w:val="clear" w:color="auto" w:fill="auto"/>
            <w:noWrap/>
            <w:vAlign w:val="center"/>
            <w:hideMark/>
          </w:tcPr>
          <w:p w14:paraId="15DC03A5" w14:textId="77777777" w:rsidR="000D6168" w:rsidRPr="000A5942" w:rsidRDefault="000D6168" w:rsidP="00323FD6">
            <w:pPr>
              <w:rPr>
                <w:rFonts w:ascii="Calibri" w:hAnsi="Calibri" w:cs="Calibri"/>
              </w:rPr>
            </w:pPr>
          </w:p>
        </w:tc>
      </w:tr>
      <w:tr w:rsidR="000D6168" w:rsidRPr="000A5942" w14:paraId="2ED95615" w14:textId="77777777" w:rsidTr="00323FD6">
        <w:trPr>
          <w:trHeight w:val="290"/>
          <w:jc w:val="center"/>
        </w:trPr>
        <w:tc>
          <w:tcPr>
            <w:tcW w:w="971" w:type="pct"/>
            <w:gridSpan w:val="2"/>
            <w:vMerge/>
            <w:tcBorders>
              <w:left w:val="single" w:sz="4" w:space="0" w:color="auto"/>
              <w:right w:val="nil"/>
            </w:tcBorders>
            <w:shd w:val="clear" w:color="auto" w:fill="auto"/>
            <w:noWrap/>
            <w:vAlign w:val="center"/>
            <w:hideMark/>
          </w:tcPr>
          <w:p w14:paraId="5B7F870A"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466C818B" w14:textId="77777777" w:rsidR="000D6168" w:rsidRPr="000A5942" w:rsidRDefault="000D6168" w:rsidP="00323FD6">
            <w:pPr>
              <w:rPr>
                <w:rFonts w:ascii="Calibri" w:hAnsi="Calibri" w:cs="Calibri"/>
              </w:rPr>
            </w:pPr>
            <w:r w:rsidRPr="000A5942">
              <w:rPr>
                <w:rFonts w:ascii="Calibri" w:hAnsi="Calibri" w:cs="Calibri"/>
              </w:rPr>
              <w:t>Ga0112989_127</w:t>
            </w:r>
          </w:p>
        </w:tc>
        <w:tc>
          <w:tcPr>
            <w:tcW w:w="313" w:type="pct"/>
            <w:tcBorders>
              <w:top w:val="nil"/>
              <w:left w:val="nil"/>
              <w:bottom w:val="nil"/>
              <w:right w:val="nil"/>
            </w:tcBorders>
            <w:shd w:val="clear" w:color="auto" w:fill="auto"/>
            <w:noWrap/>
            <w:vAlign w:val="center"/>
            <w:hideMark/>
          </w:tcPr>
          <w:p w14:paraId="4BB29573"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1D1C4275"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625" w:type="pct"/>
            <w:tcBorders>
              <w:top w:val="nil"/>
              <w:left w:val="nil"/>
              <w:bottom w:val="nil"/>
              <w:right w:val="nil"/>
            </w:tcBorders>
            <w:shd w:val="clear" w:color="auto" w:fill="auto"/>
            <w:noWrap/>
            <w:vAlign w:val="center"/>
            <w:hideMark/>
          </w:tcPr>
          <w:p w14:paraId="602E48A3"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regulator, </w:t>
            </w:r>
            <w:proofErr w:type="spellStart"/>
            <w:r w:rsidRPr="000A5942">
              <w:rPr>
                <w:rFonts w:ascii="Calibri" w:hAnsi="Calibri" w:cs="Calibri"/>
              </w:rPr>
              <w:t>ArsR</w:t>
            </w:r>
            <w:proofErr w:type="spellEnd"/>
            <w:r w:rsidRPr="000A5942">
              <w:rPr>
                <w:rFonts w:ascii="Calibri" w:hAnsi="Calibri" w:cs="Calibri"/>
              </w:rPr>
              <w:t xml:space="preserve"> family</w:t>
            </w:r>
          </w:p>
        </w:tc>
        <w:tc>
          <w:tcPr>
            <w:tcW w:w="453" w:type="pct"/>
            <w:tcBorders>
              <w:top w:val="nil"/>
              <w:left w:val="nil"/>
              <w:bottom w:val="nil"/>
              <w:right w:val="nil"/>
            </w:tcBorders>
            <w:shd w:val="clear" w:color="auto" w:fill="auto"/>
            <w:noWrap/>
            <w:vAlign w:val="center"/>
            <w:hideMark/>
          </w:tcPr>
          <w:p w14:paraId="6AA56FA7" w14:textId="77777777" w:rsidR="000D6168" w:rsidRPr="000A5942" w:rsidRDefault="000D6168" w:rsidP="00323FD6">
            <w:pPr>
              <w:rPr>
                <w:rFonts w:ascii="Calibri" w:hAnsi="Calibri" w:cs="Calibri"/>
              </w:rPr>
            </w:pPr>
            <w:r w:rsidRPr="000A5942">
              <w:rPr>
                <w:rFonts w:ascii="Calibri" w:hAnsi="Calibri" w:cs="Calibri"/>
              </w:rPr>
              <w:t>213</w:t>
            </w:r>
          </w:p>
        </w:tc>
        <w:tc>
          <w:tcPr>
            <w:tcW w:w="311" w:type="pct"/>
            <w:tcBorders>
              <w:top w:val="nil"/>
              <w:left w:val="nil"/>
              <w:bottom w:val="nil"/>
              <w:right w:val="nil"/>
            </w:tcBorders>
            <w:shd w:val="clear" w:color="auto" w:fill="auto"/>
            <w:noWrap/>
            <w:vAlign w:val="center"/>
            <w:hideMark/>
          </w:tcPr>
          <w:p w14:paraId="67B93CB9" w14:textId="77777777" w:rsidR="000D6168" w:rsidRPr="000A5942" w:rsidRDefault="000D6168" w:rsidP="00323FD6">
            <w:pPr>
              <w:rPr>
                <w:rFonts w:ascii="Calibri" w:hAnsi="Calibri" w:cs="Calibri"/>
              </w:rPr>
            </w:pPr>
            <w:r w:rsidRPr="000A5942">
              <w:rPr>
                <w:rFonts w:ascii="Calibri" w:hAnsi="Calibri" w:cs="Calibri"/>
              </w:rPr>
              <w:t>354</w:t>
            </w:r>
          </w:p>
        </w:tc>
        <w:tc>
          <w:tcPr>
            <w:tcW w:w="280" w:type="pct"/>
            <w:tcBorders>
              <w:top w:val="nil"/>
              <w:left w:val="nil"/>
              <w:bottom w:val="nil"/>
              <w:right w:val="nil"/>
            </w:tcBorders>
            <w:shd w:val="clear" w:color="auto" w:fill="auto"/>
            <w:noWrap/>
            <w:vAlign w:val="center"/>
            <w:hideMark/>
          </w:tcPr>
          <w:p w14:paraId="485B63FE" w14:textId="77777777" w:rsidR="000D6168" w:rsidRPr="000A5942" w:rsidRDefault="000D6168" w:rsidP="00323FD6">
            <w:pPr>
              <w:rPr>
                <w:rFonts w:ascii="Calibri" w:hAnsi="Calibri" w:cs="Calibri"/>
              </w:rPr>
            </w:pPr>
            <w:r w:rsidRPr="000A5942">
              <w:rPr>
                <w:rFonts w:ascii="Calibri" w:hAnsi="Calibri" w:cs="Calibri"/>
              </w:rPr>
              <w:t>11.8</w:t>
            </w:r>
          </w:p>
        </w:tc>
        <w:tc>
          <w:tcPr>
            <w:tcW w:w="1040" w:type="pct"/>
            <w:gridSpan w:val="3"/>
            <w:vMerge/>
            <w:tcBorders>
              <w:left w:val="nil"/>
              <w:right w:val="single" w:sz="4" w:space="0" w:color="auto"/>
            </w:tcBorders>
            <w:shd w:val="clear" w:color="auto" w:fill="auto"/>
            <w:noWrap/>
            <w:vAlign w:val="center"/>
            <w:hideMark/>
          </w:tcPr>
          <w:p w14:paraId="7517D87E" w14:textId="77777777" w:rsidR="000D6168" w:rsidRPr="000A5942" w:rsidRDefault="000D6168" w:rsidP="00323FD6">
            <w:pPr>
              <w:rPr>
                <w:rFonts w:ascii="Calibri" w:hAnsi="Calibri" w:cs="Calibri"/>
              </w:rPr>
            </w:pPr>
          </w:p>
        </w:tc>
      </w:tr>
      <w:tr w:rsidR="000D6168" w:rsidRPr="000A5942" w14:paraId="340F3888" w14:textId="77777777" w:rsidTr="00323FD6">
        <w:trPr>
          <w:trHeight w:val="290"/>
          <w:jc w:val="center"/>
        </w:trPr>
        <w:tc>
          <w:tcPr>
            <w:tcW w:w="971" w:type="pct"/>
            <w:gridSpan w:val="2"/>
            <w:vMerge/>
            <w:tcBorders>
              <w:left w:val="single" w:sz="4" w:space="0" w:color="auto"/>
              <w:right w:val="nil"/>
            </w:tcBorders>
            <w:shd w:val="clear" w:color="auto" w:fill="auto"/>
            <w:noWrap/>
            <w:vAlign w:val="center"/>
            <w:hideMark/>
          </w:tcPr>
          <w:p w14:paraId="62C8244A"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332521B8" w14:textId="77777777" w:rsidR="000D6168" w:rsidRPr="000A5942" w:rsidRDefault="000D6168" w:rsidP="00323FD6">
            <w:pPr>
              <w:rPr>
                <w:rFonts w:ascii="Calibri" w:hAnsi="Calibri" w:cs="Calibri"/>
              </w:rPr>
            </w:pPr>
            <w:r w:rsidRPr="000A5942">
              <w:rPr>
                <w:rFonts w:ascii="Calibri" w:hAnsi="Calibri" w:cs="Calibri"/>
              </w:rPr>
              <w:t>Ga0112989_130</w:t>
            </w:r>
          </w:p>
        </w:tc>
        <w:tc>
          <w:tcPr>
            <w:tcW w:w="313" w:type="pct"/>
            <w:tcBorders>
              <w:top w:val="nil"/>
              <w:left w:val="nil"/>
              <w:bottom w:val="nil"/>
              <w:right w:val="nil"/>
            </w:tcBorders>
            <w:shd w:val="clear" w:color="auto" w:fill="auto"/>
            <w:noWrap/>
            <w:vAlign w:val="center"/>
            <w:hideMark/>
          </w:tcPr>
          <w:p w14:paraId="328B6CD5"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29DAEAD1"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regulator, </w:t>
            </w:r>
            <w:proofErr w:type="spellStart"/>
            <w:r w:rsidRPr="000A5942">
              <w:rPr>
                <w:rFonts w:ascii="Calibri" w:hAnsi="Calibri" w:cs="Calibri"/>
              </w:rPr>
              <w:t>LysR</w:t>
            </w:r>
            <w:proofErr w:type="spellEnd"/>
            <w:r w:rsidRPr="000A5942">
              <w:rPr>
                <w:rFonts w:ascii="Calibri" w:hAnsi="Calibri" w:cs="Calibri"/>
              </w:rPr>
              <w:t xml:space="preserve"> family</w:t>
            </w:r>
          </w:p>
        </w:tc>
        <w:tc>
          <w:tcPr>
            <w:tcW w:w="625" w:type="pct"/>
            <w:tcBorders>
              <w:top w:val="nil"/>
              <w:left w:val="nil"/>
              <w:bottom w:val="nil"/>
              <w:right w:val="nil"/>
            </w:tcBorders>
            <w:shd w:val="clear" w:color="auto" w:fill="auto"/>
            <w:noWrap/>
            <w:vAlign w:val="center"/>
            <w:hideMark/>
          </w:tcPr>
          <w:p w14:paraId="4E6F19AF" w14:textId="77777777" w:rsidR="000D6168" w:rsidRPr="000A5942" w:rsidRDefault="000D6168" w:rsidP="00323FD6">
            <w:pPr>
              <w:rPr>
                <w:rFonts w:ascii="Calibri" w:hAnsi="Calibri" w:cs="Calibri"/>
              </w:rPr>
            </w:pPr>
            <w:r w:rsidRPr="000A5942">
              <w:rPr>
                <w:rFonts w:ascii="Calibri" w:hAnsi="Calibri" w:cs="Calibri"/>
              </w:rPr>
              <w:t>DNA-binding protein H-NS</w:t>
            </w:r>
          </w:p>
        </w:tc>
        <w:tc>
          <w:tcPr>
            <w:tcW w:w="453" w:type="pct"/>
            <w:tcBorders>
              <w:top w:val="nil"/>
              <w:left w:val="nil"/>
              <w:bottom w:val="nil"/>
              <w:right w:val="nil"/>
            </w:tcBorders>
            <w:shd w:val="clear" w:color="auto" w:fill="auto"/>
            <w:noWrap/>
            <w:vAlign w:val="center"/>
            <w:hideMark/>
          </w:tcPr>
          <w:p w14:paraId="17392C8A" w14:textId="77777777" w:rsidR="000D6168" w:rsidRPr="000A5942" w:rsidRDefault="000D6168" w:rsidP="00323FD6">
            <w:pPr>
              <w:rPr>
                <w:rFonts w:ascii="Calibri" w:hAnsi="Calibri" w:cs="Calibri"/>
              </w:rPr>
            </w:pPr>
            <w:r w:rsidRPr="000A5942">
              <w:rPr>
                <w:rFonts w:ascii="Calibri" w:hAnsi="Calibri" w:cs="Calibri"/>
              </w:rPr>
              <w:t>7358</w:t>
            </w:r>
          </w:p>
        </w:tc>
        <w:tc>
          <w:tcPr>
            <w:tcW w:w="311" w:type="pct"/>
            <w:tcBorders>
              <w:top w:val="nil"/>
              <w:left w:val="nil"/>
              <w:bottom w:val="nil"/>
              <w:right w:val="nil"/>
            </w:tcBorders>
            <w:shd w:val="clear" w:color="auto" w:fill="auto"/>
            <w:noWrap/>
            <w:vAlign w:val="center"/>
            <w:hideMark/>
          </w:tcPr>
          <w:p w14:paraId="076E5512" w14:textId="77777777" w:rsidR="000D6168" w:rsidRPr="000A5942" w:rsidRDefault="000D6168" w:rsidP="00323FD6">
            <w:pPr>
              <w:rPr>
                <w:rFonts w:ascii="Calibri" w:hAnsi="Calibri" w:cs="Calibri"/>
              </w:rPr>
            </w:pPr>
            <w:r w:rsidRPr="000A5942">
              <w:rPr>
                <w:rFonts w:ascii="Calibri" w:hAnsi="Calibri" w:cs="Calibri"/>
              </w:rPr>
              <w:t>4471</w:t>
            </w:r>
          </w:p>
        </w:tc>
        <w:tc>
          <w:tcPr>
            <w:tcW w:w="280" w:type="pct"/>
            <w:tcBorders>
              <w:top w:val="nil"/>
              <w:left w:val="nil"/>
              <w:bottom w:val="nil"/>
              <w:right w:val="nil"/>
            </w:tcBorders>
            <w:shd w:val="clear" w:color="auto" w:fill="auto"/>
            <w:noWrap/>
            <w:vAlign w:val="center"/>
            <w:hideMark/>
          </w:tcPr>
          <w:p w14:paraId="2EC24A17" w14:textId="77777777" w:rsidR="000D6168" w:rsidRPr="000A5942" w:rsidRDefault="000D6168" w:rsidP="00323FD6">
            <w:pPr>
              <w:rPr>
                <w:rFonts w:ascii="Calibri" w:hAnsi="Calibri" w:cs="Calibri"/>
              </w:rPr>
            </w:pPr>
            <w:r w:rsidRPr="000A5942">
              <w:rPr>
                <w:rFonts w:ascii="Calibri" w:hAnsi="Calibri" w:cs="Calibri"/>
              </w:rPr>
              <w:t>10.9</w:t>
            </w:r>
          </w:p>
        </w:tc>
        <w:tc>
          <w:tcPr>
            <w:tcW w:w="1040" w:type="pct"/>
            <w:gridSpan w:val="3"/>
            <w:vMerge/>
            <w:tcBorders>
              <w:left w:val="nil"/>
              <w:right w:val="single" w:sz="4" w:space="0" w:color="auto"/>
            </w:tcBorders>
            <w:shd w:val="clear" w:color="auto" w:fill="auto"/>
            <w:noWrap/>
            <w:vAlign w:val="center"/>
            <w:hideMark/>
          </w:tcPr>
          <w:p w14:paraId="6EA110D2" w14:textId="77777777" w:rsidR="000D6168" w:rsidRPr="000A5942" w:rsidRDefault="000D6168" w:rsidP="00323FD6">
            <w:pPr>
              <w:rPr>
                <w:rFonts w:ascii="Calibri" w:hAnsi="Calibri" w:cs="Calibri"/>
              </w:rPr>
            </w:pPr>
          </w:p>
        </w:tc>
      </w:tr>
      <w:tr w:rsidR="000D6168" w:rsidRPr="000A5942" w14:paraId="7F862B28" w14:textId="77777777" w:rsidTr="00323FD6">
        <w:trPr>
          <w:trHeight w:val="290"/>
          <w:jc w:val="center"/>
        </w:trPr>
        <w:tc>
          <w:tcPr>
            <w:tcW w:w="971" w:type="pct"/>
            <w:gridSpan w:val="2"/>
            <w:vMerge/>
            <w:tcBorders>
              <w:left w:val="single" w:sz="4" w:space="0" w:color="auto"/>
              <w:bottom w:val="single" w:sz="4" w:space="0" w:color="auto"/>
              <w:right w:val="nil"/>
            </w:tcBorders>
            <w:shd w:val="clear" w:color="auto" w:fill="auto"/>
            <w:noWrap/>
            <w:vAlign w:val="center"/>
            <w:hideMark/>
          </w:tcPr>
          <w:p w14:paraId="46F89724"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49CB22D5" w14:textId="77777777" w:rsidR="000D6168" w:rsidRPr="000A5942" w:rsidRDefault="000D6168" w:rsidP="00323FD6">
            <w:pPr>
              <w:rPr>
                <w:rFonts w:ascii="Calibri" w:hAnsi="Calibri" w:cs="Calibri"/>
              </w:rPr>
            </w:pPr>
            <w:r w:rsidRPr="000A5942">
              <w:rPr>
                <w:rFonts w:ascii="Calibri" w:hAnsi="Calibri" w:cs="Calibri"/>
              </w:rPr>
              <w:t>Ga0112989_130</w:t>
            </w:r>
          </w:p>
        </w:tc>
        <w:tc>
          <w:tcPr>
            <w:tcW w:w="313" w:type="pct"/>
            <w:tcBorders>
              <w:top w:val="nil"/>
              <w:left w:val="nil"/>
              <w:bottom w:val="single" w:sz="4" w:space="0" w:color="auto"/>
              <w:right w:val="nil"/>
            </w:tcBorders>
            <w:shd w:val="clear" w:color="auto" w:fill="auto"/>
            <w:noWrap/>
            <w:vAlign w:val="center"/>
            <w:hideMark/>
          </w:tcPr>
          <w:p w14:paraId="11042EA8"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687E9E5F"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625" w:type="pct"/>
            <w:tcBorders>
              <w:top w:val="nil"/>
              <w:left w:val="nil"/>
              <w:bottom w:val="single" w:sz="4" w:space="0" w:color="auto"/>
              <w:right w:val="nil"/>
            </w:tcBorders>
            <w:shd w:val="clear" w:color="auto" w:fill="auto"/>
            <w:noWrap/>
            <w:vAlign w:val="center"/>
            <w:hideMark/>
          </w:tcPr>
          <w:p w14:paraId="5C8E9D51"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453" w:type="pct"/>
            <w:tcBorders>
              <w:top w:val="nil"/>
              <w:left w:val="nil"/>
              <w:bottom w:val="single" w:sz="4" w:space="0" w:color="auto"/>
              <w:right w:val="nil"/>
            </w:tcBorders>
            <w:shd w:val="clear" w:color="auto" w:fill="auto"/>
            <w:noWrap/>
            <w:vAlign w:val="center"/>
            <w:hideMark/>
          </w:tcPr>
          <w:p w14:paraId="66362176" w14:textId="77777777" w:rsidR="000D6168" w:rsidRPr="000A5942" w:rsidRDefault="000D6168" w:rsidP="00323FD6">
            <w:pPr>
              <w:rPr>
                <w:rFonts w:ascii="Calibri" w:hAnsi="Calibri" w:cs="Calibri"/>
              </w:rPr>
            </w:pPr>
            <w:r w:rsidRPr="000A5942">
              <w:rPr>
                <w:rFonts w:ascii="Calibri" w:hAnsi="Calibri" w:cs="Calibri"/>
              </w:rPr>
              <w:t>225</w:t>
            </w:r>
          </w:p>
        </w:tc>
        <w:tc>
          <w:tcPr>
            <w:tcW w:w="311" w:type="pct"/>
            <w:tcBorders>
              <w:top w:val="nil"/>
              <w:left w:val="nil"/>
              <w:bottom w:val="single" w:sz="4" w:space="0" w:color="auto"/>
              <w:right w:val="nil"/>
            </w:tcBorders>
            <w:shd w:val="clear" w:color="auto" w:fill="auto"/>
            <w:noWrap/>
            <w:vAlign w:val="center"/>
            <w:hideMark/>
          </w:tcPr>
          <w:p w14:paraId="45AEA16E" w14:textId="77777777" w:rsidR="000D6168" w:rsidRPr="000A5942" w:rsidRDefault="000D6168" w:rsidP="00323FD6">
            <w:pPr>
              <w:rPr>
                <w:rFonts w:ascii="Calibri" w:hAnsi="Calibri" w:cs="Calibri"/>
              </w:rPr>
            </w:pPr>
            <w:r w:rsidRPr="000A5942">
              <w:rPr>
                <w:rFonts w:ascii="Calibri" w:hAnsi="Calibri" w:cs="Calibri"/>
              </w:rPr>
              <w:t>2902</w:t>
            </w:r>
          </w:p>
        </w:tc>
        <w:tc>
          <w:tcPr>
            <w:tcW w:w="280" w:type="pct"/>
            <w:tcBorders>
              <w:top w:val="nil"/>
              <w:left w:val="nil"/>
              <w:bottom w:val="single" w:sz="4" w:space="0" w:color="auto"/>
              <w:right w:val="nil"/>
            </w:tcBorders>
            <w:shd w:val="clear" w:color="auto" w:fill="auto"/>
            <w:noWrap/>
            <w:vAlign w:val="center"/>
            <w:hideMark/>
          </w:tcPr>
          <w:p w14:paraId="5773D293" w14:textId="77777777" w:rsidR="000D6168" w:rsidRPr="000A5942" w:rsidRDefault="000D6168" w:rsidP="00323FD6">
            <w:pPr>
              <w:rPr>
                <w:rFonts w:ascii="Calibri" w:hAnsi="Calibri" w:cs="Calibri"/>
              </w:rPr>
            </w:pPr>
            <w:r w:rsidRPr="000A5942">
              <w:rPr>
                <w:rFonts w:ascii="Calibri" w:hAnsi="Calibri" w:cs="Calibri"/>
              </w:rPr>
              <w:t>10.6</w:t>
            </w:r>
          </w:p>
        </w:tc>
        <w:tc>
          <w:tcPr>
            <w:tcW w:w="1040" w:type="pct"/>
            <w:gridSpan w:val="3"/>
            <w:vMerge/>
            <w:tcBorders>
              <w:left w:val="nil"/>
              <w:bottom w:val="single" w:sz="4" w:space="0" w:color="auto"/>
              <w:right w:val="single" w:sz="4" w:space="0" w:color="auto"/>
            </w:tcBorders>
            <w:shd w:val="clear" w:color="auto" w:fill="auto"/>
            <w:noWrap/>
            <w:vAlign w:val="center"/>
            <w:hideMark/>
          </w:tcPr>
          <w:p w14:paraId="11623489" w14:textId="77777777" w:rsidR="000D6168" w:rsidRPr="000A5942" w:rsidRDefault="000D6168" w:rsidP="00323FD6">
            <w:pPr>
              <w:rPr>
                <w:rFonts w:ascii="Calibri" w:hAnsi="Calibri" w:cs="Calibri"/>
              </w:rPr>
            </w:pPr>
          </w:p>
        </w:tc>
      </w:tr>
      <w:tr w:rsidR="000D6168" w:rsidRPr="000A5942" w14:paraId="3930A1A1"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593290FF" w14:textId="77777777" w:rsidR="000D6168" w:rsidRPr="000A5942" w:rsidRDefault="000D6168" w:rsidP="00323FD6">
            <w:pPr>
              <w:rPr>
                <w:rFonts w:ascii="Calibri" w:hAnsi="Calibri" w:cs="Calibri"/>
              </w:rPr>
            </w:pPr>
            <w:r w:rsidRPr="000A5942">
              <w:rPr>
                <w:rFonts w:ascii="Calibri" w:hAnsi="Calibri" w:cs="Calibri"/>
              </w:rPr>
              <w:lastRenderedPageBreak/>
              <w:t>2667527653</w:t>
            </w:r>
          </w:p>
        </w:tc>
        <w:tc>
          <w:tcPr>
            <w:tcW w:w="452" w:type="pct"/>
            <w:tcBorders>
              <w:top w:val="nil"/>
              <w:left w:val="nil"/>
              <w:bottom w:val="nil"/>
              <w:right w:val="nil"/>
            </w:tcBorders>
            <w:shd w:val="clear" w:color="auto" w:fill="auto"/>
            <w:noWrap/>
            <w:vAlign w:val="center"/>
            <w:hideMark/>
          </w:tcPr>
          <w:p w14:paraId="03F15D08" w14:textId="77777777" w:rsidR="000D6168" w:rsidRPr="000A5942" w:rsidRDefault="000D6168" w:rsidP="00323FD6">
            <w:pPr>
              <w:rPr>
                <w:rFonts w:ascii="Calibri" w:hAnsi="Calibri" w:cs="Calibri"/>
              </w:rPr>
            </w:pPr>
            <w:proofErr w:type="spellStart"/>
            <w:r w:rsidRPr="000A5942">
              <w:rPr>
                <w:rFonts w:ascii="Calibri" w:hAnsi="Calibri" w:cs="Calibri"/>
              </w:rPr>
              <w:t>Leisingera</w:t>
            </w:r>
            <w:proofErr w:type="spellEnd"/>
            <w:r w:rsidRPr="000A5942">
              <w:rPr>
                <w:rFonts w:ascii="Calibri" w:hAnsi="Calibri" w:cs="Calibri"/>
              </w:rPr>
              <w:t xml:space="preserve"> sp. ANG-M6</w:t>
            </w:r>
          </w:p>
        </w:tc>
        <w:tc>
          <w:tcPr>
            <w:tcW w:w="347" w:type="pct"/>
            <w:tcBorders>
              <w:top w:val="nil"/>
              <w:left w:val="nil"/>
              <w:bottom w:val="nil"/>
              <w:right w:val="nil"/>
            </w:tcBorders>
            <w:shd w:val="clear" w:color="auto" w:fill="auto"/>
            <w:noWrap/>
            <w:vAlign w:val="center"/>
            <w:hideMark/>
          </w:tcPr>
          <w:p w14:paraId="5D8ABFF1" w14:textId="77777777" w:rsidR="000D6168" w:rsidRPr="000A5942" w:rsidRDefault="000D6168" w:rsidP="00323FD6">
            <w:pPr>
              <w:rPr>
                <w:rFonts w:ascii="Calibri" w:hAnsi="Calibri" w:cs="Calibri"/>
              </w:rPr>
            </w:pPr>
            <w:r w:rsidRPr="000A5942">
              <w:rPr>
                <w:rFonts w:ascii="Calibri" w:hAnsi="Calibri" w:cs="Calibri"/>
              </w:rPr>
              <w:t>Ga0112165_121</w:t>
            </w:r>
          </w:p>
        </w:tc>
        <w:tc>
          <w:tcPr>
            <w:tcW w:w="313" w:type="pct"/>
            <w:tcBorders>
              <w:top w:val="nil"/>
              <w:left w:val="nil"/>
              <w:bottom w:val="nil"/>
              <w:right w:val="nil"/>
            </w:tcBorders>
            <w:shd w:val="clear" w:color="auto" w:fill="auto"/>
            <w:noWrap/>
            <w:vAlign w:val="center"/>
            <w:hideMark/>
          </w:tcPr>
          <w:p w14:paraId="2EF257B2"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221B04A8"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625" w:type="pct"/>
            <w:tcBorders>
              <w:top w:val="nil"/>
              <w:left w:val="nil"/>
              <w:bottom w:val="nil"/>
              <w:right w:val="nil"/>
            </w:tcBorders>
            <w:shd w:val="clear" w:color="auto" w:fill="auto"/>
            <w:noWrap/>
            <w:vAlign w:val="center"/>
            <w:hideMark/>
          </w:tcPr>
          <w:p w14:paraId="018E7554" w14:textId="77777777" w:rsidR="000D6168" w:rsidRPr="000A5942" w:rsidRDefault="000D6168" w:rsidP="00323FD6">
            <w:pPr>
              <w:rPr>
                <w:rFonts w:ascii="Calibri" w:hAnsi="Calibri" w:cs="Calibri"/>
              </w:rPr>
            </w:pPr>
            <w:r w:rsidRPr="000A5942">
              <w:rPr>
                <w:rFonts w:ascii="Calibri" w:hAnsi="Calibri" w:cs="Calibri"/>
              </w:rPr>
              <w:t xml:space="preserve"> (R)-</w:t>
            </w:r>
            <w:proofErr w:type="spellStart"/>
            <w:r w:rsidRPr="000A5942">
              <w:rPr>
                <w:rFonts w:ascii="Calibri" w:hAnsi="Calibri" w:cs="Calibri"/>
              </w:rPr>
              <w:t>ethylmalonyl</w:t>
            </w:r>
            <w:proofErr w:type="spellEnd"/>
            <w:r w:rsidRPr="000A5942">
              <w:rPr>
                <w:rFonts w:ascii="Calibri" w:hAnsi="Calibri" w:cs="Calibri"/>
              </w:rPr>
              <w:t>-CoA mutase</w:t>
            </w:r>
          </w:p>
        </w:tc>
        <w:tc>
          <w:tcPr>
            <w:tcW w:w="453" w:type="pct"/>
            <w:tcBorders>
              <w:top w:val="nil"/>
              <w:left w:val="nil"/>
              <w:bottom w:val="nil"/>
              <w:right w:val="nil"/>
            </w:tcBorders>
            <w:shd w:val="clear" w:color="auto" w:fill="auto"/>
            <w:noWrap/>
            <w:vAlign w:val="center"/>
            <w:hideMark/>
          </w:tcPr>
          <w:p w14:paraId="5137D841" w14:textId="77777777" w:rsidR="000D6168" w:rsidRPr="000A5942" w:rsidRDefault="000D6168" w:rsidP="00323FD6">
            <w:pPr>
              <w:rPr>
                <w:rFonts w:ascii="Calibri" w:hAnsi="Calibri" w:cs="Calibri"/>
              </w:rPr>
            </w:pPr>
            <w:r w:rsidRPr="000A5942">
              <w:rPr>
                <w:rFonts w:ascii="Calibri" w:hAnsi="Calibri" w:cs="Calibri"/>
              </w:rPr>
              <w:t>3060</w:t>
            </w:r>
          </w:p>
        </w:tc>
        <w:tc>
          <w:tcPr>
            <w:tcW w:w="311" w:type="pct"/>
            <w:tcBorders>
              <w:top w:val="nil"/>
              <w:left w:val="nil"/>
              <w:bottom w:val="nil"/>
              <w:right w:val="nil"/>
            </w:tcBorders>
            <w:shd w:val="clear" w:color="auto" w:fill="auto"/>
            <w:noWrap/>
            <w:vAlign w:val="center"/>
            <w:hideMark/>
          </w:tcPr>
          <w:p w14:paraId="66700D0E" w14:textId="77777777" w:rsidR="000D6168" w:rsidRPr="000A5942" w:rsidRDefault="000D6168" w:rsidP="00323FD6">
            <w:pPr>
              <w:rPr>
                <w:rFonts w:ascii="Calibri" w:hAnsi="Calibri" w:cs="Calibri"/>
              </w:rPr>
            </w:pPr>
            <w:r w:rsidRPr="000A5942">
              <w:rPr>
                <w:rFonts w:ascii="Calibri" w:hAnsi="Calibri" w:cs="Calibri"/>
              </w:rPr>
              <w:t>4122</w:t>
            </w:r>
          </w:p>
        </w:tc>
        <w:tc>
          <w:tcPr>
            <w:tcW w:w="280" w:type="pct"/>
            <w:tcBorders>
              <w:top w:val="nil"/>
              <w:left w:val="nil"/>
              <w:bottom w:val="nil"/>
              <w:right w:val="nil"/>
            </w:tcBorders>
            <w:shd w:val="clear" w:color="auto" w:fill="auto"/>
            <w:noWrap/>
            <w:vAlign w:val="center"/>
            <w:hideMark/>
          </w:tcPr>
          <w:p w14:paraId="73B1B669" w14:textId="77777777" w:rsidR="000D6168" w:rsidRPr="000A5942" w:rsidRDefault="000D6168" w:rsidP="00323FD6">
            <w:pPr>
              <w:rPr>
                <w:rFonts w:ascii="Calibri" w:hAnsi="Calibri" w:cs="Calibri"/>
              </w:rPr>
            </w:pPr>
            <w:r w:rsidRPr="000A5942">
              <w:rPr>
                <w:rFonts w:ascii="Calibri" w:hAnsi="Calibri" w:cs="Calibri"/>
              </w:rPr>
              <w:t>38.8</w:t>
            </w:r>
          </w:p>
        </w:tc>
        <w:tc>
          <w:tcPr>
            <w:tcW w:w="347" w:type="pct"/>
            <w:tcBorders>
              <w:top w:val="nil"/>
              <w:left w:val="nil"/>
              <w:bottom w:val="nil"/>
              <w:right w:val="nil"/>
            </w:tcBorders>
            <w:shd w:val="clear" w:color="auto" w:fill="auto"/>
            <w:noWrap/>
            <w:vAlign w:val="center"/>
            <w:hideMark/>
          </w:tcPr>
          <w:p w14:paraId="03AFE2AB" w14:textId="77777777" w:rsidR="000D6168" w:rsidRPr="000A5942" w:rsidRDefault="000D6168" w:rsidP="00323FD6">
            <w:pPr>
              <w:rPr>
                <w:rFonts w:ascii="Calibri" w:hAnsi="Calibri" w:cs="Calibri"/>
              </w:rPr>
            </w:pPr>
            <w:r w:rsidRPr="000A5942">
              <w:rPr>
                <w:rFonts w:ascii="Calibri" w:hAnsi="Calibri" w:cs="Calibri"/>
              </w:rPr>
              <w:t>3</w:t>
            </w:r>
          </w:p>
        </w:tc>
        <w:tc>
          <w:tcPr>
            <w:tcW w:w="313" w:type="pct"/>
            <w:tcBorders>
              <w:top w:val="nil"/>
              <w:left w:val="nil"/>
              <w:bottom w:val="nil"/>
              <w:right w:val="nil"/>
            </w:tcBorders>
            <w:shd w:val="clear" w:color="auto" w:fill="auto"/>
            <w:noWrap/>
            <w:vAlign w:val="center"/>
            <w:hideMark/>
          </w:tcPr>
          <w:p w14:paraId="0D976BCD" w14:textId="77777777" w:rsidR="000D6168" w:rsidRPr="000A5942" w:rsidRDefault="000D6168" w:rsidP="00323FD6">
            <w:pPr>
              <w:rPr>
                <w:rFonts w:ascii="Calibri" w:hAnsi="Calibri" w:cs="Calibri"/>
              </w:rPr>
            </w:pPr>
            <w:r w:rsidRPr="000A5942">
              <w:rPr>
                <w:rFonts w:ascii="Calibri" w:hAnsi="Calibri" w:cs="Calibri"/>
              </w:rPr>
              <w:t>4367</w:t>
            </w:r>
          </w:p>
        </w:tc>
        <w:tc>
          <w:tcPr>
            <w:tcW w:w="380" w:type="pct"/>
            <w:tcBorders>
              <w:top w:val="nil"/>
              <w:left w:val="nil"/>
              <w:bottom w:val="nil"/>
              <w:right w:val="single" w:sz="4" w:space="0" w:color="auto"/>
            </w:tcBorders>
            <w:shd w:val="clear" w:color="auto" w:fill="auto"/>
            <w:noWrap/>
            <w:vAlign w:val="center"/>
            <w:hideMark/>
          </w:tcPr>
          <w:p w14:paraId="050F5B5D" w14:textId="77777777" w:rsidR="000D6168" w:rsidRPr="000A5942" w:rsidRDefault="000D6168" w:rsidP="00323FD6">
            <w:pPr>
              <w:rPr>
                <w:rFonts w:ascii="Calibri" w:hAnsi="Calibri" w:cs="Calibri"/>
              </w:rPr>
            </w:pPr>
            <w:r w:rsidRPr="000A5942">
              <w:rPr>
                <w:rFonts w:ascii="Calibri" w:hAnsi="Calibri" w:cs="Calibri"/>
              </w:rPr>
              <w:t xml:space="preserve"> 0.0687%</w:t>
            </w:r>
          </w:p>
        </w:tc>
      </w:tr>
      <w:tr w:rsidR="000D6168" w:rsidRPr="000A5942" w14:paraId="4C5F223B" w14:textId="77777777" w:rsidTr="00323FD6">
        <w:trPr>
          <w:trHeight w:val="290"/>
          <w:jc w:val="center"/>
        </w:trPr>
        <w:tc>
          <w:tcPr>
            <w:tcW w:w="971" w:type="pct"/>
            <w:gridSpan w:val="2"/>
            <w:vMerge w:val="restart"/>
            <w:tcBorders>
              <w:top w:val="nil"/>
              <w:left w:val="single" w:sz="4" w:space="0" w:color="auto"/>
              <w:right w:val="nil"/>
            </w:tcBorders>
            <w:shd w:val="clear" w:color="auto" w:fill="auto"/>
            <w:noWrap/>
            <w:vAlign w:val="center"/>
            <w:hideMark/>
          </w:tcPr>
          <w:p w14:paraId="19B562BA"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5E9926C0" w14:textId="77777777" w:rsidR="000D6168" w:rsidRPr="000A5942" w:rsidRDefault="000D6168" w:rsidP="00323FD6">
            <w:pPr>
              <w:rPr>
                <w:rFonts w:ascii="Calibri" w:hAnsi="Calibri" w:cs="Calibri"/>
              </w:rPr>
            </w:pPr>
            <w:r w:rsidRPr="000A5942">
              <w:rPr>
                <w:rFonts w:ascii="Calibri" w:hAnsi="Calibri" w:cs="Calibri"/>
              </w:rPr>
              <w:t>Ga0112165_121</w:t>
            </w:r>
          </w:p>
        </w:tc>
        <w:tc>
          <w:tcPr>
            <w:tcW w:w="313" w:type="pct"/>
            <w:tcBorders>
              <w:top w:val="nil"/>
              <w:left w:val="nil"/>
              <w:bottom w:val="nil"/>
              <w:right w:val="nil"/>
            </w:tcBorders>
            <w:shd w:val="clear" w:color="auto" w:fill="auto"/>
            <w:noWrap/>
            <w:vAlign w:val="center"/>
            <w:hideMark/>
          </w:tcPr>
          <w:p w14:paraId="347081E5"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5B34087B" w14:textId="77777777" w:rsidR="000D6168" w:rsidRPr="000A5942" w:rsidRDefault="000D6168" w:rsidP="00323FD6">
            <w:pPr>
              <w:rPr>
                <w:rFonts w:ascii="Calibri" w:hAnsi="Calibri" w:cs="Calibri"/>
              </w:rPr>
            </w:pPr>
            <w:r w:rsidRPr="000A5942">
              <w:rPr>
                <w:rFonts w:ascii="Calibri" w:hAnsi="Calibri" w:cs="Calibri"/>
              </w:rPr>
              <w:t>acyl homoserine lactone synthase</w:t>
            </w:r>
          </w:p>
        </w:tc>
        <w:tc>
          <w:tcPr>
            <w:tcW w:w="625" w:type="pct"/>
            <w:tcBorders>
              <w:top w:val="nil"/>
              <w:left w:val="nil"/>
              <w:bottom w:val="nil"/>
              <w:right w:val="nil"/>
            </w:tcBorders>
            <w:shd w:val="clear" w:color="auto" w:fill="auto"/>
            <w:noWrap/>
            <w:vAlign w:val="center"/>
            <w:hideMark/>
          </w:tcPr>
          <w:p w14:paraId="76362BCD"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regulator, </w:t>
            </w:r>
            <w:proofErr w:type="spellStart"/>
            <w:r w:rsidRPr="000A5942">
              <w:rPr>
                <w:rFonts w:ascii="Calibri" w:hAnsi="Calibri" w:cs="Calibri"/>
              </w:rPr>
              <w:t>CsgD</w:t>
            </w:r>
            <w:proofErr w:type="spellEnd"/>
            <w:r w:rsidRPr="000A5942">
              <w:rPr>
                <w:rFonts w:ascii="Calibri" w:hAnsi="Calibri" w:cs="Calibri"/>
              </w:rPr>
              <w:t xml:space="preserve"> family</w:t>
            </w:r>
          </w:p>
        </w:tc>
        <w:tc>
          <w:tcPr>
            <w:tcW w:w="453" w:type="pct"/>
            <w:tcBorders>
              <w:top w:val="nil"/>
              <w:left w:val="nil"/>
              <w:bottom w:val="nil"/>
              <w:right w:val="nil"/>
            </w:tcBorders>
            <w:shd w:val="clear" w:color="auto" w:fill="auto"/>
            <w:noWrap/>
            <w:vAlign w:val="center"/>
            <w:hideMark/>
          </w:tcPr>
          <w:p w14:paraId="173B3E80" w14:textId="77777777" w:rsidR="000D6168" w:rsidRPr="000A5942" w:rsidRDefault="000D6168" w:rsidP="00323FD6">
            <w:pPr>
              <w:rPr>
                <w:rFonts w:ascii="Calibri" w:hAnsi="Calibri" w:cs="Calibri"/>
              </w:rPr>
            </w:pPr>
            <w:r w:rsidRPr="000A5942">
              <w:rPr>
                <w:rFonts w:ascii="Calibri" w:hAnsi="Calibri" w:cs="Calibri"/>
              </w:rPr>
              <w:t>2</w:t>
            </w:r>
          </w:p>
        </w:tc>
        <w:tc>
          <w:tcPr>
            <w:tcW w:w="311" w:type="pct"/>
            <w:tcBorders>
              <w:top w:val="nil"/>
              <w:left w:val="nil"/>
              <w:bottom w:val="nil"/>
              <w:right w:val="nil"/>
            </w:tcBorders>
            <w:shd w:val="clear" w:color="auto" w:fill="auto"/>
            <w:noWrap/>
            <w:vAlign w:val="center"/>
            <w:hideMark/>
          </w:tcPr>
          <w:p w14:paraId="56D9850C" w14:textId="77777777" w:rsidR="000D6168" w:rsidRPr="000A5942" w:rsidRDefault="000D6168" w:rsidP="00323FD6">
            <w:pPr>
              <w:rPr>
                <w:rFonts w:ascii="Calibri" w:hAnsi="Calibri" w:cs="Calibri"/>
              </w:rPr>
            </w:pPr>
            <w:r w:rsidRPr="000A5942">
              <w:rPr>
                <w:rFonts w:ascii="Calibri" w:hAnsi="Calibri" w:cs="Calibri"/>
              </w:rPr>
              <w:t>56</w:t>
            </w:r>
          </w:p>
        </w:tc>
        <w:tc>
          <w:tcPr>
            <w:tcW w:w="280" w:type="pct"/>
            <w:tcBorders>
              <w:top w:val="nil"/>
              <w:left w:val="nil"/>
              <w:bottom w:val="nil"/>
              <w:right w:val="nil"/>
            </w:tcBorders>
            <w:shd w:val="clear" w:color="auto" w:fill="auto"/>
            <w:noWrap/>
            <w:vAlign w:val="center"/>
            <w:hideMark/>
          </w:tcPr>
          <w:p w14:paraId="71D20150" w14:textId="77777777" w:rsidR="000D6168" w:rsidRPr="000A5942" w:rsidRDefault="000D6168" w:rsidP="00323FD6">
            <w:pPr>
              <w:rPr>
                <w:rFonts w:ascii="Calibri" w:hAnsi="Calibri" w:cs="Calibri"/>
              </w:rPr>
            </w:pPr>
            <w:r w:rsidRPr="000A5942">
              <w:rPr>
                <w:rFonts w:ascii="Calibri" w:hAnsi="Calibri" w:cs="Calibri"/>
              </w:rPr>
              <w:t>29.2</w:t>
            </w:r>
          </w:p>
        </w:tc>
        <w:tc>
          <w:tcPr>
            <w:tcW w:w="1040" w:type="pct"/>
            <w:gridSpan w:val="3"/>
            <w:vMerge w:val="restart"/>
            <w:tcBorders>
              <w:top w:val="nil"/>
              <w:left w:val="nil"/>
              <w:right w:val="single" w:sz="4" w:space="0" w:color="auto"/>
            </w:tcBorders>
            <w:shd w:val="clear" w:color="auto" w:fill="auto"/>
            <w:noWrap/>
            <w:vAlign w:val="center"/>
            <w:hideMark/>
          </w:tcPr>
          <w:p w14:paraId="20893FBE" w14:textId="77777777" w:rsidR="000D6168" w:rsidRPr="000A5942" w:rsidRDefault="000D6168" w:rsidP="00323FD6">
            <w:pPr>
              <w:rPr>
                <w:rFonts w:ascii="Calibri" w:hAnsi="Calibri" w:cs="Calibri"/>
              </w:rPr>
            </w:pPr>
          </w:p>
        </w:tc>
      </w:tr>
      <w:tr w:rsidR="000D6168" w:rsidRPr="000A5942" w14:paraId="328BBECC" w14:textId="77777777" w:rsidTr="00323FD6">
        <w:trPr>
          <w:trHeight w:val="290"/>
          <w:jc w:val="center"/>
        </w:trPr>
        <w:tc>
          <w:tcPr>
            <w:tcW w:w="971" w:type="pct"/>
            <w:gridSpan w:val="2"/>
            <w:vMerge/>
            <w:tcBorders>
              <w:left w:val="single" w:sz="4" w:space="0" w:color="auto"/>
              <w:bottom w:val="single" w:sz="4" w:space="0" w:color="auto"/>
              <w:right w:val="nil"/>
            </w:tcBorders>
            <w:shd w:val="clear" w:color="auto" w:fill="auto"/>
            <w:noWrap/>
            <w:vAlign w:val="center"/>
            <w:hideMark/>
          </w:tcPr>
          <w:p w14:paraId="78B112D6"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3C2CA10A" w14:textId="77777777" w:rsidR="000D6168" w:rsidRPr="000A5942" w:rsidRDefault="000D6168" w:rsidP="00323FD6">
            <w:pPr>
              <w:rPr>
                <w:rFonts w:ascii="Calibri" w:hAnsi="Calibri" w:cs="Calibri"/>
              </w:rPr>
            </w:pPr>
            <w:r w:rsidRPr="000A5942">
              <w:rPr>
                <w:rFonts w:ascii="Calibri" w:hAnsi="Calibri" w:cs="Calibri"/>
              </w:rPr>
              <w:t>Ga0112165_117</w:t>
            </w:r>
          </w:p>
        </w:tc>
        <w:tc>
          <w:tcPr>
            <w:tcW w:w="313" w:type="pct"/>
            <w:tcBorders>
              <w:top w:val="nil"/>
              <w:left w:val="nil"/>
              <w:bottom w:val="single" w:sz="4" w:space="0" w:color="auto"/>
              <w:right w:val="nil"/>
            </w:tcBorders>
            <w:shd w:val="clear" w:color="auto" w:fill="auto"/>
            <w:noWrap/>
            <w:vAlign w:val="center"/>
            <w:hideMark/>
          </w:tcPr>
          <w:p w14:paraId="172ADBDF"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6241A851"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625" w:type="pct"/>
            <w:tcBorders>
              <w:top w:val="nil"/>
              <w:left w:val="nil"/>
              <w:bottom w:val="single" w:sz="4" w:space="0" w:color="auto"/>
              <w:right w:val="nil"/>
            </w:tcBorders>
            <w:shd w:val="clear" w:color="auto" w:fill="auto"/>
            <w:noWrap/>
            <w:vAlign w:val="center"/>
            <w:hideMark/>
          </w:tcPr>
          <w:p w14:paraId="0BE30F02" w14:textId="77777777" w:rsidR="000D6168" w:rsidRPr="000A5942" w:rsidRDefault="000D6168" w:rsidP="00323FD6">
            <w:pPr>
              <w:rPr>
                <w:rFonts w:ascii="Calibri" w:hAnsi="Calibri" w:cs="Calibri"/>
              </w:rPr>
            </w:pPr>
            <w:r w:rsidRPr="000A5942">
              <w:rPr>
                <w:rFonts w:ascii="Calibri" w:hAnsi="Calibri" w:cs="Calibri"/>
              </w:rPr>
              <w:t xml:space="preserve"> uridylate kinase</w:t>
            </w:r>
          </w:p>
        </w:tc>
        <w:tc>
          <w:tcPr>
            <w:tcW w:w="453" w:type="pct"/>
            <w:tcBorders>
              <w:top w:val="nil"/>
              <w:left w:val="nil"/>
              <w:bottom w:val="single" w:sz="4" w:space="0" w:color="auto"/>
              <w:right w:val="nil"/>
            </w:tcBorders>
            <w:shd w:val="clear" w:color="auto" w:fill="auto"/>
            <w:noWrap/>
            <w:vAlign w:val="center"/>
            <w:hideMark/>
          </w:tcPr>
          <w:p w14:paraId="20C38291" w14:textId="77777777" w:rsidR="000D6168" w:rsidRPr="000A5942" w:rsidRDefault="000D6168" w:rsidP="00323FD6">
            <w:pPr>
              <w:rPr>
                <w:rFonts w:ascii="Calibri" w:hAnsi="Calibri" w:cs="Calibri"/>
              </w:rPr>
            </w:pPr>
            <w:r w:rsidRPr="000A5942">
              <w:rPr>
                <w:rFonts w:ascii="Calibri" w:hAnsi="Calibri" w:cs="Calibri"/>
              </w:rPr>
              <w:t>2243</w:t>
            </w:r>
          </w:p>
        </w:tc>
        <w:tc>
          <w:tcPr>
            <w:tcW w:w="311" w:type="pct"/>
            <w:tcBorders>
              <w:top w:val="nil"/>
              <w:left w:val="nil"/>
              <w:bottom w:val="single" w:sz="4" w:space="0" w:color="auto"/>
              <w:right w:val="nil"/>
            </w:tcBorders>
            <w:shd w:val="clear" w:color="auto" w:fill="auto"/>
            <w:noWrap/>
            <w:vAlign w:val="center"/>
            <w:hideMark/>
          </w:tcPr>
          <w:p w14:paraId="0774A90E" w14:textId="77777777" w:rsidR="000D6168" w:rsidRPr="000A5942" w:rsidRDefault="000D6168" w:rsidP="00323FD6">
            <w:pPr>
              <w:rPr>
                <w:rFonts w:ascii="Calibri" w:hAnsi="Calibri" w:cs="Calibri"/>
              </w:rPr>
            </w:pPr>
            <w:r w:rsidRPr="000A5942">
              <w:rPr>
                <w:rFonts w:ascii="Calibri" w:hAnsi="Calibri" w:cs="Calibri"/>
              </w:rPr>
              <w:t>6359</w:t>
            </w:r>
          </w:p>
        </w:tc>
        <w:tc>
          <w:tcPr>
            <w:tcW w:w="280" w:type="pct"/>
            <w:tcBorders>
              <w:top w:val="nil"/>
              <w:left w:val="nil"/>
              <w:bottom w:val="single" w:sz="4" w:space="0" w:color="auto"/>
              <w:right w:val="nil"/>
            </w:tcBorders>
            <w:shd w:val="clear" w:color="auto" w:fill="auto"/>
            <w:noWrap/>
            <w:vAlign w:val="center"/>
            <w:hideMark/>
          </w:tcPr>
          <w:p w14:paraId="2186304A" w14:textId="77777777" w:rsidR="000D6168" w:rsidRPr="000A5942" w:rsidRDefault="000D6168" w:rsidP="00323FD6">
            <w:pPr>
              <w:rPr>
                <w:rFonts w:ascii="Calibri" w:hAnsi="Calibri" w:cs="Calibri"/>
              </w:rPr>
            </w:pPr>
            <w:r w:rsidRPr="000A5942">
              <w:rPr>
                <w:rFonts w:ascii="Calibri" w:hAnsi="Calibri" w:cs="Calibri"/>
              </w:rPr>
              <w:t>13</w:t>
            </w:r>
          </w:p>
        </w:tc>
        <w:tc>
          <w:tcPr>
            <w:tcW w:w="1040" w:type="pct"/>
            <w:gridSpan w:val="3"/>
            <w:vMerge/>
            <w:tcBorders>
              <w:left w:val="nil"/>
              <w:bottom w:val="single" w:sz="4" w:space="0" w:color="auto"/>
              <w:right w:val="single" w:sz="4" w:space="0" w:color="auto"/>
            </w:tcBorders>
            <w:shd w:val="clear" w:color="auto" w:fill="auto"/>
            <w:noWrap/>
            <w:vAlign w:val="center"/>
            <w:hideMark/>
          </w:tcPr>
          <w:p w14:paraId="33F7552F" w14:textId="77777777" w:rsidR="000D6168" w:rsidRPr="000A5942" w:rsidRDefault="000D6168" w:rsidP="00323FD6">
            <w:pPr>
              <w:rPr>
                <w:rFonts w:ascii="Calibri" w:hAnsi="Calibri" w:cs="Calibri"/>
              </w:rPr>
            </w:pPr>
          </w:p>
        </w:tc>
      </w:tr>
      <w:tr w:rsidR="000D6168" w:rsidRPr="000A5942" w14:paraId="0E36C7DE"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36235FF7" w14:textId="77777777" w:rsidR="000D6168" w:rsidRPr="000A5942" w:rsidRDefault="000D6168" w:rsidP="00323FD6">
            <w:pPr>
              <w:rPr>
                <w:rFonts w:ascii="Calibri" w:hAnsi="Calibri" w:cs="Calibri"/>
              </w:rPr>
            </w:pPr>
            <w:r w:rsidRPr="000A5942">
              <w:rPr>
                <w:rFonts w:ascii="Calibri" w:hAnsi="Calibri" w:cs="Calibri"/>
              </w:rPr>
              <w:t>2690316282</w:t>
            </w:r>
          </w:p>
        </w:tc>
        <w:tc>
          <w:tcPr>
            <w:tcW w:w="452" w:type="pct"/>
            <w:tcBorders>
              <w:top w:val="nil"/>
              <w:left w:val="nil"/>
              <w:bottom w:val="nil"/>
              <w:right w:val="nil"/>
            </w:tcBorders>
            <w:shd w:val="clear" w:color="auto" w:fill="auto"/>
            <w:noWrap/>
            <w:vAlign w:val="center"/>
            <w:hideMark/>
          </w:tcPr>
          <w:p w14:paraId="062567FE" w14:textId="77777777" w:rsidR="000D6168" w:rsidRPr="000A5942" w:rsidRDefault="000D6168" w:rsidP="00323FD6">
            <w:pPr>
              <w:rPr>
                <w:rFonts w:ascii="Calibri" w:hAnsi="Calibri" w:cs="Calibri"/>
              </w:rPr>
            </w:pPr>
            <w:proofErr w:type="spellStart"/>
            <w:r w:rsidRPr="000A5942">
              <w:rPr>
                <w:rFonts w:ascii="Calibri" w:hAnsi="Calibri" w:cs="Calibri"/>
              </w:rPr>
              <w:t>Leisingera</w:t>
            </w:r>
            <w:proofErr w:type="spellEnd"/>
            <w:r w:rsidRPr="000A5942">
              <w:rPr>
                <w:rFonts w:ascii="Calibri" w:hAnsi="Calibri" w:cs="Calibri"/>
              </w:rPr>
              <w:t xml:space="preserve"> sp. ANG-M7</w:t>
            </w:r>
          </w:p>
        </w:tc>
        <w:tc>
          <w:tcPr>
            <w:tcW w:w="347" w:type="pct"/>
            <w:tcBorders>
              <w:top w:val="nil"/>
              <w:left w:val="nil"/>
              <w:bottom w:val="nil"/>
              <w:right w:val="nil"/>
            </w:tcBorders>
            <w:shd w:val="clear" w:color="auto" w:fill="auto"/>
            <w:noWrap/>
            <w:vAlign w:val="center"/>
            <w:hideMark/>
          </w:tcPr>
          <w:p w14:paraId="641325E8" w14:textId="77777777" w:rsidR="000D6168" w:rsidRPr="000A5942" w:rsidRDefault="000D6168" w:rsidP="00323FD6">
            <w:pPr>
              <w:rPr>
                <w:rFonts w:ascii="Calibri" w:hAnsi="Calibri" w:cs="Calibri"/>
              </w:rPr>
            </w:pPr>
            <w:r w:rsidRPr="000A5942">
              <w:rPr>
                <w:rFonts w:ascii="Calibri" w:hAnsi="Calibri" w:cs="Calibri"/>
              </w:rPr>
              <w:t>Ga0112167_105</w:t>
            </w:r>
          </w:p>
        </w:tc>
        <w:tc>
          <w:tcPr>
            <w:tcW w:w="313" w:type="pct"/>
            <w:tcBorders>
              <w:top w:val="nil"/>
              <w:left w:val="nil"/>
              <w:bottom w:val="nil"/>
              <w:right w:val="nil"/>
            </w:tcBorders>
            <w:shd w:val="clear" w:color="auto" w:fill="auto"/>
            <w:noWrap/>
            <w:vAlign w:val="center"/>
            <w:hideMark/>
          </w:tcPr>
          <w:p w14:paraId="4DA21CAF"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5F333286" w14:textId="77777777" w:rsidR="000D6168" w:rsidRPr="000A5942" w:rsidRDefault="000D6168" w:rsidP="00323FD6">
            <w:pPr>
              <w:rPr>
                <w:rFonts w:ascii="Calibri" w:hAnsi="Calibri" w:cs="Calibri"/>
              </w:rPr>
            </w:pPr>
            <w:r w:rsidRPr="000A5942">
              <w:rPr>
                <w:rFonts w:ascii="Calibri" w:hAnsi="Calibri" w:cs="Calibri"/>
              </w:rPr>
              <w:t xml:space="preserve"> (R)-</w:t>
            </w:r>
            <w:proofErr w:type="spellStart"/>
            <w:r w:rsidRPr="000A5942">
              <w:rPr>
                <w:rFonts w:ascii="Calibri" w:hAnsi="Calibri" w:cs="Calibri"/>
              </w:rPr>
              <w:t>ethylmalonyl</w:t>
            </w:r>
            <w:proofErr w:type="spellEnd"/>
            <w:r w:rsidRPr="000A5942">
              <w:rPr>
                <w:rFonts w:ascii="Calibri" w:hAnsi="Calibri" w:cs="Calibri"/>
              </w:rPr>
              <w:t>-CoA mutase</w:t>
            </w:r>
          </w:p>
        </w:tc>
        <w:tc>
          <w:tcPr>
            <w:tcW w:w="625" w:type="pct"/>
            <w:tcBorders>
              <w:top w:val="nil"/>
              <w:left w:val="nil"/>
              <w:bottom w:val="nil"/>
              <w:right w:val="nil"/>
            </w:tcBorders>
            <w:shd w:val="clear" w:color="auto" w:fill="auto"/>
            <w:noWrap/>
            <w:vAlign w:val="center"/>
            <w:hideMark/>
          </w:tcPr>
          <w:p w14:paraId="4A262D6C"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453" w:type="pct"/>
            <w:tcBorders>
              <w:top w:val="nil"/>
              <w:left w:val="nil"/>
              <w:bottom w:val="nil"/>
              <w:right w:val="nil"/>
            </w:tcBorders>
            <w:shd w:val="clear" w:color="auto" w:fill="auto"/>
            <w:noWrap/>
            <w:vAlign w:val="center"/>
            <w:hideMark/>
          </w:tcPr>
          <w:p w14:paraId="35A973E8" w14:textId="77777777" w:rsidR="000D6168" w:rsidRPr="000A5942" w:rsidRDefault="000D6168" w:rsidP="00323FD6">
            <w:pPr>
              <w:rPr>
                <w:rFonts w:ascii="Calibri" w:hAnsi="Calibri" w:cs="Calibri"/>
              </w:rPr>
            </w:pPr>
            <w:r w:rsidRPr="000A5942">
              <w:rPr>
                <w:rFonts w:ascii="Calibri" w:hAnsi="Calibri" w:cs="Calibri"/>
              </w:rPr>
              <w:t>4122</w:t>
            </w:r>
          </w:p>
        </w:tc>
        <w:tc>
          <w:tcPr>
            <w:tcW w:w="311" w:type="pct"/>
            <w:tcBorders>
              <w:top w:val="nil"/>
              <w:left w:val="nil"/>
              <w:bottom w:val="nil"/>
              <w:right w:val="nil"/>
            </w:tcBorders>
            <w:shd w:val="clear" w:color="auto" w:fill="auto"/>
            <w:noWrap/>
            <w:vAlign w:val="center"/>
            <w:hideMark/>
          </w:tcPr>
          <w:p w14:paraId="40D065CB" w14:textId="77777777" w:rsidR="000D6168" w:rsidRPr="000A5942" w:rsidRDefault="000D6168" w:rsidP="00323FD6">
            <w:pPr>
              <w:rPr>
                <w:rFonts w:ascii="Calibri" w:hAnsi="Calibri" w:cs="Calibri"/>
              </w:rPr>
            </w:pPr>
            <w:r w:rsidRPr="000A5942">
              <w:rPr>
                <w:rFonts w:ascii="Calibri" w:hAnsi="Calibri" w:cs="Calibri"/>
              </w:rPr>
              <w:t>3146</w:t>
            </w:r>
          </w:p>
        </w:tc>
        <w:tc>
          <w:tcPr>
            <w:tcW w:w="280" w:type="pct"/>
            <w:tcBorders>
              <w:top w:val="nil"/>
              <w:left w:val="nil"/>
              <w:bottom w:val="nil"/>
              <w:right w:val="nil"/>
            </w:tcBorders>
            <w:shd w:val="clear" w:color="auto" w:fill="auto"/>
            <w:noWrap/>
            <w:vAlign w:val="center"/>
            <w:hideMark/>
          </w:tcPr>
          <w:p w14:paraId="15DE06C6" w14:textId="77777777" w:rsidR="000D6168" w:rsidRPr="000A5942" w:rsidRDefault="000D6168" w:rsidP="00323FD6">
            <w:pPr>
              <w:rPr>
                <w:rFonts w:ascii="Calibri" w:hAnsi="Calibri" w:cs="Calibri"/>
              </w:rPr>
            </w:pPr>
            <w:r w:rsidRPr="000A5942">
              <w:rPr>
                <w:rFonts w:ascii="Calibri" w:hAnsi="Calibri" w:cs="Calibri"/>
              </w:rPr>
              <w:t>40.1</w:t>
            </w:r>
          </w:p>
        </w:tc>
        <w:tc>
          <w:tcPr>
            <w:tcW w:w="347" w:type="pct"/>
            <w:tcBorders>
              <w:top w:val="nil"/>
              <w:left w:val="nil"/>
              <w:bottom w:val="nil"/>
              <w:right w:val="nil"/>
            </w:tcBorders>
            <w:shd w:val="clear" w:color="auto" w:fill="auto"/>
            <w:noWrap/>
            <w:vAlign w:val="center"/>
            <w:hideMark/>
          </w:tcPr>
          <w:p w14:paraId="01B68E3C" w14:textId="77777777" w:rsidR="000D6168" w:rsidRPr="000A5942" w:rsidRDefault="000D6168" w:rsidP="00323FD6">
            <w:pPr>
              <w:rPr>
                <w:rFonts w:ascii="Calibri" w:hAnsi="Calibri" w:cs="Calibri"/>
              </w:rPr>
            </w:pPr>
            <w:r w:rsidRPr="000A5942">
              <w:rPr>
                <w:rFonts w:ascii="Calibri" w:hAnsi="Calibri" w:cs="Calibri"/>
              </w:rPr>
              <w:t>4</w:t>
            </w:r>
          </w:p>
        </w:tc>
        <w:tc>
          <w:tcPr>
            <w:tcW w:w="313" w:type="pct"/>
            <w:tcBorders>
              <w:top w:val="nil"/>
              <w:left w:val="nil"/>
              <w:bottom w:val="nil"/>
              <w:right w:val="nil"/>
            </w:tcBorders>
            <w:shd w:val="clear" w:color="auto" w:fill="auto"/>
            <w:noWrap/>
            <w:vAlign w:val="center"/>
            <w:hideMark/>
          </w:tcPr>
          <w:p w14:paraId="537B3F08" w14:textId="77777777" w:rsidR="000D6168" w:rsidRPr="000A5942" w:rsidRDefault="000D6168" w:rsidP="00323FD6">
            <w:pPr>
              <w:rPr>
                <w:rFonts w:ascii="Calibri" w:hAnsi="Calibri" w:cs="Calibri"/>
              </w:rPr>
            </w:pPr>
            <w:r w:rsidRPr="000A5942">
              <w:rPr>
                <w:rFonts w:ascii="Calibri" w:hAnsi="Calibri" w:cs="Calibri"/>
              </w:rPr>
              <w:t>4448</w:t>
            </w:r>
          </w:p>
        </w:tc>
        <w:tc>
          <w:tcPr>
            <w:tcW w:w="380" w:type="pct"/>
            <w:tcBorders>
              <w:top w:val="nil"/>
              <w:left w:val="nil"/>
              <w:bottom w:val="nil"/>
              <w:right w:val="single" w:sz="4" w:space="0" w:color="auto"/>
            </w:tcBorders>
            <w:shd w:val="clear" w:color="auto" w:fill="auto"/>
            <w:noWrap/>
            <w:vAlign w:val="center"/>
            <w:hideMark/>
          </w:tcPr>
          <w:p w14:paraId="3A2DE855" w14:textId="77777777" w:rsidR="000D6168" w:rsidRPr="000A5942" w:rsidRDefault="000D6168" w:rsidP="00323FD6">
            <w:pPr>
              <w:rPr>
                <w:rFonts w:ascii="Calibri" w:hAnsi="Calibri" w:cs="Calibri"/>
              </w:rPr>
            </w:pPr>
            <w:r w:rsidRPr="000A5942">
              <w:rPr>
                <w:rFonts w:ascii="Calibri" w:hAnsi="Calibri" w:cs="Calibri"/>
              </w:rPr>
              <w:t xml:space="preserve"> 0.0899%</w:t>
            </w:r>
          </w:p>
        </w:tc>
      </w:tr>
      <w:tr w:rsidR="000D6168" w:rsidRPr="000A5942" w14:paraId="57A0416E" w14:textId="77777777" w:rsidTr="00323FD6">
        <w:trPr>
          <w:trHeight w:val="290"/>
          <w:jc w:val="center"/>
        </w:trPr>
        <w:tc>
          <w:tcPr>
            <w:tcW w:w="971" w:type="pct"/>
            <w:gridSpan w:val="2"/>
            <w:vMerge w:val="restart"/>
            <w:tcBorders>
              <w:top w:val="nil"/>
              <w:left w:val="single" w:sz="4" w:space="0" w:color="auto"/>
              <w:right w:val="nil"/>
            </w:tcBorders>
            <w:shd w:val="clear" w:color="auto" w:fill="auto"/>
            <w:noWrap/>
            <w:vAlign w:val="center"/>
            <w:hideMark/>
          </w:tcPr>
          <w:p w14:paraId="669E51F5"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62BB1AB0" w14:textId="77777777" w:rsidR="000D6168" w:rsidRPr="000A5942" w:rsidRDefault="000D6168" w:rsidP="00323FD6">
            <w:pPr>
              <w:rPr>
                <w:rFonts w:ascii="Calibri" w:hAnsi="Calibri" w:cs="Calibri"/>
              </w:rPr>
            </w:pPr>
            <w:r w:rsidRPr="000A5942">
              <w:rPr>
                <w:rFonts w:ascii="Calibri" w:hAnsi="Calibri" w:cs="Calibri"/>
              </w:rPr>
              <w:t>Ga0112167_105</w:t>
            </w:r>
          </w:p>
        </w:tc>
        <w:tc>
          <w:tcPr>
            <w:tcW w:w="313" w:type="pct"/>
            <w:tcBorders>
              <w:top w:val="nil"/>
              <w:left w:val="nil"/>
              <w:bottom w:val="nil"/>
              <w:right w:val="nil"/>
            </w:tcBorders>
            <w:shd w:val="clear" w:color="auto" w:fill="auto"/>
            <w:noWrap/>
            <w:vAlign w:val="center"/>
            <w:hideMark/>
          </w:tcPr>
          <w:p w14:paraId="3EFBC75A"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5C1B935F"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regulator, </w:t>
            </w:r>
            <w:proofErr w:type="spellStart"/>
            <w:r w:rsidRPr="000A5942">
              <w:rPr>
                <w:rFonts w:ascii="Calibri" w:hAnsi="Calibri" w:cs="Calibri"/>
              </w:rPr>
              <w:t>CsgD</w:t>
            </w:r>
            <w:proofErr w:type="spellEnd"/>
            <w:r w:rsidRPr="000A5942">
              <w:rPr>
                <w:rFonts w:ascii="Calibri" w:hAnsi="Calibri" w:cs="Calibri"/>
              </w:rPr>
              <w:t xml:space="preserve"> family</w:t>
            </w:r>
          </w:p>
        </w:tc>
        <w:tc>
          <w:tcPr>
            <w:tcW w:w="625" w:type="pct"/>
            <w:tcBorders>
              <w:top w:val="nil"/>
              <w:left w:val="nil"/>
              <w:bottom w:val="nil"/>
              <w:right w:val="nil"/>
            </w:tcBorders>
            <w:shd w:val="clear" w:color="auto" w:fill="auto"/>
            <w:noWrap/>
            <w:vAlign w:val="center"/>
            <w:hideMark/>
          </w:tcPr>
          <w:p w14:paraId="28F18EE3" w14:textId="77777777" w:rsidR="000D6168" w:rsidRPr="000A5942" w:rsidRDefault="000D6168" w:rsidP="00323FD6">
            <w:pPr>
              <w:rPr>
                <w:rFonts w:ascii="Calibri" w:hAnsi="Calibri" w:cs="Calibri"/>
              </w:rPr>
            </w:pPr>
            <w:r w:rsidRPr="000A5942">
              <w:rPr>
                <w:rFonts w:ascii="Calibri" w:hAnsi="Calibri" w:cs="Calibri"/>
              </w:rPr>
              <w:t>acyl homoserine lactone synthase</w:t>
            </w:r>
          </w:p>
        </w:tc>
        <w:tc>
          <w:tcPr>
            <w:tcW w:w="453" w:type="pct"/>
            <w:tcBorders>
              <w:top w:val="nil"/>
              <w:left w:val="nil"/>
              <w:bottom w:val="nil"/>
              <w:right w:val="nil"/>
            </w:tcBorders>
            <w:shd w:val="clear" w:color="auto" w:fill="auto"/>
            <w:noWrap/>
            <w:vAlign w:val="center"/>
            <w:hideMark/>
          </w:tcPr>
          <w:p w14:paraId="5603591B" w14:textId="77777777" w:rsidR="000D6168" w:rsidRPr="000A5942" w:rsidRDefault="000D6168" w:rsidP="00323FD6">
            <w:pPr>
              <w:rPr>
                <w:rFonts w:ascii="Calibri" w:hAnsi="Calibri" w:cs="Calibri"/>
              </w:rPr>
            </w:pPr>
            <w:r w:rsidRPr="000A5942">
              <w:rPr>
                <w:rFonts w:ascii="Calibri" w:hAnsi="Calibri" w:cs="Calibri"/>
              </w:rPr>
              <w:t>56</w:t>
            </w:r>
          </w:p>
        </w:tc>
        <w:tc>
          <w:tcPr>
            <w:tcW w:w="311" w:type="pct"/>
            <w:tcBorders>
              <w:top w:val="nil"/>
              <w:left w:val="nil"/>
              <w:bottom w:val="nil"/>
              <w:right w:val="nil"/>
            </w:tcBorders>
            <w:shd w:val="clear" w:color="auto" w:fill="auto"/>
            <w:noWrap/>
            <w:vAlign w:val="center"/>
            <w:hideMark/>
          </w:tcPr>
          <w:p w14:paraId="597E34F4" w14:textId="77777777" w:rsidR="000D6168" w:rsidRPr="000A5942" w:rsidRDefault="000D6168" w:rsidP="00323FD6">
            <w:pPr>
              <w:rPr>
                <w:rFonts w:ascii="Calibri" w:hAnsi="Calibri" w:cs="Calibri"/>
              </w:rPr>
            </w:pPr>
            <w:r w:rsidRPr="000A5942">
              <w:rPr>
                <w:rFonts w:ascii="Calibri" w:hAnsi="Calibri" w:cs="Calibri"/>
              </w:rPr>
              <w:t>2</w:t>
            </w:r>
          </w:p>
        </w:tc>
        <w:tc>
          <w:tcPr>
            <w:tcW w:w="280" w:type="pct"/>
            <w:tcBorders>
              <w:top w:val="nil"/>
              <w:left w:val="nil"/>
              <w:bottom w:val="nil"/>
              <w:right w:val="nil"/>
            </w:tcBorders>
            <w:shd w:val="clear" w:color="auto" w:fill="auto"/>
            <w:noWrap/>
            <w:vAlign w:val="center"/>
            <w:hideMark/>
          </w:tcPr>
          <w:p w14:paraId="59C24DCE" w14:textId="77777777" w:rsidR="000D6168" w:rsidRPr="000A5942" w:rsidRDefault="000D6168" w:rsidP="00323FD6">
            <w:pPr>
              <w:rPr>
                <w:rFonts w:ascii="Calibri" w:hAnsi="Calibri" w:cs="Calibri"/>
              </w:rPr>
            </w:pPr>
            <w:r w:rsidRPr="000A5942">
              <w:rPr>
                <w:rFonts w:ascii="Calibri" w:hAnsi="Calibri" w:cs="Calibri"/>
              </w:rPr>
              <w:t>30.7</w:t>
            </w:r>
          </w:p>
        </w:tc>
        <w:tc>
          <w:tcPr>
            <w:tcW w:w="1040" w:type="pct"/>
            <w:gridSpan w:val="3"/>
            <w:vMerge w:val="restart"/>
            <w:tcBorders>
              <w:top w:val="nil"/>
              <w:left w:val="nil"/>
              <w:right w:val="single" w:sz="4" w:space="0" w:color="auto"/>
            </w:tcBorders>
            <w:shd w:val="clear" w:color="auto" w:fill="auto"/>
            <w:noWrap/>
            <w:vAlign w:val="center"/>
            <w:hideMark/>
          </w:tcPr>
          <w:p w14:paraId="0E2FB786" w14:textId="77777777" w:rsidR="000D6168" w:rsidRPr="000A5942" w:rsidRDefault="000D6168" w:rsidP="00323FD6">
            <w:pPr>
              <w:rPr>
                <w:rFonts w:ascii="Calibri" w:hAnsi="Calibri" w:cs="Calibri"/>
              </w:rPr>
            </w:pPr>
          </w:p>
        </w:tc>
      </w:tr>
      <w:tr w:rsidR="000D6168" w:rsidRPr="000A5942" w14:paraId="5DA1DF75" w14:textId="77777777" w:rsidTr="00323FD6">
        <w:trPr>
          <w:trHeight w:val="290"/>
          <w:jc w:val="center"/>
        </w:trPr>
        <w:tc>
          <w:tcPr>
            <w:tcW w:w="971" w:type="pct"/>
            <w:gridSpan w:val="2"/>
            <w:vMerge/>
            <w:tcBorders>
              <w:left w:val="single" w:sz="4" w:space="0" w:color="auto"/>
              <w:right w:val="nil"/>
            </w:tcBorders>
            <w:shd w:val="clear" w:color="auto" w:fill="auto"/>
            <w:noWrap/>
            <w:vAlign w:val="center"/>
            <w:hideMark/>
          </w:tcPr>
          <w:p w14:paraId="39FB0A2E"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6EC24BCB" w14:textId="77777777" w:rsidR="000D6168" w:rsidRPr="000A5942" w:rsidRDefault="000D6168" w:rsidP="00323FD6">
            <w:pPr>
              <w:rPr>
                <w:rFonts w:ascii="Calibri" w:hAnsi="Calibri" w:cs="Calibri"/>
              </w:rPr>
            </w:pPr>
            <w:r w:rsidRPr="000A5942">
              <w:rPr>
                <w:rFonts w:ascii="Calibri" w:hAnsi="Calibri" w:cs="Calibri"/>
              </w:rPr>
              <w:t>Ga0112167_104</w:t>
            </w:r>
          </w:p>
        </w:tc>
        <w:tc>
          <w:tcPr>
            <w:tcW w:w="313" w:type="pct"/>
            <w:tcBorders>
              <w:top w:val="nil"/>
              <w:left w:val="nil"/>
              <w:bottom w:val="nil"/>
              <w:right w:val="nil"/>
            </w:tcBorders>
            <w:shd w:val="clear" w:color="auto" w:fill="auto"/>
            <w:noWrap/>
            <w:vAlign w:val="center"/>
            <w:hideMark/>
          </w:tcPr>
          <w:p w14:paraId="2EE296B8"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45BCE0F1"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625" w:type="pct"/>
            <w:tcBorders>
              <w:top w:val="nil"/>
              <w:left w:val="nil"/>
              <w:bottom w:val="nil"/>
              <w:right w:val="nil"/>
            </w:tcBorders>
            <w:shd w:val="clear" w:color="auto" w:fill="auto"/>
            <w:noWrap/>
            <w:vAlign w:val="center"/>
            <w:hideMark/>
          </w:tcPr>
          <w:p w14:paraId="7A0E5E0E" w14:textId="77777777" w:rsidR="000D6168" w:rsidRPr="000A5942" w:rsidRDefault="000D6168" w:rsidP="00323FD6">
            <w:pPr>
              <w:rPr>
                <w:rFonts w:ascii="Calibri" w:hAnsi="Calibri" w:cs="Calibri"/>
              </w:rPr>
            </w:pPr>
            <w:r w:rsidRPr="000A5942">
              <w:rPr>
                <w:rFonts w:ascii="Calibri" w:hAnsi="Calibri" w:cs="Calibri"/>
              </w:rPr>
              <w:t xml:space="preserve"> transcriptional regulator, </w:t>
            </w:r>
            <w:proofErr w:type="spellStart"/>
            <w:r w:rsidRPr="000A5942">
              <w:rPr>
                <w:rFonts w:ascii="Calibri" w:hAnsi="Calibri" w:cs="Calibri"/>
              </w:rPr>
              <w:t>LacI</w:t>
            </w:r>
            <w:proofErr w:type="spellEnd"/>
            <w:r w:rsidRPr="000A5942">
              <w:rPr>
                <w:rFonts w:ascii="Calibri" w:hAnsi="Calibri" w:cs="Calibri"/>
              </w:rPr>
              <w:t xml:space="preserve"> family</w:t>
            </w:r>
          </w:p>
        </w:tc>
        <w:tc>
          <w:tcPr>
            <w:tcW w:w="453" w:type="pct"/>
            <w:tcBorders>
              <w:top w:val="nil"/>
              <w:left w:val="nil"/>
              <w:bottom w:val="nil"/>
              <w:right w:val="nil"/>
            </w:tcBorders>
            <w:shd w:val="clear" w:color="auto" w:fill="auto"/>
            <w:noWrap/>
            <w:vAlign w:val="center"/>
            <w:hideMark/>
          </w:tcPr>
          <w:p w14:paraId="143B3D7E" w14:textId="77777777" w:rsidR="000D6168" w:rsidRPr="000A5942" w:rsidRDefault="000D6168" w:rsidP="00323FD6">
            <w:pPr>
              <w:rPr>
                <w:rFonts w:ascii="Calibri" w:hAnsi="Calibri" w:cs="Calibri"/>
              </w:rPr>
            </w:pPr>
            <w:r w:rsidRPr="000A5942">
              <w:rPr>
                <w:rFonts w:ascii="Calibri" w:hAnsi="Calibri" w:cs="Calibri"/>
              </w:rPr>
              <w:t>78</w:t>
            </w:r>
          </w:p>
        </w:tc>
        <w:tc>
          <w:tcPr>
            <w:tcW w:w="311" w:type="pct"/>
            <w:tcBorders>
              <w:top w:val="nil"/>
              <w:left w:val="nil"/>
              <w:bottom w:val="nil"/>
              <w:right w:val="nil"/>
            </w:tcBorders>
            <w:shd w:val="clear" w:color="auto" w:fill="auto"/>
            <w:noWrap/>
            <w:vAlign w:val="center"/>
            <w:hideMark/>
          </w:tcPr>
          <w:p w14:paraId="3FB2CEBC" w14:textId="77777777" w:rsidR="000D6168" w:rsidRPr="000A5942" w:rsidRDefault="000D6168" w:rsidP="00323FD6">
            <w:pPr>
              <w:rPr>
                <w:rFonts w:ascii="Calibri" w:hAnsi="Calibri" w:cs="Calibri"/>
              </w:rPr>
            </w:pPr>
            <w:r w:rsidRPr="000A5942">
              <w:rPr>
                <w:rFonts w:ascii="Calibri" w:hAnsi="Calibri" w:cs="Calibri"/>
              </w:rPr>
              <w:t>6142</w:t>
            </w:r>
          </w:p>
        </w:tc>
        <w:tc>
          <w:tcPr>
            <w:tcW w:w="280" w:type="pct"/>
            <w:tcBorders>
              <w:top w:val="nil"/>
              <w:left w:val="nil"/>
              <w:bottom w:val="nil"/>
              <w:right w:val="nil"/>
            </w:tcBorders>
            <w:shd w:val="clear" w:color="auto" w:fill="auto"/>
            <w:noWrap/>
            <w:vAlign w:val="center"/>
            <w:hideMark/>
          </w:tcPr>
          <w:p w14:paraId="49B1D278" w14:textId="77777777" w:rsidR="000D6168" w:rsidRPr="000A5942" w:rsidRDefault="000D6168" w:rsidP="00323FD6">
            <w:pPr>
              <w:rPr>
                <w:rFonts w:ascii="Calibri" w:hAnsi="Calibri" w:cs="Calibri"/>
              </w:rPr>
            </w:pPr>
            <w:r w:rsidRPr="000A5942">
              <w:rPr>
                <w:rFonts w:ascii="Calibri" w:hAnsi="Calibri" w:cs="Calibri"/>
              </w:rPr>
              <w:t>13.6</w:t>
            </w:r>
          </w:p>
        </w:tc>
        <w:tc>
          <w:tcPr>
            <w:tcW w:w="1040" w:type="pct"/>
            <w:gridSpan w:val="3"/>
            <w:vMerge/>
            <w:tcBorders>
              <w:left w:val="nil"/>
              <w:right w:val="single" w:sz="4" w:space="0" w:color="auto"/>
            </w:tcBorders>
            <w:shd w:val="clear" w:color="auto" w:fill="auto"/>
            <w:noWrap/>
            <w:vAlign w:val="center"/>
            <w:hideMark/>
          </w:tcPr>
          <w:p w14:paraId="45E42D12" w14:textId="77777777" w:rsidR="000D6168" w:rsidRPr="000A5942" w:rsidRDefault="000D6168" w:rsidP="00323FD6">
            <w:pPr>
              <w:rPr>
                <w:rFonts w:ascii="Calibri" w:hAnsi="Calibri" w:cs="Calibri"/>
              </w:rPr>
            </w:pPr>
          </w:p>
        </w:tc>
      </w:tr>
      <w:tr w:rsidR="000D6168" w:rsidRPr="000A5942" w14:paraId="6084FB23" w14:textId="77777777" w:rsidTr="00323FD6">
        <w:trPr>
          <w:trHeight w:val="290"/>
          <w:jc w:val="center"/>
        </w:trPr>
        <w:tc>
          <w:tcPr>
            <w:tcW w:w="971" w:type="pct"/>
            <w:gridSpan w:val="2"/>
            <w:vMerge/>
            <w:tcBorders>
              <w:left w:val="single" w:sz="4" w:space="0" w:color="auto"/>
              <w:bottom w:val="single" w:sz="4" w:space="0" w:color="auto"/>
              <w:right w:val="nil"/>
            </w:tcBorders>
            <w:shd w:val="clear" w:color="auto" w:fill="auto"/>
            <w:noWrap/>
            <w:vAlign w:val="center"/>
            <w:hideMark/>
          </w:tcPr>
          <w:p w14:paraId="26067621"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60EE95AB" w14:textId="77777777" w:rsidR="000D6168" w:rsidRPr="000A5942" w:rsidRDefault="000D6168" w:rsidP="00323FD6">
            <w:pPr>
              <w:rPr>
                <w:rFonts w:ascii="Calibri" w:hAnsi="Calibri" w:cs="Calibri"/>
              </w:rPr>
            </w:pPr>
            <w:r w:rsidRPr="000A5942">
              <w:rPr>
                <w:rFonts w:ascii="Calibri" w:hAnsi="Calibri" w:cs="Calibri"/>
              </w:rPr>
              <w:t>Ga0112167_113</w:t>
            </w:r>
          </w:p>
        </w:tc>
        <w:tc>
          <w:tcPr>
            <w:tcW w:w="313" w:type="pct"/>
            <w:tcBorders>
              <w:top w:val="nil"/>
              <w:left w:val="nil"/>
              <w:bottom w:val="single" w:sz="4" w:space="0" w:color="auto"/>
              <w:right w:val="nil"/>
            </w:tcBorders>
            <w:shd w:val="clear" w:color="auto" w:fill="auto"/>
            <w:noWrap/>
            <w:vAlign w:val="center"/>
            <w:hideMark/>
          </w:tcPr>
          <w:p w14:paraId="3BF0BE7A"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1DC823BE"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625" w:type="pct"/>
            <w:tcBorders>
              <w:top w:val="nil"/>
              <w:left w:val="nil"/>
              <w:bottom w:val="single" w:sz="4" w:space="0" w:color="auto"/>
              <w:right w:val="nil"/>
            </w:tcBorders>
            <w:shd w:val="clear" w:color="auto" w:fill="auto"/>
            <w:noWrap/>
            <w:vAlign w:val="center"/>
            <w:hideMark/>
          </w:tcPr>
          <w:p w14:paraId="220FE633"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453" w:type="pct"/>
            <w:tcBorders>
              <w:top w:val="nil"/>
              <w:left w:val="nil"/>
              <w:bottom w:val="single" w:sz="4" w:space="0" w:color="auto"/>
              <w:right w:val="nil"/>
            </w:tcBorders>
            <w:shd w:val="clear" w:color="auto" w:fill="auto"/>
            <w:noWrap/>
            <w:vAlign w:val="center"/>
            <w:hideMark/>
          </w:tcPr>
          <w:p w14:paraId="56FEF284" w14:textId="77777777" w:rsidR="000D6168" w:rsidRPr="000A5942" w:rsidRDefault="000D6168" w:rsidP="00323FD6">
            <w:pPr>
              <w:rPr>
                <w:rFonts w:ascii="Calibri" w:hAnsi="Calibri" w:cs="Calibri"/>
              </w:rPr>
            </w:pPr>
            <w:r w:rsidRPr="000A5942">
              <w:rPr>
                <w:rFonts w:ascii="Calibri" w:hAnsi="Calibri" w:cs="Calibri"/>
              </w:rPr>
              <w:t>139</w:t>
            </w:r>
          </w:p>
        </w:tc>
        <w:tc>
          <w:tcPr>
            <w:tcW w:w="311" w:type="pct"/>
            <w:tcBorders>
              <w:top w:val="nil"/>
              <w:left w:val="nil"/>
              <w:bottom w:val="single" w:sz="4" w:space="0" w:color="auto"/>
              <w:right w:val="nil"/>
            </w:tcBorders>
            <w:shd w:val="clear" w:color="auto" w:fill="auto"/>
            <w:noWrap/>
            <w:vAlign w:val="center"/>
            <w:hideMark/>
          </w:tcPr>
          <w:p w14:paraId="0DAA9071" w14:textId="77777777" w:rsidR="000D6168" w:rsidRPr="000A5942" w:rsidRDefault="000D6168" w:rsidP="00323FD6">
            <w:pPr>
              <w:rPr>
                <w:rFonts w:ascii="Calibri" w:hAnsi="Calibri" w:cs="Calibri"/>
              </w:rPr>
            </w:pPr>
            <w:r w:rsidRPr="000A5942">
              <w:rPr>
                <w:rFonts w:ascii="Calibri" w:hAnsi="Calibri" w:cs="Calibri"/>
              </w:rPr>
              <w:t>111</w:t>
            </w:r>
          </w:p>
        </w:tc>
        <w:tc>
          <w:tcPr>
            <w:tcW w:w="280" w:type="pct"/>
            <w:tcBorders>
              <w:top w:val="nil"/>
              <w:left w:val="nil"/>
              <w:bottom w:val="single" w:sz="4" w:space="0" w:color="auto"/>
              <w:right w:val="nil"/>
            </w:tcBorders>
            <w:shd w:val="clear" w:color="auto" w:fill="auto"/>
            <w:noWrap/>
            <w:vAlign w:val="center"/>
            <w:hideMark/>
          </w:tcPr>
          <w:p w14:paraId="6373F466" w14:textId="77777777" w:rsidR="000D6168" w:rsidRPr="000A5942" w:rsidRDefault="000D6168" w:rsidP="00323FD6">
            <w:pPr>
              <w:rPr>
                <w:rFonts w:ascii="Calibri" w:hAnsi="Calibri" w:cs="Calibri"/>
              </w:rPr>
            </w:pPr>
            <w:r w:rsidRPr="000A5942">
              <w:rPr>
                <w:rFonts w:ascii="Calibri" w:hAnsi="Calibri" w:cs="Calibri"/>
              </w:rPr>
              <w:t>11.9</w:t>
            </w:r>
          </w:p>
        </w:tc>
        <w:tc>
          <w:tcPr>
            <w:tcW w:w="1040" w:type="pct"/>
            <w:gridSpan w:val="3"/>
            <w:vMerge/>
            <w:tcBorders>
              <w:left w:val="nil"/>
              <w:bottom w:val="single" w:sz="4" w:space="0" w:color="auto"/>
              <w:right w:val="single" w:sz="4" w:space="0" w:color="auto"/>
            </w:tcBorders>
            <w:shd w:val="clear" w:color="auto" w:fill="auto"/>
            <w:noWrap/>
            <w:vAlign w:val="center"/>
            <w:hideMark/>
          </w:tcPr>
          <w:p w14:paraId="7273D37B" w14:textId="77777777" w:rsidR="000D6168" w:rsidRPr="000A5942" w:rsidRDefault="000D6168" w:rsidP="00323FD6">
            <w:pPr>
              <w:rPr>
                <w:rFonts w:ascii="Calibri" w:hAnsi="Calibri" w:cs="Calibri"/>
              </w:rPr>
            </w:pPr>
          </w:p>
        </w:tc>
      </w:tr>
      <w:tr w:rsidR="000D6168" w:rsidRPr="000A5942" w14:paraId="6285AD87"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68A34574" w14:textId="77777777" w:rsidR="000D6168" w:rsidRPr="000A5942" w:rsidRDefault="000D6168" w:rsidP="00323FD6">
            <w:pPr>
              <w:rPr>
                <w:rFonts w:ascii="Calibri" w:hAnsi="Calibri" w:cs="Calibri"/>
              </w:rPr>
            </w:pPr>
            <w:r w:rsidRPr="000A5942">
              <w:rPr>
                <w:rFonts w:ascii="Calibri" w:hAnsi="Calibri" w:cs="Calibri"/>
              </w:rPr>
              <w:t>2657244983</w:t>
            </w:r>
          </w:p>
        </w:tc>
        <w:tc>
          <w:tcPr>
            <w:tcW w:w="452" w:type="pct"/>
            <w:tcBorders>
              <w:top w:val="nil"/>
              <w:left w:val="nil"/>
              <w:bottom w:val="nil"/>
              <w:right w:val="nil"/>
            </w:tcBorders>
            <w:shd w:val="clear" w:color="auto" w:fill="auto"/>
            <w:noWrap/>
            <w:vAlign w:val="center"/>
            <w:hideMark/>
          </w:tcPr>
          <w:p w14:paraId="5AAC67E1" w14:textId="77777777" w:rsidR="000D6168" w:rsidRPr="000A5942" w:rsidRDefault="000D6168" w:rsidP="00323FD6">
            <w:pPr>
              <w:rPr>
                <w:rFonts w:ascii="Calibri" w:hAnsi="Calibri" w:cs="Calibri"/>
              </w:rPr>
            </w:pPr>
            <w:proofErr w:type="spellStart"/>
            <w:r w:rsidRPr="000A5942">
              <w:rPr>
                <w:rFonts w:ascii="Calibri" w:hAnsi="Calibri" w:cs="Calibri"/>
              </w:rPr>
              <w:t>Leisingera</w:t>
            </w:r>
            <w:proofErr w:type="spellEnd"/>
            <w:r w:rsidRPr="000A5942">
              <w:rPr>
                <w:rFonts w:ascii="Calibri" w:hAnsi="Calibri" w:cs="Calibri"/>
              </w:rPr>
              <w:t xml:space="preserve"> sp. ANG-S</w:t>
            </w:r>
          </w:p>
        </w:tc>
        <w:tc>
          <w:tcPr>
            <w:tcW w:w="347" w:type="pct"/>
            <w:tcBorders>
              <w:top w:val="nil"/>
              <w:left w:val="nil"/>
              <w:bottom w:val="nil"/>
              <w:right w:val="nil"/>
            </w:tcBorders>
            <w:shd w:val="clear" w:color="auto" w:fill="auto"/>
            <w:noWrap/>
            <w:vAlign w:val="center"/>
            <w:hideMark/>
          </w:tcPr>
          <w:p w14:paraId="2319FC6E" w14:textId="77777777" w:rsidR="000D6168" w:rsidRPr="000A5942" w:rsidRDefault="000D6168" w:rsidP="00323FD6">
            <w:pPr>
              <w:rPr>
                <w:rFonts w:ascii="Calibri" w:hAnsi="Calibri" w:cs="Calibri"/>
              </w:rPr>
            </w:pPr>
            <w:r w:rsidRPr="000A5942">
              <w:rPr>
                <w:rFonts w:ascii="Calibri" w:hAnsi="Calibri" w:cs="Calibri"/>
              </w:rPr>
              <w:t>Ga0112170_101</w:t>
            </w:r>
          </w:p>
        </w:tc>
        <w:tc>
          <w:tcPr>
            <w:tcW w:w="313" w:type="pct"/>
            <w:tcBorders>
              <w:top w:val="nil"/>
              <w:left w:val="nil"/>
              <w:bottom w:val="nil"/>
              <w:right w:val="nil"/>
            </w:tcBorders>
            <w:shd w:val="clear" w:color="auto" w:fill="auto"/>
            <w:noWrap/>
            <w:vAlign w:val="center"/>
            <w:hideMark/>
          </w:tcPr>
          <w:p w14:paraId="36F5CBB2"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0E944D4D" w14:textId="77777777" w:rsidR="000D6168" w:rsidRPr="000A5942" w:rsidRDefault="000D6168" w:rsidP="00323FD6">
            <w:pPr>
              <w:rPr>
                <w:rFonts w:ascii="Calibri" w:hAnsi="Calibri" w:cs="Calibri"/>
              </w:rPr>
            </w:pPr>
            <w:r w:rsidRPr="000A5942">
              <w:rPr>
                <w:rFonts w:ascii="Calibri" w:hAnsi="Calibri" w:cs="Calibri"/>
              </w:rPr>
              <w:t xml:space="preserve"> (R)-</w:t>
            </w:r>
            <w:proofErr w:type="spellStart"/>
            <w:r w:rsidRPr="000A5942">
              <w:rPr>
                <w:rFonts w:ascii="Calibri" w:hAnsi="Calibri" w:cs="Calibri"/>
              </w:rPr>
              <w:t>ethylmalonyl</w:t>
            </w:r>
            <w:proofErr w:type="spellEnd"/>
            <w:r w:rsidRPr="000A5942">
              <w:rPr>
                <w:rFonts w:ascii="Calibri" w:hAnsi="Calibri" w:cs="Calibri"/>
              </w:rPr>
              <w:t>-CoA mutase</w:t>
            </w:r>
          </w:p>
        </w:tc>
        <w:tc>
          <w:tcPr>
            <w:tcW w:w="625" w:type="pct"/>
            <w:tcBorders>
              <w:top w:val="nil"/>
              <w:left w:val="nil"/>
              <w:bottom w:val="nil"/>
              <w:right w:val="nil"/>
            </w:tcBorders>
            <w:shd w:val="clear" w:color="auto" w:fill="auto"/>
            <w:noWrap/>
            <w:vAlign w:val="center"/>
            <w:hideMark/>
          </w:tcPr>
          <w:p w14:paraId="6A662A15"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453" w:type="pct"/>
            <w:tcBorders>
              <w:top w:val="nil"/>
              <w:left w:val="nil"/>
              <w:bottom w:val="nil"/>
              <w:right w:val="nil"/>
            </w:tcBorders>
            <w:shd w:val="clear" w:color="auto" w:fill="auto"/>
            <w:noWrap/>
            <w:vAlign w:val="center"/>
            <w:hideMark/>
          </w:tcPr>
          <w:p w14:paraId="6C6960C9" w14:textId="77777777" w:rsidR="000D6168" w:rsidRPr="000A5942" w:rsidRDefault="000D6168" w:rsidP="00323FD6">
            <w:pPr>
              <w:rPr>
                <w:rFonts w:ascii="Calibri" w:hAnsi="Calibri" w:cs="Calibri"/>
              </w:rPr>
            </w:pPr>
            <w:r w:rsidRPr="000A5942">
              <w:rPr>
                <w:rFonts w:ascii="Calibri" w:hAnsi="Calibri" w:cs="Calibri"/>
              </w:rPr>
              <w:t>4122</w:t>
            </w:r>
          </w:p>
        </w:tc>
        <w:tc>
          <w:tcPr>
            <w:tcW w:w="311" w:type="pct"/>
            <w:tcBorders>
              <w:top w:val="nil"/>
              <w:left w:val="nil"/>
              <w:bottom w:val="nil"/>
              <w:right w:val="nil"/>
            </w:tcBorders>
            <w:shd w:val="clear" w:color="auto" w:fill="auto"/>
            <w:noWrap/>
            <w:vAlign w:val="center"/>
            <w:hideMark/>
          </w:tcPr>
          <w:p w14:paraId="21B2F436" w14:textId="77777777" w:rsidR="000D6168" w:rsidRPr="000A5942" w:rsidRDefault="000D6168" w:rsidP="00323FD6">
            <w:pPr>
              <w:rPr>
                <w:rFonts w:ascii="Calibri" w:hAnsi="Calibri" w:cs="Calibri"/>
              </w:rPr>
            </w:pPr>
            <w:r w:rsidRPr="000A5942">
              <w:rPr>
                <w:rFonts w:ascii="Calibri" w:hAnsi="Calibri" w:cs="Calibri"/>
              </w:rPr>
              <w:t>3060</w:t>
            </w:r>
          </w:p>
        </w:tc>
        <w:tc>
          <w:tcPr>
            <w:tcW w:w="280" w:type="pct"/>
            <w:tcBorders>
              <w:top w:val="nil"/>
              <w:left w:val="nil"/>
              <w:bottom w:val="nil"/>
              <w:right w:val="nil"/>
            </w:tcBorders>
            <w:shd w:val="clear" w:color="auto" w:fill="auto"/>
            <w:noWrap/>
            <w:vAlign w:val="center"/>
            <w:hideMark/>
          </w:tcPr>
          <w:p w14:paraId="694F7263" w14:textId="77777777" w:rsidR="000D6168" w:rsidRPr="000A5942" w:rsidRDefault="000D6168" w:rsidP="00323FD6">
            <w:pPr>
              <w:rPr>
                <w:rFonts w:ascii="Calibri" w:hAnsi="Calibri" w:cs="Calibri"/>
              </w:rPr>
            </w:pPr>
            <w:r w:rsidRPr="000A5942">
              <w:rPr>
                <w:rFonts w:ascii="Calibri" w:hAnsi="Calibri" w:cs="Calibri"/>
              </w:rPr>
              <w:t>38.8</w:t>
            </w:r>
          </w:p>
        </w:tc>
        <w:tc>
          <w:tcPr>
            <w:tcW w:w="347" w:type="pct"/>
            <w:tcBorders>
              <w:top w:val="nil"/>
              <w:left w:val="nil"/>
              <w:bottom w:val="nil"/>
              <w:right w:val="nil"/>
            </w:tcBorders>
            <w:shd w:val="clear" w:color="auto" w:fill="auto"/>
            <w:noWrap/>
            <w:vAlign w:val="center"/>
            <w:hideMark/>
          </w:tcPr>
          <w:p w14:paraId="27E437B4" w14:textId="77777777" w:rsidR="000D6168" w:rsidRPr="000A5942" w:rsidRDefault="000D6168" w:rsidP="00323FD6">
            <w:pPr>
              <w:rPr>
                <w:rFonts w:ascii="Calibri" w:hAnsi="Calibri" w:cs="Calibri"/>
              </w:rPr>
            </w:pPr>
            <w:r w:rsidRPr="000A5942">
              <w:rPr>
                <w:rFonts w:ascii="Calibri" w:hAnsi="Calibri" w:cs="Calibri"/>
              </w:rPr>
              <w:t>4</w:t>
            </w:r>
          </w:p>
        </w:tc>
        <w:tc>
          <w:tcPr>
            <w:tcW w:w="313" w:type="pct"/>
            <w:tcBorders>
              <w:top w:val="nil"/>
              <w:left w:val="nil"/>
              <w:bottom w:val="nil"/>
              <w:right w:val="nil"/>
            </w:tcBorders>
            <w:shd w:val="clear" w:color="auto" w:fill="auto"/>
            <w:noWrap/>
            <w:vAlign w:val="center"/>
            <w:hideMark/>
          </w:tcPr>
          <w:p w14:paraId="7939B1E7" w14:textId="77777777" w:rsidR="000D6168" w:rsidRPr="000A5942" w:rsidRDefault="000D6168" w:rsidP="00323FD6">
            <w:pPr>
              <w:rPr>
                <w:rFonts w:ascii="Calibri" w:hAnsi="Calibri" w:cs="Calibri"/>
              </w:rPr>
            </w:pPr>
            <w:r w:rsidRPr="000A5942">
              <w:rPr>
                <w:rFonts w:ascii="Calibri" w:hAnsi="Calibri" w:cs="Calibri"/>
              </w:rPr>
              <w:t>4411</w:t>
            </w:r>
          </w:p>
        </w:tc>
        <w:tc>
          <w:tcPr>
            <w:tcW w:w="380" w:type="pct"/>
            <w:tcBorders>
              <w:top w:val="nil"/>
              <w:left w:val="nil"/>
              <w:bottom w:val="nil"/>
              <w:right w:val="single" w:sz="4" w:space="0" w:color="auto"/>
            </w:tcBorders>
            <w:shd w:val="clear" w:color="auto" w:fill="auto"/>
            <w:noWrap/>
            <w:vAlign w:val="center"/>
            <w:hideMark/>
          </w:tcPr>
          <w:p w14:paraId="356AEFFE" w14:textId="77777777" w:rsidR="000D6168" w:rsidRPr="000A5942" w:rsidRDefault="000D6168" w:rsidP="00323FD6">
            <w:pPr>
              <w:rPr>
                <w:rFonts w:ascii="Calibri" w:hAnsi="Calibri" w:cs="Calibri"/>
              </w:rPr>
            </w:pPr>
            <w:r w:rsidRPr="000A5942">
              <w:rPr>
                <w:rFonts w:ascii="Calibri" w:hAnsi="Calibri" w:cs="Calibri"/>
              </w:rPr>
              <w:t xml:space="preserve"> 0.0907%</w:t>
            </w:r>
          </w:p>
        </w:tc>
      </w:tr>
      <w:tr w:rsidR="000D6168" w:rsidRPr="000A5942" w14:paraId="6282F153" w14:textId="77777777" w:rsidTr="00323FD6">
        <w:trPr>
          <w:trHeight w:val="290"/>
          <w:jc w:val="center"/>
        </w:trPr>
        <w:tc>
          <w:tcPr>
            <w:tcW w:w="971" w:type="pct"/>
            <w:gridSpan w:val="2"/>
            <w:vMerge w:val="restart"/>
            <w:tcBorders>
              <w:top w:val="nil"/>
              <w:left w:val="single" w:sz="4" w:space="0" w:color="auto"/>
              <w:right w:val="nil"/>
            </w:tcBorders>
            <w:shd w:val="clear" w:color="auto" w:fill="auto"/>
            <w:noWrap/>
            <w:vAlign w:val="center"/>
            <w:hideMark/>
          </w:tcPr>
          <w:p w14:paraId="3D5EEE1B"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7DE16862" w14:textId="77777777" w:rsidR="000D6168" w:rsidRPr="000A5942" w:rsidRDefault="000D6168" w:rsidP="00323FD6">
            <w:pPr>
              <w:rPr>
                <w:rFonts w:ascii="Calibri" w:hAnsi="Calibri" w:cs="Calibri"/>
              </w:rPr>
            </w:pPr>
            <w:r w:rsidRPr="000A5942">
              <w:rPr>
                <w:rFonts w:ascii="Calibri" w:hAnsi="Calibri" w:cs="Calibri"/>
              </w:rPr>
              <w:t>Ga0112170_101</w:t>
            </w:r>
          </w:p>
        </w:tc>
        <w:tc>
          <w:tcPr>
            <w:tcW w:w="313" w:type="pct"/>
            <w:tcBorders>
              <w:top w:val="nil"/>
              <w:left w:val="nil"/>
              <w:bottom w:val="nil"/>
              <w:right w:val="nil"/>
            </w:tcBorders>
            <w:shd w:val="clear" w:color="auto" w:fill="auto"/>
            <w:noWrap/>
            <w:vAlign w:val="center"/>
            <w:hideMark/>
          </w:tcPr>
          <w:p w14:paraId="4B6E6AFE"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660B619F"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regulator, </w:t>
            </w:r>
            <w:proofErr w:type="spellStart"/>
            <w:r w:rsidRPr="000A5942">
              <w:rPr>
                <w:rFonts w:ascii="Calibri" w:hAnsi="Calibri" w:cs="Calibri"/>
              </w:rPr>
              <w:t>CsgD</w:t>
            </w:r>
            <w:proofErr w:type="spellEnd"/>
            <w:r w:rsidRPr="000A5942">
              <w:rPr>
                <w:rFonts w:ascii="Calibri" w:hAnsi="Calibri" w:cs="Calibri"/>
              </w:rPr>
              <w:t xml:space="preserve"> family</w:t>
            </w:r>
          </w:p>
        </w:tc>
        <w:tc>
          <w:tcPr>
            <w:tcW w:w="625" w:type="pct"/>
            <w:tcBorders>
              <w:top w:val="nil"/>
              <w:left w:val="nil"/>
              <w:bottom w:val="nil"/>
              <w:right w:val="nil"/>
            </w:tcBorders>
            <w:shd w:val="clear" w:color="auto" w:fill="auto"/>
            <w:noWrap/>
            <w:vAlign w:val="center"/>
            <w:hideMark/>
          </w:tcPr>
          <w:p w14:paraId="5DACF850" w14:textId="77777777" w:rsidR="000D6168" w:rsidRPr="000A5942" w:rsidRDefault="000D6168" w:rsidP="00323FD6">
            <w:pPr>
              <w:rPr>
                <w:rFonts w:ascii="Calibri" w:hAnsi="Calibri" w:cs="Calibri"/>
              </w:rPr>
            </w:pPr>
            <w:r w:rsidRPr="000A5942">
              <w:rPr>
                <w:rFonts w:ascii="Calibri" w:hAnsi="Calibri" w:cs="Calibri"/>
              </w:rPr>
              <w:t>acyl homoserine lactone synthase</w:t>
            </w:r>
          </w:p>
        </w:tc>
        <w:tc>
          <w:tcPr>
            <w:tcW w:w="453" w:type="pct"/>
            <w:tcBorders>
              <w:top w:val="nil"/>
              <w:left w:val="nil"/>
              <w:bottom w:val="nil"/>
              <w:right w:val="nil"/>
            </w:tcBorders>
            <w:shd w:val="clear" w:color="auto" w:fill="auto"/>
            <w:noWrap/>
            <w:vAlign w:val="center"/>
            <w:hideMark/>
          </w:tcPr>
          <w:p w14:paraId="4FBEEFF3" w14:textId="77777777" w:rsidR="000D6168" w:rsidRPr="000A5942" w:rsidRDefault="000D6168" w:rsidP="00323FD6">
            <w:pPr>
              <w:rPr>
                <w:rFonts w:ascii="Calibri" w:hAnsi="Calibri" w:cs="Calibri"/>
              </w:rPr>
            </w:pPr>
            <w:r w:rsidRPr="000A5942">
              <w:rPr>
                <w:rFonts w:ascii="Calibri" w:hAnsi="Calibri" w:cs="Calibri"/>
              </w:rPr>
              <w:t>56</w:t>
            </w:r>
          </w:p>
        </w:tc>
        <w:tc>
          <w:tcPr>
            <w:tcW w:w="311" w:type="pct"/>
            <w:tcBorders>
              <w:top w:val="nil"/>
              <w:left w:val="nil"/>
              <w:bottom w:val="nil"/>
              <w:right w:val="nil"/>
            </w:tcBorders>
            <w:shd w:val="clear" w:color="auto" w:fill="auto"/>
            <w:noWrap/>
            <w:vAlign w:val="center"/>
            <w:hideMark/>
          </w:tcPr>
          <w:p w14:paraId="6B0823C7" w14:textId="77777777" w:rsidR="000D6168" w:rsidRPr="000A5942" w:rsidRDefault="000D6168" w:rsidP="00323FD6">
            <w:pPr>
              <w:rPr>
                <w:rFonts w:ascii="Calibri" w:hAnsi="Calibri" w:cs="Calibri"/>
              </w:rPr>
            </w:pPr>
            <w:r w:rsidRPr="000A5942">
              <w:rPr>
                <w:rFonts w:ascii="Calibri" w:hAnsi="Calibri" w:cs="Calibri"/>
              </w:rPr>
              <w:t>2</w:t>
            </w:r>
          </w:p>
        </w:tc>
        <w:tc>
          <w:tcPr>
            <w:tcW w:w="280" w:type="pct"/>
            <w:tcBorders>
              <w:top w:val="nil"/>
              <w:left w:val="nil"/>
              <w:bottom w:val="nil"/>
              <w:right w:val="nil"/>
            </w:tcBorders>
            <w:shd w:val="clear" w:color="auto" w:fill="auto"/>
            <w:noWrap/>
            <w:vAlign w:val="center"/>
            <w:hideMark/>
          </w:tcPr>
          <w:p w14:paraId="325175B7" w14:textId="77777777" w:rsidR="000D6168" w:rsidRPr="000A5942" w:rsidRDefault="000D6168" w:rsidP="00323FD6">
            <w:pPr>
              <w:rPr>
                <w:rFonts w:ascii="Calibri" w:hAnsi="Calibri" w:cs="Calibri"/>
              </w:rPr>
            </w:pPr>
            <w:r w:rsidRPr="000A5942">
              <w:rPr>
                <w:rFonts w:ascii="Calibri" w:hAnsi="Calibri" w:cs="Calibri"/>
              </w:rPr>
              <w:t>29.2</w:t>
            </w:r>
          </w:p>
        </w:tc>
        <w:tc>
          <w:tcPr>
            <w:tcW w:w="1040" w:type="pct"/>
            <w:gridSpan w:val="3"/>
            <w:vMerge w:val="restart"/>
            <w:tcBorders>
              <w:top w:val="nil"/>
              <w:left w:val="nil"/>
              <w:right w:val="single" w:sz="4" w:space="0" w:color="auto"/>
            </w:tcBorders>
            <w:shd w:val="clear" w:color="auto" w:fill="auto"/>
            <w:noWrap/>
            <w:vAlign w:val="center"/>
            <w:hideMark/>
          </w:tcPr>
          <w:p w14:paraId="7A1DC106" w14:textId="77777777" w:rsidR="000D6168" w:rsidRPr="000A5942" w:rsidRDefault="000D6168" w:rsidP="00323FD6">
            <w:pPr>
              <w:rPr>
                <w:rFonts w:ascii="Calibri" w:hAnsi="Calibri" w:cs="Calibri"/>
              </w:rPr>
            </w:pPr>
          </w:p>
        </w:tc>
      </w:tr>
      <w:tr w:rsidR="000D6168" w:rsidRPr="000A5942" w14:paraId="11268281" w14:textId="77777777" w:rsidTr="00323FD6">
        <w:trPr>
          <w:trHeight w:val="290"/>
          <w:jc w:val="center"/>
        </w:trPr>
        <w:tc>
          <w:tcPr>
            <w:tcW w:w="971" w:type="pct"/>
            <w:gridSpan w:val="2"/>
            <w:vMerge/>
            <w:tcBorders>
              <w:left w:val="single" w:sz="4" w:space="0" w:color="auto"/>
              <w:right w:val="nil"/>
            </w:tcBorders>
            <w:shd w:val="clear" w:color="auto" w:fill="auto"/>
            <w:noWrap/>
            <w:vAlign w:val="center"/>
            <w:hideMark/>
          </w:tcPr>
          <w:p w14:paraId="5470D797"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080B9EEA" w14:textId="77777777" w:rsidR="000D6168" w:rsidRPr="000A5942" w:rsidRDefault="000D6168" w:rsidP="00323FD6">
            <w:pPr>
              <w:rPr>
                <w:rFonts w:ascii="Calibri" w:hAnsi="Calibri" w:cs="Calibri"/>
              </w:rPr>
            </w:pPr>
            <w:r w:rsidRPr="000A5942">
              <w:rPr>
                <w:rFonts w:ascii="Calibri" w:hAnsi="Calibri" w:cs="Calibri"/>
              </w:rPr>
              <w:t>Ga0112170_120</w:t>
            </w:r>
          </w:p>
        </w:tc>
        <w:tc>
          <w:tcPr>
            <w:tcW w:w="313" w:type="pct"/>
            <w:tcBorders>
              <w:top w:val="nil"/>
              <w:left w:val="nil"/>
              <w:bottom w:val="nil"/>
              <w:right w:val="nil"/>
            </w:tcBorders>
            <w:shd w:val="clear" w:color="auto" w:fill="auto"/>
            <w:noWrap/>
            <w:vAlign w:val="center"/>
            <w:hideMark/>
          </w:tcPr>
          <w:p w14:paraId="40DC2F6E"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5A14602F" w14:textId="77777777" w:rsidR="000D6168" w:rsidRPr="000A5942" w:rsidRDefault="000D6168" w:rsidP="00323FD6">
            <w:pPr>
              <w:rPr>
                <w:rFonts w:ascii="Calibri" w:hAnsi="Calibri" w:cs="Calibri"/>
              </w:rPr>
            </w:pPr>
            <w:r w:rsidRPr="000A5942">
              <w:rPr>
                <w:rFonts w:ascii="Calibri" w:hAnsi="Calibri" w:cs="Calibri"/>
              </w:rPr>
              <w:t xml:space="preserve">bifunctional NMN </w:t>
            </w:r>
            <w:proofErr w:type="spellStart"/>
            <w:r w:rsidRPr="000A5942">
              <w:rPr>
                <w:rFonts w:ascii="Calibri" w:hAnsi="Calibri" w:cs="Calibri"/>
              </w:rPr>
              <w:t>adenylyltransferase</w:t>
            </w:r>
            <w:proofErr w:type="spellEnd"/>
            <w:r w:rsidRPr="000A5942">
              <w:rPr>
                <w:rFonts w:ascii="Calibri" w:hAnsi="Calibri" w:cs="Calibri"/>
              </w:rPr>
              <w:t>/</w:t>
            </w:r>
            <w:proofErr w:type="spellStart"/>
            <w:r w:rsidRPr="000A5942">
              <w:rPr>
                <w:rFonts w:ascii="Calibri" w:hAnsi="Calibri" w:cs="Calibri"/>
              </w:rPr>
              <w:t>nudix</w:t>
            </w:r>
            <w:proofErr w:type="spellEnd"/>
            <w:r w:rsidRPr="000A5942">
              <w:rPr>
                <w:rFonts w:ascii="Calibri" w:hAnsi="Calibri" w:cs="Calibri"/>
              </w:rPr>
              <w:t xml:space="preserve"> hydrolase</w:t>
            </w:r>
          </w:p>
        </w:tc>
        <w:tc>
          <w:tcPr>
            <w:tcW w:w="625" w:type="pct"/>
            <w:tcBorders>
              <w:top w:val="nil"/>
              <w:left w:val="nil"/>
              <w:bottom w:val="nil"/>
              <w:right w:val="nil"/>
            </w:tcBorders>
            <w:shd w:val="clear" w:color="auto" w:fill="auto"/>
            <w:noWrap/>
            <w:vAlign w:val="center"/>
            <w:hideMark/>
          </w:tcPr>
          <w:p w14:paraId="5ABAC104" w14:textId="77777777" w:rsidR="000D6168" w:rsidRPr="000A5942" w:rsidRDefault="000D6168" w:rsidP="00323FD6">
            <w:pPr>
              <w:rPr>
                <w:rFonts w:ascii="Calibri" w:hAnsi="Calibri" w:cs="Calibri"/>
              </w:rPr>
            </w:pPr>
            <w:r w:rsidRPr="000A5942">
              <w:rPr>
                <w:rFonts w:ascii="Calibri" w:hAnsi="Calibri" w:cs="Calibri"/>
              </w:rPr>
              <w:t>Predicted ATP-dependent endonuclease of the OLD family, contains P-loop ATPase and TOPRIM domains</w:t>
            </w:r>
          </w:p>
        </w:tc>
        <w:tc>
          <w:tcPr>
            <w:tcW w:w="453" w:type="pct"/>
            <w:tcBorders>
              <w:top w:val="nil"/>
              <w:left w:val="nil"/>
              <w:bottom w:val="nil"/>
              <w:right w:val="nil"/>
            </w:tcBorders>
            <w:shd w:val="clear" w:color="auto" w:fill="auto"/>
            <w:noWrap/>
            <w:vAlign w:val="center"/>
            <w:hideMark/>
          </w:tcPr>
          <w:p w14:paraId="498B9D68" w14:textId="77777777" w:rsidR="000D6168" w:rsidRPr="000A5942" w:rsidRDefault="000D6168" w:rsidP="00323FD6">
            <w:pPr>
              <w:rPr>
                <w:rFonts w:ascii="Calibri" w:hAnsi="Calibri" w:cs="Calibri"/>
              </w:rPr>
            </w:pPr>
            <w:r w:rsidRPr="000A5942">
              <w:rPr>
                <w:rFonts w:ascii="Calibri" w:hAnsi="Calibri" w:cs="Calibri"/>
              </w:rPr>
              <w:t>670</w:t>
            </w:r>
          </w:p>
        </w:tc>
        <w:tc>
          <w:tcPr>
            <w:tcW w:w="311" w:type="pct"/>
            <w:tcBorders>
              <w:top w:val="nil"/>
              <w:left w:val="nil"/>
              <w:bottom w:val="nil"/>
              <w:right w:val="nil"/>
            </w:tcBorders>
            <w:shd w:val="clear" w:color="auto" w:fill="auto"/>
            <w:noWrap/>
            <w:vAlign w:val="center"/>
            <w:hideMark/>
          </w:tcPr>
          <w:p w14:paraId="0C22684A" w14:textId="77777777" w:rsidR="000D6168" w:rsidRPr="000A5942" w:rsidRDefault="000D6168" w:rsidP="00323FD6">
            <w:pPr>
              <w:rPr>
                <w:rFonts w:ascii="Calibri" w:hAnsi="Calibri" w:cs="Calibri"/>
              </w:rPr>
            </w:pPr>
            <w:r w:rsidRPr="000A5942">
              <w:rPr>
                <w:rFonts w:ascii="Calibri" w:hAnsi="Calibri" w:cs="Calibri"/>
              </w:rPr>
              <w:t>1453</w:t>
            </w:r>
          </w:p>
        </w:tc>
        <w:tc>
          <w:tcPr>
            <w:tcW w:w="280" w:type="pct"/>
            <w:tcBorders>
              <w:top w:val="nil"/>
              <w:left w:val="nil"/>
              <w:bottom w:val="nil"/>
              <w:right w:val="nil"/>
            </w:tcBorders>
            <w:shd w:val="clear" w:color="auto" w:fill="auto"/>
            <w:noWrap/>
            <w:vAlign w:val="center"/>
            <w:hideMark/>
          </w:tcPr>
          <w:p w14:paraId="1F0799A1" w14:textId="77777777" w:rsidR="000D6168" w:rsidRPr="000A5942" w:rsidRDefault="000D6168" w:rsidP="00323FD6">
            <w:pPr>
              <w:rPr>
                <w:rFonts w:ascii="Calibri" w:hAnsi="Calibri" w:cs="Calibri"/>
              </w:rPr>
            </w:pPr>
            <w:r w:rsidRPr="000A5942">
              <w:rPr>
                <w:rFonts w:ascii="Calibri" w:hAnsi="Calibri" w:cs="Calibri"/>
              </w:rPr>
              <w:t>11.5</w:t>
            </w:r>
          </w:p>
        </w:tc>
        <w:tc>
          <w:tcPr>
            <w:tcW w:w="1040" w:type="pct"/>
            <w:gridSpan w:val="3"/>
            <w:vMerge/>
            <w:tcBorders>
              <w:left w:val="nil"/>
              <w:right w:val="single" w:sz="4" w:space="0" w:color="auto"/>
            </w:tcBorders>
            <w:shd w:val="clear" w:color="auto" w:fill="auto"/>
            <w:noWrap/>
            <w:vAlign w:val="center"/>
            <w:hideMark/>
          </w:tcPr>
          <w:p w14:paraId="019D788E" w14:textId="77777777" w:rsidR="000D6168" w:rsidRPr="000A5942" w:rsidRDefault="000D6168" w:rsidP="00323FD6">
            <w:pPr>
              <w:rPr>
                <w:rFonts w:ascii="Calibri" w:hAnsi="Calibri" w:cs="Calibri"/>
              </w:rPr>
            </w:pPr>
          </w:p>
        </w:tc>
      </w:tr>
      <w:tr w:rsidR="000D6168" w:rsidRPr="000A5942" w14:paraId="33C1B8D5" w14:textId="77777777" w:rsidTr="00323FD6">
        <w:trPr>
          <w:trHeight w:val="290"/>
          <w:jc w:val="center"/>
        </w:trPr>
        <w:tc>
          <w:tcPr>
            <w:tcW w:w="971" w:type="pct"/>
            <w:gridSpan w:val="2"/>
            <w:vMerge/>
            <w:tcBorders>
              <w:left w:val="single" w:sz="4" w:space="0" w:color="auto"/>
              <w:bottom w:val="single" w:sz="4" w:space="0" w:color="auto"/>
              <w:right w:val="nil"/>
            </w:tcBorders>
            <w:shd w:val="clear" w:color="auto" w:fill="auto"/>
            <w:noWrap/>
            <w:vAlign w:val="center"/>
            <w:hideMark/>
          </w:tcPr>
          <w:p w14:paraId="0D695B12"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1DD7761B" w14:textId="77777777" w:rsidR="000D6168" w:rsidRPr="000A5942" w:rsidRDefault="000D6168" w:rsidP="00323FD6">
            <w:pPr>
              <w:rPr>
                <w:rFonts w:ascii="Calibri" w:hAnsi="Calibri" w:cs="Calibri"/>
              </w:rPr>
            </w:pPr>
            <w:r w:rsidRPr="000A5942">
              <w:rPr>
                <w:rFonts w:ascii="Calibri" w:hAnsi="Calibri" w:cs="Calibri"/>
              </w:rPr>
              <w:t>Ga0112170_109</w:t>
            </w:r>
          </w:p>
        </w:tc>
        <w:tc>
          <w:tcPr>
            <w:tcW w:w="313" w:type="pct"/>
            <w:tcBorders>
              <w:top w:val="nil"/>
              <w:left w:val="nil"/>
              <w:bottom w:val="single" w:sz="4" w:space="0" w:color="auto"/>
              <w:right w:val="nil"/>
            </w:tcBorders>
            <w:shd w:val="clear" w:color="auto" w:fill="auto"/>
            <w:noWrap/>
            <w:vAlign w:val="center"/>
            <w:hideMark/>
          </w:tcPr>
          <w:p w14:paraId="6DDA9A3F"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765C606D"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625" w:type="pct"/>
            <w:tcBorders>
              <w:top w:val="nil"/>
              <w:left w:val="nil"/>
              <w:bottom w:val="single" w:sz="4" w:space="0" w:color="auto"/>
              <w:right w:val="nil"/>
            </w:tcBorders>
            <w:shd w:val="clear" w:color="auto" w:fill="auto"/>
            <w:noWrap/>
            <w:vAlign w:val="center"/>
            <w:hideMark/>
          </w:tcPr>
          <w:p w14:paraId="50EC2FA8" w14:textId="77777777" w:rsidR="000D6168" w:rsidRPr="000A5942" w:rsidRDefault="000D6168" w:rsidP="00323FD6">
            <w:pPr>
              <w:rPr>
                <w:rFonts w:ascii="Calibri" w:hAnsi="Calibri" w:cs="Calibri"/>
              </w:rPr>
            </w:pPr>
            <w:r w:rsidRPr="000A5942">
              <w:rPr>
                <w:rFonts w:ascii="Calibri" w:hAnsi="Calibri" w:cs="Calibri"/>
              </w:rPr>
              <w:t xml:space="preserve"> uridylate kinase</w:t>
            </w:r>
          </w:p>
        </w:tc>
        <w:tc>
          <w:tcPr>
            <w:tcW w:w="453" w:type="pct"/>
            <w:tcBorders>
              <w:top w:val="nil"/>
              <w:left w:val="nil"/>
              <w:bottom w:val="single" w:sz="4" w:space="0" w:color="auto"/>
              <w:right w:val="nil"/>
            </w:tcBorders>
            <w:shd w:val="clear" w:color="auto" w:fill="auto"/>
            <w:noWrap/>
            <w:vAlign w:val="center"/>
            <w:hideMark/>
          </w:tcPr>
          <w:p w14:paraId="0FED15D4" w14:textId="77777777" w:rsidR="000D6168" w:rsidRPr="000A5942" w:rsidRDefault="000D6168" w:rsidP="00323FD6">
            <w:pPr>
              <w:rPr>
                <w:rFonts w:ascii="Calibri" w:hAnsi="Calibri" w:cs="Calibri"/>
              </w:rPr>
            </w:pPr>
            <w:r w:rsidRPr="000A5942">
              <w:rPr>
                <w:rFonts w:ascii="Calibri" w:hAnsi="Calibri" w:cs="Calibri"/>
              </w:rPr>
              <w:t>2245</w:t>
            </w:r>
          </w:p>
        </w:tc>
        <w:tc>
          <w:tcPr>
            <w:tcW w:w="311" w:type="pct"/>
            <w:tcBorders>
              <w:top w:val="nil"/>
              <w:left w:val="nil"/>
              <w:bottom w:val="single" w:sz="4" w:space="0" w:color="auto"/>
              <w:right w:val="nil"/>
            </w:tcBorders>
            <w:shd w:val="clear" w:color="auto" w:fill="auto"/>
            <w:noWrap/>
            <w:vAlign w:val="center"/>
            <w:hideMark/>
          </w:tcPr>
          <w:p w14:paraId="156B18AC" w14:textId="77777777" w:rsidR="000D6168" w:rsidRPr="000A5942" w:rsidRDefault="000D6168" w:rsidP="00323FD6">
            <w:pPr>
              <w:rPr>
                <w:rFonts w:ascii="Calibri" w:hAnsi="Calibri" w:cs="Calibri"/>
              </w:rPr>
            </w:pPr>
            <w:r w:rsidRPr="000A5942">
              <w:rPr>
                <w:rFonts w:ascii="Calibri" w:hAnsi="Calibri" w:cs="Calibri"/>
              </w:rPr>
              <w:t>6360</w:t>
            </w:r>
          </w:p>
        </w:tc>
        <w:tc>
          <w:tcPr>
            <w:tcW w:w="280" w:type="pct"/>
            <w:tcBorders>
              <w:top w:val="nil"/>
              <w:left w:val="nil"/>
              <w:bottom w:val="single" w:sz="4" w:space="0" w:color="auto"/>
              <w:right w:val="nil"/>
            </w:tcBorders>
            <w:shd w:val="clear" w:color="auto" w:fill="auto"/>
            <w:noWrap/>
            <w:vAlign w:val="center"/>
            <w:hideMark/>
          </w:tcPr>
          <w:p w14:paraId="489E29DE" w14:textId="77777777" w:rsidR="000D6168" w:rsidRPr="000A5942" w:rsidRDefault="000D6168" w:rsidP="00323FD6">
            <w:pPr>
              <w:rPr>
                <w:rFonts w:ascii="Calibri" w:hAnsi="Calibri" w:cs="Calibri"/>
              </w:rPr>
            </w:pPr>
            <w:r w:rsidRPr="000A5942">
              <w:rPr>
                <w:rFonts w:ascii="Calibri" w:hAnsi="Calibri" w:cs="Calibri"/>
              </w:rPr>
              <w:t>11.3</w:t>
            </w:r>
          </w:p>
        </w:tc>
        <w:tc>
          <w:tcPr>
            <w:tcW w:w="1040" w:type="pct"/>
            <w:gridSpan w:val="3"/>
            <w:vMerge/>
            <w:tcBorders>
              <w:left w:val="nil"/>
              <w:bottom w:val="single" w:sz="4" w:space="0" w:color="auto"/>
              <w:right w:val="single" w:sz="4" w:space="0" w:color="auto"/>
            </w:tcBorders>
            <w:shd w:val="clear" w:color="auto" w:fill="auto"/>
            <w:noWrap/>
            <w:vAlign w:val="center"/>
            <w:hideMark/>
          </w:tcPr>
          <w:p w14:paraId="76B90A01" w14:textId="77777777" w:rsidR="000D6168" w:rsidRPr="000A5942" w:rsidRDefault="000D6168" w:rsidP="00323FD6">
            <w:pPr>
              <w:rPr>
                <w:rFonts w:ascii="Calibri" w:hAnsi="Calibri" w:cs="Calibri"/>
              </w:rPr>
            </w:pPr>
          </w:p>
        </w:tc>
      </w:tr>
      <w:tr w:rsidR="000D6168" w:rsidRPr="000A5942" w14:paraId="3A15983F"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29DC8F95" w14:textId="77777777" w:rsidR="000D6168" w:rsidRPr="000A5942" w:rsidRDefault="000D6168" w:rsidP="00323FD6">
            <w:pPr>
              <w:rPr>
                <w:rFonts w:ascii="Calibri" w:hAnsi="Calibri" w:cs="Calibri"/>
              </w:rPr>
            </w:pPr>
            <w:r w:rsidRPr="000A5942">
              <w:rPr>
                <w:rFonts w:ascii="Calibri" w:hAnsi="Calibri" w:cs="Calibri"/>
              </w:rPr>
              <w:t>2667528003</w:t>
            </w:r>
          </w:p>
        </w:tc>
        <w:tc>
          <w:tcPr>
            <w:tcW w:w="452" w:type="pct"/>
            <w:tcBorders>
              <w:top w:val="nil"/>
              <w:left w:val="nil"/>
              <w:bottom w:val="nil"/>
              <w:right w:val="nil"/>
            </w:tcBorders>
            <w:shd w:val="clear" w:color="auto" w:fill="auto"/>
            <w:noWrap/>
            <w:vAlign w:val="center"/>
            <w:hideMark/>
          </w:tcPr>
          <w:p w14:paraId="0D7D168E" w14:textId="77777777" w:rsidR="000D6168" w:rsidRPr="000A5942" w:rsidRDefault="000D6168" w:rsidP="00323FD6">
            <w:pPr>
              <w:rPr>
                <w:rFonts w:ascii="Calibri" w:hAnsi="Calibri" w:cs="Calibri"/>
              </w:rPr>
            </w:pPr>
            <w:proofErr w:type="spellStart"/>
            <w:r w:rsidRPr="000A5942">
              <w:rPr>
                <w:rFonts w:ascii="Calibri" w:hAnsi="Calibri" w:cs="Calibri"/>
              </w:rPr>
              <w:t>Leisingera</w:t>
            </w:r>
            <w:proofErr w:type="spellEnd"/>
            <w:r w:rsidRPr="000A5942">
              <w:rPr>
                <w:rFonts w:ascii="Calibri" w:hAnsi="Calibri" w:cs="Calibri"/>
              </w:rPr>
              <w:t xml:space="preserve"> sp. ANG-S3</w:t>
            </w:r>
          </w:p>
        </w:tc>
        <w:tc>
          <w:tcPr>
            <w:tcW w:w="347" w:type="pct"/>
            <w:tcBorders>
              <w:top w:val="nil"/>
              <w:left w:val="nil"/>
              <w:bottom w:val="nil"/>
              <w:right w:val="nil"/>
            </w:tcBorders>
            <w:shd w:val="clear" w:color="auto" w:fill="auto"/>
            <w:noWrap/>
            <w:vAlign w:val="center"/>
            <w:hideMark/>
          </w:tcPr>
          <w:p w14:paraId="12D70DBF" w14:textId="77777777" w:rsidR="000D6168" w:rsidRPr="000A5942" w:rsidRDefault="000D6168" w:rsidP="00323FD6">
            <w:pPr>
              <w:rPr>
                <w:rFonts w:ascii="Calibri" w:hAnsi="Calibri" w:cs="Calibri"/>
              </w:rPr>
            </w:pPr>
            <w:r w:rsidRPr="000A5942">
              <w:rPr>
                <w:rFonts w:ascii="Calibri" w:hAnsi="Calibri" w:cs="Calibri"/>
              </w:rPr>
              <w:t>Ga0112164_105</w:t>
            </w:r>
          </w:p>
        </w:tc>
        <w:tc>
          <w:tcPr>
            <w:tcW w:w="313" w:type="pct"/>
            <w:tcBorders>
              <w:top w:val="nil"/>
              <w:left w:val="nil"/>
              <w:bottom w:val="nil"/>
              <w:right w:val="nil"/>
            </w:tcBorders>
            <w:shd w:val="clear" w:color="auto" w:fill="auto"/>
            <w:noWrap/>
            <w:vAlign w:val="center"/>
            <w:hideMark/>
          </w:tcPr>
          <w:p w14:paraId="5F3708CA"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5D591442"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625" w:type="pct"/>
            <w:tcBorders>
              <w:top w:val="nil"/>
              <w:left w:val="nil"/>
              <w:bottom w:val="nil"/>
              <w:right w:val="nil"/>
            </w:tcBorders>
            <w:shd w:val="clear" w:color="auto" w:fill="auto"/>
            <w:noWrap/>
            <w:vAlign w:val="center"/>
            <w:hideMark/>
          </w:tcPr>
          <w:p w14:paraId="3D6B10E0" w14:textId="77777777" w:rsidR="000D6168" w:rsidRPr="000A5942" w:rsidRDefault="000D6168" w:rsidP="00323FD6">
            <w:pPr>
              <w:rPr>
                <w:rFonts w:ascii="Calibri" w:hAnsi="Calibri" w:cs="Calibri"/>
              </w:rPr>
            </w:pPr>
            <w:r w:rsidRPr="000A5942">
              <w:rPr>
                <w:rFonts w:ascii="Calibri" w:hAnsi="Calibri" w:cs="Calibri"/>
              </w:rPr>
              <w:t xml:space="preserve"> (R)-</w:t>
            </w:r>
            <w:proofErr w:type="spellStart"/>
            <w:r w:rsidRPr="000A5942">
              <w:rPr>
                <w:rFonts w:ascii="Calibri" w:hAnsi="Calibri" w:cs="Calibri"/>
              </w:rPr>
              <w:t>ethylmalonyl</w:t>
            </w:r>
            <w:proofErr w:type="spellEnd"/>
            <w:r w:rsidRPr="000A5942">
              <w:rPr>
                <w:rFonts w:ascii="Calibri" w:hAnsi="Calibri" w:cs="Calibri"/>
              </w:rPr>
              <w:t>-CoA mutase</w:t>
            </w:r>
          </w:p>
        </w:tc>
        <w:tc>
          <w:tcPr>
            <w:tcW w:w="453" w:type="pct"/>
            <w:tcBorders>
              <w:top w:val="nil"/>
              <w:left w:val="nil"/>
              <w:bottom w:val="nil"/>
              <w:right w:val="nil"/>
            </w:tcBorders>
            <w:shd w:val="clear" w:color="auto" w:fill="auto"/>
            <w:noWrap/>
            <w:vAlign w:val="center"/>
            <w:hideMark/>
          </w:tcPr>
          <w:p w14:paraId="4F73469A" w14:textId="77777777" w:rsidR="000D6168" w:rsidRPr="000A5942" w:rsidRDefault="000D6168" w:rsidP="00323FD6">
            <w:pPr>
              <w:rPr>
                <w:rFonts w:ascii="Calibri" w:hAnsi="Calibri" w:cs="Calibri"/>
              </w:rPr>
            </w:pPr>
            <w:r w:rsidRPr="000A5942">
              <w:rPr>
                <w:rFonts w:ascii="Calibri" w:hAnsi="Calibri" w:cs="Calibri"/>
              </w:rPr>
              <w:t>3060</w:t>
            </w:r>
          </w:p>
        </w:tc>
        <w:tc>
          <w:tcPr>
            <w:tcW w:w="311" w:type="pct"/>
            <w:tcBorders>
              <w:top w:val="nil"/>
              <w:left w:val="nil"/>
              <w:bottom w:val="nil"/>
              <w:right w:val="nil"/>
            </w:tcBorders>
            <w:shd w:val="clear" w:color="auto" w:fill="auto"/>
            <w:noWrap/>
            <w:vAlign w:val="center"/>
            <w:hideMark/>
          </w:tcPr>
          <w:p w14:paraId="14686AFF" w14:textId="77777777" w:rsidR="000D6168" w:rsidRPr="000A5942" w:rsidRDefault="000D6168" w:rsidP="00323FD6">
            <w:pPr>
              <w:rPr>
                <w:rFonts w:ascii="Calibri" w:hAnsi="Calibri" w:cs="Calibri"/>
              </w:rPr>
            </w:pPr>
            <w:r w:rsidRPr="000A5942">
              <w:rPr>
                <w:rFonts w:ascii="Calibri" w:hAnsi="Calibri" w:cs="Calibri"/>
              </w:rPr>
              <w:t>4122</w:t>
            </w:r>
          </w:p>
        </w:tc>
        <w:tc>
          <w:tcPr>
            <w:tcW w:w="280" w:type="pct"/>
            <w:tcBorders>
              <w:top w:val="nil"/>
              <w:left w:val="nil"/>
              <w:bottom w:val="nil"/>
              <w:right w:val="nil"/>
            </w:tcBorders>
            <w:shd w:val="clear" w:color="auto" w:fill="auto"/>
            <w:noWrap/>
            <w:vAlign w:val="center"/>
            <w:hideMark/>
          </w:tcPr>
          <w:p w14:paraId="04DD8571" w14:textId="77777777" w:rsidR="000D6168" w:rsidRPr="000A5942" w:rsidRDefault="000D6168" w:rsidP="00323FD6">
            <w:pPr>
              <w:rPr>
                <w:rFonts w:ascii="Calibri" w:hAnsi="Calibri" w:cs="Calibri"/>
              </w:rPr>
            </w:pPr>
            <w:r w:rsidRPr="000A5942">
              <w:rPr>
                <w:rFonts w:ascii="Calibri" w:hAnsi="Calibri" w:cs="Calibri"/>
              </w:rPr>
              <w:t>38.8</w:t>
            </w:r>
          </w:p>
        </w:tc>
        <w:tc>
          <w:tcPr>
            <w:tcW w:w="347" w:type="pct"/>
            <w:tcBorders>
              <w:top w:val="nil"/>
              <w:left w:val="nil"/>
              <w:bottom w:val="nil"/>
              <w:right w:val="nil"/>
            </w:tcBorders>
            <w:shd w:val="clear" w:color="auto" w:fill="auto"/>
            <w:noWrap/>
            <w:vAlign w:val="center"/>
            <w:hideMark/>
          </w:tcPr>
          <w:p w14:paraId="4154FA7F" w14:textId="77777777" w:rsidR="000D6168" w:rsidRPr="000A5942" w:rsidRDefault="000D6168" w:rsidP="00323FD6">
            <w:pPr>
              <w:rPr>
                <w:rFonts w:ascii="Calibri" w:hAnsi="Calibri" w:cs="Calibri"/>
              </w:rPr>
            </w:pPr>
            <w:r w:rsidRPr="000A5942">
              <w:rPr>
                <w:rFonts w:ascii="Calibri" w:hAnsi="Calibri" w:cs="Calibri"/>
              </w:rPr>
              <w:t>4</w:t>
            </w:r>
          </w:p>
        </w:tc>
        <w:tc>
          <w:tcPr>
            <w:tcW w:w="313" w:type="pct"/>
            <w:tcBorders>
              <w:top w:val="nil"/>
              <w:left w:val="nil"/>
              <w:bottom w:val="nil"/>
              <w:right w:val="nil"/>
            </w:tcBorders>
            <w:shd w:val="clear" w:color="auto" w:fill="auto"/>
            <w:noWrap/>
            <w:vAlign w:val="center"/>
            <w:hideMark/>
          </w:tcPr>
          <w:p w14:paraId="741AA7AF" w14:textId="77777777" w:rsidR="000D6168" w:rsidRPr="000A5942" w:rsidRDefault="000D6168" w:rsidP="00323FD6">
            <w:pPr>
              <w:rPr>
                <w:rFonts w:ascii="Calibri" w:hAnsi="Calibri" w:cs="Calibri"/>
              </w:rPr>
            </w:pPr>
            <w:r w:rsidRPr="000A5942">
              <w:rPr>
                <w:rFonts w:ascii="Calibri" w:hAnsi="Calibri" w:cs="Calibri"/>
              </w:rPr>
              <w:t>4416</w:t>
            </w:r>
          </w:p>
        </w:tc>
        <w:tc>
          <w:tcPr>
            <w:tcW w:w="380" w:type="pct"/>
            <w:tcBorders>
              <w:top w:val="nil"/>
              <w:left w:val="nil"/>
              <w:bottom w:val="nil"/>
              <w:right w:val="single" w:sz="4" w:space="0" w:color="auto"/>
            </w:tcBorders>
            <w:shd w:val="clear" w:color="auto" w:fill="auto"/>
            <w:noWrap/>
            <w:vAlign w:val="center"/>
            <w:hideMark/>
          </w:tcPr>
          <w:p w14:paraId="3D9FE4B4" w14:textId="77777777" w:rsidR="000D6168" w:rsidRPr="000A5942" w:rsidRDefault="000D6168" w:rsidP="00323FD6">
            <w:pPr>
              <w:rPr>
                <w:rFonts w:ascii="Calibri" w:hAnsi="Calibri" w:cs="Calibri"/>
              </w:rPr>
            </w:pPr>
            <w:r w:rsidRPr="000A5942">
              <w:rPr>
                <w:rFonts w:ascii="Calibri" w:hAnsi="Calibri" w:cs="Calibri"/>
              </w:rPr>
              <w:t xml:space="preserve"> 0.0906%</w:t>
            </w:r>
          </w:p>
        </w:tc>
      </w:tr>
      <w:tr w:rsidR="000D6168" w:rsidRPr="000A5942" w14:paraId="152C59F6" w14:textId="77777777" w:rsidTr="00323FD6">
        <w:trPr>
          <w:trHeight w:val="290"/>
          <w:jc w:val="center"/>
        </w:trPr>
        <w:tc>
          <w:tcPr>
            <w:tcW w:w="971" w:type="pct"/>
            <w:gridSpan w:val="2"/>
            <w:vMerge w:val="restart"/>
            <w:tcBorders>
              <w:top w:val="nil"/>
              <w:left w:val="single" w:sz="4" w:space="0" w:color="auto"/>
              <w:right w:val="nil"/>
            </w:tcBorders>
            <w:shd w:val="clear" w:color="auto" w:fill="auto"/>
            <w:noWrap/>
            <w:vAlign w:val="center"/>
            <w:hideMark/>
          </w:tcPr>
          <w:p w14:paraId="697E6DF8"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324DAF11" w14:textId="77777777" w:rsidR="000D6168" w:rsidRPr="000A5942" w:rsidRDefault="000D6168" w:rsidP="00323FD6">
            <w:pPr>
              <w:rPr>
                <w:rFonts w:ascii="Calibri" w:hAnsi="Calibri" w:cs="Calibri"/>
              </w:rPr>
            </w:pPr>
            <w:r w:rsidRPr="000A5942">
              <w:rPr>
                <w:rFonts w:ascii="Calibri" w:hAnsi="Calibri" w:cs="Calibri"/>
              </w:rPr>
              <w:t>Ga0112164_105</w:t>
            </w:r>
          </w:p>
        </w:tc>
        <w:tc>
          <w:tcPr>
            <w:tcW w:w="313" w:type="pct"/>
            <w:tcBorders>
              <w:top w:val="nil"/>
              <w:left w:val="nil"/>
              <w:bottom w:val="nil"/>
              <w:right w:val="nil"/>
            </w:tcBorders>
            <w:shd w:val="clear" w:color="auto" w:fill="auto"/>
            <w:noWrap/>
            <w:vAlign w:val="center"/>
            <w:hideMark/>
          </w:tcPr>
          <w:p w14:paraId="6941EF32"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21825112" w14:textId="77777777" w:rsidR="000D6168" w:rsidRPr="000A5942" w:rsidRDefault="000D6168" w:rsidP="00323FD6">
            <w:pPr>
              <w:rPr>
                <w:rFonts w:ascii="Calibri" w:hAnsi="Calibri" w:cs="Calibri"/>
              </w:rPr>
            </w:pPr>
            <w:r w:rsidRPr="000A5942">
              <w:rPr>
                <w:rFonts w:ascii="Calibri" w:hAnsi="Calibri" w:cs="Calibri"/>
              </w:rPr>
              <w:t>acyl homoserine lactone synthase</w:t>
            </w:r>
          </w:p>
        </w:tc>
        <w:tc>
          <w:tcPr>
            <w:tcW w:w="625" w:type="pct"/>
            <w:tcBorders>
              <w:top w:val="nil"/>
              <w:left w:val="nil"/>
              <w:bottom w:val="nil"/>
              <w:right w:val="nil"/>
            </w:tcBorders>
            <w:shd w:val="clear" w:color="auto" w:fill="auto"/>
            <w:noWrap/>
            <w:vAlign w:val="center"/>
            <w:hideMark/>
          </w:tcPr>
          <w:p w14:paraId="1F6CD557"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regulator, </w:t>
            </w:r>
            <w:proofErr w:type="spellStart"/>
            <w:r w:rsidRPr="000A5942">
              <w:rPr>
                <w:rFonts w:ascii="Calibri" w:hAnsi="Calibri" w:cs="Calibri"/>
              </w:rPr>
              <w:t>CsgD</w:t>
            </w:r>
            <w:proofErr w:type="spellEnd"/>
            <w:r w:rsidRPr="000A5942">
              <w:rPr>
                <w:rFonts w:ascii="Calibri" w:hAnsi="Calibri" w:cs="Calibri"/>
              </w:rPr>
              <w:t xml:space="preserve"> family</w:t>
            </w:r>
          </w:p>
        </w:tc>
        <w:tc>
          <w:tcPr>
            <w:tcW w:w="453" w:type="pct"/>
            <w:tcBorders>
              <w:top w:val="nil"/>
              <w:left w:val="nil"/>
              <w:bottom w:val="nil"/>
              <w:right w:val="nil"/>
            </w:tcBorders>
            <w:shd w:val="clear" w:color="auto" w:fill="auto"/>
            <w:noWrap/>
            <w:vAlign w:val="center"/>
            <w:hideMark/>
          </w:tcPr>
          <w:p w14:paraId="2D412E1E" w14:textId="77777777" w:rsidR="000D6168" w:rsidRPr="000A5942" w:rsidRDefault="000D6168" w:rsidP="00323FD6">
            <w:pPr>
              <w:rPr>
                <w:rFonts w:ascii="Calibri" w:hAnsi="Calibri" w:cs="Calibri"/>
              </w:rPr>
            </w:pPr>
            <w:r w:rsidRPr="000A5942">
              <w:rPr>
                <w:rFonts w:ascii="Calibri" w:hAnsi="Calibri" w:cs="Calibri"/>
              </w:rPr>
              <w:t>2</w:t>
            </w:r>
          </w:p>
        </w:tc>
        <w:tc>
          <w:tcPr>
            <w:tcW w:w="311" w:type="pct"/>
            <w:tcBorders>
              <w:top w:val="nil"/>
              <w:left w:val="nil"/>
              <w:bottom w:val="nil"/>
              <w:right w:val="nil"/>
            </w:tcBorders>
            <w:shd w:val="clear" w:color="auto" w:fill="auto"/>
            <w:noWrap/>
            <w:vAlign w:val="center"/>
            <w:hideMark/>
          </w:tcPr>
          <w:p w14:paraId="389301A0" w14:textId="77777777" w:rsidR="000D6168" w:rsidRPr="000A5942" w:rsidRDefault="000D6168" w:rsidP="00323FD6">
            <w:pPr>
              <w:rPr>
                <w:rFonts w:ascii="Calibri" w:hAnsi="Calibri" w:cs="Calibri"/>
              </w:rPr>
            </w:pPr>
            <w:r w:rsidRPr="000A5942">
              <w:rPr>
                <w:rFonts w:ascii="Calibri" w:hAnsi="Calibri" w:cs="Calibri"/>
              </w:rPr>
              <w:t>56</w:t>
            </w:r>
          </w:p>
        </w:tc>
        <w:tc>
          <w:tcPr>
            <w:tcW w:w="280" w:type="pct"/>
            <w:tcBorders>
              <w:top w:val="nil"/>
              <w:left w:val="nil"/>
              <w:bottom w:val="nil"/>
              <w:right w:val="nil"/>
            </w:tcBorders>
            <w:shd w:val="clear" w:color="auto" w:fill="auto"/>
            <w:noWrap/>
            <w:vAlign w:val="center"/>
            <w:hideMark/>
          </w:tcPr>
          <w:p w14:paraId="7AB230F6" w14:textId="77777777" w:rsidR="000D6168" w:rsidRPr="000A5942" w:rsidRDefault="000D6168" w:rsidP="00323FD6">
            <w:pPr>
              <w:rPr>
                <w:rFonts w:ascii="Calibri" w:hAnsi="Calibri" w:cs="Calibri"/>
              </w:rPr>
            </w:pPr>
            <w:r w:rsidRPr="000A5942">
              <w:rPr>
                <w:rFonts w:ascii="Calibri" w:hAnsi="Calibri" w:cs="Calibri"/>
              </w:rPr>
              <w:t>29.2</w:t>
            </w:r>
          </w:p>
        </w:tc>
        <w:tc>
          <w:tcPr>
            <w:tcW w:w="1040" w:type="pct"/>
            <w:gridSpan w:val="3"/>
            <w:vMerge w:val="restart"/>
            <w:tcBorders>
              <w:top w:val="nil"/>
              <w:left w:val="nil"/>
              <w:right w:val="single" w:sz="4" w:space="0" w:color="auto"/>
            </w:tcBorders>
            <w:shd w:val="clear" w:color="auto" w:fill="auto"/>
            <w:noWrap/>
            <w:vAlign w:val="center"/>
            <w:hideMark/>
          </w:tcPr>
          <w:p w14:paraId="210D4568" w14:textId="77777777" w:rsidR="000D6168" w:rsidRPr="000A5942" w:rsidRDefault="000D6168" w:rsidP="00323FD6">
            <w:pPr>
              <w:rPr>
                <w:rFonts w:ascii="Calibri" w:hAnsi="Calibri" w:cs="Calibri"/>
              </w:rPr>
            </w:pPr>
          </w:p>
        </w:tc>
      </w:tr>
      <w:tr w:rsidR="000D6168" w:rsidRPr="000A5942" w14:paraId="0C548E52" w14:textId="77777777" w:rsidTr="00323FD6">
        <w:trPr>
          <w:trHeight w:val="290"/>
          <w:jc w:val="center"/>
        </w:trPr>
        <w:tc>
          <w:tcPr>
            <w:tcW w:w="971" w:type="pct"/>
            <w:gridSpan w:val="2"/>
            <w:vMerge/>
            <w:tcBorders>
              <w:left w:val="single" w:sz="4" w:space="0" w:color="auto"/>
              <w:right w:val="nil"/>
            </w:tcBorders>
            <w:shd w:val="clear" w:color="auto" w:fill="auto"/>
            <w:noWrap/>
            <w:vAlign w:val="center"/>
            <w:hideMark/>
          </w:tcPr>
          <w:p w14:paraId="6183E82A"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1C6E7D22" w14:textId="77777777" w:rsidR="000D6168" w:rsidRPr="000A5942" w:rsidRDefault="000D6168" w:rsidP="00323FD6">
            <w:pPr>
              <w:rPr>
                <w:rFonts w:ascii="Calibri" w:hAnsi="Calibri" w:cs="Calibri"/>
              </w:rPr>
            </w:pPr>
            <w:r w:rsidRPr="000A5942">
              <w:rPr>
                <w:rFonts w:ascii="Calibri" w:hAnsi="Calibri" w:cs="Calibri"/>
              </w:rPr>
              <w:t>Ga0112164_120</w:t>
            </w:r>
          </w:p>
        </w:tc>
        <w:tc>
          <w:tcPr>
            <w:tcW w:w="313" w:type="pct"/>
            <w:tcBorders>
              <w:top w:val="nil"/>
              <w:left w:val="nil"/>
              <w:bottom w:val="nil"/>
              <w:right w:val="nil"/>
            </w:tcBorders>
            <w:shd w:val="clear" w:color="auto" w:fill="auto"/>
            <w:noWrap/>
            <w:vAlign w:val="center"/>
            <w:hideMark/>
          </w:tcPr>
          <w:p w14:paraId="55C34E14"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40972F1B" w14:textId="77777777" w:rsidR="000D6168" w:rsidRPr="000A5942" w:rsidRDefault="000D6168" w:rsidP="00323FD6">
            <w:pPr>
              <w:rPr>
                <w:rFonts w:ascii="Calibri" w:hAnsi="Calibri" w:cs="Calibri"/>
              </w:rPr>
            </w:pPr>
            <w:r w:rsidRPr="000A5942">
              <w:rPr>
                <w:rFonts w:ascii="Calibri" w:hAnsi="Calibri" w:cs="Calibri"/>
              </w:rPr>
              <w:t>Predicted ATP-dependent endonuclease of the OLD family, contains P-loop ATPase and TOPRIM domains</w:t>
            </w:r>
          </w:p>
        </w:tc>
        <w:tc>
          <w:tcPr>
            <w:tcW w:w="625" w:type="pct"/>
            <w:tcBorders>
              <w:top w:val="nil"/>
              <w:left w:val="nil"/>
              <w:bottom w:val="nil"/>
              <w:right w:val="nil"/>
            </w:tcBorders>
            <w:shd w:val="clear" w:color="auto" w:fill="auto"/>
            <w:noWrap/>
            <w:vAlign w:val="center"/>
            <w:hideMark/>
          </w:tcPr>
          <w:p w14:paraId="02F6F07C" w14:textId="77777777" w:rsidR="000D6168" w:rsidRPr="000A5942" w:rsidRDefault="000D6168" w:rsidP="00323FD6">
            <w:pPr>
              <w:rPr>
                <w:rFonts w:ascii="Calibri" w:hAnsi="Calibri" w:cs="Calibri"/>
              </w:rPr>
            </w:pPr>
            <w:r w:rsidRPr="000A5942">
              <w:rPr>
                <w:rFonts w:ascii="Calibri" w:hAnsi="Calibri" w:cs="Calibri"/>
              </w:rPr>
              <w:t xml:space="preserve">bifunctional NMN </w:t>
            </w:r>
            <w:proofErr w:type="spellStart"/>
            <w:r w:rsidRPr="000A5942">
              <w:rPr>
                <w:rFonts w:ascii="Calibri" w:hAnsi="Calibri" w:cs="Calibri"/>
              </w:rPr>
              <w:t>adenylyltransferase</w:t>
            </w:r>
            <w:proofErr w:type="spellEnd"/>
            <w:r w:rsidRPr="000A5942">
              <w:rPr>
                <w:rFonts w:ascii="Calibri" w:hAnsi="Calibri" w:cs="Calibri"/>
              </w:rPr>
              <w:t>/</w:t>
            </w:r>
            <w:proofErr w:type="spellStart"/>
            <w:r w:rsidRPr="000A5942">
              <w:rPr>
                <w:rFonts w:ascii="Calibri" w:hAnsi="Calibri" w:cs="Calibri"/>
              </w:rPr>
              <w:t>nudix</w:t>
            </w:r>
            <w:proofErr w:type="spellEnd"/>
            <w:r w:rsidRPr="000A5942">
              <w:rPr>
                <w:rFonts w:ascii="Calibri" w:hAnsi="Calibri" w:cs="Calibri"/>
              </w:rPr>
              <w:t xml:space="preserve"> hydrolase</w:t>
            </w:r>
          </w:p>
        </w:tc>
        <w:tc>
          <w:tcPr>
            <w:tcW w:w="453" w:type="pct"/>
            <w:tcBorders>
              <w:top w:val="nil"/>
              <w:left w:val="nil"/>
              <w:bottom w:val="nil"/>
              <w:right w:val="nil"/>
            </w:tcBorders>
            <w:shd w:val="clear" w:color="auto" w:fill="auto"/>
            <w:noWrap/>
            <w:vAlign w:val="center"/>
            <w:hideMark/>
          </w:tcPr>
          <w:p w14:paraId="56747812" w14:textId="77777777" w:rsidR="000D6168" w:rsidRPr="000A5942" w:rsidRDefault="000D6168" w:rsidP="00323FD6">
            <w:pPr>
              <w:rPr>
                <w:rFonts w:ascii="Calibri" w:hAnsi="Calibri" w:cs="Calibri"/>
              </w:rPr>
            </w:pPr>
            <w:r w:rsidRPr="000A5942">
              <w:rPr>
                <w:rFonts w:ascii="Calibri" w:hAnsi="Calibri" w:cs="Calibri"/>
              </w:rPr>
              <w:t>1453</w:t>
            </w:r>
          </w:p>
        </w:tc>
        <w:tc>
          <w:tcPr>
            <w:tcW w:w="311" w:type="pct"/>
            <w:tcBorders>
              <w:top w:val="nil"/>
              <w:left w:val="nil"/>
              <w:bottom w:val="nil"/>
              <w:right w:val="nil"/>
            </w:tcBorders>
            <w:shd w:val="clear" w:color="auto" w:fill="auto"/>
            <w:noWrap/>
            <w:vAlign w:val="center"/>
            <w:hideMark/>
          </w:tcPr>
          <w:p w14:paraId="4D2F3F21" w14:textId="77777777" w:rsidR="000D6168" w:rsidRPr="000A5942" w:rsidRDefault="000D6168" w:rsidP="00323FD6">
            <w:pPr>
              <w:rPr>
                <w:rFonts w:ascii="Calibri" w:hAnsi="Calibri" w:cs="Calibri"/>
              </w:rPr>
            </w:pPr>
            <w:r w:rsidRPr="000A5942">
              <w:rPr>
                <w:rFonts w:ascii="Calibri" w:hAnsi="Calibri" w:cs="Calibri"/>
              </w:rPr>
              <w:t>670</w:t>
            </w:r>
          </w:p>
        </w:tc>
        <w:tc>
          <w:tcPr>
            <w:tcW w:w="280" w:type="pct"/>
            <w:tcBorders>
              <w:top w:val="nil"/>
              <w:left w:val="nil"/>
              <w:bottom w:val="nil"/>
              <w:right w:val="nil"/>
            </w:tcBorders>
            <w:shd w:val="clear" w:color="auto" w:fill="auto"/>
            <w:noWrap/>
            <w:vAlign w:val="center"/>
            <w:hideMark/>
          </w:tcPr>
          <w:p w14:paraId="2895B7BF" w14:textId="77777777" w:rsidR="000D6168" w:rsidRPr="000A5942" w:rsidRDefault="000D6168" w:rsidP="00323FD6">
            <w:pPr>
              <w:rPr>
                <w:rFonts w:ascii="Calibri" w:hAnsi="Calibri" w:cs="Calibri"/>
              </w:rPr>
            </w:pPr>
            <w:r w:rsidRPr="000A5942">
              <w:rPr>
                <w:rFonts w:ascii="Calibri" w:hAnsi="Calibri" w:cs="Calibri"/>
              </w:rPr>
              <w:t>11.5</w:t>
            </w:r>
          </w:p>
        </w:tc>
        <w:tc>
          <w:tcPr>
            <w:tcW w:w="1040" w:type="pct"/>
            <w:gridSpan w:val="3"/>
            <w:vMerge/>
            <w:tcBorders>
              <w:left w:val="nil"/>
              <w:right w:val="single" w:sz="4" w:space="0" w:color="auto"/>
            </w:tcBorders>
            <w:shd w:val="clear" w:color="auto" w:fill="auto"/>
            <w:noWrap/>
            <w:vAlign w:val="center"/>
            <w:hideMark/>
          </w:tcPr>
          <w:p w14:paraId="12B6DD4D" w14:textId="77777777" w:rsidR="000D6168" w:rsidRPr="000A5942" w:rsidRDefault="000D6168" w:rsidP="00323FD6">
            <w:pPr>
              <w:rPr>
                <w:rFonts w:ascii="Calibri" w:hAnsi="Calibri" w:cs="Calibri"/>
              </w:rPr>
            </w:pPr>
          </w:p>
        </w:tc>
      </w:tr>
      <w:tr w:rsidR="000D6168" w:rsidRPr="000A5942" w14:paraId="44451AA6" w14:textId="77777777" w:rsidTr="00323FD6">
        <w:trPr>
          <w:trHeight w:val="290"/>
          <w:jc w:val="center"/>
        </w:trPr>
        <w:tc>
          <w:tcPr>
            <w:tcW w:w="971" w:type="pct"/>
            <w:gridSpan w:val="2"/>
            <w:vMerge/>
            <w:tcBorders>
              <w:left w:val="single" w:sz="4" w:space="0" w:color="auto"/>
              <w:bottom w:val="single" w:sz="4" w:space="0" w:color="auto"/>
              <w:right w:val="nil"/>
            </w:tcBorders>
            <w:shd w:val="clear" w:color="auto" w:fill="auto"/>
            <w:noWrap/>
            <w:vAlign w:val="center"/>
            <w:hideMark/>
          </w:tcPr>
          <w:p w14:paraId="22E48DDF"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352372B0" w14:textId="77777777" w:rsidR="000D6168" w:rsidRPr="000A5942" w:rsidRDefault="000D6168" w:rsidP="00323FD6">
            <w:pPr>
              <w:rPr>
                <w:rFonts w:ascii="Calibri" w:hAnsi="Calibri" w:cs="Calibri"/>
              </w:rPr>
            </w:pPr>
            <w:r w:rsidRPr="000A5942">
              <w:rPr>
                <w:rFonts w:ascii="Calibri" w:hAnsi="Calibri" w:cs="Calibri"/>
              </w:rPr>
              <w:t>Ga0112164_102</w:t>
            </w:r>
          </w:p>
        </w:tc>
        <w:tc>
          <w:tcPr>
            <w:tcW w:w="313" w:type="pct"/>
            <w:tcBorders>
              <w:top w:val="nil"/>
              <w:left w:val="nil"/>
              <w:bottom w:val="single" w:sz="4" w:space="0" w:color="auto"/>
              <w:right w:val="nil"/>
            </w:tcBorders>
            <w:shd w:val="clear" w:color="auto" w:fill="auto"/>
            <w:noWrap/>
            <w:vAlign w:val="center"/>
            <w:hideMark/>
          </w:tcPr>
          <w:p w14:paraId="2BF39923"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3B46AD54"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625" w:type="pct"/>
            <w:tcBorders>
              <w:top w:val="nil"/>
              <w:left w:val="nil"/>
              <w:bottom w:val="single" w:sz="4" w:space="0" w:color="auto"/>
              <w:right w:val="nil"/>
            </w:tcBorders>
            <w:shd w:val="clear" w:color="auto" w:fill="auto"/>
            <w:noWrap/>
            <w:vAlign w:val="center"/>
            <w:hideMark/>
          </w:tcPr>
          <w:p w14:paraId="217452A6" w14:textId="77777777" w:rsidR="000D6168" w:rsidRPr="000A5942" w:rsidRDefault="000D6168" w:rsidP="00323FD6">
            <w:pPr>
              <w:rPr>
                <w:rFonts w:ascii="Calibri" w:hAnsi="Calibri" w:cs="Calibri"/>
              </w:rPr>
            </w:pPr>
            <w:r w:rsidRPr="000A5942">
              <w:rPr>
                <w:rFonts w:ascii="Calibri" w:hAnsi="Calibri" w:cs="Calibri"/>
              </w:rPr>
              <w:t xml:space="preserve"> uridylate kinase</w:t>
            </w:r>
          </w:p>
        </w:tc>
        <w:tc>
          <w:tcPr>
            <w:tcW w:w="453" w:type="pct"/>
            <w:tcBorders>
              <w:top w:val="nil"/>
              <w:left w:val="nil"/>
              <w:bottom w:val="single" w:sz="4" w:space="0" w:color="auto"/>
              <w:right w:val="nil"/>
            </w:tcBorders>
            <w:shd w:val="clear" w:color="auto" w:fill="auto"/>
            <w:noWrap/>
            <w:vAlign w:val="center"/>
            <w:hideMark/>
          </w:tcPr>
          <w:p w14:paraId="069369B3" w14:textId="77777777" w:rsidR="000D6168" w:rsidRPr="000A5942" w:rsidRDefault="000D6168" w:rsidP="00323FD6">
            <w:pPr>
              <w:rPr>
                <w:rFonts w:ascii="Calibri" w:hAnsi="Calibri" w:cs="Calibri"/>
              </w:rPr>
            </w:pPr>
            <w:r w:rsidRPr="000A5942">
              <w:rPr>
                <w:rFonts w:ascii="Calibri" w:hAnsi="Calibri" w:cs="Calibri"/>
              </w:rPr>
              <w:t>2245</w:t>
            </w:r>
          </w:p>
        </w:tc>
        <w:tc>
          <w:tcPr>
            <w:tcW w:w="311" w:type="pct"/>
            <w:tcBorders>
              <w:top w:val="nil"/>
              <w:left w:val="nil"/>
              <w:bottom w:val="single" w:sz="4" w:space="0" w:color="auto"/>
              <w:right w:val="nil"/>
            </w:tcBorders>
            <w:shd w:val="clear" w:color="auto" w:fill="auto"/>
            <w:noWrap/>
            <w:vAlign w:val="center"/>
            <w:hideMark/>
          </w:tcPr>
          <w:p w14:paraId="604A9EC3" w14:textId="77777777" w:rsidR="000D6168" w:rsidRPr="000A5942" w:rsidRDefault="000D6168" w:rsidP="00323FD6">
            <w:pPr>
              <w:rPr>
                <w:rFonts w:ascii="Calibri" w:hAnsi="Calibri" w:cs="Calibri"/>
              </w:rPr>
            </w:pPr>
            <w:r w:rsidRPr="000A5942">
              <w:rPr>
                <w:rFonts w:ascii="Calibri" w:hAnsi="Calibri" w:cs="Calibri"/>
              </w:rPr>
              <w:t>6360</w:t>
            </w:r>
          </w:p>
        </w:tc>
        <w:tc>
          <w:tcPr>
            <w:tcW w:w="280" w:type="pct"/>
            <w:tcBorders>
              <w:top w:val="nil"/>
              <w:left w:val="nil"/>
              <w:bottom w:val="single" w:sz="4" w:space="0" w:color="auto"/>
              <w:right w:val="nil"/>
            </w:tcBorders>
            <w:shd w:val="clear" w:color="auto" w:fill="auto"/>
            <w:noWrap/>
            <w:vAlign w:val="center"/>
            <w:hideMark/>
          </w:tcPr>
          <w:p w14:paraId="29B99B86" w14:textId="77777777" w:rsidR="000D6168" w:rsidRPr="000A5942" w:rsidRDefault="000D6168" w:rsidP="00323FD6">
            <w:pPr>
              <w:rPr>
                <w:rFonts w:ascii="Calibri" w:hAnsi="Calibri" w:cs="Calibri"/>
              </w:rPr>
            </w:pPr>
            <w:r w:rsidRPr="000A5942">
              <w:rPr>
                <w:rFonts w:ascii="Calibri" w:hAnsi="Calibri" w:cs="Calibri"/>
              </w:rPr>
              <w:t>11.3</w:t>
            </w:r>
          </w:p>
        </w:tc>
        <w:tc>
          <w:tcPr>
            <w:tcW w:w="1040" w:type="pct"/>
            <w:gridSpan w:val="3"/>
            <w:vMerge/>
            <w:tcBorders>
              <w:left w:val="nil"/>
              <w:bottom w:val="single" w:sz="4" w:space="0" w:color="auto"/>
              <w:right w:val="single" w:sz="4" w:space="0" w:color="auto"/>
            </w:tcBorders>
            <w:shd w:val="clear" w:color="auto" w:fill="auto"/>
            <w:noWrap/>
            <w:vAlign w:val="center"/>
            <w:hideMark/>
          </w:tcPr>
          <w:p w14:paraId="509020BF" w14:textId="77777777" w:rsidR="000D6168" w:rsidRPr="000A5942" w:rsidRDefault="000D6168" w:rsidP="00323FD6">
            <w:pPr>
              <w:rPr>
                <w:rFonts w:ascii="Calibri" w:hAnsi="Calibri" w:cs="Calibri"/>
              </w:rPr>
            </w:pPr>
          </w:p>
        </w:tc>
      </w:tr>
      <w:tr w:rsidR="000D6168" w:rsidRPr="000A5942" w14:paraId="04477AFE"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2A1C3549" w14:textId="77777777" w:rsidR="000D6168" w:rsidRPr="000A5942" w:rsidRDefault="000D6168" w:rsidP="00323FD6">
            <w:pPr>
              <w:rPr>
                <w:rFonts w:ascii="Calibri" w:hAnsi="Calibri" w:cs="Calibri"/>
              </w:rPr>
            </w:pPr>
            <w:r w:rsidRPr="000A5942">
              <w:rPr>
                <w:rFonts w:ascii="Calibri" w:hAnsi="Calibri" w:cs="Calibri"/>
              </w:rPr>
              <w:t>2690316342</w:t>
            </w:r>
          </w:p>
        </w:tc>
        <w:tc>
          <w:tcPr>
            <w:tcW w:w="452" w:type="pct"/>
            <w:tcBorders>
              <w:top w:val="nil"/>
              <w:left w:val="nil"/>
              <w:bottom w:val="nil"/>
              <w:right w:val="nil"/>
            </w:tcBorders>
            <w:shd w:val="clear" w:color="auto" w:fill="auto"/>
            <w:noWrap/>
            <w:vAlign w:val="center"/>
            <w:hideMark/>
          </w:tcPr>
          <w:p w14:paraId="17350957" w14:textId="77777777" w:rsidR="000D6168" w:rsidRPr="000A5942" w:rsidRDefault="000D6168" w:rsidP="00323FD6">
            <w:pPr>
              <w:rPr>
                <w:rFonts w:ascii="Calibri" w:hAnsi="Calibri" w:cs="Calibri"/>
              </w:rPr>
            </w:pPr>
            <w:proofErr w:type="spellStart"/>
            <w:r w:rsidRPr="000A5942">
              <w:rPr>
                <w:rFonts w:ascii="Calibri" w:hAnsi="Calibri" w:cs="Calibri"/>
              </w:rPr>
              <w:t>Leisingera</w:t>
            </w:r>
            <w:proofErr w:type="spellEnd"/>
            <w:r w:rsidRPr="000A5942">
              <w:rPr>
                <w:rFonts w:ascii="Calibri" w:hAnsi="Calibri" w:cs="Calibri"/>
              </w:rPr>
              <w:t xml:space="preserve"> sp. ANG-S5</w:t>
            </w:r>
          </w:p>
        </w:tc>
        <w:tc>
          <w:tcPr>
            <w:tcW w:w="347" w:type="pct"/>
            <w:tcBorders>
              <w:top w:val="nil"/>
              <w:left w:val="nil"/>
              <w:bottom w:val="nil"/>
              <w:right w:val="nil"/>
            </w:tcBorders>
            <w:shd w:val="clear" w:color="auto" w:fill="auto"/>
            <w:noWrap/>
            <w:vAlign w:val="center"/>
            <w:hideMark/>
          </w:tcPr>
          <w:p w14:paraId="68B3FD95" w14:textId="77777777" w:rsidR="000D6168" w:rsidRPr="000A5942" w:rsidRDefault="000D6168" w:rsidP="00323FD6">
            <w:pPr>
              <w:rPr>
                <w:rFonts w:ascii="Calibri" w:hAnsi="Calibri" w:cs="Calibri"/>
              </w:rPr>
            </w:pPr>
            <w:r w:rsidRPr="000A5942">
              <w:rPr>
                <w:rFonts w:ascii="Calibri" w:hAnsi="Calibri" w:cs="Calibri"/>
              </w:rPr>
              <w:t>Ga0112166_127</w:t>
            </w:r>
          </w:p>
        </w:tc>
        <w:tc>
          <w:tcPr>
            <w:tcW w:w="313" w:type="pct"/>
            <w:tcBorders>
              <w:top w:val="nil"/>
              <w:left w:val="nil"/>
              <w:bottom w:val="nil"/>
              <w:right w:val="nil"/>
            </w:tcBorders>
            <w:shd w:val="clear" w:color="auto" w:fill="auto"/>
            <w:noWrap/>
            <w:vAlign w:val="center"/>
            <w:hideMark/>
          </w:tcPr>
          <w:p w14:paraId="5C14390F"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0EDDDEED" w14:textId="77777777" w:rsidR="000D6168" w:rsidRPr="000A5942" w:rsidRDefault="000D6168" w:rsidP="00323FD6">
            <w:pPr>
              <w:rPr>
                <w:rFonts w:ascii="Calibri" w:hAnsi="Calibri" w:cs="Calibri"/>
              </w:rPr>
            </w:pPr>
            <w:r w:rsidRPr="000A5942">
              <w:rPr>
                <w:rFonts w:ascii="Calibri" w:hAnsi="Calibri" w:cs="Calibri"/>
              </w:rPr>
              <w:t xml:space="preserve"> (R)-</w:t>
            </w:r>
            <w:proofErr w:type="spellStart"/>
            <w:r w:rsidRPr="000A5942">
              <w:rPr>
                <w:rFonts w:ascii="Calibri" w:hAnsi="Calibri" w:cs="Calibri"/>
              </w:rPr>
              <w:t>ethylmalonyl</w:t>
            </w:r>
            <w:proofErr w:type="spellEnd"/>
            <w:r w:rsidRPr="000A5942">
              <w:rPr>
                <w:rFonts w:ascii="Calibri" w:hAnsi="Calibri" w:cs="Calibri"/>
              </w:rPr>
              <w:t>-CoA mutase</w:t>
            </w:r>
          </w:p>
        </w:tc>
        <w:tc>
          <w:tcPr>
            <w:tcW w:w="625" w:type="pct"/>
            <w:tcBorders>
              <w:top w:val="nil"/>
              <w:left w:val="nil"/>
              <w:bottom w:val="nil"/>
              <w:right w:val="nil"/>
            </w:tcBorders>
            <w:shd w:val="clear" w:color="auto" w:fill="auto"/>
            <w:noWrap/>
            <w:vAlign w:val="center"/>
            <w:hideMark/>
          </w:tcPr>
          <w:p w14:paraId="70BDE1D7"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453" w:type="pct"/>
            <w:tcBorders>
              <w:top w:val="nil"/>
              <w:left w:val="nil"/>
              <w:bottom w:val="nil"/>
              <w:right w:val="nil"/>
            </w:tcBorders>
            <w:shd w:val="clear" w:color="auto" w:fill="auto"/>
            <w:noWrap/>
            <w:vAlign w:val="center"/>
            <w:hideMark/>
          </w:tcPr>
          <w:p w14:paraId="3F8DFAB4" w14:textId="77777777" w:rsidR="000D6168" w:rsidRPr="000A5942" w:rsidRDefault="000D6168" w:rsidP="00323FD6">
            <w:pPr>
              <w:rPr>
                <w:rFonts w:ascii="Calibri" w:hAnsi="Calibri" w:cs="Calibri"/>
              </w:rPr>
            </w:pPr>
            <w:r w:rsidRPr="000A5942">
              <w:rPr>
                <w:rFonts w:ascii="Calibri" w:hAnsi="Calibri" w:cs="Calibri"/>
              </w:rPr>
              <w:t>4122</w:t>
            </w:r>
          </w:p>
        </w:tc>
        <w:tc>
          <w:tcPr>
            <w:tcW w:w="311" w:type="pct"/>
            <w:tcBorders>
              <w:top w:val="nil"/>
              <w:left w:val="nil"/>
              <w:bottom w:val="nil"/>
              <w:right w:val="nil"/>
            </w:tcBorders>
            <w:shd w:val="clear" w:color="auto" w:fill="auto"/>
            <w:noWrap/>
            <w:vAlign w:val="center"/>
            <w:hideMark/>
          </w:tcPr>
          <w:p w14:paraId="44D7A022" w14:textId="77777777" w:rsidR="000D6168" w:rsidRPr="000A5942" w:rsidRDefault="000D6168" w:rsidP="00323FD6">
            <w:pPr>
              <w:rPr>
                <w:rFonts w:ascii="Calibri" w:hAnsi="Calibri" w:cs="Calibri"/>
              </w:rPr>
            </w:pPr>
            <w:r w:rsidRPr="000A5942">
              <w:rPr>
                <w:rFonts w:ascii="Calibri" w:hAnsi="Calibri" w:cs="Calibri"/>
              </w:rPr>
              <w:t>3060</w:t>
            </w:r>
          </w:p>
        </w:tc>
        <w:tc>
          <w:tcPr>
            <w:tcW w:w="280" w:type="pct"/>
            <w:tcBorders>
              <w:top w:val="nil"/>
              <w:left w:val="nil"/>
              <w:bottom w:val="nil"/>
              <w:right w:val="nil"/>
            </w:tcBorders>
            <w:shd w:val="clear" w:color="auto" w:fill="auto"/>
            <w:noWrap/>
            <w:vAlign w:val="center"/>
            <w:hideMark/>
          </w:tcPr>
          <w:p w14:paraId="1F2722E7" w14:textId="77777777" w:rsidR="000D6168" w:rsidRPr="000A5942" w:rsidRDefault="000D6168" w:rsidP="00323FD6">
            <w:pPr>
              <w:rPr>
                <w:rFonts w:ascii="Calibri" w:hAnsi="Calibri" w:cs="Calibri"/>
              </w:rPr>
            </w:pPr>
            <w:r w:rsidRPr="000A5942">
              <w:rPr>
                <w:rFonts w:ascii="Calibri" w:hAnsi="Calibri" w:cs="Calibri"/>
              </w:rPr>
              <w:t>38.8</w:t>
            </w:r>
          </w:p>
        </w:tc>
        <w:tc>
          <w:tcPr>
            <w:tcW w:w="347" w:type="pct"/>
            <w:tcBorders>
              <w:top w:val="nil"/>
              <w:left w:val="nil"/>
              <w:bottom w:val="nil"/>
              <w:right w:val="nil"/>
            </w:tcBorders>
            <w:shd w:val="clear" w:color="auto" w:fill="auto"/>
            <w:noWrap/>
            <w:vAlign w:val="center"/>
            <w:hideMark/>
          </w:tcPr>
          <w:p w14:paraId="3B72B6A2" w14:textId="77777777" w:rsidR="000D6168" w:rsidRPr="000A5942" w:rsidRDefault="000D6168" w:rsidP="00323FD6">
            <w:pPr>
              <w:rPr>
                <w:rFonts w:ascii="Calibri" w:hAnsi="Calibri" w:cs="Calibri"/>
              </w:rPr>
            </w:pPr>
            <w:r w:rsidRPr="000A5942">
              <w:rPr>
                <w:rFonts w:ascii="Calibri" w:hAnsi="Calibri" w:cs="Calibri"/>
              </w:rPr>
              <w:t>3</w:t>
            </w:r>
          </w:p>
        </w:tc>
        <w:tc>
          <w:tcPr>
            <w:tcW w:w="313" w:type="pct"/>
            <w:tcBorders>
              <w:top w:val="nil"/>
              <w:left w:val="nil"/>
              <w:bottom w:val="nil"/>
              <w:right w:val="nil"/>
            </w:tcBorders>
            <w:shd w:val="clear" w:color="auto" w:fill="auto"/>
            <w:noWrap/>
            <w:vAlign w:val="center"/>
            <w:hideMark/>
          </w:tcPr>
          <w:p w14:paraId="3AD53FF7" w14:textId="77777777" w:rsidR="000D6168" w:rsidRPr="000A5942" w:rsidRDefault="000D6168" w:rsidP="00323FD6">
            <w:pPr>
              <w:rPr>
                <w:rFonts w:ascii="Calibri" w:hAnsi="Calibri" w:cs="Calibri"/>
              </w:rPr>
            </w:pPr>
            <w:r w:rsidRPr="000A5942">
              <w:rPr>
                <w:rFonts w:ascii="Calibri" w:hAnsi="Calibri" w:cs="Calibri"/>
              </w:rPr>
              <w:t>4463</w:t>
            </w:r>
          </w:p>
        </w:tc>
        <w:tc>
          <w:tcPr>
            <w:tcW w:w="380" w:type="pct"/>
            <w:tcBorders>
              <w:top w:val="nil"/>
              <w:left w:val="nil"/>
              <w:bottom w:val="nil"/>
              <w:right w:val="single" w:sz="4" w:space="0" w:color="auto"/>
            </w:tcBorders>
            <w:shd w:val="clear" w:color="auto" w:fill="auto"/>
            <w:noWrap/>
            <w:vAlign w:val="center"/>
            <w:hideMark/>
          </w:tcPr>
          <w:p w14:paraId="2203BBC7" w14:textId="77777777" w:rsidR="000D6168" w:rsidRPr="000A5942" w:rsidRDefault="000D6168" w:rsidP="00323FD6">
            <w:pPr>
              <w:rPr>
                <w:rFonts w:ascii="Calibri" w:hAnsi="Calibri" w:cs="Calibri"/>
              </w:rPr>
            </w:pPr>
            <w:r w:rsidRPr="000A5942">
              <w:rPr>
                <w:rFonts w:ascii="Calibri" w:hAnsi="Calibri" w:cs="Calibri"/>
              </w:rPr>
              <w:t xml:space="preserve"> 0.0896%</w:t>
            </w:r>
          </w:p>
        </w:tc>
      </w:tr>
      <w:tr w:rsidR="000D6168" w:rsidRPr="000A5942" w14:paraId="5607E184" w14:textId="77777777" w:rsidTr="00323FD6">
        <w:trPr>
          <w:trHeight w:val="290"/>
          <w:jc w:val="center"/>
        </w:trPr>
        <w:tc>
          <w:tcPr>
            <w:tcW w:w="971" w:type="pct"/>
            <w:gridSpan w:val="2"/>
            <w:tcBorders>
              <w:top w:val="nil"/>
              <w:left w:val="single" w:sz="4" w:space="0" w:color="auto"/>
              <w:bottom w:val="nil"/>
              <w:right w:val="nil"/>
            </w:tcBorders>
            <w:shd w:val="clear" w:color="auto" w:fill="auto"/>
            <w:noWrap/>
            <w:vAlign w:val="center"/>
            <w:hideMark/>
          </w:tcPr>
          <w:p w14:paraId="45461081"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2BF4017A" w14:textId="77777777" w:rsidR="000D6168" w:rsidRPr="000A5942" w:rsidRDefault="000D6168" w:rsidP="00323FD6">
            <w:pPr>
              <w:rPr>
                <w:rFonts w:ascii="Calibri" w:hAnsi="Calibri" w:cs="Calibri"/>
              </w:rPr>
            </w:pPr>
            <w:r w:rsidRPr="000A5942">
              <w:rPr>
                <w:rFonts w:ascii="Calibri" w:hAnsi="Calibri" w:cs="Calibri"/>
              </w:rPr>
              <w:t>Ga0112166_127</w:t>
            </w:r>
          </w:p>
        </w:tc>
        <w:tc>
          <w:tcPr>
            <w:tcW w:w="313" w:type="pct"/>
            <w:tcBorders>
              <w:top w:val="nil"/>
              <w:left w:val="nil"/>
              <w:bottom w:val="nil"/>
              <w:right w:val="nil"/>
            </w:tcBorders>
            <w:shd w:val="clear" w:color="auto" w:fill="auto"/>
            <w:noWrap/>
            <w:vAlign w:val="center"/>
            <w:hideMark/>
          </w:tcPr>
          <w:p w14:paraId="4AE96C47"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77EBBA27"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regulator, </w:t>
            </w:r>
            <w:proofErr w:type="spellStart"/>
            <w:r w:rsidRPr="000A5942">
              <w:rPr>
                <w:rFonts w:ascii="Calibri" w:hAnsi="Calibri" w:cs="Calibri"/>
              </w:rPr>
              <w:t>CsgD</w:t>
            </w:r>
            <w:proofErr w:type="spellEnd"/>
            <w:r w:rsidRPr="000A5942">
              <w:rPr>
                <w:rFonts w:ascii="Calibri" w:hAnsi="Calibri" w:cs="Calibri"/>
              </w:rPr>
              <w:t xml:space="preserve"> family</w:t>
            </w:r>
          </w:p>
        </w:tc>
        <w:tc>
          <w:tcPr>
            <w:tcW w:w="625" w:type="pct"/>
            <w:tcBorders>
              <w:top w:val="nil"/>
              <w:left w:val="nil"/>
              <w:bottom w:val="nil"/>
              <w:right w:val="nil"/>
            </w:tcBorders>
            <w:shd w:val="clear" w:color="auto" w:fill="auto"/>
            <w:noWrap/>
            <w:vAlign w:val="center"/>
            <w:hideMark/>
          </w:tcPr>
          <w:p w14:paraId="29516C9F" w14:textId="77777777" w:rsidR="000D6168" w:rsidRPr="000A5942" w:rsidRDefault="000D6168" w:rsidP="00323FD6">
            <w:pPr>
              <w:rPr>
                <w:rFonts w:ascii="Calibri" w:hAnsi="Calibri" w:cs="Calibri"/>
              </w:rPr>
            </w:pPr>
            <w:r w:rsidRPr="000A5942">
              <w:rPr>
                <w:rFonts w:ascii="Calibri" w:hAnsi="Calibri" w:cs="Calibri"/>
              </w:rPr>
              <w:t>acyl homoserine lactone synthase</w:t>
            </w:r>
          </w:p>
        </w:tc>
        <w:tc>
          <w:tcPr>
            <w:tcW w:w="453" w:type="pct"/>
            <w:tcBorders>
              <w:top w:val="nil"/>
              <w:left w:val="nil"/>
              <w:bottom w:val="nil"/>
              <w:right w:val="nil"/>
            </w:tcBorders>
            <w:shd w:val="clear" w:color="auto" w:fill="auto"/>
            <w:noWrap/>
            <w:vAlign w:val="center"/>
            <w:hideMark/>
          </w:tcPr>
          <w:p w14:paraId="33C0CC61" w14:textId="77777777" w:rsidR="000D6168" w:rsidRPr="000A5942" w:rsidRDefault="000D6168" w:rsidP="00323FD6">
            <w:pPr>
              <w:rPr>
                <w:rFonts w:ascii="Calibri" w:hAnsi="Calibri" w:cs="Calibri"/>
              </w:rPr>
            </w:pPr>
            <w:r w:rsidRPr="000A5942">
              <w:rPr>
                <w:rFonts w:ascii="Calibri" w:hAnsi="Calibri" w:cs="Calibri"/>
              </w:rPr>
              <w:t>56</w:t>
            </w:r>
          </w:p>
        </w:tc>
        <w:tc>
          <w:tcPr>
            <w:tcW w:w="311" w:type="pct"/>
            <w:tcBorders>
              <w:top w:val="nil"/>
              <w:left w:val="nil"/>
              <w:bottom w:val="nil"/>
              <w:right w:val="nil"/>
            </w:tcBorders>
            <w:shd w:val="clear" w:color="auto" w:fill="auto"/>
            <w:noWrap/>
            <w:vAlign w:val="center"/>
            <w:hideMark/>
          </w:tcPr>
          <w:p w14:paraId="066D7D0F" w14:textId="77777777" w:rsidR="000D6168" w:rsidRPr="000A5942" w:rsidRDefault="000D6168" w:rsidP="00323FD6">
            <w:pPr>
              <w:rPr>
                <w:rFonts w:ascii="Calibri" w:hAnsi="Calibri" w:cs="Calibri"/>
              </w:rPr>
            </w:pPr>
            <w:r w:rsidRPr="000A5942">
              <w:rPr>
                <w:rFonts w:ascii="Calibri" w:hAnsi="Calibri" w:cs="Calibri"/>
              </w:rPr>
              <w:t>2</w:t>
            </w:r>
          </w:p>
        </w:tc>
        <w:tc>
          <w:tcPr>
            <w:tcW w:w="280" w:type="pct"/>
            <w:tcBorders>
              <w:top w:val="nil"/>
              <w:left w:val="nil"/>
              <w:bottom w:val="nil"/>
              <w:right w:val="nil"/>
            </w:tcBorders>
            <w:shd w:val="clear" w:color="auto" w:fill="auto"/>
            <w:noWrap/>
            <w:vAlign w:val="center"/>
            <w:hideMark/>
          </w:tcPr>
          <w:p w14:paraId="3163576E" w14:textId="77777777" w:rsidR="000D6168" w:rsidRPr="000A5942" w:rsidRDefault="000D6168" w:rsidP="00323FD6">
            <w:pPr>
              <w:rPr>
                <w:rFonts w:ascii="Calibri" w:hAnsi="Calibri" w:cs="Calibri"/>
              </w:rPr>
            </w:pPr>
            <w:r w:rsidRPr="000A5942">
              <w:rPr>
                <w:rFonts w:ascii="Calibri" w:hAnsi="Calibri" w:cs="Calibri"/>
              </w:rPr>
              <w:t>29.2</w:t>
            </w:r>
          </w:p>
        </w:tc>
        <w:tc>
          <w:tcPr>
            <w:tcW w:w="1040" w:type="pct"/>
            <w:gridSpan w:val="3"/>
            <w:tcBorders>
              <w:top w:val="nil"/>
              <w:left w:val="nil"/>
              <w:bottom w:val="nil"/>
              <w:right w:val="single" w:sz="4" w:space="0" w:color="auto"/>
            </w:tcBorders>
            <w:shd w:val="clear" w:color="auto" w:fill="auto"/>
            <w:noWrap/>
            <w:vAlign w:val="center"/>
            <w:hideMark/>
          </w:tcPr>
          <w:p w14:paraId="4B1DEC87" w14:textId="77777777" w:rsidR="000D6168" w:rsidRPr="000A5942" w:rsidRDefault="000D6168" w:rsidP="00323FD6">
            <w:pPr>
              <w:rPr>
                <w:rFonts w:ascii="Calibri" w:hAnsi="Calibri" w:cs="Calibri"/>
              </w:rPr>
            </w:pPr>
          </w:p>
        </w:tc>
      </w:tr>
      <w:tr w:rsidR="000D6168" w:rsidRPr="000A5942" w14:paraId="23D5ACE6" w14:textId="77777777" w:rsidTr="00323FD6">
        <w:trPr>
          <w:trHeight w:val="290"/>
          <w:jc w:val="center"/>
        </w:trPr>
        <w:tc>
          <w:tcPr>
            <w:tcW w:w="971" w:type="pct"/>
            <w:gridSpan w:val="2"/>
            <w:vMerge w:val="restart"/>
            <w:tcBorders>
              <w:top w:val="nil"/>
              <w:left w:val="single" w:sz="4" w:space="0" w:color="auto"/>
              <w:right w:val="nil"/>
            </w:tcBorders>
            <w:shd w:val="clear" w:color="auto" w:fill="auto"/>
            <w:noWrap/>
            <w:vAlign w:val="center"/>
            <w:hideMark/>
          </w:tcPr>
          <w:p w14:paraId="07636311"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0ADC3C0D" w14:textId="77777777" w:rsidR="000D6168" w:rsidRPr="000A5942" w:rsidRDefault="000D6168" w:rsidP="00323FD6">
            <w:pPr>
              <w:rPr>
                <w:rFonts w:ascii="Calibri" w:hAnsi="Calibri" w:cs="Calibri"/>
              </w:rPr>
            </w:pPr>
            <w:r w:rsidRPr="000A5942">
              <w:rPr>
                <w:rFonts w:ascii="Calibri" w:hAnsi="Calibri" w:cs="Calibri"/>
              </w:rPr>
              <w:t>Ga0112166_110</w:t>
            </w:r>
          </w:p>
        </w:tc>
        <w:tc>
          <w:tcPr>
            <w:tcW w:w="313" w:type="pct"/>
            <w:tcBorders>
              <w:top w:val="nil"/>
              <w:left w:val="nil"/>
              <w:bottom w:val="nil"/>
              <w:right w:val="nil"/>
            </w:tcBorders>
            <w:shd w:val="clear" w:color="auto" w:fill="auto"/>
            <w:noWrap/>
            <w:vAlign w:val="center"/>
            <w:hideMark/>
          </w:tcPr>
          <w:p w14:paraId="3DF86D07"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7E7B891F" w14:textId="77777777" w:rsidR="000D6168" w:rsidRPr="000A5942" w:rsidRDefault="000D6168" w:rsidP="00323FD6">
            <w:pPr>
              <w:rPr>
                <w:rFonts w:ascii="Calibri" w:hAnsi="Calibri" w:cs="Calibri"/>
              </w:rPr>
            </w:pPr>
            <w:r w:rsidRPr="000A5942">
              <w:rPr>
                <w:rFonts w:ascii="Calibri" w:hAnsi="Calibri" w:cs="Calibri"/>
              </w:rPr>
              <w:t>4a-hydroxytetrahydrobiopterin dehydratase</w:t>
            </w:r>
          </w:p>
        </w:tc>
        <w:tc>
          <w:tcPr>
            <w:tcW w:w="625" w:type="pct"/>
            <w:tcBorders>
              <w:top w:val="nil"/>
              <w:left w:val="nil"/>
              <w:bottom w:val="nil"/>
              <w:right w:val="nil"/>
            </w:tcBorders>
            <w:shd w:val="clear" w:color="auto" w:fill="auto"/>
            <w:noWrap/>
            <w:vAlign w:val="center"/>
            <w:hideMark/>
          </w:tcPr>
          <w:p w14:paraId="64485376" w14:textId="77777777" w:rsidR="000D6168" w:rsidRPr="000A5942" w:rsidRDefault="000D6168" w:rsidP="00323FD6">
            <w:pPr>
              <w:rPr>
                <w:rFonts w:ascii="Calibri" w:hAnsi="Calibri" w:cs="Calibri"/>
              </w:rPr>
            </w:pPr>
            <w:r w:rsidRPr="000A5942">
              <w:rPr>
                <w:rFonts w:ascii="Calibri" w:hAnsi="Calibri" w:cs="Calibri"/>
              </w:rPr>
              <w:t>16S rRNA (guanine966-N2)-methyltransferase</w:t>
            </w:r>
          </w:p>
        </w:tc>
        <w:tc>
          <w:tcPr>
            <w:tcW w:w="453" w:type="pct"/>
            <w:tcBorders>
              <w:top w:val="nil"/>
              <w:left w:val="nil"/>
              <w:bottom w:val="nil"/>
              <w:right w:val="nil"/>
            </w:tcBorders>
            <w:shd w:val="clear" w:color="auto" w:fill="auto"/>
            <w:noWrap/>
            <w:vAlign w:val="center"/>
            <w:hideMark/>
          </w:tcPr>
          <w:p w14:paraId="45B6B09B" w14:textId="77777777" w:rsidR="000D6168" w:rsidRPr="000A5942" w:rsidRDefault="000D6168" w:rsidP="00323FD6">
            <w:pPr>
              <w:rPr>
                <w:rFonts w:ascii="Calibri" w:hAnsi="Calibri" w:cs="Calibri"/>
              </w:rPr>
            </w:pPr>
            <w:r w:rsidRPr="000A5942">
              <w:rPr>
                <w:rFonts w:ascii="Calibri" w:hAnsi="Calibri" w:cs="Calibri"/>
              </w:rPr>
              <w:t>2100</w:t>
            </w:r>
          </w:p>
        </w:tc>
        <w:tc>
          <w:tcPr>
            <w:tcW w:w="311" w:type="pct"/>
            <w:tcBorders>
              <w:top w:val="nil"/>
              <w:left w:val="nil"/>
              <w:bottom w:val="nil"/>
              <w:right w:val="nil"/>
            </w:tcBorders>
            <w:shd w:val="clear" w:color="auto" w:fill="auto"/>
            <w:noWrap/>
            <w:vAlign w:val="center"/>
            <w:hideMark/>
          </w:tcPr>
          <w:p w14:paraId="0CA202E1" w14:textId="77777777" w:rsidR="000D6168" w:rsidRPr="000A5942" w:rsidRDefault="000D6168" w:rsidP="00323FD6">
            <w:pPr>
              <w:rPr>
                <w:rFonts w:ascii="Calibri" w:hAnsi="Calibri" w:cs="Calibri"/>
              </w:rPr>
            </w:pPr>
            <w:r w:rsidRPr="000A5942">
              <w:rPr>
                <w:rFonts w:ascii="Calibri" w:hAnsi="Calibri" w:cs="Calibri"/>
              </w:rPr>
              <w:t>130</w:t>
            </w:r>
          </w:p>
        </w:tc>
        <w:tc>
          <w:tcPr>
            <w:tcW w:w="280" w:type="pct"/>
            <w:tcBorders>
              <w:top w:val="nil"/>
              <w:left w:val="nil"/>
              <w:bottom w:val="nil"/>
              <w:right w:val="nil"/>
            </w:tcBorders>
            <w:shd w:val="clear" w:color="auto" w:fill="auto"/>
            <w:noWrap/>
            <w:vAlign w:val="center"/>
            <w:hideMark/>
          </w:tcPr>
          <w:p w14:paraId="3E5519AD" w14:textId="77777777" w:rsidR="000D6168" w:rsidRPr="000A5942" w:rsidRDefault="000D6168" w:rsidP="00323FD6">
            <w:pPr>
              <w:rPr>
                <w:rFonts w:ascii="Calibri" w:hAnsi="Calibri" w:cs="Calibri"/>
              </w:rPr>
            </w:pPr>
            <w:r w:rsidRPr="000A5942">
              <w:rPr>
                <w:rFonts w:ascii="Calibri" w:hAnsi="Calibri" w:cs="Calibri"/>
              </w:rPr>
              <w:t>15.9</w:t>
            </w:r>
          </w:p>
        </w:tc>
        <w:tc>
          <w:tcPr>
            <w:tcW w:w="1040" w:type="pct"/>
            <w:gridSpan w:val="3"/>
            <w:vMerge w:val="restart"/>
            <w:tcBorders>
              <w:top w:val="nil"/>
              <w:left w:val="nil"/>
              <w:right w:val="single" w:sz="4" w:space="0" w:color="auto"/>
            </w:tcBorders>
            <w:shd w:val="clear" w:color="auto" w:fill="auto"/>
            <w:noWrap/>
            <w:vAlign w:val="center"/>
            <w:hideMark/>
          </w:tcPr>
          <w:p w14:paraId="61C6D491" w14:textId="77777777" w:rsidR="000D6168" w:rsidRPr="000A5942" w:rsidRDefault="000D6168" w:rsidP="00323FD6">
            <w:pPr>
              <w:rPr>
                <w:rFonts w:ascii="Calibri" w:hAnsi="Calibri" w:cs="Calibri"/>
              </w:rPr>
            </w:pPr>
          </w:p>
        </w:tc>
      </w:tr>
      <w:tr w:rsidR="000D6168" w:rsidRPr="000A5942" w14:paraId="4807FFEB" w14:textId="77777777" w:rsidTr="00323FD6">
        <w:trPr>
          <w:trHeight w:val="290"/>
          <w:jc w:val="center"/>
        </w:trPr>
        <w:tc>
          <w:tcPr>
            <w:tcW w:w="971" w:type="pct"/>
            <w:gridSpan w:val="2"/>
            <w:vMerge/>
            <w:tcBorders>
              <w:left w:val="single" w:sz="4" w:space="0" w:color="auto"/>
              <w:bottom w:val="single" w:sz="4" w:space="0" w:color="auto"/>
              <w:right w:val="nil"/>
            </w:tcBorders>
            <w:shd w:val="clear" w:color="auto" w:fill="auto"/>
            <w:noWrap/>
            <w:vAlign w:val="center"/>
            <w:hideMark/>
          </w:tcPr>
          <w:p w14:paraId="5756AE72"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336F42C7" w14:textId="77777777" w:rsidR="000D6168" w:rsidRPr="000A5942" w:rsidRDefault="000D6168" w:rsidP="00323FD6">
            <w:pPr>
              <w:rPr>
                <w:rFonts w:ascii="Calibri" w:hAnsi="Calibri" w:cs="Calibri"/>
              </w:rPr>
            </w:pPr>
            <w:r w:rsidRPr="000A5942">
              <w:rPr>
                <w:rFonts w:ascii="Calibri" w:hAnsi="Calibri" w:cs="Calibri"/>
              </w:rPr>
              <w:t>Ga0112166_103</w:t>
            </w:r>
          </w:p>
        </w:tc>
        <w:tc>
          <w:tcPr>
            <w:tcW w:w="313" w:type="pct"/>
            <w:tcBorders>
              <w:top w:val="nil"/>
              <w:left w:val="nil"/>
              <w:bottom w:val="single" w:sz="4" w:space="0" w:color="auto"/>
              <w:right w:val="nil"/>
            </w:tcBorders>
            <w:shd w:val="clear" w:color="auto" w:fill="auto"/>
            <w:noWrap/>
            <w:vAlign w:val="center"/>
            <w:hideMark/>
          </w:tcPr>
          <w:p w14:paraId="4E618D55"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0F77C2D5"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625" w:type="pct"/>
            <w:tcBorders>
              <w:top w:val="nil"/>
              <w:left w:val="nil"/>
              <w:bottom w:val="single" w:sz="4" w:space="0" w:color="auto"/>
              <w:right w:val="nil"/>
            </w:tcBorders>
            <w:shd w:val="clear" w:color="auto" w:fill="auto"/>
            <w:noWrap/>
            <w:vAlign w:val="center"/>
            <w:hideMark/>
          </w:tcPr>
          <w:p w14:paraId="007A2DC4" w14:textId="77777777" w:rsidR="000D6168" w:rsidRPr="000A5942" w:rsidRDefault="000D6168" w:rsidP="00323FD6">
            <w:pPr>
              <w:rPr>
                <w:rFonts w:ascii="Calibri" w:hAnsi="Calibri" w:cs="Calibri"/>
              </w:rPr>
            </w:pPr>
            <w:r w:rsidRPr="000A5942">
              <w:rPr>
                <w:rFonts w:ascii="Calibri" w:hAnsi="Calibri" w:cs="Calibri"/>
              </w:rPr>
              <w:t xml:space="preserve"> uridylate kinase</w:t>
            </w:r>
          </w:p>
        </w:tc>
        <w:tc>
          <w:tcPr>
            <w:tcW w:w="453" w:type="pct"/>
            <w:tcBorders>
              <w:top w:val="nil"/>
              <w:left w:val="nil"/>
              <w:bottom w:val="single" w:sz="4" w:space="0" w:color="auto"/>
              <w:right w:val="nil"/>
            </w:tcBorders>
            <w:shd w:val="clear" w:color="auto" w:fill="auto"/>
            <w:noWrap/>
            <w:vAlign w:val="center"/>
            <w:hideMark/>
          </w:tcPr>
          <w:p w14:paraId="6A3A5725" w14:textId="77777777" w:rsidR="000D6168" w:rsidRPr="000A5942" w:rsidRDefault="000D6168" w:rsidP="00323FD6">
            <w:pPr>
              <w:rPr>
                <w:rFonts w:ascii="Calibri" w:hAnsi="Calibri" w:cs="Calibri"/>
              </w:rPr>
            </w:pPr>
            <w:r w:rsidRPr="000A5942">
              <w:rPr>
                <w:rFonts w:ascii="Calibri" w:hAnsi="Calibri" w:cs="Calibri"/>
              </w:rPr>
              <w:t>2245</w:t>
            </w:r>
          </w:p>
        </w:tc>
        <w:tc>
          <w:tcPr>
            <w:tcW w:w="311" w:type="pct"/>
            <w:tcBorders>
              <w:top w:val="nil"/>
              <w:left w:val="nil"/>
              <w:bottom w:val="single" w:sz="4" w:space="0" w:color="auto"/>
              <w:right w:val="nil"/>
            </w:tcBorders>
            <w:shd w:val="clear" w:color="auto" w:fill="auto"/>
            <w:noWrap/>
            <w:vAlign w:val="center"/>
            <w:hideMark/>
          </w:tcPr>
          <w:p w14:paraId="5B2E2751" w14:textId="77777777" w:rsidR="000D6168" w:rsidRPr="000A5942" w:rsidRDefault="000D6168" w:rsidP="00323FD6">
            <w:pPr>
              <w:rPr>
                <w:rFonts w:ascii="Calibri" w:hAnsi="Calibri" w:cs="Calibri"/>
              </w:rPr>
            </w:pPr>
            <w:r w:rsidRPr="000A5942">
              <w:rPr>
                <w:rFonts w:ascii="Calibri" w:hAnsi="Calibri" w:cs="Calibri"/>
              </w:rPr>
              <w:t>6366</w:t>
            </w:r>
          </w:p>
        </w:tc>
        <w:tc>
          <w:tcPr>
            <w:tcW w:w="280" w:type="pct"/>
            <w:tcBorders>
              <w:top w:val="nil"/>
              <w:left w:val="nil"/>
              <w:bottom w:val="single" w:sz="4" w:space="0" w:color="auto"/>
              <w:right w:val="nil"/>
            </w:tcBorders>
            <w:shd w:val="clear" w:color="auto" w:fill="auto"/>
            <w:noWrap/>
            <w:vAlign w:val="center"/>
            <w:hideMark/>
          </w:tcPr>
          <w:p w14:paraId="14A743EB" w14:textId="77777777" w:rsidR="000D6168" w:rsidRPr="000A5942" w:rsidRDefault="000D6168" w:rsidP="00323FD6">
            <w:pPr>
              <w:rPr>
                <w:rFonts w:ascii="Calibri" w:hAnsi="Calibri" w:cs="Calibri"/>
              </w:rPr>
            </w:pPr>
            <w:r w:rsidRPr="000A5942">
              <w:rPr>
                <w:rFonts w:ascii="Calibri" w:hAnsi="Calibri" w:cs="Calibri"/>
              </w:rPr>
              <w:t>11.3</w:t>
            </w:r>
          </w:p>
        </w:tc>
        <w:tc>
          <w:tcPr>
            <w:tcW w:w="1040" w:type="pct"/>
            <w:gridSpan w:val="3"/>
            <w:vMerge/>
            <w:tcBorders>
              <w:left w:val="nil"/>
              <w:bottom w:val="single" w:sz="4" w:space="0" w:color="auto"/>
              <w:right w:val="single" w:sz="4" w:space="0" w:color="auto"/>
            </w:tcBorders>
            <w:shd w:val="clear" w:color="auto" w:fill="auto"/>
            <w:noWrap/>
            <w:vAlign w:val="center"/>
            <w:hideMark/>
          </w:tcPr>
          <w:p w14:paraId="6FE53AA7" w14:textId="77777777" w:rsidR="000D6168" w:rsidRPr="000A5942" w:rsidRDefault="000D6168" w:rsidP="00323FD6">
            <w:pPr>
              <w:rPr>
                <w:rFonts w:ascii="Calibri" w:hAnsi="Calibri" w:cs="Calibri"/>
              </w:rPr>
            </w:pPr>
          </w:p>
        </w:tc>
      </w:tr>
      <w:tr w:rsidR="000D6168" w:rsidRPr="000A5942" w14:paraId="630089F2"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75F1BFE5" w14:textId="77777777" w:rsidR="000D6168" w:rsidRPr="000A5942" w:rsidRDefault="000D6168" w:rsidP="00323FD6">
            <w:pPr>
              <w:rPr>
                <w:rFonts w:ascii="Calibri" w:hAnsi="Calibri" w:cs="Calibri"/>
              </w:rPr>
            </w:pPr>
            <w:r w:rsidRPr="000A5942">
              <w:rPr>
                <w:rFonts w:ascii="Calibri" w:hAnsi="Calibri" w:cs="Calibri"/>
              </w:rPr>
              <w:t>2695420551</w:t>
            </w:r>
          </w:p>
        </w:tc>
        <w:tc>
          <w:tcPr>
            <w:tcW w:w="452" w:type="pct"/>
            <w:tcBorders>
              <w:top w:val="nil"/>
              <w:left w:val="nil"/>
              <w:bottom w:val="nil"/>
              <w:right w:val="nil"/>
            </w:tcBorders>
            <w:shd w:val="clear" w:color="auto" w:fill="auto"/>
            <w:noWrap/>
            <w:vAlign w:val="center"/>
            <w:hideMark/>
          </w:tcPr>
          <w:p w14:paraId="565BB91D" w14:textId="77777777" w:rsidR="000D6168" w:rsidRPr="000A5942" w:rsidRDefault="000D6168" w:rsidP="00323FD6">
            <w:pPr>
              <w:rPr>
                <w:rFonts w:ascii="Calibri" w:hAnsi="Calibri" w:cs="Calibri"/>
              </w:rPr>
            </w:pPr>
            <w:proofErr w:type="spellStart"/>
            <w:r w:rsidRPr="000A5942">
              <w:rPr>
                <w:rFonts w:ascii="Calibri" w:hAnsi="Calibri" w:cs="Calibri"/>
              </w:rPr>
              <w:t>Leisingera</w:t>
            </w:r>
            <w:proofErr w:type="spellEnd"/>
            <w:r w:rsidRPr="000A5942">
              <w:rPr>
                <w:rFonts w:ascii="Calibri" w:hAnsi="Calibri" w:cs="Calibri"/>
              </w:rPr>
              <w:t xml:space="preserve"> sp. ANG-</w:t>
            </w:r>
            <w:proofErr w:type="spellStart"/>
            <w:r w:rsidRPr="000A5942">
              <w:rPr>
                <w:rFonts w:ascii="Calibri" w:hAnsi="Calibri" w:cs="Calibri"/>
              </w:rPr>
              <w:t>Vp</w:t>
            </w:r>
            <w:proofErr w:type="spellEnd"/>
          </w:p>
        </w:tc>
        <w:tc>
          <w:tcPr>
            <w:tcW w:w="347" w:type="pct"/>
            <w:tcBorders>
              <w:top w:val="nil"/>
              <w:left w:val="nil"/>
              <w:bottom w:val="nil"/>
              <w:right w:val="nil"/>
            </w:tcBorders>
            <w:shd w:val="clear" w:color="auto" w:fill="auto"/>
            <w:noWrap/>
            <w:vAlign w:val="center"/>
            <w:hideMark/>
          </w:tcPr>
          <w:p w14:paraId="17D9705E" w14:textId="77777777" w:rsidR="000D6168" w:rsidRPr="000A5942" w:rsidRDefault="000D6168" w:rsidP="00323FD6">
            <w:pPr>
              <w:rPr>
                <w:rFonts w:ascii="Calibri" w:hAnsi="Calibri" w:cs="Calibri"/>
              </w:rPr>
            </w:pPr>
            <w:r w:rsidRPr="000A5942">
              <w:rPr>
                <w:rFonts w:ascii="Calibri" w:hAnsi="Calibri" w:cs="Calibri"/>
              </w:rPr>
              <w:t>Ga0112990_1047</w:t>
            </w:r>
          </w:p>
        </w:tc>
        <w:tc>
          <w:tcPr>
            <w:tcW w:w="313" w:type="pct"/>
            <w:tcBorders>
              <w:top w:val="nil"/>
              <w:left w:val="nil"/>
              <w:bottom w:val="nil"/>
              <w:right w:val="nil"/>
            </w:tcBorders>
            <w:shd w:val="clear" w:color="auto" w:fill="auto"/>
            <w:noWrap/>
            <w:vAlign w:val="center"/>
            <w:hideMark/>
          </w:tcPr>
          <w:p w14:paraId="0BB89008"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427A3A21"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625" w:type="pct"/>
            <w:tcBorders>
              <w:top w:val="nil"/>
              <w:left w:val="nil"/>
              <w:bottom w:val="nil"/>
              <w:right w:val="nil"/>
            </w:tcBorders>
            <w:shd w:val="clear" w:color="auto" w:fill="auto"/>
            <w:noWrap/>
            <w:vAlign w:val="center"/>
            <w:hideMark/>
          </w:tcPr>
          <w:p w14:paraId="6614D8CE" w14:textId="77777777" w:rsidR="000D6168" w:rsidRPr="000A5942" w:rsidRDefault="000D6168" w:rsidP="00323FD6">
            <w:pPr>
              <w:rPr>
                <w:rFonts w:ascii="Calibri" w:hAnsi="Calibri" w:cs="Calibri"/>
              </w:rPr>
            </w:pPr>
            <w:r w:rsidRPr="000A5942">
              <w:rPr>
                <w:rFonts w:ascii="Calibri" w:hAnsi="Calibri" w:cs="Calibri"/>
              </w:rPr>
              <w:t xml:space="preserve"> (R)-</w:t>
            </w:r>
            <w:proofErr w:type="spellStart"/>
            <w:r w:rsidRPr="000A5942">
              <w:rPr>
                <w:rFonts w:ascii="Calibri" w:hAnsi="Calibri" w:cs="Calibri"/>
              </w:rPr>
              <w:t>ethylmalonyl</w:t>
            </w:r>
            <w:proofErr w:type="spellEnd"/>
            <w:r w:rsidRPr="000A5942">
              <w:rPr>
                <w:rFonts w:ascii="Calibri" w:hAnsi="Calibri" w:cs="Calibri"/>
              </w:rPr>
              <w:t>-CoA mutase</w:t>
            </w:r>
          </w:p>
        </w:tc>
        <w:tc>
          <w:tcPr>
            <w:tcW w:w="453" w:type="pct"/>
            <w:tcBorders>
              <w:top w:val="nil"/>
              <w:left w:val="nil"/>
              <w:bottom w:val="nil"/>
              <w:right w:val="nil"/>
            </w:tcBorders>
            <w:shd w:val="clear" w:color="auto" w:fill="auto"/>
            <w:noWrap/>
            <w:vAlign w:val="center"/>
            <w:hideMark/>
          </w:tcPr>
          <w:p w14:paraId="48CE485A" w14:textId="77777777" w:rsidR="000D6168" w:rsidRPr="000A5942" w:rsidRDefault="000D6168" w:rsidP="00323FD6">
            <w:pPr>
              <w:rPr>
                <w:rFonts w:ascii="Calibri" w:hAnsi="Calibri" w:cs="Calibri"/>
              </w:rPr>
            </w:pPr>
            <w:r w:rsidRPr="000A5942">
              <w:rPr>
                <w:rFonts w:ascii="Calibri" w:hAnsi="Calibri" w:cs="Calibri"/>
              </w:rPr>
              <w:t>4160</w:t>
            </w:r>
          </w:p>
        </w:tc>
        <w:tc>
          <w:tcPr>
            <w:tcW w:w="311" w:type="pct"/>
            <w:tcBorders>
              <w:top w:val="nil"/>
              <w:left w:val="nil"/>
              <w:bottom w:val="nil"/>
              <w:right w:val="nil"/>
            </w:tcBorders>
            <w:shd w:val="clear" w:color="auto" w:fill="auto"/>
            <w:noWrap/>
            <w:vAlign w:val="center"/>
            <w:hideMark/>
          </w:tcPr>
          <w:p w14:paraId="2CBA85A7" w14:textId="77777777" w:rsidR="000D6168" w:rsidRPr="000A5942" w:rsidRDefault="000D6168" w:rsidP="00323FD6">
            <w:pPr>
              <w:rPr>
                <w:rFonts w:ascii="Calibri" w:hAnsi="Calibri" w:cs="Calibri"/>
              </w:rPr>
            </w:pPr>
            <w:r w:rsidRPr="000A5942">
              <w:rPr>
                <w:rFonts w:ascii="Calibri" w:hAnsi="Calibri" w:cs="Calibri"/>
              </w:rPr>
              <w:t>4125</w:t>
            </w:r>
          </w:p>
        </w:tc>
        <w:tc>
          <w:tcPr>
            <w:tcW w:w="280" w:type="pct"/>
            <w:tcBorders>
              <w:top w:val="nil"/>
              <w:left w:val="nil"/>
              <w:bottom w:val="nil"/>
              <w:right w:val="nil"/>
            </w:tcBorders>
            <w:shd w:val="clear" w:color="auto" w:fill="auto"/>
            <w:noWrap/>
            <w:vAlign w:val="center"/>
            <w:hideMark/>
          </w:tcPr>
          <w:p w14:paraId="0AA63329" w14:textId="77777777" w:rsidR="000D6168" w:rsidRPr="000A5942" w:rsidRDefault="000D6168" w:rsidP="00323FD6">
            <w:pPr>
              <w:rPr>
                <w:rFonts w:ascii="Calibri" w:hAnsi="Calibri" w:cs="Calibri"/>
              </w:rPr>
            </w:pPr>
            <w:r w:rsidRPr="000A5942">
              <w:rPr>
                <w:rFonts w:ascii="Calibri" w:hAnsi="Calibri" w:cs="Calibri"/>
              </w:rPr>
              <w:t>34.6</w:t>
            </w:r>
          </w:p>
        </w:tc>
        <w:tc>
          <w:tcPr>
            <w:tcW w:w="347" w:type="pct"/>
            <w:tcBorders>
              <w:top w:val="nil"/>
              <w:left w:val="nil"/>
              <w:bottom w:val="nil"/>
              <w:right w:val="nil"/>
            </w:tcBorders>
            <w:shd w:val="clear" w:color="auto" w:fill="auto"/>
            <w:noWrap/>
            <w:vAlign w:val="center"/>
            <w:hideMark/>
          </w:tcPr>
          <w:p w14:paraId="2505570E" w14:textId="77777777" w:rsidR="000D6168" w:rsidRPr="000A5942" w:rsidRDefault="000D6168" w:rsidP="00323FD6">
            <w:pPr>
              <w:rPr>
                <w:rFonts w:ascii="Calibri" w:hAnsi="Calibri" w:cs="Calibri"/>
              </w:rPr>
            </w:pPr>
            <w:r w:rsidRPr="000A5942">
              <w:rPr>
                <w:rFonts w:ascii="Calibri" w:hAnsi="Calibri" w:cs="Calibri"/>
              </w:rPr>
              <w:t>3</w:t>
            </w:r>
          </w:p>
        </w:tc>
        <w:tc>
          <w:tcPr>
            <w:tcW w:w="313" w:type="pct"/>
            <w:tcBorders>
              <w:top w:val="nil"/>
              <w:left w:val="nil"/>
              <w:bottom w:val="nil"/>
              <w:right w:val="nil"/>
            </w:tcBorders>
            <w:shd w:val="clear" w:color="auto" w:fill="auto"/>
            <w:noWrap/>
            <w:vAlign w:val="center"/>
            <w:hideMark/>
          </w:tcPr>
          <w:p w14:paraId="58E97F8A" w14:textId="77777777" w:rsidR="000D6168" w:rsidRPr="000A5942" w:rsidRDefault="000D6168" w:rsidP="00323FD6">
            <w:pPr>
              <w:rPr>
                <w:rFonts w:ascii="Calibri" w:hAnsi="Calibri" w:cs="Calibri"/>
              </w:rPr>
            </w:pPr>
            <w:r w:rsidRPr="000A5942">
              <w:rPr>
                <w:rFonts w:ascii="Calibri" w:hAnsi="Calibri" w:cs="Calibri"/>
              </w:rPr>
              <w:t>4928</w:t>
            </w:r>
          </w:p>
        </w:tc>
        <w:tc>
          <w:tcPr>
            <w:tcW w:w="380" w:type="pct"/>
            <w:tcBorders>
              <w:top w:val="nil"/>
              <w:left w:val="nil"/>
              <w:bottom w:val="nil"/>
              <w:right w:val="single" w:sz="4" w:space="0" w:color="auto"/>
            </w:tcBorders>
            <w:shd w:val="clear" w:color="auto" w:fill="auto"/>
            <w:noWrap/>
            <w:vAlign w:val="center"/>
            <w:hideMark/>
          </w:tcPr>
          <w:p w14:paraId="10CEA79A" w14:textId="77777777" w:rsidR="000D6168" w:rsidRPr="000A5942" w:rsidRDefault="000D6168" w:rsidP="00323FD6">
            <w:pPr>
              <w:rPr>
                <w:rFonts w:ascii="Calibri" w:hAnsi="Calibri" w:cs="Calibri"/>
              </w:rPr>
            </w:pPr>
            <w:r w:rsidRPr="000A5942">
              <w:rPr>
                <w:rFonts w:ascii="Calibri" w:hAnsi="Calibri" w:cs="Calibri"/>
              </w:rPr>
              <w:t xml:space="preserve"> 0.0621%</w:t>
            </w:r>
          </w:p>
        </w:tc>
      </w:tr>
      <w:tr w:rsidR="000D6168" w:rsidRPr="000A5942" w14:paraId="1D89E910" w14:textId="77777777" w:rsidTr="00323FD6">
        <w:trPr>
          <w:trHeight w:val="290"/>
          <w:jc w:val="center"/>
        </w:trPr>
        <w:tc>
          <w:tcPr>
            <w:tcW w:w="971" w:type="pct"/>
            <w:gridSpan w:val="2"/>
            <w:vMerge w:val="restart"/>
            <w:tcBorders>
              <w:top w:val="nil"/>
              <w:left w:val="single" w:sz="4" w:space="0" w:color="auto"/>
              <w:right w:val="nil"/>
            </w:tcBorders>
            <w:shd w:val="clear" w:color="auto" w:fill="auto"/>
            <w:noWrap/>
            <w:vAlign w:val="center"/>
            <w:hideMark/>
          </w:tcPr>
          <w:p w14:paraId="26B9024D"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229A0157" w14:textId="77777777" w:rsidR="000D6168" w:rsidRPr="000A5942" w:rsidRDefault="000D6168" w:rsidP="00323FD6">
            <w:pPr>
              <w:rPr>
                <w:rFonts w:ascii="Calibri" w:hAnsi="Calibri" w:cs="Calibri"/>
              </w:rPr>
            </w:pPr>
            <w:r w:rsidRPr="000A5942">
              <w:rPr>
                <w:rFonts w:ascii="Calibri" w:hAnsi="Calibri" w:cs="Calibri"/>
              </w:rPr>
              <w:t>Ga0112990_1047</w:t>
            </w:r>
          </w:p>
        </w:tc>
        <w:tc>
          <w:tcPr>
            <w:tcW w:w="313" w:type="pct"/>
            <w:tcBorders>
              <w:top w:val="nil"/>
              <w:left w:val="nil"/>
              <w:bottom w:val="nil"/>
              <w:right w:val="nil"/>
            </w:tcBorders>
            <w:shd w:val="clear" w:color="auto" w:fill="auto"/>
            <w:noWrap/>
            <w:vAlign w:val="center"/>
            <w:hideMark/>
          </w:tcPr>
          <w:p w14:paraId="09323762"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668356BB" w14:textId="77777777" w:rsidR="000D6168" w:rsidRPr="000A5942" w:rsidRDefault="000D6168" w:rsidP="00323FD6">
            <w:pPr>
              <w:rPr>
                <w:rFonts w:ascii="Calibri" w:hAnsi="Calibri" w:cs="Calibri"/>
              </w:rPr>
            </w:pPr>
            <w:r w:rsidRPr="000A5942">
              <w:rPr>
                <w:rFonts w:ascii="Calibri" w:hAnsi="Calibri" w:cs="Calibri"/>
              </w:rPr>
              <w:t>acyl homoserine lactone synthase</w:t>
            </w:r>
          </w:p>
        </w:tc>
        <w:tc>
          <w:tcPr>
            <w:tcW w:w="625" w:type="pct"/>
            <w:tcBorders>
              <w:top w:val="nil"/>
              <w:left w:val="nil"/>
              <w:bottom w:val="nil"/>
              <w:right w:val="nil"/>
            </w:tcBorders>
            <w:shd w:val="clear" w:color="auto" w:fill="auto"/>
            <w:noWrap/>
            <w:vAlign w:val="center"/>
            <w:hideMark/>
          </w:tcPr>
          <w:p w14:paraId="57A3439C" w14:textId="77777777" w:rsidR="000D6168" w:rsidRPr="000A5942" w:rsidRDefault="000D6168" w:rsidP="00323FD6">
            <w:pPr>
              <w:rPr>
                <w:rFonts w:ascii="Calibri" w:hAnsi="Calibri" w:cs="Calibri"/>
              </w:rPr>
            </w:pPr>
            <w:r w:rsidRPr="000A5942">
              <w:rPr>
                <w:rFonts w:ascii="Calibri" w:hAnsi="Calibri" w:cs="Calibri"/>
              </w:rPr>
              <w:t xml:space="preserve">regulatory protein, </w:t>
            </w:r>
            <w:proofErr w:type="spellStart"/>
            <w:r w:rsidRPr="000A5942">
              <w:rPr>
                <w:rFonts w:ascii="Calibri" w:hAnsi="Calibri" w:cs="Calibri"/>
              </w:rPr>
              <w:t>luxR</w:t>
            </w:r>
            <w:proofErr w:type="spellEnd"/>
            <w:r w:rsidRPr="000A5942">
              <w:rPr>
                <w:rFonts w:ascii="Calibri" w:hAnsi="Calibri" w:cs="Calibri"/>
              </w:rPr>
              <w:t xml:space="preserve"> family</w:t>
            </w:r>
          </w:p>
        </w:tc>
        <w:tc>
          <w:tcPr>
            <w:tcW w:w="453" w:type="pct"/>
            <w:tcBorders>
              <w:top w:val="nil"/>
              <w:left w:val="nil"/>
              <w:bottom w:val="nil"/>
              <w:right w:val="nil"/>
            </w:tcBorders>
            <w:shd w:val="clear" w:color="auto" w:fill="auto"/>
            <w:noWrap/>
            <w:vAlign w:val="center"/>
            <w:hideMark/>
          </w:tcPr>
          <w:p w14:paraId="2D65A54B" w14:textId="77777777" w:rsidR="000D6168" w:rsidRPr="000A5942" w:rsidRDefault="000D6168" w:rsidP="00323FD6">
            <w:pPr>
              <w:rPr>
                <w:rFonts w:ascii="Calibri" w:hAnsi="Calibri" w:cs="Calibri"/>
              </w:rPr>
            </w:pPr>
            <w:r w:rsidRPr="000A5942">
              <w:rPr>
                <w:rFonts w:ascii="Calibri" w:hAnsi="Calibri" w:cs="Calibri"/>
              </w:rPr>
              <w:t>2</w:t>
            </w:r>
          </w:p>
        </w:tc>
        <w:tc>
          <w:tcPr>
            <w:tcW w:w="311" w:type="pct"/>
            <w:tcBorders>
              <w:top w:val="nil"/>
              <w:left w:val="nil"/>
              <w:bottom w:val="nil"/>
              <w:right w:val="nil"/>
            </w:tcBorders>
            <w:shd w:val="clear" w:color="auto" w:fill="auto"/>
            <w:noWrap/>
            <w:vAlign w:val="center"/>
            <w:hideMark/>
          </w:tcPr>
          <w:p w14:paraId="2F82FE1F" w14:textId="77777777" w:rsidR="000D6168" w:rsidRPr="000A5942" w:rsidRDefault="000D6168" w:rsidP="00323FD6">
            <w:pPr>
              <w:rPr>
                <w:rFonts w:ascii="Calibri" w:hAnsi="Calibri" w:cs="Calibri"/>
              </w:rPr>
            </w:pPr>
            <w:r w:rsidRPr="000A5942">
              <w:rPr>
                <w:rFonts w:ascii="Calibri" w:hAnsi="Calibri" w:cs="Calibri"/>
              </w:rPr>
              <w:t>57</w:t>
            </w:r>
          </w:p>
        </w:tc>
        <w:tc>
          <w:tcPr>
            <w:tcW w:w="280" w:type="pct"/>
            <w:tcBorders>
              <w:top w:val="nil"/>
              <w:left w:val="nil"/>
              <w:bottom w:val="nil"/>
              <w:right w:val="nil"/>
            </w:tcBorders>
            <w:shd w:val="clear" w:color="auto" w:fill="auto"/>
            <w:noWrap/>
            <w:vAlign w:val="center"/>
            <w:hideMark/>
          </w:tcPr>
          <w:p w14:paraId="4F5BB6DD" w14:textId="77777777" w:rsidR="000D6168" w:rsidRPr="000A5942" w:rsidRDefault="000D6168" w:rsidP="00323FD6">
            <w:pPr>
              <w:rPr>
                <w:rFonts w:ascii="Calibri" w:hAnsi="Calibri" w:cs="Calibri"/>
              </w:rPr>
            </w:pPr>
            <w:r w:rsidRPr="000A5942">
              <w:rPr>
                <w:rFonts w:ascii="Calibri" w:hAnsi="Calibri" w:cs="Calibri"/>
              </w:rPr>
              <w:t>22.5</w:t>
            </w:r>
          </w:p>
        </w:tc>
        <w:tc>
          <w:tcPr>
            <w:tcW w:w="1040" w:type="pct"/>
            <w:gridSpan w:val="3"/>
            <w:vMerge w:val="restart"/>
            <w:tcBorders>
              <w:top w:val="nil"/>
              <w:left w:val="nil"/>
              <w:right w:val="single" w:sz="4" w:space="0" w:color="auto"/>
            </w:tcBorders>
            <w:shd w:val="clear" w:color="auto" w:fill="auto"/>
            <w:noWrap/>
            <w:vAlign w:val="center"/>
            <w:hideMark/>
          </w:tcPr>
          <w:p w14:paraId="0C8320B1" w14:textId="77777777" w:rsidR="000D6168" w:rsidRPr="000A5942" w:rsidRDefault="000D6168" w:rsidP="00323FD6">
            <w:pPr>
              <w:rPr>
                <w:rFonts w:ascii="Calibri" w:hAnsi="Calibri" w:cs="Calibri"/>
              </w:rPr>
            </w:pPr>
          </w:p>
        </w:tc>
      </w:tr>
      <w:tr w:rsidR="000D6168" w:rsidRPr="000A5942" w14:paraId="1FF86FB6" w14:textId="77777777" w:rsidTr="00323FD6">
        <w:trPr>
          <w:trHeight w:val="290"/>
          <w:jc w:val="center"/>
        </w:trPr>
        <w:tc>
          <w:tcPr>
            <w:tcW w:w="971" w:type="pct"/>
            <w:gridSpan w:val="2"/>
            <w:vMerge/>
            <w:tcBorders>
              <w:left w:val="single" w:sz="4" w:space="0" w:color="auto"/>
              <w:bottom w:val="single" w:sz="4" w:space="0" w:color="auto"/>
              <w:right w:val="nil"/>
            </w:tcBorders>
            <w:shd w:val="clear" w:color="auto" w:fill="auto"/>
            <w:noWrap/>
            <w:vAlign w:val="center"/>
            <w:hideMark/>
          </w:tcPr>
          <w:p w14:paraId="4EBEDE95"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0B6DD6D2" w14:textId="77777777" w:rsidR="000D6168" w:rsidRPr="000A5942" w:rsidRDefault="000D6168" w:rsidP="00323FD6">
            <w:pPr>
              <w:rPr>
                <w:rFonts w:ascii="Calibri" w:hAnsi="Calibri" w:cs="Calibri"/>
              </w:rPr>
            </w:pPr>
            <w:r w:rsidRPr="000A5942">
              <w:rPr>
                <w:rFonts w:ascii="Calibri" w:hAnsi="Calibri" w:cs="Calibri"/>
              </w:rPr>
              <w:t>Ga0112990_1028</w:t>
            </w:r>
          </w:p>
        </w:tc>
        <w:tc>
          <w:tcPr>
            <w:tcW w:w="313" w:type="pct"/>
            <w:tcBorders>
              <w:top w:val="nil"/>
              <w:left w:val="nil"/>
              <w:bottom w:val="single" w:sz="4" w:space="0" w:color="auto"/>
              <w:right w:val="nil"/>
            </w:tcBorders>
            <w:shd w:val="clear" w:color="auto" w:fill="auto"/>
            <w:noWrap/>
            <w:vAlign w:val="center"/>
            <w:hideMark/>
          </w:tcPr>
          <w:p w14:paraId="0FD6DDDB"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4109CA70" w14:textId="77777777" w:rsidR="000D6168" w:rsidRPr="000A5942" w:rsidRDefault="000D6168" w:rsidP="00323FD6">
            <w:pPr>
              <w:rPr>
                <w:rFonts w:ascii="Calibri" w:hAnsi="Calibri" w:cs="Calibri"/>
              </w:rPr>
            </w:pPr>
            <w:r w:rsidRPr="000A5942">
              <w:rPr>
                <w:rFonts w:ascii="Calibri" w:hAnsi="Calibri" w:cs="Calibri"/>
              </w:rPr>
              <w:t>Hemolysin-type calcium-binding repeat-containing protein</w:t>
            </w:r>
          </w:p>
        </w:tc>
        <w:tc>
          <w:tcPr>
            <w:tcW w:w="625" w:type="pct"/>
            <w:tcBorders>
              <w:top w:val="nil"/>
              <w:left w:val="nil"/>
              <w:bottom w:val="single" w:sz="4" w:space="0" w:color="auto"/>
              <w:right w:val="nil"/>
            </w:tcBorders>
            <w:shd w:val="clear" w:color="auto" w:fill="auto"/>
            <w:noWrap/>
            <w:vAlign w:val="center"/>
            <w:hideMark/>
          </w:tcPr>
          <w:p w14:paraId="2FA80726" w14:textId="77777777" w:rsidR="000D6168" w:rsidRPr="000A5942" w:rsidRDefault="000D6168" w:rsidP="00323FD6">
            <w:pPr>
              <w:rPr>
                <w:rFonts w:ascii="Calibri" w:hAnsi="Calibri" w:cs="Calibri"/>
              </w:rPr>
            </w:pPr>
            <w:r w:rsidRPr="000A5942">
              <w:rPr>
                <w:rFonts w:ascii="Calibri" w:hAnsi="Calibri" w:cs="Calibri"/>
              </w:rPr>
              <w:t xml:space="preserve"> transcriptional regulator, </w:t>
            </w:r>
            <w:proofErr w:type="spellStart"/>
            <w:r w:rsidRPr="000A5942">
              <w:rPr>
                <w:rFonts w:ascii="Calibri" w:hAnsi="Calibri" w:cs="Calibri"/>
              </w:rPr>
              <w:t>GntR</w:t>
            </w:r>
            <w:proofErr w:type="spellEnd"/>
            <w:r w:rsidRPr="000A5942">
              <w:rPr>
                <w:rFonts w:ascii="Calibri" w:hAnsi="Calibri" w:cs="Calibri"/>
              </w:rPr>
              <w:t xml:space="preserve"> family</w:t>
            </w:r>
          </w:p>
        </w:tc>
        <w:tc>
          <w:tcPr>
            <w:tcW w:w="453" w:type="pct"/>
            <w:tcBorders>
              <w:top w:val="nil"/>
              <w:left w:val="nil"/>
              <w:bottom w:val="single" w:sz="4" w:space="0" w:color="auto"/>
              <w:right w:val="nil"/>
            </w:tcBorders>
            <w:shd w:val="clear" w:color="auto" w:fill="auto"/>
            <w:noWrap/>
            <w:vAlign w:val="center"/>
            <w:hideMark/>
          </w:tcPr>
          <w:p w14:paraId="5C271C30" w14:textId="77777777" w:rsidR="000D6168" w:rsidRPr="000A5942" w:rsidRDefault="000D6168" w:rsidP="00323FD6">
            <w:pPr>
              <w:rPr>
                <w:rFonts w:ascii="Calibri" w:hAnsi="Calibri" w:cs="Calibri"/>
              </w:rPr>
            </w:pPr>
            <w:r w:rsidRPr="000A5942">
              <w:rPr>
                <w:rFonts w:ascii="Calibri" w:hAnsi="Calibri" w:cs="Calibri"/>
              </w:rPr>
              <w:t>287</w:t>
            </w:r>
          </w:p>
        </w:tc>
        <w:tc>
          <w:tcPr>
            <w:tcW w:w="311" w:type="pct"/>
            <w:tcBorders>
              <w:top w:val="nil"/>
              <w:left w:val="nil"/>
              <w:bottom w:val="single" w:sz="4" w:space="0" w:color="auto"/>
              <w:right w:val="nil"/>
            </w:tcBorders>
            <w:shd w:val="clear" w:color="auto" w:fill="auto"/>
            <w:noWrap/>
            <w:vAlign w:val="center"/>
            <w:hideMark/>
          </w:tcPr>
          <w:p w14:paraId="6371400B" w14:textId="77777777" w:rsidR="000D6168" w:rsidRPr="000A5942" w:rsidRDefault="000D6168" w:rsidP="00323FD6">
            <w:pPr>
              <w:rPr>
                <w:rFonts w:ascii="Calibri" w:hAnsi="Calibri" w:cs="Calibri"/>
              </w:rPr>
            </w:pPr>
            <w:r w:rsidRPr="000A5942">
              <w:rPr>
                <w:rFonts w:ascii="Calibri" w:hAnsi="Calibri" w:cs="Calibri"/>
              </w:rPr>
              <w:t>3586</w:t>
            </w:r>
          </w:p>
        </w:tc>
        <w:tc>
          <w:tcPr>
            <w:tcW w:w="280" w:type="pct"/>
            <w:tcBorders>
              <w:top w:val="nil"/>
              <w:left w:val="nil"/>
              <w:bottom w:val="single" w:sz="4" w:space="0" w:color="auto"/>
              <w:right w:val="nil"/>
            </w:tcBorders>
            <w:shd w:val="clear" w:color="auto" w:fill="auto"/>
            <w:noWrap/>
            <w:vAlign w:val="center"/>
            <w:hideMark/>
          </w:tcPr>
          <w:p w14:paraId="0AB2C156" w14:textId="77777777" w:rsidR="000D6168" w:rsidRPr="000A5942" w:rsidRDefault="000D6168" w:rsidP="00323FD6">
            <w:pPr>
              <w:rPr>
                <w:rFonts w:ascii="Calibri" w:hAnsi="Calibri" w:cs="Calibri"/>
              </w:rPr>
            </w:pPr>
            <w:r w:rsidRPr="000A5942">
              <w:rPr>
                <w:rFonts w:ascii="Calibri" w:hAnsi="Calibri" w:cs="Calibri"/>
              </w:rPr>
              <w:t>11.7</w:t>
            </w:r>
          </w:p>
        </w:tc>
        <w:tc>
          <w:tcPr>
            <w:tcW w:w="1040" w:type="pct"/>
            <w:gridSpan w:val="3"/>
            <w:vMerge/>
            <w:tcBorders>
              <w:left w:val="nil"/>
              <w:bottom w:val="single" w:sz="4" w:space="0" w:color="auto"/>
              <w:right w:val="single" w:sz="4" w:space="0" w:color="auto"/>
            </w:tcBorders>
            <w:shd w:val="clear" w:color="auto" w:fill="auto"/>
            <w:noWrap/>
            <w:vAlign w:val="center"/>
            <w:hideMark/>
          </w:tcPr>
          <w:p w14:paraId="06AFC3D5" w14:textId="77777777" w:rsidR="000D6168" w:rsidRPr="000A5942" w:rsidRDefault="000D6168" w:rsidP="00323FD6">
            <w:pPr>
              <w:rPr>
                <w:rFonts w:ascii="Calibri" w:hAnsi="Calibri" w:cs="Calibri"/>
              </w:rPr>
            </w:pPr>
          </w:p>
        </w:tc>
      </w:tr>
      <w:tr w:rsidR="000D6168" w:rsidRPr="000A5942" w14:paraId="27A45836"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18E26ED6" w14:textId="77777777" w:rsidR="000D6168" w:rsidRPr="000A5942" w:rsidRDefault="000D6168" w:rsidP="00323FD6">
            <w:pPr>
              <w:rPr>
                <w:rFonts w:ascii="Calibri" w:hAnsi="Calibri" w:cs="Calibri"/>
              </w:rPr>
            </w:pPr>
            <w:r w:rsidRPr="000A5942">
              <w:rPr>
                <w:rFonts w:ascii="Calibri" w:hAnsi="Calibri" w:cs="Calibri"/>
              </w:rPr>
              <w:lastRenderedPageBreak/>
              <w:t>2627854045</w:t>
            </w:r>
          </w:p>
        </w:tc>
        <w:tc>
          <w:tcPr>
            <w:tcW w:w="452" w:type="pct"/>
            <w:tcBorders>
              <w:top w:val="nil"/>
              <w:left w:val="nil"/>
              <w:bottom w:val="nil"/>
              <w:right w:val="nil"/>
            </w:tcBorders>
            <w:shd w:val="clear" w:color="auto" w:fill="auto"/>
            <w:noWrap/>
            <w:vAlign w:val="center"/>
            <w:hideMark/>
          </w:tcPr>
          <w:p w14:paraId="41C2D9CA" w14:textId="77777777" w:rsidR="000D6168" w:rsidRPr="000A5942" w:rsidRDefault="000D6168" w:rsidP="00323FD6">
            <w:pPr>
              <w:rPr>
                <w:rFonts w:ascii="Calibri" w:hAnsi="Calibri" w:cs="Calibri"/>
              </w:rPr>
            </w:pPr>
            <w:proofErr w:type="spellStart"/>
            <w:r w:rsidRPr="000A5942">
              <w:rPr>
                <w:rFonts w:ascii="Calibri" w:hAnsi="Calibri" w:cs="Calibri"/>
              </w:rPr>
              <w:t>Nautella</w:t>
            </w:r>
            <w:proofErr w:type="spellEnd"/>
            <w:r w:rsidRPr="000A5942">
              <w:rPr>
                <w:rFonts w:ascii="Calibri" w:hAnsi="Calibri" w:cs="Calibri"/>
              </w:rPr>
              <w:t xml:space="preserve"> sp. ECSMB14104</w:t>
            </w:r>
          </w:p>
        </w:tc>
        <w:tc>
          <w:tcPr>
            <w:tcW w:w="347" w:type="pct"/>
            <w:tcBorders>
              <w:top w:val="nil"/>
              <w:left w:val="nil"/>
              <w:bottom w:val="nil"/>
              <w:right w:val="nil"/>
            </w:tcBorders>
            <w:shd w:val="clear" w:color="auto" w:fill="auto"/>
            <w:noWrap/>
            <w:vAlign w:val="center"/>
            <w:hideMark/>
          </w:tcPr>
          <w:p w14:paraId="6B29F040" w14:textId="77777777" w:rsidR="000D6168" w:rsidRPr="000A5942" w:rsidRDefault="000D6168" w:rsidP="00323FD6">
            <w:pPr>
              <w:rPr>
                <w:rFonts w:ascii="Calibri" w:hAnsi="Calibri" w:cs="Calibri"/>
              </w:rPr>
            </w:pPr>
            <w:r w:rsidRPr="000A5942">
              <w:rPr>
                <w:rFonts w:ascii="Calibri" w:hAnsi="Calibri" w:cs="Calibri"/>
              </w:rPr>
              <w:t>Ga0077307_102</w:t>
            </w:r>
          </w:p>
        </w:tc>
        <w:tc>
          <w:tcPr>
            <w:tcW w:w="313" w:type="pct"/>
            <w:tcBorders>
              <w:top w:val="nil"/>
              <w:left w:val="nil"/>
              <w:bottom w:val="nil"/>
              <w:right w:val="nil"/>
            </w:tcBorders>
            <w:shd w:val="clear" w:color="auto" w:fill="auto"/>
            <w:noWrap/>
            <w:vAlign w:val="center"/>
            <w:hideMark/>
          </w:tcPr>
          <w:p w14:paraId="42F2A73C"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7206767F"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regulator, </w:t>
            </w:r>
            <w:proofErr w:type="spellStart"/>
            <w:r w:rsidRPr="000A5942">
              <w:rPr>
                <w:rFonts w:ascii="Calibri" w:hAnsi="Calibri" w:cs="Calibri"/>
              </w:rPr>
              <w:t>CsgD</w:t>
            </w:r>
            <w:proofErr w:type="spellEnd"/>
            <w:r w:rsidRPr="000A5942">
              <w:rPr>
                <w:rFonts w:ascii="Calibri" w:hAnsi="Calibri" w:cs="Calibri"/>
              </w:rPr>
              <w:t xml:space="preserve"> family</w:t>
            </w:r>
          </w:p>
        </w:tc>
        <w:tc>
          <w:tcPr>
            <w:tcW w:w="625" w:type="pct"/>
            <w:tcBorders>
              <w:top w:val="nil"/>
              <w:left w:val="nil"/>
              <w:bottom w:val="nil"/>
              <w:right w:val="nil"/>
            </w:tcBorders>
            <w:shd w:val="clear" w:color="auto" w:fill="auto"/>
            <w:noWrap/>
            <w:vAlign w:val="center"/>
            <w:hideMark/>
          </w:tcPr>
          <w:p w14:paraId="7CFCCDD6" w14:textId="77777777" w:rsidR="000D6168" w:rsidRPr="000A5942" w:rsidRDefault="000D6168" w:rsidP="00323FD6">
            <w:pPr>
              <w:rPr>
                <w:rFonts w:ascii="Calibri" w:hAnsi="Calibri" w:cs="Calibri"/>
              </w:rPr>
            </w:pPr>
            <w:r w:rsidRPr="000A5942">
              <w:rPr>
                <w:rFonts w:ascii="Calibri" w:hAnsi="Calibri" w:cs="Calibri"/>
              </w:rPr>
              <w:t>N-acyl-L-homoserine lactone synthetase</w:t>
            </w:r>
          </w:p>
        </w:tc>
        <w:tc>
          <w:tcPr>
            <w:tcW w:w="453" w:type="pct"/>
            <w:tcBorders>
              <w:top w:val="nil"/>
              <w:left w:val="nil"/>
              <w:bottom w:val="nil"/>
              <w:right w:val="nil"/>
            </w:tcBorders>
            <w:shd w:val="clear" w:color="auto" w:fill="auto"/>
            <w:noWrap/>
            <w:vAlign w:val="center"/>
            <w:hideMark/>
          </w:tcPr>
          <w:p w14:paraId="09717392" w14:textId="77777777" w:rsidR="000D6168" w:rsidRPr="000A5942" w:rsidRDefault="000D6168" w:rsidP="00323FD6">
            <w:pPr>
              <w:rPr>
                <w:rFonts w:ascii="Calibri" w:hAnsi="Calibri" w:cs="Calibri"/>
              </w:rPr>
            </w:pPr>
            <w:r w:rsidRPr="000A5942">
              <w:rPr>
                <w:rFonts w:ascii="Calibri" w:hAnsi="Calibri" w:cs="Calibri"/>
              </w:rPr>
              <w:t>57</w:t>
            </w:r>
          </w:p>
        </w:tc>
        <w:tc>
          <w:tcPr>
            <w:tcW w:w="311" w:type="pct"/>
            <w:tcBorders>
              <w:top w:val="nil"/>
              <w:left w:val="nil"/>
              <w:bottom w:val="nil"/>
              <w:right w:val="nil"/>
            </w:tcBorders>
            <w:shd w:val="clear" w:color="auto" w:fill="auto"/>
            <w:noWrap/>
            <w:vAlign w:val="center"/>
            <w:hideMark/>
          </w:tcPr>
          <w:p w14:paraId="606B6002" w14:textId="77777777" w:rsidR="000D6168" w:rsidRPr="000A5942" w:rsidRDefault="000D6168" w:rsidP="00323FD6">
            <w:pPr>
              <w:rPr>
                <w:rFonts w:ascii="Calibri" w:hAnsi="Calibri" w:cs="Calibri"/>
              </w:rPr>
            </w:pPr>
            <w:r w:rsidRPr="000A5942">
              <w:rPr>
                <w:rFonts w:ascii="Calibri" w:hAnsi="Calibri" w:cs="Calibri"/>
              </w:rPr>
              <w:t>1</w:t>
            </w:r>
          </w:p>
        </w:tc>
        <w:tc>
          <w:tcPr>
            <w:tcW w:w="280" w:type="pct"/>
            <w:tcBorders>
              <w:top w:val="nil"/>
              <w:left w:val="nil"/>
              <w:bottom w:val="nil"/>
              <w:right w:val="nil"/>
            </w:tcBorders>
            <w:shd w:val="clear" w:color="auto" w:fill="auto"/>
            <w:noWrap/>
            <w:vAlign w:val="center"/>
            <w:hideMark/>
          </w:tcPr>
          <w:p w14:paraId="124F20DE" w14:textId="77777777" w:rsidR="000D6168" w:rsidRPr="000A5942" w:rsidRDefault="000D6168" w:rsidP="00323FD6">
            <w:pPr>
              <w:rPr>
                <w:rFonts w:ascii="Calibri" w:hAnsi="Calibri" w:cs="Calibri"/>
              </w:rPr>
            </w:pPr>
            <w:r w:rsidRPr="000A5942">
              <w:rPr>
                <w:rFonts w:ascii="Calibri" w:hAnsi="Calibri" w:cs="Calibri"/>
              </w:rPr>
              <w:t>40.7</w:t>
            </w:r>
          </w:p>
        </w:tc>
        <w:tc>
          <w:tcPr>
            <w:tcW w:w="347" w:type="pct"/>
            <w:tcBorders>
              <w:top w:val="nil"/>
              <w:left w:val="nil"/>
              <w:bottom w:val="nil"/>
              <w:right w:val="nil"/>
            </w:tcBorders>
            <w:shd w:val="clear" w:color="auto" w:fill="auto"/>
            <w:noWrap/>
            <w:vAlign w:val="center"/>
            <w:hideMark/>
          </w:tcPr>
          <w:p w14:paraId="00ACACF5" w14:textId="77777777" w:rsidR="000D6168" w:rsidRPr="000A5942" w:rsidRDefault="000D6168" w:rsidP="00323FD6">
            <w:pPr>
              <w:rPr>
                <w:rFonts w:ascii="Calibri" w:hAnsi="Calibri" w:cs="Calibri"/>
              </w:rPr>
            </w:pPr>
            <w:r w:rsidRPr="000A5942">
              <w:rPr>
                <w:rFonts w:ascii="Calibri" w:hAnsi="Calibri" w:cs="Calibri"/>
              </w:rPr>
              <w:t>4</w:t>
            </w:r>
          </w:p>
        </w:tc>
        <w:tc>
          <w:tcPr>
            <w:tcW w:w="313" w:type="pct"/>
            <w:tcBorders>
              <w:top w:val="nil"/>
              <w:left w:val="nil"/>
              <w:bottom w:val="nil"/>
              <w:right w:val="nil"/>
            </w:tcBorders>
            <w:shd w:val="clear" w:color="auto" w:fill="auto"/>
            <w:noWrap/>
            <w:vAlign w:val="center"/>
            <w:hideMark/>
          </w:tcPr>
          <w:p w14:paraId="7B73F157" w14:textId="77777777" w:rsidR="000D6168" w:rsidRPr="000A5942" w:rsidRDefault="000D6168" w:rsidP="00323FD6">
            <w:pPr>
              <w:rPr>
                <w:rFonts w:ascii="Calibri" w:hAnsi="Calibri" w:cs="Calibri"/>
              </w:rPr>
            </w:pPr>
            <w:r w:rsidRPr="000A5942">
              <w:rPr>
                <w:rFonts w:ascii="Calibri" w:hAnsi="Calibri" w:cs="Calibri"/>
              </w:rPr>
              <w:t>3732</w:t>
            </w:r>
          </w:p>
        </w:tc>
        <w:tc>
          <w:tcPr>
            <w:tcW w:w="380" w:type="pct"/>
            <w:tcBorders>
              <w:top w:val="nil"/>
              <w:left w:val="nil"/>
              <w:bottom w:val="nil"/>
              <w:right w:val="single" w:sz="4" w:space="0" w:color="auto"/>
            </w:tcBorders>
            <w:shd w:val="clear" w:color="auto" w:fill="auto"/>
            <w:noWrap/>
            <w:vAlign w:val="center"/>
            <w:hideMark/>
          </w:tcPr>
          <w:p w14:paraId="29FE9B9B" w14:textId="77777777" w:rsidR="000D6168" w:rsidRPr="000A5942" w:rsidRDefault="000D6168" w:rsidP="00323FD6">
            <w:pPr>
              <w:rPr>
                <w:rFonts w:ascii="Calibri" w:hAnsi="Calibri" w:cs="Calibri"/>
              </w:rPr>
            </w:pPr>
            <w:r w:rsidRPr="000A5942">
              <w:rPr>
                <w:rFonts w:ascii="Calibri" w:hAnsi="Calibri" w:cs="Calibri"/>
              </w:rPr>
              <w:t xml:space="preserve"> 0.1072%</w:t>
            </w:r>
          </w:p>
        </w:tc>
      </w:tr>
      <w:tr w:rsidR="000D6168" w:rsidRPr="000A5942" w14:paraId="56744486" w14:textId="77777777" w:rsidTr="00323FD6">
        <w:trPr>
          <w:trHeight w:val="290"/>
          <w:jc w:val="center"/>
        </w:trPr>
        <w:tc>
          <w:tcPr>
            <w:tcW w:w="971" w:type="pct"/>
            <w:gridSpan w:val="2"/>
            <w:vMerge w:val="restart"/>
            <w:tcBorders>
              <w:top w:val="nil"/>
              <w:left w:val="single" w:sz="4" w:space="0" w:color="auto"/>
              <w:right w:val="nil"/>
            </w:tcBorders>
            <w:shd w:val="clear" w:color="auto" w:fill="auto"/>
            <w:noWrap/>
            <w:vAlign w:val="center"/>
            <w:hideMark/>
          </w:tcPr>
          <w:p w14:paraId="66D8CD5B"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264B0FAD" w14:textId="77777777" w:rsidR="000D6168" w:rsidRPr="000A5942" w:rsidRDefault="000D6168" w:rsidP="00323FD6">
            <w:pPr>
              <w:rPr>
                <w:rFonts w:ascii="Calibri" w:hAnsi="Calibri" w:cs="Calibri"/>
              </w:rPr>
            </w:pPr>
            <w:r w:rsidRPr="000A5942">
              <w:rPr>
                <w:rFonts w:ascii="Calibri" w:hAnsi="Calibri" w:cs="Calibri"/>
              </w:rPr>
              <w:t>Ga0077307_102</w:t>
            </w:r>
          </w:p>
        </w:tc>
        <w:tc>
          <w:tcPr>
            <w:tcW w:w="313" w:type="pct"/>
            <w:tcBorders>
              <w:top w:val="nil"/>
              <w:left w:val="nil"/>
              <w:bottom w:val="nil"/>
              <w:right w:val="nil"/>
            </w:tcBorders>
            <w:shd w:val="clear" w:color="auto" w:fill="auto"/>
            <w:noWrap/>
            <w:vAlign w:val="center"/>
            <w:hideMark/>
          </w:tcPr>
          <w:p w14:paraId="28A51DBD"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6172B6D9" w14:textId="77777777" w:rsidR="000D6168" w:rsidRPr="000A5942" w:rsidRDefault="000D6168" w:rsidP="00323FD6">
            <w:pPr>
              <w:rPr>
                <w:rFonts w:ascii="Calibri" w:hAnsi="Calibri" w:cs="Calibri"/>
              </w:rPr>
            </w:pPr>
            <w:r w:rsidRPr="000A5942">
              <w:rPr>
                <w:rFonts w:ascii="Calibri" w:hAnsi="Calibri" w:cs="Calibri"/>
              </w:rPr>
              <w:t>(R)-</w:t>
            </w:r>
            <w:proofErr w:type="spellStart"/>
            <w:r w:rsidRPr="000A5942">
              <w:rPr>
                <w:rFonts w:ascii="Calibri" w:hAnsi="Calibri" w:cs="Calibri"/>
              </w:rPr>
              <w:t>ethylmalonyl</w:t>
            </w:r>
            <w:proofErr w:type="spellEnd"/>
            <w:r w:rsidRPr="000A5942">
              <w:rPr>
                <w:rFonts w:ascii="Calibri" w:hAnsi="Calibri" w:cs="Calibri"/>
              </w:rPr>
              <w:t>-CoA mutase</w:t>
            </w:r>
          </w:p>
        </w:tc>
        <w:tc>
          <w:tcPr>
            <w:tcW w:w="625" w:type="pct"/>
            <w:tcBorders>
              <w:top w:val="nil"/>
              <w:left w:val="nil"/>
              <w:bottom w:val="nil"/>
              <w:right w:val="nil"/>
            </w:tcBorders>
            <w:shd w:val="clear" w:color="auto" w:fill="auto"/>
            <w:noWrap/>
            <w:vAlign w:val="center"/>
            <w:hideMark/>
          </w:tcPr>
          <w:p w14:paraId="08DD7ED9"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453" w:type="pct"/>
            <w:tcBorders>
              <w:top w:val="nil"/>
              <w:left w:val="nil"/>
              <w:bottom w:val="nil"/>
              <w:right w:val="nil"/>
            </w:tcBorders>
            <w:shd w:val="clear" w:color="auto" w:fill="auto"/>
            <w:noWrap/>
            <w:vAlign w:val="center"/>
            <w:hideMark/>
          </w:tcPr>
          <w:p w14:paraId="34580068" w14:textId="77777777" w:rsidR="000D6168" w:rsidRPr="000A5942" w:rsidRDefault="000D6168" w:rsidP="00323FD6">
            <w:pPr>
              <w:rPr>
                <w:rFonts w:ascii="Calibri" w:hAnsi="Calibri" w:cs="Calibri"/>
              </w:rPr>
            </w:pPr>
            <w:r w:rsidRPr="000A5942">
              <w:rPr>
                <w:rFonts w:ascii="Calibri" w:hAnsi="Calibri" w:cs="Calibri"/>
              </w:rPr>
              <w:t>4181</w:t>
            </w:r>
          </w:p>
        </w:tc>
        <w:tc>
          <w:tcPr>
            <w:tcW w:w="311" w:type="pct"/>
            <w:tcBorders>
              <w:top w:val="nil"/>
              <w:left w:val="nil"/>
              <w:bottom w:val="nil"/>
              <w:right w:val="nil"/>
            </w:tcBorders>
            <w:shd w:val="clear" w:color="auto" w:fill="auto"/>
            <w:noWrap/>
            <w:vAlign w:val="center"/>
            <w:hideMark/>
          </w:tcPr>
          <w:p w14:paraId="2F146AC0" w14:textId="77777777" w:rsidR="000D6168" w:rsidRPr="000A5942" w:rsidRDefault="000D6168" w:rsidP="00323FD6">
            <w:pPr>
              <w:rPr>
                <w:rFonts w:ascii="Calibri" w:hAnsi="Calibri" w:cs="Calibri"/>
              </w:rPr>
            </w:pPr>
            <w:r w:rsidRPr="000A5942">
              <w:rPr>
                <w:rFonts w:ascii="Calibri" w:hAnsi="Calibri" w:cs="Calibri"/>
              </w:rPr>
              <w:t>3006</w:t>
            </w:r>
          </w:p>
        </w:tc>
        <w:tc>
          <w:tcPr>
            <w:tcW w:w="280" w:type="pct"/>
            <w:tcBorders>
              <w:top w:val="nil"/>
              <w:left w:val="nil"/>
              <w:bottom w:val="nil"/>
              <w:right w:val="nil"/>
            </w:tcBorders>
            <w:shd w:val="clear" w:color="auto" w:fill="auto"/>
            <w:noWrap/>
            <w:vAlign w:val="center"/>
            <w:hideMark/>
          </w:tcPr>
          <w:p w14:paraId="3D5020D7" w14:textId="77777777" w:rsidR="000D6168" w:rsidRPr="000A5942" w:rsidRDefault="000D6168" w:rsidP="00323FD6">
            <w:pPr>
              <w:rPr>
                <w:rFonts w:ascii="Calibri" w:hAnsi="Calibri" w:cs="Calibri"/>
              </w:rPr>
            </w:pPr>
            <w:r w:rsidRPr="000A5942">
              <w:rPr>
                <w:rFonts w:ascii="Calibri" w:hAnsi="Calibri" w:cs="Calibri"/>
              </w:rPr>
              <w:t>34</w:t>
            </w:r>
          </w:p>
        </w:tc>
        <w:tc>
          <w:tcPr>
            <w:tcW w:w="1040" w:type="pct"/>
            <w:gridSpan w:val="3"/>
            <w:vMerge w:val="restart"/>
            <w:tcBorders>
              <w:top w:val="nil"/>
              <w:left w:val="nil"/>
              <w:right w:val="single" w:sz="4" w:space="0" w:color="auto"/>
            </w:tcBorders>
            <w:shd w:val="clear" w:color="auto" w:fill="auto"/>
            <w:noWrap/>
            <w:vAlign w:val="center"/>
            <w:hideMark/>
          </w:tcPr>
          <w:p w14:paraId="4608B0D2" w14:textId="77777777" w:rsidR="000D6168" w:rsidRPr="000A5942" w:rsidRDefault="000D6168" w:rsidP="00323FD6">
            <w:pPr>
              <w:rPr>
                <w:rFonts w:ascii="Calibri" w:hAnsi="Calibri" w:cs="Calibri"/>
              </w:rPr>
            </w:pPr>
          </w:p>
        </w:tc>
      </w:tr>
      <w:tr w:rsidR="000D6168" w:rsidRPr="000A5942" w14:paraId="6E1ADDB7" w14:textId="77777777" w:rsidTr="00323FD6">
        <w:trPr>
          <w:trHeight w:val="290"/>
          <w:jc w:val="center"/>
        </w:trPr>
        <w:tc>
          <w:tcPr>
            <w:tcW w:w="971" w:type="pct"/>
            <w:gridSpan w:val="2"/>
            <w:vMerge/>
            <w:tcBorders>
              <w:left w:val="single" w:sz="4" w:space="0" w:color="auto"/>
              <w:right w:val="nil"/>
            </w:tcBorders>
            <w:shd w:val="clear" w:color="auto" w:fill="auto"/>
            <w:noWrap/>
            <w:vAlign w:val="center"/>
            <w:hideMark/>
          </w:tcPr>
          <w:p w14:paraId="4575B986"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505B1249" w14:textId="77777777" w:rsidR="000D6168" w:rsidRPr="000A5942" w:rsidRDefault="000D6168" w:rsidP="00323FD6">
            <w:pPr>
              <w:rPr>
                <w:rFonts w:ascii="Calibri" w:hAnsi="Calibri" w:cs="Calibri"/>
              </w:rPr>
            </w:pPr>
            <w:r w:rsidRPr="000A5942">
              <w:rPr>
                <w:rFonts w:ascii="Calibri" w:hAnsi="Calibri" w:cs="Calibri"/>
              </w:rPr>
              <w:t>Ga0077307_103</w:t>
            </w:r>
          </w:p>
        </w:tc>
        <w:tc>
          <w:tcPr>
            <w:tcW w:w="313" w:type="pct"/>
            <w:tcBorders>
              <w:top w:val="nil"/>
              <w:left w:val="nil"/>
              <w:bottom w:val="nil"/>
              <w:right w:val="nil"/>
            </w:tcBorders>
            <w:shd w:val="clear" w:color="auto" w:fill="auto"/>
            <w:noWrap/>
            <w:vAlign w:val="center"/>
            <w:hideMark/>
          </w:tcPr>
          <w:p w14:paraId="50D954BC"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3C947E73"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625" w:type="pct"/>
            <w:tcBorders>
              <w:top w:val="nil"/>
              <w:left w:val="nil"/>
              <w:bottom w:val="nil"/>
              <w:right w:val="nil"/>
            </w:tcBorders>
            <w:shd w:val="clear" w:color="auto" w:fill="auto"/>
            <w:noWrap/>
            <w:vAlign w:val="center"/>
            <w:hideMark/>
          </w:tcPr>
          <w:p w14:paraId="27C3C690"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453" w:type="pct"/>
            <w:tcBorders>
              <w:top w:val="nil"/>
              <w:left w:val="nil"/>
              <w:bottom w:val="nil"/>
              <w:right w:val="nil"/>
            </w:tcBorders>
            <w:shd w:val="clear" w:color="auto" w:fill="auto"/>
            <w:noWrap/>
            <w:vAlign w:val="center"/>
            <w:hideMark/>
          </w:tcPr>
          <w:p w14:paraId="1CA5526A" w14:textId="77777777" w:rsidR="000D6168" w:rsidRPr="000A5942" w:rsidRDefault="000D6168" w:rsidP="00323FD6">
            <w:pPr>
              <w:rPr>
                <w:rFonts w:ascii="Calibri" w:hAnsi="Calibri" w:cs="Calibri"/>
              </w:rPr>
            </w:pPr>
            <w:r w:rsidRPr="000A5942">
              <w:rPr>
                <w:rFonts w:ascii="Calibri" w:hAnsi="Calibri" w:cs="Calibri"/>
              </w:rPr>
              <w:t>4097</w:t>
            </w:r>
          </w:p>
        </w:tc>
        <w:tc>
          <w:tcPr>
            <w:tcW w:w="311" w:type="pct"/>
            <w:tcBorders>
              <w:top w:val="nil"/>
              <w:left w:val="nil"/>
              <w:bottom w:val="nil"/>
              <w:right w:val="nil"/>
            </w:tcBorders>
            <w:shd w:val="clear" w:color="auto" w:fill="auto"/>
            <w:noWrap/>
            <w:vAlign w:val="center"/>
            <w:hideMark/>
          </w:tcPr>
          <w:p w14:paraId="0D5766A8" w14:textId="77777777" w:rsidR="000D6168" w:rsidRPr="000A5942" w:rsidRDefault="000D6168" w:rsidP="00323FD6">
            <w:pPr>
              <w:rPr>
                <w:rFonts w:ascii="Calibri" w:hAnsi="Calibri" w:cs="Calibri"/>
              </w:rPr>
            </w:pPr>
            <w:r w:rsidRPr="000A5942">
              <w:rPr>
                <w:rFonts w:ascii="Calibri" w:hAnsi="Calibri" w:cs="Calibri"/>
              </w:rPr>
              <w:t>27387</w:t>
            </w:r>
          </w:p>
        </w:tc>
        <w:tc>
          <w:tcPr>
            <w:tcW w:w="280" w:type="pct"/>
            <w:tcBorders>
              <w:top w:val="nil"/>
              <w:left w:val="nil"/>
              <w:bottom w:val="nil"/>
              <w:right w:val="nil"/>
            </w:tcBorders>
            <w:shd w:val="clear" w:color="auto" w:fill="auto"/>
            <w:noWrap/>
            <w:vAlign w:val="center"/>
            <w:hideMark/>
          </w:tcPr>
          <w:p w14:paraId="6D09ECB5" w14:textId="77777777" w:rsidR="000D6168" w:rsidRPr="000A5942" w:rsidRDefault="000D6168" w:rsidP="00323FD6">
            <w:pPr>
              <w:rPr>
                <w:rFonts w:ascii="Calibri" w:hAnsi="Calibri" w:cs="Calibri"/>
              </w:rPr>
            </w:pPr>
            <w:r w:rsidRPr="000A5942">
              <w:rPr>
                <w:rFonts w:ascii="Calibri" w:hAnsi="Calibri" w:cs="Calibri"/>
              </w:rPr>
              <w:t>10.4</w:t>
            </w:r>
          </w:p>
        </w:tc>
        <w:tc>
          <w:tcPr>
            <w:tcW w:w="1040" w:type="pct"/>
            <w:gridSpan w:val="3"/>
            <w:vMerge/>
            <w:tcBorders>
              <w:left w:val="nil"/>
              <w:right w:val="single" w:sz="4" w:space="0" w:color="auto"/>
            </w:tcBorders>
            <w:shd w:val="clear" w:color="auto" w:fill="auto"/>
            <w:noWrap/>
            <w:vAlign w:val="center"/>
            <w:hideMark/>
          </w:tcPr>
          <w:p w14:paraId="30CAC601" w14:textId="77777777" w:rsidR="000D6168" w:rsidRPr="000A5942" w:rsidRDefault="000D6168" w:rsidP="00323FD6">
            <w:pPr>
              <w:rPr>
                <w:rFonts w:ascii="Calibri" w:hAnsi="Calibri" w:cs="Calibri"/>
              </w:rPr>
            </w:pPr>
          </w:p>
        </w:tc>
      </w:tr>
      <w:tr w:rsidR="000D6168" w:rsidRPr="000A5942" w14:paraId="79A9EB50" w14:textId="77777777" w:rsidTr="00323FD6">
        <w:trPr>
          <w:trHeight w:val="290"/>
          <w:jc w:val="center"/>
        </w:trPr>
        <w:tc>
          <w:tcPr>
            <w:tcW w:w="971" w:type="pct"/>
            <w:gridSpan w:val="2"/>
            <w:vMerge/>
            <w:tcBorders>
              <w:left w:val="single" w:sz="4" w:space="0" w:color="auto"/>
              <w:bottom w:val="single" w:sz="4" w:space="0" w:color="auto"/>
              <w:right w:val="nil"/>
            </w:tcBorders>
            <w:shd w:val="clear" w:color="auto" w:fill="auto"/>
            <w:noWrap/>
            <w:vAlign w:val="center"/>
            <w:hideMark/>
          </w:tcPr>
          <w:p w14:paraId="17B8AF04"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231EF7E8" w14:textId="77777777" w:rsidR="000D6168" w:rsidRPr="000A5942" w:rsidRDefault="000D6168" w:rsidP="00323FD6">
            <w:pPr>
              <w:rPr>
                <w:rFonts w:ascii="Calibri" w:hAnsi="Calibri" w:cs="Calibri"/>
              </w:rPr>
            </w:pPr>
            <w:r w:rsidRPr="000A5942">
              <w:rPr>
                <w:rFonts w:ascii="Calibri" w:hAnsi="Calibri" w:cs="Calibri"/>
              </w:rPr>
              <w:t>Ga0077307_104</w:t>
            </w:r>
          </w:p>
        </w:tc>
        <w:tc>
          <w:tcPr>
            <w:tcW w:w="313" w:type="pct"/>
            <w:tcBorders>
              <w:top w:val="nil"/>
              <w:left w:val="nil"/>
              <w:bottom w:val="single" w:sz="4" w:space="0" w:color="auto"/>
              <w:right w:val="nil"/>
            </w:tcBorders>
            <w:shd w:val="clear" w:color="auto" w:fill="auto"/>
            <w:noWrap/>
            <w:vAlign w:val="center"/>
            <w:hideMark/>
          </w:tcPr>
          <w:p w14:paraId="761955BF"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44FB71C1" w14:textId="77777777" w:rsidR="000D6168" w:rsidRPr="000A5942" w:rsidRDefault="000D6168" w:rsidP="00323FD6">
            <w:pPr>
              <w:rPr>
                <w:rFonts w:ascii="Calibri" w:hAnsi="Calibri" w:cs="Calibri"/>
              </w:rPr>
            </w:pPr>
            <w:r w:rsidRPr="000A5942">
              <w:rPr>
                <w:rFonts w:ascii="Calibri" w:hAnsi="Calibri" w:cs="Calibri"/>
              </w:rPr>
              <w:t xml:space="preserve">RNA polymerase, sigma-24 subunit, </w:t>
            </w:r>
            <w:proofErr w:type="spellStart"/>
            <w:r w:rsidRPr="000A5942">
              <w:rPr>
                <w:rFonts w:ascii="Calibri" w:hAnsi="Calibri" w:cs="Calibri"/>
              </w:rPr>
              <w:t>RpoE</w:t>
            </w:r>
            <w:proofErr w:type="spellEnd"/>
          </w:p>
        </w:tc>
        <w:tc>
          <w:tcPr>
            <w:tcW w:w="625" w:type="pct"/>
            <w:tcBorders>
              <w:top w:val="nil"/>
              <w:left w:val="nil"/>
              <w:bottom w:val="single" w:sz="4" w:space="0" w:color="auto"/>
              <w:right w:val="nil"/>
            </w:tcBorders>
            <w:shd w:val="clear" w:color="auto" w:fill="auto"/>
            <w:noWrap/>
            <w:vAlign w:val="center"/>
            <w:hideMark/>
          </w:tcPr>
          <w:p w14:paraId="7D47CC35" w14:textId="77777777" w:rsidR="000D6168" w:rsidRPr="000A5942" w:rsidRDefault="000D6168" w:rsidP="00323FD6">
            <w:pPr>
              <w:rPr>
                <w:rFonts w:ascii="Calibri" w:hAnsi="Calibri" w:cs="Calibri"/>
              </w:rPr>
            </w:pPr>
            <w:r w:rsidRPr="000A5942">
              <w:rPr>
                <w:rFonts w:ascii="Calibri" w:hAnsi="Calibri" w:cs="Calibri"/>
              </w:rPr>
              <w:t xml:space="preserve">two component, sigma54 specific, transcriptional regulator, </w:t>
            </w:r>
            <w:proofErr w:type="spellStart"/>
            <w:r w:rsidRPr="000A5942">
              <w:rPr>
                <w:rFonts w:ascii="Calibri" w:hAnsi="Calibri" w:cs="Calibri"/>
              </w:rPr>
              <w:t>Fis</w:t>
            </w:r>
            <w:proofErr w:type="spellEnd"/>
            <w:r w:rsidRPr="000A5942">
              <w:rPr>
                <w:rFonts w:ascii="Calibri" w:hAnsi="Calibri" w:cs="Calibri"/>
              </w:rPr>
              <w:t xml:space="preserve"> family</w:t>
            </w:r>
          </w:p>
        </w:tc>
        <w:tc>
          <w:tcPr>
            <w:tcW w:w="453" w:type="pct"/>
            <w:tcBorders>
              <w:top w:val="nil"/>
              <w:left w:val="nil"/>
              <w:bottom w:val="single" w:sz="4" w:space="0" w:color="auto"/>
              <w:right w:val="nil"/>
            </w:tcBorders>
            <w:shd w:val="clear" w:color="auto" w:fill="auto"/>
            <w:noWrap/>
            <w:vAlign w:val="center"/>
            <w:hideMark/>
          </w:tcPr>
          <w:p w14:paraId="4671F7F4" w14:textId="77777777" w:rsidR="000D6168" w:rsidRPr="000A5942" w:rsidRDefault="000D6168" w:rsidP="00323FD6">
            <w:pPr>
              <w:rPr>
                <w:rFonts w:ascii="Calibri" w:hAnsi="Calibri" w:cs="Calibri"/>
              </w:rPr>
            </w:pPr>
            <w:r w:rsidRPr="000A5942">
              <w:rPr>
                <w:rFonts w:ascii="Calibri" w:hAnsi="Calibri" w:cs="Calibri"/>
              </w:rPr>
              <w:t>3667</w:t>
            </w:r>
          </w:p>
        </w:tc>
        <w:tc>
          <w:tcPr>
            <w:tcW w:w="311" w:type="pct"/>
            <w:tcBorders>
              <w:top w:val="nil"/>
              <w:left w:val="nil"/>
              <w:bottom w:val="single" w:sz="4" w:space="0" w:color="auto"/>
              <w:right w:val="nil"/>
            </w:tcBorders>
            <w:shd w:val="clear" w:color="auto" w:fill="auto"/>
            <w:noWrap/>
            <w:vAlign w:val="center"/>
            <w:hideMark/>
          </w:tcPr>
          <w:p w14:paraId="1D42184B" w14:textId="77777777" w:rsidR="000D6168" w:rsidRPr="000A5942" w:rsidRDefault="000D6168" w:rsidP="00323FD6">
            <w:pPr>
              <w:rPr>
                <w:rFonts w:ascii="Calibri" w:hAnsi="Calibri" w:cs="Calibri"/>
              </w:rPr>
            </w:pPr>
            <w:r w:rsidRPr="000A5942">
              <w:rPr>
                <w:rFonts w:ascii="Calibri" w:hAnsi="Calibri" w:cs="Calibri"/>
              </w:rPr>
              <w:t>5572</w:t>
            </w:r>
          </w:p>
        </w:tc>
        <w:tc>
          <w:tcPr>
            <w:tcW w:w="280" w:type="pct"/>
            <w:tcBorders>
              <w:top w:val="nil"/>
              <w:left w:val="nil"/>
              <w:bottom w:val="single" w:sz="4" w:space="0" w:color="auto"/>
              <w:right w:val="nil"/>
            </w:tcBorders>
            <w:shd w:val="clear" w:color="auto" w:fill="auto"/>
            <w:noWrap/>
            <w:vAlign w:val="center"/>
            <w:hideMark/>
          </w:tcPr>
          <w:p w14:paraId="0BAAC81F" w14:textId="77777777" w:rsidR="000D6168" w:rsidRPr="000A5942" w:rsidRDefault="000D6168" w:rsidP="00323FD6">
            <w:pPr>
              <w:rPr>
                <w:rFonts w:ascii="Calibri" w:hAnsi="Calibri" w:cs="Calibri"/>
              </w:rPr>
            </w:pPr>
            <w:r w:rsidRPr="000A5942">
              <w:rPr>
                <w:rFonts w:ascii="Calibri" w:hAnsi="Calibri" w:cs="Calibri"/>
              </w:rPr>
              <w:t>10.4</w:t>
            </w:r>
          </w:p>
        </w:tc>
        <w:tc>
          <w:tcPr>
            <w:tcW w:w="1040" w:type="pct"/>
            <w:gridSpan w:val="3"/>
            <w:vMerge/>
            <w:tcBorders>
              <w:left w:val="nil"/>
              <w:bottom w:val="single" w:sz="4" w:space="0" w:color="auto"/>
              <w:right w:val="single" w:sz="4" w:space="0" w:color="auto"/>
            </w:tcBorders>
            <w:shd w:val="clear" w:color="auto" w:fill="auto"/>
            <w:noWrap/>
            <w:vAlign w:val="center"/>
            <w:hideMark/>
          </w:tcPr>
          <w:p w14:paraId="31CBFCB1" w14:textId="77777777" w:rsidR="000D6168" w:rsidRPr="000A5942" w:rsidRDefault="000D6168" w:rsidP="00323FD6">
            <w:pPr>
              <w:rPr>
                <w:rFonts w:ascii="Calibri" w:hAnsi="Calibri" w:cs="Calibri"/>
              </w:rPr>
            </w:pPr>
          </w:p>
        </w:tc>
      </w:tr>
      <w:tr w:rsidR="000D6168" w:rsidRPr="000A5942" w14:paraId="018E7A4F" w14:textId="77777777" w:rsidTr="00323FD6">
        <w:trPr>
          <w:trHeight w:val="290"/>
          <w:jc w:val="center"/>
        </w:trPr>
        <w:tc>
          <w:tcPr>
            <w:tcW w:w="519" w:type="pct"/>
            <w:tcBorders>
              <w:top w:val="nil"/>
              <w:left w:val="single" w:sz="4" w:space="0" w:color="auto"/>
              <w:bottom w:val="single" w:sz="4" w:space="0" w:color="auto"/>
              <w:right w:val="nil"/>
            </w:tcBorders>
            <w:shd w:val="clear" w:color="auto" w:fill="auto"/>
            <w:noWrap/>
            <w:vAlign w:val="center"/>
            <w:hideMark/>
          </w:tcPr>
          <w:p w14:paraId="06B5542D" w14:textId="77777777" w:rsidR="000D6168" w:rsidRPr="000A5942" w:rsidRDefault="000D6168" w:rsidP="00323FD6">
            <w:pPr>
              <w:rPr>
                <w:rFonts w:ascii="Calibri" w:hAnsi="Calibri" w:cs="Calibri"/>
              </w:rPr>
            </w:pPr>
            <w:r w:rsidRPr="000A5942">
              <w:rPr>
                <w:rFonts w:ascii="Calibri" w:hAnsi="Calibri" w:cs="Calibri"/>
              </w:rPr>
              <w:t>641380432</w:t>
            </w:r>
          </w:p>
        </w:tc>
        <w:tc>
          <w:tcPr>
            <w:tcW w:w="452" w:type="pct"/>
            <w:tcBorders>
              <w:top w:val="nil"/>
              <w:left w:val="nil"/>
              <w:bottom w:val="single" w:sz="4" w:space="0" w:color="auto"/>
              <w:right w:val="nil"/>
            </w:tcBorders>
            <w:shd w:val="clear" w:color="auto" w:fill="auto"/>
            <w:noWrap/>
            <w:vAlign w:val="center"/>
            <w:hideMark/>
          </w:tcPr>
          <w:p w14:paraId="756AFC6A" w14:textId="77777777" w:rsidR="000D6168" w:rsidRPr="000A5942" w:rsidRDefault="000D6168" w:rsidP="00323FD6">
            <w:pPr>
              <w:rPr>
                <w:rFonts w:ascii="Calibri" w:hAnsi="Calibri" w:cs="Calibri"/>
              </w:rPr>
            </w:pPr>
            <w:proofErr w:type="spellStart"/>
            <w:r w:rsidRPr="000A5942">
              <w:rPr>
                <w:rFonts w:ascii="Calibri" w:hAnsi="Calibri" w:cs="Calibri"/>
              </w:rPr>
              <w:t>Phaeobacter</w:t>
            </w:r>
            <w:proofErr w:type="spellEnd"/>
            <w:r w:rsidRPr="000A5942">
              <w:rPr>
                <w:rFonts w:ascii="Calibri" w:hAnsi="Calibri" w:cs="Calibri"/>
              </w:rPr>
              <w:t xml:space="preserve"> </w:t>
            </w:r>
            <w:proofErr w:type="spellStart"/>
            <w:r w:rsidRPr="000A5942">
              <w:rPr>
                <w:rFonts w:ascii="Calibri" w:hAnsi="Calibri" w:cs="Calibri"/>
              </w:rPr>
              <w:t>gallaeciensis</w:t>
            </w:r>
            <w:proofErr w:type="spellEnd"/>
            <w:r w:rsidRPr="000A5942">
              <w:rPr>
                <w:rFonts w:ascii="Calibri" w:hAnsi="Calibri" w:cs="Calibri"/>
              </w:rPr>
              <w:t xml:space="preserve"> BS107</w:t>
            </w:r>
          </w:p>
        </w:tc>
        <w:tc>
          <w:tcPr>
            <w:tcW w:w="347" w:type="pct"/>
            <w:tcBorders>
              <w:top w:val="nil"/>
              <w:left w:val="nil"/>
              <w:bottom w:val="single" w:sz="4" w:space="0" w:color="auto"/>
              <w:right w:val="nil"/>
            </w:tcBorders>
            <w:shd w:val="clear" w:color="auto" w:fill="auto"/>
            <w:noWrap/>
            <w:vAlign w:val="center"/>
            <w:hideMark/>
          </w:tcPr>
          <w:p w14:paraId="246265F2" w14:textId="77777777" w:rsidR="000D6168" w:rsidRPr="000A5942" w:rsidRDefault="000D6168" w:rsidP="00323FD6">
            <w:pPr>
              <w:rPr>
                <w:rFonts w:ascii="Calibri" w:hAnsi="Calibri" w:cs="Calibri"/>
              </w:rPr>
            </w:pPr>
            <w:r w:rsidRPr="000A5942">
              <w:rPr>
                <w:rFonts w:ascii="Calibri" w:hAnsi="Calibri" w:cs="Calibri"/>
              </w:rPr>
              <w:t>NA</w:t>
            </w:r>
          </w:p>
        </w:tc>
        <w:tc>
          <w:tcPr>
            <w:tcW w:w="313" w:type="pct"/>
            <w:tcBorders>
              <w:top w:val="nil"/>
              <w:left w:val="nil"/>
              <w:bottom w:val="single" w:sz="4" w:space="0" w:color="auto"/>
              <w:right w:val="nil"/>
            </w:tcBorders>
            <w:shd w:val="clear" w:color="auto" w:fill="auto"/>
            <w:noWrap/>
            <w:vAlign w:val="center"/>
            <w:hideMark/>
          </w:tcPr>
          <w:p w14:paraId="6DEDBD11" w14:textId="77777777" w:rsidR="000D6168" w:rsidRPr="000A5942" w:rsidRDefault="000D6168" w:rsidP="00323FD6">
            <w:pPr>
              <w:rPr>
                <w:rFonts w:ascii="Calibri" w:hAnsi="Calibri" w:cs="Calibri"/>
              </w:rPr>
            </w:pPr>
            <w:r w:rsidRPr="000A5942">
              <w:rPr>
                <w:rFonts w:ascii="Calibri" w:hAnsi="Calibri" w:cs="Calibri"/>
              </w:rPr>
              <w:t>NA</w:t>
            </w:r>
          </w:p>
        </w:tc>
        <w:tc>
          <w:tcPr>
            <w:tcW w:w="660" w:type="pct"/>
            <w:tcBorders>
              <w:top w:val="nil"/>
              <w:left w:val="nil"/>
              <w:bottom w:val="single" w:sz="4" w:space="0" w:color="auto"/>
              <w:right w:val="nil"/>
            </w:tcBorders>
            <w:shd w:val="clear" w:color="auto" w:fill="auto"/>
            <w:noWrap/>
            <w:vAlign w:val="center"/>
            <w:hideMark/>
          </w:tcPr>
          <w:p w14:paraId="547B324E" w14:textId="77777777" w:rsidR="000D6168" w:rsidRPr="000A5942" w:rsidRDefault="000D6168" w:rsidP="00323FD6">
            <w:pPr>
              <w:rPr>
                <w:rFonts w:ascii="Calibri" w:hAnsi="Calibri" w:cs="Calibri"/>
              </w:rPr>
            </w:pPr>
            <w:r w:rsidRPr="000A5942">
              <w:rPr>
                <w:rFonts w:ascii="Calibri" w:hAnsi="Calibri" w:cs="Calibri"/>
              </w:rPr>
              <w:t>NA</w:t>
            </w:r>
          </w:p>
        </w:tc>
        <w:tc>
          <w:tcPr>
            <w:tcW w:w="625" w:type="pct"/>
            <w:tcBorders>
              <w:top w:val="nil"/>
              <w:left w:val="nil"/>
              <w:bottom w:val="single" w:sz="4" w:space="0" w:color="auto"/>
              <w:right w:val="nil"/>
            </w:tcBorders>
            <w:shd w:val="clear" w:color="auto" w:fill="auto"/>
            <w:noWrap/>
            <w:vAlign w:val="center"/>
            <w:hideMark/>
          </w:tcPr>
          <w:p w14:paraId="1545C15E" w14:textId="77777777" w:rsidR="000D6168" w:rsidRPr="000A5942" w:rsidRDefault="000D6168" w:rsidP="00323FD6">
            <w:pPr>
              <w:rPr>
                <w:rFonts w:ascii="Calibri" w:hAnsi="Calibri" w:cs="Calibri"/>
              </w:rPr>
            </w:pPr>
            <w:r w:rsidRPr="000A5942">
              <w:rPr>
                <w:rFonts w:ascii="Calibri" w:hAnsi="Calibri" w:cs="Calibri"/>
              </w:rPr>
              <w:t>NA</w:t>
            </w:r>
          </w:p>
        </w:tc>
        <w:tc>
          <w:tcPr>
            <w:tcW w:w="453" w:type="pct"/>
            <w:tcBorders>
              <w:top w:val="nil"/>
              <w:left w:val="nil"/>
              <w:bottom w:val="single" w:sz="4" w:space="0" w:color="auto"/>
              <w:right w:val="nil"/>
            </w:tcBorders>
            <w:shd w:val="clear" w:color="auto" w:fill="auto"/>
            <w:noWrap/>
            <w:vAlign w:val="center"/>
            <w:hideMark/>
          </w:tcPr>
          <w:p w14:paraId="3017DD42" w14:textId="77777777" w:rsidR="000D6168" w:rsidRPr="000A5942" w:rsidRDefault="000D6168" w:rsidP="00323FD6">
            <w:pPr>
              <w:rPr>
                <w:rFonts w:ascii="Calibri" w:hAnsi="Calibri" w:cs="Calibri"/>
              </w:rPr>
            </w:pPr>
            <w:r w:rsidRPr="000A5942">
              <w:rPr>
                <w:rFonts w:ascii="Calibri" w:hAnsi="Calibri" w:cs="Calibri"/>
              </w:rPr>
              <w:t>NA</w:t>
            </w:r>
          </w:p>
        </w:tc>
        <w:tc>
          <w:tcPr>
            <w:tcW w:w="311" w:type="pct"/>
            <w:tcBorders>
              <w:top w:val="nil"/>
              <w:left w:val="nil"/>
              <w:bottom w:val="single" w:sz="4" w:space="0" w:color="auto"/>
              <w:right w:val="nil"/>
            </w:tcBorders>
            <w:shd w:val="clear" w:color="auto" w:fill="auto"/>
            <w:noWrap/>
            <w:vAlign w:val="center"/>
            <w:hideMark/>
          </w:tcPr>
          <w:p w14:paraId="1E9009F7" w14:textId="77777777" w:rsidR="000D6168" w:rsidRPr="000A5942" w:rsidRDefault="000D6168" w:rsidP="00323FD6">
            <w:pPr>
              <w:rPr>
                <w:rFonts w:ascii="Calibri" w:hAnsi="Calibri" w:cs="Calibri"/>
              </w:rPr>
            </w:pPr>
            <w:r w:rsidRPr="000A5942">
              <w:rPr>
                <w:rFonts w:ascii="Calibri" w:hAnsi="Calibri" w:cs="Calibri"/>
              </w:rPr>
              <w:t>NA</w:t>
            </w:r>
          </w:p>
        </w:tc>
        <w:tc>
          <w:tcPr>
            <w:tcW w:w="280" w:type="pct"/>
            <w:tcBorders>
              <w:top w:val="nil"/>
              <w:left w:val="nil"/>
              <w:bottom w:val="single" w:sz="4" w:space="0" w:color="auto"/>
              <w:right w:val="nil"/>
            </w:tcBorders>
            <w:shd w:val="clear" w:color="auto" w:fill="auto"/>
            <w:noWrap/>
            <w:vAlign w:val="center"/>
            <w:hideMark/>
          </w:tcPr>
          <w:p w14:paraId="16DB0C2B" w14:textId="77777777" w:rsidR="000D6168" w:rsidRPr="000A5942" w:rsidRDefault="000D6168" w:rsidP="00323FD6">
            <w:pPr>
              <w:rPr>
                <w:rFonts w:ascii="Calibri" w:hAnsi="Calibri" w:cs="Calibri"/>
              </w:rPr>
            </w:pPr>
            <w:r w:rsidRPr="000A5942">
              <w:rPr>
                <w:rFonts w:ascii="Calibri" w:hAnsi="Calibri" w:cs="Calibri"/>
              </w:rPr>
              <w:t> </w:t>
            </w:r>
          </w:p>
        </w:tc>
        <w:tc>
          <w:tcPr>
            <w:tcW w:w="347" w:type="pct"/>
            <w:tcBorders>
              <w:top w:val="nil"/>
              <w:left w:val="nil"/>
              <w:bottom w:val="single" w:sz="4" w:space="0" w:color="auto"/>
              <w:right w:val="nil"/>
            </w:tcBorders>
            <w:shd w:val="clear" w:color="auto" w:fill="auto"/>
            <w:noWrap/>
            <w:vAlign w:val="center"/>
            <w:hideMark/>
          </w:tcPr>
          <w:p w14:paraId="6C6E9360" w14:textId="77777777" w:rsidR="000D6168" w:rsidRPr="000A5942" w:rsidRDefault="000D6168" w:rsidP="00323FD6">
            <w:pPr>
              <w:rPr>
                <w:rFonts w:ascii="Calibri" w:hAnsi="Calibri" w:cs="Calibri"/>
              </w:rPr>
            </w:pPr>
            <w:r w:rsidRPr="000A5942">
              <w:rPr>
                <w:rFonts w:ascii="Calibri" w:hAnsi="Calibri" w:cs="Calibri"/>
              </w:rPr>
              <w:t>0</w:t>
            </w:r>
          </w:p>
        </w:tc>
        <w:tc>
          <w:tcPr>
            <w:tcW w:w="313" w:type="pct"/>
            <w:tcBorders>
              <w:top w:val="nil"/>
              <w:left w:val="nil"/>
              <w:bottom w:val="single" w:sz="4" w:space="0" w:color="auto"/>
              <w:right w:val="nil"/>
            </w:tcBorders>
            <w:shd w:val="clear" w:color="auto" w:fill="auto"/>
            <w:noWrap/>
            <w:vAlign w:val="center"/>
            <w:hideMark/>
          </w:tcPr>
          <w:p w14:paraId="6918CE32" w14:textId="77777777" w:rsidR="000D6168" w:rsidRPr="000A5942" w:rsidRDefault="000D6168" w:rsidP="00323FD6">
            <w:pPr>
              <w:rPr>
                <w:rFonts w:ascii="Calibri" w:hAnsi="Calibri" w:cs="Calibri"/>
              </w:rPr>
            </w:pPr>
            <w:r w:rsidRPr="000A5942">
              <w:rPr>
                <w:rFonts w:ascii="Calibri" w:hAnsi="Calibri" w:cs="Calibri"/>
              </w:rPr>
              <w:t>4136</w:t>
            </w:r>
          </w:p>
        </w:tc>
        <w:tc>
          <w:tcPr>
            <w:tcW w:w="380" w:type="pct"/>
            <w:tcBorders>
              <w:top w:val="nil"/>
              <w:left w:val="nil"/>
              <w:bottom w:val="single" w:sz="4" w:space="0" w:color="auto"/>
              <w:right w:val="single" w:sz="4" w:space="0" w:color="auto"/>
            </w:tcBorders>
            <w:shd w:val="clear" w:color="auto" w:fill="auto"/>
            <w:noWrap/>
            <w:vAlign w:val="center"/>
            <w:hideMark/>
          </w:tcPr>
          <w:p w14:paraId="77AB4BF9" w14:textId="77777777" w:rsidR="000D6168" w:rsidRPr="000A5942" w:rsidRDefault="000D6168" w:rsidP="00323FD6">
            <w:pPr>
              <w:rPr>
                <w:rFonts w:ascii="Calibri" w:hAnsi="Calibri" w:cs="Calibri"/>
              </w:rPr>
            </w:pPr>
            <w:r w:rsidRPr="000A5942">
              <w:rPr>
                <w:rFonts w:ascii="Calibri" w:hAnsi="Calibri" w:cs="Calibri"/>
              </w:rPr>
              <w:t xml:space="preserve"> 0.00%</w:t>
            </w:r>
          </w:p>
        </w:tc>
      </w:tr>
      <w:tr w:rsidR="000D6168" w:rsidRPr="000A5942" w14:paraId="15D1EB10"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51F6DD13" w14:textId="77777777" w:rsidR="000D6168" w:rsidRPr="000A5942" w:rsidRDefault="000D6168" w:rsidP="00323FD6">
            <w:pPr>
              <w:rPr>
                <w:rFonts w:ascii="Calibri" w:hAnsi="Calibri" w:cs="Calibri"/>
              </w:rPr>
            </w:pPr>
            <w:r w:rsidRPr="000A5942">
              <w:rPr>
                <w:rFonts w:ascii="Calibri" w:hAnsi="Calibri" w:cs="Calibri"/>
              </w:rPr>
              <w:t>2510065029</w:t>
            </w:r>
          </w:p>
        </w:tc>
        <w:tc>
          <w:tcPr>
            <w:tcW w:w="452" w:type="pct"/>
            <w:tcBorders>
              <w:top w:val="nil"/>
              <w:left w:val="nil"/>
              <w:bottom w:val="nil"/>
              <w:right w:val="nil"/>
            </w:tcBorders>
            <w:shd w:val="clear" w:color="auto" w:fill="auto"/>
            <w:noWrap/>
            <w:vAlign w:val="center"/>
            <w:hideMark/>
          </w:tcPr>
          <w:p w14:paraId="068BFA79" w14:textId="77777777" w:rsidR="000D6168" w:rsidRPr="000A5942" w:rsidRDefault="000D6168" w:rsidP="00323FD6">
            <w:pPr>
              <w:rPr>
                <w:rFonts w:ascii="Calibri" w:hAnsi="Calibri" w:cs="Calibri"/>
              </w:rPr>
            </w:pPr>
            <w:proofErr w:type="spellStart"/>
            <w:r w:rsidRPr="000A5942">
              <w:rPr>
                <w:rFonts w:ascii="Calibri" w:hAnsi="Calibri" w:cs="Calibri"/>
              </w:rPr>
              <w:t>Phaeobacter</w:t>
            </w:r>
            <w:proofErr w:type="spellEnd"/>
            <w:r w:rsidRPr="000A5942">
              <w:rPr>
                <w:rFonts w:ascii="Calibri" w:hAnsi="Calibri" w:cs="Calibri"/>
              </w:rPr>
              <w:t xml:space="preserve"> </w:t>
            </w:r>
            <w:proofErr w:type="spellStart"/>
            <w:r w:rsidRPr="000A5942">
              <w:rPr>
                <w:rFonts w:ascii="Calibri" w:hAnsi="Calibri" w:cs="Calibri"/>
              </w:rPr>
              <w:t>gallaeciensis</w:t>
            </w:r>
            <w:proofErr w:type="spellEnd"/>
            <w:r w:rsidRPr="000A5942">
              <w:rPr>
                <w:rFonts w:ascii="Calibri" w:hAnsi="Calibri" w:cs="Calibri"/>
              </w:rPr>
              <w:t xml:space="preserve"> DSM 17395</w:t>
            </w:r>
          </w:p>
        </w:tc>
        <w:tc>
          <w:tcPr>
            <w:tcW w:w="347" w:type="pct"/>
            <w:tcBorders>
              <w:top w:val="nil"/>
              <w:left w:val="nil"/>
              <w:bottom w:val="nil"/>
              <w:right w:val="nil"/>
            </w:tcBorders>
            <w:shd w:val="clear" w:color="auto" w:fill="auto"/>
            <w:noWrap/>
            <w:vAlign w:val="center"/>
            <w:hideMark/>
          </w:tcPr>
          <w:p w14:paraId="4314A75C" w14:textId="77777777" w:rsidR="000D6168" w:rsidRPr="000A5942" w:rsidRDefault="000D6168" w:rsidP="00323FD6">
            <w:pPr>
              <w:rPr>
                <w:rFonts w:ascii="Calibri" w:hAnsi="Calibri" w:cs="Calibri"/>
              </w:rPr>
            </w:pPr>
            <w:r w:rsidRPr="000A5942">
              <w:rPr>
                <w:rFonts w:ascii="Calibri" w:hAnsi="Calibri" w:cs="Calibri"/>
              </w:rPr>
              <w:t>PGA1_c</w:t>
            </w:r>
          </w:p>
        </w:tc>
        <w:tc>
          <w:tcPr>
            <w:tcW w:w="313" w:type="pct"/>
            <w:tcBorders>
              <w:top w:val="nil"/>
              <w:left w:val="nil"/>
              <w:bottom w:val="nil"/>
              <w:right w:val="nil"/>
            </w:tcBorders>
            <w:shd w:val="clear" w:color="auto" w:fill="auto"/>
            <w:noWrap/>
            <w:vAlign w:val="center"/>
            <w:hideMark/>
          </w:tcPr>
          <w:p w14:paraId="0A653F21"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69338C22" w14:textId="77777777" w:rsidR="000D6168" w:rsidRPr="000A5942" w:rsidRDefault="000D6168" w:rsidP="00323FD6">
            <w:pPr>
              <w:rPr>
                <w:rFonts w:ascii="Calibri" w:hAnsi="Calibri" w:cs="Calibri"/>
              </w:rPr>
            </w:pPr>
            <w:r w:rsidRPr="000A5942">
              <w:rPr>
                <w:rFonts w:ascii="Calibri" w:hAnsi="Calibri" w:cs="Calibri"/>
              </w:rPr>
              <w:t xml:space="preserve">regulatory protein, </w:t>
            </w:r>
            <w:proofErr w:type="spellStart"/>
            <w:r w:rsidRPr="000A5942">
              <w:rPr>
                <w:rFonts w:ascii="Calibri" w:hAnsi="Calibri" w:cs="Calibri"/>
              </w:rPr>
              <w:t>luxR</w:t>
            </w:r>
            <w:proofErr w:type="spellEnd"/>
            <w:r w:rsidRPr="000A5942">
              <w:rPr>
                <w:rFonts w:ascii="Calibri" w:hAnsi="Calibri" w:cs="Calibri"/>
              </w:rPr>
              <w:t xml:space="preserve"> family</w:t>
            </w:r>
          </w:p>
        </w:tc>
        <w:tc>
          <w:tcPr>
            <w:tcW w:w="625" w:type="pct"/>
            <w:tcBorders>
              <w:top w:val="nil"/>
              <w:left w:val="nil"/>
              <w:bottom w:val="nil"/>
              <w:right w:val="nil"/>
            </w:tcBorders>
            <w:shd w:val="clear" w:color="auto" w:fill="auto"/>
            <w:noWrap/>
            <w:vAlign w:val="center"/>
            <w:hideMark/>
          </w:tcPr>
          <w:p w14:paraId="7993E890" w14:textId="77777777" w:rsidR="000D6168" w:rsidRPr="000A5942" w:rsidRDefault="000D6168" w:rsidP="00323FD6">
            <w:pPr>
              <w:rPr>
                <w:rFonts w:ascii="Calibri" w:hAnsi="Calibri" w:cs="Calibri"/>
              </w:rPr>
            </w:pPr>
            <w:r w:rsidRPr="000A5942">
              <w:rPr>
                <w:rFonts w:ascii="Calibri" w:hAnsi="Calibri" w:cs="Calibri"/>
              </w:rPr>
              <w:t>N-acyl-L-homoserine lactone synthetase</w:t>
            </w:r>
          </w:p>
        </w:tc>
        <w:tc>
          <w:tcPr>
            <w:tcW w:w="453" w:type="pct"/>
            <w:tcBorders>
              <w:top w:val="nil"/>
              <w:left w:val="nil"/>
              <w:bottom w:val="nil"/>
              <w:right w:val="nil"/>
            </w:tcBorders>
            <w:shd w:val="clear" w:color="auto" w:fill="auto"/>
            <w:noWrap/>
            <w:vAlign w:val="center"/>
            <w:hideMark/>
          </w:tcPr>
          <w:p w14:paraId="3A4DD1F3" w14:textId="77777777" w:rsidR="000D6168" w:rsidRPr="000A5942" w:rsidRDefault="000D6168" w:rsidP="00323FD6">
            <w:pPr>
              <w:rPr>
                <w:rFonts w:ascii="Calibri" w:hAnsi="Calibri" w:cs="Calibri"/>
              </w:rPr>
            </w:pPr>
            <w:r w:rsidRPr="000A5942">
              <w:rPr>
                <w:rFonts w:ascii="Calibri" w:hAnsi="Calibri" w:cs="Calibri"/>
              </w:rPr>
              <w:t>57</w:t>
            </w:r>
          </w:p>
        </w:tc>
        <w:tc>
          <w:tcPr>
            <w:tcW w:w="311" w:type="pct"/>
            <w:tcBorders>
              <w:top w:val="nil"/>
              <w:left w:val="nil"/>
              <w:bottom w:val="nil"/>
              <w:right w:val="nil"/>
            </w:tcBorders>
            <w:shd w:val="clear" w:color="auto" w:fill="auto"/>
            <w:noWrap/>
            <w:vAlign w:val="center"/>
            <w:hideMark/>
          </w:tcPr>
          <w:p w14:paraId="567C3802" w14:textId="77777777" w:rsidR="000D6168" w:rsidRPr="000A5942" w:rsidRDefault="000D6168" w:rsidP="00323FD6">
            <w:pPr>
              <w:rPr>
                <w:rFonts w:ascii="Calibri" w:hAnsi="Calibri" w:cs="Calibri"/>
              </w:rPr>
            </w:pPr>
            <w:r w:rsidRPr="000A5942">
              <w:rPr>
                <w:rFonts w:ascii="Calibri" w:hAnsi="Calibri" w:cs="Calibri"/>
              </w:rPr>
              <w:t>2</w:t>
            </w:r>
          </w:p>
        </w:tc>
        <w:tc>
          <w:tcPr>
            <w:tcW w:w="280" w:type="pct"/>
            <w:tcBorders>
              <w:top w:val="nil"/>
              <w:left w:val="nil"/>
              <w:bottom w:val="nil"/>
              <w:right w:val="nil"/>
            </w:tcBorders>
            <w:shd w:val="clear" w:color="auto" w:fill="auto"/>
            <w:noWrap/>
            <w:vAlign w:val="center"/>
            <w:hideMark/>
          </w:tcPr>
          <w:p w14:paraId="767D91AB" w14:textId="77777777" w:rsidR="000D6168" w:rsidRPr="000A5942" w:rsidRDefault="000D6168" w:rsidP="00323FD6">
            <w:pPr>
              <w:rPr>
                <w:rFonts w:ascii="Calibri" w:hAnsi="Calibri" w:cs="Calibri"/>
              </w:rPr>
            </w:pPr>
            <w:r w:rsidRPr="000A5942">
              <w:rPr>
                <w:rFonts w:ascii="Calibri" w:hAnsi="Calibri" w:cs="Calibri"/>
              </w:rPr>
              <w:t>41.5</w:t>
            </w:r>
          </w:p>
        </w:tc>
        <w:tc>
          <w:tcPr>
            <w:tcW w:w="347" w:type="pct"/>
            <w:tcBorders>
              <w:top w:val="nil"/>
              <w:left w:val="nil"/>
              <w:bottom w:val="nil"/>
              <w:right w:val="nil"/>
            </w:tcBorders>
            <w:shd w:val="clear" w:color="auto" w:fill="auto"/>
            <w:noWrap/>
            <w:vAlign w:val="center"/>
            <w:hideMark/>
          </w:tcPr>
          <w:p w14:paraId="4A4A515F" w14:textId="77777777" w:rsidR="000D6168" w:rsidRPr="000A5942" w:rsidRDefault="000D6168" w:rsidP="00323FD6">
            <w:pPr>
              <w:rPr>
                <w:rFonts w:ascii="Calibri" w:hAnsi="Calibri" w:cs="Calibri"/>
              </w:rPr>
            </w:pPr>
            <w:r w:rsidRPr="000A5942">
              <w:rPr>
                <w:rFonts w:ascii="Calibri" w:hAnsi="Calibri" w:cs="Calibri"/>
              </w:rPr>
              <w:t>2</w:t>
            </w:r>
          </w:p>
        </w:tc>
        <w:tc>
          <w:tcPr>
            <w:tcW w:w="313" w:type="pct"/>
            <w:tcBorders>
              <w:top w:val="nil"/>
              <w:left w:val="nil"/>
              <w:bottom w:val="nil"/>
              <w:right w:val="nil"/>
            </w:tcBorders>
            <w:shd w:val="clear" w:color="auto" w:fill="auto"/>
            <w:noWrap/>
            <w:vAlign w:val="center"/>
            <w:hideMark/>
          </w:tcPr>
          <w:p w14:paraId="202073EB" w14:textId="77777777" w:rsidR="000D6168" w:rsidRPr="000A5942" w:rsidRDefault="000D6168" w:rsidP="00323FD6">
            <w:pPr>
              <w:rPr>
                <w:rFonts w:ascii="Calibri" w:hAnsi="Calibri" w:cs="Calibri"/>
              </w:rPr>
            </w:pPr>
            <w:r w:rsidRPr="000A5942">
              <w:rPr>
                <w:rFonts w:ascii="Calibri" w:hAnsi="Calibri" w:cs="Calibri"/>
              </w:rPr>
              <w:t>3944</w:t>
            </w:r>
          </w:p>
        </w:tc>
        <w:tc>
          <w:tcPr>
            <w:tcW w:w="380" w:type="pct"/>
            <w:tcBorders>
              <w:top w:val="nil"/>
              <w:left w:val="nil"/>
              <w:bottom w:val="nil"/>
              <w:right w:val="single" w:sz="4" w:space="0" w:color="auto"/>
            </w:tcBorders>
            <w:shd w:val="clear" w:color="auto" w:fill="auto"/>
            <w:noWrap/>
            <w:vAlign w:val="center"/>
            <w:hideMark/>
          </w:tcPr>
          <w:p w14:paraId="180BC003" w14:textId="77777777" w:rsidR="000D6168" w:rsidRPr="000A5942" w:rsidRDefault="000D6168" w:rsidP="00323FD6">
            <w:pPr>
              <w:rPr>
                <w:rFonts w:ascii="Calibri" w:hAnsi="Calibri" w:cs="Calibri"/>
              </w:rPr>
            </w:pPr>
            <w:r w:rsidRPr="000A5942">
              <w:rPr>
                <w:rFonts w:ascii="Calibri" w:hAnsi="Calibri" w:cs="Calibri"/>
              </w:rPr>
              <w:t xml:space="preserve"> 0.0507%</w:t>
            </w:r>
          </w:p>
        </w:tc>
      </w:tr>
      <w:tr w:rsidR="000D6168" w:rsidRPr="000A5942" w14:paraId="4AB75BAD" w14:textId="77777777" w:rsidTr="00323FD6">
        <w:trPr>
          <w:trHeight w:val="290"/>
          <w:jc w:val="center"/>
        </w:trPr>
        <w:tc>
          <w:tcPr>
            <w:tcW w:w="971" w:type="pct"/>
            <w:gridSpan w:val="2"/>
            <w:tcBorders>
              <w:top w:val="nil"/>
              <w:left w:val="single" w:sz="4" w:space="0" w:color="auto"/>
              <w:bottom w:val="single" w:sz="4" w:space="0" w:color="auto"/>
              <w:right w:val="nil"/>
            </w:tcBorders>
            <w:shd w:val="clear" w:color="auto" w:fill="auto"/>
            <w:noWrap/>
            <w:vAlign w:val="center"/>
            <w:hideMark/>
          </w:tcPr>
          <w:p w14:paraId="31339297"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228B732A" w14:textId="77777777" w:rsidR="000D6168" w:rsidRPr="000A5942" w:rsidRDefault="000D6168" w:rsidP="00323FD6">
            <w:pPr>
              <w:rPr>
                <w:rFonts w:ascii="Calibri" w:hAnsi="Calibri" w:cs="Calibri"/>
              </w:rPr>
            </w:pPr>
            <w:r w:rsidRPr="000A5942">
              <w:rPr>
                <w:rFonts w:ascii="Calibri" w:hAnsi="Calibri" w:cs="Calibri"/>
              </w:rPr>
              <w:t>PGA1_c</w:t>
            </w:r>
          </w:p>
        </w:tc>
        <w:tc>
          <w:tcPr>
            <w:tcW w:w="313" w:type="pct"/>
            <w:tcBorders>
              <w:top w:val="nil"/>
              <w:left w:val="nil"/>
              <w:bottom w:val="single" w:sz="4" w:space="0" w:color="auto"/>
              <w:right w:val="nil"/>
            </w:tcBorders>
            <w:shd w:val="clear" w:color="auto" w:fill="auto"/>
            <w:noWrap/>
            <w:vAlign w:val="center"/>
            <w:hideMark/>
          </w:tcPr>
          <w:p w14:paraId="5ACDD099"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24C85C38" w14:textId="77777777" w:rsidR="000D6168" w:rsidRPr="000A5942" w:rsidRDefault="000D6168" w:rsidP="00323FD6">
            <w:pPr>
              <w:rPr>
                <w:rFonts w:ascii="Calibri" w:hAnsi="Calibri" w:cs="Calibri"/>
              </w:rPr>
            </w:pPr>
            <w:r w:rsidRPr="000A5942">
              <w:rPr>
                <w:rFonts w:ascii="Calibri" w:hAnsi="Calibri" w:cs="Calibri"/>
              </w:rPr>
              <w:t>(R)-</w:t>
            </w:r>
            <w:proofErr w:type="spellStart"/>
            <w:r w:rsidRPr="000A5942">
              <w:rPr>
                <w:rFonts w:ascii="Calibri" w:hAnsi="Calibri" w:cs="Calibri"/>
              </w:rPr>
              <w:t>ethylmalonyl</w:t>
            </w:r>
            <w:proofErr w:type="spellEnd"/>
            <w:r w:rsidRPr="000A5942">
              <w:rPr>
                <w:rFonts w:ascii="Calibri" w:hAnsi="Calibri" w:cs="Calibri"/>
              </w:rPr>
              <w:t>-CoA mutase</w:t>
            </w:r>
          </w:p>
        </w:tc>
        <w:tc>
          <w:tcPr>
            <w:tcW w:w="625" w:type="pct"/>
            <w:tcBorders>
              <w:top w:val="nil"/>
              <w:left w:val="nil"/>
              <w:bottom w:val="single" w:sz="4" w:space="0" w:color="auto"/>
              <w:right w:val="nil"/>
            </w:tcBorders>
            <w:shd w:val="clear" w:color="auto" w:fill="auto"/>
            <w:noWrap/>
            <w:vAlign w:val="center"/>
            <w:hideMark/>
          </w:tcPr>
          <w:p w14:paraId="358693A1"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453" w:type="pct"/>
            <w:tcBorders>
              <w:top w:val="nil"/>
              <w:left w:val="nil"/>
              <w:bottom w:val="single" w:sz="4" w:space="0" w:color="auto"/>
              <w:right w:val="nil"/>
            </w:tcBorders>
            <w:shd w:val="clear" w:color="auto" w:fill="auto"/>
            <w:noWrap/>
            <w:vAlign w:val="center"/>
            <w:hideMark/>
          </w:tcPr>
          <w:p w14:paraId="06DA65AD" w14:textId="77777777" w:rsidR="000D6168" w:rsidRPr="000A5942" w:rsidRDefault="000D6168" w:rsidP="00323FD6">
            <w:pPr>
              <w:rPr>
                <w:rFonts w:ascii="Calibri" w:hAnsi="Calibri" w:cs="Calibri"/>
              </w:rPr>
            </w:pPr>
            <w:r w:rsidRPr="000A5942">
              <w:rPr>
                <w:rFonts w:ascii="Calibri" w:hAnsi="Calibri" w:cs="Calibri"/>
              </w:rPr>
              <w:t>5288</w:t>
            </w:r>
          </w:p>
        </w:tc>
        <w:tc>
          <w:tcPr>
            <w:tcW w:w="311" w:type="pct"/>
            <w:tcBorders>
              <w:top w:val="nil"/>
              <w:left w:val="nil"/>
              <w:bottom w:val="single" w:sz="4" w:space="0" w:color="auto"/>
              <w:right w:val="nil"/>
            </w:tcBorders>
            <w:shd w:val="clear" w:color="auto" w:fill="auto"/>
            <w:noWrap/>
            <w:vAlign w:val="center"/>
            <w:hideMark/>
          </w:tcPr>
          <w:p w14:paraId="037B5DB1" w14:textId="77777777" w:rsidR="000D6168" w:rsidRPr="000A5942" w:rsidRDefault="000D6168" w:rsidP="00323FD6">
            <w:pPr>
              <w:rPr>
                <w:rFonts w:ascii="Calibri" w:hAnsi="Calibri" w:cs="Calibri"/>
              </w:rPr>
            </w:pPr>
            <w:r w:rsidRPr="000A5942">
              <w:rPr>
                <w:rFonts w:ascii="Calibri" w:hAnsi="Calibri" w:cs="Calibri"/>
              </w:rPr>
              <w:t>3140</w:t>
            </w:r>
          </w:p>
        </w:tc>
        <w:tc>
          <w:tcPr>
            <w:tcW w:w="280" w:type="pct"/>
            <w:tcBorders>
              <w:top w:val="nil"/>
              <w:left w:val="nil"/>
              <w:bottom w:val="single" w:sz="4" w:space="0" w:color="auto"/>
              <w:right w:val="nil"/>
            </w:tcBorders>
            <w:shd w:val="clear" w:color="auto" w:fill="auto"/>
            <w:noWrap/>
            <w:vAlign w:val="center"/>
            <w:hideMark/>
          </w:tcPr>
          <w:p w14:paraId="2EC5F97D" w14:textId="77777777" w:rsidR="000D6168" w:rsidRPr="000A5942" w:rsidRDefault="000D6168" w:rsidP="00323FD6">
            <w:pPr>
              <w:rPr>
                <w:rFonts w:ascii="Calibri" w:hAnsi="Calibri" w:cs="Calibri"/>
              </w:rPr>
            </w:pPr>
            <w:r w:rsidRPr="000A5942">
              <w:rPr>
                <w:rFonts w:ascii="Calibri" w:hAnsi="Calibri" w:cs="Calibri"/>
              </w:rPr>
              <w:t>40.4</w:t>
            </w:r>
          </w:p>
        </w:tc>
        <w:tc>
          <w:tcPr>
            <w:tcW w:w="1040" w:type="pct"/>
            <w:gridSpan w:val="3"/>
            <w:tcBorders>
              <w:top w:val="nil"/>
              <w:left w:val="nil"/>
              <w:bottom w:val="single" w:sz="4" w:space="0" w:color="auto"/>
              <w:right w:val="single" w:sz="4" w:space="0" w:color="auto"/>
            </w:tcBorders>
            <w:shd w:val="clear" w:color="auto" w:fill="auto"/>
            <w:noWrap/>
            <w:vAlign w:val="center"/>
            <w:hideMark/>
          </w:tcPr>
          <w:p w14:paraId="7C00EDFF" w14:textId="77777777" w:rsidR="000D6168" w:rsidRPr="000A5942" w:rsidRDefault="000D6168" w:rsidP="00323FD6">
            <w:pPr>
              <w:rPr>
                <w:rFonts w:ascii="Calibri" w:hAnsi="Calibri" w:cs="Calibri"/>
              </w:rPr>
            </w:pPr>
          </w:p>
        </w:tc>
      </w:tr>
      <w:tr w:rsidR="000D6168" w:rsidRPr="000A5942" w14:paraId="63E6B99B"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7744E86A" w14:textId="77777777" w:rsidR="000D6168" w:rsidRPr="000A5942" w:rsidRDefault="000D6168" w:rsidP="00323FD6">
            <w:pPr>
              <w:rPr>
                <w:rFonts w:ascii="Calibri" w:hAnsi="Calibri" w:cs="Calibri"/>
              </w:rPr>
            </w:pPr>
            <w:r w:rsidRPr="000A5942">
              <w:rPr>
                <w:rFonts w:ascii="Calibri" w:hAnsi="Calibri" w:cs="Calibri"/>
              </w:rPr>
              <w:lastRenderedPageBreak/>
              <w:t>2558309061</w:t>
            </w:r>
          </w:p>
        </w:tc>
        <w:tc>
          <w:tcPr>
            <w:tcW w:w="452" w:type="pct"/>
            <w:tcBorders>
              <w:top w:val="nil"/>
              <w:left w:val="nil"/>
              <w:bottom w:val="nil"/>
              <w:right w:val="nil"/>
            </w:tcBorders>
            <w:shd w:val="clear" w:color="auto" w:fill="auto"/>
            <w:noWrap/>
            <w:vAlign w:val="center"/>
            <w:hideMark/>
          </w:tcPr>
          <w:p w14:paraId="29953248" w14:textId="77777777" w:rsidR="000D6168" w:rsidRPr="000A5942" w:rsidRDefault="000D6168" w:rsidP="00323FD6">
            <w:pPr>
              <w:rPr>
                <w:rFonts w:ascii="Calibri" w:hAnsi="Calibri" w:cs="Calibri"/>
              </w:rPr>
            </w:pPr>
            <w:proofErr w:type="spellStart"/>
            <w:r w:rsidRPr="000A5942">
              <w:rPr>
                <w:rFonts w:ascii="Calibri" w:hAnsi="Calibri" w:cs="Calibri"/>
              </w:rPr>
              <w:t>Phaeobacter</w:t>
            </w:r>
            <w:proofErr w:type="spellEnd"/>
            <w:r w:rsidRPr="000A5942">
              <w:rPr>
                <w:rFonts w:ascii="Calibri" w:hAnsi="Calibri" w:cs="Calibri"/>
              </w:rPr>
              <w:t xml:space="preserve"> </w:t>
            </w:r>
            <w:proofErr w:type="spellStart"/>
            <w:r w:rsidRPr="000A5942">
              <w:rPr>
                <w:rFonts w:ascii="Calibri" w:hAnsi="Calibri" w:cs="Calibri"/>
              </w:rPr>
              <w:t>gallaeciensis</w:t>
            </w:r>
            <w:proofErr w:type="spellEnd"/>
            <w:r w:rsidRPr="000A5942">
              <w:rPr>
                <w:rFonts w:ascii="Calibri" w:hAnsi="Calibri" w:cs="Calibri"/>
              </w:rPr>
              <w:t xml:space="preserve"> DSM 26640</w:t>
            </w:r>
          </w:p>
        </w:tc>
        <w:tc>
          <w:tcPr>
            <w:tcW w:w="347" w:type="pct"/>
            <w:tcBorders>
              <w:top w:val="nil"/>
              <w:left w:val="nil"/>
              <w:bottom w:val="nil"/>
              <w:right w:val="nil"/>
            </w:tcBorders>
            <w:shd w:val="clear" w:color="auto" w:fill="auto"/>
            <w:noWrap/>
            <w:vAlign w:val="center"/>
            <w:hideMark/>
          </w:tcPr>
          <w:p w14:paraId="5BB6ACBA" w14:textId="77777777" w:rsidR="000D6168" w:rsidRPr="000A5942" w:rsidRDefault="000D6168" w:rsidP="00323FD6">
            <w:pPr>
              <w:rPr>
                <w:rFonts w:ascii="Calibri" w:hAnsi="Calibri" w:cs="Calibri"/>
              </w:rPr>
            </w:pPr>
            <w:r w:rsidRPr="000A5942">
              <w:rPr>
                <w:rFonts w:ascii="Calibri" w:hAnsi="Calibri" w:cs="Calibri"/>
              </w:rPr>
              <w:t>CP006966</w:t>
            </w:r>
          </w:p>
        </w:tc>
        <w:tc>
          <w:tcPr>
            <w:tcW w:w="313" w:type="pct"/>
            <w:tcBorders>
              <w:top w:val="nil"/>
              <w:left w:val="nil"/>
              <w:bottom w:val="nil"/>
              <w:right w:val="nil"/>
            </w:tcBorders>
            <w:shd w:val="clear" w:color="auto" w:fill="auto"/>
            <w:noWrap/>
            <w:vAlign w:val="center"/>
            <w:hideMark/>
          </w:tcPr>
          <w:p w14:paraId="0A0D3ABC"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3892E5A3" w14:textId="77777777" w:rsidR="000D6168" w:rsidRPr="000A5942" w:rsidRDefault="000D6168" w:rsidP="00323FD6">
            <w:pPr>
              <w:rPr>
                <w:rFonts w:ascii="Calibri" w:hAnsi="Calibri" w:cs="Calibri"/>
              </w:rPr>
            </w:pPr>
            <w:r w:rsidRPr="000A5942">
              <w:rPr>
                <w:rFonts w:ascii="Calibri" w:hAnsi="Calibri" w:cs="Calibri"/>
              </w:rPr>
              <w:t>N-acyl-L-homoserine lactone synthetase</w:t>
            </w:r>
          </w:p>
        </w:tc>
        <w:tc>
          <w:tcPr>
            <w:tcW w:w="625" w:type="pct"/>
            <w:tcBorders>
              <w:top w:val="nil"/>
              <w:left w:val="nil"/>
              <w:bottom w:val="nil"/>
              <w:right w:val="nil"/>
            </w:tcBorders>
            <w:shd w:val="clear" w:color="auto" w:fill="auto"/>
            <w:noWrap/>
            <w:vAlign w:val="center"/>
            <w:hideMark/>
          </w:tcPr>
          <w:p w14:paraId="76805F8D" w14:textId="77777777" w:rsidR="000D6168" w:rsidRPr="000A5942" w:rsidRDefault="000D6168" w:rsidP="00323FD6">
            <w:pPr>
              <w:rPr>
                <w:rFonts w:ascii="Calibri" w:hAnsi="Calibri" w:cs="Calibri"/>
              </w:rPr>
            </w:pPr>
            <w:r w:rsidRPr="000A5942">
              <w:rPr>
                <w:rFonts w:ascii="Calibri" w:hAnsi="Calibri" w:cs="Calibri"/>
              </w:rPr>
              <w:t xml:space="preserve">regulatory protein, </w:t>
            </w:r>
            <w:proofErr w:type="spellStart"/>
            <w:r w:rsidRPr="000A5942">
              <w:rPr>
                <w:rFonts w:ascii="Calibri" w:hAnsi="Calibri" w:cs="Calibri"/>
              </w:rPr>
              <w:t>luxR</w:t>
            </w:r>
            <w:proofErr w:type="spellEnd"/>
            <w:r w:rsidRPr="000A5942">
              <w:rPr>
                <w:rFonts w:ascii="Calibri" w:hAnsi="Calibri" w:cs="Calibri"/>
              </w:rPr>
              <w:t xml:space="preserve"> family</w:t>
            </w:r>
          </w:p>
        </w:tc>
        <w:tc>
          <w:tcPr>
            <w:tcW w:w="453" w:type="pct"/>
            <w:tcBorders>
              <w:top w:val="nil"/>
              <w:left w:val="nil"/>
              <w:bottom w:val="nil"/>
              <w:right w:val="nil"/>
            </w:tcBorders>
            <w:shd w:val="clear" w:color="auto" w:fill="auto"/>
            <w:noWrap/>
            <w:vAlign w:val="center"/>
            <w:hideMark/>
          </w:tcPr>
          <w:p w14:paraId="35DE8D0C" w14:textId="77777777" w:rsidR="000D6168" w:rsidRPr="000A5942" w:rsidRDefault="000D6168" w:rsidP="00323FD6">
            <w:pPr>
              <w:rPr>
                <w:rFonts w:ascii="Calibri" w:hAnsi="Calibri" w:cs="Calibri"/>
              </w:rPr>
            </w:pPr>
            <w:r w:rsidRPr="000A5942">
              <w:rPr>
                <w:rFonts w:ascii="Calibri" w:hAnsi="Calibri" w:cs="Calibri"/>
              </w:rPr>
              <w:t>2</w:t>
            </w:r>
          </w:p>
        </w:tc>
        <w:tc>
          <w:tcPr>
            <w:tcW w:w="311" w:type="pct"/>
            <w:tcBorders>
              <w:top w:val="nil"/>
              <w:left w:val="nil"/>
              <w:bottom w:val="nil"/>
              <w:right w:val="nil"/>
            </w:tcBorders>
            <w:shd w:val="clear" w:color="auto" w:fill="auto"/>
            <w:noWrap/>
            <w:vAlign w:val="center"/>
            <w:hideMark/>
          </w:tcPr>
          <w:p w14:paraId="35D5E3B2" w14:textId="77777777" w:rsidR="000D6168" w:rsidRPr="000A5942" w:rsidRDefault="000D6168" w:rsidP="00323FD6">
            <w:pPr>
              <w:rPr>
                <w:rFonts w:ascii="Calibri" w:hAnsi="Calibri" w:cs="Calibri"/>
              </w:rPr>
            </w:pPr>
            <w:r w:rsidRPr="000A5942">
              <w:rPr>
                <w:rFonts w:ascii="Calibri" w:hAnsi="Calibri" w:cs="Calibri"/>
              </w:rPr>
              <w:t>57</w:t>
            </w:r>
          </w:p>
        </w:tc>
        <w:tc>
          <w:tcPr>
            <w:tcW w:w="280" w:type="pct"/>
            <w:tcBorders>
              <w:top w:val="nil"/>
              <w:left w:val="nil"/>
              <w:bottom w:val="nil"/>
              <w:right w:val="nil"/>
            </w:tcBorders>
            <w:shd w:val="clear" w:color="auto" w:fill="auto"/>
            <w:noWrap/>
            <w:vAlign w:val="center"/>
            <w:hideMark/>
          </w:tcPr>
          <w:p w14:paraId="698CF170" w14:textId="77777777" w:rsidR="000D6168" w:rsidRPr="000A5942" w:rsidRDefault="000D6168" w:rsidP="00323FD6">
            <w:pPr>
              <w:rPr>
                <w:rFonts w:ascii="Calibri" w:hAnsi="Calibri" w:cs="Calibri"/>
              </w:rPr>
            </w:pPr>
            <w:r w:rsidRPr="000A5942">
              <w:rPr>
                <w:rFonts w:ascii="Calibri" w:hAnsi="Calibri" w:cs="Calibri"/>
              </w:rPr>
              <w:t>41.5</w:t>
            </w:r>
          </w:p>
        </w:tc>
        <w:tc>
          <w:tcPr>
            <w:tcW w:w="347" w:type="pct"/>
            <w:tcBorders>
              <w:top w:val="nil"/>
              <w:left w:val="nil"/>
              <w:bottom w:val="nil"/>
              <w:right w:val="nil"/>
            </w:tcBorders>
            <w:shd w:val="clear" w:color="auto" w:fill="auto"/>
            <w:noWrap/>
            <w:vAlign w:val="center"/>
            <w:hideMark/>
          </w:tcPr>
          <w:p w14:paraId="5F17445B" w14:textId="77777777" w:rsidR="000D6168" w:rsidRPr="000A5942" w:rsidRDefault="000D6168" w:rsidP="00323FD6">
            <w:pPr>
              <w:rPr>
                <w:rFonts w:ascii="Calibri" w:hAnsi="Calibri" w:cs="Calibri"/>
              </w:rPr>
            </w:pPr>
            <w:r w:rsidRPr="000A5942">
              <w:rPr>
                <w:rFonts w:ascii="Calibri" w:hAnsi="Calibri" w:cs="Calibri"/>
              </w:rPr>
              <w:t>2</w:t>
            </w:r>
          </w:p>
        </w:tc>
        <w:tc>
          <w:tcPr>
            <w:tcW w:w="313" w:type="pct"/>
            <w:tcBorders>
              <w:top w:val="nil"/>
              <w:left w:val="nil"/>
              <w:bottom w:val="nil"/>
              <w:right w:val="nil"/>
            </w:tcBorders>
            <w:shd w:val="clear" w:color="auto" w:fill="auto"/>
            <w:noWrap/>
            <w:vAlign w:val="center"/>
            <w:hideMark/>
          </w:tcPr>
          <w:p w14:paraId="1AA63BC4" w14:textId="77777777" w:rsidR="000D6168" w:rsidRPr="000A5942" w:rsidRDefault="000D6168" w:rsidP="00323FD6">
            <w:pPr>
              <w:rPr>
                <w:rFonts w:ascii="Calibri" w:hAnsi="Calibri" w:cs="Calibri"/>
              </w:rPr>
            </w:pPr>
            <w:r w:rsidRPr="000A5942">
              <w:rPr>
                <w:rFonts w:ascii="Calibri" w:hAnsi="Calibri" w:cs="Calibri"/>
              </w:rPr>
              <w:t>4433</w:t>
            </w:r>
          </w:p>
        </w:tc>
        <w:tc>
          <w:tcPr>
            <w:tcW w:w="380" w:type="pct"/>
            <w:tcBorders>
              <w:top w:val="nil"/>
              <w:left w:val="nil"/>
              <w:bottom w:val="nil"/>
              <w:right w:val="single" w:sz="4" w:space="0" w:color="auto"/>
            </w:tcBorders>
            <w:shd w:val="clear" w:color="auto" w:fill="auto"/>
            <w:noWrap/>
            <w:vAlign w:val="center"/>
            <w:hideMark/>
          </w:tcPr>
          <w:p w14:paraId="764F8679" w14:textId="77777777" w:rsidR="000D6168" w:rsidRPr="000A5942" w:rsidRDefault="000D6168" w:rsidP="00323FD6">
            <w:pPr>
              <w:rPr>
                <w:rFonts w:ascii="Calibri" w:hAnsi="Calibri" w:cs="Calibri"/>
              </w:rPr>
            </w:pPr>
            <w:r w:rsidRPr="000A5942">
              <w:rPr>
                <w:rFonts w:ascii="Calibri" w:hAnsi="Calibri" w:cs="Calibri"/>
              </w:rPr>
              <w:t xml:space="preserve"> 0.0451%</w:t>
            </w:r>
          </w:p>
        </w:tc>
      </w:tr>
      <w:tr w:rsidR="000D6168" w:rsidRPr="000A5942" w14:paraId="059588C2" w14:textId="77777777" w:rsidTr="00323FD6">
        <w:trPr>
          <w:trHeight w:val="290"/>
          <w:jc w:val="center"/>
        </w:trPr>
        <w:tc>
          <w:tcPr>
            <w:tcW w:w="971" w:type="pct"/>
            <w:gridSpan w:val="2"/>
            <w:tcBorders>
              <w:top w:val="nil"/>
              <w:left w:val="single" w:sz="4" w:space="0" w:color="auto"/>
              <w:bottom w:val="single" w:sz="4" w:space="0" w:color="auto"/>
              <w:right w:val="nil"/>
            </w:tcBorders>
            <w:shd w:val="clear" w:color="auto" w:fill="auto"/>
            <w:noWrap/>
            <w:vAlign w:val="center"/>
            <w:hideMark/>
          </w:tcPr>
          <w:p w14:paraId="256B4DA5"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208E80B8" w14:textId="77777777" w:rsidR="000D6168" w:rsidRPr="000A5942" w:rsidRDefault="000D6168" w:rsidP="00323FD6">
            <w:pPr>
              <w:rPr>
                <w:rFonts w:ascii="Calibri" w:hAnsi="Calibri" w:cs="Calibri"/>
              </w:rPr>
            </w:pPr>
            <w:r w:rsidRPr="000A5942">
              <w:rPr>
                <w:rFonts w:ascii="Calibri" w:hAnsi="Calibri" w:cs="Calibri"/>
              </w:rPr>
              <w:t>CP006966</w:t>
            </w:r>
          </w:p>
        </w:tc>
        <w:tc>
          <w:tcPr>
            <w:tcW w:w="313" w:type="pct"/>
            <w:tcBorders>
              <w:top w:val="nil"/>
              <w:left w:val="nil"/>
              <w:bottom w:val="single" w:sz="4" w:space="0" w:color="auto"/>
              <w:right w:val="nil"/>
            </w:tcBorders>
            <w:shd w:val="clear" w:color="auto" w:fill="auto"/>
            <w:noWrap/>
            <w:vAlign w:val="center"/>
            <w:hideMark/>
          </w:tcPr>
          <w:p w14:paraId="15ECDB27"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3AA02582"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regulator, </w:t>
            </w:r>
            <w:proofErr w:type="spellStart"/>
            <w:r w:rsidRPr="000A5942">
              <w:rPr>
                <w:rFonts w:ascii="Calibri" w:hAnsi="Calibri" w:cs="Calibri"/>
              </w:rPr>
              <w:t>Lrp</w:t>
            </w:r>
            <w:proofErr w:type="spellEnd"/>
            <w:r w:rsidRPr="000A5942">
              <w:rPr>
                <w:rFonts w:ascii="Calibri" w:hAnsi="Calibri" w:cs="Calibri"/>
              </w:rPr>
              <w:t xml:space="preserve"> family</w:t>
            </w:r>
          </w:p>
        </w:tc>
        <w:tc>
          <w:tcPr>
            <w:tcW w:w="625" w:type="pct"/>
            <w:tcBorders>
              <w:top w:val="nil"/>
              <w:left w:val="nil"/>
              <w:bottom w:val="single" w:sz="4" w:space="0" w:color="auto"/>
              <w:right w:val="nil"/>
            </w:tcBorders>
            <w:shd w:val="clear" w:color="auto" w:fill="auto"/>
            <w:noWrap/>
            <w:vAlign w:val="center"/>
            <w:hideMark/>
          </w:tcPr>
          <w:p w14:paraId="2CCBCADD" w14:textId="77777777" w:rsidR="000D6168" w:rsidRPr="000A5942" w:rsidRDefault="000D6168" w:rsidP="00323FD6">
            <w:pPr>
              <w:rPr>
                <w:rFonts w:ascii="Calibri" w:hAnsi="Calibri" w:cs="Calibri"/>
              </w:rPr>
            </w:pPr>
            <w:r w:rsidRPr="000A5942">
              <w:rPr>
                <w:rFonts w:ascii="Calibri" w:hAnsi="Calibri" w:cs="Calibri"/>
              </w:rPr>
              <w:t>polyphosphate kinase 2, PA0141 family</w:t>
            </w:r>
          </w:p>
        </w:tc>
        <w:tc>
          <w:tcPr>
            <w:tcW w:w="453" w:type="pct"/>
            <w:tcBorders>
              <w:top w:val="nil"/>
              <w:left w:val="nil"/>
              <w:bottom w:val="single" w:sz="4" w:space="0" w:color="auto"/>
              <w:right w:val="nil"/>
            </w:tcBorders>
            <w:shd w:val="clear" w:color="auto" w:fill="auto"/>
            <w:noWrap/>
            <w:vAlign w:val="center"/>
            <w:hideMark/>
          </w:tcPr>
          <w:p w14:paraId="21324393" w14:textId="77777777" w:rsidR="000D6168" w:rsidRPr="000A5942" w:rsidRDefault="000D6168" w:rsidP="00323FD6">
            <w:pPr>
              <w:rPr>
                <w:rFonts w:ascii="Calibri" w:hAnsi="Calibri" w:cs="Calibri"/>
              </w:rPr>
            </w:pPr>
            <w:r w:rsidRPr="000A5942">
              <w:rPr>
                <w:rFonts w:ascii="Calibri" w:hAnsi="Calibri" w:cs="Calibri"/>
              </w:rPr>
              <w:t>448</w:t>
            </w:r>
          </w:p>
        </w:tc>
        <w:tc>
          <w:tcPr>
            <w:tcW w:w="311" w:type="pct"/>
            <w:tcBorders>
              <w:top w:val="nil"/>
              <w:left w:val="nil"/>
              <w:bottom w:val="single" w:sz="4" w:space="0" w:color="auto"/>
              <w:right w:val="nil"/>
            </w:tcBorders>
            <w:shd w:val="clear" w:color="auto" w:fill="auto"/>
            <w:noWrap/>
            <w:vAlign w:val="center"/>
            <w:hideMark/>
          </w:tcPr>
          <w:p w14:paraId="2057163A" w14:textId="77777777" w:rsidR="000D6168" w:rsidRPr="000A5942" w:rsidRDefault="000D6168" w:rsidP="00323FD6">
            <w:pPr>
              <w:rPr>
                <w:rFonts w:ascii="Calibri" w:hAnsi="Calibri" w:cs="Calibri"/>
              </w:rPr>
            </w:pPr>
            <w:r w:rsidRPr="000A5942">
              <w:rPr>
                <w:rFonts w:ascii="Calibri" w:hAnsi="Calibri" w:cs="Calibri"/>
              </w:rPr>
              <w:t>1421</w:t>
            </w:r>
          </w:p>
        </w:tc>
        <w:tc>
          <w:tcPr>
            <w:tcW w:w="280" w:type="pct"/>
            <w:tcBorders>
              <w:top w:val="nil"/>
              <w:left w:val="nil"/>
              <w:bottom w:val="single" w:sz="4" w:space="0" w:color="auto"/>
              <w:right w:val="nil"/>
            </w:tcBorders>
            <w:shd w:val="clear" w:color="auto" w:fill="auto"/>
            <w:noWrap/>
            <w:vAlign w:val="center"/>
            <w:hideMark/>
          </w:tcPr>
          <w:p w14:paraId="47FC6EE9" w14:textId="77777777" w:rsidR="000D6168" w:rsidRPr="000A5942" w:rsidRDefault="000D6168" w:rsidP="00323FD6">
            <w:pPr>
              <w:rPr>
                <w:rFonts w:ascii="Calibri" w:hAnsi="Calibri" w:cs="Calibri"/>
              </w:rPr>
            </w:pPr>
            <w:r w:rsidRPr="000A5942">
              <w:rPr>
                <w:rFonts w:ascii="Calibri" w:hAnsi="Calibri" w:cs="Calibri"/>
              </w:rPr>
              <w:t>15.4</w:t>
            </w:r>
          </w:p>
        </w:tc>
        <w:tc>
          <w:tcPr>
            <w:tcW w:w="1040" w:type="pct"/>
            <w:gridSpan w:val="3"/>
            <w:tcBorders>
              <w:top w:val="nil"/>
              <w:left w:val="nil"/>
              <w:bottom w:val="single" w:sz="4" w:space="0" w:color="auto"/>
              <w:right w:val="single" w:sz="4" w:space="0" w:color="auto"/>
            </w:tcBorders>
            <w:shd w:val="clear" w:color="auto" w:fill="auto"/>
            <w:noWrap/>
            <w:vAlign w:val="center"/>
            <w:hideMark/>
          </w:tcPr>
          <w:p w14:paraId="3A37B131" w14:textId="77777777" w:rsidR="000D6168" w:rsidRPr="000A5942" w:rsidRDefault="000D6168" w:rsidP="00323FD6">
            <w:pPr>
              <w:rPr>
                <w:rFonts w:ascii="Calibri" w:hAnsi="Calibri" w:cs="Calibri"/>
              </w:rPr>
            </w:pPr>
          </w:p>
        </w:tc>
      </w:tr>
      <w:tr w:rsidR="000D6168" w:rsidRPr="000A5942" w14:paraId="3F2B4F11"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54AC39CA" w14:textId="77777777" w:rsidR="000D6168" w:rsidRPr="000A5942" w:rsidRDefault="000D6168" w:rsidP="00323FD6">
            <w:pPr>
              <w:rPr>
                <w:rFonts w:ascii="Calibri" w:hAnsi="Calibri" w:cs="Calibri"/>
              </w:rPr>
            </w:pPr>
            <w:r w:rsidRPr="000A5942">
              <w:rPr>
                <w:rFonts w:ascii="Calibri" w:hAnsi="Calibri" w:cs="Calibri"/>
              </w:rPr>
              <w:t>2510065028</w:t>
            </w:r>
          </w:p>
        </w:tc>
        <w:tc>
          <w:tcPr>
            <w:tcW w:w="452" w:type="pct"/>
            <w:tcBorders>
              <w:top w:val="nil"/>
              <w:left w:val="nil"/>
              <w:bottom w:val="nil"/>
              <w:right w:val="nil"/>
            </w:tcBorders>
            <w:shd w:val="clear" w:color="auto" w:fill="auto"/>
            <w:noWrap/>
            <w:vAlign w:val="center"/>
            <w:hideMark/>
          </w:tcPr>
          <w:p w14:paraId="6E31E6E0" w14:textId="77777777" w:rsidR="000D6168" w:rsidRPr="000A5942" w:rsidRDefault="000D6168" w:rsidP="00323FD6">
            <w:pPr>
              <w:rPr>
                <w:rFonts w:ascii="Calibri" w:hAnsi="Calibri" w:cs="Calibri"/>
              </w:rPr>
            </w:pPr>
            <w:proofErr w:type="spellStart"/>
            <w:r w:rsidRPr="000A5942">
              <w:rPr>
                <w:rFonts w:ascii="Calibri" w:hAnsi="Calibri" w:cs="Calibri"/>
              </w:rPr>
              <w:t>Phaeobacter</w:t>
            </w:r>
            <w:proofErr w:type="spellEnd"/>
            <w:r w:rsidRPr="000A5942">
              <w:rPr>
                <w:rFonts w:ascii="Calibri" w:hAnsi="Calibri" w:cs="Calibri"/>
              </w:rPr>
              <w:t xml:space="preserve"> </w:t>
            </w:r>
            <w:proofErr w:type="spellStart"/>
            <w:r w:rsidRPr="000A5942">
              <w:rPr>
                <w:rFonts w:ascii="Calibri" w:hAnsi="Calibri" w:cs="Calibri"/>
              </w:rPr>
              <w:t>inhibens</w:t>
            </w:r>
            <w:proofErr w:type="spellEnd"/>
            <w:r w:rsidRPr="000A5942">
              <w:rPr>
                <w:rFonts w:ascii="Calibri" w:hAnsi="Calibri" w:cs="Calibri"/>
              </w:rPr>
              <w:t xml:space="preserve"> 2.10</w:t>
            </w:r>
          </w:p>
        </w:tc>
        <w:tc>
          <w:tcPr>
            <w:tcW w:w="347" w:type="pct"/>
            <w:tcBorders>
              <w:top w:val="nil"/>
              <w:left w:val="nil"/>
              <w:bottom w:val="nil"/>
              <w:right w:val="nil"/>
            </w:tcBorders>
            <w:shd w:val="clear" w:color="auto" w:fill="auto"/>
            <w:noWrap/>
            <w:vAlign w:val="center"/>
            <w:hideMark/>
          </w:tcPr>
          <w:p w14:paraId="0B73202E" w14:textId="77777777" w:rsidR="000D6168" w:rsidRPr="000A5942" w:rsidRDefault="000D6168" w:rsidP="00323FD6">
            <w:pPr>
              <w:rPr>
                <w:rFonts w:ascii="Calibri" w:hAnsi="Calibri" w:cs="Calibri"/>
              </w:rPr>
            </w:pPr>
            <w:r w:rsidRPr="000A5942">
              <w:rPr>
                <w:rFonts w:ascii="Calibri" w:hAnsi="Calibri" w:cs="Calibri"/>
              </w:rPr>
              <w:t>PGA2_c</w:t>
            </w:r>
          </w:p>
        </w:tc>
        <w:tc>
          <w:tcPr>
            <w:tcW w:w="313" w:type="pct"/>
            <w:tcBorders>
              <w:top w:val="nil"/>
              <w:left w:val="nil"/>
              <w:bottom w:val="nil"/>
              <w:right w:val="nil"/>
            </w:tcBorders>
            <w:shd w:val="clear" w:color="auto" w:fill="auto"/>
            <w:noWrap/>
            <w:vAlign w:val="center"/>
            <w:hideMark/>
          </w:tcPr>
          <w:p w14:paraId="5AA6417A"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372ACB13" w14:textId="77777777" w:rsidR="000D6168" w:rsidRPr="000A5942" w:rsidRDefault="000D6168" w:rsidP="00323FD6">
            <w:pPr>
              <w:rPr>
                <w:rFonts w:ascii="Calibri" w:hAnsi="Calibri" w:cs="Calibri"/>
              </w:rPr>
            </w:pPr>
            <w:r w:rsidRPr="000A5942">
              <w:rPr>
                <w:rFonts w:ascii="Calibri" w:hAnsi="Calibri" w:cs="Calibri"/>
              </w:rPr>
              <w:t xml:space="preserve">regulatory protein, </w:t>
            </w:r>
            <w:proofErr w:type="spellStart"/>
            <w:r w:rsidRPr="000A5942">
              <w:rPr>
                <w:rFonts w:ascii="Calibri" w:hAnsi="Calibri" w:cs="Calibri"/>
              </w:rPr>
              <w:t>luxR</w:t>
            </w:r>
            <w:proofErr w:type="spellEnd"/>
            <w:r w:rsidRPr="000A5942">
              <w:rPr>
                <w:rFonts w:ascii="Calibri" w:hAnsi="Calibri" w:cs="Calibri"/>
              </w:rPr>
              <w:t xml:space="preserve"> family</w:t>
            </w:r>
          </w:p>
        </w:tc>
        <w:tc>
          <w:tcPr>
            <w:tcW w:w="625" w:type="pct"/>
            <w:tcBorders>
              <w:top w:val="nil"/>
              <w:left w:val="nil"/>
              <w:bottom w:val="nil"/>
              <w:right w:val="nil"/>
            </w:tcBorders>
            <w:shd w:val="clear" w:color="auto" w:fill="auto"/>
            <w:noWrap/>
            <w:vAlign w:val="center"/>
            <w:hideMark/>
          </w:tcPr>
          <w:p w14:paraId="7FBD6500" w14:textId="77777777" w:rsidR="000D6168" w:rsidRPr="000A5942" w:rsidRDefault="000D6168" w:rsidP="00323FD6">
            <w:pPr>
              <w:rPr>
                <w:rFonts w:ascii="Calibri" w:hAnsi="Calibri" w:cs="Calibri"/>
              </w:rPr>
            </w:pPr>
            <w:r w:rsidRPr="000A5942">
              <w:rPr>
                <w:rFonts w:ascii="Calibri" w:hAnsi="Calibri" w:cs="Calibri"/>
              </w:rPr>
              <w:t>N-acyl-L-homoserine lactone synthetase</w:t>
            </w:r>
          </w:p>
        </w:tc>
        <w:tc>
          <w:tcPr>
            <w:tcW w:w="453" w:type="pct"/>
            <w:tcBorders>
              <w:top w:val="nil"/>
              <w:left w:val="nil"/>
              <w:bottom w:val="nil"/>
              <w:right w:val="nil"/>
            </w:tcBorders>
            <w:shd w:val="clear" w:color="auto" w:fill="auto"/>
            <w:noWrap/>
            <w:vAlign w:val="center"/>
            <w:hideMark/>
          </w:tcPr>
          <w:p w14:paraId="1FD8ADAF" w14:textId="77777777" w:rsidR="000D6168" w:rsidRPr="000A5942" w:rsidRDefault="000D6168" w:rsidP="00323FD6">
            <w:pPr>
              <w:rPr>
                <w:rFonts w:ascii="Calibri" w:hAnsi="Calibri" w:cs="Calibri"/>
              </w:rPr>
            </w:pPr>
            <w:r w:rsidRPr="000A5942">
              <w:rPr>
                <w:rFonts w:ascii="Calibri" w:hAnsi="Calibri" w:cs="Calibri"/>
              </w:rPr>
              <w:t>57</w:t>
            </w:r>
          </w:p>
        </w:tc>
        <w:tc>
          <w:tcPr>
            <w:tcW w:w="311" w:type="pct"/>
            <w:tcBorders>
              <w:top w:val="nil"/>
              <w:left w:val="nil"/>
              <w:bottom w:val="nil"/>
              <w:right w:val="nil"/>
            </w:tcBorders>
            <w:shd w:val="clear" w:color="auto" w:fill="auto"/>
            <w:noWrap/>
            <w:vAlign w:val="center"/>
            <w:hideMark/>
          </w:tcPr>
          <w:p w14:paraId="568BCFA4" w14:textId="77777777" w:rsidR="000D6168" w:rsidRPr="000A5942" w:rsidRDefault="000D6168" w:rsidP="00323FD6">
            <w:pPr>
              <w:rPr>
                <w:rFonts w:ascii="Calibri" w:hAnsi="Calibri" w:cs="Calibri"/>
              </w:rPr>
            </w:pPr>
            <w:r w:rsidRPr="000A5942">
              <w:rPr>
                <w:rFonts w:ascii="Calibri" w:hAnsi="Calibri" w:cs="Calibri"/>
              </w:rPr>
              <w:t>2</w:t>
            </w:r>
          </w:p>
        </w:tc>
        <w:tc>
          <w:tcPr>
            <w:tcW w:w="280" w:type="pct"/>
            <w:tcBorders>
              <w:top w:val="nil"/>
              <w:left w:val="nil"/>
              <w:bottom w:val="nil"/>
              <w:right w:val="nil"/>
            </w:tcBorders>
            <w:shd w:val="clear" w:color="auto" w:fill="auto"/>
            <w:noWrap/>
            <w:vAlign w:val="center"/>
            <w:hideMark/>
          </w:tcPr>
          <w:p w14:paraId="4CA9A1D7" w14:textId="77777777" w:rsidR="000D6168" w:rsidRPr="000A5942" w:rsidRDefault="000D6168" w:rsidP="00323FD6">
            <w:pPr>
              <w:rPr>
                <w:rFonts w:ascii="Calibri" w:hAnsi="Calibri" w:cs="Calibri"/>
              </w:rPr>
            </w:pPr>
            <w:r w:rsidRPr="000A5942">
              <w:rPr>
                <w:rFonts w:ascii="Calibri" w:hAnsi="Calibri" w:cs="Calibri"/>
              </w:rPr>
              <w:t>41.5</w:t>
            </w:r>
          </w:p>
        </w:tc>
        <w:tc>
          <w:tcPr>
            <w:tcW w:w="347" w:type="pct"/>
            <w:tcBorders>
              <w:top w:val="nil"/>
              <w:left w:val="nil"/>
              <w:bottom w:val="nil"/>
              <w:right w:val="nil"/>
            </w:tcBorders>
            <w:shd w:val="clear" w:color="auto" w:fill="auto"/>
            <w:noWrap/>
            <w:vAlign w:val="center"/>
            <w:hideMark/>
          </w:tcPr>
          <w:p w14:paraId="22B29816" w14:textId="77777777" w:rsidR="000D6168" w:rsidRPr="000A5942" w:rsidRDefault="000D6168" w:rsidP="00323FD6">
            <w:pPr>
              <w:rPr>
                <w:rFonts w:ascii="Calibri" w:hAnsi="Calibri" w:cs="Calibri"/>
              </w:rPr>
            </w:pPr>
            <w:r w:rsidRPr="000A5942">
              <w:rPr>
                <w:rFonts w:ascii="Calibri" w:hAnsi="Calibri" w:cs="Calibri"/>
              </w:rPr>
              <w:t>2</w:t>
            </w:r>
          </w:p>
        </w:tc>
        <w:tc>
          <w:tcPr>
            <w:tcW w:w="313" w:type="pct"/>
            <w:tcBorders>
              <w:top w:val="nil"/>
              <w:left w:val="nil"/>
              <w:bottom w:val="nil"/>
              <w:right w:val="nil"/>
            </w:tcBorders>
            <w:shd w:val="clear" w:color="auto" w:fill="auto"/>
            <w:noWrap/>
            <w:vAlign w:val="center"/>
            <w:hideMark/>
          </w:tcPr>
          <w:p w14:paraId="38815BCF" w14:textId="77777777" w:rsidR="000D6168" w:rsidRPr="000A5942" w:rsidRDefault="000D6168" w:rsidP="00323FD6">
            <w:pPr>
              <w:rPr>
                <w:rFonts w:ascii="Calibri" w:hAnsi="Calibri" w:cs="Calibri"/>
              </w:rPr>
            </w:pPr>
            <w:r w:rsidRPr="000A5942">
              <w:rPr>
                <w:rFonts w:ascii="Calibri" w:hAnsi="Calibri" w:cs="Calibri"/>
              </w:rPr>
              <w:t>3792</w:t>
            </w:r>
          </w:p>
        </w:tc>
        <w:tc>
          <w:tcPr>
            <w:tcW w:w="380" w:type="pct"/>
            <w:tcBorders>
              <w:top w:val="nil"/>
              <w:left w:val="nil"/>
              <w:bottom w:val="nil"/>
              <w:right w:val="single" w:sz="4" w:space="0" w:color="auto"/>
            </w:tcBorders>
            <w:shd w:val="clear" w:color="auto" w:fill="auto"/>
            <w:noWrap/>
            <w:vAlign w:val="center"/>
            <w:hideMark/>
          </w:tcPr>
          <w:p w14:paraId="55ABE98B" w14:textId="77777777" w:rsidR="000D6168" w:rsidRPr="000A5942" w:rsidRDefault="000D6168" w:rsidP="00323FD6">
            <w:pPr>
              <w:rPr>
                <w:rFonts w:ascii="Calibri" w:hAnsi="Calibri" w:cs="Calibri"/>
              </w:rPr>
            </w:pPr>
            <w:r w:rsidRPr="000A5942">
              <w:rPr>
                <w:rFonts w:ascii="Calibri" w:hAnsi="Calibri" w:cs="Calibri"/>
              </w:rPr>
              <w:t xml:space="preserve"> 0.0527%</w:t>
            </w:r>
          </w:p>
        </w:tc>
      </w:tr>
      <w:tr w:rsidR="000D6168" w:rsidRPr="000A5942" w14:paraId="0E6AB3A7" w14:textId="77777777" w:rsidTr="00323FD6">
        <w:trPr>
          <w:trHeight w:val="290"/>
          <w:jc w:val="center"/>
        </w:trPr>
        <w:tc>
          <w:tcPr>
            <w:tcW w:w="971" w:type="pct"/>
            <w:gridSpan w:val="2"/>
            <w:tcBorders>
              <w:top w:val="nil"/>
              <w:left w:val="single" w:sz="4" w:space="0" w:color="auto"/>
              <w:bottom w:val="single" w:sz="4" w:space="0" w:color="auto"/>
              <w:right w:val="nil"/>
            </w:tcBorders>
            <w:shd w:val="clear" w:color="auto" w:fill="auto"/>
            <w:noWrap/>
            <w:vAlign w:val="center"/>
            <w:hideMark/>
          </w:tcPr>
          <w:p w14:paraId="7B850348"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38DBE5A1" w14:textId="77777777" w:rsidR="000D6168" w:rsidRPr="000A5942" w:rsidRDefault="000D6168" w:rsidP="00323FD6">
            <w:pPr>
              <w:rPr>
                <w:rFonts w:ascii="Calibri" w:hAnsi="Calibri" w:cs="Calibri"/>
              </w:rPr>
            </w:pPr>
            <w:r w:rsidRPr="000A5942">
              <w:rPr>
                <w:rFonts w:ascii="Calibri" w:hAnsi="Calibri" w:cs="Calibri"/>
              </w:rPr>
              <w:t>PGA2_c</w:t>
            </w:r>
          </w:p>
        </w:tc>
        <w:tc>
          <w:tcPr>
            <w:tcW w:w="313" w:type="pct"/>
            <w:tcBorders>
              <w:top w:val="nil"/>
              <w:left w:val="nil"/>
              <w:bottom w:val="single" w:sz="4" w:space="0" w:color="auto"/>
              <w:right w:val="nil"/>
            </w:tcBorders>
            <w:shd w:val="clear" w:color="auto" w:fill="auto"/>
            <w:noWrap/>
            <w:vAlign w:val="center"/>
            <w:hideMark/>
          </w:tcPr>
          <w:p w14:paraId="670530B8"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4D2AFDE0" w14:textId="77777777" w:rsidR="000D6168" w:rsidRPr="000A5942" w:rsidRDefault="000D6168" w:rsidP="00323FD6">
            <w:pPr>
              <w:rPr>
                <w:rFonts w:ascii="Calibri" w:hAnsi="Calibri" w:cs="Calibri"/>
              </w:rPr>
            </w:pPr>
            <w:r w:rsidRPr="000A5942">
              <w:rPr>
                <w:rFonts w:ascii="Calibri" w:hAnsi="Calibri" w:cs="Calibri"/>
              </w:rPr>
              <w:t>polyphosphate kinase 2, PA0141 family</w:t>
            </w:r>
          </w:p>
        </w:tc>
        <w:tc>
          <w:tcPr>
            <w:tcW w:w="625" w:type="pct"/>
            <w:tcBorders>
              <w:top w:val="nil"/>
              <w:left w:val="nil"/>
              <w:bottom w:val="single" w:sz="4" w:space="0" w:color="auto"/>
              <w:right w:val="nil"/>
            </w:tcBorders>
            <w:shd w:val="clear" w:color="auto" w:fill="auto"/>
            <w:noWrap/>
            <w:vAlign w:val="center"/>
            <w:hideMark/>
          </w:tcPr>
          <w:p w14:paraId="055A5DF5" w14:textId="77777777" w:rsidR="000D6168" w:rsidRPr="000A5942" w:rsidRDefault="000D6168" w:rsidP="00323FD6">
            <w:pPr>
              <w:rPr>
                <w:rFonts w:ascii="Calibri" w:hAnsi="Calibri" w:cs="Calibri"/>
              </w:rPr>
            </w:pPr>
            <w:r w:rsidRPr="000A5942">
              <w:rPr>
                <w:rFonts w:ascii="Calibri" w:hAnsi="Calibri" w:cs="Calibri"/>
              </w:rPr>
              <w:t xml:space="preserve">transcriptional regulator, </w:t>
            </w:r>
            <w:proofErr w:type="spellStart"/>
            <w:r w:rsidRPr="000A5942">
              <w:rPr>
                <w:rFonts w:ascii="Calibri" w:hAnsi="Calibri" w:cs="Calibri"/>
              </w:rPr>
              <w:t>AsnC</w:t>
            </w:r>
            <w:proofErr w:type="spellEnd"/>
            <w:r w:rsidRPr="000A5942">
              <w:rPr>
                <w:rFonts w:ascii="Calibri" w:hAnsi="Calibri" w:cs="Calibri"/>
              </w:rPr>
              <w:t xml:space="preserve"> family</w:t>
            </w:r>
          </w:p>
        </w:tc>
        <w:tc>
          <w:tcPr>
            <w:tcW w:w="453" w:type="pct"/>
            <w:tcBorders>
              <w:top w:val="nil"/>
              <w:left w:val="nil"/>
              <w:bottom w:val="single" w:sz="4" w:space="0" w:color="auto"/>
              <w:right w:val="nil"/>
            </w:tcBorders>
            <w:shd w:val="clear" w:color="auto" w:fill="auto"/>
            <w:noWrap/>
            <w:vAlign w:val="center"/>
            <w:hideMark/>
          </w:tcPr>
          <w:p w14:paraId="76D342D6" w14:textId="77777777" w:rsidR="000D6168" w:rsidRPr="000A5942" w:rsidRDefault="000D6168" w:rsidP="00323FD6">
            <w:pPr>
              <w:rPr>
                <w:rFonts w:ascii="Calibri" w:hAnsi="Calibri" w:cs="Calibri"/>
              </w:rPr>
            </w:pPr>
            <w:r w:rsidRPr="000A5942">
              <w:rPr>
                <w:rFonts w:ascii="Calibri" w:hAnsi="Calibri" w:cs="Calibri"/>
              </w:rPr>
              <w:t>1426</w:t>
            </w:r>
          </w:p>
        </w:tc>
        <w:tc>
          <w:tcPr>
            <w:tcW w:w="311" w:type="pct"/>
            <w:tcBorders>
              <w:top w:val="nil"/>
              <w:left w:val="nil"/>
              <w:bottom w:val="single" w:sz="4" w:space="0" w:color="auto"/>
              <w:right w:val="nil"/>
            </w:tcBorders>
            <w:shd w:val="clear" w:color="auto" w:fill="auto"/>
            <w:noWrap/>
            <w:vAlign w:val="center"/>
            <w:hideMark/>
          </w:tcPr>
          <w:p w14:paraId="21B80CD9" w14:textId="77777777" w:rsidR="000D6168" w:rsidRPr="000A5942" w:rsidRDefault="000D6168" w:rsidP="00323FD6">
            <w:pPr>
              <w:rPr>
                <w:rFonts w:ascii="Calibri" w:hAnsi="Calibri" w:cs="Calibri"/>
              </w:rPr>
            </w:pPr>
            <w:r w:rsidRPr="000A5942">
              <w:rPr>
                <w:rFonts w:ascii="Calibri" w:hAnsi="Calibri" w:cs="Calibri"/>
              </w:rPr>
              <w:t>449</w:t>
            </w:r>
          </w:p>
        </w:tc>
        <w:tc>
          <w:tcPr>
            <w:tcW w:w="280" w:type="pct"/>
            <w:tcBorders>
              <w:top w:val="nil"/>
              <w:left w:val="nil"/>
              <w:bottom w:val="single" w:sz="4" w:space="0" w:color="auto"/>
              <w:right w:val="nil"/>
            </w:tcBorders>
            <w:shd w:val="clear" w:color="auto" w:fill="auto"/>
            <w:noWrap/>
            <w:vAlign w:val="center"/>
            <w:hideMark/>
          </w:tcPr>
          <w:p w14:paraId="2CD1931C" w14:textId="77777777" w:rsidR="000D6168" w:rsidRPr="000A5942" w:rsidRDefault="000D6168" w:rsidP="00323FD6">
            <w:pPr>
              <w:rPr>
                <w:rFonts w:ascii="Calibri" w:hAnsi="Calibri" w:cs="Calibri"/>
              </w:rPr>
            </w:pPr>
            <w:r w:rsidRPr="000A5942">
              <w:rPr>
                <w:rFonts w:ascii="Calibri" w:hAnsi="Calibri" w:cs="Calibri"/>
              </w:rPr>
              <w:t>11.6</w:t>
            </w:r>
          </w:p>
        </w:tc>
        <w:tc>
          <w:tcPr>
            <w:tcW w:w="1040" w:type="pct"/>
            <w:gridSpan w:val="3"/>
            <w:tcBorders>
              <w:top w:val="nil"/>
              <w:left w:val="nil"/>
              <w:bottom w:val="single" w:sz="4" w:space="0" w:color="auto"/>
              <w:right w:val="single" w:sz="4" w:space="0" w:color="auto"/>
            </w:tcBorders>
            <w:shd w:val="clear" w:color="auto" w:fill="auto"/>
            <w:noWrap/>
            <w:vAlign w:val="center"/>
            <w:hideMark/>
          </w:tcPr>
          <w:p w14:paraId="7F056E70" w14:textId="77777777" w:rsidR="000D6168" w:rsidRPr="000A5942" w:rsidRDefault="000D6168" w:rsidP="00323FD6">
            <w:pPr>
              <w:rPr>
                <w:rFonts w:ascii="Calibri" w:hAnsi="Calibri" w:cs="Calibri"/>
              </w:rPr>
            </w:pPr>
          </w:p>
        </w:tc>
      </w:tr>
      <w:tr w:rsidR="000D6168" w:rsidRPr="000A5942" w14:paraId="64D4D714"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2E7AD5FA" w14:textId="77777777" w:rsidR="000D6168" w:rsidRPr="000A5942" w:rsidRDefault="000D6168" w:rsidP="00323FD6">
            <w:pPr>
              <w:rPr>
                <w:rFonts w:ascii="Calibri" w:hAnsi="Calibri" w:cs="Calibri"/>
              </w:rPr>
            </w:pPr>
            <w:r w:rsidRPr="000A5942">
              <w:rPr>
                <w:rFonts w:ascii="Calibri" w:hAnsi="Calibri" w:cs="Calibri"/>
              </w:rPr>
              <w:t>2724679070</w:t>
            </w:r>
          </w:p>
        </w:tc>
        <w:tc>
          <w:tcPr>
            <w:tcW w:w="452" w:type="pct"/>
            <w:tcBorders>
              <w:top w:val="nil"/>
              <w:left w:val="nil"/>
              <w:bottom w:val="nil"/>
              <w:right w:val="nil"/>
            </w:tcBorders>
            <w:shd w:val="clear" w:color="auto" w:fill="auto"/>
            <w:noWrap/>
            <w:vAlign w:val="center"/>
            <w:hideMark/>
          </w:tcPr>
          <w:p w14:paraId="396F9629" w14:textId="77777777" w:rsidR="000D6168" w:rsidRPr="000A5942" w:rsidRDefault="000D6168" w:rsidP="00323FD6">
            <w:pPr>
              <w:rPr>
                <w:rFonts w:ascii="Calibri" w:hAnsi="Calibri" w:cs="Calibri"/>
              </w:rPr>
            </w:pPr>
            <w:proofErr w:type="spellStart"/>
            <w:r w:rsidRPr="000A5942">
              <w:rPr>
                <w:rFonts w:ascii="Calibri" w:hAnsi="Calibri" w:cs="Calibri"/>
              </w:rPr>
              <w:t>Phaeobacter</w:t>
            </w:r>
            <w:proofErr w:type="spellEnd"/>
            <w:r w:rsidRPr="000A5942">
              <w:rPr>
                <w:rFonts w:ascii="Calibri" w:hAnsi="Calibri" w:cs="Calibri"/>
              </w:rPr>
              <w:t xml:space="preserve"> </w:t>
            </w:r>
            <w:proofErr w:type="spellStart"/>
            <w:r w:rsidRPr="000A5942">
              <w:rPr>
                <w:rFonts w:ascii="Calibri" w:hAnsi="Calibri" w:cs="Calibri"/>
              </w:rPr>
              <w:t>inhibens</w:t>
            </w:r>
            <w:proofErr w:type="spellEnd"/>
            <w:r w:rsidRPr="000A5942">
              <w:rPr>
                <w:rFonts w:ascii="Calibri" w:hAnsi="Calibri" w:cs="Calibri"/>
              </w:rPr>
              <w:t xml:space="preserve"> S4Sm</w:t>
            </w:r>
          </w:p>
        </w:tc>
        <w:tc>
          <w:tcPr>
            <w:tcW w:w="347" w:type="pct"/>
            <w:tcBorders>
              <w:top w:val="nil"/>
              <w:left w:val="nil"/>
              <w:bottom w:val="nil"/>
              <w:right w:val="nil"/>
            </w:tcBorders>
            <w:shd w:val="clear" w:color="auto" w:fill="auto"/>
            <w:noWrap/>
            <w:vAlign w:val="center"/>
            <w:hideMark/>
          </w:tcPr>
          <w:p w14:paraId="08E08188" w14:textId="77777777" w:rsidR="000D6168" w:rsidRPr="000A5942" w:rsidRDefault="000D6168" w:rsidP="00323FD6">
            <w:pPr>
              <w:rPr>
                <w:rFonts w:ascii="Calibri" w:hAnsi="Calibri" w:cs="Calibri"/>
              </w:rPr>
            </w:pPr>
            <w:r w:rsidRPr="000A5942">
              <w:rPr>
                <w:rFonts w:ascii="Calibri" w:hAnsi="Calibri" w:cs="Calibri"/>
              </w:rPr>
              <w:t>Ga0126028_177</w:t>
            </w:r>
          </w:p>
        </w:tc>
        <w:tc>
          <w:tcPr>
            <w:tcW w:w="313" w:type="pct"/>
            <w:tcBorders>
              <w:top w:val="nil"/>
              <w:left w:val="nil"/>
              <w:bottom w:val="nil"/>
              <w:right w:val="nil"/>
            </w:tcBorders>
            <w:shd w:val="clear" w:color="auto" w:fill="auto"/>
            <w:noWrap/>
            <w:vAlign w:val="center"/>
            <w:hideMark/>
          </w:tcPr>
          <w:p w14:paraId="27D601B2"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580BC17C" w14:textId="77777777" w:rsidR="000D6168" w:rsidRPr="000A5942" w:rsidRDefault="000D6168" w:rsidP="00323FD6">
            <w:pPr>
              <w:rPr>
                <w:rFonts w:ascii="Calibri" w:hAnsi="Calibri" w:cs="Calibri"/>
              </w:rPr>
            </w:pPr>
            <w:r w:rsidRPr="000A5942">
              <w:rPr>
                <w:rFonts w:ascii="Calibri" w:hAnsi="Calibri" w:cs="Calibri"/>
              </w:rPr>
              <w:t>acyl homoserine lactone synthase</w:t>
            </w:r>
          </w:p>
        </w:tc>
        <w:tc>
          <w:tcPr>
            <w:tcW w:w="625" w:type="pct"/>
            <w:tcBorders>
              <w:top w:val="nil"/>
              <w:left w:val="nil"/>
              <w:bottom w:val="nil"/>
              <w:right w:val="nil"/>
            </w:tcBorders>
            <w:shd w:val="clear" w:color="auto" w:fill="auto"/>
            <w:noWrap/>
            <w:vAlign w:val="center"/>
            <w:hideMark/>
          </w:tcPr>
          <w:p w14:paraId="560A983F" w14:textId="77777777" w:rsidR="000D6168" w:rsidRPr="000A5942" w:rsidRDefault="000D6168" w:rsidP="00323FD6">
            <w:pPr>
              <w:rPr>
                <w:rFonts w:ascii="Calibri" w:hAnsi="Calibri" w:cs="Calibri"/>
              </w:rPr>
            </w:pPr>
            <w:r w:rsidRPr="000A5942">
              <w:rPr>
                <w:rFonts w:ascii="Calibri" w:hAnsi="Calibri" w:cs="Calibri"/>
              </w:rPr>
              <w:t xml:space="preserve">regulatory protein, </w:t>
            </w:r>
            <w:proofErr w:type="spellStart"/>
            <w:r w:rsidRPr="000A5942">
              <w:rPr>
                <w:rFonts w:ascii="Calibri" w:hAnsi="Calibri" w:cs="Calibri"/>
              </w:rPr>
              <w:t>luxR</w:t>
            </w:r>
            <w:proofErr w:type="spellEnd"/>
            <w:r w:rsidRPr="000A5942">
              <w:rPr>
                <w:rFonts w:ascii="Calibri" w:hAnsi="Calibri" w:cs="Calibri"/>
              </w:rPr>
              <w:t xml:space="preserve"> family</w:t>
            </w:r>
          </w:p>
        </w:tc>
        <w:tc>
          <w:tcPr>
            <w:tcW w:w="453" w:type="pct"/>
            <w:tcBorders>
              <w:top w:val="nil"/>
              <w:left w:val="nil"/>
              <w:bottom w:val="nil"/>
              <w:right w:val="nil"/>
            </w:tcBorders>
            <w:shd w:val="clear" w:color="auto" w:fill="auto"/>
            <w:noWrap/>
            <w:vAlign w:val="center"/>
            <w:hideMark/>
          </w:tcPr>
          <w:p w14:paraId="6F7F9FCC" w14:textId="77777777" w:rsidR="000D6168" w:rsidRPr="000A5942" w:rsidRDefault="000D6168" w:rsidP="00323FD6">
            <w:pPr>
              <w:rPr>
                <w:rFonts w:ascii="Calibri" w:hAnsi="Calibri" w:cs="Calibri"/>
              </w:rPr>
            </w:pPr>
            <w:r w:rsidRPr="000A5942">
              <w:rPr>
                <w:rFonts w:ascii="Calibri" w:hAnsi="Calibri" w:cs="Calibri"/>
              </w:rPr>
              <w:t>2</w:t>
            </w:r>
          </w:p>
        </w:tc>
        <w:tc>
          <w:tcPr>
            <w:tcW w:w="311" w:type="pct"/>
            <w:tcBorders>
              <w:top w:val="nil"/>
              <w:left w:val="nil"/>
              <w:bottom w:val="nil"/>
              <w:right w:val="nil"/>
            </w:tcBorders>
            <w:shd w:val="clear" w:color="auto" w:fill="auto"/>
            <w:noWrap/>
            <w:vAlign w:val="center"/>
            <w:hideMark/>
          </w:tcPr>
          <w:p w14:paraId="0E223911" w14:textId="77777777" w:rsidR="000D6168" w:rsidRPr="000A5942" w:rsidRDefault="000D6168" w:rsidP="00323FD6">
            <w:pPr>
              <w:rPr>
                <w:rFonts w:ascii="Calibri" w:hAnsi="Calibri" w:cs="Calibri"/>
              </w:rPr>
            </w:pPr>
            <w:r w:rsidRPr="000A5942">
              <w:rPr>
                <w:rFonts w:ascii="Calibri" w:hAnsi="Calibri" w:cs="Calibri"/>
              </w:rPr>
              <w:t>57</w:t>
            </w:r>
          </w:p>
        </w:tc>
        <w:tc>
          <w:tcPr>
            <w:tcW w:w="280" w:type="pct"/>
            <w:tcBorders>
              <w:top w:val="nil"/>
              <w:left w:val="nil"/>
              <w:bottom w:val="nil"/>
              <w:right w:val="nil"/>
            </w:tcBorders>
            <w:shd w:val="clear" w:color="auto" w:fill="auto"/>
            <w:noWrap/>
            <w:vAlign w:val="center"/>
            <w:hideMark/>
          </w:tcPr>
          <w:p w14:paraId="51F400A4" w14:textId="77777777" w:rsidR="000D6168" w:rsidRPr="000A5942" w:rsidRDefault="000D6168" w:rsidP="00323FD6">
            <w:pPr>
              <w:rPr>
                <w:rFonts w:ascii="Calibri" w:hAnsi="Calibri" w:cs="Calibri"/>
              </w:rPr>
            </w:pPr>
            <w:r w:rsidRPr="000A5942">
              <w:rPr>
                <w:rFonts w:ascii="Calibri" w:hAnsi="Calibri" w:cs="Calibri"/>
              </w:rPr>
              <w:t>41.5</w:t>
            </w:r>
          </w:p>
        </w:tc>
        <w:tc>
          <w:tcPr>
            <w:tcW w:w="347" w:type="pct"/>
            <w:tcBorders>
              <w:top w:val="nil"/>
              <w:left w:val="nil"/>
              <w:bottom w:val="nil"/>
              <w:right w:val="nil"/>
            </w:tcBorders>
            <w:shd w:val="clear" w:color="auto" w:fill="auto"/>
            <w:noWrap/>
            <w:vAlign w:val="center"/>
            <w:hideMark/>
          </w:tcPr>
          <w:p w14:paraId="18C967A6" w14:textId="77777777" w:rsidR="000D6168" w:rsidRPr="000A5942" w:rsidRDefault="000D6168" w:rsidP="00323FD6">
            <w:pPr>
              <w:rPr>
                <w:rFonts w:ascii="Calibri" w:hAnsi="Calibri" w:cs="Calibri"/>
              </w:rPr>
            </w:pPr>
            <w:r w:rsidRPr="000A5942">
              <w:rPr>
                <w:rFonts w:ascii="Calibri" w:hAnsi="Calibri" w:cs="Calibri"/>
              </w:rPr>
              <w:t>3</w:t>
            </w:r>
          </w:p>
        </w:tc>
        <w:tc>
          <w:tcPr>
            <w:tcW w:w="313" w:type="pct"/>
            <w:tcBorders>
              <w:top w:val="nil"/>
              <w:left w:val="nil"/>
              <w:bottom w:val="nil"/>
              <w:right w:val="nil"/>
            </w:tcBorders>
            <w:shd w:val="clear" w:color="auto" w:fill="auto"/>
            <w:noWrap/>
            <w:vAlign w:val="center"/>
            <w:hideMark/>
          </w:tcPr>
          <w:p w14:paraId="019A1D81" w14:textId="77777777" w:rsidR="000D6168" w:rsidRPr="000A5942" w:rsidRDefault="000D6168" w:rsidP="00323FD6">
            <w:pPr>
              <w:rPr>
                <w:rFonts w:ascii="Calibri" w:hAnsi="Calibri" w:cs="Calibri"/>
              </w:rPr>
            </w:pPr>
            <w:r w:rsidRPr="000A5942">
              <w:rPr>
                <w:rFonts w:ascii="Calibri" w:hAnsi="Calibri" w:cs="Calibri"/>
              </w:rPr>
              <w:t>4375</w:t>
            </w:r>
          </w:p>
        </w:tc>
        <w:tc>
          <w:tcPr>
            <w:tcW w:w="380" w:type="pct"/>
            <w:tcBorders>
              <w:top w:val="nil"/>
              <w:left w:val="nil"/>
              <w:bottom w:val="nil"/>
              <w:right w:val="single" w:sz="4" w:space="0" w:color="auto"/>
            </w:tcBorders>
            <w:shd w:val="clear" w:color="auto" w:fill="auto"/>
            <w:noWrap/>
            <w:vAlign w:val="center"/>
            <w:hideMark/>
          </w:tcPr>
          <w:p w14:paraId="106A9B4F" w14:textId="77777777" w:rsidR="000D6168" w:rsidRPr="000A5942" w:rsidRDefault="000D6168" w:rsidP="00323FD6">
            <w:pPr>
              <w:rPr>
                <w:rFonts w:ascii="Calibri" w:hAnsi="Calibri" w:cs="Calibri"/>
              </w:rPr>
            </w:pPr>
            <w:r w:rsidRPr="000A5942">
              <w:rPr>
                <w:rFonts w:ascii="Calibri" w:hAnsi="Calibri" w:cs="Calibri"/>
              </w:rPr>
              <w:t xml:space="preserve"> 0.0686%</w:t>
            </w:r>
          </w:p>
        </w:tc>
      </w:tr>
      <w:tr w:rsidR="000D6168" w:rsidRPr="000A5942" w14:paraId="57D140CA" w14:textId="77777777" w:rsidTr="00323FD6">
        <w:trPr>
          <w:trHeight w:val="290"/>
          <w:jc w:val="center"/>
        </w:trPr>
        <w:tc>
          <w:tcPr>
            <w:tcW w:w="971" w:type="pct"/>
            <w:gridSpan w:val="2"/>
            <w:vMerge w:val="restart"/>
            <w:tcBorders>
              <w:top w:val="nil"/>
              <w:left w:val="single" w:sz="4" w:space="0" w:color="auto"/>
              <w:right w:val="nil"/>
            </w:tcBorders>
            <w:shd w:val="clear" w:color="auto" w:fill="auto"/>
            <w:noWrap/>
            <w:vAlign w:val="center"/>
            <w:hideMark/>
          </w:tcPr>
          <w:p w14:paraId="544BF424"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00E1F162" w14:textId="77777777" w:rsidR="000D6168" w:rsidRPr="000A5942" w:rsidRDefault="000D6168" w:rsidP="00323FD6">
            <w:pPr>
              <w:rPr>
                <w:rFonts w:ascii="Calibri" w:hAnsi="Calibri" w:cs="Calibri"/>
              </w:rPr>
            </w:pPr>
            <w:r w:rsidRPr="000A5942">
              <w:rPr>
                <w:rFonts w:ascii="Calibri" w:hAnsi="Calibri" w:cs="Calibri"/>
              </w:rPr>
              <w:t>Ga0126028_177</w:t>
            </w:r>
          </w:p>
        </w:tc>
        <w:tc>
          <w:tcPr>
            <w:tcW w:w="313" w:type="pct"/>
            <w:tcBorders>
              <w:top w:val="nil"/>
              <w:left w:val="nil"/>
              <w:bottom w:val="nil"/>
              <w:right w:val="nil"/>
            </w:tcBorders>
            <w:shd w:val="clear" w:color="auto" w:fill="auto"/>
            <w:noWrap/>
            <w:vAlign w:val="center"/>
            <w:hideMark/>
          </w:tcPr>
          <w:p w14:paraId="76F5EA14"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53220B49"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625" w:type="pct"/>
            <w:tcBorders>
              <w:top w:val="nil"/>
              <w:left w:val="nil"/>
              <w:bottom w:val="nil"/>
              <w:right w:val="nil"/>
            </w:tcBorders>
            <w:shd w:val="clear" w:color="auto" w:fill="auto"/>
            <w:noWrap/>
            <w:vAlign w:val="center"/>
            <w:hideMark/>
          </w:tcPr>
          <w:p w14:paraId="5C17C4DD" w14:textId="77777777" w:rsidR="000D6168" w:rsidRPr="000A5942" w:rsidRDefault="000D6168" w:rsidP="00323FD6">
            <w:pPr>
              <w:rPr>
                <w:rFonts w:ascii="Calibri" w:hAnsi="Calibri" w:cs="Calibri"/>
              </w:rPr>
            </w:pPr>
            <w:r w:rsidRPr="000A5942">
              <w:rPr>
                <w:rFonts w:ascii="Calibri" w:hAnsi="Calibri" w:cs="Calibri"/>
              </w:rPr>
              <w:t>Putative transposase of IS4/5 family (DUF4096)</w:t>
            </w:r>
          </w:p>
        </w:tc>
        <w:tc>
          <w:tcPr>
            <w:tcW w:w="453" w:type="pct"/>
            <w:tcBorders>
              <w:top w:val="nil"/>
              <w:left w:val="nil"/>
              <w:bottom w:val="nil"/>
              <w:right w:val="nil"/>
            </w:tcBorders>
            <w:shd w:val="clear" w:color="auto" w:fill="auto"/>
            <w:noWrap/>
            <w:vAlign w:val="center"/>
            <w:hideMark/>
          </w:tcPr>
          <w:p w14:paraId="16E827DB" w14:textId="77777777" w:rsidR="000D6168" w:rsidRPr="000A5942" w:rsidRDefault="000D6168" w:rsidP="00323FD6">
            <w:pPr>
              <w:rPr>
                <w:rFonts w:ascii="Calibri" w:hAnsi="Calibri" w:cs="Calibri"/>
              </w:rPr>
            </w:pPr>
            <w:r w:rsidRPr="000A5942">
              <w:rPr>
                <w:rFonts w:ascii="Calibri" w:hAnsi="Calibri" w:cs="Calibri"/>
              </w:rPr>
              <w:t>3140</w:t>
            </w:r>
          </w:p>
        </w:tc>
        <w:tc>
          <w:tcPr>
            <w:tcW w:w="311" w:type="pct"/>
            <w:tcBorders>
              <w:top w:val="nil"/>
              <w:left w:val="nil"/>
              <w:bottom w:val="nil"/>
              <w:right w:val="nil"/>
            </w:tcBorders>
            <w:shd w:val="clear" w:color="auto" w:fill="auto"/>
            <w:noWrap/>
            <w:vAlign w:val="center"/>
            <w:hideMark/>
          </w:tcPr>
          <w:p w14:paraId="634DC0AB" w14:textId="77777777" w:rsidR="000D6168" w:rsidRPr="000A5942" w:rsidRDefault="000D6168" w:rsidP="00323FD6">
            <w:pPr>
              <w:rPr>
                <w:rFonts w:ascii="Calibri" w:hAnsi="Calibri" w:cs="Calibri"/>
              </w:rPr>
            </w:pPr>
            <w:r w:rsidRPr="000A5942">
              <w:rPr>
                <w:rFonts w:ascii="Calibri" w:hAnsi="Calibri" w:cs="Calibri"/>
              </w:rPr>
              <w:t>2610</w:t>
            </w:r>
          </w:p>
        </w:tc>
        <w:tc>
          <w:tcPr>
            <w:tcW w:w="280" w:type="pct"/>
            <w:tcBorders>
              <w:top w:val="nil"/>
              <w:left w:val="nil"/>
              <w:bottom w:val="nil"/>
              <w:right w:val="nil"/>
            </w:tcBorders>
            <w:shd w:val="clear" w:color="auto" w:fill="auto"/>
            <w:noWrap/>
            <w:vAlign w:val="center"/>
            <w:hideMark/>
          </w:tcPr>
          <w:p w14:paraId="38E53E3B" w14:textId="77777777" w:rsidR="000D6168" w:rsidRPr="000A5942" w:rsidRDefault="000D6168" w:rsidP="00323FD6">
            <w:pPr>
              <w:rPr>
                <w:rFonts w:ascii="Calibri" w:hAnsi="Calibri" w:cs="Calibri"/>
              </w:rPr>
            </w:pPr>
            <w:r w:rsidRPr="000A5942">
              <w:rPr>
                <w:rFonts w:ascii="Calibri" w:hAnsi="Calibri" w:cs="Calibri"/>
              </w:rPr>
              <w:t>40.4</w:t>
            </w:r>
          </w:p>
        </w:tc>
        <w:tc>
          <w:tcPr>
            <w:tcW w:w="1040" w:type="pct"/>
            <w:gridSpan w:val="3"/>
            <w:vMerge w:val="restart"/>
            <w:tcBorders>
              <w:top w:val="nil"/>
              <w:left w:val="nil"/>
            </w:tcBorders>
            <w:shd w:val="clear" w:color="auto" w:fill="auto"/>
            <w:noWrap/>
            <w:vAlign w:val="center"/>
            <w:hideMark/>
          </w:tcPr>
          <w:p w14:paraId="4D913CAB" w14:textId="77777777" w:rsidR="000D6168" w:rsidRPr="000A5942" w:rsidRDefault="000D6168" w:rsidP="00323FD6">
            <w:pPr>
              <w:rPr>
                <w:rFonts w:ascii="Calibri" w:hAnsi="Calibri" w:cs="Calibri"/>
              </w:rPr>
            </w:pPr>
          </w:p>
        </w:tc>
      </w:tr>
      <w:tr w:rsidR="000D6168" w:rsidRPr="000A5942" w14:paraId="4860EB34" w14:textId="77777777" w:rsidTr="00323FD6">
        <w:trPr>
          <w:trHeight w:val="290"/>
          <w:jc w:val="center"/>
        </w:trPr>
        <w:tc>
          <w:tcPr>
            <w:tcW w:w="971" w:type="pct"/>
            <w:gridSpan w:val="2"/>
            <w:vMerge/>
            <w:tcBorders>
              <w:left w:val="single" w:sz="4" w:space="0" w:color="auto"/>
              <w:bottom w:val="single" w:sz="4" w:space="0" w:color="auto"/>
              <w:right w:val="nil"/>
            </w:tcBorders>
            <w:shd w:val="clear" w:color="auto" w:fill="auto"/>
            <w:noWrap/>
            <w:vAlign w:val="center"/>
            <w:hideMark/>
          </w:tcPr>
          <w:p w14:paraId="11AF68F7"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115A8E92" w14:textId="77777777" w:rsidR="000D6168" w:rsidRPr="000A5942" w:rsidRDefault="000D6168" w:rsidP="00323FD6">
            <w:pPr>
              <w:rPr>
                <w:rFonts w:ascii="Calibri" w:hAnsi="Calibri" w:cs="Calibri"/>
              </w:rPr>
            </w:pPr>
            <w:r w:rsidRPr="000A5942">
              <w:rPr>
                <w:rFonts w:ascii="Calibri" w:hAnsi="Calibri" w:cs="Calibri"/>
              </w:rPr>
              <w:t>Ga0126028_178</w:t>
            </w:r>
          </w:p>
        </w:tc>
        <w:tc>
          <w:tcPr>
            <w:tcW w:w="313" w:type="pct"/>
            <w:tcBorders>
              <w:top w:val="nil"/>
              <w:left w:val="nil"/>
              <w:bottom w:val="single" w:sz="4" w:space="0" w:color="auto"/>
              <w:right w:val="nil"/>
            </w:tcBorders>
            <w:shd w:val="clear" w:color="auto" w:fill="auto"/>
            <w:noWrap/>
            <w:vAlign w:val="center"/>
            <w:hideMark/>
          </w:tcPr>
          <w:p w14:paraId="5A1C2B6A"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05BA5A14" w14:textId="77777777" w:rsidR="000D6168" w:rsidRPr="000A5942" w:rsidRDefault="000D6168" w:rsidP="00323FD6">
            <w:pPr>
              <w:rPr>
                <w:rFonts w:ascii="Calibri" w:hAnsi="Calibri" w:cs="Calibri"/>
              </w:rPr>
            </w:pPr>
            <w:r w:rsidRPr="000A5942">
              <w:rPr>
                <w:rFonts w:ascii="Calibri" w:hAnsi="Calibri" w:cs="Calibri"/>
              </w:rPr>
              <w:t>microcin C transport system substrate-binding protein</w:t>
            </w:r>
          </w:p>
        </w:tc>
        <w:tc>
          <w:tcPr>
            <w:tcW w:w="625" w:type="pct"/>
            <w:tcBorders>
              <w:top w:val="nil"/>
              <w:left w:val="nil"/>
              <w:bottom w:val="single" w:sz="4" w:space="0" w:color="auto"/>
              <w:right w:val="nil"/>
            </w:tcBorders>
            <w:shd w:val="clear" w:color="auto" w:fill="auto"/>
            <w:noWrap/>
            <w:vAlign w:val="center"/>
            <w:hideMark/>
          </w:tcPr>
          <w:p w14:paraId="591E5934" w14:textId="77777777" w:rsidR="000D6168" w:rsidRPr="000A5942" w:rsidRDefault="000D6168" w:rsidP="00323FD6">
            <w:pPr>
              <w:rPr>
                <w:rFonts w:ascii="Calibri" w:hAnsi="Calibri" w:cs="Calibri"/>
              </w:rPr>
            </w:pPr>
            <w:r w:rsidRPr="000A5942">
              <w:rPr>
                <w:rFonts w:ascii="Calibri" w:hAnsi="Calibri" w:cs="Calibri"/>
              </w:rPr>
              <w:t>Carbon monoxide dehydrogenase subunit G</w:t>
            </w:r>
          </w:p>
        </w:tc>
        <w:tc>
          <w:tcPr>
            <w:tcW w:w="453" w:type="pct"/>
            <w:tcBorders>
              <w:top w:val="nil"/>
              <w:left w:val="nil"/>
              <w:bottom w:val="single" w:sz="4" w:space="0" w:color="auto"/>
              <w:right w:val="nil"/>
            </w:tcBorders>
            <w:shd w:val="clear" w:color="auto" w:fill="auto"/>
            <w:noWrap/>
            <w:vAlign w:val="center"/>
            <w:hideMark/>
          </w:tcPr>
          <w:p w14:paraId="7C50F29C" w14:textId="77777777" w:rsidR="000D6168" w:rsidRPr="000A5942" w:rsidRDefault="000D6168" w:rsidP="00323FD6">
            <w:pPr>
              <w:rPr>
                <w:rFonts w:ascii="Calibri" w:hAnsi="Calibri" w:cs="Calibri"/>
              </w:rPr>
            </w:pPr>
            <w:r w:rsidRPr="000A5942">
              <w:rPr>
                <w:rFonts w:ascii="Calibri" w:hAnsi="Calibri" w:cs="Calibri"/>
              </w:rPr>
              <w:t>206</w:t>
            </w:r>
          </w:p>
        </w:tc>
        <w:tc>
          <w:tcPr>
            <w:tcW w:w="311" w:type="pct"/>
            <w:tcBorders>
              <w:top w:val="nil"/>
              <w:left w:val="nil"/>
              <w:bottom w:val="single" w:sz="4" w:space="0" w:color="auto"/>
              <w:right w:val="nil"/>
            </w:tcBorders>
            <w:shd w:val="clear" w:color="auto" w:fill="auto"/>
            <w:noWrap/>
            <w:vAlign w:val="center"/>
            <w:hideMark/>
          </w:tcPr>
          <w:p w14:paraId="487838E4" w14:textId="77777777" w:rsidR="000D6168" w:rsidRPr="000A5942" w:rsidRDefault="000D6168" w:rsidP="00323FD6">
            <w:pPr>
              <w:rPr>
                <w:rFonts w:ascii="Calibri" w:hAnsi="Calibri" w:cs="Calibri"/>
              </w:rPr>
            </w:pPr>
            <w:r w:rsidRPr="000A5942">
              <w:rPr>
                <w:rFonts w:ascii="Calibri" w:hAnsi="Calibri" w:cs="Calibri"/>
              </w:rPr>
              <w:t>1469</w:t>
            </w:r>
          </w:p>
        </w:tc>
        <w:tc>
          <w:tcPr>
            <w:tcW w:w="280" w:type="pct"/>
            <w:tcBorders>
              <w:top w:val="nil"/>
              <w:left w:val="nil"/>
              <w:bottom w:val="single" w:sz="4" w:space="0" w:color="auto"/>
              <w:right w:val="nil"/>
            </w:tcBorders>
            <w:shd w:val="clear" w:color="auto" w:fill="auto"/>
            <w:noWrap/>
            <w:vAlign w:val="center"/>
            <w:hideMark/>
          </w:tcPr>
          <w:p w14:paraId="472B6429" w14:textId="77777777" w:rsidR="000D6168" w:rsidRPr="000A5942" w:rsidRDefault="000D6168" w:rsidP="00323FD6">
            <w:pPr>
              <w:rPr>
                <w:rFonts w:ascii="Calibri" w:hAnsi="Calibri" w:cs="Calibri"/>
              </w:rPr>
            </w:pPr>
            <w:r w:rsidRPr="000A5942">
              <w:rPr>
                <w:rFonts w:ascii="Calibri" w:hAnsi="Calibri" w:cs="Calibri"/>
              </w:rPr>
              <w:t>10.8</w:t>
            </w:r>
          </w:p>
        </w:tc>
        <w:tc>
          <w:tcPr>
            <w:tcW w:w="1040" w:type="pct"/>
            <w:gridSpan w:val="3"/>
            <w:vMerge/>
            <w:tcBorders>
              <w:left w:val="nil"/>
              <w:bottom w:val="single" w:sz="4" w:space="0" w:color="auto"/>
            </w:tcBorders>
            <w:shd w:val="clear" w:color="auto" w:fill="auto"/>
            <w:noWrap/>
            <w:vAlign w:val="center"/>
            <w:hideMark/>
          </w:tcPr>
          <w:p w14:paraId="66AE50DC" w14:textId="77777777" w:rsidR="000D6168" w:rsidRPr="000A5942" w:rsidRDefault="000D6168" w:rsidP="00323FD6">
            <w:pPr>
              <w:rPr>
                <w:rFonts w:ascii="Calibri" w:hAnsi="Calibri" w:cs="Calibri"/>
              </w:rPr>
            </w:pPr>
          </w:p>
        </w:tc>
      </w:tr>
      <w:tr w:rsidR="000D6168" w:rsidRPr="000A5942" w14:paraId="7A547361"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492BF737" w14:textId="77777777" w:rsidR="000D6168" w:rsidRPr="000A5942" w:rsidRDefault="000D6168" w:rsidP="00323FD6">
            <w:pPr>
              <w:rPr>
                <w:rFonts w:ascii="Calibri" w:hAnsi="Calibri" w:cs="Calibri"/>
              </w:rPr>
            </w:pPr>
            <w:r w:rsidRPr="000A5942">
              <w:rPr>
                <w:rFonts w:ascii="Calibri" w:hAnsi="Calibri" w:cs="Calibri"/>
              </w:rPr>
              <w:lastRenderedPageBreak/>
              <w:t>2574179718</w:t>
            </w:r>
          </w:p>
        </w:tc>
        <w:tc>
          <w:tcPr>
            <w:tcW w:w="452" w:type="pct"/>
            <w:tcBorders>
              <w:top w:val="nil"/>
              <w:left w:val="nil"/>
              <w:bottom w:val="nil"/>
              <w:right w:val="nil"/>
            </w:tcBorders>
            <w:shd w:val="clear" w:color="auto" w:fill="auto"/>
            <w:noWrap/>
            <w:vAlign w:val="center"/>
            <w:hideMark/>
          </w:tcPr>
          <w:p w14:paraId="36B7E434" w14:textId="77777777" w:rsidR="000D6168" w:rsidRPr="000A5942" w:rsidRDefault="000D6168" w:rsidP="00323FD6">
            <w:pPr>
              <w:rPr>
                <w:rFonts w:ascii="Calibri" w:hAnsi="Calibri" w:cs="Calibri"/>
              </w:rPr>
            </w:pPr>
            <w:proofErr w:type="spellStart"/>
            <w:r w:rsidRPr="000A5942">
              <w:rPr>
                <w:rFonts w:ascii="Calibri" w:hAnsi="Calibri" w:cs="Calibri"/>
              </w:rPr>
              <w:t>Phaeobacter</w:t>
            </w:r>
            <w:proofErr w:type="spellEnd"/>
            <w:r w:rsidRPr="000A5942">
              <w:rPr>
                <w:rFonts w:ascii="Calibri" w:hAnsi="Calibri" w:cs="Calibri"/>
              </w:rPr>
              <w:t xml:space="preserve"> </w:t>
            </w:r>
            <w:proofErr w:type="spellStart"/>
            <w:r w:rsidRPr="000A5942">
              <w:rPr>
                <w:rFonts w:ascii="Calibri" w:hAnsi="Calibri" w:cs="Calibri"/>
              </w:rPr>
              <w:t>inhibens</w:t>
            </w:r>
            <w:proofErr w:type="spellEnd"/>
            <w:r w:rsidRPr="000A5942">
              <w:rPr>
                <w:rFonts w:ascii="Calibri" w:hAnsi="Calibri" w:cs="Calibri"/>
              </w:rPr>
              <w:t xml:space="preserve"> T5, DSM 16374</w:t>
            </w:r>
          </w:p>
        </w:tc>
        <w:tc>
          <w:tcPr>
            <w:tcW w:w="347" w:type="pct"/>
            <w:tcBorders>
              <w:top w:val="nil"/>
              <w:left w:val="nil"/>
              <w:bottom w:val="nil"/>
              <w:right w:val="nil"/>
            </w:tcBorders>
            <w:shd w:val="clear" w:color="auto" w:fill="auto"/>
            <w:noWrap/>
            <w:vAlign w:val="center"/>
            <w:hideMark/>
          </w:tcPr>
          <w:p w14:paraId="47BA75F5" w14:textId="77777777" w:rsidR="000D6168" w:rsidRPr="000A5942" w:rsidRDefault="000D6168" w:rsidP="00323FD6">
            <w:pPr>
              <w:rPr>
                <w:rFonts w:ascii="Calibri" w:hAnsi="Calibri" w:cs="Calibri"/>
              </w:rPr>
            </w:pPr>
            <w:r w:rsidRPr="000A5942">
              <w:rPr>
                <w:rFonts w:ascii="Calibri" w:hAnsi="Calibri" w:cs="Calibri"/>
              </w:rPr>
              <w:t>Phain_cP05.1</w:t>
            </w:r>
          </w:p>
        </w:tc>
        <w:tc>
          <w:tcPr>
            <w:tcW w:w="313" w:type="pct"/>
            <w:tcBorders>
              <w:top w:val="nil"/>
              <w:left w:val="nil"/>
              <w:bottom w:val="nil"/>
              <w:right w:val="nil"/>
            </w:tcBorders>
            <w:shd w:val="clear" w:color="auto" w:fill="auto"/>
            <w:noWrap/>
            <w:vAlign w:val="center"/>
            <w:hideMark/>
          </w:tcPr>
          <w:p w14:paraId="574C1464"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1CB718BF" w14:textId="77777777" w:rsidR="000D6168" w:rsidRPr="000A5942" w:rsidRDefault="000D6168" w:rsidP="00323FD6">
            <w:pPr>
              <w:rPr>
                <w:rFonts w:ascii="Calibri" w:hAnsi="Calibri" w:cs="Calibri"/>
              </w:rPr>
            </w:pPr>
            <w:r w:rsidRPr="000A5942">
              <w:rPr>
                <w:rFonts w:ascii="Calibri" w:hAnsi="Calibri" w:cs="Calibri"/>
              </w:rPr>
              <w:t xml:space="preserve">regulatory protein, </w:t>
            </w:r>
            <w:proofErr w:type="spellStart"/>
            <w:r w:rsidRPr="000A5942">
              <w:rPr>
                <w:rFonts w:ascii="Calibri" w:hAnsi="Calibri" w:cs="Calibri"/>
              </w:rPr>
              <w:t>luxR</w:t>
            </w:r>
            <w:proofErr w:type="spellEnd"/>
            <w:r w:rsidRPr="000A5942">
              <w:rPr>
                <w:rFonts w:ascii="Calibri" w:hAnsi="Calibri" w:cs="Calibri"/>
              </w:rPr>
              <w:t xml:space="preserve"> family</w:t>
            </w:r>
          </w:p>
        </w:tc>
        <w:tc>
          <w:tcPr>
            <w:tcW w:w="625" w:type="pct"/>
            <w:tcBorders>
              <w:top w:val="nil"/>
              <w:left w:val="nil"/>
              <w:bottom w:val="nil"/>
              <w:right w:val="nil"/>
            </w:tcBorders>
            <w:shd w:val="clear" w:color="auto" w:fill="auto"/>
            <w:noWrap/>
            <w:vAlign w:val="center"/>
            <w:hideMark/>
          </w:tcPr>
          <w:p w14:paraId="373D17C0" w14:textId="77777777" w:rsidR="000D6168" w:rsidRPr="000A5942" w:rsidRDefault="000D6168" w:rsidP="00323FD6">
            <w:pPr>
              <w:rPr>
                <w:rFonts w:ascii="Calibri" w:hAnsi="Calibri" w:cs="Calibri"/>
              </w:rPr>
            </w:pPr>
            <w:r w:rsidRPr="000A5942">
              <w:rPr>
                <w:rFonts w:ascii="Calibri" w:hAnsi="Calibri" w:cs="Calibri"/>
              </w:rPr>
              <w:t>N-acyl-L-homoserine lactone synthetase</w:t>
            </w:r>
          </w:p>
        </w:tc>
        <w:tc>
          <w:tcPr>
            <w:tcW w:w="453" w:type="pct"/>
            <w:tcBorders>
              <w:top w:val="nil"/>
              <w:left w:val="nil"/>
              <w:bottom w:val="nil"/>
              <w:right w:val="nil"/>
            </w:tcBorders>
            <w:shd w:val="clear" w:color="auto" w:fill="auto"/>
            <w:noWrap/>
            <w:vAlign w:val="center"/>
            <w:hideMark/>
          </w:tcPr>
          <w:p w14:paraId="3DC4FBB7" w14:textId="77777777" w:rsidR="000D6168" w:rsidRPr="000A5942" w:rsidRDefault="000D6168" w:rsidP="00323FD6">
            <w:pPr>
              <w:rPr>
                <w:rFonts w:ascii="Calibri" w:hAnsi="Calibri" w:cs="Calibri"/>
              </w:rPr>
            </w:pPr>
            <w:r w:rsidRPr="000A5942">
              <w:rPr>
                <w:rFonts w:ascii="Calibri" w:hAnsi="Calibri" w:cs="Calibri"/>
              </w:rPr>
              <w:t>57</w:t>
            </w:r>
          </w:p>
        </w:tc>
        <w:tc>
          <w:tcPr>
            <w:tcW w:w="311" w:type="pct"/>
            <w:tcBorders>
              <w:top w:val="nil"/>
              <w:left w:val="nil"/>
              <w:bottom w:val="nil"/>
              <w:right w:val="nil"/>
            </w:tcBorders>
            <w:shd w:val="clear" w:color="auto" w:fill="auto"/>
            <w:noWrap/>
            <w:vAlign w:val="center"/>
            <w:hideMark/>
          </w:tcPr>
          <w:p w14:paraId="48F96296" w14:textId="77777777" w:rsidR="000D6168" w:rsidRPr="000A5942" w:rsidRDefault="000D6168" w:rsidP="00323FD6">
            <w:pPr>
              <w:rPr>
                <w:rFonts w:ascii="Calibri" w:hAnsi="Calibri" w:cs="Calibri"/>
              </w:rPr>
            </w:pPr>
            <w:r w:rsidRPr="000A5942">
              <w:rPr>
                <w:rFonts w:ascii="Calibri" w:hAnsi="Calibri" w:cs="Calibri"/>
              </w:rPr>
              <w:t>2</w:t>
            </w:r>
          </w:p>
        </w:tc>
        <w:tc>
          <w:tcPr>
            <w:tcW w:w="280" w:type="pct"/>
            <w:tcBorders>
              <w:top w:val="nil"/>
              <w:left w:val="nil"/>
              <w:bottom w:val="nil"/>
              <w:right w:val="nil"/>
            </w:tcBorders>
            <w:shd w:val="clear" w:color="auto" w:fill="auto"/>
            <w:noWrap/>
            <w:vAlign w:val="center"/>
            <w:hideMark/>
          </w:tcPr>
          <w:p w14:paraId="2247FCCB" w14:textId="77777777" w:rsidR="000D6168" w:rsidRPr="000A5942" w:rsidRDefault="000D6168" w:rsidP="00323FD6">
            <w:pPr>
              <w:rPr>
                <w:rFonts w:ascii="Calibri" w:hAnsi="Calibri" w:cs="Calibri"/>
              </w:rPr>
            </w:pPr>
            <w:r w:rsidRPr="000A5942">
              <w:rPr>
                <w:rFonts w:ascii="Calibri" w:hAnsi="Calibri" w:cs="Calibri"/>
              </w:rPr>
              <w:t>41.5</w:t>
            </w:r>
          </w:p>
        </w:tc>
        <w:tc>
          <w:tcPr>
            <w:tcW w:w="347" w:type="pct"/>
            <w:tcBorders>
              <w:top w:val="nil"/>
              <w:left w:val="nil"/>
              <w:bottom w:val="nil"/>
              <w:right w:val="nil"/>
            </w:tcBorders>
            <w:shd w:val="clear" w:color="auto" w:fill="auto"/>
            <w:noWrap/>
            <w:vAlign w:val="center"/>
            <w:hideMark/>
          </w:tcPr>
          <w:p w14:paraId="3EB9CB97" w14:textId="77777777" w:rsidR="000D6168" w:rsidRPr="000A5942" w:rsidRDefault="000D6168" w:rsidP="00323FD6">
            <w:pPr>
              <w:rPr>
                <w:rFonts w:ascii="Calibri" w:hAnsi="Calibri" w:cs="Calibri"/>
              </w:rPr>
            </w:pPr>
            <w:r w:rsidRPr="000A5942">
              <w:rPr>
                <w:rFonts w:ascii="Calibri" w:hAnsi="Calibri" w:cs="Calibri"/>
              </w:rPr>
              <w:t>2</w:t>
            </w:r>
          </w:p>
        </w:tc>
        <w:tc>
          <w:tcPr>
            <w:tcW w:w="313" w:type="pct"/>
            <w:tcBorders>
              <w:top w:val="nil"/>
              <w:left w:val="nil"/>
              <w:bottom w:val="nil"/>
              <w:right w:val="nil"/>
            </w:tcBorders>
            <w:shd w:val="clear" w:color="auto" w:fill="auto"/>
            <w:noWrap/>
            <w:vAlign w:val="center"/>
            <w:hideMark/>
          </w:tcPr>
          <w:p w14:paraId="78C44382" w14:textId="77777777" w:rsidR="000D6168" w:rsidRPr="000A5942" w:rsidRDefault="000D6168" w:rsidP="00323FD6">
            <w:pPr>
              <w:rPr>
                <w:rFonts w:ascii="Calibri" w:hAnsi="Calibri" w:cs="Calibri"/>
              </w:rPr>
            </w:pPr>
            <w:r w:rsidRPr="000A5942">
              <w:rPr>
                <w:rFonts w:ascii="Calibri" w:hAnsi="Calibri" w:cs="Calibri"/>
              </w:rPr>
              <w:t>3976</w:t>
            </w:r>
          </w:p>
        </w:tc>
        <w:tc>
          <w:tcPr>
            <w:tcW w:w="380" w:type="pct"/>
            <w:tcBorders>
              <w:top w:val="nil"/>
              <w:left w:val="nil"/>
              <w:bottom w:val="nil"/>
              <w:right w:val="single" w:sz="4" w:space="0" w:color="auto"/>
            </w:tcBorders>
            <w:shd w:val="clear" w:color="auto" w:fill="auto"/>
            <w:noWrap/>
            <w:vAlign w:val="center"/>
            <w:hideMark/>
          </w:tcPr>
          <w:p w14:paraId="1C5EC266" w14:textId="77777777" w:rsidR="000D6168" w:rsidRPr="000A5942" w:rsidRDefault="000D6168" w:rsidP="00323FD6">
            <w:pPr>
              <w:rPr>
                <w:rFonts w:ascii="Calibri" w:hAnsi="Calibri" w:cs="Calibri"/>
              </w:rPr>
            </w:pPr>
            <w:r w:rsidRPr="000A5942">
              <w:rPr>
                <w:rFonts w:ascii="Calibri" w:hAnsi="Calibri" w:cs="Calibri"/>
              </w:rPr>
              <w:t xml:space="preserve"> 0.0503%</w:t>
            </w:r>
          </w:p>
        </w:tc>
      </w:tr>
      <w:tr w:rsidR="000D6168" w:rsidRPr="000A5942" w14:paraId="61D7A278" w14:textId="77777777" w:rsidTr="00323FD6">
        <w:trPr>
          <w:trHeight w:val="290"/>
          <w:jc w:val="center"/>
        </w:trPr>
        <w:tc>
          <w:tcPr>
            <w:tcW w:w="971" w:type="pct"/>
            <w:gridSpan w:val="2"/>
            <w:tcBorders>
              <w:top w:val="nil"/>
              <w:left w:val="single" w:sz="4" w:space="0" w:color="auto"/>
              <w:bottom w:val="single" w:sz="4" w:space="0" w:color="auto"/>
              <w:right w:val="nil"/>
            </w:tcBorders>
            <w:shd w:val="clear" w:color="auto" w:fill="auto"/>
            <w:noWrap/>
            <w:vAlign w:val="center"/>
            <w:hideMark/>
          </w:tcPr>
          <w:p w14:paraId="14DB5683"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3D92A63F" w14:textId="77777777" w:rsidR="000D6168" w:rsidRPr="000A5942" w:rsidRDefault="000D6168" w:rsidP="00323FD6">
            <w:pPr>
              <w:rPr>
                <w:rFonts w:ascii="Calibri" w:hAnsi="Calibri" w:cs="Calibri"/>
              </w:rPr>
            </w:pPr>
            <w:r w:rsidRPr="000A5942">
              <w:rPr>
                <w:rFonts w:ascii="Calibri" w:hAnsi="Calibri" w:cs="Calibri"/>
              </w:rPr>
              <w:t>Phain_cP05.1</w:t>
            </w:r>
          </w:p>
        </w:tc>
        <w:tc>
          <w:tcPr>
            <w:tcW w:w="313" w:type="pct"/>
            <w:tcBorders>
              <w:top w:val="nil"/>
              <w:left w:val="nil"/>
              <w:bottom w:val="single" w:sz="4" w:space="0" w:color="auto"/>
              <w:right w:val="nil"/>
            </w:tcBorders>
            <w:shd w:val="clear" w:color="auto" w:fill="auto"/>
            <w:noWrap/>
            <w:vAlign w:val="center"/>
            <w:hideMark/>
          </w:tcPr>
          <w:p w14:paraId="3E00A3BE"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3996763B" w14:textId="77777777" w:rsidR="000D6168" w:rsidRPr="000A5942" w:rsidRDefault="000D6168" w:rsidP="00323FD6">
            <w:pPr>
              <w:rPr>
                <w:rFonts w:ascii="Calibri" w:hAnsi="Calibri" w:cs="Calibri"/>
              </w:rPr>
            </w:pPr>
            <w:r w:rsidRPr="000A5942">
              <w:rPr>
                <w:rFonts w:ascii="Calibri" w:hAnsi="Calibri" w:cs="Calibri"/>
              </w:rPr>
              <w:t>(R)-</w:t>
            </w:r>
            <w:proofErr w:type="spellStart"/>
            <w:r w:rsidRPr="000A5942">
              <w:rPr>
                <w:rFonts w:ascii="Calibri" w:hAnsi="Calibri" w:cs="Calibri"/>
              </w:rPr>
              <w:t>ethylmalonyl</w:t>
            </w:r>
            <w:proofErr w:type="spellEnd"/>
            <w:r w:rsidRPr="000A5942">
              <w:rPr>
                <w:rFonts w:ascii="Calibri" w:hAnsi="Calibri" w:cs="Calibri"/>
              </w:rPr>
              <w:t>-CoA mutase</w:t>
            </w:r>
          </w:p>
        </w:tc>
        <w:tc>
          <w:tcPr>
            <w:tcW w:w="625" w:type="pct"/>
            <w:tcBorders>
              <w:top w:val="nil"/>
              <w:left w:val="nil"/>
              <w:bottom w:val="single" w:sz="4" w:space="0" w:color="auto"/>
              <w:right w:val="nil"/>
            </w:tcBorders>
            <w:shd w:val="clear" w:color="auto" w:fill="auto"/>
            <w:noWrap/>
            <w:vAlign w:val="center"/>
            <w:hideMark/>
          </w:tcPr>
          <w:p w14:paraId="5C4296D7"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453" w:type="pct"/>
            <w:tcBorders>
              <w:top w:val="nil"/>
              <w:left w:val="nil"/>
              <w:bottom w:val="single" w:sz="4" w:space="0" w:color="auto"/>
              <w:right w:val="nil"/>
            </w:tcBorders>
            <w:shd w:val="clear" w:color="auto" w:fill="auto"/>
            <w:noWrap/>
            <w:vAlign w:val="center"/>
            <w:hideMark/>
          </w:tcPr>
          <w:p w14:paraId="01A1950B" w14:textId="77777777" w:rsidR="000D6168" w:rsidRPr="000A5942" w:rsidRDefault="000D6168" w:rsidP="00323FD6">
            <w:pPr>
              <w:rPr>
                <w:rFonts w:ascii="Calibri" w:hAnsi="Calibri" w:cs="Calibri"/>
              </w:rPr>
            </w:pPr>
            <w:r w:rsidRPr="000A5942">
              <w:rPr>
                <w:rFonts w:ascii="Calibri" w:hAnsi="Calibri" w:cs="Calibri"/>
              </w:rPr>
              <w:t>5289</w:t>
            </w:r>
          </w:p>
        </w:tc>
        <w:tc>
          <w:tcPr>
            <w:tcW w:w="311" w:type="pct"/>
            <w:tcBorders>
              <w:top w:val="nil"/>
              <w:left w:val="nil"/>
              <w:bottom w:val="single" w:sz="4" w:space="0" w:color="auto"/>
              <w:right w:val="nil"/>
            </w:tcBorders>
            <w:shd w:val="clear" w:color="auto" w:fill="auto"/>
            <w:noWrap/>
            <w:vAlign w:val="center"/>
            <w:hideMark/>
          </w:tcPr>
          <w:p w14:paraId="2EDF7FCB" w14:textId="77777777" w:rsidR="000D6168" w:rsidRPr="000A5942" w:rsidRDefault="000D6168" w:rsidP="00323FD6">
            <w:pPr>
              <w:rPr>
                <w:rFonts w:ascii="Calibri" w:hAnsi="Calibri" w:cs="Calibri"/>
              </w:rPr>
            </w:pPr>
            <w:r w:rsidRPr="000A5942">
              <w:rPr>
                <w:rFonts w:ascii="Calibri" w:hAnsi="Calibri" w:cs="Calibri"/>
              </w:rPr>
              <w:t>3140</w:t>
            </w:r>
          </w:p>
        </w:tc>
        <w:tc>
          <w:tcPr>
            <w:tcW w:w="280" w:type="pct"/>
            <w:tcBorders>
              <w:top w:val="nil"/>
              <w:left w:val="nil"/>
              <w:bottom w:val="single" w:sz="4" w:space="0" w:color="auto"/>
              <w:right w:val="nil"/>
            </w:tcBorders>
            <w:shd w:val="clear" w:color="auto" w:fill="auto"/>
            <w:noWrap/>
            <w:vAlign w:val="center"/>
            <w:hideMark/>
          </w:tcPr>
          <w:p w14:paraId="4F365C73" w14:textId="77777777" w:rsidR="000D6168" w:rsidRPr="000A5942" w:rsidRDefault="000D6168" w:rsidP="00323FD6">
            <w:pPr>
              <w:rPr>
                <w:rFonts w:ascii="Calibri" w:hAnsi="Calibri" w:cs="Calibri"/>
              </w:rPr>
            </w:pPr>
            <w:r w:rsidRPr="000A5942">
              <w:rPr>
                <w:rFonts w:ascii="Calibri" w:hAnsi="Calibri" w:cs="Calibri"/>
              </w:rPr>
              <w:t>40.4</w:t>
            </w:r>
          </w:p>
        </w:tc>
        <w:tc>
          <w:tcPr>
            <w:tcW w:w="1040" w:type="pct"/>
            <w:gridSpan w:val="3"/>
            <w:tcBorders>
              <w:top w:val="nil"/>
              <w:left w:val="nil"/>
              <w:bottom w:val="single" w:sz="4" w:space="0" w:color="auto"/>
              <w:right w:val="single" w:sz="4" w:space="0" w:color="auto"/>
            </w:tcBorders>
            <w:shd w:val="clear" w:color="auto" w:fill="auto"/>
            <w:noWrap/>
            <w:vAlign w:val="center"/>
            <w:hideMark/>
          </w:tcPr>
          <w:p w14:paraId="7385749D" w14:textId="77777777" w:rsidR="000D6168" w:rsidRPr="000A5942" w:rsidRDefault="000D6168" w:rsidP="00323FD6">
            <w:pPr>
              <w:rPr>
                <w:rFonts w:ascii="Calibri" w:hAnsi="Calibri" w:cs="Calibri"/>
              </w:rPr>
            </w:pPr>
          </w:p>
        </w:tc>
      </w:tr>
      <w:tr w:rsidR="000D6168" w:rsidRPr="000A5942" w14:paraId="132D1D11"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2880C41D" w14:textId="77777777" w:rsidR="000D6168" w:rsidRPr="000A5942" w:rsidRDefault="000D6168" w:rsidP="00323FD6">
            <w:pPr>
              <w:rPr>
                <w:rFonts w:ascii="Calibri" w:hAnsi="Calibri" w:cs="Calibri"/>
              </w:rPr>
            </w:pPr>
            <w:r w:rsidRPr="000A5942">
              <w:rPr>
                <w:rFonts w:ascii="Calibri" w:hAnsi="Calibri" w:cs="Calibri"/>
              </w:rPr>
              <w:t>2706794654</w:t>
            </w:r>
          </w:p>
        </w:tc>
        <w:tc>
          <w:tcPr>
            <w:tcW w:w="452" w:type="pct"/>
            <w:tcBorders>
              <w:top w:val="nil"/>
              <w:left w:val="nil"/>
              <w:bottom w:val="nil"/>
              <w:right w:val="nil"/>
            </w:tcBorders>
            <w:shd w:val="clear" w:color="auto" w:fill="auto"/>
            <w:noWrap/>
            <w:vAlign w:val="center"/>
            <w:hideMark/>
          </w:tcPr>
          <w:p w14:paraId="6EF0634D" w14:textId="77777777" w:rsidR="000D6168" w:rsidRPr="000A5942" w:rsidRDefault="000D6168" w:rsidP="00323FD6">
            <w:pPr>
              <w:rPr>
                <w:rFonts w:ascii="Calibri" w:hAnsi="Calibri" w:cs="Calibri"/>
              </w:rPr>
            </w:pPr>
            <w:proofErr w:type="spellStart"/>
            <w:r w:rsidRPr="000A5942">
              <w:rPr>
                <w:rFonts w:ascii="Calibri" w:hAnsi="Calibri" w:cs="Calibri"/>
              </w:rPr>
              <w:t>Phaeobacter</w:t>
            </w:r>
            <w:proofErr w:type="spellEnd"/>
            <w:r w:rsidRPr="000A5942">
              <w:rPr>
                <w:rFonts w:ascii="Calibri" w:hAnsi="Calibri" w:cs="Calibri"/>
              </w:rPr>
              <w:t xml:space="preserve"> </w:t>
            </w:r>
            <w:proofErr w:type="spellStart"/>
            <w:r w:rsidRPr="000A5942">
              <w:rPr>
                <w:rFonts w:ascii="Calibri" w:hAnsi="Calibri" w:cs="Calibri"/>
              </w:rPr>
              <w:t>italicus</w:t>
            </w:r>
            <w:proofErr w:type="spellEnd"/>
            <w:r w:rsidRPr="000A5942">
              <w:rPr>
                <w:rFonts w:ascii="Calibri" w:hAnsi="Calibri" w:cs="Calibri"/>
              </w:rPr>
              <w:t xml:space="preserve"> CECT 7321</w:t>
            </w:r>
          </w:p>
        </w:tc>
        <w:tc>
          <w:tcPr>
            <w:tcW w:w="347" w:type="pct"/>
            <w:tcBorders>
              <w:top w:val="nil"/>
              <w:left w:val="nil"/>
              <w:bottom w:val="nil"/>
              <w:right w:val="nil"/>
            </w:tcBorders>
            <w:shd w:val="clear" w:color="auto" w:fill="auto"/>
            <w:noWrap/>
            <w:vAlign w:val="center"/>
            <w:hideMark/>
          </w:tcPr>
          <w:p w14:paraId="171E67DA" w14:textId="77777777" w:rsidR="000D6168" w:rsidRPr="000A5942" w:rsidRDefault="000D6168" w:rsidP="00323FD6">
            <w:pPr>
              <w:rPr>
                <w:rFonts w:ascii="Calibri" w:hAnsi="Calibri" w:cs="Calibri"/>
              </w:rPr>
            </w:pPr>
            <w:r w:rsidRPr="000A5942">
              <w:rPr>
                <w:rFonts w:ascii="Calibri" w:hAnsi="Calibri" w:cs="Calibri"/>
              </w:rPr>
              <w:t>Ga0124145_113</w:t>
            </w:r>
          </w:p>
        </w:tc>
        <w:tc>
          <w:tcPr>
            <w:tcW w:w="313" w:type="pct"/>
            <w:tcBorders>
              <w:top w:val="nil"/>
              <w:left w:val="nil"/>
              <w:bottom w:val="nil"/>
              <w:right w:val="nil"/>
            </w:tcBorders>
            <w:shd w:val="clear" w:color="auto" w:fill="auto"/>
            <w:noWrap/>
            <w:vAlign w:val="center"/>
            <w:hideMark/>
          </w:tcPr>
          <w:p w14:paraId="0482D8CF"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2AC44309"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regulator, </w:t>
            </w:r>
            <w:proofErr w:type="spellStart"/>
            <w:r w:rsidRPr="000A5942">
              <w:rPr>
                <w:rFonts w:ascii="Calibri" w:hAnsi="Calibri" w:cs="Calibri"/>
              </w:rPr>
              <w:t>CsgD</w:t>
            </w:r>
            <w:proofErr w:type="spellEnd"/>
            <w:r w:rsidRPr="000A5942">
              <w:rPr>
                <w:rFonts w:ascii="Calibri" w:hAnsi="Calibri" w:cs="Calibri"/>
              </w:rPr>
              <w:t xml:space="preserve"> family</w:t>
            </w:r>
          </w:p>
        </w:tc>
        <w:tc>
          <w:tcPr>
            <w:tcW w:w="625" w:type="pct"/>
            <w:tcBorders>
              <w:top w:val="nil"/>
              <w:left w:val="nil"/>
              <w:bottom w:val="nil"/>
              <w:right w:val="nil"/>
            </w:tcBorders>
            <w:shd w:val="clear" w:color="auto" w:fill="auto"/>
            <w:noWrap/>
            <w:vAlign w:val="center"/>
            <w:hideMark/>
          </w:tcPr>
          <w:p w14:paraId="464C6ED6" w14:textId="77777777" w:rsidR="000D6168" w:rsidRPr="000A5942" w:rsidRDefault="000D6168" w:rsidP="00323FD6">
            <w:pPr>
              <w:rPr>
                <w:rFonts w:ascii="Calibri" w:hAnsi="Calibri" w:cs="Calibri"/>
              </w:rPr>
            </w:pPr>
            <w:r w:rsidRPr="000A5942">
              <w:rPr>
                <w:rFonts w:ascii="Calibri" w:hAnsi="Calibri" w:cs="Calibri"/>
              </w:rPr>
              <w:t>acyl homoserine lactone synthase</w:t>
            </w:r>
          </w:p>
        </w:tc>
        <w:tc>
          <w:tcPr>
            <w:tcW w:w="453" w:type="pct"/>
            <w:tcBorders>
              <w:top w:val="nil"/>
              <w:left w:val="nil"/>
              <w:bottom w:val="nil"/>
              <w:right w:val="nil"/>
            </w:tcBorders>
            <w:shd w:val="clear" w:color="auto" w:fill="auto"/>
            <w:noWrap/>
            <w:vAlign w:val="center"/>
            <w:hideMark/>
          </w:tcPr>
          <w:p w14:paraId="7D44D4EA" w14:textId="77777777" w:rsidR="000D6168" w:rsidRPr="000A5942" w:rsidRDefault="000D6168" w:rsidP="00323FD6">
            <w:pPr>
              <w:rPr>
                <w:rFonts w:ascii="Calibri" w:hAnsi="Calibri" w:cs="Calibri"/>
              </w:rPr>
            </w:pPr>
            <w:r w:rsidRPr="000A5942">
              <w:rPr>
                <w:rFonts w:ascii="Calibri" w:hAnsi="Calibri" w:cs="Calibri"/>
              </w:rPr>
              <w:t>57</w:t>
            </w:r>
          </w:p>
        </w:tc>
        <w:tc>
          <w:tcPr>
            <w:tcW w:w="311" w:type="pct"/>
            <w:tcBorders>
              <w:top w:val="nil"/>
              <w:left w:val="nil"/>
              <w:bottom w:val="nil"/>
              <w:right w:val="nil"/>
            </w:tcBorders>
            <w:shd w:val="clear" w:color="auto" w:fill="auto"/>
            <w:noWrap/>
            <w:vAlign w:val="center"/>
            <w:hideMark/>
          </w:tcPr>
          <w:p w14:paraId="54A918A8" w14:textId="77777777" w:rsidR="000D6168" w:rsidRPr="000A5942" w:rsidRDefault="000D6168" w:rsidP="00323FD6">
            <w:pPr>
              <w:rPr>
                <w:rFonts w:ascii="Calibri" w:hAnsi="Calibri" w:cs="Calibri"/>
              </w:rPr>
            </w:pPr>
            <w:r w:rsidRPr="000A5942">
              <w:rPr>
                <w:rFonts w:ascii="Calibri" w:hAnsi="Calibri" w:cs="Calibri"/>
              </w:rPr>
              <w:t>1</w:t>
            </w:r>
          </w:p>
        </w:tc>
        <w:tc>
          <w:tcPr>
            <w:tcW w:w="280" w:type="pct"/>
            <w:tcBorders>
              <w:top w:val="nil"/>
              <w:left w:val="nil"/>
              <w:bottom w:val="nil"/>
              <w:right w:val="nil"/>
            </w:tcBorders>
            <w:shd w:val="clear" w:color="auto" w:fill="auto"/>
            <w:noWrap/>
            <w:vAlign w:val="center"/>
            <w:hideMark/>
          </w:tcPr>
          <w:p w14:paraId="7623C469" w14:textId="77777777" w:rsidR="000D6168" w:rsidRPr="000A5942" w:rsidRDefault="000D6168" w:rsidP="00323FD6">
            <w:pPr>
              <w:rPr>
                <w:rFonts w:ascii="Calibri" w:hAnsi="Calibri" w:cs="Calibri"/>
              </w:rPr>
            </w:pPr>
            <w:r w:rsidRPr="000A5942">
              <w:rPr>
                <w:rFonts w:ascii="Calibri" w:hAnsi="Calibri" w:cs="Calibri"/>
              </w:rPr>
              <w:t>40.7</w:t>
            </w:r>
          </w:p>
        </w:tc>
        <w:tc>
          <w:tcPr>
            <w:tcW w:w="347" w:type="pct"/>
            <w:tcBorders>
              <w:top w:val="nil"/>
              <w:left w:val="nil"/>
              <w:bottom w:val="nil"/>
              <w:right w:val="nil"/>
            </w:tcBorders>
            <w:shd w:val="clear" w:color="auto" w:fill="auto"/>
            <w:noWrap/>
            <w:vAlign w:val="center"/>
            <w:hideMark/>
          </w:tcPr>
          <w:p w14:paraId="5532F91D" w14:textId="77777777" w:rsidR="000D6168" w:rsidRPr="000A5942" w:rsidRDefault="000D6168" w:rsidP="00323FD6">
            <w:pPr>
              <w:rPr>
                <w:rFonts w:ascii="Calibri" w:hAnsi="Calibri" w:cs="Calibri"/>
              </w:rPr>
            </w:pPr>
            <w:r w:rsidRPr="000A5942">
              <w:rPr>
                <w:rFonts w:ascii="Calibri" w:hAnsi="Calibri" w:cs="Calibri"/>
              </w:rPr>
              <w:t>3</w:t>
            </w:r>
          </w:p>
        </w:tc>
        <w:tc>
          <w:tcPr>
            <w:tcW w:w="313" w:type="pct"/>
            <w:tcBorders>
              <w:top w:val="nil"/>
              <w:left w:val="nil"/>
              <w:bottom w:val="nil"/>
              <w:right w:val="nil"/>
            </w:tcBorders>
            <w:shd w:val="clear" w:color="auto" w:fill="auto"/>
            <w:noWrap/>
            <w:vAlign w:val="center"/>
            <w:hideMark/>
          </w:tcPr>
          <w:p w14:paraId="1F8BA8E0" w14:textId="77777777" w:rsidR="000D6168" w:rsidRPr="000A5942" w:rsidRDefault="000D6168" w:rsidP="00323FD6">
            <w:pPr>
              <w:rPr>
                <w:rFonts w:ascii="Calibri" w:hAnsi="Calibri" w:cs="Calibri"/>
              </w:rPr>
            </w:pPr>
            <w:r w:rsidRPr="000A5942">
              <w:rPr>
                <w:rFonts w:ascii="Calibri" w:hAnsi="Calibri" w:cs="Calibri"/>
              </w:rPr>
              <w:t>3907</w:t>
            </w:r>
          </w:p>
        </w:tc>
        <w:tc>
          <w:tcPr>
            <w:tcW w:w="380" w:type="pct"/>
            <w:tcBorders>
              <w:top w:val="nil"/>
              <w:left w:val="nil"/>
              <w:bottom w:val="nil"/>
              <w:right w:val="single" w:sz="4" w:space="0" w:color="auto"/>
            </w:tcBorders>
            <w:shd w:val="clear" w:color="auto" w:fill="auto"/>
            <w:noWrap/>
            <w:vAlign w:val="center"/>
            <w:hideMark/>
          </w:tcPr>
          <w:p w14:paraId="4BDA5CF6" w14:textId="77777777" w:rsidR="000D6168" w:rsidRPr="000A5942" w:rsidRDefault="000D6168" w:rsidP="00323FD6">
            <w:pPr>
              <w:rPr>
                <w:rFonts w:ascii="Calibri" w:hAnsi="Calibri" w:cs="Calibri"/>
              </w:rPr>
            </w:pPr>
            <w:r w:rsidRPr="000A5942">
              <w:rPr>
                <w:rFonts w:ascii="Calibri" w:hAnsi="Calibri" w:cs="Calibri"/>
              </w:rPr>
              <w:t xml:space="preserve"> 0.0768%</w:t>
            </w:r>
          </w:p>
        </w:tc>
      </w:tr>
      <w:tr w:rsidR="000D6168" w:rsidRPr="000A5942" w14:paraId="16FDCB0E" w14:textId="77777777" w:rsidTr="00323FD6">
        <w:trPr>
          <w:trHeight w:val="290"/>
          <w:jc w:val="center"/>
        </w:trPr>
        <w:tc>
          <w:tcPr>
            <w:tcW w:w="971" w:type="pct"/>
            <w:gridSpan w:val="2"/>
            <w:vMerge w:val="restart"/>
            <w:tcBorders>
              <w:top w:val="nil"/>
              <w:left w:val="single" w:sz="4" w:space="0" w:color="auto"/>
              <w:right w:val="nil"/>
            </w:tcBorders>
            <w:shd w:val="clear" w:color="auto" w:fill="auto"/>
            <w:noWrap/>
            <w:vAlign w:val="center"/>
            <w:hideMark/>
          </w:tcPr>
          <w:p w14:paraId="44C0C488"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32406774" w14:textId="77777777" w:rsidR="000D6168" w:rsidRPr="000A5942" w:rsidRDefault="000D6168" w:rsidP="00323FD6">
            <w:pPr>
              <w:rPr>
                <w:rFonts w:ascii="Calibri" w:hAnsi="Calibri" w:cs="Calibri"/>
              </w:rPr>
            </w:pPr>
            <w:r w:rsidRPr="000A5942">
              <w:rPr>
                <w:rFonts w:ascii="Calibri" w:hAnsi="Calibri" w:cs="Calibri"/>
              </w:rPr>
              <w:t>Ga0124145_113</w:t>
            </w:r>
          </w:p>
        </w:tc>
        <w:tc>
          <w:tcPr>
            <w:tcW w:w="313" w:type="pct"/>
            <w:tcBorders>
              <w:top w:val="nil"/>
              <w:left w:val="nil"/>
              <w:bottom w:val="nil"/>
              <w:right w:val="nil"/>
            </w:tcBorders>
            <w:shd w:val="clear" w:color="auto" w:fill="auto"/>
            <w:noWrap/>
            <w:vAlign w:val="center"/>
            <w:hideMark/>
          </w:tcPr>
          <w:p w14:paraId="6BCDA302"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4AF363B6" w14:textId="77777777" w:rsidR="000D6168" w:rsidRPr="000A5942" w:rsidRDefault="000D6168" w:rsidP="00323FD6">
            <w:pPr>
              <w:rPr>
                <w:rFonts w:ascii="Calibri" w:hAnsi="Calibri" w:cs="Calibri"/>
              </w:rPr>
            </w:pPr>
            <w:r w:rsidRPr="000A5942">
              <w:rPr>
                <w:rFonts w:ascii="Calibri" w:hAnsi="Calibri" w:cs="Calibri"/>
              </w:rPr>
              <w:t xml:space="preserve"> (R)-</w:t>
            </w:r>
            <w:proofErr w:type="spellStart"/>
            <w:r w:rsidRPr="000A5942">
              <w:rPr>
                <w:rFonts w:ascii="Calibri" w:hAnsi="Calibri" w:cs="Calibri"/>
              </w:rPr>
              <w:t>ethylmalonyl</w:t>
            </w:r>
            <w:proofErr w:type="spellEnd"/>
            <w:r w:rsidRPr="000A5942">
              <w:rPr>
                <w:rFonts w:ascii="Calibri" w:hAnsi="Calibri" w:cs="Calibri"/>
              </w:rPr>
              <w:t>-CoA mutase</w:t>
            </w:r>
          </w:p>
        </w:tc>
        <w:tc>
          <w:tcPr>
            <w:tcW w:w="625" w:type="pct"/>
            <w:tcBorders>
              <w:top w:val="nil"/>
              <w:left w:val="nil"/>
              <w:bottom w:val="nil"/>
              <w:right w:val="nil"/>
            </w:tcBorders>
            <w:shd w:val="clear" w:color="auto" w:fill="auto"/>
            <w:noWrap/>
            <w:vAlign w:val="center"/>
            <w:hideMark/>
          </w:tcPr>
          <w:p w14:paraId="76450AD1"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453" w:type="pct"/>
            <w:tcBorders>
              <w:top w:val="nil"/>
              <w:left w:val="nil"/>
              <w:bottom w:val="nil"/>
              <w:right w:val="nil"/>
            </w:tcBorders>
            <w:shd w:val="clear" w:color="auto" w:fill="auto"/>
            <w:noWrap/>
            <w:vAlign w:val="center"/>
            <w:hideMark/>
          </w:tcPr>
          <w:p w14:paraId="51BCDBA0" w14:textId="77777777" w:rsidR="000D6168" w:rsidRPr="000A5942" w:rsidRDefault="000D6168" w:rsidP="00323FD6">
            <w:pPr>
              <w:rPr>
                <w:rFonts w:ascii="Calibri" w:hAnsi="Calibri" w:cs="Calibri"/>
              </w:rPr>
            </w:pPr>
            <w:r w:rsidRPr="000A5942">
              <w:rPr>
                <w:rFonts w:ascii="Calibri" w:hAnsi="Calibri" w:cs="Calibri"/>
              </w:rPr>
              <w:t>4181</w:t>
            </w:r>
          </w:p>
        </w:tc>
        <w:tc>
          <w:tcPr>
            <w:tcW w:w="311" w:type="pct"/>
            <w:tcBorders>
              <w:top w:val="nil"/>
              <w:left w:val="nil"/>
              <w:bottom w:val="nil"/>
              <w:right w:val="nil"/>
            </w:tcBorders>
            <w:shd w:val="clear" w:color="auto" w:fill="auto"/>
            <w:noWrap/>
            <w:vAlign w:val="center"/>
            <w:hideMark/>
          </w:tcPr>
          <w:p w14:paraId="554271F3" w14:textId="77777777" w:rsidR="000D6168" w:rsidRPr="000A5942" w:rsidRDefault="000D6168" w:rsidP="00323FD6">
            <w:pPr>
              <w:rPr>
                <w:rFonts w:ascii="Calibri" w:hAnsi="Calibri" w:cs="Calibri"/>
              </w:rPr>
            </w:pPr>
            <w:r w:rsidRPr="000A5942">
              <w:rPr>
                <w:rFonts w:ascii="Calibri" w:hAnsi="Calibri" w:cs="Calibri"/>
              </w:rPr>
              <w:t>3000</w:t>
            </w:r>
          </w:p>
        </w:tc>
        <w:tc>
          <w:tcPr>
            <w:tcW w:w="280" w:type="pct"/>
            <w:tcBorders>
              <w:top w:val="nil"/>
              <w:left w:val="nil"/>
              <w:bottom w:val="nil"/>
              <w:right w:val="nil"/>
            </w:tcBorders>
            <w:shd w:val="clear" w:color="auto" w:fill="auto"/>
            <w:noWrap/>
            <w:vAlign w:val="center"/>
            <w:hideMark/>
          </w:tcPr>
          <w:p w14:paraId="711A5589" w14:textId="77777777" w:rsidR="000D6168" w:rsidRPr="000A5942" w:rsidRDefault="000D6168" w:rsidP="00323FD6">
            <w:pPr>
              <w:rPr>
                <w:rFonts w:ascii="Calibri" w:hAnsi="Calibri" w:cs="Calibri"/>
              </w:rPr>
            </w:pPr>
            <w:r w:rsidRPr="000A5942">
              <w:rPr>
                <w:rFonts w:ascii="Calibri" w:hAnsi="Calibri" w:cs="Calibri"/>
              </w:rPr>
              <w:t>34</w:t>
            </w:r>
          </w:p>
        </w:tc>
        <w:tc>
          <w:tcPr>
            <w:tcW w:w="1040" w:type="pct"/>
            <w:gridSpan w:val="3"/>
            <w:vMerge w:val="restart"/>
            <w:tcBorders>
              <w:top w:val="nil"/>
              <w:left w:val="nil"/>
              <w:right w:val="single" w:sz="4" w:space="0" w:color="auto"/>
            </w:tcBorders>
            <w:shd w:val="clear" w:color="auto" w:fill="auto"/>
            <w:noWrap/>
            <w:vAlign w:val="center"/>
            <w:hideMark/>
          </w:tcPr>
          <w:p w14:paraId="1A5055F1" w14:textId="77777777" w:rsidR="000D6168" w:rsidRPr="000A5942" w:rsidRDefault="000D6168" w:rsidP="00323FD6">
            <w:pPr>
              <w:rPr>
                <w:rFonts w:ascii="Calibri" w:hAnsi="Calibri" w:cs="Calibri"/>
              </w:rPr>
            </w:pPr>
          </w:p>
        </w:tc>
      </w:tr>
      <w:tr w:rsidR="000D6168" w:rsidRPr="000A5942" w14:paraId="74D414C2" w14:textId="77777777" w:rsidTr="00323FD6">
        <w:trPr>
          <w:trHeight w:val="290"/>
          <w:jc w:val="center"/>
        </w:trPr>
        <w:tc>
          <w:tcPr>
            <w:tcW w:w="971" w:type="pct"/>
            <w:gridSpan w:val="2"/>
            <w:vMerge/>
            <w:tcBorders>
              <w:left w:val="single" w:sz="4" w:space="0" w:color="auto"/>
              <w:bottom w:val="single" w:sz="4" w:space="0" w:color="auto"/>
              <w:right w:val="nil"/>
            </w:tcBorders>
            <w:shd w:val="clear" w:color="auto" w:fill="auto"/>
            <w:noWrap/>
            <w:vAlign w:val="center"/>
            <w:hideMark/>
          </w:tcPr>
          <w:p w14:paraId="21639D06"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058BA6DB" w14:textId="77777777" w:rsidR="000D6168" w:rsidRPr="000A5942" w:rsidRDefault="000D6168" w:rsidP="00323FD6">
            <w:pPr>
              <w:rPr>
                <w:rFonts w:ascii="Calibri" w:hAnsi="Calibri" w:cs="Calibri"/>
              </w:rPr>
            </w:pPr>
            <w:r w:rsidRPr="000A5942">
              <w:rPr>
                <w:rFonts w:ascii="Calibri" w:hAnsi="Calibri" w:cs="Calibri"/>
              </w:rPr>
              <w:t>Ga0124145_137</w:t>
            </w:r>
          </w:p>
        </w:tc>
        <w:tc>
          <w:tcPr>
            <w:tcW w:w="313" w:type="pct"/>
            <w:tcBorders>
              <w:top w:val="nil"/>
              <w:left w:val="nil"/>
              <w:bottom w:val="single" w:sz="4" w:space="0" w:color="auto"/>
              <w:right w:val="nil"/>
            </w:tcBorders>
            <w:shd w:val="clear" w:color="auto" w:fill="auto"/>
            <w:noWrap/>
            <w:vAlign w:val="center"/>
            <w:hideMark/>
          </w:tcPr>
          <w:p w14:paraId="598CD176"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0A4C74A9" w14:textId="77777777" w:rsidR="000D6168" w:rsidRPr="000A5942" w:rsidRDefault="000D6168" w:rsidP="00323FD6">
            <w:pPr>
              <w:rPr>
                <w:rFonts w:ascii="Calibri" w:hAnsi="Calibri" w:cs="Calibri"/>
              </w:rPr>
            </w:pPr>
            <w:r w:rsidRPr="000A5942">
              <w:rPr>
                <w:rFonts w:ascii="Calibri" w:hAnsi="Calibri" w:cs="Calibri"/>
              </w:rPr>
              <w:t xml:space="preserve"> RNA polymerase, sigma-24 subunit, </w:t>
            </w:r>
            <w:proofErr w:type="spellStart"/>
            <w:r w:rsidRPr="000A5942">
              <w:rPr>
                <w:rFonts w:ascii="Calibri" w:hAnsi="Calibri" w:cs="Calibri"/>
              </w:rPr>
              <w:t>RpoE</w:t>
            </w:r>
            <w:proofErr w:type="spellEnd"/>
          </w:p>
        </w:tc>
        <w:tc>
          <w:tcPr>
            <w:tcW w:w="625" w:type="pct"/>
            <w:tcBorders>
              <w:top w:val="nil"/>
              <w:left w:val="nil"/>
              <w:bottom w:val="single" w:sz="4" w:space="0" w:color="auto"/>
              <w:right w:val="nil"/>
            </w:tcBorders>
            <w:shd w:val="clear" w:color="auto" w:fill="auto"/>
            <w:noWrap/>
            <w:vAlign w:val="center"/>
            <w:hideMark/>
          </w:tcPr>
          <w:p w14:paraId="3224343D"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response regulator, </w:t>
            </w:r>
            <w:proofErr w:type="spellStart"/>
            <w:r w:rsidRPr="000A5942">
              <w:rPr>
                <w:rFonts w:ascii="Calibri" w:hAnsi="Calibri" w:cs="Calibri"/>
              </w:rPr>
              <w:t>NtrC</w:t>
            </w:r>
            <w:proofErr w:type="spellEnd"/>
            <w:r w:rsidRPr="000A5942">
              <w:rPr>
                <w:rFonts w:ascii="Calibri" w:hAnsi="Calibri" w:cs="Calibri"/>
              </w:rPr>
              <w:t xml:space="preserve"> family, contains REC, AAA-type ATPase, and a </w:t>
            </w:r>
            <w:proofErr w:type="spellStart"/>
            <w:r w:rsidRPr="000A5942">
              <w:rPr>
                <w:rFonts w:ascii="Calibri" w:hAnsi="Calibri" w:cs="Calibri"/>
              </w:rPr>
              <w:t>Fis</w:t>
            </w:r>
            <w:proofErr w:type="spellEnd"/>
            <w:r w:rsidRPr="000A5942">
              <w:rPr>
                <w:rFonts w:ascii="Calibri" w:hAnsi="Calibri" w:cs="Calibri"/>
              </w:rPr>
              <w:t>-type DNA-binding domains</w:t>
            </w:r>
          </w:p>
        </w:tc>
        <w:tc>
          <w:tcPr>
            <w:tcW w:w="453" w:type="pct"/>
            <w:tcBorders>
              <w:top w:val="nil"/>
              <w:left w:val="nil"/>
              <w:bottom w:val="single" w:sz="4" w:space="0" w:color="auto"/>
              <w:right w:val="nil"/>
            </w:tcBorders>
            <w:shd w:val="clear" w:color="auto" w:fill="auto"/>
            <w:noWrap/>
            <w:vAlign w:val="center"/>
            <w:hideMark/>
          </w:tcPr>
          <w:p w14:paraId="31F4CE85" w14:textId="77777777" w:rsidR="000D6168" w:rsidRPr="000A5942" w:rsidRDefault="000D6168" w:rsidP="00323FD6">
            <w:pPr>
              <w:rPr>
                <w:rFonts w:ascii="Calibri" w:hAnsi="Calibri" w:cs="Calibri"/>
              </w:rPr>
            </w:pPr>
            <w:r w:rsidRPr="000A5942">
              <w:rPr>
                <w:rFonts w:ascii="Calibri" w:hAnsi="Calibri" w:cs="Calibri"/>
              </w:rPr>
              <w:t>3668</w:t>
            </w:r>
          </w:p>
        </w:tc>
        <w:tc>
          <w:tcPr>
            <w:tcW w:w="311" w:type="pct"/>
            <w:tcBorders>
              <w:top w:val="nil"/>
              <w:left w:val="nil"/>
              <w:bottom w:val="single" w:sz="4" w:space="0" w:color="auto"/>
              <w:right w:val="nil"/>
            </w:tcBorders>
            <w:shd w:val="clear" w:color="auto" w:fill="auto"/>
            <w:noWrap/>
            <w:vAlign w:val="center"/>
            <w:hideMark/>
          </w:tcPr>
          <w:p w14:paraId="17A38D4D" w14:textId="77777777" w:rsidR="000D6168" w:rsidRPr="000A5942" w:rsidRDefault="000D6168" w:rsidP="00323FD6">
            <w:pPr>
              <w:rPr>
                <w:rFonts w:ascii="Calibri" w:hAnsi="Calibri" w:cs="Calibri"/>
              </w:rPr>
            </w:pPr>
            <w:r w:rsidRPr="000A5942">
              <w:rPr>
                <w:rFonts w:ascii="Calibri" w:hAnsi="Calibri" w:cs="Calibri"/>
              </w:rPr>
              <w:t>5573</w:t>
            </w:r>
          </w:p>
        </w:tc>
        <w:tc>
          <w:tcPr>
            <w:tcW w:w="280" w:type="pct"/>
            <w:tcBorders>
              <w:top w:val="nil"/>
              <w:left w:val="nil"/>
              <w:bottom w:val="single" w:sz="4" w:space="0" w:color="auto"/>
              <w:right w:val="nil"/>
            </w:tcBorders>
            <w:shd w:val="clear" w:color="auto" w:fill="auto"/>
            <w:noWrap/>
            <w:vAlign w:val="center"/>
            <w:hideMark/>
          </w:tcPr>
          <w:p w14:paraId="7870734C" w14:textId="77777777" w:rsidR="000D6168" w:rsidRPr="000A5942" w:rsidRDefault="000D6168" w:rsidP="00323FD6">
            <w:pPr>
              <w:rPr>
                <w:rFonts w:ascii="Calibri" w:hAnsi="Calibri" w:cs="Calibri"/>
              </w:rPr>
            </w:pPr>
            <w:r w:rsidRPr="000A5942">
              <w:rPr>
                <w:rFonts w:ascii="Calibri" w:hAnsi="Calibri" w:cs="Calibri"/>
              </w:rPr>
              <w:t>10.1</w:t>
            </w:r>
          </w:p>
        </w:tc>
        <w:tc>
          <w:tcPr>
            <w:tcW w:w="1040" w:type="pct"/>
            <w:gridSpan w:val="3"/>
            <w:vMerge/>
            <w:tcBorders>
              <w:left w:val="nil"/>
              <w:bottom w:val="single" w:sz="4" w:space="0" w:color="auto"/>
              <w:right w:val="single" w:sz="4" w:space="0" w:color="auto"/>
            </w:tcBorders>
            <w:shd w:val="clear" w:color="auto" w:fill="auto"/>
            <w:noWrap/>
            <w:vAlign w:val="center"/>
            <w:hideMark/>
          </w:tcPr>
          <w:p w14:paraId="0D0430E2" w14:textId="77777777" w:rsidR="000D6168" w:rsidRPr="000A5942" w:rsidRDefault="000D6168" w:rsidP="00323FD6">
            <w:pPr>
              <w:rPr>
                <w:rFonts w:ascii="Calibri" w:hAnsi="Calibri" w:cs="Calibri"/>
              </w:rPr>
            </w:pPr>
          </w:p>
        </w:tc>
      </w:tr>
      <w:tr w:rsidR="000D6168" w:rsidRPr="000A5942" w14:paraId="5B441D79"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072D3B55" w14:textId="77777777" w:rsidR="000D6168" w:rsidRPr="000A5942" w:rsidRDefault="000D6168" w:rsidP="00323FD6">
            <w:pPr>
              <w:rPr>
                <w:rFonts w:ascii="Calibri" w:hAnsi="Calibri" w:cs="Calibri"/>
              </w:rPr>
            </w:pPr>
            <w:r w:rsidRPr="000A5942">
              <w:rPr>
                <w:rFonts w:ascii="Calibri" w:hAnsi="Calibri" w:cs="Calibri"/>
              </w:rPr>
              <w:t>2706794655</w:t>
            </w:r>
          </w:p>
        </w:tc>
        <w:tc>
          <w:tcPr>
            <w:tcW w:w="452" w:type="pct"/>
            <w:tcBorders>
              <w:top w:val="nil"/>
              <w:left w:val="nil"/>
              <w:bottom w:val="nil"/>
              <w:right w:val="nil"/>
            </w:tcBorders>
            <w:shd w:val="clear" w:color="auto" w:fill="auto"/>
            <w:noWrap/>
            <w:vAlign w:val="center"/>
            <w:hideMark/>
          </w:tcPr>
          <w:p w14:paraId="6D49F23C" w14:textId="77777777" w:rsidR="000D6168" w:rsidRPr="000A5942" w:rsidRDefault="000D6168" w:rsidP="00323FD6">
            <w:pPr>
              <w:rPr>
                <w:rFonts w:ascii="Calibri" w:hAnsi="Calibri" w:cs="Calibri"/>
              </w:rPr>
            </w:pPr>
            <w:proofErr w:type="spellStart"/>
            <w:r w:rsidRPr="000A5942">
              <w:rPr>
                <w:rFonts w:ascii="Calibri" w:hAnsi="Calibri" w:cs="Calibri"/>
              </w:rPr>
              <w:t>Phaeobacter</w:t>
            </w:r>
            <w:proofErr w:type="spellEnd"/>
            <w:r w:rsidRPr="000A5942">
              <w:rPr>
                <w:rFonts w:ascii="Calibri" w:hAnsi="Calibri" w:cs="Calibri"/>
              </w:rPr>
              <w:t xml:space="preserve"> </w:t>
            </w:r>
            <w:proofErr w:type="spellStart"/>
            <w:r w:rsidRPr="000A5942">
              <w:rPr>
                <w:rFonts w:ascii="Calibri" w:hAnsi="Calibri" w:cs="Calibri"/>
              </w:rPr>
              <w:t>italicus</w:t>
            </w:r>
            <w:proofErr w:type="spellEnd"/>
            <w:r w:rsidRPr="000A5942">
              <w:rPr>
                <w:rFonts w:ascii="Calibri" w:hAnsi="Calibri" w:cs="Calibri"/>
              </w:rPr>
              <w:t xml:space="preserve"> </w:t>
            </w:r>
            <w:r w:rsidRPr="000A5942">
              <w:rPr>
                <w:rFonts w:ascii="Calibri" w:hAnsi="Calibri" w:cs="Calibri"/>
              </w:rPr>
              <w:lastRenderedPageBreak/>
              <w:t>CECT 7645</w:t>
            </w:r>
          </w:p>
        </w:tc>
        <w:tc>
          <w:tcPr>
            <w:tcW w:w="347" w:type="pct"/>
            <w:tcBorders>
              <w:top w:val="nil"/>
              <w:left w:val="nil"/>
              <w:bottom w:val="nil"/>
              <w:right w:val="nil"/>
            </w:tcBorders>
            <w:shd w:val="clear" w:color="auto" w:fill="auto"/>
            <w:noWrap/>
            <w:vAlign w:val="center"/>
            <w:hideMark/>
          </w:tcPr>
          <w:p w14:paraId="48DED724" w14:textId="77777777" w:rsidR="000D6168" w:rsidRPr="000A5942" w:rsidRDefault="000D6168" w:rsidP="00323FD6">
            <w:pPr>
              <w:rPr>
                <w:rFonts w:ascii="Calibri" w:hAnsi="Calibri" w:cs="Calibri"/>
              </w:rPr>
            </w:pPr>
            <w:r w:rsidRPr="000A5942">
              <w:rPr>
                <w:rFonts w:ascii="Calibri" w:hAnsi="Calibri" w:cs="Calibri"/>
              </w:rPr>
              <w:lastRenderedPageBreak/>
              <w:t>Ga0124146_131</w:t>
            </w:r>
          </w:p>
        </w:tc>
        <w:tc>
          <w:tcPr>
            <w:tcW w:w="313" w:type="pct"/>
            <w:tcBorders>
              <w:top w:val="nil"/>
              <w:left w:val="nil"/>
              <w:bottom w:val="nil"/>
              <w:right w:val="nil"/>
            </w:tcBorders>
            <w:shd w:val="clear" w:color="auto" w:fill="auto"/>
            <w:noWrap/>
            <w:vAlign w:val="center"/>
            <w:hideMark/>
          </w:tcPr>
          <w:p w14:paraId="27F056EC"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4A436337"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regulator, </w:t>
            </w:r>
            <w:proofErr w:type="spellStart"/>
            <w:r w:rsidRPr="000A5942">
              <w:rPr>
                <w:rFonts w:ascii="Calibri" w:hAnsi="Calibri" w:cs="Calibri"/>
              </w:rPr>
              <w:t>CsgD</w:t>
            </w:r>
            <w:proofErr w:type="spellEnd"/>
            <w:r w:rsidRPr="000A5942">
              <w:rPr>
                <w:rFonts w:ascii="Calibri" w:hAnsi="Calibri" w:cs="Calibri"/>
              </w:rPr>
              <w:t xml:space="preserve"> family</w:t>
            </w:r>
          </w:p>
        </w:tc>
        <w:tc>
          <w:tcPr>
            <w:tcW w:w="625" w:type="pct"/>
            <w:tcBorders>
              <w:top w:val="nil"/>
              <w:left w:val="nil"/>
              <w:bottom w:val="nil"/>
              <w:right w:val="nil"/>
            </w:tcBorders>
            <w:shd w:val="clear" w:color="auto" w:fill="auto"/>
            <w:noWrap/>
            <w:vAlign w:val="center"/>
            <w:hideMark/>
          </w:tcPr>
          <w:p w14:paraId="164219C3" w14:textId="77777777" w:rsidR="000D6168" w:rsidRPr="000A5942" w:rsidRDefault="000D6168" w:rsidP="00323FD6">
            <w:pPr>
              <w:rPr>
                <w:rFonts w:ascii="Calibri" w:hAnsi="Calibri" w:cs="Calibri"/>
              </w:rPr>
            </w:pPr>
            <w:r w:rsidRPr="000A5942">
              <w:rPr>
                <w:rFonts w:ascii="Calibri" w:hAnsi="Calibri" w:cs="Calibri"/>
              </w:rPr>
              <w:t>acyl homoserine lactone synthase</w:t>
            </w:r>
          </w:p>
        </w:tc>
        <w:tc>
          <w:tcPr>
            <w:tcW w:w="453" w:type="pct"/>
            <w:tcBorders>
              <w:top w:val="nil"/>
              <w:left w:val="nil"/>
              <w:bottom w:val="nil"/>
              <w:right w:val="nil"/>
            </w:tcBorders>
            <w:shd w:val="clear" w:color="auto" w:fill="auto"/>
            <w:noWrap/>
            <w:vAlign w:val="center"/>
            <w:hideMark/>
          </w:tcPr>
          <w:p w14:paraId="00E30D15" w14:textId="77777777" w:rsidR="000D6168" w:rsidRPr="000A5942" w:rsidRDefault="000D6168" w:rsidP="00323FD6">
            <w:pPr>
              <w:rPr>
                <w:rFonts w:ascii="Calibri" w:hAnsi="Calibri" w:cs="Calibri"/>
              </w:rPr>
            </w:pPr>
            <w:r w:rsidRPr="000A5942">
              <w:rPr>
                <w:rFonts w:ascii="Calibri" w:hAnsi="Calibri" w:cs="Calibri"/>
              </w:rPr>
              <w:t>57</w:t>
            </w:r>
          </w:p>
        </w:tc>
        <w:tc>
          <w:tcPr>
            <w:tcW w:w="311" w:type="pct"/>
            <w:tcBorders>
              <w:top w:val="nil"/>
              <w:left w:val="nil"/>
              <w:bottom w:val="nil"/>
              <w:right w:val="nil"/>
            </w:tcBorders>
            <w:shd w:val="clear" w:color="auto" w:fill="auto"/>
            <w:noWrap/>
            <w:vAlign w:val="center"/>
            <w:hideMark/>
          </w:tcPr>
          <w:p w14:paraId="21799DCC" w14:textId="77777777" w:rsidR="000D6168" w:rsidRPr="000A5942" w:rsidRDefault="000D6168" w:rsidP="00323FD6">
            <w:pPr>
              <w:rPr>
                <w:rFonts w:ascii="Calibri" w:hAnsi="Calibri" w:cs="Calibri"/>
              </w:rPr>
            </w:pPr>
            <w:r w:rsidRPr="000A5942">
              <w:rPr>
                <w:rFonts w:ascii="Calibri" w:hAnsi="Calibri" w:cs="Calibri"/>
              </w:rPr>
              <w:t>1</w:t>
            </w:r>
          </w:p>
        </w:tc>
        <w:tc>
          <w:tcPr>
            <w:tcW w:w="280" w:type="pct"/>
            <w:tcBorders>
              <w:top w:val="nil"/>
              <w:left w:val="nil"/>
              <w:bottom w:val="nil"/>
              <w:right w:val="nil"/>
            </w:tcBorders>
            <w:shd w:val="clear" w:color="auto" w:fill="auto"/>
            <w:noWrap/>
            <w:vAlign w:val="center"/>
            <w:hideMark/>
          </w:tcPr>
          <w:p w14:paraId="51A7534E" w14:textId="77777777" w:rsidR="000D6168" w:rsidRPr="000A5942" w:rsidRDefault="000D6168" w:rsidP="00323FD6">
            <w:pPr>
              <w:rPr>
                <w:rFonts w:ascii="Calibri" w:hAnsi="Calibri" w:cs="Calibri"/>
              </w:rPr>
            </w:pPr>
            <w:r w:rsidRPr="000A5942">
              <w:rPr>
                <w:rFonts w:ascii="Calibri" w:hAnsi="Calibri" w:cs="Calibri"/>
              </w:rPr>
              <w:t>40.7</w:t>
            </w:r>
          </w:p>
        </w:tc>
        <w:tc>
          <w:tcPr>
            <w:tcW w:w="347" w:type="pct"/>
            <w:tcBorders>
              <w:top w:val="nil"/>
              <w:left w:val="nil"/>
              <w:bottom w:val="nil"/>
              <w:right w:val="nil"/>
            </w:tcBorders>
            <w:shd w:val="clear" w:color="auto" w:fill="auto"/>
            <w:noWrap/>
            <w:vAlign w:val="center"/>
            <w:hideMark/>
          </w:tcPr>
          <w:p w14:paraId="1B33C585" w14:textId="77777777" w:rsidR="000D6168" w:rsidRPr="000A5942" w:rsidRDefault="000D6168" w:rsidP="00323FD6">
            <w:pPr>
              <w:rPr>
                <w:rFonts w:ascii="Calibri" w:hAnsi="Calibri" w:cs="Calibri"/>
              </w:rPr>
            </w:pPr>
            <w:r w:rsidRPr="000A5942">
              <w:rPr>
                <w:rFonts w:ascii="Calibri" w:hAnsi="Calibri" w:cs="Calibri"/>
              </w:rPr>
              <w:t>3</w:t>
            </w:r>
          </w:p>
        </w:tc>
        <w:tc>
          <w:tcPr>
            <w:tcW w:w="313" w:type="pct"/>
            <w:tcBorders>
              <w:top w:val="nil"/>
              <w:left w:val="nil"/>
              <w:bottom w:val="nil"/>
              <w:right w:val="nil"/>
            </w:tcBorders>
            <w:shd w:val="clear" w:color="auto" w:fill="auto"/>
            <w:noWrap/>
            <w:vAlign w:val="center"/>
            <w:hideMark/>
          </w:tcPr>
          <w:p w14:paraId="2C2D49F2" w14:textId="77777777" w:rsidR="000D6168" w:rsidRPr="000A5942" w:rsidRDefault="000D6168" w:rsidP="00323FD6">
            <w:pPr>
              <w:rPr>
                <w:rFonts w:ascii="Calibri" w:hAnsi="Calibri" w:cs="Calibri"/>
              </w:rPr>
            </w:pPr>
            <w:r w:rsidRPr="000A5942">
              <w:rPr>
                <w:rFonts w:ascii="Calibri" w:hAnsi="Calibri" w:cs="Calibri"/>
              </w:rPr>
              <w:t>3869</w:t>
            </w:r>
          </w:p>
        </w:tc>
        <w:tc>
          <w:tcPr>
            <w:tcW w:w="380" w:type="pct"/>
            <w:tcBorders>
              <w:top w:val="nil"/>
              <w:left w:val="nil"/>
              <w:bottom w:val="nil"/>
              <w:right w:val="single" w:sz="4" w:space="0" w:color="auto"/>
            </w:tcBorders>
            <w:shd w:val="clear" w:color="auto" w:fill="auto"/>
            <w:noWrap/>
            <w:vAlign w:val="center"/>
            <w:hideMark/>
          </w:tcPr>
          <w:p w14:paraId="607A9F74" w14:textId="77777777" w:rsidR="000D6168" w:rsidRPr="000A5942" w:rsidRDefault="000D6168" w:rsidP="00323FD6">
            <w:pPr>
              <w:rPr>
                <w:rFonts w:ascii="Calibri" w:hAnsi="Calibri" w:cs="Calibri"/>
              </w:rPr>
            </w:pPr>
            <w:r w:rsidRPr="000A5942">
              <w:rPr>
                <w:rFonts w:ascii="Calibri" w:hAnsi="Calibri" w:cs="Calibri"/>
              </w:rPr>
              <w:t xml:space="preserve"> 0.0775%</w:t>
            </w:r>
          </w:p>
        </w:tc>
      </w:tr>
      <w:tr w:rsidR="000D6168" w:rsidRPr="000A5942" w14:paraId="736D33BF" w14:textId="77777777" w:rsidTr="00323FD6">
        <w:trPr>
          <w:trHeight w:val="290"/>
          <w:jc w:val="center"/>
        </w:trPr>
        <w:tc>
          <w:tcPr>
            <w:tcW w:w="971" w:type="pct"/>
            <w:gridSpan w:val="2"/>
            <w:vMerge w:val="restart"/>
            <w:tcBorders>
              <w:top w:val="nil"/>
              <w:left w:val="single" w:sz="4" w:space="0" w:color="auto"/>
              <w:right w:val="nil"/>
            </w:tcBorders>
            <w:shd w:val="clear" w:color="auto" w:fill="auto"/>
            <w:noWrap/>
            <w:vAlign w:val="center"/>
            <w:hideMark/>
          </w:tcPr>
          <w:p w14:paraId="5F2BA038"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27AE6873" w14:textId="77777777" w:rsidR="000D6168" w:rsidRPr="000A5942" w:rsidRDefault="000D6168" w:rsidP="00323FD6">
            <w:pPr>
              <w:rPr>
                <w:rFonts w:ascii="Calibri" w:hAnsi="Calibri" w:cs="Calibri"/>
              </w:rPr>
            </w:pPr>
            <w:r w:rsidRPr="000A5942">
              <w:rPr>
                <w:rFonts w:ascii="Calibri" w:hAnsi="Calibri" w:cs="Calibri"/>
              </w:rPr>
              <w:t>Ga0124146_131</w:t>
            </w:r>
          </w:p>
        </w:tc>
        <w:tc>
          <w:tcPr>
            <w:tcW w:w="313" w:type="pct"/>
            <w:tcBorders>
              <w:top w:val="nil"/>
              <w:left w:val="nil"/>
              <w:bottom w:val="nil"/>
              <w:right w:val="nil"/>
            </w:tcBorders>
            <w:shd w:val="clear" w:color="auto" w:fill="auto"/>
            <w:noWrap/>
            <w:vAlign w:val="center"/>
            <w:hideMark/>
          </w:tcPr>
          <w:p w14:paraId="68E9D107"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6D04DDCB" w14:textId="77777777" w:rsidR="000D6168" w:rsidRPr="000A5942" w:rsidRDefault="000D6168" w:rsidP="00323FD6">
            <w:pPr>
              <w:rPr>
                <w:rFonts w:ascii="Calibri" w:hAnsi="Calibri" w:cs="Calibri"/>
              </w:rPr>
            </w:pPr>
            <w:r w:rsidRPr="000A5942">
              <w:rPr>
                <w:rFonts w:ascii="Calibri" w:hAnsi="Calibri" w:cs="Calibri"/>
              </w:rPr>
              <w:t xml:space="preserve"> (R)-</w:t>
            </w:r>
            <w:proofErr w:type="spellStart"/>
            <w:r w:rsidRPr="000A5942">
              <w:rPr>
                <w:rFonts w:ascii="Calibri" w:hAnsi="Calibri" w:cs="Calibri"/>
              </w:rPr>
              <w:t>ethylmalonyl</w:t>
            </w:r>
            <w:proofErr w:type="spellEnd"/>
            <w:r w:rsidRPr="000A5942">
              <w:rPr>
                <w:rFonts w:ascii="Calibri" w:hAnsi="Calibri" w:cs="Calibri"/>
              </w:rPr>
              <w:t>-CoA mutase</w:t>
            </w:r>
          </w:p>
        </w:tc>
        <w:tc>
          <w:tcPr>
            <w:tcW w:w="625" w:type="pct"/>
            <w:tcBorders>
              <w:top w:val="nil"/>
              <w:left w:val="nil"/>
              <w:bottom w:val="nil"/>
              <w:right w:val="nil"/>
            </w:tcBorders>
            <w:shd w:val="clear" w:color="auto" w:fill="auto"/>
            <w:noWrap/>
            <w:vAlign w:val="center"/>
            <w:hideMark/>
          </w:tcPr>
          <w:p w14:paraId="6EBDB64B"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453" w:type="pct"/>
            <w:tcBorders>
              <w:top w:val="nil"/>
              <w:left w:val="nil"/>
              <w:bottom w:val="nil"/>
              <w:right w:val="nil"/>
            </w:tcBorders>
            <w:shd w:val="clear" w:color="auto" w:fill="auto"/>
            <w:noWrap/>
            <w:vAlign w:val="center"/>
            <w:hideMark/>
          </w:tcPr>
          <w:p w14:paraId="7F075DB1" w14:textId="77777777" w:rsidR="000D6168" w:rsidRPr="000A5942" w:rsidRDefault="000D6168" w:rsidP="00323FD6">
            <w:pPr>
              <w:rPr>
                <w:rFonts w:ascii="Calibri" w:hAnsi="Calibri" w:cs="Calibri"/>
              </w:rPr>
            </w:pPr>
            <w:r w:rsidRPr="000A5942">
              <w:rPr>
                <w:rFonts w:ascii="Calibri" w:hAnsi="Calibri" w:cs="Calibri"/>
              </w:rPr>
              <w:t>4181</w:t>
            </w:r>
          </w:p>
        </w:tc>
        <w:tc>
          <w:tcPr>
            <w:tcW w:w="311" w:type="pct"/>
            <w:tcBorders>
              <w:top w:val="nil"/>
              <w:left w:val="nil"/>
              <w:bottom w:val="nil"/>
              <w:right w:val="nil"/>
            </w:tcBorders>
            <w:shd w:val="clear" w:color="auto" w:fill="auto"/>
            <w:noWrap/>
            <w:vAlign w:val="center"/>
            <w:hideMark/>
          </w:tcPr>
          <w:p w14:paraId="58A258A5" w14:textId="77777777" w:rsidR="000D6168" w:rsidRPr="000A5942" w:rsidRDefault="000D6168" w:rsidP="00323FD6">
            <w:pPr>
              <w:rPr>
                <w:rFonts w:ascii="Calibri" w:hAnsi="Calibri" w:cs="Calibri"/>
              </w:rPr>
            </w:pPr>
            <w:r w:rsidRPr="000A5942">
              <w:rPr>
                <w:rFonts w:ascii="Calibri" w:hAnsi="Calibri" w:cs="Calibri"/>
              </w:rPr>
              <w:t>3006</w:t>
            </w:r>
          </w:p>
        </w:tc>
        <w:tc>
          <w:tcPr>
            <w:tcW w:w="280" w:type="pct"/>
            <w:tcBorders>
              <w:top w:val="nil"/>
              <w:left w:val="nil"/>
              <w:bottom w:val="nil"/>
              <w:right w:val="nil"/>
            </w:tcBorders>
            <w:shd w:val="clear" w:color="auto" w:fill="auto"/>
            <w:noWrap/>
            <w:vAlign w:val="center"/>
            <w:hideMark/>
          </w:tcPr>
          <w:p w14:paraId="672F89D5" w14:textId="77777777" w:rsidR="000D6168" w:rsidRPr="000A5942" w:rsidRDefault="000D6168" w:rsidP="00323FD6">
            <w:pPr>
              <w:rPr>
                <w:rFonts w:ascii="Calibri" w:hAnsi="Calibri" w:cs="Calibri"/>
              </w:rPr>
            </w:pPr>
            <w:r w:rsidRPr="000A5942">
              <w:rPr>
                <w:rFonts w:ascii="Calibri" w:hAnsi="Calibri" w:cs="Calibri"/>
              </w:rPr>
              <w:t>34</w:t>
            </w:r>
          </w:p>
        </w:tc>
        <w:tc>
          <w:tcPr>
            <w:tcW w:w="1040" w:type="pct"/>
            <w:gridSpan w:val="3"/>
            <w:vMerge w:val="restart"/>
            <w:tcBorders>
              <w:top w:val="nil"/>
              <w:left w:val="nil"/>
              <w:right w:val="single" w:sz="4" w:space="0" w:color="auto"/>
            </w:tcBorders>
            <w:shd w:val="clear" w:color="auto" w:fill="auto"/>
            <w:noWrap/>
            <w:vAlign w:val="center"/>
            <w:hideMark/>
          </w:tcPr>
          <w:p w14:paraId="25C78CB1" w14:textId="77777777" w:rsidR="000D6168" w:rsidRPr="000A5942" w:rsidRDefault="000D6168" w:rsidP="00323FD6">
            <w:pPr>
              <w:rPr>
                <w:rFonts w:ascii="Calibri" w:hAnsi="Calibri" w:cs="Calibri"/>
              </w:rPr>
            </w:pPr>
          </w:p>
        </w:tc>
      </w:tr>
      <w:tr w:rsidR="000D6168" w:rsidRPr="000A5942" w14:paraId="56537CD1" w14:textId="77777777" w:rsidTr="00323FD6">
        <w:trPr>
          <w:trHeight w:val="290"/>
          <w:jc w:val="center"/>
        </w:trPr>
        <w:tc>
          <w:tcPr>
            <w:tcW w:w="971" w:type="pct"/>
            <w:gridSpan w:val="2"/>
            <w:vMerge/>
            <w:tcBorders>
              <w:left w:val="single" w:sz="4" w:space="0" w:color="auto"/>
              <w:bottom w:val="single" w:sz="4" w:space="0" w:color="auto"/>
              <w:right w:val="nil"/>
            </w:tcBorders>
            <w:shd w:val="clear" w:color="auto" w:fill="auto"/>
            <w:noWrap/>
            <w:vAlign w:val="center"/>
            <w:hideMark/>
          </w:tcPr>
          <w:p w14:paraId="3F67113C"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700D0588" w14:textId="77777777" w:rsidR="000D6168" w:rsidRPr="000A5942" w:rsidRDefault="000D6168" w:rsidP="00323FD6">
            <w:pPr>
              <w:rPr>
                <w:rFonts w:ascii="Calibri" w:hAnsi="Calibri" w:cs="Calibri"/>
              </w:rPr>
            </w:pPr>
            <w:r w:rsidRPr="000A5942">
              <w:rPr>
                <w:rFonts w:ascii="Calibri" w:hAnsi="Calibri" w:cs="Calibri"/>
              </w:rPr>
              <w:t>Ga0124146_135</w:t>
            </w:r>
          </w:p>
        </w:tc>
        <w:tc>
          <w:tcPr>
            <w:tcW w:w="313" w:type="pct"/>
            <w:tcBorders>
              <w:top w:val="nil"/>
              <w:left w:val="nil"/>
              <w:bottom w:val="single" w:sz="4" w:space="0" w:color="auto"/>
              <w:right w:val="nil"/>
            </w:tcBorders>
            <w:shd w:val="clear" w:color="auto" w:fill="auto"/>
            <w:noWrap/>
            <w:vAlign w:val="center"/>
            <w:hideMark/>
          </w:tcPr>
          <w:p w14:paraId="3E9A3156"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3C637EB1"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response regulator, </w:t>
            </w:r>
            <w:proofErr w:type="spellStart"/>
            <w:r w:rsidRPr="000A5942">
              <w:rPr>
                <w:rFonts w:ascii="Calibri" w:hAnsi="Calibri" w:cs="Calibri"/>
              </w:rPr>
              <w:t>NtrC</w:t>
            </w:r>
            <w:proofErr w:type="spellEnd"/>
            <w:r w:rsidRPr="000A5942">
              <w:rPr>
                <w:rFonts w:ascii="Calibri" w:hAnsi="Calibri" w:cs="Calibri"/>
              </w:rPr>
              <w:t xml:space="preserve"> family, contains REC, AAA-type ATPase, and a </w:t>
            </w:r>
            <w:proofErr w:type="spellStart"/>
            <w:r w:rsidRPr="000A5942">
              <w:rPr>
                <w:rFonts w:ascii="Calibri" w:hAnsi="Calibri" w:cs="Calibri"/>
              </w:rPr>
              <w:t>Fis</w:t>
            </w:r>
            <w:proofErr w:type="spellEnd"/>
            <w:r w:rsidRPr="000A5942">
              <w:rPr>
                <w:rFonts w:ascii="Calibri" w:hAnsi="Calibri" w:cs="Calibri"/>
              </w:rPr>
              <w:t>-type DNA-binding domains</w:t>
            </w:r>
          </w:p>
        </w:tc>
        <w:tc>
          <w:tcPr>
            <w:tcW w:w="625" w:type="pct"/>
            <w:tcBorders>
              <w:top w:val="nil"/>
              <w:left w:val="nil"/>
              <w:bottom w:val="single" w:sz="4" w:space="0" w:color="auto"/>
              <w:right w:val="nil"/>
            </w:tcBorders>
            <w:shd w:val="clear" w:color="auto" w:fill="auto"/>
            <w:noWrap/>
            <w:vAlign w:val="center"/>
            <w:hideMark/>
          </w:tcPr>
          <w:p w14:paraId="50002CF5" w14:textId="77777777" w:rsidR="000D6168" w:rsidRPr="000A5942" w:rsidRDefault="000D6168" w:rsidP="00323FD6">
            <w:pPr>
              <w:rPr>
                <w:rFonts w:ascii="Calibri" w:hAnsi="Calibri" w:cs="Calibri"/>
              </w:rPr>
            </w:pPr>
            <w:r w:rsidRPr="000A5942">
              <w:rPr>
                <w:rFonts w:ascii="Calibri" w:hAnsi="Calibri" w:cs="Calibri"/>
              </w:rPr>
              <w:t xml:space="preserve"> RNA polymerase, sigma-24 subunit, </w:t>
            </w:r>
            <w:proofErr w:type="spellStart"/>
            <w:r w:rsidRPr="000A5942">
              <w:rPr>
                <w:rFonts w:ascii="Calibri" w:hAnsi="Calibri" w:cs="Calibri"/>
              </w:rPr>
              <w:t>RpoE</w:t>
            </w:r>
            <w:proofErr w:type="spellEnd"/>
          </w:p>
        </w:tc>
        <w:tc>
          <w:tcPr>
            <w:tcW w:w="453" w:type="pct"/>
            <w:tcBorders>
              <w:top w:val="nil"/>
              <w:left w:val="nil"/>
              <w:bottom w:val="single" w:sz="4" w:space="0" w:color="auto"/>
              <w:right w:val="nil"/>
            </w:tcBorders>
            <w:shd w:val="clear" w:color="auto" w:fill="auto"/>
            <w:noWrap/>
            <w:vAlign w:val="center"/>
            <w:hideMark/>
          </w:tcPr>
          <w:p w14:paraId="31C998FC" w14:textId="77777777" w:rsidR="000D6168" w:rsidRPr="000A5942" w:rsidRDefault="000D6168" w:rsidP="00323FD6">
            <w:pPr>
              <w:rPr>
                <w:rFonts w:ascii="Calibri" w:hAnsi="Calibri" w:cs="Calibri"/>
              </w:rPr>
            </w:pPr>
            <w:r w:rsidRPr="000A5942">
              <w:rPr>
                <w:rFonts w:ascii="Calibri" w:hAnsi="Calibri" w:cs="Calibri"/>
              </w:rPr>
              <w:t>5573</w:t>
            </w:r>
          </w:p>
        </w:tc>
        <w:tc>
          <w:tcPr>
            <w:tcW w:w="311" w:type="pct"/>
            <w:tcBorders>
              <w:top w:val="nil"/>
              <w:left w:val="nil"/>
              <w:bottom w:val="single" w:sz="4" w:space="0" w:color="auto"/>
              <w:right w:val="nil"/>
            </w:tcBorders>
            <w:shd w:val="clear" w:color="auto" w:fill="auto"/>
            <w:noWrap/>
            <w:vAlign w:val="center"/>
            <w:hideMark/>
          </w:tcPr>
          <w:p w14:paraId="1DFEB731" w14:textId="77777777" w:rsidR="000D6168" w:rsidRPr="000A5942" w:rsidRDefault="000D6168" w:rsidP="00323FD6">
            <w:pPr>
              <w:rPr>
                <w:rFonts w:ascii="Calibri" w:hAnsi="Calibri" w:cs="Calibri"/>
              </w:rPr>
            </w:pPr>
            <w:r w:rsidRPr="000A5942">
              <w:rPr>
                <w:rFonts w:ascii="Calibri" w:hAnsi="Calibri" w:cs="Calibri"/>
              </w:rPr>
              <w:t>3667</w:t>
            </w:r>
          </w:p>
        </w:tc>
        <w:tc>
          <w:tcPr>
            <w:tcW w:w="280" w:type="pct"/>
            <w:tcBorders>
              <w:top w:val="nil"/>
              <w:left w:val="nil"/>
              <w:bottom w:val="single" w:sz="4" w:space="0" w:color="auto"/>
              <w:right w:val="nil"/>
            </w:tcBorders>
            <w:shd w:val="clear" w:color="auto" w:fill="auto"/>
            <w:noWrap/>
            <w:vAlign w:val="center"/>
            <w:hideMark/>
          </w:tcPr>
          <w:p w14:paraId="4FC69CC1" w14:textId="77777777" w:rsidR="000D6168" w:rsidRPr="000A5942" w:rsidRDefault="000D6168" w:rsidP="00323FD6">
            <w:pPr>
              <w:rPr>
                <w:rFonts w:ascii="Calibri" w:hAnsi="Calibri" w:cs="Calibri"/>
              </w:rPr>
            </w:pPr>
            <w:r w:rsidRPr="000A5942">
              <w:rPr>
                <w:rFonts w:ascii="Calibri" w:hAnsi="Calibri" w:cs="Calibri"/>
              </w:rPr>
              <w:t>10.1</w:t>
            </w:r>
          </w:p>
        </w:tc>
        <w:tc>
          <w:tcPr>
            <w:tcW w:w="1040" w:type="pct"/>
            <w:gridSpan w:val="3"/>
            <w:vMerge/>
            <w:tcBorders>
              <w:left w:val="nil"/>
              <w:bottom w:val="single" w:sz="4" w:space="0" w:color="auto"/>
              <w:right w:val="single" w:sz="4" w:space="0" w:color="auto"/>
            </w:tcBorders>
            <w:shd w:val="clear" w:color="auto" w:fill="auto"/>
            <w:noWrap/>
            <w:vAlign w:val="center"/>
            <w:hideMark/>
          </w:tcPr>
          <w:p w14:paraId="11787CAC" w14:textId="77777777" w:rsidR="000D6168" w:rsidRPr="000A5942" w:rsidRDefault="000D6168" w:rsidP="00323FD6">
            <w:pPr>
              <w:rPr>
                <w:rFonts w:ascii="Calibri" w:hAnsi="Calibri" w:cs="Calibri"/>
              </w:rPr>
            </w:pPr>
          </w:p>
        </w:tc>
      </w:tr>
      <w:tr w:rsidR="000D6168" w:rsidRPr="000A5942" w14:paraId="410CCA57"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5BE84FD1" w14:textId="77777777" w:rsidR="000D6168" w:rsidRPr="000A5942" w:rsidRDefault="000D6168" w:rsidP="00323FD6">
            <w:pPr>
              <w:rPr>
                <w:rFonts w:ascii="Calibri" w:hAnsi="Calibri" w:cs="Calibri"/>
              </w:rPr>
            </w:pPr>
            <w:r w:rsidRPr="000A5942">
              <w:rPr>
                <w:rFonts w:ascii="Calibri" w:hAnsi="Calibri" w:cs="Calibri"/>
              </w:rPr>
              <w:t>2622736589</w:t>
            </w:r>
          </w:p>
        </w:tc>
        <w:tc>
          <w:tcPr>
            <w:tcW w:w="452" w:type="pct"/>
            <w:tcBorders>
              <w:top w:val="nil"/>
              <w:left w:val="nil"/>
              <w:bottom w:val="nil"/>
              <w:right w:val="nil"/>
            </w:tcBorders>
            <w:shd w:val="clear" w:color="auto" w:fill="auto"/>
            <w:noWrap/>
            <w:vAlign w:val="center"/>
            <w:hideMark/>
          </w:tcPr>
          <w:p w14:paraId="7A4AE25C" w14:textId="77777777" w:rsidR="000D6168" w:rsidRPr="000A5942" w:rsidRDefault="000D6168" w:rsidP="00323FD6">
            <w:pPr>
              <w:rPr>
                <w:rFonts w:ascii="Calibri" w:hAnsi="Calibri" w:cs="Calibri"/>
              </w:rPr>
            </w:pPr>
            <w:proofErr w:type="spellStart"/>
            <w:r w:rsidRPr="000A5942">
              <w:rPr>
                <w:rFonts w:ascii="Calibri" w:hAnsi="Calibri" w:cs="Calibri"/>
              </w:rPr>
              <w:t>Phaeobacter</w:t>
            </w:r>
            <w:proofErr w:type="spellEnd"/>
            <w:r w:rsidRPr="000A5942">
              <w:rPr>
                <w:rFonts w:ascii="Calibri" w:hAnsi="Calibri" w:cs="Calibri"/>
              </w:rPr>
              <w:t xml:space="preserve"> </w:t>
            </w:r>
            <w:proofErr w:type="spellStart"/>
            <w:r w:rsidRPr="000A5942">
              <w:rPr>
                <w:rFonts w:ascii="Calibri" w:hAnsi="Calibri" w:cs="Calibri"/>
              </w:rPr>
              <w:t>italicus</w:t>
            </w:r>
            <w:proofErr w:type="spellEnd"/>
            <w:r w:rsidRPr="000A5942">
              <w:rPr>
                <w:rFonts w:ascii="Calibri" w:hAnsi="Calibri" w:cs="Calibri"/>
              </w:rPr>
              <w:t xml:space="preserve"> DSM 26436</w:t>
            </w:r>
          </w:p>
        </w:tc>
        <w:tc>
          <w:tcPr>
            <w:tcW w:w="347" w:type="pct"/>
            <w:tcBorders>
              <w:top w:val="nil"/>
              <w:left w:val="nil"/>
              <w:bottom w:val="nil"/>
              <w:right w:val="nil"/>
            </w:tcBorders>
            <w:shd w:val="clear" w:color="auto" w:fill="auto"/>
            <w:noWrap/>
            <w:vAlign w:val="center"/>
            <w:hideMark/>
          </w:tcPr>
          <w:p w14:paraId="25DAD0AB" w14:textId="77777777" w:rsidR="000D6168" w:rsidRPr="000A5942" w:rsidRDefault="000D6168" w:rsidP="00323FD6">
            <w:pPr>
              <w:rPr>
                <w:rFonts w:ascii="Calibri" w:hAnsi="Calibri" w:cs="Calibri"/>
              </w:rPr>
            </w:pPr>
            <w:r w:rsidRPr="000A5942">
              <w:rPr>
                <w:rFonts w:ascii="Calibri" w:hAnsi="Calibri" w:cs="Calibri"/>
              </w:rPr>
              <w:t>Ga0070236_102</w:t>
            </w:r>
          </w:p>
        </w:tc>
        <w:tc>
          <w:tcPr>
            <w:tcW w:w="313" w:type="pct"/>
            <w:tcBorders>
              <w:top w:val="nil"/>
              <w:left w:val="nil"/>
              <w:bottom w:val="nil"/>
              <w:right w:val="nil"/>
            </w:tcBorders>
            <w:shd w:val="clear" w:color="auto" w:fill="auto"/>
            <w:noWrap/>
            <w:vAlign w:val="center"/>
            <w:hideMark/>
          </w:tcPr>
          <w:p w14:paraId="568403AA"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218D7EE8" w14:textId="77777777" w:rsidR="000D6168" w:rsidRPr="000A5942" w:rsidRDefault="000D6168" w:rsidP="00323FD6">
            <w:pPr>
              <w:rPr>
                <w:rFonts w:ascii="Calibri" w:hAnsi="Calibri" w:cs="Calibri"/>
              </w:rPr>
            </w:pPr>
            <w:r w:rsidRPr="000A5942">
              <w:rPr>
                <w:rFonts w:ascii="Calibri" w:hAnsi="Calibri" w:cs="Calibri"/>
              </w:rPr>
              <w:t>N-acyl-L-homoserine lactone synthetase</w:t>
            </w:r>
          </w:p>
        </w:tc>
        <w:tc>
          <w:tcPr>
            <w:tcW w:w="625" w:type="pct"/>
            <w:tcBorders>
              <w:top w:val="nil"/>
              <w:left w:val="nil"/>
              <w:bottom w:val="nil"/>
              <w:right w:val="nil"/>
            </w:tcBorders>
            <w:shd w:val="clear" w:color="auto" w:fill="auto"/>
            <w:noWrap/>
            <w:vAlign w:val="center"/>
            <w:hideMark/>
          </w:tcPr>
          <w:p w14:paraId="4C4A3E35"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regulator, </w:t>
            </w:r>
            <w:proofErr w:type="spellStart"/>
            <w:r w:rsidRPr="000A5942">
              <w:rPr>
                <w:rFonts w:ascii="Calibri" w:hAnsi="Calibri" w:cs="Calibri"/>
              </w:rPr>
              <w:t>CsgD</w:t>
            </w:r>
            <w:proofErr w:type="spellEnd"/>
            <w:r w:rsidRPr="000A5942">
              <w:rPr>
                <w:rFonts w:ascii="Calibri" w:hAnsi="Calibri" w:cs="Calibri"/>
              </w:rPr>
              <w:t xml:space="preserve"> family</w:t>
            </w:r>
          </w:p>
        </w:tc>
        <w:tc>
          <w:tcPr>
            <w:tcW w:w="453" w:type="pct"/>
            <w:tcBorders>
              <w:top w:val="nil"/>
              <w:left w:val="nil"/>
              <w:bottom w:val="nil"/>
              <w:right w:val="nil"/>
            </w:tcBorders>
            <w:shd w:val="clear" w:color="auto" w:fill="auto"/>
            <w:noWrap/>
            <w:vAlign w:val="center"/>
            <w:hideMark/>
          </w:tcPr>
          <w:p w14:paraId="57414C5F" w14:textId="77777777" w:rsidR="000D6168" w:rsidRPr="000A5942" w:rsidRDefault="000D6168" w:rsidP="00323FD6">
            <w:pPr>
              <w:rPr>
                <w:rFonts w:ascii="Calibri" w:hAnsi="Calibri" w:cs="Calibri"/>
              </w:rPr>
            </w:pPr>
            <w:r w:rsidRPr="000A5942">
              <w:rPr>
                <w:rFonts w:ascii="Calibri" w:hAnsi="Calibri" w:cs="Calibri"/>
              </w:rPr>
              <w:t>1</w:t>
            </w:r>
          </w:p>
        </w:tc>
        <w:tc>
          <w:tcPr>
            <w:tcW w:w="311" w:type="pct"/>
            <w:tcBorders>
              <w:top w:val="nil"/>
              <w:left w:val="nil"/>
              <w:bottom w:val="nil"/>
              <w:right w:val="nil"/>
            </w:tcBorders>
            <w:shd w:val="clear" w:color="auto" w:fill="auto"/>
            <w:noWrap/>
            <w:vAlign w:val="center"/>
            <w:hideMark/>
          </w:tcPr>
          <w:p w14:paraId="7F1BBF89" w14:textId="77777777" w:rsidR="000D6168" w:rsidRPr="000A5942" w:rsidRDefault="000D6168" w:rsidP="00323FD6">
            <w:pPr>
              <w:rPr>
                <w:rFonts w:ascii="Calibri" w:hAnsi="Calibri" w:cs="Calibri"/>
              </w:rPr>
            </w:pPr>
            <w:r w:rsidRPr="000A5942">
              <w:rPr>
                <w:rFonts w:ascii="Calibri" w:hAnsi="Calibri" w:cs="Calibri"/>
              </w:rPr>
              <w:t>57</w:t>
            </w:r>
          </w:p>
        </w:tc>
        <w:tc>
          <w:tcPr>
            <w:tcW w:w="280" w:type="pct"/>
            <w:tcBorders>
              <w:top w:val="nil"/>
              <w:left w:val="nil"/>
              <w:bottom w:val="nil"/>
              <w:right w:val="nil"/>
            </w:tcBorders>
            <w:shd w:val="clear" w:color="auto" w:fill="auto"/>
            <w:noWrap/>
            <w:vAlign w:val="center"/>
            <w:hideMark/>
          </w:tcPr>
          <w:p w14:paraId="668FE19B" w14:textId="77777777" w:rsidR="000D6168" w:rsidRPr="000A5942" w:rsidRDefault="000D6168" w:rsidP="00323FD6">
            <w:pPr>
              <w:rPr>
                <w:rFonts w:ascii="Calibri" w:hAnsi="Calibri" w:cs="Calibri"/>
              </w:rPr>
            </w:pPr>
            <w:r w:rsidRPr="000A5942">
              <w:rPr>
                <w:rFonts w:ascii="Calibri" w:hAnsi="Calibri" w:cs="Calibri"/>
              </w:rPr>
              <w:t>40.7</w:t>
            </w:r>
          </w:p>
        </w:tc>
        <w:tc>
          <w:tcPr>
            <w:tcW w:w="347" w:type="pct"/>
            <w:tcBorders>
              <w:top w:val="nil"/>
              <w:left w:val="nil"/>
              <w:bottom w:val="nil"/>
              <w:right w:val="nil"/>
            </w:tcBorders>
            <w:shd w:val="clear" w:color="auto" w:fill="auto"/>
            <w:noWrap/>
            <w:vAlign w:val="center"/>
            <w:hideMark/>
          </w:tcPr>
          <w:p w14:paraId="38CED472" w14:textId="77777777" w:rsidR="000D6168" w:rsidRPr="000A5942" w:rsidRDefault="000D6168" w:rsidP="00323FD6">
            <w:pPr>
              <w:rPr>
                <w:rFonts w:ascii="Calibri" w:hAnsi="Calibri" w:cs="Calibri"/>
              </w:rPr>
            </w:pPr>
            <w:r w:rsidRPr="000A5942">
              <w:rPr>
                <w:rFonts w:ascii="Calibri" w:hAnsi="Calibri" w:cs="Calibri"/>
              </w:rPr>
              <w:t>3</w:t>
            </w:r>
          </w:p>
        </w:tc>
        <w:tc>
          <w:tcPr>
            <w:tcW w:w="313" w:type="pct"/>
            <w:tcBorders>
              <w:top w:val="nil"/>
              <w:left w:val="nil"/>
              <w:bottom w:val="nil"/>
              <w:right w:val="nil"/>
            </w:tcBorders>
            <w:shd w:val="clear" w:color="auto" w:fill="auto"/>
            <w:noWrap/>
            <w:vAlign w:val="center"/>
            <w:hideMark/>
          </w:tcPr>
          <w:p w14:paraId="71B8EAC9" w14:textId="77777777" w:rsidR="000D6168" w:rsidRPr="000A5942" w:rsidRDefault="000D6168" w:rsidP="00323FD6">
            <w:pPr>
              <w:rPr>
                <w:rFonts w:ascii="Calibri" w:hAnsi="Calibri" w:cs="Calibri"/>
              </w:rPr>
            </w:pPr>
            <w:r w:rsidRPr="000A5942">
              <w:rPr>
                <w:rFonts w:ascii="Calibri" w:hAnsi="Calibri" w:cs="Calibri"/>
              </w:rPr>
              <w:t>3900</w:t>
            </w:r>
          </w:p>
        </w:tc>
        <w:tc>
          <w:tcPr>
            <w:tcW w:w="380" w:type="pct"/>
            <w:tcBorders>
              <w:top w:val="nil"/>
              <w:left w:val="nil"/>
              <w:bottom w:val="nil"/>
              <w:right w:val="single" w:sz="4" w:space="0" w:color="auto"/>
            </w:tcBorders>
            <w:shd w:val="clear" w:color="auto" w:fill="auto"/>
            <w:noWrap/>
            <w:vAlign w:val="center"/>
            <w:hideMark/>
          </w:tcPr>
          <w:p w14:paraId="5E1404E6" w14:textId="77777777" w:rsidR="000D6168" w:rsidRPr="000A5942" w:rsidRDefault="000D6168" w:rsidP="00323FD6">
            <w:pPr>
              <w:rPr>
                <w:rFonts w:ascii="Calibri" w:hAnsi="Calibri" w:cs="Calibri"/>
              </w:rPr>
            </w:pPr>
            <w:r w:rsidRPr="000A5942">
              <w:rPr>
                <w:rFonts w:ascii="Calibri" w:hAnsi="Calibri" w:cs="Calibri"/>
              </w:rPr>
              <w:t xml:space="preserve"> 0.0769%</w:t>
            </w:r>
          </w:p>
        </w:tc>
      </w:tr>
      <w:tr w:rsidR="000D6168" w:rsidRPr="000A5942" w14:paraId="2FC062DF" w14:textId="77777777" w:rsidTr="00323FD6">
        <w:trPr>
          <w:trHeight w:val="290"/>
          <w:jc w:val="center"/>
        </w:trPr>
        <w:tc>
          <w:tcPr>
            <w:tcW w:w="971" w:type="pct"/>
            <w:gridSpan w:val="2"/>
            <w:vMerge w:val="restart"/>
            <w:tcBorders>
              <w:top w:val="nil"/>
              <w:left w:val="single" w:sz="4" w:space="0" w:color="auto"/>
              <w:right w:val="nil"/>
            </w:tcBorders>
            <w:shd w:val="clear" w:color="auto" w:fill="auto"/>
            <w:noWrap/>
            <w:vAlign w:val="center"/>
            <w:hideMark/>
          </w:tcPr>
          <w:p w14:paraId="22BB3CD4"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041966F6" w14:textId="77777777" w:rsidR="000D6168" w:rsidRPr="000A5942" w:rsidRDefault="000D6168" w:rsidP="00323FD6">
            <w:pPr>
              <w:rPr>
                <w:rFonts w:ascii="Calibri" w:hAnsi="Calibri" w:cs="Calibri"/>
              </w:rPr>
            </w:pPr>
            <w:r w:rsidRPr="000A5942">
              <w:rPr>
                <w:rFonts w:ascii="Calibri" w:hAnsi="Calibri" w:cs="Calibri"/>
              </w:rPr>
              <w:t>Ga0070236_102</w:t>
            </w:r>
          </w:p>
        </w:tc>
        <w:tc>
          <w:tcPr>
            <w:tcW w:w="313" w:type="pct"/>
            <w:tcBorders>
              <w:top w:val="nil"/>
              <w:left w:val="nil"/>
              <w:bottom w:val="nil"/>
              <w:right w:val="nil"/>
            </w:tcBorders>
            <w:shd w:val="clear" w:color="auto" w:fill="auto"/>
            <w:noWrap/>
            <w:vAlign w:val="center"/>
            <w:hideMark/>
          </w:tcPr>
          <w:p w14:paraId="5D8FABF4"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6BC49F82"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625" w:type="pct"/>
            <w:tcBorders>
              <w:top w:val="nil"/>
              <w:left w:val="nil"/>
              <w:bottom w:val="nil"/>
              <w:right w:val="nil"/>
            </w:tcBorders>
            <w:shd w:val="clear" w:color="auto" w:fill="auto"/>
            <w:noWrap/>
            <w:vAlign w:val="center"/>
            <w:hideMark/>
          </w:tcPr>
          <w:p w14:paraId="71281F55" w14:textId="77777777" w:rsidR="000D6168" w:rsidRPr="000A5942" w:rsidRDefault="000D6168" w:rsidP="00323FD6">
            <w:pPr>
              <w:rPr>
                <w:rFonts w:ascii="Calibri" w:hAnsi="Calibri" w:cs="Calibri"/>
              </w:rPr>
            </w:pPr>
            <w:r w:rsidRPr="000A5942">
              <w:rPr>
                <w:rFonts w:ascii="Calibri" w:hAnsi="Calibri" w:cs="Calibri"/>
              </w:rPr>
              <w:t>(R)-</w:t>
            </w:r>
            <w:proofErr w:type="spellStart"/>
            <w:r w:rsidRPr="000A5942">
              <w:rPr>
                <w:rFonts w:ascii="Calibri" w:hAnsi="Calibri" w:cs="Calibri"/>
              </w:rPr>
              <w:t>ethylmalonyl</w:t>
            </w:r>
            <w:proofErr w:type="spellEnd"/>
            <w:r w:rsidRPr="000A5942">
              <w:rPr>
                <w:rFonts w:ascii="Calibri" w:hAnsi="Calibri" w:cs="Calibri"/>
              </w:rPr>
              <w:t>-CoA mutase</w:t>
            </w:r>
          </w:p>
        </w:tc>
        <w:tc>
          <w:tcPr>
            <w:tcW w:w="453" w:type="pct"/>
            <w:tcBorders>
              <w:top w:val="nil"/>
              <w:left w:val="nil"/>
              <w:bottom w:val="nil"/>
              <w:right w:val="nil"/>
            </w:tcBorders>
            <w:shd w:val="clear" w:color="auto" w:fill="auto"/>
            <w:noWrap/>
            <w:vAlign w:val="center"/>
            <w:hideMark/>
          </w:tcPr>
          <w:p w14:paraId="2B46E94E" w14:textId="77777777" w:rsidR="000D6168" w:rsidRPr="000A5942" w:rsidRDefault="000D6168" w:rsidP="00323FD6">
            <w:pPr>
              <w:rPr>
                <w:rFonts w:ascii="Calibri" w:hAnsi="Calibri" w:cs="Calibri"/>
              </w:rPr>
            </w:pPr>
            <w:r w:rsidRPr="000A5942">
              <w:rPr>
                <w:rFonts w:ascii="Calibri" w:hAnsi="Calibri" w:cs="Calibri"/>
              </w:rPr>
              <w:t>3006</w:t>
            </w:r>
          </w:p>
        </w:tc>
        <w:tc>
          <w:tcPr>
            <w:tcW w:w="311" w:type="pct"/>
            <w:tcBorders>
              <w:top w:val="nil"/>
              <w:left w:val="nil"/>
              <w:bottom w:val="nil"/>
              <w:right w:val="nil"/>
            </w:tcBorders>
            <w:shd w:val="clear" w:color="auto" w:fill="auto"/>
            <w:noWrap/>
            <w:vAlign w:val="center"/>
            <w:hideMark/>
          </w:tcPr>
          <w:p w14:paraId="5A711EB0" w14:textId="77777777" w:rsidR="000D6168" w:rsidRPr="000A5942" w:rsidRDefault="000D6168" w:rsidP="00323FD6">
            <w:pPr>
              <w:rPr>
                <w:rFonts w:ascii="Calibri" w:hAnsi="Calibri" w:cs="Calibri"/>
              </w:rPr>
            </w:pPr>
            <w:r w:rsidRPr="000A5942">
              <w:rPr>
                <w:rFonts w:ascii="Calibri" w:hAnsi="Calibri" w:cs="Calibri"/>
              </w:rPr>
              <w:t>4181</w:t>
            </w:r>
          </w:p>
        </w:tc>
        <w:tc>
          <w:tcPr>
            <w:tcW w:w="280" w:type="pct"/>
            <w:tcBorders>
              <w:top w:val="nil"/>
              <w:left w:val="nil"/>
              <w:bottom w:val="nil"/>
              <w:right w:val="nil"/>
            </w:tcBorders>
            <w:shd w:val="clear" w:color="auto" w:fill="auto"/>
            <w:noWrap/>
            <w:vAlign w:val="center"/>
            <w:hideMark/>
          </w:tcPr>
          <w:p w14:paraId="40B33F79" w14:textId="77777777" w:rsidR="000D6168" w:rsidRPr="000A5942" w:rsidRDefault="000D6168" w:rsidP="00323FD6">
            <w:pPr>
              <w:rPr>
                <w:rFonts w:ascii="Calibri" w:hAnsi="Calibri" w:cs="Calibri"/>
              </w:rPr>
            </w:pPr>
            <w:r w:rsidRPr="000A5942">
              <w:rPr>
                <w:rFonts w:ascii="Calibri" w:hAnsi="Calibri" w:cs="Calibri"/>
              </w:rPr>
              <w:t>34</w:t>
            </w:r>
          </w:p>
        </w:tc>
        <w:tc>
          <w:tcPr>
            <w:tcW w:w="1040" w:type="pct"/>
            <w:gridSpan w:val="3"/>
            <w:vMerge w:val="restart"/>
            <w:tcBorders>
              <w:top w:val="nil"/>
              <w:left w:val="nil"/>
              <w:right w:val="single" w:sz="4" w:space="0" w:color="auto"/>
            </w:tcBorders>
            <w:shd w:val="clear" w:color="auto" w:fill="auto"/>
            <w:noWrap/>
            <w:vAlign w:val="center"/>
            <w:hideMark/>
          </w:tcPr>
          <w:p w14:paraId="3796D043" w14:textId="77777777" w:rsidR="000D6168" w:rsidRPr="000A5942" w:rsidRDefault="000D6168" w:rsidP="00323FD6">
            <w:pPr>
              <w:rPr>
                <w:rFonts w:ascii="Calibri" w:hAnsi="Calibri" w:cs="Calibri"/>
              </w:rPr>
            </w:pPr>
          </w:p>
        </w:tc>
      </w:tr>
      <w:tr w:rsidR="000D6168" w:rsidRPr="000A5942" w14:paraId="45F96971" w14:textId="77777777" w:rsidTr="00323FD6">
        <w:trPr>
          <w:trHeight w:val="290"/>
          <w:jc w:val="center"/>
        </w:trPr>
        <w:tc>
          <w:tcPr>
            <w:tcW w:w="971" w:type="pct"/>
            <w:gridSpan w:val="2"/>
            <w:vMerge/>
            <w:tcBorders>
              <w:left w:val="single" w:sz="4" w:space="0" w:color="auto"/>
              <w:bottom w:val="single" w:sz="4" w:space="0" w:color="auto"/>
              <w:right w:val="nil"/>
            </w:tcBorders>
            <w:shd w:val="clear" w:color="auto" w:fill="auto"/>
            <w:noWrap/>
            <w:vAlign w:val="center"/>
            <w:hideMark/>
          </w:tcPr>
          <w:p w14:paraId="029DD843"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7C7E2E3F" w14:textId="77777777" w:rsidR="000D6168" w:rsidRPr="000A5942" w:rsidRDefault="000D6168" w:rsidP="00323FD6">
            <w:pPr>
              <w:rPr>
                <w:rFonts w:ascii="Calibri" w:hAnsi="Calibri" w:cs="Calibri"/>
              </w:rPr>
            </w:pPr>
            <w:r w:rsidRPr="000A5942">
              <w:rPr>
                <w:rFonts w:ascii="Calibri" w:hAnsi="Calibri" w:cs="Calibri"/>
              </w:rPr>
              <w:t>Ga0070236_108</w:t>
            </w:r>
          </w:p>
        </w:tc>
        <w:tc>
          <w:tcPr>
            <w:tcW w:w="313" w:type="pct"/>
            <w:tcBorders>
              <w:top w:val="nil"/>
              <w:left w:val="nil"/>
              <w:bottom w:val="single" w:sz="4" w:space="0" w:color="auto"/>
              <w:right w:val="nil"/>
            </w:tcBorders>
            <w:shd w:val="clear" w:color="auto" w:fill="auto"/>
            <w:noWrap/>
            <w:vAlign w:val="center"/>
            <w:hideMark/>
          </w:tcPr>
          <w:p w14:paraId="0FC111AA"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7CCF6B04" w14:textId="77777777" w:rsidR="000D6168" w:rsidRPr="000A5942" w:rsidRDefault="000D6168" w:rsidP="00323FD6">
            <w:pPr>
              <w:rPr>
                <w:rFonts w:ascii="Calibri" w:hAnsi="Calibri" w:cs="Calibri"/>
              </w:rPr>
            </w:pPr>
            <w:r w:rsidRPr="000A5942">
              <w:rPr>
                <w:rFonts w:ascii="Calibri" w:hAnsi="Calibri" w:cs="Calibri"/>
              </w:rPr>
              <w:t>RNA polymerase sigma-70 factor, ECF subfamily</w:t>
            </w:r>
          </w:p>
        </w:tc>
        <w:tc>
          <w:tcPr>
            <w:tcW w:w="625" w:type="pct"/>
            <w:tcBorders>
              <w:top w:val="nil"/>
              <w:left w:val="nil"/>
              <w:bottom w:val="single" w:sz="4" w:space="0" w:color="auto"/>
              <w:right w:val="nil"/>
            </w:tcBorders>
            <w:shd w:val="clear" w:color="auto" w:fill="auto"/>
            <w:noWrap/>
            <w:vAlign w:val="center"/>
            <w:hideMark/>
          </w:tcPr>
          <w:p w14:paraId="3C496480"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response regulator, </w:t>
            </w:r>
            <w:proofErr w:type="spellStart"/>
            <w:r w:rsidRPr="000A5942">
              <w:rPr>
                <w:rFonts w:ascii="Calibri" w:hAnsi="Calibri" w:cs="Calibri"/>
              </w:rPr>
              <w:t>NtrC</w:t>
            </w:r>
            <w:proofErr w:type="spellEnd"/>
            <w:r w:rsidRPr="000A5942">
              <w:rPr>
                <w:rFonts w:ascii="Calibri" w:hAnsi="Calibri" w:cs="Calibri"/>
              </w:rPr>
              <w:t xml:space="preserve"> family, contains REC, AAA-type </w:t>
            </w:r>
            <w:r w:rsidRPr="000A5942">
              <w:rPr>
                <w:rFonts w:ascii="Calibri" w:hAnsi="Calibri" w:cs="Calibri"/>
              </w:rPr>
              <w:lastRenderedPageBreak/>
              <w:t xml:space="preserve">ATPase, and a </w:t>
            </w:r>
            <w:proofErr w:type="spellStart"/>
            <w:r w:rsidRPr="000A5942">
              <w:rPr>
                <w:rFonts w:ascii="Calibri" w:hAnsi="Calibri" w:cs="Calibri"/>
              </w:rPr>
              <w:t>Fis</w:t>
            </w:r>
            <w:proofErr w:type="spellEnd"/>
            <w:r w:rsidRPr="000A5942">
              <w:rPr>
                <w:rFonts w:ascii="Calibri" w:hAnsi="Calibri" w:cs="Calibri"/>
              </w:rPr>
              <w:t>-type DNA-binding domains</w:t>
            </w:r>
          </w:p>
        </w:tc>
        <w:tc>
          <w:tcPr>
            <w:tcW w:w="453" w:type="pct"/>
            <w:tcBorders>
              <w:top w:val="nil"/>
              <w:left w:val="nil"/>
              <w:bottom w:val="single" w:sz="4" w:space="0" w:color="auto"/>
              <w:right w:val="nil"/>
            </w:tcBorders>
            <w:shd w:val="clear" w:color="auto" w:fill="auto"/>
            <w:noWrap/>
            <w:vAlign w:val="center"/>
            <w:hideMark/>
          </w:tcPr>
          <w:p w14:paraId="66A159A4" w14:textId="77777777" w:rsidR="000D6168" w:rsidRPr="000A5942" w:rsidRDefault="000D6168" w:rsidP="00323FD6">
            <w:pPr>
              <w:rPr>
                <w:rFonts w:ascii="Calibri" w:hAnsi="Calibri" w:cs="Calibri"/>
              </w:rPr>
            </w:pPr>
            <w:r w:rsidRPr="000A5942">
              <w:rPr>
                <w:rFonts w:ascii="Calibri" w:hAnsi="Calibri" w:cs="Calibri"/>
              </w:rPr>
              <w:lastRenderedPageBreak/>
              <w:t>3667</w:t>
            </w:r>
          </w:p>
        </w:tc>
        <w:tc>
          <w:tcPr>
            <w:tcW w:w="311" w:type="pct"/>
            <w:tcBorders>
              <w:top w:val="nil"/>
              <w:left w:val="nil"/>
              <w:bottom w:val="single" w:sz="4" w:space="0" w:color="auto"/>
              <w:right w:val="nil"/>
            </w:tcBorders>
            <w:shd w:val="clear" w:color="auto" w:fill="auto"/>
            <w:noWrap/>
            <w:vAlign w:val="center"/>
            <w:hideMark/>
          </w:tcPr>
          <w:p w14:paraId="56F8CBEF" w14:textId="77777777" w:rsidR="000D6168" w:rsidRPr="000A5942" w:rsidRDefault="000D6168" w:rsidP="00323FD6">
            <w:pPr>
              <w:rPr>
                <w:rFonts w:ascii="Calibri" w:hAnsi="Calibri" w:cs="Calibri"/>
              </w:rPr>
            </w:pPr>
            <w:r w:rsidRPr="000A5942">
              <w:rPr>
                <w:rFonts w:ascii="Calibri" w:hAnsi="Calibri" w:cs="Calibri"/>
              </w:rPr>
              <w:t>5573</w:t>
            </w:r>
          </w:p>
        </w:tc>
        <w:tc>
          <w:tcPr>
            <w:tcW w:w="280" w:type="pct"/>
            <w:tcBorders>
              <w:top w:val="nil"/>
              <w:left w:val="nil"/>
              <w:bottom w:val="single" w:sz="4" w:space="0" w:color="auto"/>
              <w:right w:val="nil"/>
            </w:tcBorders>
            <w:shd w:val="clear" w:color="auto" w:fill="auto"/>
            <w:noWrap/>
            <w:vAlign w:val="center"/>
            <w:hideMark/>
          </w:tcPr>
          <w:p w14:paraId="21B4641F" w14:textId="77777777" w:rsidR="000D6168" w:rsidRPr="000A5942" w:rsidRDefault="000D6168" w:rsidP="00323FD6">
            <w:pPr>
              <w:rPr>
                <w:rFonts w:ascii="Calibri" w:hAnsi="Calibri" w:cs="Calibri"/>
              </w:rPr>
            </w:pPr>
            <w:r w:rsidRPr="000A5942">
              <w:rPr>
                <w:rFonts w:ascii="Calibri" w:hAnsi="Calibri" w:cs="Calibri"/>
              </w:rPr>
              <w:t>10.1</w:t>
            </w:r>
          </w:p>
        </w:tc>
        <w:tc>
          <w:tcPr>
            <w:tcW w:w="1040" w:type="pct"/>
            <w:gridSpan w:val="3"/>
            <w:vMerge/>
            <w:tcBorders>
              <w:left w:val="nil"/>
              <w:bottom w:val="single" w:sz="4" w:space="0" w:color="auto"/>
              <w:right w:val="single" w:sz="4" w:space="0" w:color="auto"/>
            </w:tcBorders>
            <w:shd w:val="clear" w:color="auto" w:fill="auto"/>
            <w:noWrap/>
            <w:vAlign w:val="center"/>
            <w:hideMark/>
          </w:tcPr>
          <w:p w14:paraId="2071BA01" w14:textId="77777777" w:rsidR="000D6168" w:rsidRPr="000A5942" w:rsidRDefault="000D6168" w:rsidP="00323FD6">
            <w:pPr>
              <w:rPr>
                <w:rFonts w:ascii="Calibri" w:hAnsi="Calibri" w:cs="Calibri"/>
              </w:rPr>
            </w:pPr>
          </w:p>
        </w:tc>
      </w:tr>
      <w:tr w:rsidR="000D6168" w:rsidRPr="000A5942" w14:paraId="0AE63AE2"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0C4EECEB" w14:textId="77777777" w:rsidR="000D6168" w:rsidRPr="000A5942" w:rsidRDefault="000D6168" w:rsidP="00323FD6">
            <w:pPr>
              <w:rPr>
                <w:rFonts w:ascii="Calibri" w:hAnsi="Calibri" w:cs="Calibri"/>
              </w:rPr>
            </w:pPr>
            <w:r w:rsidRPr="000A5942">
              <w:rPr>
                <w:rFonts w:ascii="Calibri" w:hAnsi="Calibri" w:cs="Calibri"/>
              </w:rPr>
              <w:t>2671181183</w:t>
            </w:r>
          </w:p>
        </w:tc>
        <w:tc>
          <w:tcPr>
            <w:tcW w:w="452" w:type="pct"/>
            <w:tcBorders>
              <w:top w:val="nil"/>
              <w:left w:val="nil"/>
              <w:bottom w:val="nil"/>
              <w:right w:val="nil"/>
            </w:tcBorders>
            <w:shd w:val="clear" w:color="auto" w:fill="auto"/>
            <w:noWrap/>
            <w:vAlign w:val="center"/>
            <w:hideMark/>
          </w:tcPr>
          <w:p w14:paraId="4AE3B72E" w14:textId="77777777" w:rsidR="000D6168" w:rsidRPr="000A5942" w:rsidRDefault="000D6168" w:rsidP="00323FD6">
            <w:pPr>
              <w:rPr>
                <w:rFonts w:ascii="Calibri" w:hAnsi="Calibri" w:cs="Calibri"/>
              </w:rPr>
            </w:pPr>
            <w:proofErr w:type="spellStart"/>
            <w:r w:rsidRPr="000A5942">
              <w:rPr>
                <w:rFonts w:ascii="Calibri" w:hAnsi="Calibri" w:cs="Calibri"/>
              </w:rPr>
              <w:t>Phaeobacter</w:t>
            </w:r>
            <w:proofErr w:type="spellEnd"/>
            <w:r w:rsidRPr="000A5942">
              <w:rPr>
                <w:rFonts w:ascii="Calibri" w:hAnsi="Calibri" w:cs="Calibri"/>
              </w:rPr>
              <w:t xml:space="preserve"> piscinae S26</w:t>
            </w:r>
          </w:p>
        </w:tc>
        <w:tc>
          <w:tcPr>
            <w:tcW w:w="347" w:type="pct"/>
            <w:tcBorders>
              <w:top w:val="nil"/>
              <w:left w:val="nil"/>
              <w:bottom w:val="nil"/>
              <w:right w:val="nil"/>
            </w:tcBorders>
            <w:shd w:val="clear" w:color="auto" w:fill="auto"/>
            <w:noWrap/>
            <w:vAlign w:val="center"/>
            <w:hideMark/>
          </w:tcPr>
          <w:p w14:paraId="1CF74850" w14:textId="77777777" w:rsidR="000D6168" w:rsidRPr="000A5942" w:rsidRDefault="000D6168" w:rsidP="00323FD6">
            <w:pPr>
              <w:rPr>
                <w:rFonts w:ascii="Calibri" w:hAnsi="Calibri" w:cs="Calibri"/>
              </w:rPr>
            </w:pPr>
            <w:r w:rsidRPr="000A5942">
              <w:rPr>
                <w:rFonts w:ascii="Calibri" w:hAnsi="Calibri" w:cs="Calibri"/>
              </w:rPr>
              <w:t>Ga0124422_105</w:t>
            </w:r>
          </w:p>
        </w:tc>
        <w:tc>
          <w:tcPr>
            <w:tcW w:w="313" w:type="pct"/>
            <w:tcBorders>
              <w:top w:val="nil"/>
              <w:left w:val="nil"/>
              <w:bottom w:val="nil"/>
              <w:right w:val="nil"/>
            </w:tcBorders>
            <w:shd w:val="clear" w:color="auto" w:fill="auto"/>
            <w:noWrap/>
            <w:vAlign w:val="center"/>
            <w:hideMark/>
          </w:tcPr>
          <w:p w14:paraId="559DEE6B"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26D0520B" w14:textId="77777777" w:rsidR="000D6168" w:rsidRPr="000A5942" w:rsidRDefault="000D6168" w:rsidP="00323FD6">
            <w:pPr>
              <w:rPr>
                <w:rFonts w:ascii="Calibri" w:hAnsi="Calibri" w:cs="Calibri"/>
              </w:rPr>
            </w:pPr>
            <w:r w:rsidRPr="000A5942">
              <w:rPr>
                <w:rFonts w:ascii="Calibri" w:hAnsi="Calibri" w:cs="Calibri"/>
              </w:rPr>
              <w:t>acyl homoserine lactone synthase</w:t>
            </w:r>
          </w:p>
        </w:tc>
        <w:tc>
          <w:tcPr>
            <w:tcW w:w="625" w:type="pct"/>
            <w:tcBorders>
              <w:top w:val="nil"/>
              <w:left w:val="nil"/>
              <w:bottom w:val="nil"/>
              <w:right w:val="nil"/>
            </w:tcBorders>
            <w:shd w:val="clear" w:color="auto" w:fill="auto"/>
            <w:noWrap/>
            <w:vAlign w:val="center"/>
            <w:hideMark/>
          </w:tcPr>
          <w:p w14:paraId="20E83B4D"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453" w:type="pct"/>
            <w:tcBorders>
              <w:top w:val="nil"/>
              <w:left w:val="nil"/>
              <w:bottom w:val="nil"/>
              <w:right w:val="nil"/>
            </w:tcBorders>
            <w:shd w:val="clear" w:color="auto" w:fill="auto"/>
            <w:noWrap/>
            <w:vAlign w:val="center"/>
            <w:hideMark/>
          </w:tcPr>
          <w:p w14:paraId="0837C182" w14:textId="77777777" w:rsidR="000D6168" w:rsidRPr="000A5942" w:rsidRDefault="000D6168" w:rsidP="00323FD6">
            <w:pPr>
              <w:rPr>
                <w:rFonts w:ascii="Calibri" w:hAnsi="Calibri" w:cs="Calibri"/>
              </w:rPr>
            </w:pPr>
            <w:r w:rsidRPr="000A5942">
              <w:rPr>
                <w:rFonts w:ascii="Calibri" w:hAnsi="Calibri" w:cs="Calibri"/>
              </w:rPr>
              <w:t>2</w:t>
            </w:r>
          </w:p>
        </w:tc>
        <w:tc>
          <w:tcPr>
            <w:tcW w:w="311" w:type="pct"/>
            <w:tcBorders>
              <w:top w:val="nil"/>
              <w:left w:val="nil"/>
              <w:bottom w:val="nil"/>
              <w:right w:val="nil"/>
            </w:tcBorders>
            <w:shd w:val="clear" w:color="auto" w:fill="auto"/>
            <w:noWrap/>
            <w:vAlign w:val="center"/>
            <w:hideMark/>
          </w:tcPr>
          <w:p w14:paraId="5E07451B" w14:textId="77777777" w:rsidR="000D6168" w:rsidRPr="000A5942" w:rsidRDefault="000D6168" w:rsidP="00323FD6">
            <w:pPr>
              <w:rPr>
                <w:rFonts w:ascii="Calibri" w:hAnsi="Calibri" w:cs="Calibri"/>
              </w:rPr>
            </w:pPr>
            <w:r w:rsidRPr="000A5942">
              <w:rPr>
                <w:rFonts w:ascii="Calibri" w:hAnsi="Calibri" w:cs="Calibri"/>
              </w:rPr>
              <w:t>57</w:t>
            </w:r>
          </w:p>
        </w:tc>
        <w:tc>
          <w:tcPr>
            <w:tcW w:w="280" w:type="pct"/>
            <w:tcBorders>
              <w:top w:val="nil"/>
              <w:left w:val="nil"/>
              <w:bottom w:val="nil"/>
              <w:right w:val="nil"/>
            </w:tcBorders>
            <w:shd w:val="clear" w:color="auto" w:fill="auto"/>
            <w:noWrap/>
            <w:vAlign w:val="center"/>
            <w:hideMark/>
          </w:tcPr>
          <w:p w14:paraId="57F31571" w14:textId="77777777" w:rsidR="000D6168" w:rsidRPr="000A5942" w:rsidRDefault="000D6168" w:rsidP="00323FD6">
            <w:pPr>
              <w:rPr>
                <w:rFonts w:ascii="Calibri" w:hAnsi="Calibri" w:cs="Calibri"/>
              </w:rPr>
            </w:pPr>
            <w:r w:rsidRPr="000A5942">
              <w:rPr>
                <w:rFonts w:ascii="Calibri" w:hAnsi="Calibri" w:cs="Calibri"/>
              </w:rPr>
              <w:t>45.2</w:t>
            </w:r>
          </w:p>
        </w:tc>
        <w:tc>
          <w:tcPr>
            <w:tcW w:w="347" w:type="pct"/>
            <w:tcBorders>
              <w:top w:val="nil"/>
              <w:left w:val="nil"/>
              <w:bottom w:val="nil"/>
              <w:right w:val="nil"/>
            </w:tcBorders>
            <w:shd w:val="clear" w:color="auto" w:fill="auto"/>
            <w:noWrap/>
            <w:vAlign w:val="center"/>
            <w:hideMark/>
          </w:tcPr>
          <w:p w14:paraId="238A7AD3" w14:textId="77777777" w:rsidR="000D6168" w:rsidRPr="000A5942" w:rsidRDefault="000D6168" w:rsidP="00323FD6">
            <w:pPr>
              <w:rPr>
                <w:rFonts w:ascii="Calibri" w:hAnsi="Calibri" w:cs="Calibri"/>
              </w:rPr>
            </w:pPr>
            <w:r w:rsidRPr="000A5942">
              <w:rPr>
                <w:rFonts w:ascii="Calibri" w:hAnsi="Calibri" w:cs="Calibri"/>
              </w:rPr>
              <w:t>4</w:t>
            </w:r>
          </w:p>
        </w:tc>
        <w:tc>
          <w:tcPr>
            <w:tcW w:w="313" w:type="pct"/>
            <w:tcBorders>
              <w:top w:val="nil"/>
              <w:left w:val="nil"/>
              <w:bottom w:val="nil"/>
              <w:right w:val="nil"/>
            </w:tcBorders>
            <w:shd w:val="clear" w:color="auto" w:fill="auto"/>
            <w:noWrap/>
            <w:vAlign w:val="center"/>
            <w:hideMark/>
          </w:tcPr>
          <w:p w14:paraId="1296C447" w14:textId="77777777" w:rsidR="000D6168" w:rsidRPr="000A5942" w:rsidRDefault="000D6168" w:rsidP="00323FD6">
            <w:pPr>
              <w:rPr>
                <w:rFonts w:ascii="Calibri" w:hAnsi="Calibri" w:cs="Calibri"/>
              </w:rPr>
            </w:pPr>
            <w:r w:rsidRPr="000A5942">
              <w:rPr>
                <w:rFonts w:ascii="Calibri" w:hAnsi="Calibri" w:cs="Calibri"/>
              </w:rPr>
              <w:t>4079</w:t>
            </w:r>
          </w:p>
        </w:tc>
        <w:tc>
          <w:tcPr>
            <w:tcW w:w="380" w:type="pct"/>
            <w:tcBorders>
              <w:top w:val="nil"/>
              <w:left w:val="nil"/>
              <w:bottom w:val="nil"/>
              <w:right w:val="single" w:sz="4" w:space="0" w:color="auto"/>
            </w:tcBorders>
            <w:shd w:val="clear" w:color="auto" w:fill="auto"/>
            <w:noWrap/>
            <w:vAlign w:val="center"/>
            <w:hideMark/>
          </w:tcPr>
          <w:p w14:paraId="3CF4802E" w14:textId="77777777" w:rsidR="000D6168" w:rsidRPr="000A5942" w:rsidRDefault="000D6168" w:rsidP="00323FD6">
            <w:pPr>
              <w:rPr>
                <w:rFonts w:ascii="Calibri" w:hAnsi="Calibri" w:cs="Calibri"/>
              </w:rPr>
            </w:pPr>
            <w:r w:rsidRPr="000A5942">
              <w:rPr>
                <w:rFonts w:ascii="Calibri" w:hAnsi="Calibri" w:cs="Calibri"/>
              </w:rPr>
              <w:t xml:space="preserve"> 0.0981%</w:t>
            </w:r>
          </w:p>
        </w:tc>
      </w:tr>
      <w:tr w:rsidR="000D6168" w:rsidRPr="000A5942" w14:paraId="67BBE695" w14:textId="77777777" w:rsidTr="00323FD6">
        <w:trPr>
          <w:trHeight w:val="290"/>
          <w:jc w:val="center"/>
        </w:trPr>
        <w:tc>
          <w:tcPr>
            <w:tcW w:w="971" w:type="pct"/>
            <w:gridSpan w:val="2"/>
            <w:vMerge w:val="restart"/>
            <w:tcBorders>
              <w:top w:val="nil"/>
              <w:left w:val="single" w:sz="4" w:space="0" w:color="auto"/>
              <w:right w:val="nil"/>
            </w:tcBorders>
            <w:shd w:val="clear" w:color="auto" w:fill="auto"/>
            <w:noWrap/>
            <w:vAlign w:val="center"/>
            <w:hideMark/>
          </w:tcPr>
          <w:p w14:paraId="3D6D9F3B"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31827DF1" w14:textId="77777777" w:rsidR="000D6168" w:rsidRPr="000A5942" w:rsidRDefault="000D6168" w:rsidP="00323FD6">
            <w:pPr>
              <w:rPr>
                <w:rFonts w:ascii="Calibri" w:hAnsi="Calibri" w:cs="Calibri"/>
              </w:rPr>
            </w:pPr>
            <w:r w:rsidRPr="000A5942">
              <w:rPr>
                <w:rFonts w:ascii="Calibri" w:hAnsi="Calibri" w:cs="Calibri"/>
              </w:rPr>
              <w:t>Ga0124422_105</w:t>
            </w:r>
          </w:p>
        </w:tc>
        <w:tc>
          <w:tcPr>
            <w:tcW w:w="313" w:type="pct"/>
            <w:tcBorders>
              <w:top w:val="nil"/>
              <w:left w:val="nil"/>
              <w:bottom w:val="nil"/>
              <w:right w:val="nil"/>
            </w:tcBorders>
            <w:shd w:val="clear" w:color="auto" w:fill="auto"/>
            <w:noWrap/>
            <w:vAlign w:val="center"/>
            <w:hideMark/>
          </w:tcPr>
          <w:p w14:paraId="7626426A"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34CEE1BB"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625" w:type="pct"/>
            <w:tcBorders>
              <w:top w:val="nil"/>
              <w:left w:val="nil"/>
              <w:bottom w:val="nil"/>
              <w:right w:val="nil"/>
            </w:tcBorders>
            <w:shd w:val="clear" w:color="auto" w:fill="auto"/>
            <w:noWrap/>
            <w:vAlign w:val="center"/>
            <w:hideMark/>
          </w:tcPr>
          <w:p w14:paraId="7FB69B45" w14:textId="77777777" w:rsidR="000D6168" w:rsidRPr="000A5942" w:rsidRDefault="000D6168" w:rsidP="00323FD6">
            <w:pPr>
              <w:rPr>
                <w:rFonts w:ascii="Calibri" w:hAnsi="Calibri" w:cs="Calibri"/>
              </w:rPr>
            </w:pPr>
            <w:r w:rsidRPr="000A5942">
              <w:rPr>
                <w:rFonts w:ascii="Calibri" w:hAnsi="Calibri" w:cs="Calibri"/>
              </w:rPr>
              <w:t xml:space="preserve"> (R)-</w:t>
            </w:r>
            <w:proofErr w:type="spellStart"/>
            <w:r w:rsidRPr="000A5942">
              <w:rPr>
                <w:rFonts w:ascii="Calibri" w:hAnsi="Calibri" w:cs="Calibri"/>
              </w:rPr>
              <w:t>ethylmalonyl</w:t>
            </w:r>
            <w:proofErr w:type="spellEnd"/>
            <w:r w:rsidRPr="000A5942">
              <w:rPr>
                <w:rFonts w:ascii="Calibri" w:hAnsi="Calibri" w:cs="Calibri"/>
              </w:rPr>
              <w:t>-CoA mutase</w:t>
            </w:r>
          </w:p>
        </w:tc>
        <w:tc>
          <w:tcPr>
            <w:tcW w:w="453" w:type="pct"/>
            <w:tcBorders>
              <w:top w:val="nil"/>
              <w:left w:val="nil"/>
              <w:bottom w:val="nil"/>
              <w:right w:val="nil"/>
            </w:tcBorders>
            <w:shd w:val="clear" w:color="auto" w:fill="auto"/>
            <w:noWrap/>
            <w:vAlign w:val="center"/>
            <w:hideMark/>
          </w:tcPr>
          <w:p w14:paraId="1B6FAC31" w14:textId="77777777" w:rsidR="000D6168" w:rsidRPr="000A5942" w:rsidRDefault="000D6168" w:rsidP="00323FD6">
            <w:pPr>
              <w:rPr>
                <w:rFonts w:ascii="Calibri" w:hAnsi="Calibri" w:cs="Calibri"/>
              </w:rPr>
            </w:pPr>
            <w:r w:rsidRPr="000A5942">
              <w:rPr>
                <w:rFonts w:ascii="Calibri" w:hAnsi="Calibri" w:cs="Calibri"/>
              </w:rPr>
              <w:t>3140</w:t>
            </w:r>
          </w:p>
        </w:tc>
        <w:tc>
          <w:tcPr>
            <w:tcW w:w="311" w:type="pct"/>
            <w:tcBorders>
              <w:top w:val="nil"/>
              <w:left w:val="nil"/>
              <w:bottom w:val="nil"/>
              <w:right w:val="nil"/>
            </w:tcBorders>
            <w:shd w:val="clear" w:color="auto" w:fill="auto"/>
            <w:noWrap/>
            <w:vAlign w:val="center"/>
            <w:hideMark/>
          </w:tcPr>
          <w:p w14:paraId="262D8CAC" w14:textId="77777777" w:rsidR="000D6168" w:rsidRPr="000A5942" w:rsidRDefault="000D6168" w:rsidP="00323FD6">
            <w:pPr>
              <w:rPr>
                <w:rFonts w:ascii="Calibri" w:hAnsi="Calibri" w:cs="Calibri"/>
              </w:rPr>
            </w:pPr>
            <w:r w:rsidRPr="000A5942">
              <w:rPr>
                <w:rFonts w:ascii="Calibri" w:hAnsi="Calibri" w:cs="Calibri"/>
              </w:rPr>
              <w:t>4284</w:t>
            </w:r>
          </w:p>
        </w:tc>
        <w:tc>
          <w:tcPr>
            <w:tcW w:w="280" w:type="pct"/>
            <w:tcBorders>
              <w:top w:val="nil"/>
              <w:left w:val="nil"/>
              <w:bottom w:val="nil"/>
              <w:right w:val="nil"/>
            </w:tcBorders>
            <w:shd w:val="clear" w:color="auto" w:fill="auto"/>
            <w:noWrap/>
            <w:vAlign w:val="center"/>
            <w:hideMark/>
          </w:tcPr>
          <w:p w14:paraId="3C7A7727" w14:textId="77777777" w:rsidR="000D6168" w:rsidRPr="000A5942" w:rsidRDefault="000D6168" w:rsidP="00323FD6">
            <w:pPr>
              <w:rPr>
                <w:rFonts w:ascii="Calibri" w:hAnsi="Calibri" w:cs="Calibri"/>
              </w:rPr>
            </w:pPr>
            <w:r w:rsidRPr="000A5942">
              <w:rPr>
                <w:rFonts w:ascii="Calibri" w:hAnsi="Calibri" w:cs="Calibri"/>
              </w:rPr>
              <w:t>43.8</w:t>
            </w:r>
          </w:p>
        </w:tc>
        <w:tc>
          <w:tcPr>
            <w:tcW w:w="1040" w:type="pct"/>
            <w:gridSpan w:val="3"/>
            <w:vMerge w:val="restart"/>
            <w:tcBorders>
              <w:top w:val="nil"/>
              <w:left w:val="nil"/>
              <w:right w:val="single" w:sz="4" w:space="0" w:color="auto"/>
            </w:tcBorders>
            <w:shd w:val="clear" w:color="auto" w:fill="auto"/>
            <w:noWrap/>
            <w:vAlign w:val="center"/>
            <w:hideMark/>
          </w:tcPr>
          <w:p w14:paraId="4139F6BF" w14:textId="77777777" w:rsidR="000D6168" w:rsidRPr="000A5942" w:rsidRDefault="000D6168" w:rsidP="00323FD6">
            <w:pPr>
              <w:rPr>
                <w:rFonts w:ascii="Calibri" w:hAnsi="Calibri" w:cs="Calibri"/>
              </w:rPr>
            </w:pPr>
          </w:p>
        </w:tc>
      </w:tr>
      <w:tr w:rsidR="000D6168" w:rsidRPr="000A5942" w14:paraId="322A79D2" w14:textId="77777777" w:rsidTr="00323FD6">
        <w:trPr>
          <w:trHeight w:val="290"/>
          <w:jc w:val="center"/>
        </w:trPr>
        <w:tc>
          <w:tcPr>
            <w:tcW w:w="971" w:type="pct"/>
            <w:gridSpan w:val="2"/>
            <w:vMerge/>
            <w:tcBorders>
              <w:left w:val="single" w:sz="4" w:space="0" w:color="auto"/>
              <w:right w:val="nil"/>
            </w:tcBorders>
            <w:shd w:val="clear" w:color="auto" w:fill="auto"/>
            <w:noWrap/>
            <w:vAlign w:val="center"/>
            <w:hideMark/>
          </w:tcPr>
          <w:p w14:paraId="2E89E33B"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7ADF26FF" w14:textId="77777777" w:rsidR="000D6168" w:rsidRPr="000A5942" w:rsidRDefault="000D6168" w:rsidP="00323FD6">
            <w:pPr>
              <w:rPr>
                <w:rFonts w:ascii="Calibri" w:hAnsi="Calibri" w:cs="Calibri"/>
              </w:rPr>
            </w:pPr>
            <w:r w:rsidRPr="000A5942">
              <w:rPr>
                <w:rFonts w:ascii="Calibri" w:hAnsi="Calibri" w:cs="Calibri"/>
              </w:rPr>
              <w:t>Ga0124422_116</w:t>
            </w:r>
          </w:p>
        </w:tc>
        <w:tc>
          <w:tcPr>
            <w:tcW w:w="313" w:type="pct"/>
            <w:tcBorders>
              <w:top w:val="nil"/>
              <w:left w:val="nil"/>
              <w:bottom w:val="nil"/>
              <w:right w:val="nil"/>
            </w:tcBorders>
            <w:shd w:val="clear" w:color="auto" w:fill="auto"/>
            <w:noWrap/>
            <w:vAlign w:val="center"/>
            <w:hideMark/>
          </w:tcPr>
          <w:p w14:paraId="5DE7F94C"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2753D1C5" w14:textId="77777777" w:rsidR="000D6168" w:rsidRPr="000A5942" w:rsidRDefault="000D6168" w:rsidP="00323FD6">
            <w:pPr>
              <w:rPr>
                <w:rFonts w:ascii="Calibri" w:hAnsi="Calibri" w:cs="Calibri"/>
              </w:rPr>
            </w:pPr>
            <w:r w:rsidRPr="000A5942">
              <w:rPr>
                <w:rFonts w:ascii="Calibri" w:hAnsi="Calibri" w:cs="Calibri"/>
              </w:rPr>
              <w:t>polyphosphate kinase 2, PA0141 family</w:t>
            </w:r>
          </w:p>
        </w:tc>
        <w:tc>
          <w:tcPr>
            <w:tcW w:w="625" w:type="pct"/>
            <w:tcBorders>
              <w:top w:val="nil"/>
              <w:left w:val="nil"/>
              <w:bottom w:val="nil"/>
              <w:right w:val="nil"/>
            </w:tcBorders>
            <w:shd w:val="clear" w:color="auto" w:fill="auto"/>
            <w:noWrap/>
            <w:vAlign w:val="center"/>
            <w:hideMark/>
          </w:tcPr>
          <w:p w14:paraId="55A34164" w14:textId="77777777" w:rsidR="000D6168" w:rsidRPr="000A5942" w:rsidRDefault="000D6168" w:rsidP="00323FD6">
            <w:pPr>
              <w:rPr>
                <w:rFonts w:ascii="Calibri" w:hAnsi="Calibri" w:cs="Calibri"/>
              </w:rPr>
            </w:pPr>
            <w:r w:rsidRPr="000A5942">
              <w:rPr>
                <w:rFonts w:ascii="Calibri" w:hAnsi="Calibri" w:cs="Calibri"/>
              </w:rPr>
              <w:t xml:space="preserve"> transcriptional regulator, </w:t>
            </w:r>
            <w:proofErr w:type="spellStart"/>
            <w:r w:rsidRPr="000A5942">
              <w:rPr>
                <w:rFonts w:ascii="Calibri" w:hAnsi="Calibri" w:cs="Calibri"/>
              </w:rPr>
              <w:t>AsnC</w:t>
            </w:r>
            <w:proofErr w:type="spellEnd"/>
            <w:r w:rsidRPr="000A5942">
              <w:rPr>
                <w:rFonts w:ascii="Calibri" w:hAnsi="Calibri" w:cs="Calibri"/>
              </w:rPr>
              <w:t xml:space="preserve"> family</w:t>
            </w:r>
          </w:p>
        </w:tc>
        <w:tc>
          <w:tcPr>
            <w:tcW w:w="453" w:type="pct"/>
            <w:tcBorders>
              <w:top w:val="nil"/>
              <w:left w:val="nil"/>
              <w:bottom w:val="nil"/>
              <w:right w:val="nil"/>
            </w:tcBorders>
            <w:shd w:val="clear" w:color="auto" w:fill="auto"/>
            <w:noWrap/>
            <w:vAlign w:val="center"/>
            <w:hideMark/>
          </w:tcPr>
          <w:p w14:paraId="73107676" w14:textId="77777777" w:rsidR="000D6168" w:rsidRPr="000A5942" w:rsidRDefault="000D6168" w:rsidP="00323FD6">
            <w:pPr>
              <w:rPr>
                <w:rFonts w:ascii="Calibri" w:hAnsi="Calibri" w:cs="Calibri"/>
              </w:rPr>
            </w:pPr>
            <w:r w:rsidRPr="000A5942">
              <w:rPr>
                <w:rFonts w:ascii="Calibri" w:hAnsi="Calibri" w:cs="Calibri"/>
              </w:rPr>
              <w:t>1422</w:t>
            </w:r>
          </w:p>
        </w:tc>
        <w:tc>
          <w:tcPr>
            <w:tcW w:w="311" w:type="pct"/>
            <w:tcBorders>
              <w:top w:val="nil"/>
              <w:left w:val="nil"/>
              <w:bottom w:val="nil"/>
              <w:right w:val="nil"/>
            </w:tcBorders>
            <w:shd w:val="clear" w:color="auto" w:fill="auto"/>
            <w:noWrap/>
            <w:vAlign w:val="center"/>
            <w:hideMark/>
          </w:tcPr>
          <w:p w14:paraId="599D849A" w14:textId="77777777" w:rsidR="000D6168" w:rsidRPr="000A5942" w:rsidRDefault="000D6168" w:rsidP="00323FD6">
            <w:pPr>
              <w:rPr>
                <w:rFonts w:ascii="Calibri" w:hAnsi="Calibri" w:cs="Calibri"/>
              </w:rPr>
            </w:pPr>
            <w:r w:rsidRPr="000A5942">
              <w:rPr>
                <w:rFonts w:ascii="Calibri" w:hAnsi="Calibri" w:cs="Calibri"/>
              </w:rPr>
              <w:t>449</w:t>
            </w:r>
          </w:p>
        </w:tc>
        <w:tc>
          <w:tcPr>
            <w:tcW w:w="280" w:type="pct"/>
            <w:tcBorders>
              <w:top w:val="nil"/>
              <w:left w:val="nil"/>
              <w:bottom w:val="nil"/>
              <w:right w:val="nil"/>
            </w:tcBorders>
            <w:shd w:val="clear" w:color="auto" w:fill="auto"/>
            <w:noWrap/>
            <w:vAlign w:val="center"/>
            <w:hideMark/>
          </w:tcPr>
          <w:p w14:paraId="0AF4EBFA" w14:textId="77777777" w:rsidR="000D6168" w:rsidRPr="000A5942" w:rsidRDefault="000D6168" w:rsidP="00323FD6">
            <w:pPr>
              <w:rPr>
                <w:rFonts w:ascii="Calibri" w:hAnsi="Calibri" w:cs="Calibri"/>
              </w:rPr>
            </w:pPr>
            <w:r w:rsidRPr="000A5942">
              <w:rPr>
                <w:rFonts w:ascii="Calibri" w:hAnsi="Calibri" w:cs="Calibri"/>
              </w:rPr>
              <w:t>15.4</w:t>
            </w:r>
          </w:p>
        </w:tc>
        <w:tc>
          <w:tcPr>
            <w:tcW w:w="1040" w:type="pct"/>
            <w:gridSpan w:val="3"/>
            <w:vMerge/>
            <w:tcBorders>
              <w:left w:val="nil"/>
              <w:right w:val="single" w:sz="4" w:space="0" w:color="auto"/>
            </w:tcBorders>
            <w:shd w:val="clear" w:color="auto" w:fill="auto"/>
            <w:noWrap/>
            <w:vAlign w:val="center"/>
            <w:hideMark/>
          </w:tcPr>
          <w:p w14:paraId="710D9C1A" w14:textId="77777777" w:rsidR="000D6168" w:rsidRPr="000A5942" w:rsidRDefault="000D6168" w:rsidP="00323FD6">
            <w:pPr>
              <w:rPr>
                <w:rFonts w:ascii="Calibri" w:hAnsi="Calibri" w:cs="Calibri"/>
              </w:rPr>
            </w:pPr>
          </w:p>
        </w:tc>
      </w:tr>
      <w:tr w:rsidR="000D6168" w:rsidRPr="000A5942" w14:paraId="7124BD9D" w14:textId="77777777" w:rsidTr="00323FD6">
        <w:trPr>
          <w:trHeight w:val="290"/>
          <w:jc w:val="center"/>
        </w:trPr>
        <w:tc>
          <w:tcPr>
            <w:tcW w:w="971" w:type="pct"/>
            <w:gridSpan w:val="2"/>
            <w:vMerge/>
            <w:tcBorders>
              <w:left w:val="single" w:sz="4" w:space="0" w:color="auto"/>
              <w:bottom w:val="single" w:sz="4" w:space="0" w:color="auto"/>
              <w:right w:val="nil"/>
            </w:tcBorders>
            <w:shd w:val="clear" w:color="auto" w:fill="auto"/>
            <w:noWrap/>
            <w:vAlign w:val="center"/>
            <w:hideMark/>
          </w:tcPr>
          <w:p w14:paraId="2290482E"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142DCCDA" w14:textId="77777777" w:rsidR="000D6168" w:rsidRPr="000A5942" w:rsidRDefault="000D6168" w:rsidP="00323FD6">
            <w:pPr>
              <w:rPr>
                <w:rFonts w:ascii="Calibri" w:hAnsi="Calibri" w:cs="Calibri"/>
              </w:rPr>
            </w:pPr>
            <w:r w:rsidRPr="000A5942">
              <w:rPr>
                <w:rFonts w:ascii="Calibri" w:hAnsi="Calibri" w:cs="Calibri"/>
              </w:rPr>
              <w:t>Ga0124422_110</w:t>
            </w:r>
          </w:p>
        </w:tc>
        <w:tc>
          <w:tcPr>
            <w:tcW w:w="313" w:type="pct"/>
            <w:tcBorders>
              <w:top w:val="nil"/>
              <w:left w:val="nil"/>
              <w:bottom w:val="single" w:sz="4" w:space="0" w:color="auto"/>
              <w:right w:val="nil"/>
            </w:tcBorders>
            <w:shd w:val="clear" w:color="auto" w:fill="auto"/>
            <w:noWrap/>
            <w:vAlign w:val="center"/>
            <w:hideMark/>
          </w:tcPr>
          <w:p w14:paraId="3C188D41"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14EFCA16"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625" w:type="pct"/>
            <w:tcBorders>
              <w:top w:val="nil"/>
              <w:left w:val="nil"/>
              <w:bottom w:val="single" w:sz="4" w:space="0" w:color="auto"/>
              <w:right w:val="nil"/>
            </w:tcBorders>
            <w:shd w:val="clear" w:color="auto" w:fill="auto"/>
            <w:noWrap/>
            <w:vAlign w:val="center"/>
            <w:hideMark/>
          </w:tcPr>
          <w:p w14:paraId="4E286ECE"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453" w:type="pct"/>
            <w:tcBorders>
              <w:top w:val="nil"/>
              <w:left w:val="nil"/>
              <w:bottom w:val="single" w:sz="4" w:space="0" w:color="auto"/>
              <w:right w:val="nil"/>
            </w:tcBorders>
            <w:shd w:val="clear" w:color="auto" w:fill="auto"/>
            <w:noWrap/>
            <w:vAlign w:val="center"/>
            <w:hideMark/>
          </w:tcPr>
          <w:p w14:paraId="002FB340" w14:textId="77777777" w:rsidR="000D6168" w:rsidRPr="000A5942" w:rsidRDefault="000D6168" w:rsidP="00323FD6">
            <w:pPr>
              <w:rPr>
                <w:rFonts w:ascii="Calibri" w:hAnsi="Calibri" w:cs="Calibri"/>
              </w:rPr>
            </w:pPr>
            <w:r w:rsidRPr="000A5942">
              <w:rPr>
                <w:rFonts w:ascii="Calibri" w:hAnsi="Calibri" w:cs="Calibri"/>
              </w:rPr>
              <w:t>947</w:t>
            </w:r>
          </w:p>
        </w:tc>
        <w:tc>
          <w:tcPr>
            <w:tcW w:w="311" w:type="pct"/>
            <w:tcBorders>
              <w:top w:val="nil"/>
              <w:left w:val="nil"/>
              <w:bottom w:val="single" w:sz="4" w:space="0" w:color="auto"/>
              <w:right w:val="nil"/>
            </w:tcBorders>
            <w:shd w:val="clear" w:color="auto" w:fill="auto"/>
            <w:noWrap/>
            <w:vAlign w:val="center"/>
            <w:hideMark/>
          </w:tcPr>
          <w:p w14:paraId="40FC4CA2" w14:textId="77777777" w:rsidR="000D6168" w:rsidRPr="000A5942" w:rsidRDefault="000D6168" w:rsidP="00323FD6">
            <w:pPr>
              <w:rPr>
                <w:rFonts w:ascii="Calibri" w:hAnsi="Calibri" w:cs="Calibri"/>
              </w:rPr>
            </w:pPr>
            <w:r w:rsidRPr="000A5942">
              <w:rPr>
                <w:rFonts w:ascii="Calibri" w:hAnsi="Calibri" w:cs="Calibri"/>
              </w:rPr>
              <w:t>1063</w:t>
            </w:r>
          </w:p>
        </w:tc>
        <w:tc>
          <w:tcPr>
            <w:tcW w:w="280" w:type="pct"/>
            <w:tcBorders>
              <w:top w:val="nil"/>
              <w:left w:val="nil"/>
              <w:bottom w:val="single" w:sz="4" w:space="0" w:color="auto"/>
              <w:right w:val="nil"/>
            </w:tcBorders>
            <w:shd w:val="clear" w:color="auto" w:fill="auto"/>
            <w:noWrap/>
            <w:vAlign w:val="center"/>
            <w:hideMark/>
          </w:tcPr>
          <w:p w14:paraId="2A14A70A" w14:textId="77777777" w:rsidR="000D6168" w:rsidRPr="000A5942" w:rsidRDefault="000D6168" w:rsidP="00323FD6">
            <w:pPr>
              <w:rPr>
                <w:rFonts w:ascii="Calibri" w:hAnsi="Calibri" w:cs="Calibri"/>
              </w:rPr>
            </w:pPr>
            <w:r w:rsidRPr="000A5942">
              <w:rPr>
                <w:rFonts w:ascii="Calibri" w:hAnsi="Calibri" w:cs="Calibri"/>
              </w:rPr>
              <w:t>13.4</w:t>
            </w:r>
          </w:p>
        </w:tc>
        <w:tc>
          <w:tcPr>
            <w:tcW w:w="1040" w:type="pct"/>
            <w:gridSpan w:val="3"/>
            <w:vMerge/>
            <w:tcBorders>
              <w:left w:val="nil"/>
              <w:bottom w:val="single" w:sz="4" w:space="0" w:color="auto"/>
              <w:right w:val="single" w:sz="4" w:space="0" w:color="auto"/>
            </w:tcBorders>
            <w:shd w:val="clear" w:color="auto" w:fill="auto"/>
            <w:noWrap/>
            <w:vAlign w:val="center"/>
            <w:hideMark/>
          </w:tcPr>
          <w:p w14:paraId="7558F7BB" w14:textId="77777777" w:rsidR="000D6168" w:rsidRPr="000A5942" w:rsidRDefault="000D6168" w:rsidP="00323FD6">
            <w:pPr>
              <w:rPr>
                <w:rFonts w:ascii="Calibri" w:hAnsi="Calibri" w:cs="Calibri"/>
              </w:rPr>
            </w:pPr>
          </w:p>
        </w:tc>
      </w:tr>
      <w:tr w:rsidR="000D6168" w:rsidRPr="000A5942" w14:paraId="2F01B761" w14:textId="77777777" w:rsidTr="00323FD6">
        <w:trPr>
          <w:trHeight w:val="290"/>
          <w:jc w:val="center"/>
        </w:trPr>
        <w:tc>
          <w:tcPr>
            <w:tcW w:w="519" w:type="pct"/>
            <w:tcBorders>
              <w:top w:val="nil"/>
              <w:left w:val="single" w:sz="4" w:space="0" w:color="auto"/>
              <w:bottom w:val="single" w:sz="4" w:space="0" w:color="auto"/>
              <w:right w:val="nil"/>
            </w:tcBorders>
            <w:shd w:val="clear" w:color="auto" w:fill="auto"/>
            <w:noWrap/>
            <w:vAlign w:val="center"/>
            <w:hideMark/>
          </w:tcPr>
          <w:p w14:paraId="298B1377" w14:textId="77777777" w:rsidR="000D6168" w:rsidRPr="000A5942" w:rsidRDefault="000D6168" w:rsidP="00323FD6">
            <w:pPr>
              <w:rPr>
                <w:rFonts w:ascii="Calibri" w:hAnsi="Calibri" w:cs="Calibri"/>
              </w:rPr>
            </w:pPr>
            <w:r w:rsidRPr="000A5942">
              <w:rPr>
                <w:rFonts w:ascii="Calibri" w:hAnsi="Calibri" w:cs="Calibri"/>
              </w:rPr>
              <w:t>2718218026</w:t>
            </w:r>
          </w:p>
        </w:tc>
        <w:tc>
          <w:tcPr>
            <w:tcW w:w="452" w:type="pct"/>
            <w:tcBorders>
              <w:top w:val="nil"/>
              <w:left w:val="nil"/>
              <w:bottom w:val="single" w:sz="4" w:space="0" w:color="auto"/>
              <w:right w:val="nil"/>
            </w:tcBorders>
            <w:shd w:val="clear" w:color="auto" w:fill="auto"/>
            <w:noWrap/>
            <w:vAlign w:val="center"/>
            <w:hideMark/>
          </w:tcPr>
          <w:p w14:paraId="57769791" w14:textId="77777777" w:rsidR="000D6168" w:rsidRPr="000A5942" w:rsidRDefault="000D6168" w:rsidP="00323FD6">
            <w:pPr>
              <w:rPr>
                <w:rFonts w:ascii="Calibri" w:hAnsi="Calibri" w:cs="Calibri"/>
              </w:rPr>
            </w:pPr>
            <w:proofErr w:type="spellStart"/>
            <w:r w:rsidRPr="000A5942">
              <w:rPr>
                <w:rFonts w:ascii="Calibri" w:hAnsi="Calibri" w:cs="Calibri"/>
              </w:rPr>
              <w:t>Phaeobacter</w:t>
            </w:r>
            <w:proofErr w:type="spellEnd"/>
            <w:r w:rsidRPr="000A5942">
              <w:rPr>
                <w:rFonts w:ascii="Calibri" w:hAnsi="Calibri" w:cs="Calibri"/>
              </w:rPr>
              <w:t xml:space="preserve"> </w:t>
            </w:r>
            <w:proofErr w:type="spellStart"/>
            <w:r w:rsidRPr="000A5942">
              <w:rPr>
                <w:rFonts w:ascii="Calibri" w:hAnsi="Calibri" w:cs="Calibri"/>
              </w:rPr>
              <w:t>porticola</w:t>
            </w:r>
            <w:proofErr w:type="spellEnd"/>
            <w:r w:rsidRPr="000A5942">
              <w:rPr>
                <w:rFonts w:ascii="Calibri" w:hAnsi="Calibri" w:cs="Calibri"/>
              </w:rPr>
              <w:t xml:space="preserve"> P97</w:t>
            </w:r>
          </w:p>
        </w:tc>
        <w:tc>
          <w:tcPr>
            <w:tcW w:w="347" w:type="pct"/>
            <w:tcBorders>
              <w:top w:val="nil"/>
              <w:left w:val="nil"/>
              <w:bottom w:val="single" w:sz="4" w:space="0" w:color="auto"/>
              <w:right w:val="nil"/>
            </w:tcBorders>
            <w:shd w:val="clear" w:color="auto" w:fill="auto"/>
            <w:noWrap/>
            <w:vAlign w:val="center"/>
            <w:hideMark/>
          </w:tcPr>
          <w:p w14:paraId="7BA17F9F" w14:textId="77777777" w:rsidR="000D6168" w:rsidRPr="000A5942" w:rsidRDefault="000D6168" w:rsidP="00323FD6">
            <w:pPr>
              <w:rPr>
                <w:rFonts w:ascii="Calibri" w:hAnsi="Calibri" w:cs="Calibri"/>
              </w:rPr>
            </w:pPr>
            <w:r w:rsidRPr="000A5942">
              <w:rPr>
                <w:rFonts w:ascii="Calibri" w:hAnsi="Calibri" w:cs="Calibri"/>
              </w:rPr>
              <w:t>Ga0175981_13</w:t>
            </w:r>
          </w:p>
        </w:tc>
        <w:tc>
          <w:tcPr>
            <w:tcW w:w="313" w:type="pct"/>
            <w:tcBorders>
              <w:top w:val="nil"/>
              <w:left w:val="nil"/>
              <w:bottom w:val="single" w:sz="4" w:space="0" w:color="auto"/>
              <w:right w:val="nil"/>
            </w:tcBorders>
            <w:shd w:val="clear" w:color="auto" w:fill="auto"/>
            <w:noWrap/>
            <w:vAlign w:val="center"/>
            <w:hideMark/>
          </w:tcPr>
          <w:p w14:paraId="7DA9F0D1"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7B887E14" w14:textId="77777777" w:rsidR="000D6168" w:rsidRPr="000A5942" w:rsidRDefault="000D6168" w:rsidP="00323FD6">
            <w:pPr>
              <w:rPr>
                <w:rFonts w:ascii="Calibri" w:hAnsi="Calibri" w:cs="Calibri"/>
              </w:rPr>
            </w:pPr>
            <w:r w:rsidRPr="000A5942">
              <w:rPr>
                <w:rFonts w:ascii="Calibri" w:hAnsi="Calibri" w:cs="Calibri"/>
              </w:rPr>
              <w:t>acyl homoserine lactone synthase</w:t>
            </w:r>
          </w:p>
        </w:tc>
        <w:tc>
          <w:tcPr>
            <w:tcW w:w="625" w:type="pct"/>
            <w:tcBorders>
              <w:top w:val="nil"/>
              <w:left w:val="nil"/>
              <w:bottom w:val="single" w:sz="4" w:space="0" w:color="auto"/>
              <w:right w:val="nil"/>
            </w:tcBorders>
            <w:shd w:val="clear" w:color="auto" w:fill="auto"/>
            <w:noWrap/>
            <w:vAlign w:val="center"/>
            <w:hideMark/>
          </w:tcPr>
          <w:p w14:paraId="3E59C4B8" w14:textId="77777777" w:rsidR="000D6168" w:rsidRPr="000A5942" w:rsidRDefault="000D6168" w:rsidP="00323FD6">
            <w:pPr>
              <w:rPr>
                <w:rFonts w:ascii="Calibri" w:hAnsi="Calibri" w:cs="Calibri"/>
              </w:rPr>
            </w:pPr>
            <w:r w:rsidRPr="000A5942">
              <w:rPr>
                <w:rFonts w:ascii="Calibri" w:hAnsi="Calibri" w:cs="Calibri"/>
              </w:rPr>
              <w:t xml:space="preserve">regulatory protein, </w:t>
            </w:r>
            <w:proofErr w:type="spellStart"/>
            <w:r w:rsidRPr="000A5942">
              <w:rPr>
                <w:rFonts w:ascii="Calibri" w:hAnsi="Calibri" w:cs="Calibri"/>
              </w:rPr>
              <w:t>luxR</w:t>
            </w:r>
            <w:proofErr w:type="spellEnd"/>
            <w:r w:rsidRPr="000A5942">
              <w:rPr>
                <w:rFonts w:ascii="Calibri" w:hAnsi="Calibri" w:cs="Calibri"/>
              </w:rPr>
              <w:t xml:space="preserve"> family</w:t>
            </w:r>
          </w:p>
        </w:tc>
        <w:tc>
          <w:tcPr>
            <w:tcW w:w="453" w:type="pct"/>
            <w:tcBorders>
              <w:top w:val="nil"/>
              <w:left w:val="nil"/>
              <w:bottom w:val="single" w:sz="4" w:space="0" w:color="auto"/>
              <w:right w:val="nil"/>
            </w:tcBorders>
            <w:shd w:val="clear" w:color="auto" w:fill="auto"/>
            <w:noWrap/>
            <w:vAlign w:val="center"/>
            <w:hideMark/>
          </w:tcPr>
          <w:p w14:paraId="14DC9FA3" w14:textId="77777777" w:rsidR="000D6168" w:rsidRPr="000A5942" w:rsidRDefault="000D6168" w:rsidP="00323FD6">
            <w:pPr>
              <w:rPr>
                <w:rFonts w:ascii="Calibri" w:hAnsi="Calibri" w:cs="Calibri"/>
              </w:rPr>
            </w:pPr>
            <w:r w:rsidRPr="000A5942">
              <w:rPr>
                <w:rFonts w:ascii="Calibri" w:hAnsi="Calibri" w:cs="Calibri"/>
              </w:rPr>
              <w:t>1</w:t>
            </w:r>
          </w:p>
        </w:tc>
        <w:tc>
          <w:tcPr>
            <w:tcW w:w="311" w:type="pct"/>
            <w:tcBorders>
              <w:top w:val="nil"/>
              <w:left w:val="nil"/>
              <w:bottom w:val="single" w:sz="4" w:space="0" w:color="auto"/>
              <w:right w:val="nil"/>
            </w:tcBorders>
            <w:shd w:val="clear" w:color="auto" w:fill="auto"/>
            <w:noWrap/>
            <w:vAlign w:val="center"/>
            <w:hideMark/>
          </w:tcPr>
          <w:p w14:paraId="6EE4ED0E" w14:textId="77777777" w:rsidR="000D6168" w:rsidRPr="000A5942" w:rsidRDefault="000D6168" w:rsidP="00323FD6">
            <w:pPr>
              <w:rPr>
                <w:rFonts w:ascii="Calibri" w:hAnsi="Calibri" w:cs="Calibri"/>
              </w:rPr>
            </w:pPr>
            <w:r w:rsidRPr="000A5942">
              <w:rPr>
                <w:rFonts w:ascii="Calibri" w:hAnsi="Calibri" w:cs="Calibri"/>
              </w:rPr>
              <w:t>57</w:t>
            </w:r>
          </w:p>
        </w:tc>
        <w:tc>
          <w:tcPr>
            <w:tcW w:w="280" w:type="pct"/>
            <w:tcBorders>
              <w:top w:val="nil"/>
              <w:left w:val="nil"/>
              <w:bottom w:val="single" w:sz="4" w:space="0" w:color="auto"/>
              <w:right w:val="nil"/>
            </w:tcBorders>
            <w:shd w:val="clear" w:color="auto" w:fill="auto"/>
            <w:noWrap/>
            <w:vAlign w:val="center"/>
            <w:hideMark/>
          </w:tcPr>
          <w:p w14:paraId="5F671ECE" w14:textId="77777777" w:rsidR="000D6168" w:rsidRPr="000A5942" w:rsidRDefault="000D6168" w:rsidP="00323FD6">
            <w:pPr>
              <w:rPr>
                <w:rFonts w:ascii="Calibri" w:hAnsi="Calibri" w:cs="Calibri"/>
              </w:rPr>
            </w:pPr>
            <w:r w:rsidRPr="000A5942">
              <w:rPr>
                <w:rFonts w:ascii="Calibri" w:hAnsi="Calibri" w:cs="Calibri"/>
              </w:rPr>
              <w:t>42.7</w:t>
            </w:r>
          </w:p>
        </w:tc>
        <w:tc>
          <w:tcPr>
            <w:tcW w:w="347" w:type="pct"/>
            <w:tcBorders>
              <w:top w:val="nil"/>
              <w:left w:val="nil"/>
              <w:bottom w:val="single" w:sz="4" w:space="0" w:color="auto"/>
              <w:right w:val="nil"/>
            </w:tcBorders>
            <w:shd w:val="clear" w:color="auto" w:fill="auto"/>
            <w:noWrap/>
            <w:vAlign w:val="center"/>
            <w:hideMark/>
          </w:tcPr>
          <w:p w14:paraId="1215B442" w14:textId="77777777" w:rsidR="000D6168" w:rsidRPr="000A5942" w:rsidRDefault="000D6168" w:rsidP="00323FD6">
            <w:pPr>
              <w:rPr>
                <w:rFonts w:ascii="Calibri" w:hAnsi="Calibri" w:cs="Calibri"/>
              </w:rPr>
            </w:pPr>
            <w:r w:rsidRPr="000A5942">
              <w:rPr>
                <w:rFonts w:ascii="Calibri" w:hAnsi="Calibri" w:cs="Calibri"/>
              </w:rPr>
              <w:t>1</w:t>
            </w:r>
          </w:p>
        </w:tc>
        <w:tc>
          <w:tcPr>
            <w:tcW w:w="313" w:type="pct"/>
            <w:tcBorders>
              <w:top w:val="nil"/>
              <w:left w:val="nil"/>
              <w:bottom w:val="single" w:sz="4" w:space="0" w:color="auto"/>
              <w:right w:val="nil"/>
            </w:tcBorders>
            <w:shd w:val="clear" w:color="auto" w:fill="auto"/>
            <w:noWrap/>
            <w:vAlign w:val="center"/>
            <w:hideMark/>
          </w:tcPr>
          <w:p w14:paraId="65B0FF46" w14:textId="77777777" w:rsidR="000D6168" w:rsidRPr="000A5942" w:rsidRDefault="000D6168" w:rsidP="00323FD6">
            <w:pPr>
              <w:rPr>
                <w:rFonts w:ascii="Calibri" w:hAnsi="Calibri" w:cs="Calibri"/>
              </w:rPr>
            </w:pPr>
            <w:r w:rsidRPr="000A5942">
              <w:rPr>
                <w:rFonts w:ascii="Calibri" w:hAnsi="Calibri" w:cs="Calibri"/>
              </w:rPr>
              <w:t>4025</w:t>
            </w:r>
          </w:p>
        </w:tc>
        <w:tc>
          <w:tcPr>
            <w:tcW w:w="380" w:type="pct"/>
            <w:tcBorders>
              <w:top w:val="nil"/>
              <w:left w:val="nil"/>
              <w:bottom w:val="single" w:sz="4" w:space="0" w:color="auto"/>
              <w:right w:val="single" w:sz="4" w:space="0" w:color="auto"/>
            </w:tcBorders>
            <w:shd w:val="clear" w:color="auto" w:fill="auto"/>
            <w:noWrap/>
            <w:vAlign w:val="center"/>
            <w:hideMark/>
          </w:tcPr>
          <w:p w14:paraId="523DFC37" w14:textId="77777777" w:rsidR="000D6168" w:rsidRPr="000A5942" w:rsidRDefault="000D6168" w:rsidP="00323FD6">
            <w:pPr>
              <w:rPr>
                <w:rFonts w:ascii="Calibri" w:hAnsi="Calibri" w:cs="Calibri"/>
              </w:rPr>
            </w:pPr>
            <w:r w:rsidRPr="000A5942">
              <w:rPr>
                <w:rFonts w:ascii="Calibri" w:hAnsi="Calibri" w:cs="Calibri"/>
              </w:rPr>
              <w:t xml:space="preserve"> 0.0248%</w:t>
            </w:r>
          </w:p>
        </w:tc>
      </w:tr>
      <w:tr w:rsidR="000D6168" w:rsidRPr="000A5942" w14:paraId="744BB2FA"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6FE4BF34" w14:textId="77777777" w:rsidR="000D6168" w:rsidRPr="000A5942" w:rsidRDefault="000D6168" w:rsidP="00323FD6">
            <w:pPr>
              <w:rPr>
                <w:rFonts w:ascii="Calibri" w:hAnsi="Calibri" w:cs="Calibri"/>
              </w:rPr>
            </w:pPr>
            <w:r w:rsidRPr="000A5942">
              <w:rPr>
                <w:rFonts w:ascii="Calibri" w:hAnsi="Calibri" w:cs="Calibri"/>
              </w:rPr>
              <w:t>2645728037</w:t>
            </w:r>
          </w:p>
        </w:tc>
        <w:tc>
          <w:tcPr>
            <w:tcW w:w="452" w:type="pct"/>
            <w:tcBorders>
              <w:top w:val="nil"/>
              <w:left w:val="nil"/>
              <w:bottom w:val="nil"/>
              <w:right w:val="nil"/>
            </w:tcBorders>
            <w:shd w:val="clear" w:color="auto" w:fill="auto"/>
            <w:noWrap/>
            <w:vAlign w:val="center"/>
            <w:hideMark/>
          </w:tcPr>
          <w:p w14:paraId="35882C38" w14:textId="77777777" w:rsidR="000D6168" w:rsidRPr="000A5942" w:rsidRDefault="000D6168" w:rsidP="00323FD6">
            <w:pPr>
              <w:rPr>
                <w:rFonts w:ascii="Calibri" w:hAnsi="Calibri" w:cs="Calibri"/>
              </w:rPr>
            </w:pPr>
            <w:proofErr w:type="spellStart"/>
            <w:r w:rsidRPr="000A5942">
              <w:rPr>
                <w:rFonts w:ascii="Calibri" w:hAnsi="Calibri" w:cs="Calibri"/>
              </w:rPr>
              <w:t>Phaeobacter</w:t>
            </w:r>
            <w:proofErr w:type="spellEnd"/>
            <w:r w:rsidRPr="000A5942">
              <w:rPr>
                <w:rFonts w:ascii="Calibri" w:hAnsi="Calibri" w:cs="Calibri"/>
              </w:rPr>
              <w:t xml:space="preserve"> sp. 11ANDIMAR09</w:t>
            </w:r>
          </w:p>
        </w:tc>
        <w:tc>
          <w:tcPr>
            <w:tcW w:w="347" w:type="pct"/>
            <w:tcBorders>
              <w:top w:val="nil"/>
              <w:left w:val="nil"/>
              <w:bottom w:val="nil"/>
              <w:right w:val="nil"/>
            </w:tcBorders>
            <w:shd w:val="clear" w:color="auto" w:fill="auto"/>
            <w:noWrap/>
            <w:vAlign w:val="center"/>
            <w:hideMark/>
          </w:tcPr>
          <w:p w14:paraId="441543C6" w14:textId="77777777" w:rsidR="000D6168" w:rsidRPr="000A5942" w:rsidRDefault="000D6168" w:rsidP="00323FD6">
            <w:pPr>
              <w:rPr>
                <w:rFonts w:ascii="Calibri" w:hAnsi="Calibri" w:cs="Calibri"/>
              </w:rPr>
            </w:pPr>
            <w:r w:rsidRPr="000A5942">
              <w:rPr>
                <w:rFonts w:ascii="Calibri" w:hAnsi="Calibri" w:cs="Calibri"/>
              </w:rPr>
              <w:t>Ga0098778_1004</w:t>
            </w:r>
          </w:p>
        </w:tc>
        <w:tc>
          <w:tcPr>
            <w:tcW w:w="313" w:type="pct"/>
            <w:tcBorders>
              <w:top w:val="nil"/>
              <w:left w:val="nil"/>
              <w:bottom w:val="nil"/>
              <w:right w:val="nil"/>
            </w:tcBorders>
            <w:shd w:val="clear" w:color="auto" w:fill="auto"/>
            <w:noWrap/>
            <w:vAlign w:val="center"/>
            <w:hideMark/>
          </w:tcPr>
          <w:p w14:paraId="7ED5DE30"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6DB9E0C7"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regulator, </w:t>
            </w:r>
            <w:proofErr w:type="spellStart"/>
            <w:r w:rsidRPr="000A5942">
              <w:rPr>
                <w:rFonts w:ascii="Calibri" w:hAnsi="Calibri" w:cs="Calibri"/>
              </w:rPr>
              <w:t>CsgD</w:t>
            </w:r>
            <w:proofErr w:type="spellEnd"/>
            <w:r w:rsidRPr="000A5942">
              <w:rPr>
                <w:rFonts w:ascii="Calibri" w:hAnsi="Calibri" w:cs="Calibri"/>
              </w:rPr>
              <w:t xml:space="preserve"> family</w:t>
            </w:r>
          </w:p>
        </w:tc>
        <w:tc>
          <w:tcPr>
            <w:tcW w:w="625" w:type="pct"/>
            <w:tcBorders>
              <w:top w:val="nil"/>
              <w:left w:val="nil"/>
              <w:bottom w:val="nil"/>
              <w:right w:val="nil"/>
            </w:tcBorders>
            <w:shd w:val="clear" w:color="auto" w:fill="auto"/>
            <w:noWrap/>
            <w:vAlign w:val="center"/>
            <w:hideMark/>
          </w:tcPr>
          <w:p w14:paraId="0EF1308D" w14:textId="77777777" w:rsidR="000D6168" w:rsidRPr="000A5942" w:rsidRDefault="000D6168" w:rsidP="00323FD6">
            <w:pPr>
              <w:rPr>
                <w:rFonts w:ascii="Calibri" w:hAnsi="Calibri" w:cs="Calibri"/>
              </w:rPr>
            </w:pPr>
            <w:r w:rsidRPr="000A5942">
              <w:rPr>
                <w:rFonts w:ascii="Calibri" w:hAnsi="Calibri" w:cs="Calibri"/>
              </w:rPr>
              <w:t>N-acyl-L-homoserine lactone synthetase</w:t>
            </w:r>
          </w:p>
        </w:tc>
        <w:tc>
          <w:tcPr>
            <w:tcW w:w="453" w:type="pct"/>
            <w:tcBorders>
              <w:top w:val="nil"/>
              <w:left w:val="nil"/>
              <w:bottom w:val="nil"/>
              <w:right w:val="nil"/>
            </w:tcBorders>
            <w:shd w:val="clear" w:color="auto" w:fill="auto"/>
            <w:noWrap/>
            <w:vAlign w:val="center"/>
            <w:hideMark/>
          </w:tcPr>
          <w:p w14:paraId="55E0473F" w14:textId="77777777" w:rsidR="000D6168" w:rsidRPr="000A5942" w:rsidRDefault="000D6168" w:rsidP="00323FD6">
            <w:pPr>
              <w:rPr>
                <w:rFonts w:ascii="Calibri" w:hAnsi="Calibri" w:cs="Calibri"/>
              </w:rPr>
            </w:pPr>
            <w:r w:rsidRPr="000A5942">
              <w:rPr>
                <w:rFonts w:ascii="Calibri" w:hAnsi="Calibri" w:cs="Calibri"/>
              </w:rPr>
              <w:t>90</w:t>
            </w:r>
          </w:p>
        </w:tc>
        <w:tc>
          <w:tcPr>
            <w:tcW w:w="311" w:type="pct"/>
            <w:tcBorders>
              <w:top w:val="nil"/>
              <w:left w:val="nil"/>
              <w:bottom w:val="nil"/>
              <w:right w:val="nil"/>
            </w:tcBorders>
            <w:shd w:val="clear" w:color="auto" w:fill="auto"/>
            <w:noWrap/>
            <w:vAlign w:val="center"/>
            <w:hideMark/>
          </w:tcPr>
          <w:p w14:paraId="181A144E" w14:textId="77777777" w:rsidR="000D6168" w:rsidRPr="000A5942" w:rsidRDefault="000D6168" w:rsidP="00323FD6">
            <w:pPr>
              <w:rPr>
                <w:rFonts w:ascii="Calibri" w:hAnsi="Calibri" w:cs="Calibri"/>
              </w:rPr>
            </w:pPr>
            <w:r w:rsidRPr="000A5942">
              <w:rPr>
                <w:rFonts w:ascii="Calibri" w:hAnsi="Calibri" w:cs="Calibri"/>
              </w:rPr>
              <w:t>4</w:t>
            </w:r>
          </w:p>
        </w:tc>
        <w:tc>
          <w:tcPr>
            <w:tcW w:w="280" w:type="pct"/>
            <w:tcBorders>
              <w:top w:val="nil"/>
              <w:left w:val="nil"/>
              <w:bottom w:val="nil"/>
              <w:right w:val="nil"/>
            </w:tcBorders>
            <w:shd w:val="clear" w:color="auto" w:fill="auto"/>
            <w:noWrap/>
            <w:vAlign w:val="center"/>
            <w:hideMark/>
          </w:tcPr>
          <w:p w14:paraId="3B89B4B3" w14:textId="77777777" w:rsidR="000D6168" w:rsidRPr="000A5942" w:rsidRDefault="000D6168" w:rsidP="00323FD6">
            <w:pPr>
              <w:rPr>
                <w:rFonts w:ascii="Calibri" w:hAnsi="Calibri" w:cs="Calibri"/>
              </w:rPr>
            </w:pPr>
            <w:r w:rsidRPr="000A5942">
              <w:rPr>
                <w:rFonts w:ascii="Calibri" w:hAnsi="Calibri" w:cs="Calibri"/>
              </w:rPr>
              <w:t>25.6</w:t>
            </w:r>
          </w:p>
        </w:tc>
        <w:tc>
          <w:tcPr>
            <w:tcW w:w="347" w:type="pct"/>
            <w:tcBorders>
              <w:top w:val="nil"/>
              <w:left w:val="nil"/>
              <w:bottom w:val="nil"/>
              <w:right w:val="nil"/>
            </w:tcBorders>
            <w:shd w:val="clear" w:color="auto" w:fill="auto"/>
            <w:noWrap/>
            <w:vAlign w:val="center"/>
            <w:hideMark/>
          </w:tcPr>
          <w:p w14:paraId="2CE611FE" w14:textId="77777777" w:rsidR="000D6168" w:rsidRPr="000A5942" w:rsidRDefault="000D6168" w:rsidP="00323FD6">
            <w:pPr>
              <w:rPr>
                <w:rFonts w:ascii="Calibri" w:hAnsi="Calibri" w:cs="Calibri"/>
              </w:rPr>
            </w:pPr>
            <w:r w:rsidRPr="000A5942">
              <w:rPr>
                <w:rFonts w:ascii="Calibri" w:hAnsi="Calibri" w:cs="Calibri"/>
              </w:rPr>
              <w:t>5</w:t>
            </w:r>
          </w:p>
        </w:tc>
        <w:tc>
          <w:tcPr>
            <w:tcW w:w="313" w:type="pct"/>
            <w:tcBorders>
              <w:top w:val="nil"/>
              <w:left w:val="nil"/>
              <w:bottom w:val="nil"/>
              <w:right w:val="nil"/>
            </w:tcBorders>
            <w:shd w:val="clear" w:color="auto" w:fill="auto"/>
            <w:noWrap/>
            <w:vAlign w:val="center"/>
            <w:hideMark/>
          </w:tcPr>
          <w:p w14:paraId="114D0462" w14:textId="77777777" w:rsidR="000D6168" w:rsidRPr="000A5942" w:rsidRDefault="000D6168" w:rsidP="00323FD6">
            <w:pPr>
              <w:rPr>
                <w:rFonts w:ascii="Calibri" w:hAnsi="Calibri" w:cs="Calibri"/>
              </w:rPr>
            </w:pPr>
            <w:r w:rsidRPr="000A5942">
              <w:rPr>
                <w:rFonts w:ascii="Calibri" w:hAnsi="Calibri" w:cs="Calibri"/>
              </w:rPr>
              <w:t>4544</w:t>
            </w:r>
          </w:p>
        </w:tc>
        <w:tc>
          <w:tcPr>
            <w:tcW w:w="380" w:type="pct"/>
            <w:tcBorders>
              <w:top w:val="nil"/>
              <w:left w:val="nil"/>
              <w:bottom w:val="nil"/>
              <w:right w:val="single" w:sz="4" w:space="0" w:color="auto"/>
            </w:tcBorders>
            <w:shd w:val="clear" w:color="auto" w:fill="auto"/>
            <w:noWrap/>
            <w:vAlign w:val="center"/>
            <w:hideMark/>
          </w:tcPr>
          <w:p w14:paraId="52ADE58A" w14:textId="77777777" w:rsidR="000D6168" w:rsidRPr="000A5942" w:rsidRDefault="000D6168" w:rsidP="00323FD6">
            <w:pPr>
              <w:rPr>
                <w:rFonts w:ascii="Calibri" w:hAnsi="Calibri" w:cs="Calibri"/>
              </w:rPr>
            </w:pPr>
            <w:r w:rsidRPr="000A5942">
              <w:rPr>
                <w:rFonts w:ascii="Calibri" w:hAnsi="Calibri" w:cs="Calibri"/>
              </w:rPr>
              <w:t xml:space="preserve"> 0.11%</w:t>
            </w:r>
          </w:p>
        </w:tc>
      </w:tr>
      <w:tr w:rsidR="000D6168" w:rsidRPr="000A5942" w14:paraId="2D424F95" w14:textId="77777777" w:rsidTr="00323FD6">
        <w:trPr>
          <w:trHeight w:val="290"/>
          <w:jc w:val="center"/>
        </w:trPr>
        <w:tc>
          <w:tcPr>
            <w:tcW w:w="971" w:type="pct"/>
            <w:gridSpan w:val="2"/>
            <w:vMerge w:val="restart"/>
            <w:tcBorders>
              <w:top w:val="nil"/>
              <w:left w:val="single" w:sz="4" w:space="0" w:color="auto"/>
              <w:right w:val="nil"/>
            </w:tcBorders>
            <w:shd w:val="clear" w:color="auto" w:fill="auto"/>
            <w:noWrap/>
            <w:vAlign w:val="center"/>
            <w:hideMark/>
          </w:tcPr>
          <w:p w14:paraId="171E047A"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759E8646" w14:textId="77777777" w:rsidR="000D6168" w:rsidRPr="000A5942" w:rsidRDefault="000D6168" w:rsidP="00323FD6">
            <w:pPr>
              <w:rPr>
                <w:rFonts w:ascii="Calibri" w:hAnsi="Calibri" w:cs="Calibri"/>
              </w:rPr>
            </w:pPr>
            <w:r w:rsidRPr="000A5942">
              <w:rPr>
                <w:rFonts w:ascii="Calibri" w:hAnsi="Calibri" w:cs="Calibri"/>
              </w:rPr>
              <w:t>Ga0098778_1004</w:t>
            </w:r>
          </w:p>
        </w:tc>
        <w:tc>
          <w:tcPr>
            <w:tcW w:w="313" w:type="pct"/>
            <w:tcBorders>
              <w:top w:val="nil"/>
              <w:left w:val="nil"/>
              <w:bottom w:val="nil"/>
              <w:right w:val="nil"/>
            </w:tcBorders>
            <w:shd w:val="clear" w:color="auto" w:fill="auto"/>
            <w:noWrap/>
            <w:vAlign w:val="center"/>
            <w:hideMark/>
          </w:tcPr>
          <w:p w14:paraId="5D920FFB"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477C0765"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625" w:type="pct"/>
            <w:tcBorders>
              <w:top w:val="nil"/>
              <w:left w:val="nil"/>
              <w:bottom w:val="nil"/>
              <w:right w:val="nil"/>
            </w:tcBorders>
            <w:shd w:val="clear" w:color="auto" w:fill="auto"/>
            <w:noWrap/>
            <w:vAlign w:val="center"/>
            <w:hideMark/>
          </w:tcPr>
          <w:p w14:paraId="7C348727"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453" w:type="pct"/>
            <w:tcBorders>
              <w:top w:val="nil"/>
              <w:left w:val="nil"/>
              <w:bottom w:val="nil"/>
              <w:right w:val="nil"/>
            </w:tcBorders>
            <w:shd w:val="clear" w:color="auto" w:fill="auto"/>
            <w:noWrap/>
            <w:vAlign w:val="center"/>
            <w:hideMark/>
          </w:tcPr>
          <w:p w14:paraId="0631DEBB" w14:textId="77777777" w:rsidR="000D6168" w:rsidRPr="000A5942" w:rsidRDefault="000D6168" w:rsidP="00323FD6">
            <w:pPr>
              <w:rPr>
                <w:rFonts w:ascii="Calibri" w:hAnsi="Calibri" w:cs="Calibri"/>
              </w:rPr>
            </w:pPr>
            <w:r w:rsidRPr="000A5942">
              <w:rPr>
                <w:rFonts w:ascii="Calibri" w:hAnsi="Calibri" w:cs="Calibri"/>
              </w:rPr>
              <w:t>4215</w:t>
            </w:r>
          </w:p>
        </w:tc>
        <w:tc>
          <w:tcPr>
            <w:tcW w:w="311" w:type="pct"/>
            <w:tcBorders>
              <w:top w:val="nil"/>
              <w:left w:val="nil"/>
              <w:bottom w:val="nil"/>
              <w:right w:val="nil"/>
            </w:tcBorders>
            <w:shd w:val="clear" w:color="auto" w:fill="auto"/>
            <w:noWrap/>
            <w:vAlign w:val="center"/>
            <w:hideMark/>
          </w:tcPr>
          <w:p w14:paraId="423A4D47" w14:textId="77777777" w:rsidR="000D6168" w:rsidRPr="000A5942" w:rsidRDefault="000D6168" w:rsidP="00323FD6">
            <w:pPr>
              <w:rPr>
                <w:rFonts w:ascii="Calibri" w:hAnsi="Calibri" w:cs="Calibri"/>
              </w:rPr>
            </w:pPr>
            <w:r w:rsidRPr="000A5942">
              <w:rPr>
                <w:rFonts w:ascii="Calibri" w:hAnsi="Calibri" w:cs="Calibri"/>
              </w:rPr>
              <w:t>3273</w:t>
            </w:r>
          </w:p>
        </w:tc>
        <w:tc>
          <w:tcPr>
            <w:tcW w:w="280" w:type="pct"/>
            <w:tcBorders>
              <w:top w:val="nil"/>
              <w:left w:val="nil"/>
              <w:bottom w:val="nil"/>
              <w:right w:val="nil"/>
            </w:tcBorders>
            <w:shd w:val="clear" w:color="auto" w:fill="auto"/>
            <w:noWrap/>
            <w:vAlign w:val="center"/>
            <w:hideMark/>
          </w:tcPr>
          <w:p w14:paraId="51B3701D" w14:textId="77777777" w:rsidR="000D6168" w:rsidRPr="000A5942" w:rsidRDefault="000D6168" w:rsidP="00323FD6">
            <w:pPr>
              <w:rPr>
                <w:rFonts w:ascii="Calibri" w:hAnsi="Calibri" w:cs="Calibri"/>
              </w:rPr>
            </w:pPr>
            <w:r w:rsidRPr="000A5942">
              <w:rPr>
                <w:rFonts w:ascii="Calibri" w:hAnsi="Calibri" w:cs="Calibri"/>
              </w:rPr>
              <w:t>17.5</w:t>
            </w:r>
          </w:p>
        </w:tc>
        <w:tc>
          <w:tcPr>
            <w:tcW w:w="1040" w:type="pct"/>
            <w:gridSpan w:val="3"/>
            <w:vMerge w:val="restart"/>
            <w:tcBorders>
              <w:top w:val="nil"/>
              <w:left w:val="nil"/>
              <w:right w:val="single" w:sz="4" w:space="0" w:color="auto"/>
            </w:tcBorders>
            <w:shd w:val="clear" w:color="auto" w:fill="auto"/>
            <w:noWrap/>
            <w:vAlign w:val="center"/>
            <w:hideMark/>
          </w:tcPr>
          <w:p w14:paraId="6BE0E1C6" w14:textId="77777777" w:rsidR="000D6168" w:rsidRPr="000A5942" w:rsidRDefault="000D6168" w:rsidP="00323FD6">
            <w:pPr>
              <w:rPr>
                <w:rFonts w:ascii="Calibri" w:hAnsi="Calibri" w:cs="Calibri"/>
              </w:rPr>
            </w:pPr>
          </w:p>
        </w:tc>
      </w:tr>
      <w:tr w:rsidR="000D6168" w:rsidRPr="000A5942" w14:paraId="412DB9A3" w14:textId="77777777" w:rsidTr="00323FD6">
        <w:trPr>
          <w:trHeight w:val="290"/>
          <w:jc w:val="center"/>
        </w:trPr>
        <w:tc>
          <w:tcPr>
            <w:tcW w:w="971" w:type="pct"/>
            <w:gridSpan w:val="2"/>
            <w:vMerge/>
            <w:tcBorders>
              <w:left w:val="single" w:sz="4" w:space="0" w:color="auto"/>
              <w:right w:val="nil"/>
            </w:tcBorders>
            <w:shd w:val="clear" w:color="auto" w:fill="auto"/>
            <w:noWrap/>
            <w:vAlign w:val="center"/>
            <w:hideMark/>
          </w:tcPr>
          <w:p w14:paraId="63F3DB46"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1D2FE599" w14:textId="77777777" w:rsidR="000D6168" w:rsidRPr="000A5942" w:rsidRDefault="000D6168" w:rsidP="00323FD6">
            <w:pPr>
              <w:rPr>
                <w:rFonts w:ascii="Calibri" w:hAnsi="Calibri" w:cs="Calibri"/>
              </w:rPr>
            </w:pPr>
            <w:r w:rsidRPr="000A5942">
              <w:rPr>
                <w:rFonts w:ascii="Calibri" w:hAnsi="Calibri" w:cs="Calibri"/>
              </w:rPr>
              <w:t>Ga0098778_1011</w:t>
            </w:r>
          </w:p>
        </w:tc>
        <w:tc>
          <w:tcPr>
            <w:tcW w:w="313" w:type="pct"/>
            <w:tcBorders>
              <w:top w:val="nil"/>
              <w:left w:val="nil"/>
              <w:bottom w:val="nil"/>
              <w:right w:val="nil"/>
            </w:tcBorders>
            <w:shd w:val="clear" w:color="auto" w:fill="auto"/>
            <w:noWrap/>
            <w:vAlign w:val="center"/>
            <w:hideMark/>
          </w:tcPr>
          <w:p w14:paraId="5187D7E7"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63729108" w14:textId="77777777" w:rsidR="000D6168" w:rsidRPr="000A5942" w:rsidRDefault="000D6168" w:rsidP="00323FD6">
            <w:pPr>
              <w:rPr>
                <w:rFonts w:ascii="Calibri" w:hAnsi="Calibri" w:cs="Calibri"/>
              </w:rPr>
            </w:pPr>
            <w:proofErr w:type="spellStart"/>
            <w:r w:rsidRPr="000A5942">
              <w:rPr>
                <w:rFonts w:ascii="Calibri" w:hAnsi="Calibri" w:cs="Calibri"/>
              </w:rPr>
              <w:t>amidophosphoribosyltransferase</w:t>
            </w:r>
            <w:proofErr w:type="spellEnd"/>
          </w:p>
        </w:tc>
        <w:tc>
          <w:tcPr>
            <w:tcW w:w="625" w:type="pct"/>
            <w:tcBorders>
              <w:top w:val="nil"/>
              <w:left w:val="nil"/>
              <w:bottom w:val="nil"/>
              <w:right w:val="nil"/>
            </w:tcBorders>
            <w:shd w:val="clear" w:color="auto" w:fill="auto"/>
            <w:noWrap/>
            <w:vAlign w:val="center"/>
            <w:hideMark/>
          </w:tcPr>
          <w:p w14:paraId="3D32D120" w14:textId="77777777" w:rsidR="000D6168" w:rsidRPr="000A5942" w:rsidRDefault="000D6168" w:rsidP="00323FD6">
            <w:pPr>
              <w:rPr>
                <w:rFonts w:ascii="Calibri" w:hAnsi="Calibri" w:cs="Calibri"/>
              </w:rPr>
            </w:pPr>
            <w:r w:rsidRPr="000A5942">
              <w:rPr>
                <w:rFonts w:ascii="Calibri" w:hAnsi="Calibri" w:cs="Calibri"/>
              </w:rPr>
              <w:t xml:space="preserve">Ammonia channel protein </w:t>
            </w:r>
            <w:proofErr w:type="spellStart"/>
            <w:r w:rsidRPr="000A5942">
              <w:rPr>
                <w:rFonts w:ascii="Calibri" w:hAnsi="Calibri" w:cs="Calibri"/>
              </w:rPr>
              <w:t>AmtB</w:t>
            </w:r>
            <w:proofErr w:type="spellEnd"/>
          </w:p>
        </w:tc>
        <w:tc>
          <w:tcPr>
            <w:tcW w:w="453" w:type="pct"/>
            <w:tcBorders>
              <w:top w:val="nil"/>
              <w:left w:val="nil"/>
              <w:bottom w:val="nil"/>
              <w:right w:val="nil"/>
            </w:tcBorders>
            <w:shd w:val="clear" w:color="auto" w:fill="auto"/>
            <w:noWrap/>
            <w:vAlign w:val="center"/>
            <w:hideMark/>
          </w:tcPr>
          <w:p w14:paraId="618D7DB5" w14:textId="77777777" w:rsidR="000D6168" w:rsidRPr="000A5942" w:rsidRDefault="000D6168" w:rsidP="00323FD6">
            <w:pPr>
              <w:rPr>
                <w:rFonts w:ascii="Calibri" w:hAnsi="Calibri" w:cs="Calibri"/>
              </w:rPr>
            </w:pPr>
            <w:r w:rsidRPr="000A5942">
              <w:rPr>
                <w:rFonts w:ascii="Calibri" w:hAnsi="Calibri" w:cs="Calibri"/>
              </w:rPr>
              <w:t>117</w:t>
            </w:r>
          </w:p>
        </w:tc>
        <w:tc>
          <w:tcPr>
            <w:tcW w:w="311" w:type="pct"/>
            <w:tcBorders>
              <w:top w:val="nil"/>
              <w:left w:val="nil"/>
              <w:bottom w:val="nil"/>
              <w:right w:val="nil"/>
            </w:tcBorders>
            <w:shd w:val="clear" w:color="auto" w:fill="auto"/>
            <w:noWrap/>
            <w:vAlign w:val="center"/>
            <w:hideMark/>
          </w:tcPr>
          <w:p w14:paraId="0C1C74BB" w14:textId="77777777" w:rsidR="000D6168" w:rsidRPr="000A5942" w:rsidRDefault="000D6168" w:rsidP="00323FD6">
            <w:pPr>
              <w:rPr>
                <w:rFonts w:ascii="Calibri" w:hAnsi="Calibri" w:cs="Calibri"/>
              </w:rPr>
            </w:pPr>
            <w:r w:rsidRPr="000A5942">
              <w:rPr>
                <w:rFonts w:ascii="Calibri" w:hAnsi="Calibri" w:cs="Calibri"/>
              </w:rPr>
              <w:t>228</w:t>
            </w:r>
          </w:p>
        </w:tc>
        <w:tc>
          <w:tcPr>
            <w:tcW w:w="280" w:type="pct"/>
            <w:tcBorders>
              <w:top w:val="nil"/>
              <w:left w:val="nil"/>
              <w:bottom w:val="nil"/>
              <w:right w:val="nil"/>
            </w:tcBorders>
            <w:shd w:val="clear" w:color="auto" w:fill="auto"/>
            <w:noWrap/>
            <w:vAlign w:val="center"/>
            <w:hideMark/>
          </w:tcPr>
          <w:p w14:paraId="3AB6D398" w14:textId="77777777" w:rsidR="000D6168" w:rsidRPr="000A5942" w:rsidRDefault="000D6168" w:rsidP="00323FD6">
            <w:pPr>
              <w:rPr>
                <w:rFonts w:ascii="Calibri" w:hAnsi="Calibri" w:cs="Calibri"/>
              </w:rPr>
            </w:pPr>
            <w:r w:rsidRPr="000A5942">
              <w:rPr>
                <w:rFonts w:ascii="Calibri" w:hAnsi="Calibri" w:cs="Calibri"/>
              </w:rPr>
              <w:t>13.3</w:t>
            </w:r>
          </w:p>
        </w:tc>
        <w:tc>
          <w:tcPr>
            <w:tcW w:w="1040" w:type="pct"/>
            <w:gridSpan w:val="3"/>
            <w:vMerge/>
            <w:tcBorders>
              <w:left w:val="nil"/>
              <w:right w:val="single" w:sz="4" w:space="0" w:color="auto"/>
            </w:tcBorders>
            <w:shd w:val="clear" w:color="auto" w:fill="auto"/>
            <w:noWrap/>
            <w:vAlign w:val="center"/>
            <w:hideMark/>
          </w:tcPr>
          <w:p w14:paraId="12E047C3" w14:textId="77777777" w:rsidR="000D6168" w:rsidRPr="000A5942" w:rsidRDefault="000D6168" w:rsidP="00323FD6">
            <w:pPr>
              <w:rPr>
                <w:rFonts w:ascii="Calibri" w:hAnsi="Calibri" w:cs="Calibri"/>
              </w:rPr>
            </w:pPr>
          </w:p>
        </w:tc>
      </w:tr>
      <w:tr w:rsidR="000D6168" w:rsidRPr="000A5942" w14:paraId="76C9E567" w14:textId="77777777" w:rsidTr="00323FD6">
        <w:trPr>
          <w:trHeight w:val="290"/>
          <w:jc w:val="center"/>
        </w:trPr>
        <w:tc>
          <w:tcPr>
            <w:tcW w:w="971" w:type="pct"/>
            <w:gridSpan w:val="2"/>
            <w:vMerge/>
            <w:tcBorders>
              <w:left w:val="single" w:sz="4" w:space="0" w:color="auto"/>
              <w:right w:val="nil"/>
            </w:tcBorders>
            <w:shd w:val="clear" w:color="auto" w:fill="auto"/>
            <w:noWrap/>
            <w:vAlign w:val="center"/>
            <w:hideMark/>
          </w:tcPr>
          <w:p w14:paraId="12378C17"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78061B14" w14:textId="77777777" w:rsidR="000D6168" w:rsidRPr="000A5942" w:rsidRDefault="000D6168" w:rsidP="00323FD6">
            <w:pPr>
              <w:rPr>
                <w:rFonts w:ascii="Calibri" w:hAnsi="Calibri" w:cs="Calibri"/>
              </w:rPr>
            </w:pPr>
            <w:r w:rsidRPr="000A5942">
              <w:rPr>
                <w:rFonts w:ascii="Calibri" w:hAnsi="Calibri" w:cs="Calibri"/>
              </w:rPr>
              <w:t>Ga0098778_1028</w:t>
            </w:r>
          </w:p>
        </w:tc>
        <w:tc>
          <w:tcPr>
            <w:tcW w:w="313" w:type="pct"/>
            <w:tcBorders>
              <w:top w:val="nil"/>
              <w:left w:val="nil"/>
              <w:bottom w:val="nil"/>
              <w:right w:val="nil"/>
            </w:tcBorders>
            <w:shd w:val="clear" w:color="auto" w:fill="auto"/>
            <w:noWrap/>
            <w:vAlign w:val="center"/>
            <w:hideMark/>
          </w:tcPr>
          <w:p w14:paraId="1D49CE78"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3382A357"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625" w:type="pct"/>
            <w:tcBorders>
              <w:top w:val="nil"/>
              <w:left w:val="nil"/>
              <w:bottom w:val="nil"/>
              <w:right w:val="nil"/>
            </w:tcBorders>
            <w:shd w:val="clear" w:color="auto" w:fill="auto"/>
            <w:noWrap/>
            <w:vAlign w:val="center"/>
            <w:hideMark/>
          </w:tcPr>
          <w:p w14:paraId="35C120F7" w14:textId="77777777" w:rsidR="000D6168" w:rsidRPr="000A5942" w:rsidRDefault="000D6168" w:rsidP="00323FD6">
            <w:pPr>
              <w:rPr>
                <w:rFonts w:ascii="Calibri" w:hAnsi="Calibri" w:cs="Calibri"/>
              </w:rPr>
            </w:pPr>
            <w:proofErr w:type="spellStart"/>
            <w:r w:rsidRPr="000A5942">
              <w:rPr>
                <w:rFonts w:ascii="Calibri" w:hAnsi="Calibri" w:cs="Calibri"/>
              </w:rPr>
              <w:t>EamA</w:t>
            </w:r>
            <w:proofErr w:type="spellEnd"/>
            <w:r w:rsidRPr="000A5942">
              <w:rPr>
                <w:rFonts w:ascii="Calibri" w:hAnsi="Calibri" w:cs="Calibri"/>
              </w:rPr>
              <w:t xml:space="preserve"> domain-containing membrane protein </w:t>
            </w:r>
            <w:proofErr w:type="spellStart"/>
            <w:r w:rsidRPr="000A5942">
              <w:rPr>
                <w:rFonts w:ascii="Calibri" w:hAnsi="Calibri" w:cs="Calibri"/>
              </w:rPr>
              <w:t>RarD</w:t>
            </w:r>
            <w:proofErr w:type="spellEnd"/>
          </w:p>
        </w:tc>
        <w:tc>
          <w:tcPr>
            <w:tcW w:w="453" w:type="pct"/>
            <w:tcBorders>
              <w:top w:val="nil"/>
              <w:left w:val="nil"/>
              <w:bottom w:val="nil"/>
              <w:right w:val="nil"/>
            </w:tcBorders>
            <w:shd w:val="clear" w:color="auto" w:fill="auto"/>
            <w:noWrap/>
            <w:vAlign w:val="center"/>
            <w:hideMark/>
          </w:tcPr>
          <w:p w14:paraId="4D1A6DD6" w14:textId="77777777" w:rsidR="000D6168" w:rsidRPr="000A5942" w:rsidRDefault="000D6168" w:rsidP="00323FD6">
            <w:pPr>
              <w:rPr>
                <w:rFonts w:ascii="Calibri" w:hAnsi="Calibri" w:cs="Calibri"/>
              </w:rPr>
            </w:pPr>
            <w:r w:rsidRPr="000A5942">
              <w:rPr>
                <w:rFonts w:ascii="Calibri" w:hAnsi="Calibri" w:cs="Calibri"/>
              </w:rPr>
              <w:t>2</w:t>
            </w:r>
          </w:p>
        </w:tc>
        <w:tc>
          <w:tcPr>
            <w:tcW w:w="311" w:type="pct"/>
            <w:tcBorders>
              <w:top w:val="nil"/>
              <w:left w:val="nil"/>
              <w:bottom w:val="nil"/>
              <w:right w:val="nil"/>
            </w:tcBorders>
            <w:shd w:val="clear" w:color="auto" w:fill="auto"/>
            <w:noWrap/>
            <w:vAlign w:val="center"/>
            <w:hideMark/>
          </w:tcPr>
          <w:p w14:paraId="09F476DF" w14:textId="77777777" w:rsidR="000D6168" w:rsidRPr="000A5942" w:rsidRDefault="000D6168" w:rsidP="00323FD6">
            <w:pPr>
              <w:rPr>
                <w:rFonts w:ascii="Calibri" w:hAnsi="Calibri" w:cs="Calibri"/>
              </w:rPr>
            </w:pPr>
            <w:r w:rsidRPr="000A5942">
              <w:rPr>
                <w:rFonts w:ascii="Calibri" w:hAnsi="Calibri" w:cs="Calibri"/>
              </w:rPr>
              <w:t>52</w:t>
            </w:r>
          </w:p>
        </w:tc>
        <w:tc>
          <w:tcPr>
            <w:tcW w:w="280" w:type="pct"/>
            <w:tcBorders>
              <w:top w:val="nil"/>
              <w:left w:val="nil"/>
              <w:bottom w:val="nil"/>
              <w:right w:val="nil"/>
            </w:tcBorders>
            <w:shd w:val="clear" w:color="auto" w:fill="auto"/>
            <w:noWrap/>
            <w:vAlign w:val="center"/>
            <w:hideMark/>
          </w:tcPr>
          <w:p w14:paraId="02811179" w14:textId="77777777" w:rsidR="000D6168" w:rsidRPr="000A5942" w:rsidRDefault="000D6168" w:rsidP="00323FD6">
            <w:pPr>
              <w:rPr>
                <w:rFonts w:ascii="Calibri" w:hAnsi="Calibri" w:cs="Calibri"/>
              </w:rPr>
            </w:pPr>
            <w:r w:rsidRPr="000A5942">
              <w:rPr>
                <w:rFonts w:ascii="Calibri" w:hAnsi="Calibri" w:cs="Calibri"/>
              </w:rPr>
              <w:t>11.9</w:t>
            </w:r>
          </w:p>
        </w:tc>
        <w:tc>
          <w:tcPr>
            <w:tcW w:w="1040" w:type="pct"/>
            <w:gridSpan w:val="3"/>
            <w:vMerge/>
            <w:tcBorders>
              <w:left w:val="nil"/>
              <w:right w:val="single" w:sz="4" w:space="0" w:color="auto"/>
            </w:tcBorders>
            <w:shd w:val="clear" w:color="auto" w:fill="auto"/>
            <w:noWrap/>
            <w:vAlign w:val="center"/>
            <w:hideMark/>
          </w:tcPr>
          <w:p w14:paraId="2C87F4DF" w14:textId="77777777" w:rsidR="000D6168" w:rsidRPr="000A5942" w:rsidRDefault="000D6168" w:rsidP="00323FD6">
            <w:pPr>
              <w:rPr>
                <w:rFonts w:ascii="Calibri" w:hAnsi="Calibri" w:cs="Calibri"/>
              </w:rPr>
            </w:pPr>
          </w:p>
        </w:tc>
      </w:tr>
      <w:tr w:rsidR="000D6168" w:rsidRPr="000A5942" w14:paraId="5728060A" w14:textId="77777777" w:rsidTr="00323FD6">
        <w:trPr>
          <w:trHeight w:val="290"/>
          <w:jc w:val="center"/>
        </w:trPr>
        <w:tc>
          <w:tcPr>
            <w:tcW w:w="971" w:type="pct"/>
            <w:gridSpan w:val="2"/>
            <w:vMerge/>
            <w:tcBorders>
              <w:left w:val="single" w:sz="4" w:space="0" w:color="auto"/>
              <w:bottom w:val="single" w:sz="4" w:space="0" w:color="auto"/>
              <w:right w:val="nil"/>
            </w:tcBorders>
            <w:shd w:val="clear" w:color="auto" w:fill="auto"/>
            <w:noWrap/>
            <w:vAlign w:val="center"/>
            <w:hideMark/>
          </w:tcPr>
          <w:p w14:paraId="3A72A1D2"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5AB6C370" w14:textId="77777777" w:rsidR="000D6168" w:rsidRPr="000A5942" w:rsidRDefault="000D6168" w:rsidP="00323FD6">
            <w:pPr>
              <w:rPr>
                <w:rFonts w:ascii="Calibri" w:hAnsi="Calibri" w:cs="Calibri"/>
              </w:rPr>
            </w:pPr>
            <w:r w:rsidRPr="000A5942">
              <w:rPr>
                <w:rFonts w:ascii="Calibri" w:hAnsi="Calibri" w:cs="Calibri"/>
              </w:rPr>
              <w:t>Ga0098778_1019</w:t>
            </w:r>
          </w:p>
        </w:tc>
        <w:tc>
          <w:tcPr>
            <w:tcW w:w="313" w:type="pct"/>
            <w:tcBorders>
              <w:top w:val="nil"/>
              <w:left w:val="nil"/>
              <w:bottom w:val="single" w:sz="4" w:space="0" w:color="auto"/>
              <w:right w:val="nil"/>
            </w:tcBorders>
            <w:shd w:val="clear" w:color="auto" w:fill="auto"/>
            <w:noWrap/>
            <w:vAlign w:val="center"/>
            <w:hideMark/>
          </w:tcPr>
          <w:p w14:paraId="30748AD6"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01FF03D8" w14:textId="77777777" w:rsidR="000D6168" w:rsidRPr="000A5942" w:rsidRDefault="000D6168" w:rsidP="00323FD6">
            <w:pPr>
              <w:rPr>
                <w:rFonts w:ascii="Calibri" w:hAnsi="Calibri" w:cs="Calibri"/>
              </w:rPr>
            </w:pPr>
            <w:r w:rsidRPr="000A5942">
              <w:rPr>
                <w:rFonts w:ascii="Calibri" w:hAnsi="Calibri" w:cs="Calibri"/>
              </w:rPr>
              <w:t xml:space="preserve">two-component system, </w:t>
            </w:r>
            <w:proofErr w:type="spellStart"/>
            <w:r w:rsidRPr="000A5942">
              <w:rPr>
                <w:rFonts w:ascii="Calibri" w:hAnsi="Calibri" w:cs="Calibri"/>
              </w:rPr>
              <w:t>OmpR</w:t>
            </w:r>
            <w:proofErr w:type="spellEnd"/>
            <w:r w:rsidRPr="000A5942">
              <w:rPr>
                <w:rFonts w:ascii="Calibri" w:hAnsi="Calibri" w:cs="Calibri"/>
              </w:rPr>
              <w:t xml:space="preserve"> family, osmolarity sensor histidine kinase </w:t>
            </w:r>
            <w:proofErr w:type="spellStart"/>
            <w:r w:rsidRPr="000A5942">
              <w:rPr>
                <w:rFonts w:ascii="Calibri" w:hAnsi="Calibri" w:cs="Calibri"/>
              </w:rPr>
              <w:t>EnvZ</w:t>
            </w:r>
            <w:proofErr w:type="spellEnd"/>
          </w:p>
        </w:tc>
        <w:tc>
          <w:tcPr>
            <w:tcW w:w="625" w:type="pct"/>
            <w:tcBorders>
              <w:top w:val="nil"/>
              <w:left w:val="nil"/>
              <w:bottom w:val="single" w:sz="4" w:space="0" w:color="auto"/>
              <w:right w:val="nil"/>
            </w:tcBorders>
            <w:shd w:val="clear" w:color="auto" w:fill="auto"/>
            <w:noWrap/>
            <w:vAlign w:val="center"/>
            <w:hideMark/>
          </w:tcPr>
          <w:p w14:paraId="2F432F9D" w14:textId="77777777" w:rsidR="000D6168" w:rsidRPr="000A5942" w:rsidRDefault="000D6168" w:rsidP="00323FD6">
            <w:pPr>
              <w:rPr>
                <w:rFonts w:ascii="Calibri" w:hAnsi="Calibri" w:cs="Calibri"/>
              </w:rPr>
            </w:pPr>
            <w:proofErr w:type="spellStart"/>
            <w:r w:rsidRPr="000A5942">
              <w:rPr>
                <w:rFonts w:ascii="Calibri" w:hAnsi="Calibri" w:cs="Calibri"/>
              </w:rPr>
              <w:t>SnoaL</w:t>
            </w:r>
            <w:proofErr w:type="spellEnd"/>
            <w:r w:rsidRPr="000A5942">
              <w:rPr>
                <w:rFonts w:ascii="Calibri" w:hAnsi="Calibri" w:cs="Calibri"/>
              </w:rPr>
              <w:t>-like domain-containing protein</w:t>
            </w:r>
          </w:p>
        </w:tc>
        <w:tc>
          <w:tcPr>
            <w:tcW w:w="453" w:type="pct"/>
            <w:tcBorders>
              <w:top w:val="nil"/>
              <w:left w:val="nil"/>
              <w:bottom w:val="single" w:sz="4" w:space="0" w:color="auto"/>
              <w:right w:val="nil"/>
            </w:tcBorders>
            <w:shd w:val="clear" w:color="auto" w:fill="auto"/>
            <w:noWrap/>
            <w:vAlign w:val="center"/>
            <w:hideMark/>
          </w:tcPr>
          <w:p w14:paraId="3F867214" w14:textId="77777777" w:rsidR="000D6168" w:rsidRPr="000A5942" w:rsidRDefault="000D6168" w:rsidP="00323FD6">
            <w:pPr>
              <w:rPr>
                <w:rFonts w:ascii="Calibri" w:hAnsi="Calibri" w:cs="Calibri"/>
              </w:rPr>
            </w:pPr>
            <w:r w:rsidRPr="000A5942">
              <w:rPr>
                <w:rFonts w:ascii="Calibri" w:hAnsi="Calibri" w:cs="Calibri"/>
              </w:rPr>
              <w:t>1153</w:t>
            </w:r>
          </w:p>
        </w:tc>
        <w:tc>
          <w:tcPr>
            <w:tcW w:w="311" w:type="pct"/>
            <w:tcBorders>
              <w:top w:val="nil"/>
              <w:left w:val="nil"/>
              <w:bottom w:val="single" w:sz="4" w:space="0" w:color="auto"/>
              <w:right w:val="nil"/>
            </w:tcBorders>
            <w:shd w:val="clear" w:color="auto" w:fill="auto"/>
            <w:noWrap/>
            <w:vAlign w:val="center"/>
            <w:hideMark/>
          </w:tcPr>
          <w:p w14:paraId="23D34428" w14:textId="77777777" w:rsidR="000D6168" w:rsidRPr="000A5942" w:rsidRDefault="000D6168" w:rsidP="00323FD6">
            <w:pPr>
              <w:rPr>
                <w:rFonts w:ascii="Calibri" w:hAnsi="Calibri" w:cs="Calibri"/>
              </w:rPr>
            </w:pPr>
            <w:r w:rsidRPr="000A5942">
              <w:rPr>
                <w:rFonts w:ascii="Calibri" w:hAnsi="Calibri" w:cs="Calibri"/>
              </w:rPr>
              <w:t>148</w:t>
            </w:r>
          </w:p>
        </w:tc>
        <w:tc>
          <w:tcPr>
            <w:tcW w:w="280" w:type="pct"/>
            <w:tcBorders>
              <w:top w:val="nil"/>
              <w:left w:val="nil"/>
              <w:bottom w:val="single" w:sz="4" w:space="0" w:color="auto"/>
              <w:right w:val="nil"/>
            </w:tcBorders>
            <w:shd w:val="clear" w:color="auto" w:fill="auto"/>
            <w:noWrap/>
            <w:vAlign w:val="center"/>
            <w:hideMark/>
          </w:tcPr>
          <w:p w14:paraId="7AEA72AB" w14:textId="77777777" w:rsidR="000D6168" w:rsidRPr="000A5942" w:rsidRDefault="000D6168" w:rsidP="00323FD6">
            <w:pPr>
              <w:rPr>
                <w:rFonts w:ascii="Calibri" w:hAnsi="Calibri" w:cs="Calibri"/>
              </w:rPr>
            </w:pPr>
            <w:r w:rsidRPr="000A5942">
              <w:rPr>
                <w:rFonts w:ascii="Calibri" w:hAnsi="Calibri" w:cs="Calibri"/>
              </w:rPr>
              <w:t>11.3</w:t>
            </w:r>
          </w:p>
        </w:tc>
        <w:tc>
          <w:tcPr>
            <w:tcW w:w="1040" w:type="pct"/>
            <w:gridSpan w:val="3"/>
            <w:vMerge/>
            <w:tcBorders>
              <w:left w:val="nil"/>
              <w:bottom w:val="single" w:sz="4" w:space="0" w:color="auto"/>
              <w:right w:val="single" w:sz="4" w:space="0" w:color="auto"/>
            </w:tcBorders>
            <w:shd w:val="clear" w:color="auto" w:fill="auto"/>
            <w:noWrap/>
            <w:vAlign w:val="center"/>
            <w:hideMark/>
          </w:tcPr>
          <w:p w14:paraId="0F3DF68C" w14:textId="77777777" w:rsidR="000D6168" w:rsidRPr="000A5942" w:rsidRDefault="000D6168" w:rsidP="00323FD6">
            <w:pPr>
              <w:rPr>
                <w:rFonts w:ascii="Calibri" w:hAnsi="Calibri" w:cs="Calibri"/>
              </w:rPr>
            </w:pPr>
          </w:p>
        </w:tc>
      </w:tr>
      <w:tr w:rsidR="000D6168" w:rsidRPr="000A5942" w14:paraId="4017400B"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357C9BC7" w14:textId="77777777" w:rsidR="000D6168" w:rsidRPr="000A5942" w:rsidRDefault="000D6168" w:rsidP="00323FD6">
            <w:pPr>
              <w:rPr>
                <w:rFonts w:ascii="Calibri" w:hAnsi="Calibri" w:cs="Calibri"/>
              </w:rPr>
            </w:pPr>
            <w:r w:rsidRPr="000A5942">
              <w:rPr>
                <w:rFonts w:ascii="Calibri" w:hAnsi="Calibri" w:cs="Calibri"/>
              </w:rPr>
              <w:t>2713896965</w:t>
            </w:r>
          </w:p>
        </w:tc>
        <w:tc>
          <w:tcPr>
            <w:tcW w:w="452" w:type="pct"/>
            <w:tcBorders>
              <w:top w:val="nil"/>
              <w:left w:val="nil"/>
              <w:bottom w:val="nil"/>
              <w:right w:val="nil"/>
            </w:tcBorders>
            <w:shd w:val="clear" w:color="auto" w:fill="auto"/>
            <w:noWrap/>
            <w:vAlign w:val="center"/>
            <w:hideMark/>
          </w:tcPr>
          <w:p w14:paraId="0870FB96" w14:textId="77777777" w:rsidR="000D6168" w:rsidRPr="000A5942" w:rsidRDefault="000D6168" w:rsidP="00323FD6">
            <w:pPr>
              <w:rPr>
                <w:rFonts w:ascii="Calibri" w:hAnsi="Calibri" w:cs="Calibri"/>
              </w:rPr>
            </w:pPr>
            <w:proofErr w:type="spellStart"/>
            <w:r w:rsidRPr="000A5942">
              <w:rPr>
                <w:rFonts w:ascii="Calibri" w:hAnsi="Calibri" w:cs="Calibri"/>
              </w:rPr>
              <w:t>Phaeobacter</w:t>
            </w:r>
            <w:proofErr w:type="spellEnd"/>
            <w:r w:rsidRPr="000A5942">
              <w:rPr>
                <w:rFonts w:ascii="Calibri" w:hAnsi="Calibri" w:cs="Calibri"/>
              </w:rPr>
              <w:t xml:space="preserve"> sp. CECT 5382</w:t>
            </w:r>
          </w:p>
        </w:tc>
        <w:tc>
          <w:tcPr>
            <w:tcW w:w="347" w:type="pct"/>
            <w:tcBorders>
              <w:top w:val="nil"/>
              <w:left w:val="nil"/>
              <w:bottom w:val="nil"/>
              <w:right w:val="nil"/>
            </w:tcBorders>
            <w:shd w:val="clear" w:color="auto" w:fill="auto"/>
            <w:noWrap/>
            <w:vAlign w:val="center"/>
            <w:hideMark/>
          </w:tcPr>
          <w:p w14:paraId="7170583F" w14:textId="77777777" w:rsidR="000D6168" w:rsidRPr="000A5942" w:rsidRDefault="000D6168" w:rsidP="00323FD6">
            <w:pPr>
              <w:rPr>
                <w:rFonts w:ascii="Calibri" w:hAnsi="Calibri" w:cs="Calibri"/>
              </w:rPr>
            </w:pPr>
            <w:r w:rsidRPr="000A5942">
              <w:rPr>
                <w:rFonts w:ascii="Calibri" w:hAnsi="Calibri" w:cs="Calibri"/>
              </w:rPr>
              <w:t>Ga0125396_106</w:t>
            </w:r>
          </w:p>
        </w:tc>
        <w:tc>
          <w:tcPr>
            <w:tcW w:w="313" w:type="pct"/>
            <w:tcBorders>
              <w:top w:val="nil"/>
              <w:left w:val="nil"/>
              <w:bottom w:val="nil"/>
              <w:right w:val="nil"/>
            </w:tcBorders>
            <w:shd w:val="clear" w:color="auto" w:fill="auto"/>
            <w:noWrap/>
            <w:vAlign w:val="center"/>
            <w:hideMark/>
          </w:tcPr>
          <w:p w14:paraId="7DF64FE9"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6D64948E"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regulator, </w:t>
            </w:r>
            <w:proofErr w:type="spellStart"/>
            <w:r w:rsidRPr="000A5942">
              <w:rPr>
                <w:rFonts w:ascii="Calibri" w:hAnsi="Calibri" w:cs="Calibri"/>
              </w:rPr>
              <w:t>CsgD</w:t>
            </w:r>
            <w:proofErr w:type="spellEnd"/>
            <w:r w:rsidRPr="000A5942">
              <w:rPr>
                <w:rFonts w:ascii="Calibri" w:hAnsi="Calibri" w:cs="Calibri"/>
              </w:rPr>
              <w:t xml:space="preserve"> family</w:t>
            </w:r>
          </w:p>
        </w:tc>
        <w:tc>
          <w:tcPr>
            <w:tcW w:w="625" w:type="pct"/>
            <w:tcBorders>
              <w:top w:val="nil"/>
              <w:left w:val="nil"/>
              <w:bottom w:val="nil"/>
              <w:right w:val="nil"/>
            </w:tcBorders>
            <w:shd w:val="clear" w:color="auto" w:fill="auto"/>
            <w:noWrap/>
            <w:vAlign w:val="center"/>
            <w:hideMark/>
          </w:tcPr>
          <w:p w14:paraId="46A3EF9D" w14:textId="77777777" w:rsidR="000D6168" w:rsidRPr="000A5942" w:rsidRDefault="000D6168" w:rsidP="00323FD6">
            <w:pPr>
              <w:rPr>
                <w:rFonts w:ascii="Calibri" w:hAnsi="Calibri" w:cs="Calibri"/>
              </w:rPr>
            </w:pPr>
            <w:r w:rsidRPr="000A5942">
              <w:rPr>
                <w:rFonts w:ascii="Calibri" w:hAnsi="Calibri" w:cs="Calibri"/>
              </w:rPr>
              <w:t>acyl homoserine lactone synthase</w:t>
            </w:r>
          </w:p>
        </w:tc>
        <w:tc>
          <w:tcPr>
            <w:tcW w:w="453" w:type="pct"/>
            <w:tcBorders>
              <w:top w:val="nil"/>
              <w:left w:val="nil"/>
              <w:bottom w:val="nil"/>
              <w:right w:val="nil"/>
            </w:tcBorders>
            <w:shd w:val="clear" w:color="auto" w:fill="auto"/>
            <w:noWrap/>
            <w:vAlign w:val="center"/>
            <w:hideMark/>
          </w:tcPr>
          <w:p w14:paraId="1A2C46C2" w14:textId="77777777" w:rsidR="000D6168" w:rsidRPr="000A5942" w:rsidRDefault="000D6168" w:rsidP="00323FD6">
            <w:pPr>
              <w:rPr>
                <w:rFonts w:ascii="Calibri" w:hAnsi="Calibri" w:cs="Calibri"/>
              </w:rPr>
            </w:pPr>
            <w:r w:rsidRPr="000A5942">
              <w:rPr>
                <w:rFonts w:ascii="Calibri" w:hAnsi="Calibri" w:cs="Calibri"/>
              </w:rPr>
              <w:t>90</w:t>
            </w:r>
          </w:p>
        </w:tc>
        <w:tc>
          <w:tcPr>
            <w:tcW w:w="311" w:type="pct"/>
            <w:tcBorders>
              <w:top w:val="nil"/>
              <w:left w:val="nil"/>
              <w:bottom w:val="nil"/>
              <w:right w:val="nil"/>
            </w:tcBorders>
            <w:shd w:val="clear" w:color="auto" w:fill="auto"/>
            <w:noWrap/>
            <w:vAlign w:val="center"/>
            <w:hideMark/>
          </w:tcPr>
          <w:p w14:paraId="2FA34975" w14:textId="77777777" w:rsidR="000D6168" w:rsidRPr="000A5942" w:rsidRDefault="000D6168" w:rsidP="00323FD6">
            <w:pPr>
              <w:rPr>
                <w:rFonts w:ascii="Calibri" w:hAnsi="Calibri" w:cs="Calibri"/>
              </w:rPr>
            </w:pPr>
            <w:r w:rsidRPr="000A5942">
              <w:rPr>
                <w:rFonts w:ascii="Calibri" w:hAnsi="Calibri" w:cs="Calibri"/>
              </w:rPr>
              <w:t>4</w:t>
            </w:r>
          </w:p>
        </w:tc>
        <w:tc>
          <w:tcPr>
            <w:tcW w:w="280" w:type="pct"/>
            <w:tcBorders>
              <w:top w:val="nil"/>
              <w:left w:val="nil"/>
              <w:bottom w:val="nil"/>
              <w:right w:val="nil"/>
            </w:tcBorders>
            <w:shd w:val="clear" w:color="auto" w:fill="auto"/>
            <w:noWrap/>
            <w:vAlign w:val="center"/>
            <w:hideMark/>
          </w:tcPr>
          <w:p w14:paraId="2645E433" w14:textId="77777777" w:rsidR="000D6168" w:rsidRPr="000A5942" w:rsidRDefault="000D6168" w:rsidP="00323FD6">
            <w:pPr>
              <w:rPr>
                <w:rFonts w:ascii="Calibri" w:hAnsi="Calibri" w:cs="Calibri"/>
              </w:rPr>
            </w:pPr>
            <w:r w:rsidRPr="000A5942">
              <w:rPr>
                <w:rFonts w:ascii="Calibri" w:hAnsi="Calibri" w:cs="Calibri"/>
              </w:rPr>
              <w:t>29.3</w:t>
            </w:r>
          </w:p>
        </w:tc>
        <w:tc>
          <w:tcPr>
            <w:tcW w:w="347" w:type="pct"/>
            <w:tcBorders>
              <w:top w:val="nil"/>
              <w:left w:val="nil"/>
              <w:bottom w:val="nil"/>
              <w:right w:val="nil"/>
            </w:tcBorders>
            <w:shd w:val="clear" w:color="auto" w:fill="auto"/>
            <w:noWrap/>
            <w:vAlign w:val="center"/>
            <w:hideMark/>
          </w:tcPr>
          <w:p w14:paraId="62503212" w14:textId="77777777" w:rsidR="000D6168" w:rsidRPr="000A5942" w:rsidRDefault="000D6168" w:rsidP="00323FD6">
            <w:pPr>
              <w:rPr>
                <w:rFonts w:ascii="Calibri" w:hAnsi="Calibri" w:cs="Calibri"/>
              </w:rPr>
            </w:pPr>
            <w:r w:rsidRPr="000A5942">
              <w:rPr>
                <w:rFonts w:ascii="Calibri" w:hAnsi="Calibri" w:cs="Calibri"/>
              </w:rPr>
              <w:t>5</w:t>
            </w:r>
          </w:p>
        </w:tc>
        <w:tc>
          <w:tcPr>
            <w:tcW w:w="313" w:type="pct"/>
            <w:tcBorders>
              <w:top w:val="nil"/>
              <w:left w:val="nil"/>
              <w:bottom w:val="nil"/>
              <w:right w:val="nil"/>
            </w:tcBorders>
            <w:shd w:val="clear" w:color="auto" w:fill="auto"/>
            <w:noWrap/>
            <w:vAlign w:val="center"/>
            <w:hideMark/>
          </w:tcPr>
          <w:p w14:paraId="399DC98F" w14:textId="77777777" w:rsidR="000D6168" w:rsidRPr="000A5942" w:rsidRDefault="000D6168" w:rsidP="00323FD6">
            <w:pPr>
              <w:rPr>
                <w:rFonts w:ascii="Calibri" w:hAnsi="Calibri" w:cs="Calibri"/>
              </w:rPr>
            </w:pPr>
            <w:r w:rsidRPr="000A5942">
              <w:rPr>
                <w:rFonts w:ascii="Calibri" w:hAnsi="Calibri" w:cs="Calibri"/>
              </w:rPr>
              <w:t>3949</w:t>
            </w:r>
          </w:p>
        </w:tc>
        <w:tc>
          <w:tcPr>
            <w:tcW w:w="380" w:type="pct"/>
            <w:tcBorders>
              <w:top w:val="nil"/>
              <w:left w:val="nil"/>
              <w:bottom w:val="nil"/>
              <w:right w:val="single" w:sz="4" w:space="0" w:color="auto"/>
            </w:tcBorders>
            <w:shd w:val="clear" w:color="auto" w:fill="auto"/>
            <w:noWrap/>
            <w:vAlign w:val="center"/>
            <w:hideMark/>
          </w:tcPr>
          <w:p w14:paraId="754A57CD" w14:textId="77777777" w:rsidR="000D6168" w:rsidRPr="000A5942" w:rsidRDefault="000D6168" w:rsidP="00323FD6">
            <w:pPr>
              <w:rPr>
                <w:rFonts w:ascii="Calibri" w:hAnsi="Calibri" w:cs="Calibri"/>
              </w:rPr>
            </w:pPr>
            <w:r w:rsidRPr="000A5942">
              <w:rPr>
                <w:rFonts w:ascii="Calibri" w:hAnsi="Calibri" w:cs="Calibri"/>
              </w:rPr>
              <w:t xml:space="preserve"> 0.1266%</w:t>
            </w:r>
          </w:p>
        </w:tc>
      </w:tr>
      <w:tr w:rsidR="000D6168" w:rsidRPr="000A5942" w14:paraId="3A750E79" w14:textId="77777777" w:rsidTr="00323FD6">
        <w:trPr>
          <w:trHeight w:val="290"/>
          <w:jc w:val="center"/>
        </w:trPr>
        <w:tc>
          <w:tcPr>
            <w:tcW w:w="971" w:type="pct"/>
            <w:gridSpan w:val="2"/>
            <w:vMerge w:val="restart"/>
            <w:tcBorders>
              <w:top w:val="nil"/>
              <w:left w:val="single" w:sz="4" w:space="0" w:color="auto"/>
              <w:right w:val="nil"/>
            </w:tcBorders>
            <w:shd w:val="clear" w:color="auto" w:fill="auto"/>
            <w:noWrap/>
            <w:vAlign w:val="center"/>
            <w:hideMark/>
          </w:tcPr>
          <w:p w14:paraId="5700C77A"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53F17939" w14:textId="77777777" w:rsidR="000D6168" w:rsidRPr="000A5942" w:rsidRDefault="000D6168" w:rsidP="00323FD6">
            <w:pPr>
              <w:rPr>
                <w:rFonts w:ascii="Calibri" w:hAnsi="Calibri" w:cs="Calibri"/>
              </w:rPr>
            </w:pPr>
            <w:r w:rsidRPr="000A5942">
              <w:rPr>
                <w:rFonts w:ascii="Calibri" w:hAnsi="Calibri" w:cs="Calibri"/>
              </w:rPr>
              <w:t>Ga0125396_120</w:t>
            </w:r>
          </w:p>
        </w:tc>
        <w:tc>
          <w:tcPr>
            <w:tcW w:w="313" w:type="pct"/>
            <w:tcBorders>
              <w:top w:val="nil"/>
              <w:left w:val="nil"/>
              <w:bottom w:val="nil"/>
              <w:right w:val="nil"/>
            </w:tcBorders>
            <w:shd w:val="clear" w:color="auto" w:fill="auto"/>
            <w:noWrap/>
            <w:vAlign w:val="center"/>
            <w:hideMark/>
          </w:tcPr>
          <w:p w14:paraId="71C45ABE"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14DA1F77" w14:textId="77777777" w:rsidR="000D6168" w:rsidRPr="000A5942" w:rsidRDefault="000D6168" w:rsidP="00323FD6">
            <w:pPr>
              <w:rPr>
                <w:rFonts w:ascii="Calibri" w:hAnsi="Calibri" w:cs="Calibri"/>
              </w:rPr>
            </w:pPr>
          </w:p>
        </w:tc>
        <w:tc>
          <w:tcPr>
            <w:tcW w:w="625" w:type="pct"/>
            <w:tcBorders>
              <w:top w:val="nil"/>
              <w:left w:val="nil"/>
              <w:bottom w:val="nil"/>
              <w:right w:val="nil"/>
            </w:tcBorders>
            <w:shd w:val="clear" w:color="auto" w:fill="auto"/>
            <w:noWrap/>
            <w:vAlign w:val="center"/>
            <w:hideMark/>
          </w:tcPr>
          <w:p w14:paraId="0EF5D633" w14:textId="77777777" w:rsidR="000D6168" w:rsidRPr="000A5942" w:rsidRDefault="000D6168" w:rsidP="00323FD6">
            <w:pPr>
              <w:rPr>
                <w:rFonts w:ascii="Calibri" w:hAnsi="Calibri" w:cs="Calibri"/>
              </w:rPr>
            </w:pPr>
            <w:r w:rsidRPr="000A5942">
              <w:rPr>
                <w:rFonts w:ascii="Calibri" w:hAnsi="Calibri" w:cs="Calibri"/>
              </w:rPr>
              <w:t>glutathione S-transferase</w:t>
            </w:r>
          </w:p>
        </w:tc>
        <w:tc>
          <w:tcPr>
            <w:tcW w:w="453" w:type="pct"/>
            <w:tcBorders>
              <w:top w:val="nil"/>
              <w:left w:val="nil"/>
              <w:bottom w:val="nil"/>
              <w:right w:val="nil"/>
            </w:tcBorders>
            <w:shd w:val="clear" w:color="auto" w:fill="auto"/>
            <w:noWrap/>
            <w:vAlign w:val="center"/>
            <w:hideMark/>
          </w:tcPr>
          <w:p w14:paraId="08271E53" w14:textId="77777777" w:rsidR="000D6168" w:rsidRPr="000A5942" w:rsidRDefault="000D6168" w:rsidP="00323FD6">
            <w:pPr>
              <w:rPr>
                <w:rFonts w:ascii="Calibri" w:hAnsi="Calibri" w:cs="Calibri"/>
              </w:rPr>
            </w:pPr>
            <w:r w:rsidRPr="000A5942">
              <w:rPr>
                <w:rFonts w:ascii="Calibri" w:hAnsi="Calibri" w:cs="Calibri"/>
              </w:rPr>
              <w:t>966</w:t>
            </w:r>
          </w:p>
        </w:tc>
        <w:tc>
          <w:tcPr>
            <w:tcW w:w="311" w:type="pct"/>
            <w:tcBorders>
              <w:top w:val="nil"/>
              <w:left w:val="nil"/>
              <w:bottom w:val="nil"/>
              <w:right w:val="nil"/>
            </w:tcBorders>
            <w:shd w:val="clear" w:color="auto" w:fill="auto"/>
            <w:noWrap/>
            <w:vAlign w:val="center"/>
            <w:hideMark/>
          </w:tcPr>
          <w:p w14:paraId="5FC307AE" w14:textId="77777777" w:rsidR="000D6168" w:rsidRPr="000A5942" w:rsidRDefault="000D6168" w:rsidP="00323FD6">
            <w:pPr>
              <w:rPr>
                <w:rFonts w:ascii="Calibri" w:hAnsi="Calibri" w:cs="Calibri"/>
              </w:rPr>
            </w:pPr>
            <w:r w:rsidRPr="000A5942">
              <w:rPr>
                <w:rFonts w:ascii="Calibri" w:hAnsi="Calibri" w:cs="Calibri"/>
              </w:rPr>
              <w:t>2905</w:t>
            </w:r>
          </w:p>
        </w:tc>
        <w:tc>
          <w:tcPr>
            <w:tcW w:w="280" w:type="pct"/>
            <w:tcBorders>
              <w:top w:val="nil"/>
              <w:left w:val="nil"/>
              <w:bottom w:val="nil"/>
              <w:right w:val="nil"/>
            </w:tcBorders>
            <w:shd w:val="clear" w:color="auto" w:fill="auto"/>
            <w:noWrap/>
            <w:vAlign w:val="center"/>
            <w:hideMark/>
          </w:tcPr>
          <w:p w14:paraId="580A7A85" w14:textId="77777777" w:rsidR="000D6168" w:rsidRPr="000A5942" w:rsidRDefault="000D6168" w:rsidP="00323FD6">
            <w:pPr>
              <w:rPr>
                <w:rFonts w:ascii="Calibri" w:hAnsi="Calibri" w:cs="Calibri"/>
              </w:rPr>
            </w:pPr>
            <w:r w:rsidRPr="000A5942">
              <w:rPr>
                <w:rFonts w:ascii="Calibri" w:hAnsi="Calibri" w:cs="Calibri"/>
              </w:rPr>
              <w:t>19.8</w:t>
            </w:r>
          </w:p>
        </w:tc>
        <w:tc>
          <w:tcPr>
            <w:tcW w:w="1040" w:type="pct"/>
            <w:gridSpan w:val="3"/>
            <w:vMerge w:val="restart"/>
            <w:tcBorders>
              <w:top w:val="nil"/>
              <w:left w:val="nil"/>
              <w:right w:val="single" w:sz="4" w:space="0" w:color="auto"/>
            </w:tcBorders>
            <w:shd w:val="clear" w:color="auto" w:fill="auto"/>
            <w:noWrap/>
            <w:vAlign w:val="center"/>
            <w:hideMark/>
          </w:tcPr>
          <w:p w14:paraId="250B3821" w14:textId="77777777" w:rsidR="000D6168" w:rsidRPr="000A5942" w:rsidRDefault="000D6168" w:rsidP="00323FD6">
            <w:pPr>
              <w:rPr>
                <w:rFonts w:ascii="Calibri" w:hAnsi="Calibri" w:cs="Calibri"/>
              </w:rPr>
            </w:pPr>
          </w:p>
        </w:tc>
      </w:tr>
      <w:tr w:rsidR="000D6168" w:rsidRPr="000A5942" w14:paraId="3567220A" w14:textId="77777777" w:rsidTr="00323FD6">
        <w:trPr>
          <w:trHeight w:val="290"/>
          <w:jc w:val="center"/>
        </w:trPr>
        <w:tc>
          <w:tcPr>
            <w:tcW w:w="971" w:type="pct"/>
            <w:gridSpan w:val="2"/>
            <w:vMerge/>
            <w:tcBorders>
              <w:left w:val="single" w:sz="4" w:space="0" w:color="auto"/>
              <w:right w:val="nil"/>
            </w:tcBorders>
            <w:shd w:val="clear" w:color="auto" w:fill="auto"/>
            <w:noWrap/>
            <w:vAlign w:val="center"/>
            <w:hideMark/>
          </w:tcPr>
          <w:p w14:paraId="37B9128C"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52094F7D" w14:textId="77777777" w:rsidR="000D6168" w:rsidRPr="000A5942" w:rsidRDefault="000D6168" w:rsidP="00323FD6">
            <w:pPr>
              <w:rPr>
                <w:rFonts w:ascii="Calibri" w:hAnsi="Calibri" w:cs="Calibri"/>
              </w:rPr>
            </w:pPr>
            <w:r w:rsidRPr="000A5942">
              <w:rPr>
                <w:rFonts w:ascii="Calibri" w:hAnsi="Calibri" w:cs="Calibri"/>
              </w:rPr>
              <w:t>Ga0125396_106</w:t>
            </w:r>
          </w:p>
        </w:tc>
        <w:tc>
          <w:tcPr>
            <w:tcW w:w="313" w:type="pct"/>
            <w:tcBorders>
              <w:top w:val="nil"/>
              <w:left w:val="nil"/>
              <w:bottom w:val="nil"/>
              <w:right w:val="nil"/>
            </w:tcBorders>
            <w:shd w:val="clear" w:color="auto" w:fill="auto"/>
            <w:noWrap/>
            <w:vAlign w:val="center"/>
            <w:hideMark/>
          </w:tcPr>
          <w:p w14:paraId="4A3B44F4"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5ED1169C" w14:textId="77777777" w:rsidR="000D6168" w:rsidRPr="000A5942" w:rsidRDefault="000D6168" w:rsidP="00323FD6">
            <w:pPr>
              <w:rPr>
                <w:rFonts w:ascii="Calibri" w:hAnsi="Calibri" w:cs="Calibri"/>
              </w:rPr>
            </w:pPr>
            <w:r w:rsidRPr="000A5942">
              <w:rPr>
                <w:rFonts w:ascii="Calibri" w:hAnsi="Calibri" w:cs="Calibri"/>
              </w:rPr>
              <w:t xml:space="preserve"> (R)-</w:t>
            </w:r>
            <w:proofErr w:type="spellStart"/>
            <w:r w:rsidRPr="000A5942">
              <w:rPr>
                <w:rFonts w:ascii="Calibri" w:hAnsi="Calibri" w:cs="Calibri"/>
              </w:rPr>
              <w:t>ethylmalonyl</w:t>
            </w:r>
            <w:proofErr w:type="spellEnd"/>
            <w:r w:rsidRPr="000A5942">
              <w:rPr>
                <w:rFonts w:ascii="Calibri" w:hAnsi="Calibri" w:cs="Calibri"/>
              </w:rPr>
              <w:t>-CoA mutase</w:t>
            </w:r>
          </w:p>
        </w:tc>
        <w:tc>
          <w:tcPr>
            <w:tcW w:w="625" w:type="pct"/>
            <w:tcBorders>
              <w:top w:val="nil"/>
              <w:left w:val="nil"/>
              <w:bottom w:val="nil"/>
              <w:right w:val="nil"/>
            </w:tcBorders>
            <w:shd w:val="clear" w:color="auto" w:fill="auto"/>
            <w:noWrap/>
            <w:vAlign w:val="center"/>
            <w:hideMark/>
          </w:tcPr>
          <w:p w14:paraId="165D53F0"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453" w:type="pct"/>
            <w:tcBorders>
              <w:top w:val="nil"/>
              <w:left w:val="nil"/>
              <w:bottom w:val="nil"/>
              <w:right w:val="nil"/>
            </w:tcBorders>
            <w:shd w:val="clear" w:color="auto" w:fill="auto"/>
            <w:noWrap/>
            <w:vAlign w:val="center"/>
            <w:hideMark/>
          </w:tcPr>
          <w:p w14:paraId="1569DBEE" w14:textId="77777777" w:rsidR="000D6168" w:rsidRPr="000A5942" w:rsidRDefault="000D6168" w:rsidP="00323FD6">
            <w:pPr>
              <w:rPr>
                <w:rFonts w:ascii="Calibri" w:hAnsi="Calibri" w:cs="Calibri"/>
              </w:rPr>
            </w:pPr>
            <w:r w:rsidRPr="000A5942">
              <w:rPr>
                <w:rFonts w:ascii="Calibri" w:hAnsi="Calibri" w:cs="Calibri"/>
              </w:rPr>
              <w:t>4287</w:t>
            </w:r>
          </w:p>
        </w:tc>
        <w:tc>
          <w:tcPr>
            <w:tcW w:w="311" w:type="pct"/>
            <w:tcBorders>
              <w:top w:val="nil"/>
              <w:left w:val="nil"/>
              <w:bottom w:val="nil"/>
              <w:right w:val="nil"/>
            </w:tcBorders>
            <w:shd w:val="clear" w:color="auto" w:fill="auto"/>
            <w:noWrap/>
            <w:vAlign w:val="center"/>
            <w:hideMark/>
          </w:tcPr>
          <w:p w14:paraId="192706B7" w14:textId="77777777" w:rsidR="000D6168" w:rsidRPr="000A5942" w:rsidRDefault="000D6168" w:rsidP="00323FD6">
            <w:pPr>
              <w:rPr>
                <w:rFonts w:ascii="Calibri" w:hAnsi="Calibri" w:cs="Calibri"/>
              </w:rPr>
            </w:pPr>
            <w:r w:rsidRPr="000A5942">
              <w:rPr>
                <w:rFonts w:ascii="Calibri" w:hAnsi="Calibri" w:cs="Calibri"/>
              </w:rPr>
              <w:t>3292</w:t>
            </w:r>
          </w:p>
        </w:tc>
        <w:tc>
          <w:tcPr>
            <w:tcW w:w="280" w:type="pct"/>
            <w:tcBorders>
              <w:top w:val="nil"/>
              <w:left w:val="nil"/>
              <w:bottom w:val="nil"/>
              <w:right w:val="nil"/>
            </w:tcBorders>
            <w:shd w:val="clear" w:color="auto" w:fill="auto"/>
            <w:noWrap/>
            <w:vAlign w:val="center"/>
            <w:hideMark/>
          </w:tcPr>
          <w:p w14:paraId="09395860" w14:textId="77777777" w:rsidR="000D6168" w:rsidRPr="000A5942" w:rsidRDefault="000D6168" w:rsidP="00323FD6">
            <w:pPr>
              <w:rPr>
                <w:rFonts w:ascii="Calibri" w:hAnsi="Calibri" w:cs="Calibri"/>
              </w:rPr>
            </w:pPr>
            <w:r w:rsidRPr="000A5942">
              <w:rPr>
                <w:rFonts w:ascii="Calibri" w:hAnsi="Calibri" w:cs="Calibri"/>
              </w:rPr>
              <w:t>16.7</w:t>
            </w:r>
          </w:p>
        </w:tc>
        <w:tc>
          <w:tcPr>
            <w:tcW w:w="1040" w:type="pct"/>
            <w:gridSpan w:val="3"/>
            <w:vMerge/>
            <w:tcBorders>
              <w:left w:val="nil"/>
              <w:right w:val="single" w:sz="4" w:space="0" w:color="auto"/>
            </w:tcBorders>
            <w:shd w:val="clear" w:color="auto" w:fill="auto"/>
            <w:noWrap/>
            <w:vAlign w:val="center"/>
            <w:hideMark/>
          </w:tcPr>
          <w:p w14:paraId="78000FB2" w14:textId="77777777" w:rsidR="000D6168" w:rsidRPr="000A5942" w:rsidRDefault="000D6168" w:rsidP="00323FD6">
            <w:pPr>
              <w:rPr>
                <w:rFonts w:ascii="Calibri" w:hAnsi="Calibri" w:cs="Calibri"/>
              </w:rPr>
            </w:pPr>
          </w:p>
        </w:tc>
      </w:tr>
      <w:tr w:rsidR="000D6168" w:rsidRPr="000A5942" w14:paraId="43546BA9" w14:textId="77777777" w:rsidTr="00323FD6">
        <w:trPr>
          <w:trHeight w:val="290"/>
          <w:jc w:val="center"/>
        </w:trPr>
        <w:tc>
          <w:tcPr>
            <w:tcW w:w="971" w:type="pct"/>
            <w:gridSpan w:val="2"/>
            <w:vMerge/>
            <w:tcBorders>
              <w:left w:val="single" w:sz="4" w:space="0" w:color="auto"/>
              <w:right w:val="nil"/>
            </w:tcBorders>
            <w:shd w:val="clear" w:color="auto" w:fill="auto"/>
            <w:noWrap/>
            <w:vAlign w:val="center"/>
            <w:hideMark/>
          </w:tcPr>
          <w:p w14:paraId="5091B592"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00EF7703" w14:textId="77777777" w:rsidR="000D6168" w:rsidRPr="000A5942" w:rsidRDefault="000D6168" w:rsidP="00323FD6">
            <w:pPr>
              <w:rPr>
                <w:rFonts w:ascii="Calibri" w:hAnsi="Calibri" w:cs="Calibri"/>
              </w:rPr>
            </w:pPr>
            <w:r w:rsidRPr="000A5942">
              <w:rPr>
                <w:rFonts w:ascii="Calibri" w:hAnsi="Calibri" w:cs="Calibri"/>
              </w:rPr>
              <w:t>Ga0125396_104</w:t>
            </w:r>
          </w:p>
        </w:tc>
        <w:tc>
          <w:tcPr>
            <w:tcW w:w="313" w:type="pct"/>
            <w:tcBorders>
              <w:top w:val="nil"/>
              <w:left w:val="nil"/>
              <w:bottom w:val="nil"/>
              <w:right w:val="nil"/>
            </w:tcBorders>
            <w:shd w:val="clear" w:color="auto" w:fill="auto"/>
            <w:noWrap/>
            <w:vAlign w:val="center"/>
            <w:hideMark/>
          </w:tcPr>
          <w:p w14:paraId="7DB560D0"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32500AA5" w14:textId="77777777" w:rsidR="000D6168" w:rsidRPr="000A5942" w:rsidRDefault="000D6168" w:rsidP="00323FD6">
            <w:pPr>
              <w:rPr>
                <w:rFonts w:ascii="Calibri" w:hAnsi="Calibri" w:cs="Calibri"/>
              </w:rPr>
            </w:pPr>
            <w:r w:rsidRPr="000A5942">
              <w:rPr>
                <w:rFonts w:ascii="Calibri" w:hAnsi="Calibri" w:cs="Calibri"/>
              </w:rPr>
              <w:t>Cytochrome P450</w:t>
            </w:r>
          </w:p>
        </w:tc>
        <w:tc>
          <w:tcPr>
            <w:tcW w:w="625" w:type="pct"/>
            <w:tcBorders>
              <w:top w:val="nil"/>
              <w:left w:val="nil"/>
              <w:bottom w:val="nil"/>
              <w:right w:val="nil"/>
            </w:tcBorders>
            <w:shd w:val="clear" w:color="auto" w:fill="auto"/>
            <w:noWrap/>
            <w:vAlign w:val="center"/>
            <w:hideMark/>
          </w:tcPr>
          <w:p w14:paraId="43B51D5B"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453" w:type="pct"/>
            <w:tcBorders>
              <w:top w:val="nil"/>
              <w:left w:val="nil"/>
              <w:bottom w:val="nil"/>
              <w:right w:val="nil"/>
            </w:tcBorders>
            <w:shd w:val="clear" w:color="auto" w:fill="auto"/>
            <w:noWrap/>
            <w:vAlign w:val="center"/>
            <w:hideMark/>
          </w:tcPr>
          <w:p w14:paraId="1633F57E" w14:textId="77777777" w:rsidR="000D6168" w:rsidRPr="000A5942" w:rsidRDefault="000D6168" w:rsidP="00323FD6">
            <w:pPr>
              <w:rPr>
                <w:rFonts w:ascii="Calibri" w:hAnsi="Calibri" w:cs="Calibri"/>
              </w:rPr>
            </w:pPr>
            <w:r w:rsidRPr="000A5942">
              <w:rPr>
                <w:rFonts w:ascii="Calibri" w:hAnsi="Calibri" w:cs="Calibri"/>
              </w:rPr>
              <w:t>1971</w:t>
            </w:r>
          </w:p>
        </w:tc>
        <w:tc>
          <w:tcPr>
            <w:tcW w:w="311" w:type="pct"/>
            <w:tcBorders>
              <w:top w:val="nil"/>
              <w:left w:val="nil"/>
              <w:bottom w:val="nil"/>
              <w:right w:val="nil"/>
            </w:tcBorders>
            <w:shd w:val="clear" w:color="auto" w:fill="auto"/>
            <w:noWrap/>
            <w:vAlign w:val="center"/>
            <w:hideMark/>
          </w:tcPr>
          <w:p w14:paraId="625D968C" w14:textId="77777777" w:rsidR="000D6168" w:rsidRPr="000A5942" w:rsidRDefault="000D6168" w:rsidP="00323FD6">
            <w:pPr>
              <w:rPr>
                <w:rFonts w:ascii="Calibri" w:hAnsi="Calibri" w:cs="Calibri"/>
              </w:rPr>
            </w:pPr>
            <w:r w:rsidRPr="000A5942">
              <w:rPr>
                <w:rFonts w:ascii="Calibri" w:hAnsi="Calibri" w:cs="Calibri"/>
              </w:rPr>
              <w:t>51</w:t>
            </w:r>
          </w:p>
        </w:tc>
        <w:tc>
          <w:tcPr>
            <w:tcW w:w="280" w:type="pct"/>
            <w:tcBorders>
              <w:top w:val="nil"/>
              <w:left w:val="nil"/>
              <w:bottom w:val="nil"/>
              <w:right w:val="nil"/>
            </w:tcBorders>
            <w:shd w:val="clear" w:color="auto" w:fill="auto"/>
            <w:noWrap/>
            <w:vAlign w:val="center"/>
            <w:hideMark/>
          </w:tcPr>
          <w:p w14:paraId="3B656668" w14:textId="77777777" w:rsidR="000D6168" w:rsidRPr="000A5942" w:rsidRDefault="000D6168" w:rsidP="00323FD6">
            <w:pPr>
              <w:rPr>
                <w:rFonts w:ascii="Calibri" w:hAnsi="Calibri" w:cs="Calibri"/>
              </w:rPr>
            </w:pPr>
            <w:r w:rsidRPr="000A5942">
              <w:rPr>
                <w:rFonts w:ascii="Calibri" w:hAnsi="Calibri" w:cs="Calibri"/>
              </w:rPr>
              <w:t>13</w:t>
            </w:r>
          </w:p>
        </w:tc>
        <w:tc>
          <w:tcPr>
            <w:tcW w:w="1040" w:type="pct"/>
            <w:gridSpan w:val="3"/>
            <w:vMerge/>
            <w:tcBorders>
              <w:left w:val="nil"/>
              <w:right w:val="single" w:sz="4" w:space="0" w:color="auto"/>
            </w:tcBorders>
            <w:shd w:val="clear" w:color="auto" w:fill="auto"/>
            <w:noWrap/>
            <w:vAlign w:val="center"/>
            <w:hideMark/>
          </w:tcPr>
          <w:p w14:paraId="3C166CB0" w14:textId="77777777" w:rsidR="000D6168" w:rsidRPr="000A5942" w:rsidRDefault="000D6168" w:rsidP="00323FD6">
            <w:pPr>
              <w:rPr>
                <w:rFonts w:ascii="Calibri" w:hAnsi="Calibri" w:cs="Calibri"/>
              </w:rPr>
            </w:pPr>
          </w:p>
        </w:tc>
      </w:tr>
      <w:tr w:rsidR="000D6168" w:rsidRPr="000A5942" w14:paraId="29278EA1" w14:textId="77777777" w:rsidTr="00323FD6">
        <w:trPr>
          <w:trHeight w:val="290"/>
          <w:jc w:val="center"/>
        </w:trPr>
        <w:tc>
          <w:tcPr>
            <w:tcW w:w="971" w:type="pct"/>
            <w:gridSpan w:val="2"/>
            <w:vMerge/>
            <w:tcBorders>
              <w:left w:val="single" w:sz="4" w:space="0" w:color="auto"/>
              <w:bottom w:val="single" w:sz="4" w:space="0" w:color="auto"/>
              <w:right w:val="nil"/>
            </w:tcBorders>
            <w:shd w:val="clear" w:color="auto" w:fill="auto"/>
            <w:noWrap/>
            <w:vAlign w:val="center"/>
            <w:hideMark/>
          </w:tcPr>
          <w:p w14:paraId="18B3166D"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297019E2" w14:textId="77777777" w:rsidR="000D6168" w:rsidRPr="000A5942" w:rsidRDefault="000D6168" w:rsidP="00323FD6">
            <w:pPr>
              <w:rPr>
                <w:rFonts w:ascii="Calibri" w:hAnsi="Calibri" w:cs="Calibri"/>
              </w:rPr>
            </w:pPr>
            <w:r w:rsidRPr="000A5942">
              <w:rPr>
                <w:rFonts w:ascii="Calibri" w:hAnsi="Calibri" w:cs="Calibri"/>
              </w:rPr>
              <w:t>Ga0125396_103</w:t>
            </w:r>
          </w:p>
        </w:tc>
        <w:tc>
          <w:tcPr>
            <w:tcW w:w="313" w:type="pct"/>
            <w:tcBorders>
              <w:top w:val="nil"/>
              <w:left w:val="nil"/>
              <w:bottom w:val="single" w:sz="4" w:space="0" w:color="auto"/>
              <w:right w:val="nil"/>
            </w:tcBorders>
            <w:shd w:val="clear" w:color="auto" w:fill="auto"/>
            <w:noWrap/>
            <w:vAlign w:val="center"/>
            <w:hideMark/>
          </w:tcPr>
          <w:p w14:paraId="4C9DB51D"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5939F459" w14:textId="77777777" w:rsidR="000D6168" w:rsidRPr="000A5942" w:rsidRDefault="000D6168" w:rsidP="00323FD6">
            <w:pPr>
              <w:rPr>
                <w:rFonts w:ascii="Calibri" w:hAnsi="Calibri" w:cs="Calibri"/>
              </w:rPr>
            </w:pPr>
            <w:r w:rsidRPr="000A5942">
              <w:rPr>
                <w:rFonts w:ascii="Calibri" w:hAnsi="Calibri" w:cs="Calibri"/>
              </w:rPr>
              <w:t>lipopolysaccharide export system ATP-binding protein</w:t>
            </w:r>
          </w:p>
        </w:tc>
        <w:tc>
          <w:tcPr>
            <w:tcW w:w="625" w:type="pct"/>
            <w:tcBorders>
              <w:top w:val="nil"/>
              <w:left w:val="nil"/>
              <w:bottom w:val="single" w:sz="4" w:space="0" w:color="auto"/>
              <w:right w:val="nil"/>
            </w:tcBorders>
            <w:shd w:val="clear" w:color="auto" w:fill="auto"/>
            <w:noWrap/>
            <w:vAlign w:val="center"/>
            <w:hideMark/>
          </w:tcPr>
          <w:p w14:paraId="1F5FD9DE" w14:textId="77777777" w:rsidR="000D6168" w:rsidRPr="000A5942" w:rsidRDefault="000D6168" w:rsidP="00323FD6">
            <w:pPr>
              <w:rPr>
                <w:rFonts w:ascii="Calibri" w:hAnsi="Calibri" w:cs="Calibri"/>
              </w:rPr>
            </w:pPr>
            <w:r w:rsidRPr="000A5942">
              <w:rPr>
                <w:rFonts w:ascii="Calibri" w:hAnsi="Calibri" w:cs="Calibri"/>
              </w:rPr>
              <w:t xml:space="preserve"> PTS IIA-like nitrogen-regulatory protein </w:t>
            </w:r>
            <w:proofErr w:type="spellStart"/>
            <w:r w:rsidRPr="000A5942">
              <w:rPr>
                <w:rFonts w:ascii="Calibri" w:hAnsi="Calibri" w:cs="Calibri"/>
              </w:rPr>
              <w:t>PtsN</w:t>
            </w:r>
            <w:proofErr w:type="spellEnd"/>
          </w:p>
        </w:tc>
        <w:tc>
          <w:tcPr>
            <w:tcW w:w="453" w:type="pct"/>
            <w:tcBorders>
              <w:top w:val="nil"/>
              <w:left w:val="nil"/>
              <w:bottom w:val="single" w:sz="4" w:space="0" w:color="auto"/>
              <w:right w:val="nil"/>
            </w:tcBorders>
            <w:shd w:val="clear" w:color="auto" w:fill="auto"/>
            <w:noWrap/>
            <w:vAlign w:val="center"/>
            <w:hideMark/>
          </w:tcPr>
          <w:p w14:paraId="3B35E3D4" w14:textId="77777777" w:rsidR="000D6168" w:rsidRPr="000A5942" w:rsidRDefault="000D6168" w:rsidP="00323FD6">
            <w:pPr>
              <w:rPr>
                <w:rFonts w:ascii="Calibri" w:hAnsi="Calibri" w:cs="Calibri"/>
              </w:rPr>
            </w:pPr>
            <w:r w:rsidRPr="000A5942">
              <w:rPr>
                <w:rFonts w:ascii="Calibri" w:hAnsi="Calibri" w:cs="Calibri"/>
              </w:rPr>
              <w:t>562</w:t>
            </w:r>
          </w:p>
        </w:tc>
        <w:tc>
          <w:tcPr>
            <w:tcW w:w="311" w:type="pct"/>
            <w:tcBorders>
              <w:top w:val="nil"/>
              <w:left w:val="nil"/>
              <w:bottom w:val="single" w:sz="4" w:space="0" w:color="auto"/>
              <w:right w:val="nil"/>
            </w:tcBorders>
            <w:shd w:val="clear" w:color="auto" w:fill="auto"/>
            <w:noWrap/>
            <w:vAlign w:val="center"/>
            <w:hideMark/>
          </w:tcPr>
          <w:p w14:paraId="1D720F1D" w14:textId="77777777" w:rsidR="000D6168" w:rsidRPr="000A5942" w:rsidRDefault="000D6168" w:rsidP="00323FD6">
            <w:pPr>
              <w:rPr>
                <w:rFonts w:ascii="Calibri" w:hAnsi="Calibri" w:cs="Calibri"/>
              </w:rPr>
            </w:pPr>
            <w:r w:rsidRPr="000A5942">
              <w:rPr>
                <w:rFonts w:ascii="Calibri" w:hAnsi="Calibri" w:cs="Calibri"/>
              </w:rPr>
              <w:t>368</w:t>
            </w:r>
          </w:p>
        </w:tc>
        <w:tc>
          <w:tcPr>
            <w:tcW w:w="280" w:type="pct"/>
            <w:tcBorders>
              <w:top w:val="nil"/>
              <w:left w:val="nil"/>
              <w:bottom w:val="single" w:sz="4" w:space="0" w:color="auto"/>
              <w:right w:val="nil"/>
            </w:tcBorders>
            <w:shd w:val="clear" w:color="auto" w:fill="auto"/>
            <w:noWrap/>
            <w:vAlign w:val="center"/>
            <w:hideMark/>
          </w:tcPr>
          <w:p w14:paraId="3BBA8FDF" w14:textId="77777777" w:rsidR="000D6168" w:rsidRPr="000A5942" w:rsidRDefault="000D6168" w:rsidP="00323FD6">
            <w:pPr>
              <w:rPr>
                <w:rFonts w:ascii="Calibri" w:hAnsi="Calibri" w:cs="Calibri"/>
              </w:rPr>
            </w:pPr>
            <w:r w:rsidRPr="000A5942">
              <w:rPr>
                <w:rFonts w:ascii="Calibri" w:hAnsi="Calibri" w:cs="Calibri"/>
              </w:rPr>
              <w:t>12.7</w:t>
            </w:r>
          </w:p>
        </w:tc>
        <w:tc>
          <w:tcPr>
            <w:tcW w:w="1040" w:type="pct"/>
            <w:gridSpan w:val="3"/>
            <w:vMerge/>
            <w:tcBorders>
              <w:left w:val="nil"/>
              <w:bottom w:val="single" w:sz="4" w:space="0" w:color="auto"/>
              <w:right w:val="single" w:sz="4" w:space="0" w:color="auto"/>
            </w:tcBorders>
            <w:shd w:val="clear" w:color="auto" w:fill="auto"/>
            <w:noWrap/>
            <w:vAlign w:val="center"/>
            <w:hideMark/>
          </w:tcPr>
          <w:p w14:paraId="7F2E2AA9" w14:textId="77777777" w:rsidR="000D6168" w:rsidRPr="000A5942" w:rsidRDefault="000D6168" w:rsidP="00323FD6">
            <w:pPr>
              <w:rPr>
                <w:rFonts w:ascii="Calibri" w:hAnsi="Calibri" w:cs="Calibri"/>
              </w:rPr>
            </w:pPr>
          </w:p>
        </w:tc>
      </w:tr>
      <w:tr w:rsidR="000D6168" w:rsidRPr="000A5942" w14:paraId="4EDF2441"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6D978C6E" w14:textId="77777777" w:rsidR="000D6168" w:rsidRPr="000A5942" w:rsidRDefault="000D6168" w:rsidP="00323FD6">
            <w:pPr>
              <w:rPr>
                <w:rFonts w:ascii="Calibri" w:hAnsi="Calibri" w:cs="Calibri"/>
              </w:rPr>
            </w:pPr>
            <w:r w:rsidRPr="000A5942">
              <w:rPr>
                <w:rFonts w:ascii="Calibri" w:hAnsi="Calibri" w:cs="Calibri"/>
              </w:rPr>
              <w:t>2502171179</w:t>
            </w:r>
          </w:p>
        </w:tc>
        <w:tc>
          <w:tcPr>
            <w:tcW w:w="452" w:type="pct"/>
            <w:tcBorders>
              <w:top w:val="nil"/>
              <w:left w:val="nil"/>
              <w:bottom w:val="nil"/>
              <w:right w:val="nil"/>
            </w:tcBorders>
            <w:shd w:val="clear" w:color="auto" w:fill="auto"/>
            <w:noWrap/>
            <w:vAlign w:val="center"/>
            <w:hideMark/>
          </w:tcPr>
          <w:p w14:paraId="69F33EE9" w14:textId="77777777" w:rsidR="000D6168" w:rsidRPr="000A5942" w:rsidRDefault="000D6168" w:rsidP="00323FD6">
            <w:pPr>
              <w:rPr>
                <w:rFonts w:ascii="Calibri" w:hAnsi="Calibri" w:cs="Calibri"/>
              </w:rPr>
            </w:pPr>
            <w:proofErr w:type="spellStart"/>
            <w:r w:rsidRPr="000A5942">
              <w:rPr>
                <w:rFonts w:ascii="Calibri" w:hAnsi="Calibri" w:cs="Calibri"/>
              </w:rPr>
              <w:t>Phaeobacter</w:t>
            </w:r>
            <w:proofErr w:type="spellEnd"/>
            <w:r w:rsidRPr="000A5942">
              <w:rPr>
                <w:rFonts w:ascii="Calibri" w:hAnsi="Calibri" w:cs="Calibri"/>
              </w:rPr>
              <w:t xml:space="preserve"> sp. LSS9</w:t>
            </w:r>
          </w:p>
        </w:tc>
        <w:tc>
          <w:tcPr>
            <w:tcW w:w="347" w:type="pct"/>
            <w:tcBorders>
              <w:top w:val="nil"/>
              <w:left w:val="nil"/>
              <w:bottom w:val="nil"/>
              <w:right w:val="nil"/>
            </w:tcBorders>
            <w:shd w:val="clear" w:color="auto" w:fill="auto"/>
            <w:noWrap/>
            <w:vAlign w:val="center"/>
            <w:hideMark/>
          </w:tcPr>
          <w:p w14:paraId="33C160AA" w14:textId="77777777" w:rsidR="000D6168" w:rsidRPr="000A5942" w:rsidRDefault="000D6168" w:rsidP="00323FD6">
            <w:pPr>
              <w:rPr>
                <w:rFonts w:ascii="Calibri" w:hAnsi="Calibri" w:cs="Calibri"/>
              </w:rPr>
            </w:pPr>
            <w:r w:rsidRPr="000A5942">
              <w:rPr>
                <w:rFonts w:ascii="Calibri" w:hAnsi="Calibri" w:cs="Calibri"/>
              </w:rPr>
              <w:t>PHLS_contig00030</w:t>
            </w:r>
          </w:p>
        </w:tc>
        <w:tc>
          <w:tcPr>
            <w:tcW w:w="313" w:type="pct"/>
            <w:tcBorders>
              <w:top w:val="nil"/>
              <w:left w:val="nil"/>
              <w:bottom w:val="nil"/>
              <w:right w:val="nil"/>
            </w:tcBorders>
            <w:shd w:val="clear" w:color="auto" w:fill="auto"/>
            <w:noWrap/>
            <w:vAlign w:val="center"/>
            <w:hideMark/>
          </w:tcPr>
          <w:p w14:paraId="1CA62271"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2C8403DF" w14:textId="77777777" w:rsidR="000D6168" w:rsidRPr="000A5942" w:rsidRDefault="000D6168" w:rsidP="00323FD6">
            <w:pPr>
              <w:rPr>
                <w:rFonts w:ascii="Calibri" w:hAnsi="Calibri" w:cs="Calibri"/>
              </w:rPr>
            </w:pPr>
            <w:r w:rsidRPr="000A5942">
              <w:rPr>
                <w:rFonts w:ascii="Calibri" w:hAnsi="Calibri" w:cs="Calibri"/>
              </w:rPr>
              <w:t xml:space="preserve">regulatory protein, </w:t>
            </w:r>
            <w:proofErr w:type="spellStart"/>
            <w:r w:rsidRPr="000A5942">
              <w:rPr>
                <w:rFonts w:ascii="Calibri" w:hAnsi="Calibri" w:cs="Calibri"/>
              </w:rPr>
              <w:t>luxR</w:t>
            </w:r>
            <w:proofErr w:type="spellEnd"/>
            <w:r w:rsidRPr="000A5942">
              <w:rPr>
                <w:rFonts w:ascii="Calibri" w:hAnsi="Calibri" w:cs="Calibri"/>
              </w:rPr>
              <w:t xml:space="preserve"> family</w:t>
            </w:r>
          </w:p>
        </w:tc>
        <w:tc>
          <w:tcPr>
            <w:tcW w:w="625" w:type="pct"/>
            <w:tcBorders>
              <w:top w:val="nil"/>
              <w:left w:val="nil"/>
              <w:bottom w:val="nil"/>
              <w:right w:val="nil"/>
            </w:tcBorders>
            <w:shd w:val="clear" w:color="auto" w:fill="auto"/>
            <w:noWrap/>
            <w:vAlign w:val="center"/>
            <w:hideMark/>
          </w:tcPr>
          <w:p w14:paraId="5F954C0A" w14:textId="77777777" w:rsidR="000D6168" w:rsidRPr="000A5942" w:rsidRDefault="000D6168" w:rsidP="00323FD6">
            <w:pPr>
              <w:rPr>
                <w:rFonts w:ascii="Calibri" w:hAnsi="Calibri" w:cs="Calibri"/>
              </w:rPr>
            </w:pPr>
            <w:r w:rsidRPr="000A5942">
              <w:rPr>
                <w:rFonts w:ascii="Calibri" w:hAnsi="Calibri" w:cs="Calibri"/>
              </w:rPr>
              <w:t>N-acyl-L-homoserine lactone synthetase</w:t>
            </w:r>
          </w:p>
        </w:tc>
        <w:tc>
          <w:tcPr>
            <w:tcW w:w="453" w:type="pct"/>
            <w:tcBorders>
              <w:top w:val="nil"/>
              <w:left w:val="nil"/>
              <w:bottom w:val="nil"/>
              <w:right w:val="nil"/>
            </w:tcBorders>
            <w:shd w:val="clear" w:color="auto" w:fill="auto"/>
            <w:noWrap/>
            <w:vAlign w:val="center"/>
            <w:hideMark/>
          </w:tcPr>
          <w:p w14:paraId="7D930727" w14:textId="77777777" w:rsidR="000D6168" w:rsidRPr="000A5942" w:rsidRDefault="000D6168" w:rsidP="00323FD6">
            <w:pPr>
              <w:rPr>
                <w:rFonts w:ascii="Calibri" w:hAnsi="Calibri" w:cs="Calibri"/>
              </w:rPr>
            </w:pPr>
            <w:r w:rsidRPr="000A5942">
              <w:rPr>
                <w:rFonts w:ascii="Calibri" w:hAnsi="Calibri" w:cs="Calibri"/>
              </w:rPr>
              <w:t>57</w:t>
            </w:r>
          </w:p>
        </w:tc>
        <w:tc>
          <w:tcPr>
            <w:tcW w:w="311" w:type="pct"/>
            <w:tcBorders>
              <w:top w:val="nil"/>
              <w:left w:val="nil"/>
              <w:bottom w:val="nil"/>
              <w:right w:val="nil"/>
            </w:tcBorders>
            <w:shd w:val="clear" w:color="auto" w:fill="auto"/>
            <w:noWrap/>
            <w:vAlign w:val="center"/>
            <w:hideMark/>
          </w:tcPr>
          <w:p w14:paraId="0C86561D" w14:textId="77777777" w:rsidR="000D6168" w:rsidRPr="000A5942" w:rsidRDefault="000D6168" w:rsidP="00323FD6">
            <w:pPr>
              <w:rPr>
                <w:rFonts w:ascii="Calibri" w:hAnsi="Calibri" w:cs="Calibri"/>
              </w:rPr>
            </w:pPr>
            <w:r w:rsidRPr="000A5942">
              <w:rPr>
                <w:rFonts w:ascii="Calibri" w:hAnsi="Calibri" w:cs="Calibri"/>
              </w:rPr>
              <w:t>2</w:t>
            </w:r>
          </w:p>
        </w:tc>
        <w:tc>
          <w:tcPr>
            <w:tcW w:w="280" w:type="pct"/>
            <w:tcBorders>
              <w:top w:val="nil"/>
              <w:left w:val="nil"/>
              <w:bottom w:val="nil"/>
              <w:right w:val="nil"/>
            </w:tcBorders>
            <w:shd w:val="clear" w:color="auto" w:fill="auto"/>
            <w:noWrap/>
            <w:vAlign w:val="center"/>
            <w:hideMark/>
          </w:tcPr>
          <w:p w14:paraId="18A23C3A" w14:textId="77777777" w:rsidR="000D6168" w:rsidRPr="000A5942" w:rsidRDefault="000D6168" w:rsidP="00323FD6">
            <w:pPr>
              <w:rPr>
                <w:rFonts w:ascii="Calibri" w:hAnsi="Calibri" w:cs="Calibri"/>
              </w:rPr>
            </w:pPr>
            <w:r w:rsidRPr="000A5942">
              <w:rPr>
                <w:rFonts w:ascii="Calibri" w:hAnsi="Calibri" w:cs="Calibri"/>
              </w:rPr>
              <w:t>44.2</w:t>
            </w:r>
          </w:p>
        </w:tc>
        <w:tc>
          <w:tcPr>
            <w:tcW w:w="347" w:type="pct"/>
            <w:tcBorders>
              <w:top w:val="nil"/>
              <w:left w:val="nil"/>
              <w:bottom w:val="nil"/>
              <w:right w:val="nil"/>
            </w:tcBorders>
            <w:shd w:val="clear" w:color="auto" w:fill="auto"/>
            <w:noWrap/>
            <w:vAlign w:val="center"/>
            <w:hideMark/>
          </w:tcPr>
          <w:p w14:paraId="22ED3E8F" w14:textId="77777777" w:rsidR="000D6168" w:rsidRPr="000A5942" w:rsidRDefault="000D6168" w:rsidP="00323FD6">
            <w:pPr>
              <w:rPr>
                <w:rFonts w:ascii="Calibri" w:hAnsi="Calibri" w:cs="Calibri"/>
              </w:rPr>
            </w:pPr>
            <w:r w:rsidRPr="000A5942">
              <w:rPr>
                <w:rFonts w:ascii="Calibri" w:hAnsi="Calibri" w:cs="Calibri"/>
              </w:rPr>
              <w:t>3</w:t>
            </w:r>
          </w:p>
        </w:tc>
        <w:tc>
          <w:tcPr>
            <w:tcW w:w="313" w:type="pct"/>
            <w:tcBorders>
              <w:top w:val="nil"/>
              <w:left w:val="nil"/>
              <w:bottom w:val="nil"/>
              <w:right w:val="nil"/>
            </w:tcBorders>
            <w:shd w:val="clear" w:color="auto" w:fill="auto"/>
            <w:noWrap/>
            <w:vAlign w:val="center"/>
            <w:hideMark/>
          </w:tcPr>
          <w:p w14:paraId="0285C45A" w14:textId="77777777" w:rsidR="000D6168" w:rsidRPr="000A5942" w:rsidRDefault="000D6168" w:rsidP="00323FD6">
            <w:pPr>
              <w:rPr>
                <w:rFonts w:ascii="Calibri" w:hAnsi="Calibri" w:cs="Calibri"/>
              </w:rPr>
            </w:pPr>
            <w:r w:rsidRPr="000A5942">
              <w:rPr>
                <w:rFonts w:ascii="Calibri" w:hAnsi="Calibri" w:cs="Calibri"/>
              </w:rPr>
              <w:t>3170</w:t>
            </w:r>
          </w:p>
        </w:tc>
        <w:tc>
          <w:tcPr>
            <w:tcW w:w="380" w:type="pct"/>
            <w:tcBorders>
              <w:top w:val="nil"/>
              <w:left w:val="nil"/>
              <w:bottom w:val="nil"/>
              <w:right w:val="single" w:sz="4" w:space="0" w:color="auto"/>
            </w:tcBorders>
            <w:shd w:val="clear" w:color="auto" w:fill="auto"/>
            <w:noWrap/>
            <w:vAlign w:val="center"/>
            <w:hideMark/>
          </w:tcPr>
          <w:p w14:paraId="60CA6059" w14:textId="77777777" w:rsidR="000D6168" w:rsidRPr="000A5942" w:rsidRDefault="000D6168" w:rsidP="00323FD6">
            <w:pPr>
              <w:rPr>
                <w:rFonts w:ascii="Calibri" w:hAnsi="Calibri" w:cs="Calibri"/>
              </w:rPr>
            </w:pPr>
            <w:r w:rsidRPr="000A5942">
              <w:rPr>
                <w:rFonts w:ascii="Calibri" w:hAnsi="Calibri" w:cs="Calibri"/>
              </w:rPr>
              <w:t xml:space="preserve"> 0.0946%</w:t>
            </w:r>
          </w:p>
        </w:tc>
      </w:tr>
      <w:tr w:rsidR="000D6168" w:rsidRPr="000A5942" w14:paraId="0AF7D43A" w14:textId="77777777" w:rsidTr="00323FD6">
        <w:trPr>
          <w:trHeight w:val="290"/>
          <w:jc w:val="center"/>
        </w:trPr>
        <w:tc>
          <w:tcPr>
            <w:tcW w:w="971" w:type="pct"/>
            <w:gridSpan w:val="2"/>
            <w:vMerge w:val="restart"/>
            <w:tcBorders>
              <w:top w:val="nil"/>
              <w:left w:val="single" w:sz="4" w:space="0" w:color="auto"/>
              <w:right w:val="nil"/>
            </w:tcBorders>
            <w:shd w:val="clear" w:color="auto" w:fill="auto"/>
            <w:noWrap/>
            <w:vAlign w:val="center"/>
            <w:hideMark/>
          </w:tcPr>
          <w:p w14:paraId="617EAE00"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53E60E6A" w14:textId="77777777" w:rsidR="000D6168" w:rsidRPr="000A5942" w:rsidRDefault="000D6168" w:rsidP="00323FD6">
            <w:pPr>
              <w:rPr>
                <w:rFonts w:ascii="Calibri" w:hAnsi="Calibri" w:cs="Calibri"/>
              </w:rPr>
            </w:pPr>
            <w:r w:rsidRPr="000A5942">
              <w:rPr>
                <w:rFonts w:ascii="Calibri" w:hAnsi="Calibri" w:cs="Calibri"/>
              </w:rPr>
              <w:t>PHLS_contig00030</w:t>
            </w:r>
          </w:p>
        </w:tc>
        <w:tc>
          <w:tcPr>
            <w:tcW w:w="313" w:type="pct"/>
            <w:tcBorders>
              <w:top w:val="nil"/>
              <w:left w:val="nil"/>
              <w:bottom w:val="nil"/>
              <w:right w:val="nil"/>
            </w:tcBorders>
            <w:shd w:val="clear" w:color="auto" w:fill="auto"/>
            <w:noWrap/>
            <w:vAlign w:val="center"/>
            <w:hideMark/>
          </w:tcPr>
          <w:p w14:paraId="3BC3DF3C"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6457DBC2" w14:textId="77777777" w:rsidR="000D6168" w:rsidRPr="000A5942" w:rsidRDefault="000D6168" w:rsidP="00323FD6">
            <w:pPr>
              <w:rPr>
                <w:rFonts w:ascii="Calibri" w:hAnsi="Calibri" w:cs="Calibri"/>
              </w:rPr>
            </w:pPr>
            <w:r w:rsidRPr="000A5942">
              <w:rPr>
                <w:rFonts w:ascii="Calibri" w:hAnsi="Calibri" w:cs="Calibri"/>
              </w:rPr>
              <w:t>(R)-</w:t>
            </w:r>
            <w:proofErr w:type="spellStart"/>
            <w:r w:rsidRPr="000A5942">
              <w:rPr>
                <w:rFonts w:ascii="Calibri" w:hAnsi="Calibri" w:cs="Calibri"/>
              </w:rPr>
              <w:t>ethylmalonyl</w:t>
            </w:r>
            <w:proofErr w:type="spellEnd"/>
            <w:r w:rsidRPr="000A5942">
              <w:rPr>
                <w:rFonts w:ascii="Calibri" w:hAnsi="Calibri" w:cs="Calibri"/>
              </w:rPr>
              <w:t>-CoA mutase</w:t>
            </w:r>
          </w:p>
        </w:tc>
        <w:tc>
          <w:tcPr>
            <w:tcW w:w="625" w:type="pct"/>
            <w:tcBorders>
              <w:top w:val="nil"/>
              <w:left w:val="nil"/>
              <w:bottom w:val="nil"/>
              <w:right w:val="nil"/>
            </w:tcBorders>
            <w:shd w:val="clear" w:color="auto" w:fill="auto"/>
            <w:noWrap/>
            <w:vAlign w:val="center"/>
            <w:hideMark/>
          </w:tcPr>
          <w:p w14:paraId="19968EF3"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453" w:type="pct"/>
            <w:tcBorders>
              <w:top w:val="nil"/>
              <w:left w:val="nil"/>
              <w:bottom w:val="nil"/>
              <w:right w:val="nil"/>
            </w:tcBorders>
            <w:shd w:val="clear" w:color="auto" w:fill="auto"/>
            <w:noWrap/>
            <w:vAlign w:val="center"/>
            <w:hideMark/>
          </w:tcPr>
          <w:p w14:paraId="3FF6C237" w14:textId="77777777" w:rsidR="000D6168" w:rsidRPr="000A5942" w:rsidRDefault="000D6168" w:rsidP="00323FD6">
            <w:pPr>
              <w:rPr>
                <w:rFonts w:ascii="Calibri" w:hAnsi="Calibri" w:cs="Calibri"/>
              </w:rPr>
            </w:pPr>
            <w:r w:rsidRPr="000A5942">
              <w:rPr>
                <w:rFonts w:ascii="Calibri" w:hAnsi="Calibri" w:cs="Calibri"/>
              </w:rPr>
              <w:t>5288</w:t>
            </w:r>
          </w:p>
        </w:tc>
        <w:tc>
          <w:tcPr>
            <w:tcW w:w="311" w:type="pct"/>
            <w:tcBorders>
              <w:top w:val="nil"/>
              <w:left w:val="nil"/>
              <w:bottom w:val="nil"/>
              <w:right w:val="nil"/>
            </w:tcBorders>
            <w:shd w:val="clear" w:color="auto" w:fill="auto"/>
            <w:noWrap/>
            <w:vAlign w:val="center"/>
            <w:hideMark/>
          </w:tcPr>
          <w:p w14:paraId="78858BD2" w14:textId="77777777" w:rsidR="000D6168" w:rsidRPr="000A5942" w:rsidRDefault="000D6168" w:rsidP="00323FD6">
            <w:pPr>
              <w:rPr>
                <w:rFonts w:ascii="Calibri" w:hAnsi="Calibri" w:cs="Calibri"/>
              </w:rPr>
            </w:pPr>
            <w:r w:rsidRPr="000A5942">
              <w:rPr>
                <w:rFonts w:ascii="Calibri" w:hAnsi="Calibri" w:cs="Calibri"/>
              </w:rPr>
              <w:t>3142</w:t>
            </w:r>
          </w:p>
        </w:tc>
        <w:tc>
          <w:tcPr>
            <w:tcW w:w="280" w:type="pct"/>
            <w:tcBorders>
              <w:top w:val="nil"/>
              <w:left w:val="nil"/>
              <w:bottom w:val="nil"/>
              <w:right w:val="nil"/>
            </w:tcBorders>
            <w:shd w:val="clear" w:color="auto" w:fill="auto"/>
            <w:noWrap/>
            <w:vAlign w:val="center"/>
            <w:hideMark/>
          </w:tcPr>
          <w:p w14:paraId="3652014F" w14:textId="77777777" w:rsidR="000D6168" w:rsidRPr="000A5942" w:rsidRDefault="000D6168" w:rsidP="00323FD6">
            <w:pPr>
              <w:rPr>
                <w:rFonts w:ascii="Calibri" w:hAnsi="Calibri" w:cs="Calibri"/>
              </w:rPr>
            </w:pPr>
            <w:r w:rsidRPr="000A5942">
              <w:rPr>
                <w:rFonts w:ascii="Calibri" w:hAnsi="Calibri" w:cs="Calibri"/>
              </w:rPr>
              <w:t>43</w:t>
            </w:r>
          </w:p>
        </w:tc>
        <w:tc>
          <w:tcPr>
            <w:tcW w:w="1040" w:type="pct"/>
            <w:gridSpan w:val="3"/>
            <w:vMerge w:val="restart"/>
            <w:tcBorders>
              <w:top w:val="nil"/>
              <w:left w:val="nil"/>
            </w:tcBorders>
            <w:shd w:val="clear" w:color="auto" w:fill="auto"/>
            <w:noWrap/>
            <w:vAlign w:val="center"/>
            <w:hideMark/>
          </w:tcPr>
          <w:p w14:paraId="0308FDA8" w14:textId="77777777" w:rsidR="000D6168" w:rsidRPr="000A5942" w:rsidRDefault="000D6168" w:rsidP="00323FD6">
            <w:pPr>
              <w:rPr>
                <w:rFonts w:ascii="Calibri" w:hAnsi="Calibri" w:cs="Calibri"/>
              </w:rPr>
            </w:pPr>
          </w:p>
        </w:tc>
      </w:tr>
      <w:tr w:rsidR="000D6168" w:rsidRPr="000A5942" w14:paraId="31A02566" w14:textId="77777777" w:rsidTr="00323FD6">
        <w:trPr>
          <w:trHeight w:val="290"/>
          <w:jc w:val="center"/>
        </w:trPr>
        <w:tc>
          <w:tcPr>
            <w:tcW w:w="971" w:type="pct"/>
            <w:gridSpan w:val="2"/>
            <w:vMerge/>
            <w:tcBorders>
              <w:left w:val="single" w:sz="4" w:space="0" w:color="auto"/>
              <w:bottom w:val="single" w:sz="4" w:space="0" w:color="auto"/>
              <w:right w:val="nil"/>
            </w:tcBorders>
            <w:shd w:val="clear" w:color="auto" w:fill="auto"/>
            <w:noWrap/>
            <w:vAlign w:val="center"/>
            <w:hideMark/>
          </w:tcPr>
          <w:p w14:paraId="60955F68"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5D79FB4D" w14:textId="77777777" w:rsidR="000D6168" w:rsidRPr="000A5942" w:rsidRDefault="000D6168" w:rsidP="00323FD6">
            <w:pPr>
              <w:rPr>
                <w:rFonts w:ascii="Calibri" w:hAnsi="Calibri" w:cs="Calibri"/>
              </w:rPr>
            </w:pPr>
            <w:r w:rsidRPr="000A5942">
              <w:rPr>
                <w:rFonts w:ascii="Calibri" w:hAnsi="Calibri" w:cs="Calibri"/>
              </w:rPr>
              <w:t>PHLS_contig00020</w:t>
            </w:r>
          </w:p>
        </w:tc>
        <w:tc>
          <w:tcPr>
            <w:tcW w:w="313" w:type="pct"/>
            <w:tcBorders>
              <w:top w:val="nil"/>
              <w:left w:val="nil"/>
              <w:bottom w:val="single" w:sz="4" w:space="0" w:color="auto"/>
              <w:right w:val="nil"/>
            </w:tcBorders>
            <w:shd w:val="clear" w:color="auto" w:fill="auto"/>
            <w:noWrap/>
            <w:vAlign w:val="center"/>
            <w:hideMark/>
          </w:tcPr>
          <w:p w14:paraId="2BAAA46C"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4C7288D8"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regulator, </w:t>
            </w:r>
            <w:proofErr w:type="spellStart"/>
            <w:r w:rsidRPr="000A5942">
              <w:rPr>
                <w:rFonts w:ascii="Calibri" w:hAnsi="Calibri" w:cs="Calibri"/>
              </w:rPr>
              <w:t>Lrp</w:t>
            </w:r>
            <w:proofErr w:type="spellEnd"/>
            <w:r w:rsidRPr="000A5942">
              <w:rPr>
                <w:rFonts w:ascii="Calibri" w:hAnsi="Calibri" w:cs="Calibri"/>
              </w:rPr>
              <w:t xml:space="preserve"> family</w:t>
            </w:r>
          </w:p>
        </w:tc>
        <w:tc>
          <w:tcPr>
            <w:tcW w:w="625" w:type="pct"/>
            <w:tcBorders>
              <w:top w:val="nil"/>
              <w:left w:val="nil"/>
              <w:bottom w:val="single" w:sz="4" w:space="0" w:color="auto"/>
              <w:right w:val="nil"/>
            </w:tcBorders>
            <w:shd w:val="clear" w:color="auto" w:fill="auto"/>
            <w:noWrap/>
            <w:vAlign w:val="center"/>
            <w:hideMark/>
          </w:tcPr>
          <w:p w14:paraId="60F8967E" w14:textId="77777777" w:rsidR="000D6168" w:rsidRPr="000A5942" w:rsidRDefault="000D6168" w:rsidP="00323FD6">
            <w:pPr>
              <w:rPr>
                <w:rFonts w:ascii="Calibri" w:hAnsi="Calibri" w:cs="Calibri"/>
              </w:rPr>
            </w:pPr>
            <w:r w:rsidRPr="000A5942">
              <w:rPr>
                <w:rFonts w:ascii="Calibri" w:hAnsi="Calibri" w:cs="Calibri"/>
              </w:rPr>
              <w:t>polyphosphate kinase 2, PA0141 family</w:t>
            </w:r>
          </w:p>
        </w:tc>
        <w:tc>
          <w:tcPr>
            <w:tcW w:w="453" w:type="pct"/>
            <w:tcBorders>
              <w:top w:val="nil"/>
              <w:left w:val="nil"/>
              <w:bottom w:val="single" w:sz="4" w:space="0" w:color="auto"/>
              <w:right w:val="nil"/>
            </w:tcBorders>
            <w:shd w:val="clear" w:color="auto" w:fill="auto"/>
            <w:noWrap/>
            <w:vAlign w:val="center"/>
            <w:hideMark/>
          </w:tcPr>
          <w:p w14:paraId="3BB23950" w14:textId="77777777" w:rsidR="000D6168" w:rsidRPr="000A5942" w:rsidRDefault="000D6168" w:rsidP="00323FD6">
            <w:pPr>
              <w:rPr>
                <w:rFonts w:ascii="Calibri" w:hAnsi="Calibri" w:cs="Calibri"/>
              </w:rPr>
            </w:pPr>
            <w:r w:rsidRPr="000A5942">
              <w:rPr>
                <w:rFonts w:ascii="Calibri" w:hAnsi="Calibri" w:cs="Calibri"/>
              </w:rPr>
              <w:t>239</w:t>
            </w:r>
          </w:p>
        </w:tc>
        <w:tc>
          <w:tcPr>
            <w:tcW w:w="311" w:type="pct"/>
            <w:tcBorders>
              <w:top w:val="nil"/>
              <w:left w:val="nil"/>
              <w:bottom w:val="single" w:sz="4" w:space="0" w:color="auto"/>
              <w:right w:val="nil"/>
            </w:tcBorders>
            <w:shd w:val="clear" w:color="auto" w:fill="auto"/>
            <w:noWrap/>
            <w:vAlign w:val="center"/>
            <w:hideMark/>
          </w:tcPr>
          <w:p w14:paraId="3F4D8E3A" w14:textId="77777777" w:rsidR="000D6168" w:rsidRPr="000A5942" w:rsidRDefault="000D6168" w:rsidP="00323FD6">
            <w:pPr>
              <w:rPr>
                <w:rFonts w:ascii="Calibri" w:hAnsi="Calibri" w:cs="Calibri"/>
              </w:rPr>
            </w:pPr>
            <w:r w:rsidRPr="000A5942">
              <w:rPr>
                <w:rFonts w:ascii="Calibri" w:hAnsi="Calibri" w:cs="Calibri"/>
              </w:rPr>
              <w:t>1422</w:t>
            </w:r>
          </w:p>
        </w:tc>
        <w:tc>
          <w:tcPr>
            <w:tcW w:w="280" w:type="pct"/>
            <w:tcBorders>
              <w:top w:val="nil"/>
              <w:left w:val="nil"/>
              <w:bottom w:val="single" w:sz="4" w:space="0" w:color="auto"/>
              <w:right w:val="nil"/>
            </w:tcBorders>
            <w:shd w:val="clear" w:color="auto" w:fill="auto"/>
            <w:noWrap/>
            <w:vAlign w:val="center"/>
            <w:hideMark/>
          </w:tcPr>
          <w:p w14:paraId="1D560A95" w14:textId="77777777" w:rsidR="000D6168" w:rsidRPr="000A5942" w:rsidRDefault="000D6168" w:rsidP="00323FD6">
            <w:pPr>
              <w:rPr>
                <w:rFonts w:ascii="Calibri" w:hAnsi="Calibri" w:cs="Calibri"/>
              </w:rPr>
            </w:pPr>
            <w:r w:rsidRPr="000A5942">
              <w:rPr>
                <w:rFonts w:ascii="Calibri" w:hAnsi="Calibri" w:cs="Calibri"/>
              </w:rPr>
              <w:t>15.4</w:t>
            </w:r>
          </w:p>
        </w:tc>
        <w:tc>
          <w:tcPr>
            <w:tcW w:w="1040" w:type="pct"/>
            <w:gridSpan w:val="3"/>
            <w:vMerge/>
            <w:tcBorders>
              <w:left w:val="nil"/>
              <w:bottom w:val="single" w:sz="4" w:space="0" w:color="auto"/>
            </w:tcBorders>
            <w:shd w:val="clear" w:color="auto" w:fill="auto"/>
            <w:noWrap/>
            <w:vAlign w:val="center"/>
            <w:hideMark/>
          </w:tcPr>
          <w:p w14:paraId="08E0C2DC" w14:textId="77777777" w:rsidR="000D6168" w:rsidRPr="000A5942" w:rsidRDefault="000D6168" w:rsidP="00323FD6">
            <w:pPr>
              <w:rPr>
                <w:rFonts w:ascii="Calibri" w:hAnsi="Calibri" w:cs="Calibri"/>
              </w:rPr>
            </w:pPr>
          </w:p>
        </w:tc>
      </w:tr>
      <w:tr w:rsidR="000D6168" w:rsidRPr="000A5942" w14:paraId="1F473D0B" w14:textId="77777777" w:rsidTr="00323FD6">
        <w:trPr>
          <w:trHeight w:val="290"/>
          <w:jc w:val="center"/>
        </w:trPr>
        <w:tc>
          <w:tcPr>
            <w:tcW w:w="519" w:type="pct"/>
            <w:tcBorders>
              <w:top w:val="nil"/>
              <w:left w:val="single" w:sz="4" w:space="0" w:color="auto"/>
              <w:bottom w:val="nil"/>
              <w:right w:val="nil"/>
            </w:tcBorders>
            <w:shd w:val="clear" w:color="auto" w:fill="auto"/>
            <w:noWrap/>
            <w:vAlign w:val="center"/>
            <w:hideMark/>
          </w:tcPr>
          <w:p w14:paraId="67C78BB9" w14:textId="77777777" w:rsidR="000D6168" w:rsidRPr="000A5942" w:rsidRDefault="000D6168" w:rsidP="00323FD6">
            <w:pPr>
              <w:rPr>
                <w:rFonts w:ascii="Calibri" w:hAnsi="Calibri" w:cs="Calibri"/>
              </w:rPr>
            </w:pPr>
            <w:r w:rsidRPr="000A5942">
              <w:rPr>
                <w:rFonts w:ascii="Calibri" w:hAnsi="Calibri" w:cs="Calibri"/>
              </w:rPr>
              <w:t>2675903626</w:t>
            </w:r>
          </w:p>
        </w:tc>
        <w:tc>
          <w:tcPr>
            <w:tcW w:w="452" w:type="pct"/>
            <w:tcBorders>
              <w:top w:val="nil"/>
              <w:left w:val="nil"/>
              <w:bottom w:val="nil"/>
              <w:right w:val="nil"/>
            </w:tcBorders>
            <w:shd w:val="clear" w:color="auto" w:fill="auto"/>
            <w:noWrap/>
            <w:vAlign w:val="center"/>
            <w:hideMark/>
          </w:tcPr>
          <w:p w14:paraId="6D4837F5" w14:textId="77777777" w:rsidR="000D6168" w:rsidRPr="000A5942" w:rsidRDefault="000D6168" w:rsidP="00323FD6">
            <w:pPr>
              <w:rPr>
                <w:rFonts w:ascii="Calibri" w:hAnsi="Calibri" w:cs="Calibri"/>
              </w:rPr>
            </w:pPr>
            <w:proofErr w:type="spellStart"/>
            <w:r w:rsidRPr="000A5942">
              <w:rPr>
                <w:rFonts w:ascii="Calibri" w:hAnsi="Calibri" w:cs="Calibri"/>
              </w:rPr>
              <w:t>Phaeobacter</w:t>
            </w:r>
            <w:proofErr w:type="spellEnd"/>
            <w:r w:rsidRPr="000A5942">
              <w:rPr>
                <w:rFonts w:ascii="Calibri" w:hAnsi="Calibri" w:cs="Calibri"/>
              </w:rPr>
              <w:t xml:space="preserve"> sp. S60</w:t>
            </w:r>
          </w:p>
        </w:tc>
        <w:tc>
          <w:tcPr>
            <w:tcW w:w="347" w:type="pct"/>
            <w:tcBorders>
              <w:top w:val="nil"/>
              <w:left w:val="nil"/>
              <w:bottom w:val="nil"/>
              <w:right w:val="nil"/>
            </w:tcBorders>
            <w:shd w:val="clear" w:color="auto" w:fill="auto"/>
            <w:noWrap/>
            <w:vAlign w:val="center"/>
            <w:hideMark/>
          </w:tcPr>
          <w:p w14:paraId="0697A699" w14:textId="77777777" w:rsidR="000D6168" w:rsidRPr="000A5942" w:rsidRDefault="000D6168" w:rsidP="00323FD6">
            <w:pPr>
              <w:rPr>
                <w:rFonts w:ascii="Calibri" w:hAnsi="Calibri" w:cs="Calibri"/>
              </w:rPr>
            </w:pPr>
            <w:r w:rsidRPr="000A5942">
              <w:rPr>
                <w:rFonts w:ascii="Calibri" w:hAnsi="Calibri" w:cs="Calibri"/>
              </w:rPr>
              <w:t>Ga0124421_112</w:t>
            </w:r>
          </w:p>
        </w:tc>
        <w:tc>
          <w:tcPr>
            <w:tcW w:w="313" w:type="pct"/>
            <w:tcBorders>
              <w:top w:val="nil"/>
              <w:left w:val="nil"/>
              <w:bottom w:val="nil"/>
              <w:right w:val="nil"/>
            </w:tcBorders>
            <w:shd w:val="clear" w:color="auto" w:fill="auto"/>
            <w:noWrap/>
            <w:vAlign w:val="center"/>
            <w:hideMark/>
          </w:tcPr>
          <w:p w14:paraId="02DEE0FA"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3B697C6F" w14:textId="77777777" w:rsidR="000D6168" w:rsidRPr="000A5942" w:rsidRDefault="000D6168" w:rsidP="00323FD6">
            <w:pPr>
              <w:rPr>
                <w:rFonts w:ascii="Calibri" w:hAnsi="Calibri" w:cs="Calibri"/>
              </w:rPr>
            </w:pPr>
            <w:r w:rsidRPr="000A5942">
              <w:rPr>
                <w:rFonts w:ascii="Calibri" w:hAnsi="Calibri" w:cs="Calibri"/>
              </w:rPr>
              <w:t>acyl homoserine lactone synthase</w:t>
            </w:r>
          </w:p>
        </w:tc>
        <w:tc>
          <w:tcPr>
            <w:tcW w:w="625" w:type="pct"/>
            <w:tcBorders>
              <w:top w:val="nil"/>
              <w:left w:val="nil"/>
              <w:bottom w:val="nil"/>
              <w:right w:val="nil"/>
            </w:tcBorders>
            <w:shd w:val="clear" w:color="auto" w:fill="auto"/>
            <w:noWrap/>
            <w:vAlign w:val="center"/>
            <w:hideMark/>
          </w:tcPr>
          <w:p w14:paraId="58D78F35" w14:textId="77777777" w:rsidR="000D6168" w:rsidRPr="000A5942" w:rsidRDefault="000D6168" w:rsidP="00323FD6">
            <w:pPr>
              <w:rPr>
                <w:rFonts w:ascii="Calibri" w:hAnsi="Calibri" w:cs="Calibri"/>
              </w:rPr>
            </w:pPr>
            <w:r w:rsidRPr="000A5942">
              <w:rPr>
                <w:rFonts w:ascii="Calibri" w:hAnsi="Calibri" w:cs="Calibri"/>
              </w:rPr>
              <w:t xml:space="preserve">regulatory protein, </w:t>
            </w:r>
            <w:proofErr w:type="spellStart"/>
            <w:r w:rsidRPr="000A5942">
              <w:rPr>
                <w:rFonts w:ascii="Calibri" w:hAnsi="Calibri" w:cs="Calibri"/>
              </w:rPr>
              <w:t>luxR</w:t>
            </w:r>
            <w:proofErr w:type="spellEnd"/>
            <w:r w:rsidRPr="000A5942">
              <w:rPr>
                <w:rFonts w:ascii="Calibri" w:hAnsi="Calibri" w:cs="Calibri"/>
              </w:rPr>
              <w:t xml:space="preserve"> family</w:t>
            </w:r>
          </w:p>
        </w:tc>
        <w:tc>
          <w:tcPr>
            <w:tcW w:w="453" w:type="pct"/>
            <w:tcBorders>
              <w:top w:val="nil"/>
              <w:left w:val="nil"/>
              <w:bottom w:val="nil"/>
              <w:right w:val="nil"/>
            </w:tcBorders>
            <w:shd w:val="clear" w:color="auto" w:fill="auto"/>
            <w:noWrap/>
            <w:vAlign w:val="center"/>
            <w:hideMark/>
          </w:tcPr>
          <w:p w14:paraId="609DCFC6" w14:textId="77777777" w:rsidR="000D6168" w:rsidRPr="000A5942" w:rsidRDefault="000D6168" w:rsidP="00323FD6">
            <w:pPr>
              <w:rPr>
                <w:rFonts w:ascii="Calibri" w:hAnsi="Calibri" w:cs="Calibri"/>
              </w:rPr>
            </w:pPr>
            <w:r w:rsidRPr="000A5942">
              <w:rPr>
                <w:rFonts w:ascii="Calibri" w:hAnsi="Calibri" w:cs="Calibri"/>
              </w:rPr>
              <w:t>2</w:t>
            </w:r>
          </w:p>
        </w:tc>
        <w:tc>
          <w:tcPr>
            <w:tcW w:w="311" w:type="pct"/>
            <w:tcBorders>
              <w:top w:val="nil"/>
              <w:left w:val="nil"/>
              <w:bottom w:val="nil"/>
              <w:right w:val="nil"/>
            </w:tcBorders>
            <w:shd w:val="clear" w:color="auto" w:fill="auto"/>
            <w:noWrap/>
            <w:vAlign w:val="center"/>
            <w:hideMark/>
          </w:tcPr>
          <w:p w14:paraId="2138D1DF" w14:textId="77777777" w:rsidR="000D6168" w:rsidRPr="000A5942" w:rsidRDefault="000D6168" w:rsidP="00323FD6">
            <w:pPr>
              <w:rPr>
                <w:rFonts w:ascii="Calibri" w:hAnsi="Calibri" w:cs="Calibri"/>
              </w:rPr>
            </w:pPr>
            <w:r w:rsidRPr="000A5942">
              <w:rPr>
                <w:rFonts w:ascii="Calibri" w:hAnsi="Calibri" w:cs="Calibri"/>
              </w:rPr>
              <w:t>57</w:t>
            </w:r>
          </w:p>
        </w:tc>
        <w:tc>
          <w:tcPr>
            <w:tcW w:w="280" w:type="pct"/>
            <w:tcBorders>
              <w:top w:val="nil"/>
              <w:left w:val="nil"/>
              <w:bottom w:val="nil"/>
              <w:right w:val="nil"/>
            </w:tcBorders>
            <w:shd w:val="clear" w:color="auto" w:fill="auto"/>
            <w:noWrap/>
            <w:vAlign w:val="center"/>
            <w:hideMark/>
          </w:tcPr>
          <w:p w14:paraId="1BD823EB" w14:textId="77777777" w:rsidR="000D6168" w:rsidRPr="000A5942" w:rsidRDefault="000D6168" w:rsidP="00323FD6">
            <w:pPr>
              <w:rPr>
                <w:rFonts w:ascii="Calibri" w:hAnsi="Calibri" w:cs="Calibri"/>
              </w:rPr>
            </w:pPr>
            <w:r w:rsidRPr="000A5942">
              <w:rPr>
                <w:rFonts w:ascii="Calibri" w:hAnsi="Calibri" w:cs="Calibri"/>
              </w:rPr>
              <w:t>45.2</w:t>
            </w:r>
          </w:p>
        </w:tc>
        <w:tc>
          <w:tcPr>
            <w:tcW w:w="347" w:type="pct"/>
            <w:tcBorders>
              <w:top w:val="nil"/>
              <w:left w:val="nil"/>
              <w:bottom w:val="nil"/>
              <w:right w:val="nil"/>
            </w:tcBorders>
            <w:shd w:val="clear" w:color="auto" w:fill="auto"/>
            <w:noWrap/>
            <w:vAlign w:val="center"/>
            <w:hideMark/>
          </w:tcPr>
          <w:p w14:paraId="4DE6A1EC" w14:textId="77777777" w:rsidR="000D6168" w:rsidRPr="000A5942" w:rsidRDefault="000D6168" w:rsidP="00323FD6">
            <w:pPr>
              <w:rPr>
                <w:rFonts w:ascii="Calibri" w:hAnsi="Calibri" w:cs="Calibri"/>
              </w:rPr>
            </w:pPr>
            <w:r w:rsidRPr="000A5942">
              <w:rPr>
                <w:rFonts w:ascii="Calibri" w:hAnsi="Calibri" w:cs="Calibri"/>
              </w:rPr>
              <w:t>5</w:t>
            </w:r>
          </w:p>
        </w:tc>
        <w:tc>
          <w:tcPr>
            <w:tcW w:w="313" w:type="pct"/>
            <w:tcBorders>
              <w:top w:val="nil"/>
              <w:left w:val="nil"/>
              <w:bottom w:val="nil"/>
              <w:right w:val="nil"/>
            </w:tcBorders>
            <w:shd w:val="clear" w:color="auto" w:fill="auto"/>
            <w:noWrap/>
            <w:vAlign w:val="center"/>
            <w:hideMark/>
          </w:tcPr>
          <w:p w14:paraId="23DEB360" w14:textId="77777777" w:rsidR="000D6168" w:rsidRPr="000A5942" w:rsidRDefault="000D6168" w:rsidP="00323FD6">
            <w:pPr>
              <w:rPr>
                <w:rFonts w:ascii="Calibri" w:hAnsi="Calibri" w:cs="Calibri"/>
              </w:rPr>
            </w:pPr>
            <w:r w:rsidRPr="000A5942">
              <w:rPr>
                <w:rFonts w:ascii="Calibri" w:hAnsi="Calibri" w:cs="Calibri"/>
              </w:rPr>
              <w:t>4491</w:t>
            </w:r>
          </w:p>
        </w:tc>
        <w:tc>
          <w:tcPr>
            <w:tcW w:w="380" w:type="pct"/>
            <w:tcBorders>
              <w:top w:val="nil"/>
              <w:left w:val="nil"/>
              <w:bottom w:val="nil"/>
              <w:right w:val="single" w:sz="4" w:space="0" w:color="auto"/>
            </w:tcBorders>
            <w:shd w:val="clear" w:color="auto" w:fill="auto"/>
            <w:noWrap/>
            <w:vAlign w:val="center"/>
            <w:hideMark/>
          </w:tcPr>
          <w:p w14:paraId="31943F25" w14:textId="77777777" w:rsidR="000D6168" w:rsidRPr="000A5942" w:rsidRDefault="000D6168" w:rsidP="00323FD6">
            <w:pPr>
              <w:rPr>
                <w:rFonts w:ascii="Calibri" w:hAnsi="Calibri" w:cs="Calibri"/>
              </w:rPr>
            </w:pPr>
            <w:r w:rsidRPr="000A5942">
              <w:rPr>
                <w:rFonts w:ascii="Calibri" w:hAnsi="Calibri" w:cs="Calibri"/>
              </w:rPr>
              <w:t xml:space="preserve"> 0.1113%</w:t>
            </w:r>
          </w:p>
        </w:tc>
      </w:tr>
      <w:tr w:rsidR="000D6168" w:rsidRPr="000A5942" w14:paraId="21B2F53B" w14:textId="77777777" w:rsidTr="00323FD6">
        <w:trPr>
          <w:trHeight w:val="290"/>
          <w:jc w:val="center"/>
        </w:trPr>
        <w:tc>
          <w:tcPr>
            <w:tcW w:w="971" w:type="pct"/>
            <w:gridSpan w:val="2"/>
            <w:vMerge w:val="restart"/>
            <w:tcBorders>
              <w:top w:val="nil"/>
              <w:left w:val="single" w:sz="4" w:space="0" w:color="auto"/>
              <w:right w:val="nil"/>
            </w:tcBorders>
            <w:shd w:val="clear" w:color="auto" w:fill="auto"/>
            <w:noWrap/>
            <w:vAlign w:val="center"/>
          </w:tcPr>
          <w:p w14:paraId="0AFD973B"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3D9F69CE" w14:textId="77777777" w:rsidR="000D6168" w:rsidRPr="000A5942" w:rsidRDefault="000D6168" w:rsidP="00323FD6">
            <w:pPr>
              <w:rPr>
                <w:rFonts w:ascii="Calibri" w:hAnsi="Calibri" w:cs="Calibri"/>
              </w:rPr>
            </w:pPr>
            <w:r w:rsidRPr="000A5942">
              <w:rPr>
                <w:rFonts w:ascii="Calibri" w:hAnsi="Calibri" w:cs="Calibri"/>
              </w:rPr>
              <w:t>Ga0124421_112</w:t>
            </w:r>
          </w:p>
        </w:tc>
        <w:tc>
          <w:tcPr>
            <w:tcW w:w="313" w:type="pct"/>
            <w:tcBorders>
              <w:top w:val="nil"/>
              <w:left w:val="nil"/>
              <w:bottom w:val="nil"/>
              <w:right w:val="nil"/>
            </w:tcBorders>
            <w:shd w:val="clear" w:color="auto" w:fill="auto"/>
            <w:noWrap/>
            <w:vAlign w:val="center"/>
            <w:hideMark/>
          </w:tcPr>
          <w:p w14:paraId="27AAE698"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625D1821" w14:textId="77777777" w:rsidR="000D6168" w:rsidRPr="000A5942" w:rsidRDefault="000D6168" w:rsidP="00323FD6">
            <w:pPr>
              <w:rPr>
                <w:rFonts w:ascii="Calibri" w:hAnsi="Calibri" w:cs="Calibri"/>
              </w:rPr>
            </w:pPr>
            <w:r w:rsidRPr="000A5942">
              <w:rPr>
                <w:rFonts w:ascii="Calibri" w:hAnsi="Calibri" w:cs="Calibri"/>
              </w:rPr>
              <w:t>conserved hypothetical protein</w:t>
            </w:r>
          </w:p>
        </w:tc>
        <w:tc>
          <w:tcPr>
            <w:tcW w:w="625" w:type="pct"/>
            <w:tcBorders>
              <w:top w:val="nil"/>
              <w:left w:val="nil"/>
              <w:bottom w:val="nil"/>
              <w:right w:val="nil"/>
            </w:tcBorders>
            <w:shd w:val="clear" w:color="auto" w:fill="auto"/>
            <w:noWrap/>
            <w:vAlign w:val="center"/>
            <w:hideMark/>
          </w:tcPr>
          <w:p w14:paraId="28738BB2"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453" w:type="pct"/>
            <w:tcBorders>
              <w:top w:val="nil"/>
              <w:left w:val="nil"/>
              <w:bottom w:val="nil"/>
              <w:right w:val="nil"/>
            </w:tcBorders>
            <w:shd w:val="clear" w:color="auto" w:fill="auto"/>
            <w:noWrap/>
            <w:vAlign w:val="center"/>
            <w:hideMark/>
          </w:tcPr>
          <w:p w14:paraId="73C3001B" w14:textId="77777777" w:rsidR="000D6168" w:rsidRPr="000A5942" w:rsidRDefault="000D6168" w:rsidP="00323FD6">
            <w:pPr>
              <w:rPr>
                <w:rFonts w:ascii="Calibri" w:hAnsi="Calibri" w:cs="Calibri"/>
              </w:rPr>
            </w:pPr>
            <w:r w:rsidRPr="000A5942">
              <w:rPr>
                <w:rFonts w:ascii="Calibri" w:hAnsi="Calibri" w:cs="Calibri"/>
              </w:rPr>
              <w:t>3140</w:t>
            </w:r>
          </w:p>
        </w:tc>
        <w:tc>
          <w:tcPr>
            <w:tcW w:w="311" w:type="pct"/>
            <w:tcBorders>
              <w:top w:val="nil"/>
              <w:left w:val="nil"/>
              <w:bottom w:val="nil"/>
              <w:right w:val="nil"/>
            </w:tcBorders>
            <w:shd w:val="clear" w:color="auto" w:fill="auto"/>
            <w:noWrap/>
            <w:vAlign w:val="center"/>
            <w:hideMark/>
          </w:tcPr>
          <w:p w14:paraId="1AE800D9" w14:textId="77777777" w:rsidR="000D6168" w:rsidRPr="000A5942" w:rsidRDefault="000D6168" w:rsidP="00323FD6">
            <w:pPr>
              <w:rPr>
                <w:rFonts w:ascii="Calibri" w:hAnsi="Calibri" w:cs="Calibri"/>
              </w:rPr>
            </w:pPr>
            <w:r w:rsidRPr="000A5942">
              <w:rPr>
                <w:rFonts w:ascii="Calibri" w:hAnsi="Calibri" w:cs="Calibri"/>
              </w:rPr>
              <w:t>4053</w:t>
            </w:r>
          </w:p>
        </w:tc>
        <w:tc>
          <w:tcPr>
            <w:tcW w:w="280" w:type="pct"/>
            <w:tcBorders>
              <w:top w:val="nil"/>
              <w:left w:val="nil"/>
              <w:bottom w:val="nil"/>
              <w:right w:val="nil"/>
            </w:tcBorders>
            <w:shd w:val="clear" w:color="auto" w:fill="auto"/>
            <w:noWrap/>
            <w:vAlign w:val="center"/>
            <w:hideMark/>
          </w:tcPr>
          <w:p w14:paraId="5175542E" w14:textId="77777777" w:rsidR="000D6168" w:rsidRPr="000A5942" w:rsidRDefault="000D6168" w:rsidP="00323FD6">
            <w:pPr>
              <w:rPr>
                <w:rFonts w:ascii="Calibri" w:hAnsi="Calibri" w:cs="Calibri"/>
              </w:rPr>
            </w:pPr>
            <w:r w:rsidRPr="000A5942">
              <w:rPr>
                <w:rFonts w:ascii="Calibri" w:hAnsi="Calibri" w:cs="Calibri"/>
              </w:rPr>
              <w:t>43.8</w:t>
            </w:r>
          </w:p>
        </w:tc>
        <w:tc>
          <w:tcPr>
            <w:tcW w:w="1040" w:type="pct"/>
            <w:gridSpan w:val="3"/>
            <w:vMerge w:val="restart"/>
            <w:tcBorders>
              <w:top w:val="nil"/>
              <w:left w:val="nil"/>
              <w:right w:val="single" w:sz="4" w:space="0" w:color="auto"/>
            </w:tcBorders>
            <w:shd w:val="clear" w:color="auto" w:fill="auto"/>
            <w:noWrap/>
            <w:vAlign w:val="center"/>
            <w:hideMark/>
          </w:tcPr>
          <w:p w14:paraId="1D2B5044" w14:textId="77777777" w:rsidR="000D6168" w:rsidRPr="000A5942" w:rsidRDefault="000D6168" w:rsidP="00323FD6">
            <w:pPr>
              <w:rPr>
                <w:rFonts w:ascii="Calibri" w:hAnsi="Calibri" w:cs="Calibri"/>
              </w:rPr>
            </w:pPr>
          </w:p>
        </w:tc>
      </w:tr>
      <w:tr w:rsidR="000D6168" w:rsidRPr="000A5942" w14:paraId="0EEFF9CB" w14:textId="77777777" w:rsidTr="00323FD6">
        <w:trPr>
          <w:trHeight w:val="290"/>
          <w:jc w:val="center"/>
        </w:trPr>
        <w:tc>
          <w:tcPr>
            <w:tcW w:w="971" w:type="pct"/>
            <w:gridSpan w:val="2"/>
            <w:vMerge/>
            <w:tcBorders>
              <w:left w:val="single" w:sz="4" w:space="0" w:color="auto"/>
              <w:right w:val="nil"/>
            </w:tcBorders>
            <w:shd w:val="clear" w:color="auto" w:fill="auto"/>
            <w:noWrap/>
            <w:vAlign w:val="center"/>
            <w:hideMark/>
          </w:tcPr>
          <w:p w14:paraId="69769892"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05C80577" w14:textId="77777777" w:rsidR="000D6168" w:rsidRPr="000A5942" w:rsidRDefault="000D6168" w:rsidP="00323FD6">
            <w:pPr>
              <w:rPr>
                <w:rFonts w:ascii="Calibri" w:hAnsi="Calibri" w:cs="Calibri"/>
              </w:rPr>
            </w:pPr>
            <w:r w:rsidRPr="000A5942">
              <w:rPr>
                <w:rFonts w:ascii="Calibri" w:hAnsi="Calibri" w:cs="Calibri"/>
              </w:rPr>
              <w:t>Ga0124421_114</w:t>
            </w:r>
          </w:p>
        </w:tc>
        <w:tc>
          <w:tcPr>
            <w:tcW w:w="313" w:type="pct"/>
            <w:tcBorders>
              <w:top w:val="nil"/>
              <w:left w:val="nil"/>
              <w:bottom w:val="nil"/>
              <w:right w:val="nil"/>
            </w:tcBorders>
            <w:shd w:val="clear" w:color="auto" w:fill="auto"/>
            <w:noWrap/>
            <w:vAlign w:val="center"/>
            <w:hideMark/>
          </w:tcPr>
          <w:p w14:paraId="65865356"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6D37F16A" w14:textId="77777777" w:rsidR="000D6168" w:rsidRPr="000A5942" w:rsidRDefault="000D6168" w:rsidP="00323FD6">
            <w:pPr>
              <w:rPr>
                <w:rFonts w:ascii="Calibri" w:hAnsi="Calibri" w:cs="Calibri"/>
              </w:rPr>
            </w:pPr>
            <w:r w:rsidRPr="000A5942">
              <w:rPr>
                <w:rFonts w:ascii="Calibri" w:hAnsi="Calibri" w:cs="Calibri"/>
              </w:rPr>
              <w:t>polyphosphate kinase 2, PA0141 family</w:t>
            </w:r>
          </w:p>
        </w:tc>
        <w:tc>
          <w:tcPr>
            <w:tcW w:w="625" w:type="pct"/>
            <w:tcBorders>
              <w:top w:val="nil"/>
              <w:left w:val="nil"/>
              <w:bottom w:val="nil"/>
              <w:right w:val="nil"/>
            </w:tcBorders>
            <w:shd w:val="clear" w:color="auto" w:fill="auto"/>
            <w:noWrap/>
            <w:vAlign w:val="center"/>
            <w:hideMark/>
          </w:tcPr>
          <w:p w14:paraId="16357449" w14:textId="77777777" w:rsidR="000D6168" w:rsidRPr="000A5942" w:rsidRDefault="000D6168" w:rsidP="00323FD6">
            <w:pPr>
              <w:rPr>
                <w:rFonts w:ascii="Calibri" w:hAnsi="Calibri" w:cs="Calibri"/>
              </w:rPr>
            </w:pPr>
            <w:r w:rsidRPr="000A5942">
              <w:rPr>
                <w:rFonts w:ascii="Calibri" w:hAnsi="Calibri" w:cs="Calibri"/>
              </w:rPr>
              <w:t xml:space="preserve">DNA-binding transcriptional regulator, </w:t>
            </w:r>
            <w:proofErr w:type="spellStart"/>
            <w:r w:rsidRPr="000A5942">
              <w:rPr>
                <w:rFonts w:ascii="Calibri" w:hAnsi="Calibri" w:cs="Calibri"/>
              </w:rPr>
              <w:t>Lrp</w:t>
            </w:r>
            <w:proofErr w:type="spellEnd"/>
            <w:r w:rsidRPr="000A5942">
              <w:rPr>
                <w:rFonts w:ascii="Calibri" w:hAnsi="Calibri" w:cs="Calibri"/>
              </w:rPr>
              <w:t xml:space="preserve"> family</w:t>
            </w:r>
          </w:p>
        </w:tc>
        <w:tc>
          <w:tcPr>
            <w:tcW w:w="453" w:type="pct"/>
            <w:tcBorders>
              <w:top w:val="nil"/>
              <w:left w:val="nil"/>
              <w:bottom w:val="nil"/>
              <w:right w:val="nil"/>
            </w:tcBorders>
            <w:shd w:val="clear" w:color="auto" w:fill="auto"/>
            <w:noWrap/>
            <w:vAlign w:val="center"/>
            <w:hideMark/>
          </w:tcPr>
          <w:p w14:paraId="1BBAC2E7" w14:textId="77777777" w:rsidR="000D6168" w:rsidRPr="000A5942" w:rsidRDefault="000D6168" w:rsidP="00323FD6">
            <w:pPr>
              <w:rPr>
                <w:rFonts w:ascii="Calibri" w:hAnsi="Calibri" w:cs="Calibri"/>
              </w:rPr>
            </w:pPr>
            <w:r w:rsidRPr="000A5942">
              <w:rPr>
                <w:rFonts w:ascii="Calibri" w:hAnsi="Calibri" w:cs="Calibri"/>
              </w:rPr>
              <w:t>1422</w:t>
            </w:r>
          </w:p>
        </w:tc>
        <w:tc>
          <w:tcPr>
            <w:tcW w:w="311" w:type="pct"/>
            <w:tcBorders>
              <w:top w:val="nil"/>
              <w:left w:val="nil"/>
              <w:bottom w:val="nil"/>
              <w:right w:val="nil"/>
            </w:tcBorders>
            <w:shd w:val="clear" w:color="auto" w:fill="auto"/>
            <w:noWrap/>
            <w:vAlign w:val="center"/>
            <w:hideMark/>
          </w:tcPr>
          <w:p w14:paraId="66D3DC1A" w14:textId="77777777" w:rsidR="000D6168" w:rsidRPr="000A5942" w:rsidRDefault="000D6168" w:rsidP="00323FD6">
            <w:pPr>
              <w:rPr>
                <w:rFonts w:ascii="Calibri" w:hAnsi="Calibri" w:cs="Calibri"/>
              </w:rPr>
            </w:pPr>
            <w:r w:rsidRPr="000A5942">
              <w:rPr>
                <w:rFonts w:ascii="Calibri" w:hAnsi="Calibri" w:cs="Calibri"/>
              </w:rPr>
              <w:t>449</w:t>
            </w:r>
          </w:p>
        </w:tc>
        <w:tc>
          <w:tcPr>
            <w:tcW w:w="280" w:type="pct"/>
            <w:tcBorders>
              <w:top w:val="nil"/>
              <w:left w:val="nil"/>
              <w:bottom w:val="nil"/>
              <w:right w:val="nil"/>
            </w:tcBorders>
            <w:shd w:val="clear" w:color="auto" w:fill="auto"/>
            <w:noWrap/>
            <w:vAlign w:val="center"/>
            <w:hideMark/>
          </w:tcPr>
          <w:p w14:paraId="68AFB685" w14:textId="77777777" w:rsidR="000D6168" w:rsidRPr="000A5942" w:rsidRDefault="000D6168" w:rsidP="00323FD6">
            <w:pPr>
              <w:rPr>
                <w:rFonts w:ascii="Calibri" w:hAnsi="Calibri" w:cs="Calibri"/>
              </w:rPr>
            </w:pPr>
            <w:r w:rsidRPr="000A5942">
              <w:rPr>
                <w:rFonts w:ascii="Calibri" w:hAnsi="Calibri" w:cs="Calibri"/>
              </w:rPr>
              <w:t>15.4</w:t>
            </w:r>
          </w:p>
        </w:tc>
        <w:tc>
          <w:tcPr>
            <w:tcW w:w="1040" w:type="pct"/>
            <w:gridSpan w:val="3"/>
            <w:vMerge/>
            <w:tcBorders>
              <w:left w:val="nil"/>
              <w:right w:val="single" w:sz="4" w:space="0" w:color="auto"/>
            </w:tcBorders>
            <w:shd w:val="clear" w:color="auto" w:fill="auto"/>
            <w:noWrap/>
            <w:vAlign w:val="center"/>
            <w:hideMark/>
          </w:tcPr>
          <w:p w14:paraId="37FA0DCB" w14:textId="77777777" w:rsidR="000D6168" w:rsidRPr="000A5942" w:rsidRDefault="000D6168" w:rsidP="00323FD6">
            <w:pPr>
              <w:rPr>
                <w:rFonts w:ascii="Calibri" w:hAnsi="Calibri" w:cs="Calibri"/>
              </w:rPr>
            </w:pPr>
          </w:p>
        </w:tc>
      </w:tr>
      <w:tr w:rsidR="000D6168" w:rsidRPr="000A5942" w14:paraId="6541282B" w14:textId="77777777" w:rsidTr="00323FD6">
        <w:trPr>
          <w:trHeight w:val="290"/>
          <w:jc w:val="center"/>
        </w:trPr>
        <w:tc>
          <w:tcPr>
            <w:tcW w:w="971" w:type="pct"/>
            <w:gridSpan w:val="2"/>
            <w:vMerge/>
            <w:tcBorders>
              <w:left w:val="single" w:sz="4" w:space="0" w:color="auto"/>
              <w:right w:val="nil"/>
            </w:tcBorders>
            <w:shd w:val="clear" w:color="auto" w:fill="auto"/>
            <w:noWrap/>
            <w:vAlign w:val="center"/>
            <w:hideMark/>
          </w:tcPr>
          <w:p w14:paraId="274E9A71" w14:textId="77777777" w:rsidR="000D6168" w:rsidRPr="000A5942" w:rsidRDefault="000D6168" w:rsidP="00323FD6">
            <w:pPr>
              <w:rPr>
                <w:rFonts w:ascii="Calibri" w:hAnsi="Calibri" w:cs="Calibri"/>
                <w:color w:val="BFBFBF"/>
              </w:rPr>
            </w:pPr>
          </w:p>
        </w:tc>
        <w:tc>
          <w:tcPr>
            <w:tcW w:w="347" w:type="pct"/>
            <w:tcBorders>
              <w:top w:val="nil"/>
              <w:left w:val="nil"/>
              <w:bottom w:val="nil"/>
              <w:right w:val="nil"/>
            </w:tcBorders>
            <w:shd w:val="clear" w:color="auto" w:fill="auto"/>
            <w:noWrap/>
            <w:vAlign w:val="center"/>
            <w:hideMark/>
          </w:tcPr>
          <w:p w14:paraId="0D87B5A6" w14:textId="77777777" w:rsidR="000D6168" w:rsidRPr="000A5942" w:rsidRDefault="000D6168" w:rsidP="00323FD6">
            <w:pPr>
              <w:rPr>
                <w:rFonts w:ascii="Calibri" w:hAnsi="Calibri" w:cs="Calibri"/>
              </w:rPr>
            </w:pPr>
            <w:r w:rsidRPr="000A5942">
              <w:rPr>
                <w:rFonts w:ascii="Calibri" w:hAnsi="Calibri" w:cs="Calibri"/>
              </w:rPr>
              <w:t>Ga0124421_101</w:t>
            </w:r>
          </w:p>
        </w:tc>
        <w:tc>
          <w:tcPr>
            <w:tcW w:w="313" w:type="pct"/>
            <w:tcBorders>
              <w:top w:val="nil"/>
              <w:left w:val="nil"/>
              <w:bottom w:val="nil"/>
              <w:right w:val="nil"/>
            </w:tcBorders>
            <w:shd w:val="clear" w:color="auto" w:fill="auto"/>
            <w:noWrap/>
            <w:vAlign w:val="center"/>
            <w:hideMark/>
          </w:tcPr>
          <w:p w14:paraId="2A50578E"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nil"/>
              <w:right w:val="nil"/>
            </w:tcBorders>
            <w:shd w:val="clear" w:color="auto" w:fill="auto"/>
            <w:noWrap/>
            <w:vAlign w:val="center"/>
            <w:hideMark/>
          </w:tcPr>
          <w:p w14:paraId="673BA98A"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625" w:type="pct"/>
            <w:tcBorders>
              <w:top w:val="nil"/>
              <w:left w:val="nil"/>
              <w:bottom w:val="nil"/>
              <w:right w:val="nil"/>
            </w:tcBorders>
            <w:shd w:val="clear" w:color="auto" w:fill="auto"/>
            <w:noWrap/>
            <w:vAlign w:val="center"/>
            <w:hideMark/>
          </w:tcPr>
          <w:p w14:paraId="76E413DB" w14:textId="77777777" w:rsidR="000D6168" w:rsidRPr="000A5942" w:rsidRDefault="000D6168" w:rsidP="00323FD6">
            <w:pPr>
              <w:rPr>
                <w:rFonts w:ascii="Calibri" w:hAnsi="Calibri" w:cs="Calibri"/>
              </w:rPr>
            </w:pPr>
            <w:r w:rsidRPr="000A5942">
              <w:rPr>
                <w:rFonts w:ascii="Calibri" w:hAnsi="Calibri" w:cs="Calibri"/>
              </w:rPr>
              <w:t>Sporulation related domain-</w:t>
            </w:r>
            <w:r w:rsidRPr="000A5942">
              <w:rPr>
                <w:rFonts w:ascii="Calibri" w:hAnsi="Calibri" w:cs="Calibri"/>
              </w:rPr>
              <w:lastRenderedPageBreak/>
              <w:t>containing protein</w:t>
            </w:r>
          </w:p>
        </w:tc>
        <w:tc>
          <w:tcPr>
            <w:tcW w:w="453" w:type="pct"/>
            <w:tcBorders>
              <w:top w:val="nil"/>
              <w:left w:val="nil"/>
              <w:bottom w:val="nil"/>
              <w:right w:val="nil"/>
            </w:tcBorders>
            <w:shd w:val="clear" w:color="auto" w:fill="auto"/>
            <w:noWrap/>
            <w:vAlign w:val="center"/>
            <w:hideMark/>
          </w:tcPr>
          <w:p w14:paraId="26DABB03" w14:textId="77777777" w:rsidR="000D6168" w:rsidRPr="000A5942" w:rsidRDefault="000D6168" w:rsidP="00323FD6">
            <w:pPr>
              <w:rPr>
                <w:rFonts w:ascii="Calibri" w:hAnsi="Calibri" w:cs="Calibri"/>
              </w:rPr>
            </w:pPr>
            <w:r w:rsidRPr="000A5942">
              <w:rPr>
                <w:rFonts w:ascii="Calibri" w:hAnsi="Calibri" w:cs="Calibri"/>
              </w:rPr>
              <w:lastRenderedPageBreak/>
              <w:t>947</w:t>
            </w:r>
          </w:p>
        </w:tc>
        <w:tc>
          <w:tcPr>
            <w:tcW w:w="311" w:type="pct"/>
            <w:tcBorders>
              <w:top w:val="nil"/>
              <w:left w:val="nil"/>
              <w:bottom w:val="nil"/>
              <w:right w:val="nil"/>
            </w:tcBorders>
            <w:shd w:val="clear" w:color="auto" w:fill="auto"/>
            <w:noWrap/>
            <w:vAlign w:val="center"/>
            <w:hideMark/>
          </w:tcPr>
          <w:p w14:paraId="30451EB5" w14:textId="77777777" w:rsidR="000D6168" w:rsidRPr="000A5942" w:rsidRDefault="000D6168" w:rsidP="00323FD6">
            <w:pPr>
              <w:rPr>
                <w:rFonts w:ascii="Calibri" w:hAnsi="Calibri" w:cs="Calibri"/>
              </w:rPr>
            </w:pPr>
            <w:r w:rsidRPr="000A5942">
              <w:rPr>
                <w:rFonts w:ascii="Calibri" w:hAnsi="Calibri" w:cs="Calibri"/>
              </w:rPr>
              <w:t>1063</w:t>
            </w:r>
          </w:p>
        </w:tc>
        <w:tc>
          <w:tcPr>
            <w:tcW w:w="280" w:type="pct"/>
            <w:tcBorders>
              <w:top w:val="nil"/>
              <w:left w:val="nil"/>
              <w:bottom w:val="nil"/>
              <w:right w:val="nil"/>
            </w:tcBorders>
            <w:shd w:val="clear" w:color="auto" w:fill="auto"/>
            <w:noWrap/>
            <w:vAlign w:val="center"/>
            <w:hideMark/>
          </w:tcPr>
          <w:p w14:paraId="66B7DD91" w14:textId="77777777" w:rsidR="000D6168" w:rsidRPr="000A5942" w:rsidRDefault="000D6168" w:rsidP="00323FD6">
            <w:pPr>
              <w:rPr>
                <w:rFonts w:ascii="Calibri" w:hAnsi="Calibri" w:cs="Calibri"/>
              </w:rPr>
            </w:pPr>
            <w:r w:rsidRPr="000A5942">
              <w:rPr>
                <w:rFonts w:ascii="Calibri" w:hAnsi="Calibri" w:cs="Calibri"/>
              </w:rPr>
              <w:t>13.4</w:t>
            </w:r>
          </w:p>
        </w:tc>
        <w:tc>
          <w:tcPr>
            <w:tcW w:w="1040" w:type="pct"/>
            <w:gridSpan w:val="3"/>
            <w:vMerge/>
            <w:tcBorders>
              <w:left w:val="nil"/>
              <w:right w:val="single" w:sz="4" w:space="0" w:color="auto"/>
            </w:tcBorders>
            <w:shd w:val="clear" w:color="auto" w:fill="auto"/>
            <w:noWrap/>
            <w:vAlign w:val="center"/>
            <w:hideMark/>
          </w:tcPr>
          <w:p w14:paraId="36BBFF62" w14:textId="77777777" w:rsidR="000D6168" w:rsidRPr="000A5942" w:rsidRDefault="000D6168" w:rsidP="00323FD6">
            <w:pPr>
              <w:rPr>
                <w:rFonts w:ascii="Calibri" w:hAnsi="Calibri" w:cs="Calibri"/>
              </w:rPr>
            </w:pPr>
          </w:p>
        </w:tc>
      </w:tr>
      <w:tr w:rsidR="000D6168" w:rsidRPr="000A5942" w14:paraId="42037CA6" w14:textId="77777777" w:rsidTr="00323FD6">
        <w:trPr>
          <w:trHeight w:val="290"/>
          <w:jc w:val="center"/>
        </w:trPr>
        <w:tc>
          <w:tcPr>
            <w:tcW w:w="971" w:type="pct"/>
            <w:gridSpan w:val="2"/>
            <w:vMerge/>
            <w:tcBorders>
              <w:left w:val="single" w:sz="4" w:space="0" w:color="auto"/>
              <w:bottom w:val="single" w:sz="4" w:space="0" w:color="auto"/>
              <w:right w:val="nil"/>
            </w:tcBorders>
            <w:shd w:val="clear" w:color="auto" w:fill="auto"/>
            <w:noWrap/>
            <w:vAlign w:val="center"/>
            <w:hideMark/>
          </w:tcPr>
          <w:p w14:paraId="0FAEE419" w14:textId="77777777" w:rsidR="000D6168" w:rsidRPr="000A5942" w:rsidRDefault="000D6168" w:rsidP="00323FD6">
            <w:pPr>
              <w:rPr>
                <w:rFonts w:ascii="Calibri" w:hAnsi="Calibri" w:cs="Calibri"/>
                <w:color w:val="BFBFBF"/>
              </w:rPr>
            </w:pPr>
          </w:p>
        </w:tc>
        <w:tc>
          <w:tcPr>
            <w:tcW w:w="347" w:type="pct"/>
            <w:tcBorders>
              <w:top w:val="nil"/>
              <w:left w:val="nil"/>
              <w:bottom w:val="single" w:sz="4" w:space="0" w:color="auto"/>
              <w:right w:val="nil"/>
            </w:tcBorders>
            <w:shd w:val="clear" w:color="auto" w:fill="auto"/>
            <w:noWrap/>
            <w:vAlign w:val="center"/>
            <w:hideMark/>
          </w:tcPr>
          <w:p w14:paraId="43714AD4" w14:textId="77777777" w:rsidR="000D6168" w:rsidRPr="000A5942" w:rsidRDefault="000D6168" w:rsidP="00323FD6">
            <w:pPr>
              <w:rPr>
                <w:rFonts w:ascii="Calibri" w:hAnsi="Calibri" w:cs="Calibri"/>
              </w:rPr>
            </w:pPr>
            <w:r w:rsidRPr="000A5942">
              <w:rPr>
                <w:rFonts w:ascii="Calibri" w:hAnsi="Calibri" w:cs="Calibri"/>
              </w:rPr>
              <w:t>Ga0124421_116</w:t>
            </w:r>
          </w:p>
        </w:tc>
        <w:tc>
          <w:tcPr>
            <w:tcW w:w="313" w:type="pct"/>
            <w:tcBorders>
              <w:top w:val="nil"/>
              <w:left w:val="nil"/>
              <w:bottom w:val="single" w:sz="4" w:space="0" w:color="auto"/>
              <w:right w:val="nil"/>
            </w:tcBorders>
            <w:shd w:val="clear" w:color="auto" w:fill="auto"/>
            <w:noWrap/>
            <w:vAlign w:val="center"/>
            <w:hideMark/>
          </w:tcPr>
          <w:p w14:paraId="6C50863F" w14:textId="77777777" w:rsidR="000D6168" w:rsidRPr="000A5942" w:rsidRDefault="000D6168" w:rsidP="00323FD6">
            <w:pPr>
              <w:rPr>
                <w:rFonts w:ascii="Calibri" w:hAnsi="Calibri" w:cs="Calibri"/>
              </w:rPr>
            </w:pPr>
            <w:r w:rsidRPr="000A5942">
              <w:rPr>
                <w:rFonts w:ascii="Calibri" w:hAnsi="Calibri" w:cs="Calibri"/>
              </w:rPr>
              <w:t>-</w:t>
            </w:r>
          </w:p>
        </w:tc>
        <w:tc>
          <w:tcPr>
            <w:tcW w:w="660" w:type="pct"/>
            <w:tcBorders>
              <w:top w:val="nil"/>
              <w:left w:val="nil"/>
              <w:bottom w:val="single" w:sz="4" w:space="0" w:color="auto"/>
              <w:right w:val="nil"/>
            </w:tcBorders>
            <w:shd w:val="clear" w:color="auto" w:fill="auto"/>
            <w:noWrap/>
            <w:vAlign w:val="center"/>
            <w:hideMark/>
          </w:tcPr>
          <w:p w14:paraId="683B19EB" w14:textId="77777777" w:rsidR="000D6168" w:rsidRPr="000A5942" w:rsidRDefault="000D6168" w:rsidP="00323FD6">
            <w:pPr>
              <w:rPr>
                <w:rFonts w:ascii="Calibri" w:hAnsi="Calibri" w:cs="Calibri"/>
              </w:rPr>
            </w:pPr>
            <w:r w:rsidRPr="000A5942">
              <w:rPr>
                <w:rFonts w:ascii="Calibri" w:hAnsi="Calibri" w:cs="Calibri"/>
              </w:rPr>
              <w:t>superoxide dismutase, Fe-Mn family</w:t>
            </w:r>
          </w:p>
        </w:tc>
        <w:tc>
          <w:tcPr>
            <w:tcW w:w="625" w:type="pct"/>
            <w:tcBorders>
              <w:top w:val="nil"/>
              <w:left w:val="nil"/>
              <w:bottom w:val="single" w:sz="4" w:space="0" w:color="auto"/>
              <w:right w:val="nil"/>
            </w:tcBorders>
            <w:shd w:val="clear" w:color="auto" w:fill="auto"/>
            <w:noWrap/>
            <w:vAlign w:val="center"/>
            <w:hideMark/>
          </w:tcPr>
          <w:p w14:paraId="3E5E301A" w14:textId="77777777" w:rsidR="000D6168" w:rsidRPr="000A5942" w:rsidRDefault="000D6168" w:rsidP="00323FD6">
            <w:pPr>
              <w:rPr>
                <w:rFonts w:ascii="Calibri" w:hAnsi="Calibri" w:cs="Calibri"/>
              </w:rPr>
            </w:pPr>
            <w:r w:rsidRPr="000A5942">
              <w:rPr>
                <w:rFonts w:ascii="Calibri" w:hAnsi="Calibri" w:cs="Calibri"/>
              </w:rPr>
              <w:t>hypothetical protein</w:t>
            </w:r>
          </w:p>
        </w:tc>
        <w:tc>
          <w:tcPr>
            <w:tcW w:w="453" w:type="pct"/>
            <w:tcBorders>
              <w:top w:val="nil"/>
              <w:left w:val="nil"/>
              <w:bottom w:val="single" w:sz="4" w:space="0" w:color="auto"/>
              <w:right w:val="nil"/>
            </w:tcBorders>
            <w:shd w:val="clear" w:color="auto" w:fill="auto"/>
            <w:noWrap/>
            <w:vAlign w:val="center"/>
            <w:hideMark/>
          </w:tcPr>
          <w:p w14:paraId="3E682638" w14:textId="77777777" w:rsidR="000D6168" w:rsidRPr="000A5942" w:rsidRDefault="000D6168" w:rsidP="00323FD6">
            <w:pPr>
              <w:rPr>
                <w:rFonts w:ascii="Calibri" w:hAnsi="Calibri" w:cs="Calibri"/>
              </w:rPr>
            </w:pPr>
            <w:r w:rsidRPr="000A5942">
              <w:rPr>
                <w:rFonts w:ascii="Calibri" w:hAnsi="Calibri" w:cs="Calibri"/>
              </w:rPr>
              <w:t>438</w:t>
            </w:r>
          </w:p>
        </w:tc>
        <w:tc>
          <w:tcPr>
            <w:tcW w:w="311" w:type="pct"/>
            <w:tcBorders>
              <w:top w:val="nil"/>
              <w:left w:val="nil"/>
              <w:bottom w:val="single" w:sz="4" w:space="0" w:color="auto"/>
              <w:right w:val="nil"/>
            </w:tcBorders>
            <w:shd w:val="clear" w:color="auto" w:fill="auto"/>
            <w:noWrap/>
            <w:vAlign w:val="center"/>
            <w:hideMark/>
          </w:tcPr>
          <w:p w14:paraId="3C8F04D7" w14:textId="77777777" w:rsidR="000D6168" w:rsidRPr="000A5942" w:rsidRDefault="000D6168" w:rsidP="00323FD6">
            <w:pPr>
              <w:rPr>
                <w:rFonts w:ascii="Calibri" w:hAnsi="Calibri" w:cs="Calibri"/>
              </w:rPr>
            </w:pPr>
            <w:r w:rsidRPr="000A5942">
              <w:rPr>
                <w:rFonts w:ascii="Calibri" w:hAnsi="Calibri" w:cs="Calibri"/>
              </w:rPr>
              <w:t>235</w:t>
            </w:r>
          </w:p>
        </w:tc>
        <w:tc>
          <w:tcPr>
            <w:tcW w:w="280" w:type="pct"/>
            <w:tcBorders>
              <w:top w:val="nil"/>
              <w:left w:val="nil"/>
              <w:bottom w:val="single" w:sz="4" w:space="0" w:color="auto"/>
              <w:right w:val="nil"/>
            </w:tcBorders>
            <w:shd w:val="clear" w:color="auto" w:fill="auto"/>
            <w:noWrap/>
            <w:vAlign w:val="center"/>
            <w:hideMark/>
          </w:tcPr>
          <w:p w14:paraId="55B9856B" w14:textId="77777777" w:rsidR="000D6168" w:rsidRPr="000A5942" w:rsidRDefault="000D6168" w:rsidP="00323FD6">
            <w:pPr>
              <w:rPr>
                <w:rFonts w:ascii="Calibri" w:hAnsi="Calibri" w:cs="Calibri"/>
              </w:rPr>
            </w:pPr>
            <w:r w:rsidRPr="000A5942">
              <w:rPr>
                <w:rFonts w:ascii="Calibri" w:hAnsi="Calibri" w:cs="Calibri"/>
              </w:rPr>
              <w:t>11.7</w:t>
            </w:r>
          </w:p>
        </w:tc>
        <w:tc>
          <w:tcPr>
            <w:tcW w:w="1040" w:type="pct"/>
            <w:gridSpan w:val="3"/>
            <w:vMerge/>
            <w:tcBorders>
              <w:left w:val="nil"/>
              <w:bottom w:val="single" w:sz="4" w:space="0" w:color="auto"/>
              <w:right w:val="single" w:sz="4" w:space="0" w:color="auto"/>
            </w:tcBorders>
            <w:shd w:val="clear" w:color="auto" w:fill="auto"/>
            <w:noWrap/>
            <w:vAlign w:val="center"/>
            <w:hideMark/>
          </w:tcPr>
          <w:p w14:paraId="4940477E" w14:textId="77777777" w:rsidR="000D6168" w:rsidRPr="000A5942" w:rsidRDefault="000D6168" w:rsidP="00323FD6">
            <w:pPr>
              <w:rPr>
                <w:rFonts w:ascii="Calibri" w:hAnsi="Calibri" w:cs="Calibri"/>
              </w:rPr>
            </w:pPr>
          </w:p>
        </w:tc>
      </w:tr>
      <w:tr w:rsidR="000D6168" w:rsidRPr="000A5942" w14:paraId="04668DD8" w14:textId="77777777" w:rsidTr="00323FD6">
        <w:trPr>
          <w:trHeight w:val="290"/>
          <w:jc w:val="center"/>
        </w:trPr>
        <w:tc>
          <w:tcPr>
            <w:tcW w:w="519" w:type="pct"/>
            <w:tcBorders>
              <w:top w:val="nil"/>
              <w:left w:val="single" w:sz="4" w:space="0" w:color="auto"/>
              <w:bottom w:val="single" w:sz="4" w:space="0" w:color="auto"/>
              <w:right w:val="nil"/>
            </w:tcBorders>
            <w:shd w:val="clear" w:color="auto" w:fill="auto"/>
            <w:noWrap/>
            <w:vAlign w:val="center"/>
            <w:hideMark/>
          </w:tcPr>
          <w:p w14:paraId="1AD1B7E9" w14:textId="77777777" w:rsidR="000D6168" w:rsidRPr="000A5942" w:rsidRDefault="000D6168" w:rsidP="00323FD6">
            <w:pPr>
              <w:rPr>
                <w:rFonts w:ascii="Calibri" w:hAnsi="Calibri" w:cs="Calibri"/>
              </w:rPr>
            </w:pPr>
            <w:r w:rsidRPr="000A5942">
              <w:rPr>
                <w:rFonts w:ascii="Calibri" w:hAnsi="Calibri" w:cs="Calibri"/>
              </w:rPr>
              <w:t>2521172622</w:t>
            </w:r>
          </w:p>
        </w:tc>
        <w:tc>
          <w:tcPr>
            <w:tcW w:w="452" w:type="pct"/>
            <w:tcBorders>
              <w:top w:val="nil"/>
              <w:left w:val="nil"/>
              <w:bottom w:val="single" w:sz="4" w:space="0" w:color="auto"/>
              <w:right w:val="nil"/>
            </w:tcBorders>
            <w:shd w:val="clear" w:color="auto" w:fill="auto"/>
            <w:noWrap/>
            <w:vAlign w:val="center"/>
            <w:hideMark/>
          </w:tcPr>
          <w:p w14:paraId="7A8923AF" w14:textId="77777777" w:rsidR="000D6168" w:rsidRPr="000A5942" w:rsidRDefault="000D6168" w:rsidP="00323FD6">
            <w:pPr>
              <w:rPr>
                <w:rFonts w:ascii="Calibri" w:hAnsi="Calibri" w:cs="Calibri"/>
              </w:rPr>
            </w:pPr>
            <w:proofErr w:type="spellStart"/>
            <w:r w:rsidRPr="000A5942">
              <w:rPr>
                <w:rFonts w:ascii="Calibri" w:hAnsi="Calibri" w:cs="Calibri"/>
              </w:rPr>
              <w:t>Pseudophaeobacter</w:t>
            </w:r>
            <w:proofErr w:type="spellEnd"/>
            <w:r w:rsidRPr="000A5942">
              <w:rPr>
                <w:rFonts w:ascii="Calibri" w:hAnsi="Calibri" w:cs="Calibri"/>
              </w:rPr>
              <w:t xml:space="preserve"> arcticus DSM 23566</w:t>
            </w:r>
          </w:p>
        </w:tc>
        <w:tc>
          <w:tcPr>
            <w:tcW w:w="347" w:type="pct"/>
            <w:tcBorders>
              <w:top w:val="nil"/>
              <w:left w:val="nil"/>
              <w:bottom w:val="single" w:sz="4" w:space="0" w:color="auto"/>
              <w:right w:val="nil"/>
            </w:tcBorders>
            <w:shd w:val="clear" w:color="auto" w:fill="auto"/>
            <w:noWrap/>
            <w:vAlign w:val="center"/>
            <w:hideMark/>
          </w:tcPr>
          <w:p w14:paraId="7A2AD9B2" w14:textId="77777777" w:rsidR="000D6168" w:rsidRPr="000A5942" w:rsidRDefault="000D6168" w:rsidP="00323FD6">
            <w:pPr>
              <w:rPr>
                <w:rFonts w:ascii="Calibri" w:hAnsi="Calibri" w:cs="Calibri"/>
              </w:rPr>
            </w:pPr>
            <w:r w:rsidRPr="000A5942">
              <w:rPr>
                <w:rFonts w:ascii="Calibri" w:hAnsi="Calibri" w:cs="Calibri"/>
              </w:rPr>
              <w:t>NA</w:t>
            </w:r>
          </w:p>
        </w:tc>
        <w:tc>
          <w:tcPr>
            <w:tcW w:w="313" w:type="pct"/>
            <w:tcBorders>
              <w:top w:val="nil"/>
              <w:left w:val="nil"/>
              <w:bottom w:val="single" w:sz="4" w:space="0" w:color="auto"/>
              <w:right w:val="nil"/>
            </w:tcBorders>
            <w:shd w:val="clear" w:color="auto" w:fill="auto"/>
            <w:noWrap/>
            <w:vAlign w:val="center"/>
            <w:hideMark/>
          </w:tcPr>
          <w:p w14:paraId="58EE7BDF" w14:textId="77777777" w:rsidR="000D6168" w:rsidRPr="000A5942" w:rsidRDefault="000D6168" w:rsidP="00323FD6">
            <w:pPr>
              <w:rPr>
                <w:rFonts w:ascii="Calibri" w:hAnsi="Calibri" w:cs="Calibri"/>
              </w:rPr>
            </w:pPr>
            <w:r w:rsidRPr="000A5942">
              <w:rPr>
                <w:rFonts w:ascii="Calibri" w:hAnsi="Calibri" w:cs="Calibri"/>
              </w:rPr>
              <w:t>NA</w:t>
            </w:r>
          </w:p>
        </w:tc>
        <w:tc>
          <w:tcPr>
            <w:tcW w:w="660" w:type="pct"/>
            <w:tcBorders>
              <w:top w:val="nil"/>
              <w:left w:val="nil"/>
              <w:bottom w:val="single" w:sz="4" w:space="0" w:color="auto"/>
              <w:right w:val="nil"/>
            </w:tcBorders>
            <w:shd w:val="clear" w:color="auto" w:fill="auto"/>
            <w:noWrap/>
            <w:vAlign w:val="center"/>
            <w:hideMark/>
          </w:tcPr>
          <w:p w14:paraId="5012FDBE" w14:textId="77777777" w:rsidR="000D6168" w:rsidRPr="000A5942" w:rsidRDefault="000D6168" w:rsidP="00323FD6">
            <w:pPr>
              <w:rPr>
                <w:rFonts w:ascii="Calibri" w:hAnsi="Calibri" w:cs="Calibri"/>
              </w:rPr>
            </w:pPr>
            <w:r w:rsidRPr="000A5942">
              <w:rPr>
                <w:rFonts w:ascii="Calibri" w:hAnsi="Calibri" w:cs="Calibri"/>
              </w:rPr>
              <w:t>NA</w:t>
            </w:r>
          </w:p>
        </w:tc>
        <w:tc>
          <w:tcPr>
            <w:tcW w:w="625" w:type="pct"/>
            <w:tcBorders>
              <w:top w:val="nil"/>
              <w:left w:val="nil"/>
              <w:bottom w:val="single" w:sz="4" w:space="0" w:color="auto"/>
              <w:right w:val="nil"/>
            </w:tcBorders>
            <w:shd w:val="clear" w:color="auto" w:fill="auto"/>
            <w:noWrap/>
            <w:vAlign w:val="center"/>
            <w:hideMark/>
          </w:tcPr>
          <w:p w14:paraId="039D32CD" w14:textId="77777777" w:rsidR="000D6168" w:rsidRPr="000A5942" w:rsidRDefault="000D6168" w:rsidP="00323FD6">
            <w:pPr>
              <w:rPr>
                <w:rFonts w:ascii="Calibri" w:hAnsi="Calibri" w:cs="Calibri"/>
              </w:rPr>
            </w:pPr>
            <w:r w:rsidRPr="000A5942">
              <w:rPr>
                <w:rFonts w:ascii="Calibri" w:hAnsi="Calibri" w:cs="Calibri"/>
              </w:rPr>
              <w:t>NA</w:t>
            </w:r>
          </w:p>
        </w:tc>
        <w:tc>
          <w:tcPr>
            <w:tcW w:w="453" w:type="pct"/>
            <w:tcBorders>
              <w:top w:val="nil"/>
              <w:left w:val="nil"/>
              <w:bottom w:val="single" w:sz="4" w:space="0" w:color="auto"/>
              <w:right w:val="nil"/>
            </w:tcBorders>
            <w:shd w:val="clear" w:color="auto" w:fill="auto"/>
            <w:noWrap/>
            <w:vAlign w:val="center"/>
            <w:hideMark/>
          </w:tcPr>
          <w:p w14:paraId="40B28E9B" w14:textId="77777777" w:rsidR="000D6168" w:rsidRPr="000A5942" w:rsidRDefault="000D6168" w:rsidP="00323FD6">
            <w:pPr>
              <w:rPr>
                <w:rFonts w:ascii="Calibri" w:hAnsi="Calibri" w:cs="Calibri"/>
              </w:rPr>
            </w:pPr>
            <w:r w:rsidRPr="000A5942">
              <w:rPr>
                <w:rFonts w:ascii="Calibri" w:hAnsi="Calibri" w:cs="Calibri"/>
              </w:rPr>
              <w:t>NA</w:t>
            </w:r>
          </w:p>
        </w:tc>
        <w:tc>
          <w:tcPr>
            <w:tcW w:w="311" w:type="pct"/>
            <w:tcBorders>
              <w:top w:val="nil"/>
              <w:left w:val="nil"/>
              <w:bottom w:val="single" w:sz="4" w:space="0" w:color="auto"/>
              <w:right w:val="nil"/>
            </w:tcBorders>
            <w:shd w:val="clear" w:color="auto" w:fill="auto"/>
            <w:noWrap/>
            <w:vAlign w:val="center"/>
            <w:hideMark/>
          </w:tcPr>
          <w:p w14:paraId="1D15A9A0" w14:textId="77777777" w:rsidR="000D6168" w:rsidRPr="000A5942" w:rsidRDefault="000D6168" w:rsidP="00323FD6">
            <w:pPr>
              <w:rPr>
                <w:rFonts w:ascii="Calibri" w:hAnsi="Calibri" w:cs="Calibri"/>
              </w:rPr>
            </w:pPr>
            <w:r w:rsidRPr="000A5942">
              <w:rPr>
                <w:rFonts w:ascii="Calibri" w:hAnsi="Calibri" w:cs="Calibri"/>
              </w:rPr>
              <w:t>NA</w:t>
            </w:r>
          </w:p>
        </w:tc>
        <w:tc>
          <w:tcPr>
            <w:tcW w:w="280" w:type="pct"/>
            <w:tcBorders>
              <w:top w:val="nil"/>
              <w:left w:val="nil"/>
              <w:bottom w:val="single" w:sz="4" w:space="0" w:color="auto"/>
              <w:right w:val="nil"/>
            </w:tcBorders>
            <w:shd w:val="clear" w:color="auto" w:fill="auto"/>
            <w:noWrap/>
            <w:vAlign w:val="center"/>
            <w:hideMark/>
          </w:tcPr>
          <w:p w14:paraId="63192661" w14:textId="77777777" w:rsidR="000D6168" w:rsidRPr="000A5942" w:rsidRDefault="000D6168" w:rsidP="00323FD6">
            <w:pPr>
              <w:rPr>
                <w:rFonts w:ascii="Calibri" w:hAnsi="Calibri" w:cs="Calibri"/>
              </w:rPr>
            </w:pPr>
            <w:r w:rsidRPr="000A5942">
              <w:rPr>
                <w:rFonts w:ascii="Calibri" w:hAnsi="Calibri" w:cs="Calibri"/>
              </w:rPr>
              <w:t> </w:t>
            </w:r>
          </w:p>
        </w:tc>
        <w:tc>
          <w:tcPr>
            <w:tcW w:w="347" w:type="pct"/>
            <w:tcBorders>
              <w:top w:val="nil"/>
              <w:left w:val="nil"/>
              <w:bottom w:val="single" w:sz="4" w:space="0" w:color="auto"/>
              <w:right w:val="nil"/>
            </w:tcBorders>
            <w:shd w:val="clear" w:color="auto" w:fill="auto"/>
            <w:noWrap/>
            <w:vAlign w:val="center"/>
            <w:hideMark/>
          </w:tcPr>
          <w:p w14:paraId="56E24D79" w14:textId="77777777" w:rsidR="000D6168" w:rsidRPr="000A5942" w:rsidRDefault="000D6168" w:rsidP="00323FD6">
            <w:pPr>
              <w:rPr>
                <w:rFonts w:ascii="Calibri" w:hAnsi="Calibri" w:cs="Calibri"/>
              </w:rPr>
            </w:pPr>
            <w:r w:rsidRPr="000A5942">
              <w:rPr>
                <w:rFonts w:ascii="Calibri" w:hAnsi="Calibri" w:cs="Calibri"/>
              </w:rPr>
              <w:t>0</w:t>
            </w:r>
          </w:p>
        </w:tc>
        <w:tc>
          <w:tcPr>
            <w:tcW w:w="313" w:type="pct"/>
            <w:tcBorders>
              <w:top w:val="nil"/>
              <w:left w:val="nil"/>
              <w:bottom w:val="single" w:sz="4" w:space="0" w:color="auto"/>
              <w:right w:val="nil"/>
            </w:tcBorders>
            <w:shd w:val="clear" w:color="auto" w:fill="auto"/>
            <w:noWrap/>
            <w:vAlign w:val="center"/>
            <w:hideMark/>
          </w:tcPr>
          <w:p w14:paraId="42C30CEC" w14:textId="77777777" w:rsidR="000D6168" w:rsidRPr="000A5942" w:rsidRDefault="000D6168" w:rsidP="00323FD6">
            <w:pPr>
              <w:rPr>
                <w:rFonts w:ascii="Calibri" w:hAnsi="Calibri" w:cs="Calibri"/>
              </w:rPr>
            </w:pPr>
            <w:r w:rsidRPr="000A5942">
              <w:rPr>
                <w:rFonts w:ascii="Calibri" w:hAnsi="Calibri" w:cs="Calibri"/>
              </w:rPr>
              <w:t>4889</w:t>
            </w:r>
          </w:p>
        </w:tc>
        <w:tc>
          <w:tcPr>
            <w:tcW w:w="380" w:type="pct"/>
            <w:tcBorders>
              <w:top w:val="nil"/>
              <w:left w:val="nil"/>
              <w:bottom w:val="single" w:sz="4" w:space="0" w:color="auto"/>
              <w:right w:val="single" w:sz="4" w:space="0" w:color="auto"/>
            </w:tcBorders>
            <w:shd w:val="clear" w:color="auto" w:fill="auto"/>
            <w:noWrap/>
            <w:vAlign w:val="center"/>
            <w:hideMark/>
          </w:tcPr>
          <w:p w14:paraId="4FD39E23" w14:textId="77777777" w:rsidR="000D6168" w:rsidRPr="000A5942" w:rsidRDefault="000D6168" w:rsidP="00323FD6">
            <w:pPr>
              <w:rPr>
                <w:rFonts w:ascii="Calibri" w:hAnsi="Calibri" w:cs="Calibri"/>
              </w:rPr>
            </w:pPr>
            <w:r w:rsidRPr="000A5942">
              <w:rPr>
                <w:rFonts w:ascii="Calibri" w:hAnsi="Calibri" w:cs="Calibri"/>
              </w:rPr>
              <w:t xml:space="preserve"> 0.00%</w:t>
            </w:r>
          </w:p>
        </w:tc>
      </w:tr>
    </w:tbl>
    <w:p w14:paraId="5F5B9EB8" w14:textId="77777777" w:rsidR="00E80FF5" w:rsidRDefault="00E80FF5"/>
    <w:p w14:paraId="7C2EC85E" w14:textId="26F09A01" w:rsidR="00F8165F" w:rsidRPr="00822656" w:rsidRDefault="0097298A" w:rsidP="00F8165F">
      <w:pPr>
        <w:pStyle w:val="Caption"/>
        <w:rPr>
          <w:rFonts w:ascii="Verdana" w:hAnsi="Verdana"/>
          <w:sz w:val="20"/>
          <w:szCs w:val="20"/>
        </w:rPr>
      </w:pPr>
      <w:r>
        <w:br w:type="page"/>
      </w:r>
      <w:r w:rsidR="00257248" w:rsidRPr="00822656">
        <w:rPr>
          <w:rFonts w:ascii="Verdana" w:hAnsi="Verdana"/>
          <w:b w:val="0"/>
          <w:bCs w:val="0"/>
          <w:i/>
          <w:iCs/>
          <w:sz w:val="20"/>
          <w:szCs w:val="20"/>
        </w:rPr>
        <w:lastRenderedPageBreak/>
        <w:t xml:space="preserve"> </w:t>
      </w:r>
      <w:bookmarkStart w:id="69" w:name="_Toc83387913"/>
      <w:r w:rsidR="00F8165F" w:rsidRPr="00822656">
        <w:rPr>
          <w:rFonts w:ascii="Verdana" w:hAnsi="Verdana"/>
          <w:sz w:val="20"/>
          <w:szCs w:val="20"/>
        </w:rPr>
        <w:t xml:space="preserve">Table </w:t>
      </w:r>
      <w:r w:rsidR="00F8165F" w:rsidRPr="00822656">
        <w:rPr>
          <w:rFonts w:ascii="Verdana" w:hAnsi="Verdana"/>
          <w:sz w:val="20"/>
          <w:szCs w:val="20"/>
        </w:rPr>
        <w:fldChar w:fldCharType="begin"/>
      </w:r>
      <w:r w:rsidR="00F8165F" w:rsidRPr="00822656">
        <w:rPr>
          <w:rFonts w:ascii="Verdana" w:hAnsi="Verdana"/>
          <w:sz w:val="20"/>
          <w:szCs w:val="20"/>
        </w:rPr>
        <w:instrText xml:space="preserve"> STYLEREF 1 \s </w:instrText>
      </w:r>
      <w:r w:rsidR="00F8165F" w:rsidRPr="00822656">
        <w:rPr>
          <w:rFonts w:ascii="Verdana" w:hAnsi="Verdana"/>
          <w:sz w:val="20"/>
          <w:szCs w:val="20"/>
        </w:rPr>
        <w:fldChar w:fldCharType="separate"/>
      </w:r>
      <w:r w:rsidR="00F8165F" w:rsidRPr="00822656">
        <w:rPr>
          <w:rFonts w:ascii="Verdana" w:hAnsi="Verdana"/>
          <w:noProof/>
          <w:sz w:val="20"/>
          <w:szCs w:val="20"/>
        </w:rPr>
        <w:t>4</w:t>
      </w:r>
      <w:r w:rsidR="00F8165F" w:rsidRPr="00822656">
        <w:rPr>
          <w:rFonts w:ascii="Verdana" w:hAnsi="Verdana"/>
          <w:sz w:val="20"/>
          <w:szCs w:val="20"/>
        </w:rPr>
        <w:fldChar w:fldCharType="end"/>
      </w:r>
      <w:r w:rsidR="00F8165F" w:rsidRPr="00822656">
        <w:rPr>
          <w:rFonts w:ascii="Verdana" w:hAnsi="Verdana"/>
          <w:sz w:val="20"/>
          <w:szCs w:val="20"/>
        </w:rPr>
        <w:t>.</w:t>
      </w:r>
      <w:r w:rsidR="00F8165F" w:rsidRPr="00822656">
        <w:rPr>
          <w:rFonts w:ascii="Verdana" w:hAnsi="Verdana"/>
          <w:sz w:val="20"/>
          <w:szCs w:val="20"/>
        </w:rPr>
        <w:fldChar w:fldCharType="begin"/>
      </w:r>
      <w:r w:rsidR="00F8165F" w:rsidRPr="00822656">
        <w:rPr>
          <w:rFonts w:ascii="Verdana" w:hAnsi="Verdana"/>
          <w:sz w:val="20"/>
          <w:szCs w:val="20"/>
        </w:rPr>
        <w:instrText xml:space="preserve"> SEQ Table \* ARABIC \s 1 </w:instrText>
      </w:r>
      <w:r w:rsidR="00F8165F" w:rsidRPr="00822656">
        <w:rPr>
          <w:rFonts w:ascii="Verdana" w:hAnsi="Verdana"/>
          <w:sz w:val="20"/>
          <w:szCs w:val="20"/>
        </w:rPr>
        <w:fldChar w:fldCharType="separate"/>
      </w:r>
      <w:r w:rsidR="00F8165F" w:rsidRPr="00822656">
        <w:rPr>
          <w:rFonts w:ascii="Verdana" w:hAnsi="Verdana"/>
          <w:noProof/>
          <w:sz w:val="20"/>
          <w:szCs w:val="20"/>
        </w:rPr>
        <w:t>2</w:t>
      </w:r>
      <w:r w:rsidR="00F8165F" w:rsidRPr="00822656">
        <w:rPr>
          <w:rFonts w:ascii="Verdana" w:hAnsi="Verdana"/>
          <w:sz w:val="20"/>
          <w:szCs w:val="20"/>
        </w:rPr>
        <w:fldChar w:fldCharType="end"/>
      </w:r>
      <w:r w:rsidR="00F8165F" w:rsidRPr="00822656">
        <w:rPr>
          <w:rFonts w:ascii="Verdana" w:hAnsi="Verdana"/>
          <w:sz w:val="20"/>
          <w:szCs w:val="20"/>
        </w:rPr>
        <w:t xml:space="preserve"> Positive matches to </w:t>
      </w:r>
      <w:proofErr w:type="spellStart"/>
      <w:r w:rsidR="00F8165F" w:rsidRPr="00822656">
        <w:rPr>
          <w:rFonts w:ascii="Verdana" w:hAnsi="Verdana"/>
          <w:sz w:val="20"/>
          <w:szCs w:val="20"/>
        </w:rPr>
        <w:t>roseo</w:t>
      </w:r>
      <w:proofErr w:type="spellEnd"/>
      <w:r w:rsidR="00F8165F" w:rsidRPr="00822656">
        <w:rPr>
          <w:rFonts w:ascii="Verdana" w:hAnsi="Verdana"/>
          <w:sz w:val="20"/>
          <w:szCs w:val="20"/>
        </w:rPr>
        <w:t xml:space="preserve"> box motif 2</w:t>
      </w:r>
      <w:bookmarkEnd w:id="69"/>
    </w:p>
    <w:tbl>
      <w:tblPr>
        <w:tblW w:w="5000" w:type="pct"/>
        <w:tblLayout w:type="fixed"/>
        <w:tblLook w:val="04A0" w:firstRow="1" w:lastRow="0" w:firstColumn="1" w:lastColumn="0" w:noHBand="0" w:noVBand="1"/>
      </w:tblPr>
      <w:tblGrid>
        <w:gridCol w:w="1337"/>
        <w:gridCol w:w="1526"/>
        <w:gridCol w:w="1336"/>
        <w:gridCol w:w="805"/>
        <w:gridCol w:w="1254"/>
        <w:gridCol w:w="1430"/>
        <w:gridCol w:w="1160"/>
        <w:gridCol w:w="800"/>
        <w:gridCol w:w="622"/>
        <w:gridCol w:w="805"/>
        <w:gridCol w:w="805"/>
        <w:gridCol w:w="1070"/>
      </w:tblGrid>
      <w:tr w:rsidR="00257248" w:rsidRPr="00877650" w14:paraId="199BE408" w14:textId="77777777" w:rsidTr="00323FD6">
        <w:trPr>
          <w:trHeight w:val="290"/>
          <w:tblHeader/>
        </w:trPr>
        <w:tc>
          <w:tcPr>
            <w:tcW w:w="516" w:type="pct"/>
            <w:tcBorders>
              <w:top w:val="single" w:sz="4" w:space="0" w:color="000000"/>
              <w:left w:val="single" w:sz="4" w:space="0" w:color="000000"/>
              <w:bottom w:val="nil"/>
              <w:right w:val="nil"/>
            </w:tcBorders>
            <w:shd w:val="clear" w:color="000000" w:fill="000000"/>
            <w:noWrap/>
            <w:vAlign w:val="center"/>
            <w:hideMark/>
          </w:tcPr>
          <w:p w14:paraId="6CFF3FFF" w14:textId="77777777" w:rsidR="00257248" w:rsidRPr="00877650" w:rsidRDefault="00257248" w:rsidP="00323FD6">
            <w:pPr>
              <w:rPr>
                <w:rFonts w:ascii="Calibri" w:hAnsi="Calibri" w:cs="Calibri"/>
                <w:b/>
                <w:bCs/>
                <w:color w:val="FFFFFF"/>
              </w:rPr>
            </w:pPr>
            <w:r w:rsidRPr="00877650">
              <w:rPr>
                <w:rFonts w:ascii="Calibri" w:hAnsi="Calibri" w:cs="Calibri"/>
                <w:b/>
                <w:bCs/>
                <w:color w:val="FFFFFF"/>
              </w:rPr>
              <w:t>Genome.ID</w:t>
            </w:r>
          </w:p>
        </w:tc>
        <w:tc>
          <w:tcPr>
            <w:tcW w:w="589" w:type="pct"/>
            <w:tcBorders>
              <w:top w:val="single" w:sz="4" w:space="0" w:color="000000"/>
              <w:left w:val="nil"/>
              <w:bottom w:val="nil"/>
              <w:right w:val="nil"/>
            </w:tcBorders>
            <w:shd w:val="clear" w:color="000000" w:fill="000000"/>
            <w:noWrap/>
            <w:vAlign w:val="center"/>
            <w:hideMark/>
          </w:tcPr>
          <w:p w14:paraId="1746FDE5" w14:textId="77777777" w:rsidR="00257248" w:rsidRPr="00877650" w:rsidRDefault="00257248" w:rsidP="00323FD6">
            <w:pPr>
              <w:rPr>
                <w:rFonts w:ascii="Calibri" w:hAnsi="Calibri" w:cs="Calibri"/>
                <w:b/>
                <w:bCs/>
                <w:color w:val="FFFFFF"/>
              </w:rPr>
            </w:pPr>
            <w:r w:rsidRPr="00877650">
              <w:rPr>
                <w:rFonts w:ascii="Calibri" w:hAnsi="Calibri" w:cs="Calibri"/>
                <w:b/>
                <w:bCs/>
                <w:color w:val="FFFFFF"/>
              </w:rPr>
              <w:t>Organism Name</w:t>
            </w:r>
          </w:p>
        </w:tc>
        <w:tc>
          <w:tcPr>
            <w:tcW w:w="516" w:type="pct"/>
            <w:tcBorders>
              <w:top w:val="single" w:sz="4" w:space="0" w:color="000000"/>
              <w:left w:val="nil"/>
              <w:bottom w:val="nil"/>
              <w:right w:val="nil"/>
            </w:tcBorders>
            <w:shd w:val="clear" w:color="000000" w:fill="000000"/>
            <w:noWrap/>
            <w:vAlign w:val="center"/>
            <w:hideMark/>
          </w:tcPr>
          <w:p w14:paraId="1986FA8F" w14:textId="77777777" w:rsidR="00257248" w:rsidRPr="00877650" w:rsidRDefault="00257248" w:rsidP="00323FD6">
            <w:pPr>
              <w:rPr>
                <w:rFonts w:ascii="Calibri" w:hAnsi="Calibri" w:cs="Calibri"/>
                <w:b/>
                <w:bCs/>
                <w:color w:val="FFFFFF"/>
              </w:rPr>
            </w:pPr>
            <w:r w:rsidRPr="00877650">
              <w:rPr>
                <w:rFonts w:ascii="Calibri" w:hAnsi="Calibri" w:cs="Calibri"/>
                <w:b/>
                <w:bCs/>
                <w:color w:val="FFFFFF"/>
              </w:rPr>
              <w:t>contig</w:t>
            </w:r>
          </w:p>
        </w:tc>
        <w:tc>
          <w:tcPr>
            <w:tcW w:w="311" w:type="pct"/>
            <w:tcBorders>
              <w:top w:val="single" w:sz="4" w:space="0" w:color="000000"/>
              <w:left w:val="nil"/>
              <w:bottom w:val="nil"/>
              <w:right w:val="nil"/>
            </w:tcBorders>
            <w:shd w:val="clear" w:color="000000" w:fill="000000"/>
            <w:noWrap/>
            <w:vAlign w:val="center"/>
            <w:hideMark/>
          </w:tcPr>
          <w:p w14:paraId="6A46F48C" w14:textId="77777777" w:rsidR="00257248" w:rsidRPr="00877650" w:rsidRDefault="00257248" w:rsidP="00323FD6">
            <w:pPr>
              <w:rPr>
                <w:rFonts w:ascii="Calibri" w:hAnsi="Calibri" w:cs="Calibri"/>
                <w:b/>
                <w:bCs/>
                <w:color w:val="FFFFFF"/>
              </w:rPr>
            </w:pPr>
            <w:r w:rsidRPr="00877650">
              <w:rPr>
                <w:rFonts w:ascii="Calibri" w:hAnsi="Calibri" w:cs="Calibri"/>
                <w:b/>
                <w:bCs/>
                <w:color w:val="FFFFFF"/>
              </w:rPr>
              <w:t>strand</w:t>
            </w:r>
          </w:p>
        </w:tc>
        <w:tc>
          <w:tcPr>
            <w:tcW w:w="484" w:type="pct"/>
            <w:tcBorders>
              <w:top w:val="single" w:sz="4" w:space="0" w:color="000000"/>
              <w:left w:val="nil"/>
              <w:bottom w:val="nil"/>
              <w:right w:val="nil"/>
            </w:tcBorders>
            <w:shd w:val="clear" w:color="000000" w:fill="000000"/>
            <w:noWrap/>
            <w:vAlign w:val="center"/>
            <w:hideMark/>
          </w:tcPr>
          <w:p w14:paraId="3F208C54" w14:textId="77777777" w:rsidR="00257248" w:rsidRPr="00877650" w:rsidRDefault="00257248" w:rsidP="00323FD6">
            <w:pPr>
              <w:rPr>
                <w:rFonts w:ascii="Calibri" w:hAnsi="Calibri" w:cs="Calibri"/>
                <w:b/>
                <w:bCs/>
                <w:color w:val="FFFFFF"/>
              </w:rPr>
            </w:pPr>
            <w:proofErr w:type="spellStart"/>
            <w:r w:rsidRPr="00877650">
              <w:rPr>
                <w:rFonts w:ascii="Calibri" w:hAnsi="Calibri" w:cs="Calibri"/>
                <w:b/>
                <w:bCs/>
                <w:color w:val="FFFFFF"/>
              </w:rPr>
              <w:t>upstream_annotation</w:t>
            </w:r>
            <w:proofErr w:type="spellEnd"/>
          </w:p>
        </w:tc>
        <w:tc>
          <w:tcPr>
            <w:tcW w:w="552" w:type="pct"/>
            <w:tcBorders>
              <w:top w:val="single" w:sz="4" w:space="0" w:color="000000"/>
              <w:left w:val="nil"/>
              <w:bottom w:val="nil"/>
              <w:right w:val="nil"/>
            </w:tcBorders>
            <w:shd w:val="clear" w:color="000000" w:fill="000000"/>
            <w:noWrap/>
            <w:vAlign w:val="center"/>
            <w:hideMark/>
          </w:tcPr>
          <w:p w14:paraId="5EB45AD0" w14:textId="77777777" w:rsidR="00257248" w:rsidRPr="00877650" w:rsidRDefault="00257248" w:rsidP="00323FD6">
            <w:pPr>
              <w:rPr>
                <w:rFonts w:ascii="Calibri" w:hAnsi="Calibri" w:cs="Calibri"/>
                <w:b/>
                <w:bCs/>
                <w:color w:val="FFFFFF"/>
              </w:rPr>
            </w:pPr>
            <w:proofErr w:type="spellStart"/>
            <w:r w:rsidRPr="00877650">
              <w:rPr>
                <w:rFonts w:ascii="Calibri" w:hAnsi="Calibri" w:cs="Calibri"/>
                <w:b/>
                <w:bCs/>
                <w:color w:val="FFFFFF"/>
              </w:rPr>
              <w:t>downstream_annotation</w:t>
            </w:r>
            <w:proofErr w:type="spellEnd"/>
          </w:p>
        </w:tc>
        <w:tc>
          <w:tcPr>
            <w:tcW w:w="448" w:type="pct"/>
            <w:tcBorders>
              <w:top w:val="single" w:sz="4" w:space="0" w:color="000000"/>
              <w:left w:val="nil"/>
              <w:bottom w:val="nil"/>
              <w:right w:val="nil"/>
            </w:tcBorders>
            <w:shd w:val="clear" w:color="000000" w:fill="000000"/>
            <w:noWrap/>
            <w:vAlign w:val="center"/>
            <w:hideMark/>
          </w:tcPr>
          <w:p w14:paraId="480CD7C5" w14:textId="77777777" w:rsidR="00257248" w:rsidRPr="00877650" w:rsidRDefault="00257248" w:rsidP="00323FD6">
            <w:pPr>
              <w:rPr>
                <w:rFonts w:ascii="Calibri" w:hAnsi="Calibri" w:cs="Calibri"/>
                <w:b/>
                <w:bCs/>
                <w:color w:val="FFFFFF"/>
              </w:rPr>
            </w:pPr>
            <w:proofErr w:type="spellStart"/>
            <w:r w:rsidRPr="00877650">
              <w:rPr>
                <w:rFonts w:ascii="Calibri" w:hAnsi="Calibri" w:cs="Calibri"/>
                <w:b/>
                <w:bCs/>
                <w:color w:val="FFFFFF"/>
              </w:rPr>
              <w:t>upstream_dist</w:t>
            </w:r>
            <w:proofErr w:type="spellEnd"/>
          </w:p>
        </w:tc>
        <w:tc>
          <w:tcPr>
            <w:tcW w:w="309" w:type="pct"/>
            <w:tcBorders>
              <w:top w:val="single" w:sz="4" w:space="0" w:color="000000"/>
              <w:left w:val="nil"/>
              <w:bottom w:val="nil"/>
              <w:right w:val="nil"/>
            </w:tcBorders>
            <w:shd w:val="clear" w:color="000000" w:fill="000000"/>
            <w:noWrap/>
            <w:vAlign w:val="center"/>
            <w:hideMark/>
          </w:tcPr>
          <w:p w14:paraId="2FBE8439" w14:textId="77777777" w:rsidR="00257248" w:rsidRPr="00877650" w:rsidRDefault="00257248" w:rsidP="00323FD6">
            <w:pPr>
              <w:rPr>
                <w:rFonts w:ascii="Calibri" w:hAnsi="Calibri" w:cs="Calibri"/>
                <w:b/>
                <w:bCs/>
                <w:color w:val="FFFFFF"/>
              </w:rPr>
            </w:pPr>
            <w:proofErr w:type="spellStart"/>
            <w:r w:rsidRPr="00877650">
              <w:rPr>
                <w:rFonts w:ascii="Calibri" w:hAnsi="Calibri" w:cs="Calibri"/>
                <w:b/>
                <w:bCs/>
                <w:color w:val="FFFFFF"/>
              </w:rPr>
              <w:t>downstream_dist</w:t>
            </w:r>
            <w:proofErr w:type="spellEnd"/>
          </w:p>
        </w:tc>
        <w:tc>
          <w:tcPr>
            <w:tcW w:w="240" w:type="pct"/>
            <w:tcBorders>
              <w:top w:val="single" w:sz="4" w:space="0" w:color="000000"/>
              <w:left w:val="nil"/>
              <w:bottom w:val="nil"/>
              <w:right w:val="nil"/>
            </w:tcBorders>
            <w:shd w:val="clear" w:color="000000" w:fill="000000"/>
            <w:noWrap/>
            <w:vAlign w:val="center"/>
            <w:hideMark/>
          </w:tcPr>
          <w:p w14:paraId="3AE34883" w14:textId="77777777" w:rsidR="00257248" w:rsidRPr="00877650" w:rsidRDefault="00257248" w:rsidP="00323FD6">
            <w:pPr>
              <w:rPr>
                <w:rFonts w:ascii="Calibri" w:hAnsi="Calibri" w:cs="Calibri"/>
                <w:b/>
                <w:bCs/>
                <w:color w:val="FFFFFF"/>
              </w:rPr>
            </w:pPr>
            <w:proofErr w:type="spellStart"/>
            <w:r w:rsidRPr="00877650">
              <w:rPr>
                <w:rFonts w:ascii="Calibri" w:hAnsi="Calibri" w:cs="Calibri"/>
                <w:b/>
                <w:bCs/>
                <w:color w:val="FFFFFF"/>
              </w:rPr>
              <w:t>bitscore</w:t>
            </w:r>
            <w:proofErr w:type="spellEnd"/>
          </w:p>
        </w:tc>
        <w:tc>
          <w:tcPr>
            <w:tcW w:w="311" w:type="pct"/>
            <w:tcBorders>
              <w:top w:val="single" w:sz="4" w:space="0" w:color="000000"/>
              <w:left w:val="nil"/>
              <w:bottom w:val="nil"/>
              <w:right w:val="nil"/>
            </w:tcBorders>
            <w:shd w:val="clear" w:color="000000" w:fill="000000"/>
            <w:noWrap/>
            <w:vAlign w:val="center"/>
            <w:hideMark/>
          </w:tcPr>
          <w:p w14:paraId="3C61A035" w14:textId="77777777" w:rsidR="00257248" w:rsidRPr="00877650" w:rsidRDefault="00257248" w:rsidP="00323FD6">
            <w:pPr>
              <w:rPr>
                <w:rFonts w:ascii="Calibri" w:hAnsi="Calibri" w:cs="Calibri"/>
                <w:b/>
                <w:bCs/>
                <w:color w:val="FFFFFF"/>
              </w:rPr>
            </w:pPr>
            <w:proofErr w:type="spellStart"/>
            <w:r w:rsidRPr="00877650">
              <w:rPr>
                <w:rFonts w:ascii="Calibri" w:hAnsi="Calibri" w:cs="Calibri"/>
                <w:b/>
                <w:bCs/>
                <w:color w:val="FFFFFF"/>
              </w:rPr>
              <w:t>postive</w:t>
            </w:r>
            <w:proofErr w:type="spellEnd"/>
            <w:r w:rsidRPr="00877650">
              <w:rPr>
                <w:rFonts w:ascii="Calibri" w:hAnsi="Calibri" w:cs="Calibri"/>
                <w:b/>
                <w:bCs/>
                <w:color w:val="FFFFFF"/>
              </w:rPr>
              <w:t xml:space="preserve"> hits</w:t>
            </w:r>
          </w:p>
        </w:tc>
        <w:tc>
          <w:tcPr>
            <w:tcW w:w="311" w:type="pct"/>
            <w:tcBorders>
              <w:top w:val="single" w:sz="4" w:space="0" w:color="000000"/>
              <w:left w:val="nil"/>
              <w:bottom w:val="nil"/>
              <w:right w:val="nil"/>
            </w:tcBorders>
            <w:shd w:val="clear" w:color="000000" w:fill="000000"/>
            <w:noWrap/>
            <w:vAlign w:val="center"/>
            <w:hideMark/>
          </w:tcPr>
          <w:p w14:paraId="084BEA33" w14:textId="77777777" w:rsidR="00257248" w:rsidRPr="00877650" w:rsidRDefault="00257248" w:rsidP="00323FD6">
            <w:pPr>
              <w:rPr>
                <w:rFonts w:ascii="Calibri" w:hAnsi="Calibri" w:cs="Calibri"/>
                <w:b/>
                <w:bCs/>
                <w:color w:val="FFFFFF"/>
              </w:rPr>
            </w:pPr>
            <w:proofErr w:type="spellStart"/>
            <w:r w:rsidRPr="00877650">
              <w:rPr>
                <w:rFonts w:ascii="Calibri" w:hAnsi="Calibri" w:cs="Calibri"/>
                <w:b/>
                <w:bCs/>
                <w:color w:val="FFFFFF"/>
              </w:rPr>
              <w:t>Gene.Count</w:t>
            </w:r>
            <w:proofErr w:type="spellEnd"/>
          </w:p>
        </w:tc>
        <w:tc>
          <w:tcPr>
            <w:tcW w:w="413" w:type="pct"/>
            <w:tcBorders>
              <w:top w:val="single" w:sz="4" w:space="0" w:color="000000"/>
              <w:left w:val="nil"/>
              <w:bottom w:val="nil"/>
              <w:right w:val="single" w:sz="4" w:space="0" w:color="000000"/>
            </w:tcBorders>
            <w:shd w:val="clear" w:color="000000" w:fill="000000"/>
            <w:noWrap/>
            <w:vAlign w:val="center"/>
            <w:hideMark/>
          </w:tcPr>
          <w:p w14:paraId="63644AF1" w14:textId="77777777" w:rsidR="00257248" w:rsidRPr="00877650" w:rsidRDefault="00257248" w:rsidP="00323FD6">
            <w:pPr>
              <w:rPr>
                <w:rFonts w:ascii="Calibri" w:hAnsi="Calibri" w:cs="Calibri"/>
                <w:b/>
                <w:bCs/>
                <w:color w:val="FFFFFF"/>
              </w:rPr>
            </w:pPr>
            <w:r w:rsidRPr="00877650">
              <w:rPr>
                <w:rFonts w:ascii="Calibri" w:hAnsi="Calibri" w:cs="Calibri"/>
                <w:b/>
                <w:bCs/>
                <w:color w:val="FFFFFF"/>
              </w:rPr>
              <w:t>% regulated</w:t>
            </w:r>
          </w:p>
        </w:tc>
      </w:tr>
      <w:tr w:rsidR="00257248" w:rsidRPr="00877650" w14:paraId="1B4CDF3A" w14:textId="77777777" w:rsidTr="00323FD6">
        <w:trPr>
          <w:trHeight w:val="290"/>
        </w:trPr>
        <w:tc>
          <w:tcPr>
            <w:tcW w:w="516" w:type="pct"/>
            <w:tcBorders>
              <w:top w:val="single" w:sz="4" w:space="0" w:color="auto"/>
              <w:left w:val="single" w:sz="4" w:space="0" w:color="auto"/>
              <w:bottom w:val="single" w:sz="4" w:space="0" w:color="auto"/>
              <w:right w:val="nil"/>
            </w:tcBorders>
            <w:shd w:val="clear" w:color="auto" w:fill="auto"/>
            <w:noWrap/>
            <w:vAlign w:val="center"/>
            <w:hideMark/>
          </w:tcPr>
          <w:p w14:paraId="0C87D0A4" w14:textId="77777777" w:rsidR="00257248" w:rsidRPr="00877650" w:rsidRDefault="00257248" w:rsidP="00323FD6">
            <w:pPr>
              <w:rPr>
                <w:rFonts w:ascii="Calibri" w:hAnsi="Calibri" w:cs="Calibri"/>
                <w:color w:val="000000"/>
              </w:rPr>
            </w:pPr>
            <w:r w:rsidRPr="00877650">
              <w:rPr>
                <w:rFonts w:ascii="Calibri" w:hAnsi="Calibri" w:cs="Calibri"/>
                <w:color w:val="000000"/>
              </w:rPr>
              <w:t>2713896966</w:t>
            </w:r>
          </w:p>
        </w:tc>
        <w:tc>
          <w:tcPr>
            <w:tcW w:w="589" w:type="pct"/>
            <w:tcBorders>
              <w:top w:val="single" w:sz="4" w:space="0" w:color="auto"/>
              <w:left w:val="nil"/>
              <w:bottom w:val="single" w:sz="4" w:space="0" w:color="auto"/>
              <w:right w:val="nil"/>
            </w:tcBorders>
            <w:shd w:val="clear" w:color="auto" w:fill="auto"/>
            <w:noWrap/>
            <w:vAlign w:val="center"/>
            <w:hideMark/>
          </w:tcPr>
          <w:p w14:paraId="515BCCDD"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Leisingera</w:t>
            </w:r>
            <w:proofErr w:type="spellEnd"/>
            <w:r w:rsidRPr="00877650">
              <w:rPr>
                <w:rFonts w:ascii="Calibri" w:hAnsi="Calibri" w:cs="Calibri"/>
                <w:color w:val="000000"/>
              </w:rPr>
              <w:t xml:space="preserve"> </w:t>
            </w:r>
            <w:proofErr w:type="spellStart"/>
            <w:r w:rsidRPr="00877650">
              <w:rPr>
                <w:rFonts w:ascii="Calibri" w:hAnsi="Calibri" w:cs="Calibri"/>
                <w:color w:val="000000"/>
              </w:rPr>
              <w:t>aquaemixtae</w:t>
            </w:r>
            <w:proofErr w:type="spellEnd"/>
            <w:r w:rsidRPr="00877650">
              <w:rPr>
                <w:rFonts w:ascii="Calibri" w:hAnsi="Calibri" w:cs="Calibri"/>
                <w:color w:val="000000"/>
              </w:rPr>
              <w:t xml:space="preserve"> CECT 8399</w:t>
            </w:r>
          </w:p>
        </w:tc>
        <w:tc>
          <w:tcPr>
            <w:tcW w:w="516" w:type="pct"/>
            <w:tcBorders>
              <w:top w:val="single" w:sz="4" w:space="0" w:color="auto"/>
              <w:left w:val="nil"/>
              <w:bottom w:val="single" w:sz="4" w:space="0" w:color="auto"/>
              <w:right w:val="nil"/>
            </w:tcBorders>
            <w:shd w:val="clear" w:color="auto" w:fill="auto"/>
            <w:noWrap/>
            <w:vAlign w:val="center"/>
            <w:hideMark/>
          </w:tcPr>
          <w:p w14:paraId="49CF1759" w14:textId="77777777" w:rsidR="00257248" w:rsidRPr="00877650" w:rsidRDefault="00257248" w:rsidP="00323FD6">
            <w:pPr>
              <w:rPr>
                <w:rFonts w:ascii="Calibri" w:hAnsi="Calibri" w:cs="Calibri"/>
                <w:color w:val="000000"/>
              </w:rPr>
            </w:pPr>
            <w:r w:rsidRPr="00877650">
              <w:rPr>
                <w:rFonts w:ascii="Calibri" w:hAnsi="Calibri" w:cs="Calibri"/>
                <w:color w:val="000000"/>
              </w:rPr>
              <w:t>Ga0125397_107</w:t>
            </w:r>
          </w:p>
        </w:tc>
        <w:tc>
          <w:tcPr>
            <w:tcW w:w="311" w:type="pct"/>
            <w:tcBorders>
              <w:top w:val="single" w:sz="4" w:space="0" w:color="auto"/>
              <w:left w:val="nil"/>
              <w:bottom w:val="single" w:sz="4" w:space="0" w:color="auto"/>
              <w:right w:val="nil"/>
            </w:tcBorders>
            <w:shd w:val="clear" w:color="auto" w:fill="auto"/>
            <w:noWrap/>
            <w:vAlign w:val="center"/>
            <w:hideMark/>
          </w:tcPr>
          <w:p w14:paraId="28BF7BBD"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single" w:sz="4" w:space="0" w:color="auto"/>
              <w:left w:val="nil"/>
              <w:bottom w:val="single" w:sz="4" w:space="0" w:color="auto"/>
              <w:right w:val="nil"/>
            </w:tcBorders>
            <w:shd w:val="clear" w:color="auto" w:fill="auto"/>
            <w:noWrap/>
            <w:vAlign w:val="center"/>
            <w:hideMark/>
          </w:tcPr>
          <w:p w14:paraId="54FAC34C" w14:textId="77777777" w:rsidR="00257248" w:rsidRPr="00877650" w:rsidRDefault="00257248" w:rsidP="00323FD6">
            <w:pPr>
              <w:rPr>
                <w:rFonts w:ascii="Calibri" w:hAnsi="Calibri" w:cs="Calibri"/>
                <w:color w:val="000000"/>
              </w:rPr>
            </w:pPr>
            <w:r w:rsidRPr="00877650">
              <w:rPr>
                <w:rFonts w:ascii="Calibri" w:hAnsi="Calibri" w:cs="Calibri"/>
                <w:color w:val="000000"/>
              </w:rPr>
              <w:t>voltage-gated sodium channel</w:t>
            </w:r>
          </w:p>
        </w:tc>
        <w:tc>
          <w:tcPr>
            <w:tcW w:w="552" w:type="pct"/>
            <w:tcBorders>
              <w:top w:val="single" w:sz="4" w:space="0" w:color="auto"/>
              <w:left w:val="nil"/>
              <w:bottom w:val="single" w:sz="4" w:space="0" w:color="auto"/>
              <w:right w:val="nil"/>
            </w:tcBorders>
            <w:shd w:val="clear" w:color="auto" w:fill="auto"/>
            <w:noWrap/>
            <w:vAlign w:val="center"/>
            <w:hideMark/>
          </w:tcPr>
          <w:p w14:paraId="332318F2"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type VI secretion system protein </w:t>
            </w:r>
            <w:proofErr w:type="spellStart"/>
            <w:r w:rsidRPr="00877650">
              <w:rPr>
                <w:rFonts w:ascii="Calibri" w:hAnsi="Calibri" w:cs="Calibri"/>
                <w:color w:val="000000"/>
              </w:rPr>
              <w:t>VasG</w:t>
            </w:r>
            <w:proofErr w:type="spellEnd"/>
          </w:p>
        </w:tc>
        <w:tc>
          <w:tcPr>
            <w:tcW w:w="448" w:type="pct"/>
            <w:tcBorders>
              <w:top w:val="single" w:sz="4" w:space="0" w:color="auto"/>
              <w:left w:val="nil"/>
              <w:bottom w:val="single" w:sz="4" w:space="0" w:color="auto"/>
              <w:right w:val="nil"/>
            </w:tcBorders>
            <w:shd w:val="clear" w:color="auto" w:fill="auto"/>
            <w:noWrap/>
            <w:vAlign w:val="center"/>
            <w:hideMark/>
          </w:tcPr>
          <w:p w14:paraId="6480C9B0" w14:textId="77777777" w:rsidR="00257248" w:rsidRPr="00877650" w:rsidRDefault="00257248" w:rsidP="00323FD6">
            <w:pPr>
              <w:rPr>
                <w:rFonts w:ascii="Calibri" w:hAnsi="Calibri" w:cs="Calibri"/>
                <w:color w:val="000000"/>
              </w:rPr>
            </w:pPr>
            <w:r w:rsidRPr="00877650">
              <w:rPr>
                <w:rFonts w:ascii="Calibri" w:hAnsi="Calibri" w:cs="Calibri"/>
                <w:color w:val="000000"/>
              </w:rPr>
              <w:t>1257</w:t>
            </w:r>
          </w:p>
        </w:tc>
        <w:tc>
          <w:tcPr>
            <w:tcW w:w="309" w:type="pct"/>
            <w:tcBorders>
              <w:top w:val="single" w:sz="4" w:space="0" w:color="auto"/>
              <w:left w:val="nil"/>
              <w:bottom w:val="single" w:sz="4" w:space="0" w:color="auto"/>
              <w:right w:val="nil"/>
            </w:tcBorders>
            <w:shd w:val="clear" w:color="auto" w:fill="auto"/>
            <w:noWrap/>
            <w:vAlign w:val="center"/>
            <w:hideMark/>
          </w:tcPr>
          <w:p w14:paraId="3BC6539B" w14:textId="77777777" w:rsidR="00257248" w:rsidRPr="00877650" w:rsidRDefault="00257248" w:rsidP="00323FD6">
            <w:pPr>
              <w:rPr>
                <w:rFonts w:ascii="Calibri" w:hAnsi="Calibri" w:cs="Calibri"/>
                <w:color w:val="000000"/>
              </w:rPr>
            </w:pPr>
            <w:r w:rsidRPr="00877650">
              <w:rPr>
                <w:rFonts w:ascii="Calibri" w:hAnsi="Calibri" w:cs="Calibri"/>
                <w:color w:val="000000"/>
              </w:rPr>
              <w:t>71</w:t>
            </w:r>
          </w:p>
        </w:tc>
        <w:tc>
          <w:tcPr>
            <w:tcW w:w="240" w:type="pct"/>
            <w:tcBorders>
              <w:top w:val="single" w:sz="4" w:space="0" w:color="auto"/>
              <w:left w:val="nil"/>
              <w:bottom w:val="single" w:sz="4" w:space="0" w:color="auto"/>
              <w:right w:val="nil"/>
            </w:tcBorders>
            <w:shd w:val="clear" w:color="auto" w:fill="auto"/>
            <w:noWrap/>
            <w:vAlign w:val="center"/>
            <w:hideMark/>
          </w:tcPr>
          <w:p w14:paraId="42824603" w14:textId="77777777" w:rsidR="00257248" w:rsidRPr="00877650" w:rsidRDefault="00257248" w:rsidP="00323FD6">
            <w:pPr>
              <w:rPr>
                <w:rFonts w:ascii="Calibri" w:hAnsi="Calibri" w:cs="Calibri"/>
                <w:color w:val="000000"/>
              </w:rPr>
            </w:pPr>
            <w:r w:rsidRPr="00877650">
              <w:rPr>
                <w:rFonts w:ascii="Calibri" w:hAnsi="Calibri" w:cs="Calibri"/>
                <w:color w:val="000000"/>
              </w:rPr>
              <w:t>15.4</w:t>
            </w:r>
          </w:p>
        </w:tc>
        <w:tc>
          <w:tcPr>
            <w:tcW w:w="311" w:type="pct"/>
            <w:tcBorders>
              <w:top w:val="single" w:sz="4" w:space="0" w:color="auto"/>
              <w:left w:val="nil"/>
              <w:bottom w:val="single" w:sz="4" w:space="0" w:color="auto"/>
              <w:right w:val="nil"/>
            </w:tcBorders>
            <w:shd w:val="clear" w:color="auto" w:fill="auto"/>
            <w:noWrap/>
            <w:vAlign w:val="center"/>
            <w:hideMark/>
          </w:tcPr>
          <w:p w14:paraId="1AC4BFBA" w14:textId="77777777" w:rsidR="00257248" w:rsidRPr="00877650" w:rsidRDefault="00257248" w:rsidP="00323FD6">
            <w:pPr>
              <w:rPr>
                <w:rFonts w:ascii="Calibri" w:hAnsi="Calibri" w:cs="Calibri"/>
                <w:color w:val="000000"/>
              </w:rPr>
            </w:pPr>
            <w:r w:rsidRPr="00877650">
              <w:rPr>
                <w:rFonts w:ascii="Calibri" w:hAnsi="Calibri" w:cs="Calibri"/>
                <w:color w:val="000000"/>
              </w:rPr>
              <w:t>1</w:t>
            </w:r>
          </w:p>
        </w:tc>
        <w:tc>
          <w:tcPr>
            <w:tcW w:w="311" w:type="pct"/>
            <w:tcBorders>
              <w:top w:val="single" w:sz="4" w:space="0" w:color="auto"/>
              <w:left w:val="nil"/>
              <w:bottom w:val="single" w:sz="4" w:space="0" w:color="auto"/>
              <w:right w:val="nil"/>
            </w:tcBorders>
            <w:shd w:val="clear" w:color="auto" w:fill="auto"/>
            <w:noWrap/>
            <w:vAlign w:val="center"/>
            <w:hideMark/>
          </w:tcPr>
          <w:p w14:paraId="08FC05DC" w14:textId="77777777" w:rsidR="00257248" w:rsidRPr="00877650" w:rsidRDefault="00257248" w:rsidP="00323FD6">
            <w:pPr>
              <w:rPr>
                <w:rFonts w:ascii="Calibri" w:hAnsi="Calibri" w:cs="Calibri"/>
                <w:color w:val="000000"/>
              </w:rPr>
            </w:pPr>
            <w:r w:rsidRPr="00877650">
              <w:rPr>
                <w:rFonts w:ascii="Calibri" w:hAnsi="Calibri" w:cs="Calibri"/>
                <w:color w:val="000000"/>
              </w:rPr>
              <w:t>4406</w:t>
            </w:r>
          </w:p>
        </w:tc>
        <w:tc>
          <w:tcPr>
            <w:tcW w:w="413" w:type="pct"/>
            <w:tcBorders>
              <w:top w:val="single" w:sz="4" w:space="0" w:color="auto"/>
              <w:left w:val="nil"/>
              <w:bottom w:val="single" w:sz="4" w:space="0" w:color="auto"/>
              <w:right w:val="single" w:sz="4" w:space="0" w:color="auto"/>
            </w:tcBorders>
            <w:shd w:val="clear" w:color="auto" w:fill="auto"/>
            <w:noWrap/>
            <w:vAlign w:val="center"/>
            <w:hideMark/>
          </w:tcPr>
          <w:p w14:paraId="477980BE"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0.0227%</w:t>
            </w:r>
          </w:p>
        </w:tc>
      </w:tr>
      <w:tr w:rsidR="00257248" w:rsidRPr="00877650" w14:paraId="161EAE03" w14:textId="77777777" w:rsidTr="00323FD6">
        <w:trPr>
          <w:trHeight w:val="290"/>
        </w:trPr>
        <w:tc>
          <w:tcPr>
            <w:tcW w:w="516" w:type="pct"/>
            <w:tcBorders>
              <w:top w:val="nil"/>
              <w:left w:val="single" w:sz="4" w:space="0" w:color="auto"/>
              <w:bottom w:val="single" w:sz="4" w:space="0" w:color="auto"/>
              <w:right w:val="nil"/>
            </w:tcBorders>
            <w:shd w:val="clear" w:color="auto" w:fill="auto"/>
            <w:noWrap/>
            <w:vAlign w:val="center"/>
            <w:hideMark/>
          </w:tcPr>
          <w:p w14:paraId="6F1C849E" w14:textId="77777777" w:rsidR="00257248" w:rsidRPr="00877650" w:rsidRDefault="00257248" w:rsidP="00323FD6">
            <w:pPr>
              <w:rPr>
                <w:rFonts w:ascii="Calibri" w:hAnsi="Calibri" w:cs="Calibri"/>
                <w:color w:val="000000"/>
              </w:rPr>
            </w:pPr>
            <w:r w:rsidRPr="00877650">
              <w:rPr>
                <w:rFonts w:ascii="Calibri" w:hAnsi="Calibri" w:cs="Calibri"/>
                <w:color w:val="000000"/>
              </w:rPr>
              <w:t>2521172617</w:t>
            </w:r>
          </w:p>
        </w:tc>
        <w:tc>
          <w:tcPr>
            <w:tcW w:w="589" w:type="pct"/>
            <w:tcBorders>
              <w:top w:val="nil"/>
              <w:left w:val="nil"/>
              <w:bottom w:val="single" w:sz="4" w:space="0" w:color="auto"/>
              <w:right w:val="nil"/>
            </w:tcBorders>
            <w:shd w:val="clear" w:color="auto" w:fill="auto"/>
            <w:noWrap/>
            <w:vAlign w:val="center"/>
            <w:hideMark/>
          </w:tcPr>
          <w:p w14:paraId="3418855B"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Leisingera</w:t>
            </w:r>
            <w:proofErr w:type="spellEnd"/>
            <w:r w:rsidRPr="00877650">
              <w:rPr>
                <w:rFonts w:ascii="Calibri" w:hAnsi="Calibri" w:cs="Calibri"/>
                <w:color w:val="000000"/>
              </w:rPr>
              <w:t xml:space="preserve"> </w:t>
            </w:r>
            <w:proofErr w:type="spellStart"/>
            <w:r w:rsidRPr="00877650">
              <w:rPr>
                <w:rFonts w:ascii="Calibri" w:hAnsi="Calibri" w:cs="Calibri"/>
                <w:color w:val="000000"/>
              </w:rPr>
              <w:t>aquimarina</w:t>
            </w:r>
            <w:proofErr w:type="spellEnd"/>
            <w:r w:rsidRPr="00877650">
              <w:rPr>
                <w:rFonts w:ascii="Calibri" w:hAnsi="Calibri" w:cs="Calibri"/>
                <w:color w:val="000000"/>
              </w:rPr>
              <w:t xml:space="preserve"> DSM 24565</w:t>
            </w:r>
          </w:p>
        </w:tc>
        <w:tc>
          <w:tcPr>
            <w:tcW w:w="516" w:type="pct"/>
            <w:tcBorders>
              <w:top w:val="nil"/>
              <w:left w:val="nil"/>
              <w:bottom w:val="single" w:sz="4" w:space="0" w:color="auto"/>
              <w:right w:val="nil"/>
            </w:tcBorders>
            <w:shd w:val="clear" w:color="auto" w:fill="auto"/>
            <w:noWrap/>
            <w:vAlign w:val="center"/>
            <w:hideMark/>
          </w:tcPr>
          <w:p w14:paraId="2BC0B386"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311" w:type="pct"/>
            <w:tcBorders>
              <w:top w:val="nil"/>
              <w:left w:val="nil"/>
              <w:bottom w:val="single" w:sz="4" w:space="0" w:color="auto"/>
              <w:right w:val="nil"/>
            </w:tcBorders>
            <w:shd w:val="clear" w:color="auto" w:fill="auto"/>
            <w:noWrap/>
            <w:vAlign w:val="center"/>
            <w:hideMark/>
          </w:tcPr>
          <w:p w14:paraId="1AB3EFC0"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484" w:type="pct"/>
            <w:tcBorders>
              <w:top w:val="nil"/>
              <w:left w:val="nil"/>
              <w:bottom w:val="single" w:sz="4" w:space="0" w:color="auto"/>
              <w:right w:val="nil"/>
            </w:tcBorders>
            <w:shd w:val="clear" w:color="auto" w:fill="auto"/>
            <w:noWrap/>
            <w:vAlign w:val="center"/>
            <w:hideMark/>
          </w:tcPr>
          <w:p w14:paraId="04016AF3"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552" w:type="pct"/>
            <w:tcBorders>
              <w:top w:val="nil"/>
              <w:left w:val="nil"/>
              <w:bottom w:val="single" w:sz="4" w:space="0" w:color="auto"/>
              <w:right w:val="nil"/>
            </w:tcBorders>
            <w:shd w:val="clear" w:color="auto" w:fill="auto"/>
            <w:noWrap/>
            <w:vAlign w:val="center"/>
            <w:hideMark/>
          </w:tcPr>
          <w:p w14:paraId="4570A9B8"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448" w:type="pct"/>
            <w:tcBorders>
              <w:top w:val="nil"/>
              <w:left w:val="nil"/>
              <w:bottom w:val="single" w:sz="4" w:space="0" w:color="auto"/>
              <w:right w:val="nil"/>
            </w:tcBorders>
            <w:shd w:val="clear" w:color="auto" w:fill="auto"/>
            <w:noWrap/>
            <w:vAlign w:val="center"/>
            <w:hideMark/>
          </w:tcPr>
          <w:p w14:paraId="0E2BCF97"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309" w:type="pct"/>
            <w:tcBorders>
              <w:top w:val="nil"/>
              <w:left w:val="nil"/>
              <w:bottom w:val="single" w:sz="4" w:space="0" w:color="auto"/>
              <w:right w:val="nil"/>
            </w:tcBorders>
            <w:shd w:val="clear" w:color="auto" w:fill="auto"/>
            <w:noWrap/>
            <w:vAlign w:val="center"/>
            <w:hideMark/>
          </w:tcPr>
          <w:p w14:paraId="41C77BDE"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240" w:type="pct"/>
            <w:tcBorders>
              <w:top w:val="nil"/>
              <w:left w:val="nil"/>
              <w:bottom w:val="single" w:sz="4" w:space="0" w:color="auto"/>
              <w:right w:val="nil"/>
            </w:tcBorders>
            <w:shd w:val="clear" w:color="auto" w:fill="auto"/>
            <w:noWrap/>
            <w:vAlign w:val="center"/>
            <w:hideMark/>
          </w:tcPr>
          <w:p w14:paraId="1CE7CD57"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311" w:type="pct"/>
            <w:tcBorders>
              <w:top w:val="nil"/>
              <w:left w:val="nil"/>
              <w:bottom w:val="single" w:sz="4" w:space="0" w:color="auto"/>
              <w:right w:val="nil"/>
            </w:tcBorders>
            <w:shd w:val="clear" w:color="auto" w:fill="auto"/>
            <w:noWrap/>
            <w:vAlign w:val="center"/>
            <w:hideMark/>
          </w:tcPr>
          <w:p w14:paraId="03BD4658" w14:textId="77777777" w:rsidR="00257248" w:rsidRPr="00877650" w:rsidRDefault="00257248" w:rsidP="00323FD6">
            <w:pPr>
              <w:rPr>
                <w:rFonts w:ascii="Calibri" w:hAnsi="Calibri" w:cs="Calibri"/>
                <w:color w:val="000000"/>
              </w:rPr>
            </w:pPr>
            <w:r w:rsidRPr="00877650">
              <w:rPr>
                <w:rFonts w:ascii="Calibri" w:hAnsi="Calibri" w:cs="Calibri"/>
                <w:color w:val="000000"/>
              </w:rPr>
              <w:t>0</w:t>
            </w:r>
          </w:p>
        </w:tc>
        <w:tc>
          <w:tcPr>
            <w:tcW w:w="311" w:type="pct"/>
            <w:tcBorders>
              <w:top w:val="nil"/>
              <w:left w:val="nil"/>
              <w:bottom w:val="single" w:sz="4" w:space="0" w:color="auto"/>
              <w:right w:val="nil"/>
            </w:tcBorders>
            <w:shd w:val="clear" w:color="auto" w:fill="auto"/>
            <w:noWrap/>
            <w:vAlign w:val="center"/>
            <w:hideMark/>
          </w:tcPr>
          <w:p w14:paraId="0F40593E" w14:textId="77777777" w:rsidR="00257248" w:rsidRPr="00877650" w:rsidRDefault="00257248" w:rsidP="00323FD6">
            <w:pPr>
              <w:rPr>
                <w:rFonts w:ascii="Calibri" w:hAnsi="Calibri" w:cs="Calibri"/>
                <w:color w:val="000000"/>
              </w:rPr>
            </w:pPr>
            <w:r w:rsidRPr="00877650">
              <w:rPr>
                <w:rFonts w:ascii="Calibri" w:hAnsi="Calibri" w:cs="Calibri"/>
                <w:color w:val="000000"/>
              </w:rPr>
              <w:t>5217</w:t>
            </w:r>
          </w:p>
        </w:tc>
        <w:tc>
          <w:tcPr>
            <w:tcW w:w="413" w:type="pct"/>
            <w:tcBorders>
              <w:top w:val="nil"/>
              <w:left w:val="nil"/>
              <w:bottom w:val="single" w:sz="4" w:space="0" w:color="auto"/>
              <w:right w:val="single" w:sz="4" w:space="0" w:color="auto"/>
            </w:tcBorders>
            <w:shd w:val="clear" w:color="auto" w:fill="auto"/>
            <w:noWrap/>
            <w:vAlign w:val="center"/>
            <w:hideMark/>
          </w:tcPr>
          <w:p w14:paraId="32AC46A3"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0.00%</w:t>
            </w:r>
          </w:p>
        </w:tc>
      </w:tr>
      <w:tr w:rsidR="00257248" w:rsidRPr="00877650" w14:paraId="49F106AD" w14:textId="77777777" w:rsidTr="00323FD6">
        <w:trPr>
          <w:trHeight w:val="290"/>
        </w:trPr>
        <w:tc>
          <w:tcPr>
            <w:tcW w:w="516" w:type="pct"/>
            <w:tcBorders>
              <w:top w:val="nil"/>
              <w:left w:val="single" w:sz="4" w:space="0" w:color="auto"/>
              <w:bottom w:val="nil"/>
              <w:right w:val="nil"/>
            </w:tcBorders>
            <w:shd w:val="clear" w:color="auto" w:fill="auto"/>
            <w:noWrap/>
            <w:vAlign w:val="center"/>
            <w:hideMark/>
          </w:tcPr>
          <w:p w14:paraId="320677EA" w14:textId="77777777" w:rsidR="00257248" w:rsidRPr="00877650" w:rsidRDefault="00257248" w:rsidP="00323FD6">
            <w:pPr>
              <w:rPr>
                <w:rFonts w:ascii="Calibri" w:hAnsi="Calibri" w:cs="Calibri"/>
              </w:rPr>
            </w:pPr>
            <w:r w:rsidRPr="00877650">
              <w:rPr>
                <w:rFonts w:ascii="Calibri" w:hAnsi="Calibri" w:cs="Calibri"/>
              </w:rPr>
              <w:t>2512047087</w:t>
            </w:r>
          </w:p>
        </w:tc>
        <w:tc>
          <w:tcPr>
            <w:tcW w:w="589" w:type="pct"/>
            <w:tcBorders>
              <w:top w:val="nil"/>
              <w:left w:val="nil"/>
              <w:bottom w:val="nil"/>
              <w:right w:val="nil"/>
            </w:tcBorders>
            <w:shd w:val="clear" w:color="auto" w:fill="auto"/>
            <w:noWrap/>
            <w:vAlign w:val="center"/>
            <w:hideMark/>
          </w:tcPr>
          <w:p w14:paraId="3D332925" w14:textId="77777777" w:rsidR="00257248" w:rsidRPr="00877650" w:rsidRDefault="00257248" w:rsidP="00323FD6">
            <w:pPr>
              <w:rPr>
                <w:rFonts w:ascii="Calibri" w:hAnsi="Calibri" w:cs="Calibri"/>
              </w:rPr>
            </w:pPr>
            <w:proofErr w:type="spellStart"/>
            <w:r w:rsidRPr="00877650">
              <w:rPr>
                <w:rFonts w:ascii="Calibri" w:hAnsi="Calibri" w:cs="Calibri"/>
              </w:rPr>
              <w:t>Leisingera</w:t>
            </w:r>
            <w:proofErr w:type="spellEnd"/>
            <w:r w:rsidRPr="00877650">
              <w:rPr>
                <w:rFonts w:ascii="Calibri" w:hAnsi="Calibri" w:cs="Calibri"/>
              </w:rPr>
              <w:t xml:space="preserve"> </w:t>
            </w:r>
            <w:proofErr w:type="spellStart"/>
            <w:r w:rsidRPr="00877650">
              <w:rPr>
                <w:rFonts w:ascii="Calibri" w:hAnsi="Calibri" w:cs="Calibri"/>
              </w:rPr>
              <w:t>caerulea</w:t>
            </w:r>
            <w:proofErr w:type="spellEnd"/>
            <w:r w:rsidRPr="00877650">
              <w:rPr>
                <w:rFonts w:ascii="Calibri" w:hAnsi="Calibri" w:cs="Calibri"/>
              </w:rPr>
              <w:t xml:space="preserve"> DSM 24564</w:t>
            </w:r>
          </w:p>
        </w:tc>
        <w:tc>
          <w:tcPr>
            <w:tcW w:w="516" w:type="pct"/>
            <w:tcBorders>
              <w:top w:val="nil"/>
              <w:left w:val="nil"/>
              <w:bottom w:val="nil"/>
              <w:right w:val="nil"/>
            </w:tcBorders>
            <w:shd w:val="clear" w:color="auto" w:fill="auto"/>
            <w:noWrap/>
            <w:vAlign w:val="center"/>
            <w:hideMark/>
          </w:tcPr>
          <w:p w14:paraId="6EBE41D0" w14:textId="77777777" w:rsidR="00257248" w:rsidRPr="00877650" w:rsidRDefault="00257248" w:rsidP="00323FD6">
            <w:pPr>
              <w:rPr>
                <w:rFonts w:ascii="Calibri" w:hAnsi="Calibri" w:cs="Calibri"/>
              </w:rPr>
            </w:pPr>
            <w:r w:rsidRPr="00877650">
              <w:rPr>
                <w:rFonts w:ascii="Calibri" w:hAnsi="Calibri" w:cs="Calibri"/>
              </w:rPr>
              <w:t>PhacaeDRAFT_Contig182.8</w:t>
            </w:r>
          </w:p>
        </w:tc>
        <w:tc>
          <w:tcPr>
            <w:tcW w:w="311" w:type="pct"/>
            <w:tcBorders>
              <w:top w:val="nil"/>
              <w:left w:val="nil"/>
              <w:bottom w:val="nil"/>
              <w:right w:val="nil"/>
            </w:tcBorders>
            <w:shd w:val="clear" w:color="auto" w:fill="auto"/>
            <w:noWrap/>
            <w:vAlign w:val="center"/>
            <w:hideMark/>
          </w:tcPr>
          <w:p w14:paraId="13EFAC72"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6CB749D5" w14:textId="77777777" w:rsidR="00257248" w:rsidRPr="00877650" w:rsidRDefault="00257248" w:rsidP="00323FD6">
            <w:pPr>
              <w:rPr>
                <w:rFonts w:ascii="Calibri" w:hAnsi="Calibri" w:cs="Calibri"/>
                <w:color w:val="000000"/>
              </w:rPr>
            </w:pPr>
            <w:r w:rsidRPr="00877650">
              <w:rPr>
                <w:rFonts w:ascii="Calibri" w:hAnsi="Calibri" w:cs="Calibri"/>
                <w:color w:val="000000"/>
              </w:rPr>
              <w:t>hypothetical protein</w:t>
            </w:r>
          </w:p>
        </w:tc>
        <w:tc>
          <w:tcPr>
            <w:tcW w:w="552" w:type="pct"/>
            <w:tcBorders>
              <w:top w:val="nil"/>
              <w:left w:val="nil"/>
              <w:bottom w:val="nil"/>
              <w:right w:val="nil"/>
            </w:tcBorders>
            <w:shd w:val="clear" w:color="auto" w:fill="auto"/>
            <w:noWrap/>
            <w:vAlign w:val="center"/>
            <w:hideMark/>
          </w:tcPr>
          <w:p w14:paraId="4E9867F7"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two-component system, cell cycle response regulator </w:t>
            </w:r>
            <w:proofErr w:type="spellStart"/>
            <w:r w:rsidRPr="00877650">
              <w:rPr>
                <w:rFonts w:ascii="Calibri" w:hAnsi="Calibri" w:cs="Calibri"/>
                <w:color w:val="000000"/>
              </w:rPr>
              <w:t>CtrA</w:t>
            </w:r>
            <w:proofErr w:type="spellEnd"/>
          </w:p>
        </w:tc>
        <w:tc>
          <w:tcPr>
            <w:tcW w:w="448" w:type="pct"/>
            <w:tcBorders>
              <w:top w:val="nil"/>
              <w:left w:val="nil"/>
              <w:bottom w:val="nil"/>
              <w:right w:val="nil"/>
            </w:tcBorders>
            <w:shd w:val="clear" w:color="auto" w:fill="auto"/>
            <w:noWrap/>
            <w:vAlign w:val="center"/>
            <w:hideMark/>
          </w:tcPr>
          <w:p w14:paraId="47D944AC" w14:textId="77777777" w:rsidR="00257248" w:rsidRPr="00877650" w:rsidRDefault="00257248" w:rsidP="00323FD6">
            <w:pPr>
              <w:rPr>
                <w:rFonts w:ascii="Calibri" w:hAnsi="Calibri" w:cs="Calibri"/>
                <w:color w:val="000000"/>
              </w:rPr>
            </w:pPr>
            <w:r w:rsidRPr="00877650">
              <w:rPr>
                <w:rFonts w:ascii="Calibri" w:hAnsi="Calibri" w:cs="Calibri"/>
                <w:color w:val="000000"/>
              </w:rPr>
              <w:t>1648</w:t>
            </w:r>
          </w:p>
        </w:tc>
        <w:tc>
          <w:tcPr>
            <w:tcW w:w="309" w:type="pct"/>
            <w:tcBorders>
              <w:top w:val="nil"/>
              <w:left w:val="nil"/>
              <w:bottom w:val="nil"/>
              <w:right w:val="nil"/>
            </w:tcBorders>
            <w:shd w:val="clear" w:color="auto" w:fill="auto"/>
            <w:noWrap/>
            <w:vAlign w:val="center"/>
            <w:hideMark/>
          </w:tcPr>
          <w:p w14:paraId="752C616F" w14:textId="77777777" w:rsidR="00257248" w:rsidRPr="00877650" w:rsidRDefault="00257248" w:rsidP="00323FD6">
            <w:pPr>
              <w:rPr>
                <w:rFonts w:ascii="Calibri" w:hAnsi="Calibri" w:cs="Calibri"/>
                <w:color w:val="000000"/>
              </w:rPr>
            </w:pPr>
            <w:r w:rsidRPr="00877650">
              <w:rPr>
                <w:rFonts w:ascii="Calibri" w:hAnsi="Calibri" w:cs="Calibri"/>
                <w:color w:val="000000"/>
              </w:rPr>
              <w:t>1692</w:t>
            </w:r>
          </w:p>
        </w:tc>
        <w:tc>
          <w:tcPr>
            <w:tcW w:w="240" w:type="pct"/>
            <w:tcBorders>
              <w:top w:val="nil"/>
              <w:left w:val="nil"/>
              <w:bottom w:val="nil"/>
              <w:right w:val="nil"/>
            </w:tcBorders>
            <w:shd w:val="clear" w:color="auto" w:fill="auto"/>
            <w:noWrap/>
            <w:vAlign w:val="center"/>
            <w:hideMark/>
          </w:tcPr>
          <w:p w14:paraId="42A2CF31" w14:textId="77777777" w:rsidR="00257248" w:rsidRPr="00877650" w:rsidRDefault="00257248" w:rsidP="00323FD6">
            <w:pPr>
              <w:rPr>
                <w:rFonts w:ascii="Calibri" w:hAnsi="Calibri" w:cs="Calibri"/>
                <w:color w:val="000000"/>
              </w:rPr>
            </w:pPr>
            <w:r w:rsidRPr="00877650">
              <w:rPr>
                <w:rFonts w:ascii="Calibri" w:hAnsi="Calibri" w:cs="Calibri"/>
                <w:color w:val="000000"/>
              </w:rPr>
              <w:t>14.9</w:t>
            </w:r>
          </w:p>
        </w:tc>
        <w:tc>
          <w:tcPr>
            <w:tcW w:w="311" w:type="pct"/>
            <w:tcBorders>
              <w:top w:val="nil"/>
              <w:left w:val="nil"/>
              <w:bottom w:val="nil"/>
              <w:right w:val="nil"/>
            </w:tcBorders>
            <w:shd w:val="clear" w:color="auto" w:fill="auto"/>
            <w:noWrap/>
            <w:vAlign w:val="center"/>
            <w:hideMark/>
          </w:tcPr>
          <w:p w14:paraId="7AF36BFB" w14:textId="77777777" w:rsidR="00257248" w:rsidRPr="00877650" w:rsidRDefault="00257248" w:rsidP="00323FD6">
            <w:pPr>
              <w:rPr>
                <w:rFonts w:ascii="Calibri" w:hAnsi="Calibri" w:cs="Calibri"/>
                <w:color w:val="000000"/>
              </w:rPr>
            </w:pPr>
            <w:r w:rsidRPr="00877650">
              <w:rPr>
                <w:rFonts w:ascii="Calibri" w:hAnsi="Calibri" w:cs="Calibri"/>
                <w:color w:val="000000"/>
              </w:rPr>
              <w:t>2</w:t>
            </w:r>
          </w:p>
        </w:tc>
        <w:tc>
          <w:tcPr>
            <w:tcW w:w="311" w:type="pct"/>
            <w:tcBorders>
              <w:top w:val="nil"/>
              <w:left w:val="nil"/>
              <w:bottom w:val="nil"/>
              <w:right w:val="nil"/>
            </w:tcBorders>
            <w:shd w:val="clear" w:color="auto" w:fill="auto"/>
            <w:noWrap/>
            <w:vAlign w:val="center"/>
            <w:hideMark/>
          </w:tcPr>
          <w:p w14:paraId="67826C93" w14:textId="77777777" w:rsidR="00257248" w:rsidRPr="00877650" w:rsidRDefault="00257248" w:rsidP="00323FD6">
            <w:pPr>
              <w:rPr>
                <w:rFonts w:ascii="Calibri" w:hAnsi="Calibri" w:cs="Calibri"/>
                <w:color w:val="000000"/>
              </w:rPr>
            </w:pPr>
            <w:r w:rsidRPr="00877650">
              <w:rPr>
                <w:rFonts w:ascii="Calibri" w:hAnsi="Calibri" w:cs="Calibri"/>
                <w:color w:val="000000"/>
              </w:rPr>
              <w:t>5335</w:t>
            </w:r>
          </w:p>
        </w:tc>
        <w:tc>
          <w:tcPr>
            <w:tcW w:w="413" w:type="pct"/>
            <w:tcBorders>
              <w:top w:val="nil"/>
              <w:left w:val="nil"/>
              <w:bottom w:val="nil"/>
              <w:right w:val="single" w:sz="4" w:space="0" w:color="auto"/>
            </w:tcBorders>
            <w:shd w:val="clear" w:color="auto" w:fill="auto"/>
            <w:noWrap/>
            <w:vAlign w:val="center"/>
            <w:hideMark/>
          </w:tcPr>
          <w:p w14:paraId="118C2EED"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0.0375%</w:t>
            </w:r>
          </w:p>
        </w:tc>
      </w:tr>
      <w:tr w:rsidR="00257248" w:rsidRPr="00877650" w14:paraId="610330B7" w14:textId="77777777" w:rsidTr="00323FD6">
        <w:trPr>
          <w:trHeight w:val="290"/>
        </w:trPr>
        <w:tc>
          <w:tcPr>
            <w:tcW w:w="1621" w:type="pct"/>
            <w:gridSpan w:val="3"/>
            <w:tcBorders>
              <w:top w:val="nil"/>
              <w:left w:val="single" w:sz="4" w:space="0" w:color="auto"/>
              <w:bottom w:val="nil"/>
              <w:right w:val="nil"/>
            </w:tcBorders>
            <w:shd w:val="clear" w:color="auto" w:fill="auto"/>
            <w:noWrap/>
            <w:vAlign w:val="center"/>
            <w:hideMark/>
          </w:tcPr>
          <w:p w14:paraId="3E99E6C0" w14:textId="77777777" w:rsidR="00257248" w:rsidRPr="00877650" w:rsidRDefault="00257248" w:rsidP="00323FD6">
            <w:pPr>
              <w:rPr>
                <w:rFonts w:ascii="Calibri" w:hAnsi="Calibri" w:cs="Calibri"/>
                <w:color w:val="F2F2F2"/>
              </w:rPr>
            </w:pPr>
          </w:p>
        </w:tc>
        <w:tc>
          <w:tcPr>
            <w:tcW w:w="311" w:type="pct"/>
            <w:tcBorders>
              <w:top w:val="nil"/>
              <w:left w:val="nil"/>
              <w:bottom w:val="nil"/>
              <w:right w:val="nil"/>
            </w:tcBorders>
            <w:shd w:val="clear" w:color="auto" w:fill="auto"/>
            <w:noWrap/>
            <w:vAlign w:val="center"/>
            <w:hideMark/>
          </w:tcPr>
          <w:p w14:paraId="31362DAA"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0682AB67" w14:textId="77777777" w:rsidR="00257248" w:rsidRPr="00877650" w:rsidRDefault="00257248" w:rsidP="00323FD6">
            <w:pPr>
              <w:rPr>
                <w:rFonts w:ascii="Calibri" w:hAnsi="Calibri" w:cs="Calibri"/>
                <w:color w:val="000000"/>
              </w:rPr>
            </w:pPr>
            <w:r w:rsidRPr="00877650">
              <w:rPr>
                <w:rFonts w:ascii="Calibri" w:hAnsi="Calibri" w:cs="Calibri"/>
                <w:color w:val="000000"/>
              </w:rPr>
              <w:t>hypothetical protein</w:t>
            </w:r>
          </w:p>
        </w:tc>
        <w:tc>
          <w:tcPr>
            <w:tcW w:w="552" w:type="pct"/>
            <w:tcBorders>
              <w:top w:val="nil"/>
              <w:left w:val="nil"/>
              <w:bottom w:val="nil"/>
              <w:right w:val="nil"/>
            </w:tcBorders>
            <w:shd w:val="clear" w:color="auto" w:fill="auto"/>
            <w:noWrap/>
            <w:vAlign w:val="center"/>
            <w:hideMark/>
          </w:tcPr>
          <w:p w14:paraId="5DF63D52" w14:textId="77777777" w:rsidR="00257248" w:rsidRPr="00877650" w:rsidRDefault="00257248" w:rsidP="00323FD6">
            <w:pPr>
              <w:rPr>
                <w:rFonts w:ascii="Calibri" w:hAnsi="Calibri" w:cs="Calibri"/>
                <w:color w:val="000000"/>
              </w:rPr>
            </w:pPr>
            <w:r w:rsidRPr="00877650">
              <w:rPr>
                <w:rFonts w:ascii="Calibri" w:hAnsi="Calibri" w:cs="Calibri"/>
                <w:color w:val="000000"/>
              </w:rPr>
              <w:t>hypothetical protein</w:t>
            </w:r>
          </w:p>
        </w:tc>
        <w:tc>
          <w:tcPr>
            <w:tcW w:w="448" w:type="pct"/>
            <w:tcBorders>
              <w:top w:val="nil"/>
              <w:left w:val="nil"/>
              <w:bottom w:val="nil"/>
              <w:right w:val="nil"/>
            </w:tcBorders>
            <w:shd w:val="clear" w:color="auto" w:fill="auto"/>
            <w:noWrap/>
            <w:vAlign w:val="center"/>
            <w:hideMark/>
          </w:tcPr>
          <w:p w14:paraId="4A9B67C0" w14:textId="77777777" w:rsidR="00257248" w:rsidRPr="00877650" w:rsidRDefault="00257248" w:rsidP="00323FD6">
            <w:pPr>
              <w:rPr>
                <w:rFonts w:ascii="Calibri" w:hAnsi="Calibri" w:cs="Calibri"/>
                <w:color w:val="000000"/>
              </w:rPr>
            </w:pPr>
            <w:r w:rsidRPr="00877650">
              <w:rPr>
                <w:rFonts w:ascii="Calibri" w:hAnsi="Calibri" w:cs="Calibri"/>
                <w:color w:val="000000"/>
              </w:rPr>
              <w:t>186</w:t>
            </w:r>
          </w:p>
        </w:tc>
        <w:tc>
          <w:tcPr>
            <w:tcW w:w="309" w:type="pct"/>
            <w:tcBorders>
              <w:top w:val="nil"/>
              <w:left w:val="nil"/>
              <w:bottom w:val="nil"/>
              <w:right w:val="nil"/>
            </w:tcBorders>
            <w:shd w:val="clear" w:color="auto" w:fill="auto"/>
            <w:noWrap/>
            <w:vAlign w:val="center"/>
            <w:hideMark/>
          </w:tcPr>
          <w:p w14:paraId="46E81F58" w14:textId="77777777" w:rsidR="00257248" w:rsidRPr="00877650" w:rsidRDefault="00257248" w:rsidP="00323FD6">
            <w:pPr>
              <w:rPr>
                <w:rFonts w:ascii="Calibri" w:hAnsi="Calibri" w:cs="Calibri"/>
                <w:color w:val="000000"/>
              </w:rPr>
            </w:pPr>
            <w:r w:rsidRPr="00877650">
              <w:rPr>
                <w:rFonts w:ascii="Calibri" w:hAnsi="Calibri" w:cs="Calibri"/>
                <w:color w:val="000000"/>
              </w:rPr>
              <w:t>34</w:t>
            </w:r>
          </w:p>
        </w:tc>
        <w:tc>
          <w:tcPr>
            <w:tcW w:w="240" w:type="pct"/>
            <w:tcBorders>
              <w:top w:val="nil"/>
              <w:left w:val="nil"/>
              <w:bottom w:val="nil"/>
              <w:right w:val="nil"/>
            </w:tcBorders>
            <w:shd w:val="clear" w:color="auto" w:fill="auto"/>
            <w:noWrap/>
            <w:vAlign w:val="center"/>
            <w:hideMark/>
          </w:tcPr>
          <w:p w14:paraId="520750B4" w14:textId="77777777" w:rsidR="00257248" w:rsidRPr="00877650" w:rsidRDefault="00257248" w:rsidP="00323FD6">
            <w:pPr>
              <w:rPr>
                <w:rFonts w:ascii="Calibri" w:hAnsi="Calibri" w:cs="Calibri"/>
                <w:color w:val="000000"/>
              </w:rPr>
            </w:pPr>
            <w:r w:rsidRPr="00877650">
              <w:rPr>
                <w:rFonts w:ascii="Calibri" w:hAnsi="Calibri" w:cs="Calibri"/>
                <w:color w:val="000000"/>
              </w:rPr>
              <w:t>14.9</w:t>
            </w:r>
          </w:p>
        </w:tc>
        <w:tc>
          <w:tcPr>
            <w:tcW w:w="1035" w:type="pct"/>
            <w:gridSpan w:val="3"/>
            <w:tcBorders>
              <w:top w:val="nil"/>
              <w:left w:val="nil"/>
              <w:bottom w:val="nil"/>
              <w:right w:val="single" w:sz="4" w:space="0" w:color="auto"/>
            </w:tcBorders>
            <w:shd w:val="clear" w:color="auto" w:fill="auto"/>
            <w:noWrap/>
            <w:vAlign w:val="center"/>
            <w:hideMark/>
          </w:tcPr>
          <w:p w14:paraId="7DAFEC25" w14:textId="77777777" w:rsidR="00257248" w:rsidRPr="00877650" w:rsidRDefault="00257248" w:rsidP="00323FD6">
            <w:pPr>
              <w:rPr>
                <w:rFonts w:ascii="Calibri" w:hAnsi="Calibri" w:cs="Calibri"/>
                <w:color w:val="000000"/>
              </w:rPr>
            </w:pPr>
          </w:p>
        </w:tc>
      </w:tr>
      <w:tr w:rsidR="00257248" w:rsidRPr="00877650" w14:paraId="0BAECE97" w14:textId="77777777" w:rsidTr="00323FD6">
        <w:trPr>
          <w:trHeight w:val="290"/>
        </w:trPr>
        <w:tc>
          <w:tcPr>
            <w:tcW w:w="516" w:type="pct"/>
            <w:tcBorders>
              <w:top w:val="single" w:sz="4" w:space="0" w:color="auto"/>
              <w:left w:val="single" w:sz="4" w:space="0" w:color="auto"/>
              <w:bottom w:val="single" w:sz="4" w:space="0" w:color="auto"/>
              <w:right w:val="nil"/>
            </w:tcBorders>
            <w:shd w:val="clear" w:color="auto" w:fill="auto"/>
            <w:noWrap/>
            <w:vAlign w:val="center"/>
            <w:hideMark/>
          </w:tcPr>
          <w:p w14:paraId="5270BE43" w14:textId="77777777" w:rsidR="00257248" w:rsidRPr="00877650" w:rsidRDefault="00257248" w:rsidP="00323FD6">
            <w:pPr>
              <w:rPr>
                <w:rFonts w:ascii="Calibri" w:hAnsi="Calibri" w:cs="Calibri"/>
                <w:color w:val="000000"/>
              </w:rPr>
            </w:pPr>
            <w:r w:rsidRPr="00877650">
              <w:rPr>
                <w:rFonts w:ascii="Calibri" w:hAnsi="Calibri" w:cs="Calibri"/>
                <w:color w:val="000000"/>
              </w:rPr>
              <w:t>2521172619</w:t>
            </w:r>
          </w:p>
        </w:tc>
        <w:tc>
          <w:tcPr>
            <w:tcW w:w="589" w:type="pct"/>
            <w:tcBorders>
              <w:top w:val="single" w:sz="4" w:space="0" w:color="auto"/>
              <w:left w:val="nil"/>
              <w:bottom w:val="single" w:sz="4" w:space="0" w:color="auto"/>
              <w:right w:val="nil"/>
            </w:tcBorders>
            <w:shd w:val="clear" w:color="auto" w:fill="auto"/>
            <w:noWrap/>
            <w:vAlign w:val="center"/>
            <w:hideMark/>
          </w:tcPr>
          <w:p w14:paraId="4A3FEBC1"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Leisingera</w:t>
            </w:r>
            <w:proofErr w:type="spellEnd"/>
            <w:r w:rsidRPr="00877650">
              <w:rPr>
                <w:rFonts w:ascii="Calibri" w:hAnsi="Calibri" w:cs="Calibri"/>
                <w:color w:val="000000"/>
              </w:rPr>
              <w:t xml:space="preserve"> </w:t>
            </w:r>
            <w:proofErr w:type="spellStart"/>
            <w:r w:rsidRPr="00877650">
              <w:rPr>
                <w:rFonts w:ascii="Calibri" w:hAnsi="Calibri" w:cs="Calibri"/>
                <w:color w:val="000000"/>
              </w:rPr>
              <w:t>daeponensis</w:t>
            </w:r>
            <w:proofErr w:type="spellEnd"/>
            <w:r w:rsidRPr="00877650">
              <w:rPr>
                <w:rFonts w:ascii="Calibri" w:hAnsi="Calibri" w:cs="Calibri"/>
                <w:color w:val="000000"/>
              </w:rPr>
              <w:t xml:space="preserve"> DSM 23529</w:t>
            </w:r>
          </w:p>
        </w:tc>
        <w:tc>
          <w:tcPr>
            <w:tcW w:w="516" w:type="pct"/>
            <w:tcBorders>
              <w:top w:val="single" w:sz="4" w:space="0" w:color="auto"/>
              <w:left w:val="nil"/>
              <w:bottom w:val="single" w:sz="4" w:space="0" w:color="auto"/>
              <w:right w:val="nil"/>
            </w:tcBorders>
            <w:shd w:val="clear" w:color="auto" w:fill="auto"/>
            <w:noWrap/>
            <w:vAlign w:val="center"/>
            <w:hideMark/>
          </w:tcPr>
          <w:p w14:paraId="114415AC"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311" w:type="pct"/>
            <w:tcBorders>
              <w:top w:val="single" w:sz="4" w:space="0" w:color="auto"/>
              <w:left w:val="nil"/>
              <w:bottom w:val="single" w:sz="4" w:space="0" w:color="auto"/>
              <w:right w:val="nil"/>
            </w:tcBorders>
            <w:shd w:val="clear" w:color="auto" w:fill="auto"/>
            <w:noWrap/>
            <w:vAlign w:val="center"/>
            <w:hideMark/>
          </w:tcPr>
          <w:p w14:paraId="7C0010B1"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484" w:type="pct"/>
            <w:tcBorders>
              <w:top w:val="single" w:sz="4" w:space="0" w:color="auto"/>
              <w:left w:val="nil"/>
              <w:bottom w:val="single" w:sz="4" w:space="0" w:color="auto"/>
              <w:right w:val="nil"/>
            </w:tcBorders>
            <w:shd w:val="clear" w:color="auto" w:fill="auto"/>
            <w:noWrap/>
            <w:vAlign w:val="center"/>
            <w:hideMark/>
          </w:tcPr>
          <w:p w14:paraId="298D52C2"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552" w:type="pct"/>
            <w:tcBorders>
              <w:top w:val="single" w:sz="4" w:space="0" w:color="auto"/>
              <w:left w:val="nil"/>
              <w:bottom w:val="single" w:sz="4" w:space="0" w:color="auto"/>
              <w:right w:val="nil"/>
            </w:tcBorders>
            <w:shd w:val="clear" w:color="auto" w:fill="auto"/>
            <w:noWrap/>
            <w:vAlign w:val="center"/>
            <w:hideMark/>
          </w:tcPr>
          <w:p w14:paraId="2DACAB14"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448" w:type="pct"/>
            <w:tcBorders>
              <w:top w:val="single" w:sz="4" w:space="0" w:color="auto"/>
              <w:left w:val="nil"/>
              <w:bottom w:val="single" w:sz="4" w:space="0" w:color="auto"/>
              <w:right w:val="nil"/>
            </w:tcBorders>
            <w:shd w:val="clear" w:color="auto" w:fill="auto"/>
            <w:noWrap/>
            <w:vAlign w:val="center"/>
            <w:hideMark/>
          </w:tcPr>
          <w:p w14:paraId="542BE67F"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309" w:type="pct"/>
            <w:tcBorders>
              <w:top w:val="single" w:sz="4" w:space="0" w:color="auto"/>
              <w:left w:val="nil"/>
              <w:bottom w:val="single" w:sz="4" w:space="0" w:color="auto"/>
              <w:right w:val="nil"/>
            </w:tcBorders>
            <w:shd w:val="clear" w:color="auto" w:fill="auto"/>
            <w:noWrap/>
            <w:vAlign w:val="center"/>
            <w:hideMark/>
          </w:tcPr>
          <w:p w14:paraId="333673E0"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240" w:type="pct"/>
            <w:tcBorders>
              <w:top w:val="single" w:sz="4" w:space="0" w:color="auto"/>
              <w:left w:val="nil"/>
              <w:bottom w:val="single" w:sz="4" w:space="0" w:color="auto"/>
              <w:right w:val="nil"/>
            </w:tcBorders>
            <w:shd w:val="clear" w:color="auto" w:fill="auto"/>
            <w:noWrap/>
            <w:vAlign w:val="center"/>
            <w:hideMark/>
          </w:tcPr>
          <w:p w14:paraId="4B0814C4"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311" w:type="pct"/>
            <w:tcBorders>
              <w:top w:val="single" w:sz="4" w:space="0" w:color="auto"/>
              <w:left w:val="nil"/>
              <w:bottom w:val="single" w:sz="4" w:space="0" w:color="auto"/>
              <w:right w:val="nil"/>
            </w:tcBorders>
            <w:shd w:val="clear" w:color="auto" w:fill="auto"/>
            <w:noWrap/>
            <w:vAlign w:val="center"/>
            <w:hideMark/>
          </w:tcPr>
          <w:p w14:paraId="10118C7B" w14:textId="77777777" w:rsidR="00257248" w:rsidRPr="00877650" w:rsidRDefault="00257248" w:rsidP="00323FD6">
            <w:pPr>
              <w:rPr>
                <w:rFonts w:ascii="Calibri" w:hAnsi="Calibri" w:cs="Calibri"/>
                <w:color w:val="000000"/>
              </w:rPr>
            </w:pPr>
            <w:r w:rsidRPr="00877650">
              <w:rPr>
                <w:rFonts w:ascii="Calibri" w:hAnsi="Calibri" w:cs="Calibri"/>
                <w:color w:val="000000"/>
              </w:rPr>
              <w:t>0</w:t>
            </w:r>
          </w:p>
        </w:tc>
        <w:tc>
          <w:tcPr>
            <w:tcW w:w="311" w:type="pct"/>
            <w:tcBorders>
              <w:top w:val="single" w:sz="4" w:space="0" w:color="auto"/>
              <w:left w:val="nil"/>
              <w:bottom w:val="single" w:sz="4" w:space="0" w:color="auto"/>
              <w:right w:val="nil"/>
            </w:tcBorders>
            <w:shd w:val="clear" w:color="auto" w:fill="auto"/>
            <w:noWrap/>
            <w:vAlign w:val="center"/>
            <w:hideMark/>
          </w:tcPr>
          <w:p w14:paraId="0C470608" w14:textId="77777777" w:rsidR="00257248" w:rsidRPr="00877650" w:rsidRDefault="00257248" w:rsidP="00323FD6">
            <w:pPr>
              <w:rPr>
                <w:rFonts w:ascii="Calibri" w:hAnsi="Calibri" w:cs="Calibri"/>
                <w:color w:val="000000"/>
              </w:rPr>
            </w:pPr>
            <w:r w:rsidRPr="00877650">
              <w:rPr>
                <w:rFonts w:ascii="Calibri" w:hAnsi="Calibri" w:cs="Calibri"/>
                <w:color w:val="000000"/>
              </w:rPr>
              <w:t>4388</w:t>
            </w:r>
          </w:p>
        </w:tc>
        <w:tc>
          <w:tcPr>
            <w:tcW w:w="413" w:type="pct"/>
            <w:tcBorders>
              <w:top w:val="single" w:sz="4" w:space="0" w:color="auto"/>
              <w:left w:val="nil"/>
              <w:bottom w:val="single" w:sz="4" w:space="0" w:color="auto"/>
              <w:right w:val="single" w:sz="4" w:space="0" w:color="auto"/>
            </w:tcBorders>
            <w:shd w:val="clear" w:color="auto" w:fill="auto"/>
            <w:noWrap/>
            <w:vAlign w:val="center"/>
            <w:hideMark/>
          </w:tcPr>
          <w:p w14:paraId="1BBF0EFD"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0.00%</w:t>
            </w:r>
          </w:p>
        </w:tc>
      </w:tr>
      <w:tr w:rsidR="00257248" w:rsidRPr="00877650" w14:paraId="431F1F9A" w14:textId="77777777" w:rsidTr="00323FD6">
        <w:trPr>
          <w:trHeight w:val="290"/>
        </w:trPr>
        <w:tc>
          <w:tcPr>
            <w:tcW w:w="516" w:type="pct"/>
            <w:tcBorders>
              <w:top w:val="nil"/>
              <w:left w:val="single" w:sz="4" w:space="0" w:color="auto"/>
              <w:bottom w:val="single" w:sz="4" w:space="0" w:color="auto"/>
              <w:right w:val="nil"/>
            </w:tcBorders>
            <w:shd w:val="clear" w:color="auto" w:fill="auto"/>
            <w:noWrap/>
            <w:vAlign w:val="center"/>
            <w:hideMark/>
          </w:tcPr>
          <w:p w14:paraId="4C381FB1" w14:textId="77777777" w:rsidR="00257248" w:rsidRPr="00877650" w:rsidRDefault="00257248" w:rsidP="00323FD6">
            <w:pPr>
              <w:rPr>
                <w:rFonts w:ascii="Calibri" w:hAnsi="Calibri" w:cs="Calibri"/>
                <w:color w:val="000000"/>
              </w:rPr>
            </w:pPr>
            <w:r w:rsidRPr="00877650">
              <w:rPr>
                <w:rFonts w:ascii="Calibri" w:hAnsi="Calibri" w:cs="Calibri"/>
                <w:color w:val="000000"/>
              </w:rPr>
              <w:t>2512564009</w:t>
            </w:r>
          </w:p>
        </w:tc>
        <w:tc>
          <w:tcPr>
            <w:tcW w:w="589" w:type="pct"/>
            <w:tcBorders>
              <w:top w:val="nil"/>
              <w:left w:val="nil"/>
              <w:bottom w:val="single" w:sz="4" w:space="0" w:color="auto"/>
              <w:right w:val="nil"/>
            </w:tcBorders>
            <w:shd w:val="clear" w:color="auto" w:fill="auto"/>
            <w:noWrap/>
            <w:vAlign w:val="center"/>
            <w:hideMark/>
          </w:tcPr>
          <w:p w14:paraId="2024A2EB"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Leisingera</w:t>
            </w:r>
            <w:proofErr w:type="spellEnd"/>
            <w:r w:rsidRPr="00877650">
              <w:rPr>
                <w:rFonts w:ascii="Calibri" w:hAnsi="Calibri" w:cs="Calibri"/>
                <w:color w:val="000000"/>
              </w:rPr>
              <w:t xml:space="preserve"> </w:t>
            </w:r>
            <w:proofErr w:type="spellStart"/>
            <w:r w:rsidRPr="00877650">
              <w:rPr>
                <w:rFonts w:ascii="Calibri" w:hAnsi="Calibri" w:cs="Calibri"/>
                <w:color w:val="000000"/>
              </w:rPr>
              <w:t>methylohalidivorans</w:t>
            </w:r>
            <w:proofErr w:type="spellEnd"/>
            <w:r w:rsidRPr="00877650">
              <w:rPr>
                <w:rFonts w:ascii="Calibri" w:hAnsi="Calibri" w:cs="Calibri"/>
                <w:color w:val="000000"/>
              </w:rPr>
              <w:t xml:space="preserve"> MB2, DSM 14336</w:t>
            </w:r>
          </w:p>
        </w:tc>
        <w:tc>
          <w:tcPr>
            <w:tcW w:w="516" w:type="pct"/>
            <w:tcBorders>
              <w:top w:val="nil"/>
              <w:left w:val="nil"/>
              <w:bottom w:val="single" w:sz="4" w:space="0" w:color="auto"/>
              <w:right w:val="nil"/>
            </w:tcBorders>
            <w:shd w:val="clear" w:color="auto" w:fill="auto"/>
            <w:noWrap/>
            <w:vAlign w:val="center"/>
            <w:hideMark/>
          </w:tcPr>
          <w:p w14:paraId="388ACE24" w14:textId="77777777" w:rsidR="00257248" w:rsidRPr="00877650" w:rsidRDefault="00257248" w:rsidP="00323FD6">
            <w:pPr>
              <w:rPr>
                <w:rFonts w:ascii="Calibri" w:hAnsi="Calibri" w:cs="Calibri"/>
                <w:color w:val="000000"/>
              </w:rPr>
            </w:pPr>
            <w:r w:rsidRPr="00877650">
              <w:rPr>
                <w:rFonts w:ascii="Calibri" w:hAnsi="Calibri" w:cs="Calibri"/>
                <w:color w:val="000000"/>
              </w:rPr>
              <w:t>Leime_Contig76.3</w:t>
            </w:r>
          </w:p>
        </w:tc>
        <w:tc>
          <w:tcPr>
            <w:tcW w:w="311" w:type="pct"/>
            <w:tcBorders>
              <w:top w:val="nil"/>
              <w:left w:val="nil"/>
              <w:bottom w:val="single" w:sz="4" w:space="0" w:color="auto"/>
              <w:right w:val="nil"/>
            </w:tcBorders>
            <w:shd w:val="clear" w:color="auto" w:fill="auto"/>
            <w:noWrap/>
            <w:vAlign w:val="center"/>
            <w:hideMark/>
          </w:tcPr>
          <w:p w14:paraId="4012FA78"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single" w:sz="4" w:space="0" w:color="auto"/>
              <w:right w:val="nil"/>
            </w:tcBorders>
            <w:shd w:val="clear" w:color="auto" w:fill="auto"/>
            <w:noWrap/>
            <w:vAlign w:val="center"/>
            <w:hideMark/>
          </w:tcPr>
          <w:p w14:paraId="331F9AB2" w14:textId="77777777" w:rsidR="00257248" w:rsidRPr="00877650" w:rsidRDefault="00257248" w:rsidP="00323FD6">
            <w:pPr>
              <w:rPr>
                <w:rFonts w:ascii="Calibri" w:hAnsi="Calibri" w:cs="Calibri"/>
                <w:color w:val="000000"/>
              </w:rPr>
            </w:pPr>
            <w:proofErr w:type="spellStart"/>
            <w:proofErr w:type="gramStart"/>
            <w:r w:rsidRPr="00877650">
              <w:rPr>
                <w:rFonts w:ascii="Calibri" w:hAnsi="Calibri" w:cs="Calibri"/>
                <w:color w:val="000000"/>
              </w:rPr>
              <w:t>nucleobase:cation</w:t>
            </w:r>
            <w:proofErr w:type="spellEnd"/>
            <w:proofErr w:type="gramEnd"/>
            <w:r w:rsidRPr="00877650">
              <w:rPr>
                <w:rFonts w:ascii="Calibri" w:hAnsi="Calibri" w:cs="Calibri"/>
                <w:color w:val="000000"/>
              </w:rPr>
              <w:t xml:space="preserve"> symporter-1, NCS1 family</w:t>
            </w:r>
          </w:p>
        </w:tc>
        <w:tc>
          <w:tcPr>
            <w:tcW w:w="552" w:type="pct"/>
            <w:tcBorders>
              <w:top w:val="nil"/>
              <w:left w:val="nil"/>
              <w:bottom w:val="single" w:sz="4" w:space="0" w:color="auto"/>
              <w:right w:val="nil"/>
            </w:tcBorders>
            <w:shd w:val="clear" w:color="auto" w:fill="auto"/>
            <w:noWrap/>
            <w:vAlign w:val="center"/>
            <w:hideMark/>
          </w:tcPr>
          <w:p w14:paraId="5E7E74FB" w14:textId="77777777" w:rsidR="00257248" w:rsidRPr="00877650" w:rsidRDefault="00257248" w:rsidP="00323FD6">
            <w:pPr>
              <w:rPr>
                <w:rFonts w:ascii="Calibri" w:hAnsi="Calibri" w:cs="Calibri"/>
                <w:color w:val="000000"/>
              </w:rPr>
            </w:pPr>
            <w:r w:rsidRPr="00877650">
              <w:rPr>
                <w:rFonts w:ascii="Calibri" w:hAnsi="Calibri" w:cs="Calibri"/>
                <w:color w:val="000000"/>
              </w:rPr>
              <w:t>2,4-dienoyl-CoA reductase</w:t>
            </w:r>
          </w:p>
        </w:tc>
        <w:tc>
          <w:tcPr>
            <w:tcW w:w="448" w:type="pct"/>
            <w:tcBorders>
              <w:top w:val="nil"/>
              <w:left w:val="nil"/>
              <w:bottom w:val="single" w:sz="4" w:space="0" w:color="auto"/>
              <w:right w:val="nil"/>
            </w:tcBorders>
            <w:shd w:val="clear" w:color="auto" w:fill="auto"/>
            <w:noWrap/>
            <w:vAlign w:val="center"/>
            <w:hideMark/>
          </w:tcPr>
          <w:p w14:paraId="345AA49D" w14:textId="77777777" w:rsidR="00257248" w:rsidRPr="00877650" w:rsidRDefault="00257248" w:rsidP="00323FD6">
            <w:pPr>
              <w:rPr>
                <w:rFonts w:ascii="Calibri" w:hAnsi="Calibri" w:cs="Calibri"/>
                <w:color w:val="000000"/>
              </w:rPr>
            </w:pPr>
            <w:r w:rsidRPr="00877650">
              <w:rPr>
                <w:rFonts w:ascii="Calibri" w:hAnsi="Calibri" w:cs="Calibri"/>
                <w:color w:val="000000"/>
              </w:rPr>
              <w:t>294</w:t>
            </w:r>
          </w:p>
        </w:tc>
        <w:tc>
          <w:tcPr>
            <w:tcW w:w="309" w:type="pct"/>
            <w:tcBorders>
              <w:top w:val="nil"/>
              <w:left w:val="nil"/>
              <w:bottom w:val="single" w:sz="4" w:space="0" w:color="auto"/>
              <w:right w:val="nil"/>
            </w:tcBorders>
            <w:shd w:val="clear" w:color="auto" w:fill="auto"/>
            <w:noWrap/>
            <w:vAlign w:val="center"/>
            <w:hideMark/>
          </w:tcPr>
          <w:p w14:paraId="1469F64D" w14:textId="77777777" w:rsidR="00257248" w:rsidRPr="00877650" w:rsidRDefault="00257248" w:rsidP="00323FD6">
            <w:pPr>
              <w:rPr>
                <w:rFonts w:ascii="Calibri" w:hAnsi="Calibri" w:cs="Calibri"/>
                <w:color w:val="000000"/>
              </w:rPr>
            </w:pPr>
            <w:r w:rsidRPr="00877650">
              <w:rPr>
                <w:rFonts w:ascii="Calibri" w:hAnsi="Calibri" w:cs="Calibri"/>
                <w:color w:val="000000"/>
              </w:rPr>
              <w:t>644</w:t>
            </w:r>
          </w:p>
        </w:tc>
        <w:tc>
          <w:tcPr>
            <w:tcW w:w="240" w:type="pct"/>
            <w:tcBorders>
              <w:top w:val="nil"/>
              <w:left w:val="nil"/>
              <w:bottom w:val="single" w:sz="4" w:space="0" w:color="auto"/>
              <w:right w:val="nil"/>
            </w:tcBorders>
            <w:shd w:val="clear" w:color="auto" w:fill="auto"/>
            <w:noWrap/>
            <w:vAlign w:val="center"/>
            <w:hideMark/>
          </w:tcPr>
          <w:p w14:paraId="401AA497" w14:textId="77777777" w:rsidR="00257248" w:rsidRPr="00877650" w:rsidRDefault="00257248" w:rsidP="00323FD6">
            <w:pPr>
              <w:rPr>
                <w:rFonts w:ascii="Calibri" w:hAnsi="Calibri" w:cs="Calibri"/>
                <w:color w:val="000000"/>
              </w:rPr>
            </w:pPr>
            <w:r w:rsidRPr="00877650">
              <w:rPr>
                <w:rFonts w:ascii="Calibri" w:hAnsi="Calibri" w:cs="Calibri"/>
                <w:color w:val="000000"/>
              </w:rPr>
              <w:t>16.3</w:t>
            </w:r>
          </w:p>
        </w:tc>
        <w:tc>
          <w:tcPr>
            <w:tcW w:w="311" w:type="pct"/>
            <w:tcBorders>
              <w:top w:val="nil"/>
              <w:left w:val="nil"/>
              <w:bottom w:val="single" w:sz="4" w:space="0" w:color="auto"/>
              <w:right w:val="nil"/>
            </w:tcBorders>
            <w:shd w:val="clear" w:color="auto" w:fill="auto"/>
            <w:noWrap/>
            <w:vAlign w:val="center"/>
            <w:hideMark/>
          </w:tcPr>
          <w:p w14:paraId="59290CAC" w14:textId="77777777" w:rsidR="00257248" w:rsidRPr="00877650" w:rsidRDefault="00257248" w:rsidP="00323FD6">
            <w:pPr>
              <w:rPr>
                <w:rFonts w:ascii="Calibri" w:hAnsi="Calibri" w:cs="Calibri"/>
                <w:color w:val="000000"/>
              </w:rPr>
            </w:pPr>
            <w:r w:rsidRPr="00877650">
              <w:rPr>
                <w:rFonts w:ascii="Calibri" w:hAnsi="Calibri" w:cs="Calibri"/>
                <w:color w:val="000000"/>
              </w:rPr>
              <w:t>1</w:t>
            </w:r>
          </w:p>
        </w:tc>
        <w:tc>
          <w:tcPr>
            <w:tcW w:w="311" w:type="pct"/>
            <w:tcBorders>
              <w:top w:val="nil"/>
              <w:left w:val="nil"/>
              <w:bottom w:val="single" w:sz="4" w:space="0" w:color="auto"/>
              <w:right w:val="nil"/>
            </w:tcBorders>
            <w:shd w:val="clear" w:color="auto" w:fill="auto"/>
            <w:noWrap/>
            <w:vAlign w:val="center"/>
            <w:hideMark/>
          </w:tcPr>
          <w:p w14:paraId="16D7F7D5" w14:textId="77777777" w:rsidR="00257248" w:rsidRPr="00877650" w:rsidRDefault="00257248" w:rsidP="00323FD6">
            <w:pPr>
              <w:rPr>
                <w:rFonts w:ascii="Calibri" w:hAnsi="Calibri" w:cs="Calibri"/>
                <w:color w:val="000000"/>
              </w:rPr>
            </w:pPr>
            <w:r w:rsidRPr="00877650">
              <w:rPr>
                <w:rFonts w:ascii="Calibri" w:hAnsi="Calibri" w:cs="Calibri"/>
                <w:color w:val="000000"/>
              </w:rPr>
              <w:t>4608</w:t>
            </w:r>
          </w:p>
        </w:tc>
        <w:tc>
          <w:tcPr>
            <w:tcW w:w="413" w:type="pct"/>
            <w:tcBorders>
              <w:top w:val="nil"/>
              <w:left w:val="nil"/>
              <w:bottom w:val="single" w:sz="4" w:space="0" w:color="auto"/>
              <w:right w:val="single" w:sz="4" w:space="0" w:color="auto"/>
            </w:tcBorders>
            <w:shd w:val="clear" w:color="auto" w:fill="auto"/>
            <w:noWrap/>
            <w:vAlign w:val="center"/>
            <w:hideMark/>
          </w:tcPr>
          <w:p w14:paraId="764B5595"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0.0217%</w:t>
            </w:r>
          </w:p>
        </w:tc>
      </w:tr>
      <w:tr w:rsidR="00257248" w:rsidRPr="00877650" w14:paraId="6ECD5198" w14:textId="77777777" w:rsidTr="00323FD6">
        <w:trPr>
          <w:trHeight w:val="290"/>
        </w:trPr>
        <w:tc>
          <w:tcPr>
            <w:tcW w:w="516" w:type="pct"/>
            <w:tcBorders>
              <w:top w:val="nil"/>
              <w:left w:val="single" w:sz="4" w:space="0" w:color="auto"/>
              <w:bottom w:val="nil"/>
              <w:right w:val="nil"/>
            </w:tcBorders>
            <w:shd w:val="clear" w:color="auto" w:fill="auto"/>
            <w:noWrap/>
            <w:vAlign w:val="center"/>
            <w:hideMark/>
          </w:tcPr>
          <w:p w14:paraId="1C0C3522" w14:textId="77777777" w:rsidR="00257248" w:rsidRPr="00877650" w:rsidRDefault="00257248" w:rsidP="00323FD6">
            <w:pPr>
              <w:rPr>
                <w:rFonts w:ascii="Calibri" w:hAnsi="Calibri" w:cs="Calibri"/>
                <w:color w:val="000000"/>
              </w:rPr>
            </w:pPr>
            <w:r w:rsidRPr="00877650">
              <w:rPr>
                <w:rFonts w:ascii="Calibri" w:hAnsi="Calibri" w:cs="Calibri"/>
                <w:color w:val="000000"/>
              </w:rPr>
              <w:lastRenderedPageBreak/>
              <w:t>2556921661</w:t>
            </w:r>
          </w:p>
        </w:tc>
        <w:tc>
          <w:tcPr>
            <w:tcW w:w="589" w:type="pct"/>
            <w:tcBorders>
              <w:top w:val="nil"/>
              <w:left w:val="nil"/>
              <w:bottom w:val="nil"/>
              <w:right w:val="nil"/>
            </w:tcBorders>
            <w:shd w:val="clear" w:color="auto" w:fill="auto"/>
            <w:noWrap/>
            <w:vAlign w:val="center"/>
            <w:hideMark/>
          </w:tcPr>
          <w:p w14:paraId="1B5F1931"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Leisingera</w:t>
            </w:r>
            <w:proofErr w:type="spellEnd"/>
            <w:r w:rsidRPr="00877650">
              <w:rPr>
                <w:rFonts w:ascii="Calibri" w:hAnsi="Calibri" w:cs="Calibri"/>
                <w:color w:val="000000"/>
              </w:rPr>
              <w:t xml:space="preserve"> sp. ANG1</w:t>
            </w:r>
          </w:p>
        </w:tc>
        <w:tc>
          <w:tcPr>
            <w:tcW w:w="516" w:type="pct"/>
            <w:tcBorders>
              <w:top w:val="nil"/>
              <w:left w:val="nil"/>
              <w:bottom w:val="nil"/>
              <w:right w:val="nil"/>
            </w:tcBorders>
            <w:shd w:val="clear" w:color="auto" w:fill="auto"/>
            <w:noWrap/>
            <w:vAlign w:val="center"/>
            <w:hideMark/>
          </w:tcPr>
          <w:p w14:paraId="2A563D5A" w14:textId="77777777" w:rsidR="00257248" w:rsidRPr="00877650" w:rsidRDefault="00257248" w:rsidP="00323FD6">
            <w:pPr>
              <w:rPr>
                <w:rFonts w:ascii="Calibri" w:hAnsi="Calibri" w:cs="Calibri"/>
                <w:color w:val="000000"/>
              </w:rPr>
            </w:pPr>
            <w:r w:rsidRPr="00877650">
              <w:rPr>
                <w:rFonts w:ascii="Calibri" w:hAnsi="Calibri" w:cs="Calibri"/>
                <w:color w:val="000000"/>
              </w:rPr>
              <w:t>ANG1_gi328751003.54</w:t>
            </w:r>
          </w:p>
        </w:tc>
        <w:tc>
          <w:tcPr>
            <w:tcW w:w="311" w:type="pct"/>
            <w:tcBorders>
              <w:top w:val="nil"/>
              <w:left w:val="nil"/>
              <w:bottom w:val="nil"/>
              <w:right w:val="nil"/>
            </w:tcBorders>
            <w:shd w:val="clear" w:color="auto" w:fill="auto"/>
            <w:noWrap/>
            <w:vAlign w:val="center"/>
            <w:hideMark/>
          </w:tcPr>
          <w:p w14:paraId="497C6349"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43F9CD33" w14:textId="77777777" w:rsidR="00257248" w:rsidRPr="00877650" w:rsidRDefault="00257248" w:rsidP="00323FD6">
            <w:pPr>
              <w:rPr>
                <w:rFonts w:ascii="Calibri" w:hAnsi="Calibri" w:cs="Calibri"/>
                <w:color w:val="000000"/>
              </w:rPr>
            </w:pPr>
            <w:r w:rsidRPr="00877650">
              <w:rPr>
                <w:rFonts w:ascii="Calibri" w:hAnsi="Calibri" w:cs="Calibri"/>
                <w:color w:val="000000"/>
              </w:rPr>
              <w:t>conserved hypothetical protein</w:t>
            </w:r>
          </w:p>
        </w:tc>
        <w:tc>
          <w:tcPr>
            <w:tcW w:w="552" w:type="pct"/>
            <w:tcBorders>
              <w:top w:val="nil"/>
              <w:left w:val="nil"/>
              <w:bottom w:val="nil"/>
              <w:right w:val="nil"/>
            </w:tcBorders>
            <w:shd w:val="clear" w:color="auto" w:fill="auto"/>
            <w:noWrap/>
            <w:vAlign w:val="center"/>
            <w:hideMark/>
          </w:tcPr>
          <w:p w14:paraId="6141E3A9" w14:textId="77777777" w:rsidR="00257248" w:rsidRPr="00877650" w:rsidRDefault="00257248" w:rsidP="00323FD6">
            <w:pPr>
              <w:rPr>
                <w:rFonts w:ascii="Calibri" w:hAnsi="Calibri" w:cs="Calibri"/>
                <w:color w:val="000000"/>
              </w:rPr>
            </w:pPr>
            <w:r w:rsidRPr="00877650">
              <w:rPr>
                <w:rFonts w:ascii="Calibri" w:hAnsi="Calibri" w:cs="Calibri"/>
                <w:color w:val="000000"/>
              </w:rPr>
              <w:t>(R)-</w:t>
            </w:r>
            <w:proofErr w:type="spellStart"/>
            <w:r w:rsidRPr="00877650">
              <w:rPr>
                <w:rFonts w:ascii="Calibri" w:hAnsi="Calibri" w:cs="Calibri"/>
                <w:color w:val="000000"/>
              </w:rPr>
              <w:t>ethylmalonyl</w:t>
            </w:r>
            <w:proofErr w:type="spellEnd"/>
            <w:r w:rsidRPr="00877650">
              <w:rPr>
                <w:rFonts w:ascii="Calibri" w:hAnsi="Calibri" w:cs="Calibri"/>
                <w:color w:val="000000"/>
              </w:rPr>
              <w:t>-CoA mutase</w:t>
            </w:r>
          </w:p>
        </w:tc>
        <w:tc>
          <w:tcPr>
            <w:tcW w:w="448" w:type="pct"/>
            <w:tcBorders>
              <w:top w:val="nil"/>
              <w:left w:val="nil"/>
              <w:bottom w:val="nil"/>
              <w:right w:val="nil"/>
            </w:tcBorders>
            <w:shd w:val="clear" w:color="auto" w:fill="auto"/>
            <w:noWrap/>
            <w:vAlign w:val="center"/>
            <w:hideMark/>
          </w:tcPr>
          <w:p w14:paraId="37C7A4D5" w14:textId="77777777" w:rsidR="00257248" w:rsidRPr="00877650" w:rsidRDefault="00257248" w:rsidP="00323FD6">
            <w:pPr>
              <w:rPr>
                <w:rFonts w:ascii="Calibri" w:hAnsi="Calibri" w:cs="Calibri"/>
                <w:color w:val="000000"/>
              </w:rPr>
            </w:pPr>
            <w:r w:rsidRPr="00877650">
              <w:rPr>
                <w:rFonts w:ascii="Calibri" w:hAnsi="Calibri" w:cs="Calibri"/>
                <w:color w:val="000000"/>
              </w:rPr>
              <w:t>3097</w:t>
            </w:r>
          </w:p>
        </w:tc>
        <w:tc>
          <w:tcPr>
            <w:tcW w:w="309" w:type="pct"/>
            <w:tcBorders>
              <w:top w:val="nil"/>
              <w:left w:val="nil"/>
              <w:bottom w:val="nil"/>
              <w:right w:val="nil"/>
            </w:tcBorders>
            <w:shd w:val="clear" w:color="auto" w:fill="auto"/>
            <w:noWrap/>
            <w:vAlign w:val="center"/>
            <w:hideMark/>
          </w:tcPr>
          <w:p w14:paraId="010B6270" w14:textId="77777777" w:rsidR="00257248" w:rsidRPr="00877650" w:rsidRDefault="00257248" w:rsidP="00323FD6">
            <w:pPr>
              <w:rPr>
                <w:rFonts w:ascii="Calibri" w:hAnsi="Calibri" w:cs="Calibri"/>
                <w:color w:val="000000"/>
              </w:rPr>
            </w:pPr>
            <w:r w:rsidRPr="00877650">
              <w:rPr>
                <w:rFonts w:ascii="Calibri" w:hAnsi="Calibri" w:cs="Calibri"/>
                <w:color w:val="000000"/>
              </w:rPr>
              <w:t>4089</w:t>
            </w:r>
          </w:p>
        </w:tc>
        <w:tc>
          <w:tcPr>
            <w:tcW w:w="240" w:type="pct"/>
            <w:tcBorders>
              <w:top w:val="nil"/>
              <w:left w:val="nil"/>
              <w:bottom w:val="nil"/>
              <w:right w:val="nil"/>
            </w:tcBorders>
            <w:shd w:val="clear" w:color="auto" w:fill="auto"/>
            <w:noWrap/>
            <w:vAlign w:val="center"/>
            <w:hideMark/>
          </w:tcPr>
          <w:p w14:paraId="2CCC1B1C" w14:textId="77777777" w:rsidR="00257248" w:rsidRPr="00877650" w:rsidRDefault="00257248" w:rsidP="00323FD6">
            <w:pPr>
              <w:rPr>
                <w:rFonts w:ascii="Calibri" w:hAnsi="Calibri" w:cs="Calibri"/>
                <w:color w:val="000000"/>
              </w:rPr>
            </w:pPr>
            <w:r w:rsidRPr="00877650">
              <w:rPr>
                <w:rFonts w:ascii="Calibri" w:hAnsi="Calibri" w:cs="Calibri"/>
                <w:color w:val="000000"/>
              </w:rPr>
              <w:t>29.3</w:t>
            </w:r>
          </w:p>
        </w:tc>
        <w:tc>
          <w:tcPr>
            <w:tcW w:w="311" w:type="pct"/>
            <w:tcBorders>
              <w:top w:val="nil"/>
              <w:left w:val="nil"/>
              <w:bottom w:val="nil"/>
              <w:right w:val="nil"/>
            </w:tcBorders>
            <w:shd w:val="clear" w:color="auto" w:fill="auto"/>
            <w:noWrap/>
            <w:vAlign w:val="center"/>
            <w:hideMark/>
          </w:tcPr>
          <w:p w14:paraId="2D38D266" w14:textId="77777777" w:rsidR="00257248" w:rsidRPr="00877650" w:rsidRDefault="00257248" w:rsidP="00323FD6">
            <w:pPr>
              <w:rPr>
                <w:rFonts w:ascii="Calibri" w:hAnsi="Calibri" w:cs="Calibri"/>
                <w:color w:val="000000"/>
              </w:rPr>
            </w:pPr>
            <w:r w:rsidRPr="00877650">
              <w:rPr>
                <w:rFonts w:ascii="Calibri" w:hAnsi="Calibri" w:cs="Calibri"/>
                <w:color w:val="000000"/>
              </w:rPr>
              <w:t>2</w:t>
            </w:r>
          </w:p>
        </w:tc>
        <w:tc>
          <w:tcPr>
            <w:tcW w:w="311" w:type="pct"/>
            <w:tcBorders>
              <w:top w:val="nil"/>
              <w:left w:val="nil"/>
              <w:bottom w:val="nil"/>
              <w:right w:val="nil"/>
            </w:tcBorders>
            <w:shd w:val="clear" w:color="auto" w:fill="auto"/>
            <w:noWrap/>
            <w:vAlign w:val="center"/>
            <w:hideMark/>
          </w:tcPr>
          <w:p w14:paraId="77EC4E22" w14:textId="77777777" w:rsidR="00257248" w:rsidRPr="00877650" w:rsidRDefault="00257248" w:rsidP="00323FD6">
            <w:pPr>
              <w:rPr>
                <w:rFonts w:ascii="Calibri" w:hAnsi="Calibri" w:cs="Calibri"/>
                <w:color w:val="000000"/>
              </w:rPr>
            </w:pPr>
            <w:r w:rsidRPr="00877650">
              <w:rPr>
                <w:rFonts w:ascii="Calibri" w:hAnsi="Calibri" w:cs="Calibri"/>
                <w:color w:val="000000"/>
              </w:rPr>
              <w:t>4405</w:t>
            </w:r>
          </w:p>
        </w:tc>
        <w:tc>
          <w:tcPr>
            <w:tcW w:w="413" w:type="pct"/>
            <w:tcBorders>
              <w:top w:val="nil"/>
              <w:left w:val="nil"/>
              <w:bottom w:val="nil"/>
              <w:right w:val="single" w:sz="4" w:space="0" w:color="auto"/>
            </w:tcBorders>
            <w:shd w:val="clear" w:color="auto" w:fill="auto"/>
            <w:noWrap/>
            <w:vAlign w:val="center"/>
            <w:hideMark/>
          </w:tcPr>
          <w:p w14:paraId="3F7E63F4"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0.0454%</w:t>
            </w:r>
          </w:p>
        </w:tc>
      </w:tr>
      <w:tr w:rsidR="00257248" w:rsidRPr="00877650" w14:paraId="4AA41D94" w14:textId="77777777" w:rsidTr="00323FD6">
        <w:trPr>
          <w:trHeight w:val="290"/>
        </w:trPr>
        <w:tc>
          <w:tcPr>
            <w:tcW w:w="1105" w:type="pct"/>
            <w:gridSpan w:val="2"/>
            <w:tcBorders>
              <w:top w:val="nil"/>
              <w:left w:val="single" w:sz="4" w:space="0" w:color="auto"/>
              <w:bottom w:val="nil"/>
              <w:right w:val="nil"/>
            </w:tcBorders>
            <w:shd w:val="clear" w:color="auto" w:fill="auto"/>
            <w:noWrap/>
            <w:vAlign w:val="center"/>
            <w:hideMark/>
          </w:tcPr>
          <w:p w14:paraId="55C018C6" w14:textId="77777777" w:rsidR="00257248" w:rsidRPr="00877650" w:rsidRDefault="00257248" w:rsidP="00323FD6">
            <w:pPr>
              <w:rPr>
                <w:rFonts w:ascii="Calibri" w:hAnsi="Calibri" w:cs="Calibri"/>
                <w:color w:val="F2F2F2"/>
              </w:rPr>
            </w:pPr>
          </w:p>
        </w:tc>
        <w:tc>
          <w:tcPr>
            <w:tcW w:w="516" w:type="pct"/>
            <w:tcBorders>
              <w:top w:val="nil"/>
              <w:left w:val="nil"/>
              <w:bottom w:val="nil"/>
              <w:right w:val="nil"/>
            </w:tcBorders>
            <w:shd w:val="clear" w:color="auto" w:fill="auto"/>
            <w:noWrap/>
            <w:vAlign w:val="center"/>
            <w:hideMark/>
          </w:tcPr>
          <w:p w14:paraId="458334C7" w14:textId="77777777" w:rsidR="00257248" w:rsidRPr="00877650" w:rsidRDefault="00257248" w:rsidP="00323FD6">
            <w:pPr>
              <w:rPr>
                <w:rFonts w:ascii="Calibri" w:hAnsi="Calibri" w:cs="Calibri"/>
                <w:color w:val="000000"/>
              </w:rPr>
            </w:pPr>
            <w:r w:rsidRPr="00877650">
              <w:rPr>
                <w:rFonts w:ascii="Calibri" w:hAnsi="Calibri" w:cs="Calibri"/>
                <w:color w:val="000000"/>
              </w:rPr>
              <w:t>ANG1_gi328751003.54</w:t>
            </w:r>
          </w:p>
        </w:tc>
        <w:tc>
          <w:tcPr>
            <w:tcW w:w="311" w:type="pct"/>
            <w:tcBorders>
              <w:top w:val="nil"/>
              <w:left w:val="nil"/>
              <w:bottom w:val="nil"/>
              <w:right w:val="nil"/>
            </w:tcBorders>
            <w:shd w:val="clear" w:color="auto" w:fill="auto"/>
            <w:noWrap/>
            <w:vAlign w:val="center"/>
            <w:hideMark/>
          </w:tcPr>
          <w:p w14:paraId="558C8FC2"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0C73DAAC" w14:textId="77777777" w:rsidR="00257248" w:rsidRPr="00877650" w:rsidRDefault="00257248" w:rsidP="00323FD6">
            <w:pPr>
              <w:rPr>
                <w:rFonts w:ascii="Calibri" w:hAnsi="Calibri" w:cs="Calibri"/>
                <w:color w:val="000000"/>
              </w:rPr>
            </w:pPr>
            <w:r w:rsidRPr="00877650">
              <w:rPr>
                <w:rFonts w:ascii="Calibri" w:hAnsi="Calibri" w:cs="Calibri"/>
                <w:color w:val="000000"/>
              </w:rPr>
              <w:t>N-acyl-L-homoserine lactone synthetase</w:t>
            </w:r>
          </w:p>
        </w:tc>
        <w:tc>
          <w:tcPr>
            <w:tcW w:w="552" w:type="pct"/>
            <w:tcBorders>
              <w:top w:val="nil"/>
              <w:left w:val="nil"/>
              <w:bottom w:val="nil"/>
              <w:right w:val="nil"/>
            </w:tcBorders>
            <w:shd w:val="clear" w:color="auto" w:fill="auto"/>
            <w:noWrap/>
            <w:vAlign w:val="center"/>
            <w:hideMark/>
          </w:tcPr>
          <w:p w14:paraId="5398C01D"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DNA-binding transcriptional regulator, </w:t>
            </w:r>
            <w:proofErr w:type="spellStart"/>
            <w:r w:rsidRPr="00877650">
              <w:rPr>
                <w:rFonts w:ascii="Calibri" w:hAnsi="Calibri" w:cs="Calibri"/>
                <w:color w:val="000000"/>
              </w:rPr>
              <w:t>CsgD</w:t>
            </w:r>
            <w:proofErr w:type="spellEnd"/>
            <w:r w:rsidRPr="00877650">
              <w:rPr>
                <w:rFonts w:ascii="Calibri" w:hAnsi="Calibri" w:cs="Calibri"/>
                <w:color w:val="000000"/>
              </w:rPr>
              <w:t xml:space="preserve"> family</w:t>
            </w:r>
          </w:p>
        </w:tc>
        <w:tc>
          <w:tcPr>
            <w:tcW w:w="448" w:type="pct"/>
            <w:tcBorders>
              <w:top w:val="nil"/>
              <w:left w:val="nil"/>
              <w:bottom w:val="nil"/>
              <w:right w:val="nil"/>
            </w:tcBorders>
            <w:shd w:val="clear" w:color="auto" w:fill="auto"/>
            <w:noWrap/>
            <w:vAlign w:val="center"/>
            <w:hideMark/>
          </w:tcPr>
          <w:p w14:paraId="260F0B41" w14:textId="77777777" w:rsidR="00257248" w:rsidRPr="00877650" w:rsidRDefault="00257248" w:rsidP="00323FD6">
            <w:pPr>
              <w:rPr>
                <w:rFonts w:ascii="Calibri" w:hAnsi="Calibri" w:cs="Calibri"/>
                <w:color w:val="000000"/>
              </w:rPr>
            </w:pPr>
            <w:r w:rsidRPr="00877650">
              <w:rPr>
                <w:rFonts w:ascii="Calibri" w:hAnsi="Calibri" w:cs="Calibri"/>
                <w:color w:val="000000"/>
              </w:rPr>
              <w:t>48</w:t>
            </w:r>
          </w:p>
        </w:tc>
        <w:tc>
          <w:tcPr>
            <w:tcW w:w="309" w:type="pct"/>
            <w:tcBorders>
              <w:top w:val="nil"/>
              <w:left w:val="nil"/>
              <w:bottom w:val="nil"/>
              <w:right w:val="nil"/>
            </w:tcBorders>
            <w:shd w:val="clear" w:color="auto" w:fill="auto"/>
            <w:noWrap/>
            <w:vAlign w:val="center"/>
            <w:hideMark/>
          </w:tcPr>
          <w:p w14:paraId="2A2F739D" w14:textId="77777777" w:rsidR="00257248" w:rsidRPr="00877650" w:rsidRDefault="00257248" w:rsidP="00323FD6">
            <w:pPr>
              <w:rPr>
                <w:rFonts w:ascii="Calibri" w:hAnsi="Calibri" w:cs="Calibri"/>
                <w:color w:val="000000"/>
              </w:rPr>
            </w:pPr>
            <w:r w:rsidRPr="00877650">
              <w:rPr>
                <w:rFonts w:ascii="Calibri" w:hAnsi="Calibri" w:cs="Calibri"/>
                <w:color w:val="000000"/>
              </w:rPr>
              <w:t>15</w:t>
            </w:r>
          </w:p>
        </w:tc>
        <w:tc>
          <w:tcPr>
            <w:tcW w:w="240" w:type="pct"/>
            <w:tcBorders>
              <w:top w:val="nil"/>
              <w:left w:val="nil"/>
              <w:bottom w:val="nil"/>
              <w:right w:val="nil"/>
            </w:tcBorders>
            <w:shd w:val="clear" w:color="auto" w:fill="auto"/>
            <w:noWrap/>
            <w:vAlign w:val="center"/>
            <w:hideMark/>
          </w:tcPr>
          <w:p w14:paraId="79730DF2" w14:textId="77777777" w:rsidR="00257248" w:rsidRPr="00877650" w:rsidRDefault="00257248" w:rsidP="00323FD6">
            <w:pPr>
              <w:rPr>
                <w:rFonts w:ascii="Calibri" w:hAnsi="Calibri" w:cs="Calibri"/>
                <w:color w:val="000000"/>
              </w:rPr>
            </w:pPr>
            <w:r w:rsidRPr="00877650">
              <w:rPr>
                <w:rFonts w:ascii="Calibri" w:hAnsi="Calibri" w:cs="Calibri"/>
                <w:color w:val="000000"/>
              </w:rPr>
              <w:t>17.6</w:t>
            </w:r>
          </w:p>
        </w:tc>
        <w:tc>
          <w:tcPr>
            <w:tcW w:w="1035" w:type="pct"/>
            <w:gridSpan w:val="3"/>
            <w:tcBorders>
              <w:top w:val="nil"/>
              <w:left w:val="nil"/>
              <w:bottom w:val="nil"/>
              <w:right w:val="single" w:sz="4" w:space="0" w:color="auto"/>
            </w:tcBorders>
            <w:shd w:val="clear" w:color="auto" w:fill="auto"/>
            <w:noWrap/>
            <w:vAlign w:val="center"/>
            <w:hideMark/>
          </w:tcPr>
          <w:p w14:paraId="4DEAFACB" w14:textId="77777777" w:rsidR="00257248" w:rsidRPr="00877650" w:rsidRDefault="00257248" w:rsidP="00323FD6">
            <w:pPr>
              <w:rPr>
                <w:rFonts w:ascii="Calibri" w:hAnsi="Calibri" w:cs="Calibri"/>
                <w:color w:val="000000"/>
              </w:rPr>
            </w:pPr>
          </w:p>
        </w:tc>
      </w:tr>
      <w:tr w:rsidR="00257248" w:rsidRPr="00877650" w14:paraId="06858B7E" w14:textId="77777777" w:rsidTr="00323FD6">
        <w:trPr>
          <w:trHeight w:val="290"/>
        </w:trPr>
        <w:tc>
          <w:tcPr>
            <w:tcW w:w="516" w:type="pct"/>
            <w:tcBorders>
              <w:top w:val="single" w:sz="4" w:space="0" w:color="auto"/>
              <w:left w:val="single" w:sz="4" w:space="0" w:color="auto"/>
              <w:bottom w:val="single" w:sz="4" w:space="0" w:color="auto"/>
              <w:right w:val="nil"/>
            </w:tcBorders>
            <w:shd w:val="clear" w:color="auto" w:fill="auto"/>
            <w:noWrap/>
            <w:vAlign w:val="center"/>
            <w:hideMark/>
          </w:tcPr>
          <w:p w14:paraId="150F9CD2" w14:textId="77777777" w:rsidR="00257248" w:rsidRPr="00877650" w:rsidRDefault="00257248" w:rsidP="00323FD6">
            <w:pPr>
              <w:rPr>
                <w:rFonts w:ascii="Calibri" w:hAnsi="Calibri" w:cs="Calibri"/>
                <w:color w:val="000000"/>
              </w:rPr>
            </w:pPr>
            <w:r w:rsidRPr="00877650">
              <w:rPr>
                <w:rFonts w:ascii="Calibri" w:hAnsi="Calibri" w:cs="Calibri"/>
                <w:color w:val="000000"/>
              </w:rPr>
              <w:t>2657245004</w:t>
            </w:r>
          </w:p>
        </w:tc>
        <w:tc>
          <w:tcPr>
            <w:tcW w:w="589" w:type="pct"/>
            <w:tcBorders>
              <w:top w:val="single" w:sz="4" w:space="0" w:color="auto"/>
              <w:left w:val="nil"/>
              <w:bottom w:val="single" w:sz="4" w:space="0" w:color="auto"/>
              <w:right w:val="nil"/>
            </w:tcBorders>
            <w:shd w:val="clear" w:color="auto" w:fill="auto"/>
            <w:noWrap/>
            <w:vAlign w:val="center"/>
            <w:hideMark/>
          </w:tcPr>
          <w:p w14:paraId="12FFE6E7"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Leisingera</w:t>
            </w:r>
            <w:proofErr w:type="spellEnd"/>
            <w:r w:rsidRPr="00877650">
              <w:rPr>
                <w:rFonts w:ascii="Calibri" w:hAnsi="Calibri" w:cs="Calibri"/>
                <w:color w:val="000000"/>
              </w:rPr>
              <w:t xml:space="preserve"> sp. ANG-DT</w:t>
            </w:r>
          </w:p>
        </w:tc>
        <w:tc>
          <w:tcPr>
            <w:tcW w:w="516" w:type="pct"/>
            <w:tcBorders>
              <w:top w:val="single" w:sz="4" w:space="0" w:color="auto"/>
              <w:left w:val="nil"/>
              <w:bottom w:val="single" w:sz="4" w:space="0" w:color="auto"/>
              <w:right w:val="nil"/>
            </w:tcBorders>
            <w:shd w:val="clear" w:color="auto" w:fill="auto"/>
            <w:noWrap/>
            <w:vAlign w:val="center"/>
            <w:hideMark/>
          </w:tcPr>
          <w:p w14:paraId="7E49F1BF" w14:textId="77777777" w:rsidR="00257248" w:rsidRPr="00877650" w:rsidRDefault="00257248" w:rsidP="00323FD6">
            <w:pPr>
              <w:rPr>
                <w:rFonts w:ascii="Calibri" w:hAnsi="Calibri" w:cs="Calibri"/>
                <w:color w:val="000000"/>
              </w:rPr>
            </w:pPr>
            <w:r w:rsidRPr="00877650">
              <w:rPr>
                <w:rFonts w:ascii="Calibri" w:hAnsi="Calibri" w:cs="Calibri"/>
                <w:color w:val="000000"/>
              </w:rPr>
              <w:t>Ga0112991_111</w:t>
            </w:r>
          </w:p>
        </w:tc>
        <w:tc>
          <w:tcPr>
            <w:tcW w:w="311" w:type="pct"/>
            <w:tcBorders>
              <w:top w:val="single" w:sz="4" w:space="0" w:color="auto"/>
              <w:left w:val="nil"/>
              <w:bottom w:val="single" w:sz="4" w:space="0" w:color="auto"/>
              <w:right w:val="nil"/>
            </w:tcBorders>
            <w:shd w:val="clear" w:color="auto" w:fill="auto"/>
            <w:noWrap/>
            <w:vAlign w:val="center"/>
            <w:hideMark/>
          </w:tcPr>
          <w:p w14:paraId="75CC37AD"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single" w:sz="4" w:space="0" w:color="auto"/>
              <w:left w:val="nil"/>
              <w:bottom w:val="single" w:sz="4" w:space="0" w:color="auto"/>
              <w:right w:val="nil"/>
            </w:tcBorders>
            <w:shd w:val="clear" w:color="auto" w:fill="auto"/>
            <w:noWrap/>
            <w:vAlign w:val="center"/>
            <w:hideMark/>
          </w:tcPr>
          <w:p w14:paraId="3680DB77" w14:textId="77777777" w:rsidR="00257248" w:rsidRPr="00877650" w:rsidRDefault="00257248" w:rsidP="00323FD6">
            <w:pPr>
              <w:rPr>
                <w:rFonts w:ascii="Calibri" w:hAnsi="Calibri" w:cs="Calibri"/>
                <w:color w:val="000000"/>
              </w:rPr>
            </w:pPr>
            <w:r w:rsidRPr="00877650">
              <w:rPr>
                <w:rFonts w:ascii="Calibri" w:hAnsi="Calibri" w:cs="Calibri"/>
                <w:color w:val="000000"/>
              </w:rPr>
              <w:t>conserved hypothetical protein</w:t>
            </w:r>
          </w:p>
        </w:tc>
        <w:tc>
          <w:tcPr>
            <w:tcW w:w="552" w:type="pct"/>
            <w:tcBorders>
              <w:top w:val="single" w:sz="4" w:space="0" w:color="auto"/>
              <w:left w:val="nil"/>
              <w:bottom w:val="single" w:sz="4" w:space="0" w:color="auto"/>
              <w:right w:val="nil"/>
            </w:tcBorders>
            <w:shd w:val="clear" w:color="auto" w:fill="auto"/>
            <w:noWrap/>
            <w:vAlign w:val="center"/>
            <w:hideMark/>
          </w:tcPr>
          <w:p w14:paraId="08702233"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(R)-</w:t>
            </w:r>
            <w:proofErr w:type="spellStart"/>
            <w:r w:rsidRPr="00877650">
              <w:rPr>
                <w:rFonts w:ascii="Calibri" w:hAnsi="Calibri" w:cs="Calibri"/>
                <w:color w:val="000000"/>
              </w:rPr>
              <w:t>ethylmalonyl</w:t>
            </w:r>
            <w:proofErr w:type="spellEnd"/>
            <w:r w:rsidRPr="00877650">
              <w:rPr>
                <w:rFonts w:ascii="Calibri" w:hAnsi="Calibri" w:cs="Calibri"/>
                <w:color w:val="000000"/>
              </w:rPr>
              <w:t>-CoA mutase</w:t>
            </w:r>
          </w:p>
        </w:tc>
        <w:tc>
          <w:tcPr>
            <w:tcW w:w="448" w:type="pct"/>
            <w:tcBorders>
              <w:top w:val="single" w:sz="4" w:space="0" w:color="auto"/>
              <w:left w:val="nil"/>
              <w:bottom w:val="single" w:sz="4" w:space="0" w:color="auto"/>
              <w:right w:val="nil"/>
            </w:tcBorders>
            <w:shd w:val="clear" w:color="auto" w:fill="auto"/>
            <w:noWrap/>
            <w:vAlign w:val="center"/>
            <w:hideMark/>
          </w:tcPr>
          <w:p w14:paraId="50DCBA52" w14:textId="77777777" w:rsidR="00257248" w:rsidRPr="00877650" w:rsidRDefault="00257248" w:rsidP="00323FD6">
            <w:pPr>
              <w:rPr>
                <w:rFonts w:ascii="Calibri" w:hAnsi="Calibri" w:cs="Calibri"/>
                <w:color w:val="000000"/>
              </w:rPr>
            </w:pPr>
            <w:r w:rsidRPr="00877650">
              <w:rPr>
                <w:rFonts w:ascii="Calibri" w:hAnsi="Calibri" w:cs="Calibri"/>
                <w:color w:val="000000"/>
              </w:rPr>
              <w:t>3097</w:t>
            </w:r>
          </w:p>
        </w:tc>
        <w:tc>
          <w:tcPr>
            <w:tcW w:w="309" w:type="pct"/>
            <w:tcBorders>
              <w:top w:val="single" w:sz="4" w:space="0" w:color="auto"/>
              <w:left w:val="nil"/>
              <w:bottom w:val="single" w:sz="4" w:space="0" w:color="auto"/>
              <w:right w:val="nil"/>
            </w:tcBorders>
            <w:shd w:val="clear" w:color="auto" w:fill="auto"/>
            <w:noWrap/>
            <w:vAlign w:val="center"/>
            <w:hideMark/>
          </w:tcPr>
          <w:p w14:paraId="3EE4B3AE" w14:textId="77777777" w:rsidR="00257248" w:rsidRPr="00877650" w:rsidRDefault="00257248" w:rsidP="00323FD6">
            <w:pPr>
              <w:rPr>
                <w:rFonts w:ascii="Calibri" w:hAnsi="Calibri" w:cs="Calibri"/>
                <w:color w:val="000000"/>
              </w:rPr>
            </w:pPr>
            <w:r w:rsidRPr="00877650">
              <w:rPr>
                <w:rFonts w:ascii="Calibri" w:hAnsi="Calibri" w:cs="Calibri"/>
                <w:color w:val="000000"/>
              </w:rPr>
              <w:t>4089</w:t>
            </w:r>
          </w:p>
        </w:tc>
        <w:tc>
          <w:tcPr>
            <w:tcW w:w="240" w:type="pct"/>
            <w:tcBorders>
              <w:top w:val="single" w:sz="4" w:space="0" w:color="auto"/>
              <w:left w:val="nil"/>
              <w:bottom w:val="single" w:sz="4" w:space="0" w:color="auto"/>
              <w:right w:val="nil"/>
            </w:tcBorders>
            <w:shd w:val="clear" w:color="auto" w:fill="auto"/>
            <w:noWrap/>
            <w:vAlign w:val="center"/>
            <w:hideMark/>
          </w:tcPr>
          <w:p w14:paraId="66CDF685" w14:textId="77777777" w:rsidR="00257248" w:rsidRPr="00877650" w:rsidRDefault="00257248" w:rsidP="00323FD6">
            <w:pPr>
              <w:rPr>
                <w:rFonts w:ascii="Calibri" w:hAnsi="Calibri" w:cs="Calibri"/>
                <w:color w:val="000000"/>
              </w:rPr>
            </w:pPr>
            <w:r w:rsidRPr="00877650">
              <w:rPr>
                <w:rFonts w:ascii="Calibri" w:hAnsi="Calibri" w:cs="Calibri"/>
                <w:color w:val="000000"/>
              </w:rPr>
              <w:t>31.2</w:t>
            </w:r>
          </w:p>
        </w:tc>
        <w:tc>
          <w:tcPr>
            <w:tcW w:w="311" w:type="pct"/>
            <w:tcBorders>
              <w:top w:val="single" w:sz="4" w:space="0" w:color="auto"/>
              <w:left w:val="nil"/>
              <w:bottom w:val="single" w:sz="4" w:space="0" w:color="auto"/>
              <w:right w:val="nil"/>
            </w:tcBorders>
            <w:shd w:val="clear" w:color="auto" w:fill="auto"/>
            <w:noWrap/>
            <w:vAlign w:val="center"/>
            <w:hideMark/>
          </w:tcPr>
          <w:p w14:paraId="06774421" w14:textId="77777777" w:rsidR="00257248" w:rsidRPr="00877650" w:rsidRDefault="00257248" w:rsidP="00323FD6">
            <w:pPr>
              <w:rPr>
                <w:rFonts w:ascii="Calibri" w:hAnsi="Calibri" w:cs="Calibri"/>
                <w:color w:val="000000"/>
              </w:rPr>
            </w:pPr>
            <w:r w:rsidRPr="00877650">
              <w:rPr>
                <w:rFonts w:ascii="Calibri" w:hAnsi="Calibri" w:cs="Calibri"/>
                <w:color w:val="000000"/>
              </w:rPr>
              <w:t>1</w:t>
            </w:r>
          </w:p>
        </w:tc>
        <w:tc>
          <w:tcPr>
            <w:tcW w:w="311" w:type="pct"/>
            <w:tcBorders>
              <w:top w:val="single" w:sz="4" w:space="0" w:color="auto"/>
              <w:left w:val="nil"/>
              <w:bottom w:val="single" w:sz="4" w:space="0" w:color="auto"/>
              <w:right w:val="nil"/>
            </w:tcBorders>
            <w:shd w:val="clear" w:color="auto" w:fill="auto"/>
            <w:noWrap/>
            <w:vAlign w:val="center"/>
            <w:hideMark/>
          </w:tcPr>
          <w:p w14:paraId="287D6A79" w14:textId="77777777" w:rsidR="00257248" w:rsidRPr="00877650" w:rsidRDefault="00257248" w:rsidP="00323FD6">
            <w:pPr>
              <w:rPr>
                <w:rFonts w:ascii="Calibri" w:hAnsi="Calibri" w:cs="Calibri"/>
                <w:color w:val="000000"/>
              </w:rPr>
            </w:pPr>
            <w:r w:rsidRPr="00877650">
              <w:rPr>
                <w:rFonts w:ascii="Calibri" w:hAnsi="Calibri" w:cs="Calibri"/>
                <w:color w:val="000000"/>
              </w:rPr>
              <w:t>4417</w:t>
            </w:r>
          </w:p>
        </w:tc>
        <w:tc>
          <w:tcPr>
            <w:tcW w:w="413" w:type="pct"/>
            <w:tcBorders>
              <w:top w:val="single" w:sz="4" w:space="0" w:color="auto"/>
              <w:left w:val="nil"/>
              <w:bottom w:val="single" w:sz="4" w:space="0" w:color="auto"/>
              <w:right w:val="single" w:sz="4" w:space="0" w:color="auto"/>
            </w:tcBorders>
            <w:shd w:val="clear" w:color="auto" w:fill="auto"/>
            <w:noWrap/>
            <w:vAlign w:val="center"/>
            <w:hideMark/>
          </w:tcPr>
          <w:p w14:paraId="6E6A7E8B"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0.0226%</w:t>
            </w:r>
          </w:p>
        </w:tc>
      </w:tr>
      <w:tr w:rsidR="00257248" w:rsidRPr="00877650" w14:paraId="402FCABD" w14:textId="77777777" w:rsidTr="00323FD6">
        <w:trPr>
          <w:trHeight w:val="290"/>
        </w:trPr>
        <w:tc>
          <w:tcPr>
            <w:tcW w:w="516" w:type="pct"/>
            <w:tcBorders>
              <w:top w:val="nil"/>
              <w:left w:val="single" w:sz="4" w:space="0" w:color="auto"/>
              <w:bottom w:val="single" w:sz="4" w:space="0" w:color="auto"/>
              <w:right w:val="nil"/>
            </w:tcBorders>
            <w:shd w:val="clear" w:color="auto" w:fill="auto"/>
            <w:noWrap/>
            <w:vAlign w:val="center"/>
            <w:hideMark/>
          </w:tcPr>
          <w:p w14:paraId="4C4510F4" w14:textId="77777777" w:rsidR="00257248" w:rsidRPr="00877650" w:rsidRDefault="00257248" w:rsidP="00323FD6">
            <w:pPr>
              <w:rPr>
                <w:rFonts w:ascii="Calibri" w:hAnsi="Calibri" w:cs="Calibri"/>
                <w:color w:val="000000"/>
              </w:rPr>
            </w:pPr>
            <w:r w:rsidRPr="00877650">
              <w:rPr>
                <w:rFonts w:ascii="Calibri" w:hAnsi="Calibri" w:cs="Calibri"/>
                <w:color w:val="000000"/>
              </w:rPr>
              <w:t>2690316183</w:t>
            </w:r>
          </w:p>
        </w:tc>
        <w:tc>
          <w:tcPr>
            <w:tcW w:w="589" w:type="pct"/>
            <w:tcBorders>
              <w:top w:val="nil"/>
              <w:left w:val="nil"/>
              <w:bottom w:val="single" w:sz="4" w:space="0" w:color="auto"/>
              <w:right w:val="nil"/>
            </w:tcBorders>
            <w:shd w:val="clear" w:color="auto" w:fill="auto"/>
            <w:noWrap/>
            <w:vAlign w:val="center"/>
            <w:hideMark/>
          </w:tcPr>
          <w:p w14:paraId="10A8329E"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Leisingera</w:t>
            </w:r>
            <w:proofErr w:type="spellEnd"/>
            <w:r w:rsidRPr="00877650">
              <w:rPr>
                <w:rFonts w:ascii="Calibri" w:hAnsi="Calibri" w:cs="Calibri"/>
                <w:color w:val="000000"/>
              </w:rPr>
              <w:t xml:space="preserve"> sp. ANG-M1</w:t>
            </w:r>
          </w:p>
        </w:tc>
        <w:tc>
          <w:tcPr>
            <w:tcW w:w="516" w:type="pct"/>
            <w:tcBorders>
              <w:top w:val="nil"/>
              <w:left w:val="nil"/>
              <w:bottom w:val="single" w:sz="4" w:space="0" w:color="auto"/>
              <w:right w:val="nil"/>
            </w:tcBorders>
            <w:shd w:val="clear" w:color="auto" w:fill="auto"/>
            <w:noWrap/>
            <w:vAlign w:val="center"/>
            <w:hideMark/>
          </w:tcPr>
          <w:p w14:paraId="1FAA7FF0"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311" w:type="pct"/>
            <w:tcBorders>
              <w:top w:val="nil"/>
              <w:left w:val="nil"/>
              <w:bottom w:val="single" w:sz="4" w:space="0" w:color="auto"/>
              <w:right w:val="nil"/>
            </w:tcBorders>
            <w:shd w:val="clear" w:color="auto" w:fill="auto"/>
            <w:noWrap/>
            <w:vAlign w:val="center"/>
            <w:hideMark/>
          </w:tcPr>
          <w:p w14:paraId="6AFAD7ED"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484" w:type="pct"/>
            <w:tcBorders>
              <w:top w:val="nil"/>
              <w:left w:val="nil"/>
              <w:bottom w:val="single" w:sz="4" w:space="0" w:color="auto"/>
              <w:right w:val="nil"/>
            </w:tcBorders>
            <w:shd w:val="clear" w:color="auto" w:fill="auto"/>
            <w:noWrap/>
            <w:vAlign w:val="center"/>
            <w:hideMark/>
          </w:tcPr>
          <w:p w14:paraId="343A92B7"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552" w:type="pct"/>
            <w:tcBorders>
              <w:top w:val="nil"/>
              <w:left w:val="nil"/>
              <w:bottom w:val="single" w:sz="4" w:space="0" w:color="auto"/>
              <w:right w:val="nil"/>
            </w:tcBorders>
            <w:shd w:val="clear" w:color="auto" w:fill="auto"/>
            <w:noWrap/>
            <w:vAlign w:val="center"/>
            <w:hideMark/>
          </w:tcPr>
          <w:p w14:paraId="461B3472"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448" w:type="pct"/>
            <w:tcBorders>
              <w:top w:val="nil"/>
              <w:left w:val="nil"/>
              <w:bottom w:val="single" w:sz="4" w:space="0" w:color="auto"/>
              <w:right w:val="nil"/>
            </w:tcBorders>
            <w:shd w:val="clear" w:color="auto" w:fill="auto"/>
            <w:noWrap/>
            <w:vAlign w:val="center"/>
            <w:hideMark/>
          </w:tcPr>
          <w:p w14:paraId="1CB7DB93"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309" w:type="pct"/>
            <w:tcBorders>
              <w:top w:val="nil"/>
              <w:left w:val="nil"/>
              <w:bottom w:val="single" w:sz="4" w:space="0" w:color="auto"/>
              <w:right w:val="nil"/>
            </w:tcBorders>
            <w:shd w:val="clear" w:color="auto" w:fill="auto"/>
            <w:noWrap/>
            <w:vAlign w:val="center"/>
            <w:hideMark/>
          </w:tcPr>
          <w:p w14:paraId="546F47EE"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240" w:type="pct"/>
            <w:tcBorders>
              <w:top w:val="nil"/>
              <w:left w:val="nil"/>
              <w:bottom w:val="single" w:sz="4" w:space="0" w:color="auto"/>
              <w:right w:val="nil"/>
            </w:tcBorders>
            <w:shd w:val="clear" w:color="auto" w:fill="auto"/>
            <w:noWrap/>
            <w:vAlign w:val="center"/>
            <w:hideMark/>
          </w:tcPr>
          <w:p w14:paraId="4C2751C6"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311" w:type="pct"/>
            <w:tcBorders>
              <w:top w:val="nil"/>
              <w:left w:val="nil"/>
              <w:bottom w:val="single" w:sz="4" w:space="0" w:color="auto"/>
              <w:right w:val="nil"/>
            </w:tcBorders>
            <w:shd w:val="clear" w:color="auto" w:fill="auto"/>
            <w:noWrap/>
            <w:vAlign w:val="center"/>
            <w:hideMark/>
          </w:tcPr>
          <w:p w14:paraId="1B78EA61" w14:textId="77777777" w:rsidR="00257248" w:rsidRPr="00877650" w:rsidRDefault="00257248" w:rsidP="00323FD6">
            <w:pPr>
              <w:rPr>
                <w:rFonts w:ascii="Calibri" w:hAnsi="Calibri" w:cs="Calibri"/>
                <w:color w:val="000000"/>
              </w:rPr>
            </w:pPr>
            <w:r w:rsidRPr="00877650">
              <w:rPr>
                <w:rFonts w:ascii="Calibri" w:hAnsi="Calibri" w:cs="Calibri"/>
                <w:color w:val="000000"/>
              </w:rPr>
              <w:t>0</w:t>
            </w:r>
          </w:p>
        </w:tc>
        <w:tc>
          <w:tcPr>
            <w:tcW w:w="311" w:type="pct"/>
            <w:tcBorders>
              <w:top w:val="nil"/>
              <w:left w:val="nil"/>
              <w:bottom w:val="single" w:sz="4" w:space="0" w:color="auto"/>
              <w:right w:val="nil"/>
            </w:tcBorders>
            <w:shd w:val="clear" w:color="auto" w:fill="auto"/>
            <w:noWrap/>
            <w:vAlign w:val="center"/>
            <w:hideMark/>
          </w:tcPr>
          <w:p w14:paraId="08C44FBA" w14:textId="77777777" w:rsidR="00257248" w:rsidRPr="00877650" w:rsidRDefault="00257248" w:rsidP="00323FD6">
            <w:pPr>
              <w:rPr>
                <w:rFonts w:ascii="Calibri" w:hAnsi="Calibri" w:cs="Calibri"/>
                <w:color w:val="000000"/>
              </w:rPr>
            </w:pPr>
            <w:r w:rsidRPr="00877650">
              <w:rPr>
                <w:rFonts w:ascii="Calibri" w:hAnsi="Calibri" w:cs="Calibri"/>
                <w:color w:val="000000"/>
              </w:rPr>
              <w:t>5111</w:t>
            </w:r>
          </w:p>
        </w:tc>
        <w:tc>
          <w:tcPr>
            <w:tcW w:w="413" w:type="pct"/>
            <w:tcBorders>
              <w:top w:val="nil"/>
              <w:left w:val="nil"/>
              <w:bottom w:val="single" w:sz="4" w:space="0" w:color="auto"/>
              <w:right w:val="single" w:sz="4" w:space="0" w:color="auto"/>
            </w:tcBorders>
            <w:shd w:val="clear" w:color="auto" w:fill="auto"/>
            <w:noWrap/>
            <w:vAlign w:val="center"/>
            <w:hideMark/>
          </w:tcPr>
          <w:p w14:paraId="6E3346CB"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0.00%</w:t>
            </w:r>
          </w:p>
        </w:tc>
      </w:tr>
      <w:tr w:rsidR="00257248" w:rsidRPr="00877650" w14:paraId="2D8A608B" w14:textId="77777777" w:rsidTr="00323FD6">
        <w:trPr>
          <w:trHeight w:val="290"/>
        </w:trPr>
        <w:tc>
          <w:tcPr>
            <w:tcW w:w="516" w:type="pct"/>
            <w:tcBorders>
              <w:top w:val="nil"/>
              <w:left w:val="single" w:sz="4" w:space="0" w:color="auto"/>
              <w:bottom w:val="nil"/>
              <w:right w:val="nil"/>
            </w:tcBorders>
            <w:shd w:val="clear" w:color="auto" w:fill="auto"/>
            <w:noWrap/>
            <w:vAlign w:val="center"/>
            <w:hideMark/>
          </w:tcPr>
          <w:p w14:paraId="04818B35" w14:textId="77777777" w:rsidR="00257248" w:rsidRPr="00877650" w:rsidRDefault="00257248" w:rsidP="00323FD6">
            <w:pPr>
              <w:rPr>
                <w:rFonts w:ascii="Calibri" w:hAnsi="Calibri" w:cs="Calibri"/>
                <w:color w:val="000000"/>
              </w:rPr>
            </w:pPr>
            <w:r w:rsidRPr="00877650">
              <w:rPr>
                <w:rFonts w:ascii="Calibri" w:hAnsi="Calibri" w:cs="Calibri"/>
                <w:color w:val="000000"/>
              </w:rPr>
              <w:t>2667527653</w:t>
            </w:r>
          </w:p>
        </w:tc>
        <w:tc>
          <w:tcPr>
            <w:tcW w:w="589" w:type="pct"/>
            <w:tcBorders>
              <w:top w:val="nil"/>
              <w:left w:val="nil"/>
              <w:bottom w:val="nil"/>
              <w:right w:val="nil"/>
            </w:tcBorders>
            <w:shd w:val="clear" w:color="auto" w:fill="auto"/>
            <w:noWrap/>
            <w:vAlign w:val="center"/>
            <w:hideMark/>
          </w:tcPr>
          <w:p w14:paraId="78C61BDC"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Leisingera</w:t>
            </w:r>
            <w:proofErr w:type="spellEnd"/>
            <w:r w:rsidRPr="00877650">
              <w:rPr>
                <w:rFonts w:ascii="Calibri" w:hAnsi="Calibri" w:cs="Calibri"/>
                <w:color w:val="000000"/>
              </w:rPr>
              <w:t xml:space="preserve"> sp. ANG-M6</w:t>
            </w:r>
          </w:p>
        </w:tc>
        <w:tc>
          <w:tcPr>
            <w:tcW w:w="516" w:type="pct"/>
            <w:tcBorders>
              <w:top w:val="nil"/>
              <w:left w:val="nil"/>
              <w:bottom w:val="nil"/>
              <w:right w:val="nil"/>
            </w:tcBorders>
            <w:shd w:val="clear" w:color="auto" w:fill="auto"/>
            <w:noWrap/>
            <w:vAlign w:val="center"/>
            <w:hideMark/>
          </w:tcPr>
          <w:p w14:paraId="6327BC2F" w14:textId="77777777" w:rsidR="00257248" w:rsidRPr="00877650" w:rsidRDefault="00257248" w:rsidP="00323FD6">
            <w:pPr>
              <w:rPr>
                <w:rFonts w:ascii="Calibri" w:hAnsi="Calibri" w:cs="Calibri"/>
                <w:color w:val="000000"/>
              </w:rPr>
            </w:pPr>
            <w:r w:rsidRPr="00877650">
              <w:rPr>
                <w:rFonts w:ascii="Calibri" w:hAnsi="Calibri" w:cs="Calibri"/>
                <w:color w:val="000000"/>
              </w:rPr>
              <w:t>Ga0112165_121</w:t>
            </w:r>
          </w:p>
        </w:tc>
        <w:tc>
          <w:tcPr>
            <w:tcW w:w="311" w:type="pct"/>
            <w:tcBorders>
              <w:top w:val="nil"/>
              <w:left w:val="nil"/>
              <w:bottom w:val="nil"/>
              <w:right w:val="nil"/>
            </w:tcBorders>
            <w:shd w:val="clear" w:color="auto" w:fill="auto"/>
            <w:noWrap/>
            <w:vAlign w:val="center"/>
            <w:hideMark/>
          </w:tcPr>
          <w:p w14:paraId="066B3B42"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5ACD00D5" w14:textId="77777777" w:rsidR="00257248" w:rsidRPr="00877650" w:rsidRDefault="00257248" w:rsidP="00323FD6">
            <w:pPr>
              <w:rPr>
                <w:rFonts w:ascii="Calibri" w:hAnsi="Calibri" w:cs="Calibri"/>
                <w:color w:val="000000"/>
              </w:rPr>
            </w:pPr>
            <w:r w:rsidRPr="00877650">
              <w:rPr>
                <w:rFonts w:ascii="Calibri" w:hAnsi="Calibri" w:cs="Calibri"/>
                <w:color w:val="000000"/>
              </w:rPr>
              <w:t>conserved hypothetical protein</w:t>
            </w:r>
          </w:p>
        </w:tc>
        <w:tc>
          <w:tcPr>
            <w:tcW w:w="552" w:type="pct"/>
            <w:tcBorders>
              <w:top w:val="nil"/>
              <w:left w:val="nil"/>
              <w:bottom w:val="nil"/>
              <w:right w:val="nil"/>
            </w:tcBorders>
            <w:shd w:val="clear" w:color="auto" w:fill="auto"/>
            <w:noWrap/>
            <w:vAlign w:val="center"/>
            <w:hideMark/>
          </w:tcPr>
          <w:p w14:paraId="05A5CB84"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(R)-</w:t>
            </w:r>
            <w:proofErr w:type="spellStart"/>
            <w:r w:rsidRPr="00877650">
              <w:rPr>
                <w:rFonts w:ascii="Calibri" w:hAnsi="Calibri" w:cs="Calibri"/>
                <w:color w:val="000000"/>
              </w:rPr>
              <w:t>ethylmalonyl</w:t>
            </w:r>
            <w:proofErr w:type="spellEnd"/>
            <w:r w:rsidRPr="00877650">
              <w:rPr>
                <w:rFonts w:ascii="Calibri" w:hAnsi="Calibri" w:cs="Calibri"/>
                <w:color w:val="000000"/>
              </w:rPr>
              <w:t>-CoA mutase</w:t>
            </w:r>
          </w:p>
        </w:tc>
        <w:tc>
          <w:tcPr>
            <w:tcW w:w="448" w:type="pct"/>
            <w:tcBorders>
              <w:top w:val="nil"/>
              <w:left w:val="nil"/>
              <w:bottom w:val="nil"/>
              <w:right w:val="nil"/>
            </w:tcBorders>
            <w:shd w:val="clear" w:color="auto" w:fill="auto"/>
            <w:noWrap/>
            <w:vAlign w:val="center"/>
            <w:hideMark/>
          </w:tcPr>
          <w:p w14:paraId="447D3C27" w14:textId="77777777" w:rsidR="00257248" w:rsidRPr="00877650" w:rsidRDefault="00257248" w:rsidP="00323FD6">
            <w:pPr>
              <w:rPr>
                <w:rFonts w:ascii="Calibri" w:hAnsi="Calibri" w:cs="Calibri"/>
                <w:color w:val="000000"/>
              </w:rPr>
            </w:pPr>
            <w:r w:rsidRPr="00877650">
              <w:rPr>
                <w:rFonts w:ascii="Calibri" w:hAnsi="Calibri" w:cs="Calibri"/>
                <w:color w:val="000000"/>
              </w:rPr>
              <w:t>3097</w:t>
            </w:r>
          </w:p>
        </w:tc>
        <w:tc>
          <w:tcPr>
            <w:tcW w:w="309" w:type="pct"/>
            <w:tcBorders>
              <w:top w:val="nil"/>
              <w:left w:val="nil"/>
              <w:bottom w:val="nil"/>
              <w:right w:val="nil"/>
            </w:tcBorders>
            <w:shd w:val="clear" w:color="auto" w:fill="auto"/>
            <w:noWrap/>
            <w:vAlign w:val="center"/>
            <w:hideMark/>
          </w:tcPr>
          <w:p w14:paraId="13797CA9" w14:textId="77777777" w:rsidR="00257248" w:rsidRPr="00877650" w:rsidRDefault="00257248" w:rsidP="00323FD6">
            <w:pPr>
              <w:rPr>
                <w:rFonts w:ascii="Calibri" w:hAnsi="Calibri" w:cs="Calibri"/>
                <w:color w:val="000000"/>
              </w:rPr>
            </w:pPr>
            <w:r w:rsidRPr="00877650">
              <w:rPr>
                <w:rFonts w:ascii="Calibri" w:hAnsi="Calibri" w:cs="Calibri"/>
                <w:color w:val="000000"/>
              </w:rPr>
              <w:t>4089</w:t>
            </w:r>
          </w:p>
        </w:tc>
        <w:tc>
          <w:tcPr>
            <w:tcW w:w="240" w:type="pct"/>
            <w:tcBorders>
              <w:top w:val="nil"/>
              <w:left w:val="nil"/>
              <w:bottom w:val="nil"/>
              <w:right w:val="nil"/>
            </w:tcBorders>
            <w:shd w:val="clear" w:color="auto" w:fill="auto"/>
            <w:noWrap/>
            <w:vAlign w:val="center"/>
            <w:hideMark/>
          </w:tcPr>
          <w:p w14:paraId="36B026BA" w14:textId="77777777" w:rsidR="00257248" w:rsidRPr="00877650" w:rsidRDefault="00257248" w:rsidP="00323FD6">
            <w:pPr>
              <w:rPr>
                <w:rFonts w:ascii="Calibri" w:hAnsi="Calibri" w:cs="Calibri"/>
                <w:color w:val="000000"/>
              </w:rPr>
            </w:pPr>
            <w:r w:rsidRPr="00877650">
              <w:rPr>
                <w:rFonts w:ascii="Calibri" w:hAnsi="Calibri" w:cs="Calibri"/>
                <w:color w:val="000000"/>
              </w:rPr>
              <w:t>31.5</w:t>
            </w:r>
          </w:p>
        </w:tc>
        <w:tc>
          <w:tcPr>
            <w:tcW w:w="311" w:type="pct"/>
            <w:tcBorders>
              <w:top w:val="nil"/>
              <w:left w:val="nil"/>
              <w:bottom w:val="nil"/>
              <w:right w:val="nil"/>
            </w:tcBorders>
            <w:shd w:val="clear" w:color="auto" w:fill="auto"/>
            <w:noWrap/>
            <w:vAlign w:val="center"/>
            <w:hideMark/>
          </w:tcPr>
          <w:p w14:paraId="1ECA846A" w14:textId="77777777" w:rsidR="00257248" w:rsidRPr="00877650" w:rsidRDefault="00257248" w:rsidP="00323FD6">
            <w:pPr>
              <w:rPr>
                <w:rFonts w:ascii="Calibri" w:hAnsi="Calibri" w:cs="Calibri"/>
                <w:color w:val="000000"/>
              </w:rPr>
            </w:pPr>
            <w:r w:rsidRPr="00877650">
              <w:rPr>
                <w:rFonts w:ascii="Calibri" w:hAnsi="Calibri" w:cs="Calibri"/>
                <w:color w:val="000000"/>
              </w:rPr>
              <w:t>2</w:t>
            </w:r>
          </w:p>
        </w:tc>
        <w:tc>
          <w:tcPr>
            <w:tcW w:w="311" w:type="pct"/>
            <w:tcBorders>
              <w:top w:val="nil"/>
              <w:left w:val="nil"/>
              <w:bottom w:val="nil"/>
              <w:right w:val="nil"/>
            </w:tcBorders>
            <w:shd w:val="clear" w:color="auto" w:fill="auto"/>
            <w:noWrap/>
            <w:vAlign w:val="center"/>
            <w:hideMark/>
          </w:tcPr>
          <w:p w14:paraId="5A469DFD" w14:textId="77777777" w:rsidR="00257248" w:rsidRPr="00877650" w:rsidRDefault="00257248" w:rsidP="00323FD6">
            <w:pPr>
              <w:rPr>
                <w:rFonts w:ascii="Calibri" w:hAnsi="Calibri" w:cs="Calibri"/>
                <w:color w:val="000000"/>
              </w:rPr>
            </w:pPr>
            <w:r w:rsidRPr="00877650">
              <w:rPr>
                <w:rFonts w:ascii="Calibri" w:hAnsi="Calibri" w:cs="Calibri"/>
                <w:color w:val="000000"/>
              </w:rPr>
              <w:t>4367</w:t>
            </w:r>
          </w:p>
        </w:tc>
        <w:tc>
          <w:tcPr>
            <w:tcW w:w="413" w:type="pct"/>
            <w:tcBorders>
              <w:top w:val="nil"/>
              <w:left w:val="nil"/>
              <w:bottom w:val="nil"/>
              <w:right w:val="single" w:sz="4" w:space="0" w:color="auto"/>
            </w:tcBorders>
            <w:shd w:val="clear" w:color="auto" w:fill="auto"/>
            <w:noWrap/>
            <w:vAlign w:val="center"/>
            <w:hideMark/>
          </w:tcPr>
          <w:p w14:paraId="6227D7B0"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0.0458%</w:t>
            </w:r>
          </w:p>
        </w:tc>
      </w:tr>
      <w:tr w:rsidR="00257248" w:rsidRPr="00877650" w14:paraId="75934B93" w14:textId="77777777" w:rsidTr="00323FD6">
        <w:trPr>
          <w:trHeight w:val="290"/>
        </w:trPr>
        <w:tc>
          <w:tcPr>
            <w:tcW w:w="1105" w:type="pct"/>
            <w:gridSpan w:val="2"/>
            <w:tcBorders>
              <w:top w:val="nil"/>
              <w:left w:val="single" w:sz="4" w:space="0" w:color="auto"/>
              <w:bottom w:val="single" w:sz="4" w:space="0" w:color="auto"/>
              <w:right w:val="nil"/>
            </w:tcBorders>
            <w:shd w:val="clear" w:color="auto" w:fill="auto"/>
            <w:noWrap/>
            <w:vAlign w:val="center"/>
            <w:hideMark/>
          </w:tcPr>
          <w:p w14:paraId="30A673A9" w14:textId="77777777" w:rsidR="00257248" w:rsidRPr="00877650" w:rsidRDefault="00257248" w:rsidP="00323FD6">
            <w:pPr>
              <w:rPr>
                <w:rFonts w:ascii="Calibri" w:hAnsi="Calibri" w:cs="Calibri"/>
                <w:color w:val="F2F2F2"/>
              </w:rPr>
            </w:pPr>
          </w:p>
        </w:tc>
        <w:tc>
          <w:tcPr>
            <w:tcW w:w="516" w:type="pct"/>
            <w:tcBorders>
              <w:top w:val="nil"/>
              <w:left w:val="nil"/>
              <w:bottom w:val="single" w:sz="4" w:space="0" w:color="auto"/>
              <w:right w:val="nil"/>
            </w:tcBorders>
            <w:shd w:val="clear" w:color="auto" w:fill="auto"/>
            <w:noWrap/>
            <w:vAlign w:val="center"/>
            <w:hideMark/>
          </w:tcPr>
          <w:p w14:paraId="7CAFF8F3" w14:textId="77777777" w:rsidR="00257248" w:rsidRPr="00877650" w:rsidRDefault="00257248" w:rsidP="00323FD6">
            <w:pPr>
              <w:rPr>
                <w:rFonts w:ascii="Calibri" w:hAnsi="Calibri" w:cs="Calibri"/>
                <w:color w:val="000000"/>
              </w:rPr>
            </w:pPr>
            <w:r w:rsidRPr="00877650">
              <w:rPr>
                <w:rFonts w:ascii="Calibri" w:hAnsi="Calibri" w:cs="Calibri"/>
                <w:color w:val="000000"/>
              </w:rPr>
              <w:t>Ga0112165_118</w:t>
            </w:r>
          </w:p>
        </w:tc>
        <w:tc>
          <w:tcPr>
            <w:tcW w:w="311" w:type="pct"/>
            <w:tcBorders>
              <w:top w:val="nil"/>
              <w:left w:val="nil"/>
              <w:bottom w:val="single" w:sz="4" w:space="0" w:color="auto"/>
              <w:right w:val="nil"/>
            </w:tcBorders>
            <w:shd w:val="clear" w:color="auto" w:fill="auto"/>
            <w:noWrap/>
            <w:vAlign w:val="center"/>
            <w:hideMark/>
          </w:tcPr>
          <w:p w14:paraId="05EE8B53"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single" w:sz="4" w:space="0" w:color="auto"/>
              <w:right w:val="nil"/>
            </w:tcBorders>
            <w:shd w:val="clear" w:color="auto" w:fill="auto"/>
            <w:noWrap/>
            <w:vAlign w:val="center"/>
            <w:hideMark/>
          </w:tcPr>
          <w:p w14:paraId="2B63AB2C" w14:textId="77777777" w:rsidR="00257248" w:rsidRPr="00877650" w:rsidRDefault="00257248" w:rsidP="00323FD6">
            <w:pPr>
              <w:rPr>
                <w:rFonts w:ascii="Calibri" w:hAnsi="Calibri" w:cs="Calibri"/>
                <w:color w:val="000000"/>
              </w:rPr>
            </w:pPr>
            <w:r w:rsidRPr="00877650">
              <w:rPr>
                <w:rFonts w:ascii="Calibri" w:hAnsi="Calibri" w:cs="Calibri"/>
                <w:color w:val="000000"/>
              </w:rPr>
              <w:t>hypothetical protein</w:t>
            </w:r>
          </w:p>
        </w:tc>
        <w:tc>
          <w:tcPr>
            <w:tcW w:w="552" w:type="pct"/>
            <w:tcBorders>
              <w:top w:val="nil"/>
              <w:left w:val="nil"/>
              <w:bottom w:val="single" w:sz="4" w:space="0" w:color="auto"/>
              <w:right w:val="nil"/>
            </w:tcBorders>
            <w:shd w:val="clear" w:color="auto" w:fill="auto"/>
            <w:noWrap/>
            <w:vAlign w:val="center"/>
            <w:hideMark/>
          </w:tcPr>
          <w:p w14:paraId="29AA7D6B"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copper-resistance protein, </w:t>
            </w:r>
            <w:proofErr w:type="spellStart"/>
            <w:r w:rsidRPr="00877650">
              <w:rPr>
                <w:rFonts w:ascii="Calibri" w:hAnsi="Calibri" w:cs="Calibri"/>
                <w:color w:val="000000"/>
              </w:rPr>
              <w:t>CopA</w:t>
            </w:r>
            <w:proofErr w:type="spellEnd"/>
            <w:r w:rsidRPr="00877650">
              <w:rPr>
                <w:rFonts w:ascii="Calibri" w:hAnsi="Calibri" w:cs="Calibri"/>
                <w:color w:val="000000"/>
              </w:rPr>
              <w:t xml:space="preserve"> family</w:t>
            </w:r>
          </w:p>
        </w:tc>
        <w:tc>
          <w:tcPr>
            <w:tcW w:w="448" w:type="pct"/>
            <w:tcBorders>
              <w:top w:val="nil"/>
              <w:left w:val="nil"/>
              <w:bottom w:val="single" w:sz="4" w:space="0" w:color="auto"/>
              <w:right w:val="nil"/>
            </w:tcBorders>
            <w:shd w:val="clear" w:color="auto" w:fill="auto"/>
            <w:noWrap/>
            <w:vAlign w:val="center"/>
            <w:hideMark/>
          </w:tcPr>
          <w:p w14:paraId="0C9A41D3" w14:textId="77777777" w:rsidR="00257248" w:rsidRPr="00877650" w:rsidRDefault="00257248" w:rsidP="00323FD6">
            <w:pPr>
              <w:rPr>
                <w:rFonts w:ascii="Calibri" w:hAnsi="Calibri" w:cs="Calibri"/>
                <w:color w:val="000000"/>
              </w:rPr>
            </w:pPr>
            <w:r w:rsidRPr="00877650">
              <w:rPr>
                <w:rFonts w:ascii="Calibri" w:hAnsi="Calibri" w:cs="Calibri"/>
                <w:color w:val="000000"/>
              </w:rPr>
              <w:t>6232</w:t>
            </w:r>
          </w:p>
        </w:tc>
        <w:tc>
          <w:tcPr>
            <w:tcW w:w="309" w:type="pct"/>
            <w:tcBorders>
              <w:top w:val="nil"/>
              <w:left w:val="nil"/>
              <w:bottom w:val="single" w:sz="4" w:space="0" w:color="auto"/>
              <w:right w:val="nil"/>
            </w:tcBorders>
            <w:shd w:val="clear" w:color="auto" w:fill="auto"/>
            <w:noWrap/>
            <w:vAlign w:val="center"/>
            <w:hideMark/>
          </w:tcPr>
          <w:p w14:paraId="14DBE7DD" w14:textId="77777777" w:rsidR="00257248" w:rsidRPr="00877650" w:rsidRDefault="00257248" w:rsidP="00323FD6">
            <w:pPr>
              <w:rPr>
                <w:rFonts w:ascii="Calibri" w:hAnsi="Calibri" w:cs="Calibri"/>
                <w:color w:val="000000"/>
              </w:rPr>
            </w:pPr>
            <w:r w:rsidRPr="00877650">
              <w:rPr>
                <w:rFonts w:ascii="Calibri" w:hAnsi="Calibri" w:cs="Calibri"/>
                <w:color w:val="000000"/>
              </w:rPr>
              <w:t>8962</w:t>
            </w:r>
          </w:p>
        </w:tc>
        <w:tc>
          <w:tcPr>
            <w:tcW w:w="240" w:type="pct"/>
            <w:tcBorders>
              <w:top w:val="nil"/>
              <w:left w:val="nil"/>
              <w:bottom w:val="single" w:sz="4" w:space="0" w:color="auto"/>
              <w:right w:val="nil"/>
            </w:tcBorders>
            <w:shd w:val="clear" w:color="auto" w:fill="auto"/>
            <w:noWrap/>
            <w:vAlign w:val="center"/>
            <w:hideMark/>
          </w:tcPr>
          <w:p w14:paraId="535AC334" w14:textId="77777777" w:rsidR="00257248" w:rsidRPr="00877650" w:rsidRDefault="00257248" w:rsidP="00323FD6">
            <w:pPr>
              <w:rPr>
                <w:rFonts w:ascii="Calibri" w:hAnsi="Calibri" w:cs="Calibri"/>
                <w:color w:val="000000"/>
              </w:rPr>
            </w:pPr>
            <w:r w:rsidRPr="00877650">
              <w:rPr>
                <w:rFonts w:ascii="Calibri" w:hAnsi="Calibri" w:cs="Calibri"/>
                <w:color w:val="000000"/>
              </w:rPr>
              <w:t>15.6</w:t>
            </w:r>
          </w:p>
        </w:tc>
        <w:tc>
          <w:tcPr>
            <w:tcW w:w="1035" w:type="pct"/>
            <w:gridSpan w:val="3"/>
            <w:tcBorders>
              <w:top w:val="nil"/>
              <w:left w:val="nil"/>
              <w:bottom w:val="single" w:sz="4" w:space="0" w:color="auto"/>
              <w:right w:val="single" w:sz="4" w:space="0" w:color="auto"/>
            </w:tcBorders>
            <w:shd w:val="clear" w:color="auto" w:fill="auto"/>
            <w:noWrap/>
            <w:vAlign w:val="center"/>
            <w:hideMark/>
          </w:tcPr>
          <w:p w14:paraId="5BFF8B63" w14:textId="77777777" w:rsidR="00257248" w:rsidRPr="00877650" w:rsidRDefault="00257248" w:rsidP="00323FD6">
            <w:pPr>
              <w:rPr>
                <w:rFonts w:ascii="Calibri" w:hAnsi="Calibri" w:cs="Calibri"/>
                <w:color w:val="000000"/>
              </w:rPr>
            </w:pPr>
          </w:p>
        </w:tc>
      </w:tr>
      <w:tr w:rsidR="00257248" w:rsidRPr="00877650" w14:paraId="11F563B4" w14:textId="77777777" w:rsidTr="00323FD6">
        <w:trPr>
          <w:trHeight w:val="290"/>
        </w:trPr>
        <w:tc>
          <w:tcPr>
            <w:tcW w:w="516" w:type="pct"/>
            <w:tcBorders>
              <w:top w:val="nil"/>
              <w:left w:val="single" w:sz="4" w:space="0" w:color="auto"/>
              <w:bottom w:val="nil"/>
              <w:right w:val="nil"/>
            </w:tcBorders>
            <w:shd w:val="clear" w:color="auto" w:fill="auto"/>
            <w:noWrap/>
            <w:vAlign w:val="center"/>
            <w:hideMark/>
          </w:tcPr>
          <w:p w14:paraId="2EC734D9" w14:textId="77777777" w:rsidR="00257248" w:rsidRPr="00877650" w:rsidRDefault="00257248" w:rsidP="00323FD6">
            <w:pPr>
              <w:rPr>
                <w:rFonts w:ascii="Calibri" w:hAnsi="Calibri" w:cs="Calibri"/>
                <w:color w:val="000000"/>
              </w:rPr>
            </w:pPr>
            <w:r w:rsidRPr="00877650">
              <w:rPr>
                <w:rFonts w:ascii="Calibri" w:hAnsi="Calibri" w:cs="Calibri"/>
                <w:color w:val="000000"/>
              </w:rPr>
              <w:t>2690316282</w:t>
            </w:r>
          </w:p>
        </w:tc>
        <w:tc>
          <w:tcPr>
            <w:tcW w:w="589" w:type="pct"/>
            <w:tcBorders>
              <w:top w:val="nil"/>
              <w:left w:val="nil"/>
              <w:bottom w:val="nil"/>
              <w:right w:val="nil"/>
            </w:tcBorders>
            <w:shd w:val="clear" w:color="auto" w:fill="auto"/>
            <w:noWrap/>
            <w:vAlign w:val="center"/>
            <w:hideMark/>
          </w:tcPr>
          <w:p w14:paraId="2B4338C8"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Leisingera</w:t>
            </w:r>
            <w:proofErr w:type="spellEnd"/>
            <w:r w:rsidRPr="00877650">
              <w:rPr>
                <w:rFonts w:ascii="Calibri" w:hAnsi="Calibri" w:cs="Calibri"/>
                <w:color w:val="000000"/>
              </w:rPr>
              <w:t xml:space="preserve"> sp. ANG-M7</w:t>
            </w:r>
          </w:p>
        </w:tc>
        <w:tc>
          <w:tcPr>
            <w:tcW w:w="516" w:type="pct"/>
            <w:tcBorders>
              <w:top w:val="nil"/>
              <w:left w:val="nil"/>
              <w:bottom w:val="nil"/>
              <w:right w:val="nil"/>
            </w:tcBorders>
            <w:shd w:val="clear" w:color="auto" w:fill="auto"/>
            <w:noWrap/>
            <w:vAlign w:val="center"/>
            <w:hideMark/>
          </w:tcPr>
          <w:p w14:paraId="4CE6233A" w14:textId="77777777" w:rsidR="00257248" w:rsidRPr="00877650" w:rsidRDefault="00257248" w:rsidP="00323FD6">
            <w:pPr>
              <w:rPr>
                <w:rFonts w:ascii="Calibri" w:hAnsi="Calibri" w:cs="Calibri"/>
                <w:color w:val="000000"/>
              </w:rPr>
            </w:pPr>
            <w:r w:rsidRPr="00877650">
              <w:rPr>
                <w:rFonts w:ascii="Calibri" w:hAnsi="Calibri" w:cs="Calibri"/>
                <w:color w:val="000000"/>
              </w:rPr>
              <w:t>Ga0112167_105</w:t>
            </w:r>
          </w:p>
        </w:tc>
        <w:tc>
          <w:tcPr>
            <w:tcW w:w="311" w:type="pct"/>
            <w:tcBorders>
              <w:top w:val="nil"/>
              <w:left w:val="nil"/>
              <w:bottom w:val="nil"/>
              <w:right w:val="nil"/>
            </w:tcBorders>
            <w:shd w:val="clear" w:color="auto" w:fill="auto"/>
            <w:noWrap/>
            <w:vAlign w:val="center"/>
            <w:hideMark/>
          </w:tcPr>
          <w:p w14:paraId="33E2485B"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0AFE8E33" w14:textId="77777777" w:rsidR="00257248" w:rsidRPr="00877650" w:rsidRDefault="00257248" w:rsidP="00323FD6">
            <w:pPr>
              <w:rPr>
                <w:rFonts w:ascii="Calibri" w:hAnsi="Calibri" w:cs="Calibri"/>
                <w:color w:val="000000"/>
              </w:rPr>
            </w:pPr>
            <w:r w:rsidRPr="00877650">
              <w:rPr>
                <w:rFonts w:ascii="Calibri" w:hAnsi="Calibri" w:cs="Calibri"/>
                <w:color w:val="000000"/>
              </w:rPr>
              <w:t>DNA-binding transcripti</w:t>
            </w:r>
            <w:r w:rsidRPr="00877650">
              <w:rPr>
                <w:rFonts w:ascii="Calibri" w:hAnsi="Calibri" w:cs="Calibri"/>
                <w:color w:val="000000"/>
              </w:rPr>
              <w:lastRenderedPageBreak/>
              <w:t xml:space="preserve">onal regulator, </w:t>
            </w:r>
            <w:proofErr w:type="spellStart"/>
            <w:r w:rsidRPr="00877650">
              <w:rPr>
                <w:rFonts w:ascii="Calibri" w:hAnsi="Calibri" w:cs="Calibri"/>
                <w:color w:val="000000"/>
              </w:rPr>
              <w:t>CsgD</w:t>
            </w:r>
            <w:proofErr w:type="spellEnd"/>
            <w:r w:rsidRPr="00877650">
              <w:rPr>
                <w:rFonts w:ascii="Calibri" w:hAnsi="Calibri" w:cs="Calibri"/>
                <w:color w:val="000000"/>
              </w:rPr>
              <w:t xml:space="preserve"> family</w:t>
            </w:r>
          </w:p>
        </w:tc>
        <w:tc>
          <w:tcPr>
            <w:tcW w:w="552" w:type="pct"/>
            <w:tcBorders>
              <w:top w:val="nil"/>
              <w:left w:val="nil"/>
              <w:bottom w:val="nil"/>
              <w:right w:val="nil"/>
            </w:tcBorders>
            <w:shd w:val="clear" w:color="auto" w:fill="auto"/>
            <w:noWrap/>
            <w:vAlign w:val="center"/>
            <w:hideMark/>
          </w:tcPr>
          <w:p w14:paraId="62A1E469" w14:textId="77777777" w:rsidR="00257248" w:rsidRPr="00877650" w:rsidRDefault="00257248" w:rsidP="00323FD6">
            <w:pPr>
              <w:rPr>
                <w:rFonts w:ascii="Calibri" w:hAnsi="Calibri" w:cs="Calibri"/>
                <w:color w:val="000000"/>
              </w:rPr>
            </w:pPr>
            <w:r w:rsidRPr="00877650">
              <w:rPr>
                <w:rFonts w:ascii="Calibri" w:hAnsi="Calibri" w:cs="Calibri"/>
                <w:color w:val="000000"/>
              </w:rPr>
              <w:lastRenderedPageBreak/>
              <w:t xml:space="preserve">acyl homoserine </w:t>
            </w:r>
            <w:r w:rsidRPr="00877650">
              <w:rPr>
                <w:rFonts w:ascii="Calibri" w:hAnsi="Calibri" w:cs="Calibri"/>
                <w:color w:val="000000"/>
              </w:rPr>
              <w:lastRenderedPageBreak/>
              <w:t>lactone synthase</w:t>
            </w:r>
          </w:p>
        </w:tc>
        <w:tc>
          <w:tcPr>
            <w:tcW w:w="448" w:type="pct"/>
            <w:tcBorders>
              <w:top w:val="nil"/>
              <w:left w:val="nil"/>
              <w:bottom w:val="nil"/>
              <w:right w:val="nil"/>
            </w:tcBorders>
            <w:shd w:val="clear" w:color="auto" w:fill="auto"/>
            <w:noWrap/>
            <w:vAlign w:val="center"/>
            <w:hideMark/>
          </w:tcPr>
          <w:p w14:paraId="77C47E96" w14:textId="77777777" w:rsidR="00257248" w:rsidRPr="00877650" w:rsidRDefault="00257248" w:rsidP="00323FD6">
            <w:pPr>
              <w:rPr>
                <w:rFonts w:ascii="Calibri" w:hAnsi="Calibri" w:cs="Calibri"/>
                <w:color w:val="000000"/>
              </w:rPr>
            </w:pPr>
            <w:r w:rsidRPr="00877650">
              <w:rPr>
                <w:rFonts w:ascii="Calibri" w:hAnsi="Calibri" w:cs="Calibri"/>
                <w:color w:val="000000"/>
              </w:rPr>
              <w:lastRenderedPageBreak/>
              <w:t>15</w:t>
            </w:r>
          </w:p>
        </w:tc>
        <w:tc>
          <w:tcPr>
            <w:tcW w:w="309" w:type="pct"/>
            <w:tcBorders>
              <w:top w:val="nil"/>
              <w:left w:val="nil"/>
              <w:bottom w:val="nil"/>
              <w:right w:val="nil"/>
            </w:tcBorders>
            <w:shd w:val="clear" w:color="auto" w:fill="auto"/>
            <w:noWrap/>
            <w:vAlign w:val="center"/>
            <w:hideMark/>
          </w:tcPr>
          <w:p w14:paraId="483936A7" w14:textId="77777777" w:rsidR="00257248" w:rsidRPr="00877650" w:rsidRDefault="00257248" w:rsidP="00323FD6">
            <w:pPr>
              <w:rPr>
                <w:rFonts w:ascii="Calibri" w:hAnsi="Calibri" w:cs="Calibri"/>
                <w:color w:val="000000"/>
              </w:rPr>
            </w:pPr>
            <w:r w:rsidRPr="00877650">
              <w:rPr>
                <w:rFonts w:ascii="Calibri" w:hAnsi="Calibri" w:cs="Calibri"/>
                <w:color w:val="000000"/>
              </w:rPr>
              <w:t>47</w:t>
            </w:r>
          </w:p>
        </w:tc>
        <w:tc>
          <w:tcPr>
            <w:tcW w:w="240" w:type="pct"/>
            <w:tcBorders>
              <w:top w:val="nil"/>
              <w:left w:val="nil"/>
              <w:bottom w:val="nil"/>
              <w:right w:val="nil"/>
            </w:tcBorders>
            <w:shd w:val="clear" w:color="auto" w:fill="auto"/>
            <w:noWrap/>
            <w:vAlign w:val="center"/>
            <w:hideMark/>
          </w:tcPr>
          <w:p w14:paraId="55F28FBD" w14:textId="77777777" w:rsidR="00257248" w:rsidRPr="00877650" w:rsidRDefault="00257248" w:rsidP="00323FD6">
            <w:pPr>
              <w:rPr>
                <w:rFonts w:ascii="Calibri" w:hAnsi="Calibri" w:cs="Calibri"/>
                <w:color w:val="000000"/>
              </w:rPr>
            </w:pPr>
            <w:r w:rsidRPr="00877650">
              <w:rPr>
                <w:rFonts w:ascii="Calibri" w:hAnsi="Calibri" w:cs="Calibri"/>
                <w:color w:val="000000"/>
              </w:rPr>
              <w:t>23.8</w:t>
            </w:r>
          </w:p>
        </w:tc>
        <w:tc>
          <w:tcPr>
            <w:tcW w:w="311" w:type="pct"/>
            <w:tcBorders>
              <w:top w:val="nil"/>
              <w:left w:val="nil"/>
              <w:bottom w:val="nil"/>
              <w:right w:val="nil"/>
            </w:tcBorders>
            <w:shd w:val="clear" w:color="auto" w:fill="auto"/>
            <w:noWrap/>
            <w:vAlign w:val="center"/>
            <w:hideMark/>
          </w:tcPr>
          <w:p w14:paraId="55813527" w14:textId="77777777" w:rsidR="00257248" w:rsidRPr="00877650" w:rsidRDefault="00257248" w:rsidP="00323FD6">
            <w:pPr>
              <w:rPr>
                <w:rFonts w:ascii="Calibri" w:hAnsi="Calibri" w:cs="Calibri"/>
                <w:color w:val="000000"/>
              </w:rPr>
            </w:pPr>
            <w:r w:rsidRPr="00877650">
              <w:rPr>
                <w:rFonts w:ascii="Calibri" w:hAnsi="Calibri" w:cs="Calibri"/>
                <w:color w:val="000000"/>
              </w:rPr>
              <w:t>2</w:t>
            </w:r>
          </w:p>
        </w:tc>
        <w:tc>
          <w:tcPr>
            <w:tcW w:w="311" w:type="pct"/>
            <w:tcBorders>
              <w:top w:val="nil"/>
              <w:left w:val="nil"/>
              <w:bottom w:val="nil"/>
              <w:right w:val="nil"/>
            </w:tcBorders>
            <w:shd w:val="clear" w:color="auto" w:fill="auto"/>
            <w:noWrap/>
            <w:vAlign w:val="center"/>
            <w:hideMark/>
          </w:tcPr>
          <w:p w14:paraId="58E0FDCC" w14:textId="77777777" w:rsidR="00257248" w:rsidRPr="00877650" w:rsidRDefault="00257248" w:rsidP="00323FD6">
            <w:pPr>
              <w:rPr>
                <w:rFonts w:ascii="Calibri" w:hAnsi="Calibri" w:cs="Calibri"/>
                <w:color w:val="000000"/>
              </w:rPr>
            </w:pPr>
            <w:r w:rsidRPr="00877650">
              <w:rPr>
                <w:rFonts w:ascii="Calibri" w:hAnsi="Calibri" w:cs="Calibri"/>
                <w:color w:val="000000"/>
              </w:rPr>
              <w:t>4448</w:t>
            </w:r>
          </w:p>
        </w:tc>
        <w:tc>
          <w:tcPr>
            <w:tcW w:w="413" w:type="pct"/>
            <w:tcBorders>
              <w:top w:val="nil"/>
              <w:left w:val="nil"/>
              <w:bottom w:val="nil"/>
              <w:right w:val="single" w:sz="4" w:space="0" w:color="auto"/>
            </w:tcBorders>
            <w:shd w:val="clear" w:color="auto" w:fill="auto"/>
            <w:noWrap/>
            <w:vAlign w:val="center"/>
            <w:hideMark/>
          </w:tcPr>
          <w:p w14:paraId="4A7552C6"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0.045%</w:t>
            </w:r>
          </w:p>
        </w:tc>
      </w:tr>
      <w:tr w:rsidR="00257248" w:rsidRPr="00877650" w14:paraId="7677DD73" w14:textId="77777777" w:rsidTr="00323FD6">
        <w:trPr>
          <w:trHeight w:val="290"/>
        </w:trPr>
        <w:tc>
          <w:tcPr>
            <w:tcW w:w="1105" w:type="pct"/>
            <w:gridSpan w:val="2"/>
            <w:tcBorders>
              <w:top w:val="nil"/>
              <w:left w:val="single" w:sz="4" w:space="0" w:color="auto"/>
              <w:bottom w:val="nil"/>
              <w:right w:val="nil"/>
            </w:tcBorders>
            <w:shd w:val="clear" w:color="auto" w:fill="auto"/>
            <w:noWrap/>
            <w:vAlign w:val="center"/>
            <w:hideMark/>
          </w:tcPr>
          <w:p w14:paraId="0DFEA7D7" w14:textId="77777777" w:rsidR="00257248" w:rsidRPr="00877650" w:rsidRDefault="00257248" w:rsidP="00323FD6">
            <w:pPr>
              <w:rPr>
                <w:rFonts w:ascii="Calibri" w:hAnsi="Calibri" w:cs="Calibri"/>
                <w:color w:val="F2F2F2"/>
              </w:rPr>
            </w:pPr>
          </w:p>
        </w:tc>
        <w:tc>
          <w:tcPr>
            <w:tcW w:w="516" w:type="pct"/>
            <w:tcBorders>
              <w:top w:val="nil"/>
              <w:left w:val="nil"/>
              <w:bottom w:val="nil"/>
              <w:right w:val="nil"/>
            </w:tcBorders>
            <w:shd w:val="clear" w:color="auto" w:fill="auto"/>
            <w:noWrap/>
            <w:vAlign w:val="center"/>
            <w:hideMark/>
          </w:tcPr>
          <w:p w14:paraId="7D79A676" w14:textId="77777777" w:rsidR="00257248" w:rsidRPr="00877650" w:rsidRDefault="00257248" w:rsidP="00323FD6">
            <w:pPr>
              <w:rPr>
                <w:rFonts w:ascii="Calibri" w:hAnsi="Calibri" w:cs="Calibri"/>
                <w:color w:val="000000"/>
              </w:rPr>
            </w:pPr>
            <w:r w:rsidRPr="00877650">
              <w:rPr>
                <w:rFonts w:ascii="Calibri" w:hAnsi="Calibri" w:cs="Calibri"/>
                <w:color w:val="000000"/>
              </w:rPr>
              <w:t>Ga0112167_101</w:t>
            </w:r>
          </w:p>
        </w:tc>
        <w:tc>
          <w:tcPr>
            <w:tcW w:w="311" w:type="pct"/>
            <w:tcBorders>
              <w:top w:val="nil"/>
              <w:left w:val="nil"/>
              <w:bottom w:val="nil"/>
              <w:right w:val="nil"/>
            </w:tcBorders>
            <w:shd w:val="clear" w:color="auto" w:fill="auto"/>
            <w:noWrap/>
            <w:vAlign w:val="center"/>
            <w:hideMark/>
          </w:tcPr>
          <w:p w14:paraId="3EF40862"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32F279D5" w14:textId="77777777" w:rsidR="00257248" w:rsidRPr="00877650" w:rsidRDefault="00257248" w:rsidP="00323FD6">
            <w:pPr>
              <w:rPr>
                <w:rFonts w:ascii="Calibri" w:hAnsi="Calibri" w:cs="Calibri"/>
                <w:color w:val="000000"/>
              </w:rPr>
            </w:pPr>
            <w:r w:rsidRPr="00877650">
              <w:rPr>
                <w:rFonts w:ascii="Calibri" w:hAnsi="Calibri" w:cs="Calibri"/>
                <w:color w:val="000000"/>
              </w:rPr>
              <w:t>hypothetical protein</w:t>
            </w:r>
          </w:p>
        </w:tc>
        <w:tc>
          <w:tcPr>
            <w:tcW w:w="552" w:type="pct"/>
            <w:tcBorders>
              <w:top w:val="nil"/>
              <w:left w:val="nil"/>
              <w:bottom w:val="nil"/>
              <w:right w:val="nil"/>
            </w:tcBorders>
            <w:shd w:val="clear" w:color="auto" w:fill="auto"/>
            <w:noWrap/>
            <w:vAlign w:val="center"/>
            <w:hideMark/>
          </w:tcPr>
          <w:p w14:paraId="1B38BF3E" w14:textId="77777777" w:rsidR="00257248" w:rsidRPr="00877650" w:rsidRDefault="00257248" w:rsidP="00323FD6">
            <w:pPr>
              <w:rPr>
                <w:rFonts w:ascii="Calibri" w:hAnsi="Calibri" w:cs="Calibri"/>
                <w:color w:val="000000"/>
              </w:rPr>
            </w:pPr>
            <w:r w:rsidRPr="00877650">
              <w:rPr>
                <w:rFonts w:ascii="Calibri" w:hAnsi="Calibri" w:cs="Calibri"/>
                <w:color w:val="000000"/>
              </w:rPr>
              <w:t>salicylate hydroxylase</w:t>
            </w:r>
          </w:p>
        </w:tc>
        <w:tc>
          <w:tcPr>
            <w:tcW w:w="448" w:type="pct"/>
            <w:tcBorders>
              <w:top w:val="nil"/>
              <w:left w:val="nil"/>
              <w:bottom w:val="nil"/>
              <w:right w:val="nil"/>
            </w:tcBorders>
            <w:shd w:val="clear" w:color="auto" w:fill="auto"/>
            <w:noWrap/>
            <w:vAlign w:val="center"/>
            <w:hideMark/>
          </w:tcPr>
          <w:p w14:paraId="6B0D5F59" w14:textId="77777777" w:rsidR="00257248" w:rsidRPr="00877650" w:rsidRDefault="00257248" w:rsidP="00323FD6">
            <w:pPr>
              <w:rPr>
                <w:rFonts w:ascii="Calibri" w:hAnsi="Calibri" w:cs="Calibri"/>
                <w:color w:val="000000"/>
              </w:rPr>
            </w:pPr>
            <w:r w:rsidRPr="00877650">
              <w:rPr>
                <w:rFonts w:ascii="Calibri" w:hAnsi="Calibri" w:cs="Calibri"/>
                <w:color w:val="000000"/>
              </w:rPr>
              <w:t>925</w:t>
            </w:r>
          </w:p>
        </w:tc>
        <w:tc>
          <w:tcPr>
            <w:tcW w:w="309" w:type="pct"/>
            <w:tcBorders>
              <w:top w:val="nil"/>
              <w:left w:val="nil"/>
              <w:bottom w:val="nil"/>
              <w:right w:val="nil"/>
            </w:tcBorders>
            <w:shd w:val="clear" w:color="auto" w:fill="auto"/>
            <w:noWrap/>
            <w:vAlign w:val="center"/>
            <w:hideMark/>
          </w:tcPr>
          <w:p w14:paraId="7B0FD184" w14:textId="77777777" w:rsidR="00257248" w:rsidRPr="00877650" w:rsidRDefault="00257248" w:rsidP="00323FD6">
            <w:pPr>
              <w:rPr>
                <w:rFonts w:ascii="Calibri" w:hAnsi="Calibri" w:cs="Calibri"/>
                <w:color w:val="000000"/>
              </w:rPr>
            </w:pPr>
            <w:r w:rsidRPr="00877650">
              <w:rPr>
                <w:rFonts w:ascii="Calibri" w:hAnsi="Calibri" w:cs="Calibri"/>
                <w:color w:val="000000"/>
              </w:rPr>
              <w:t>317</w:t>
            </w:r>
          </w:p>
        </w:tc>
        <w:tc>
          <w:tcPr>
            <w:tcW w:w="240" w:type="pct"/>
            <w:tcBorders>
              <w:top w:val="nil"/>
              <w:left w:val="nil"/>
              <w:bottom w:val="nil"/>
              <w:right w:val="nil"/>
            </w:tcBorders>
            <w:shd w:val="clear" w:color="auto" w:fill="auto"/>
            <w:noWrap/>
            <w:vAlign w:val="center"/>
            <w:hideMark/>
          </w:tcPr>
          <w:p w14:paraId="28E59C48" w14:textId="77777777" w:rsidR="00257248" w:rsidRPr="00877650" w:rsidRDefault="00257248" w:rsidP="00323FD6">
            <w:pPr>
              <w:rPr>
                <w:rFonts w:ascii="Calibri" w:hAnsi="Calibri" w:cs="Calibri"/>
                <w:color w:val="000000"/>
              </w:rPr>
            </w:pPr>
            <w:r w:rsidRPr="00877650">
              <w:rPr>
                <w:rFonts w:ascii="Calibri" w:hAnsi="Calibri" w:cs="Calibri"/>
                <w:color w:val="000000"/>
              </w:rPr>
              <w:t>16.2</w:t>
            </w:r>
          </w:p>
        </w:tc>
        <w:tc>
          <w:tcPr>
            <w:tcW w:w="1035" w:type="pct"/>
            <w:gridSpan w:val="3"/>
            <w:tcBorders>
              <w:top w:val="nil"/>
              <w:left w:val="nil"/>
              <w:bottom w:val="nil"/>
              <w:right w:val="single" w:sz="4" w:space="0" w:color="auto"/>
            </w:tcBorders>
            <w:shd w:val="clear" w:color="auto" w:fill="auto"/>
            <w:noWrap/>
            <w:vAlign w:val="center"/>
            <w:hideMark/>
          </w:tcPr>
          <w:p w14:paraId="0BA93C38" w14:textId="77777777" w:rsidR="00257248" w:rsidRPr="00877650" w:rsidRDefault="00257248" w:rsidP="00323FD6">
            <w:pPr>
              <w:rPr>
                <w:rFonts w:ascii="Calibri" w:hAnsi="Calibri" w:cs="Calibri"/>
                <w:color w:val="000000"/>
              </w:rPr>
            </w:pPr>
          </w:p>
        </w:tc>
      </w:tr>
      <w:tr w:rsidR="00257248" w:rsidRPr="00877650" w14:paraId="0A3A5896" w14:textId="77777777" w:rsidTr="00323FD6">
        <w:trPr>
          <w:trHeight w:val="290"/>
        </w:trPr>
        <w:tc>
          <w:tcPr>
            <w:tcW w:w="516" w:type="pct"/>
            <w:tcBorders>
              <w:top w:val="single" w:sz="4" w:space="0" w:color="auto"/>
              <w:left w:val="single" w:sz="4" w:space="0" w:color="auto"/>
              <w:bottom w:val="nil"/>
              <w:right w:val="nil"/>
            </w:tcBorders>
            <w:shd w:val="clear" w:color="auto" w:fill="auto"/>
            <w:noWrap/>
            <w:vAlign w:val="center"/>
            <w:hideMark/>
          </w:tcPr>
          <w:p w14:paraId="6F776BF3" w14:textId="77777777" w:rsidR="00257248" w:rsidRPr="00877650" w:rsidRDefault="00257248" w:rsidP="00323FD6">
            <w:pPr>
              <w:rPr>
                <w:rFonts w:ascii="Calibri" w:hAnsi="Calibri" w:cs="Calibri"/>
                <w:color w:val="000000"/>
              </w:rPr>
            </w:pPr>
            <w:r w:rsidRPr="00877650">
              <w:rPr>
                <w:rFonts w:ascii="Calibri" w:hAnsi="Calibri" w:cs="Calibri"/>
                <w:color w:val="000000"/>
              </w:rPr>
              <w:t>2657244983</w:t>
            </w:r>
          </w:p>
        </w:tc>
        <w:tc>
          <w:tcPr>
            <w:tcW w:w="589" w:type="pct"/>
            <w:tcBorders>
              <w:top w:val="single" w:sz="4" w:space="0" w:color="auto"/>
              <w:left w:val="nil"/>
              <w:bottom w:val="nil"/>
              <w:right w:val="nil"/>
            </w:tcBorders>
            <w:shd w:val="clear" w:color="auto" w:fill="auto"/>
            <w:noWrap/>
            <w:vAlign w:val="center"/>
            <w:hideMark/>
          </w:tcPr>
          <w:p w14:paraId="53754E20"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Leisingera</w:t>
            </w:r>
            <w:proofErr w:type="spellEnd"/>
            <w:r w:rsidRPr="00877650">
              <w:rPr>
                <w:rFonts w:ascii="Calibri" w:hAnsi="Calibri" w:cs="Calibri"/>
                <w:color w:val="000000"/>
              </w:rPr>
              <w:t xml:space="preserve"> sp. ANG-S</w:t>
            </w:r>
          </w:p>
        </w:tc>
        <w:tc>
          <w:tcPr>
            <w:tcW w:w="516" w:type="pct"/>
            <w:tcBorders>
              <w:top w:val="single" w:sz="4" w:space="0" w:color="auto"/>
              <w:left w:val="nil"/>
              <w:bottom w:val="nil"/>
              <w:right w:val="nil"/>
            </w:tcBorders>
            <w:shd w:val="clear" w:color="auto" w:fill="auto"/>
            <w:noWrap/>
            <w:vAlign w:val="center"/>
            <w:hideMark/>
          </w:tcPr>
          <w:p w14:paraId="5642FD69" w14:textId="77777777" w:rsidR="00257248" w:rsidRPr="00877650" w:rsidRDefault="00257248" w:rsidP="00323FD6">
            <w:pPr>
              <w:rPr>
                <w:rFonts w:ascii="Calibri" w:hAnsi="Calibri" w:cs="Calibri"/>
                <w:color w:val="000000"/>
              </w:rPr>
            </w:pPr>
            <w:r w:rsidRPr="00877650">
              <w:rPr>
                <w:rFonts w:ascii="Calibri" w:hAnsi="Calibri" w:cs="Calibri"/>
                <w:color w:val="000000"/>
              </w:rPr>
              <w:t>Ga0112170_101</w:t>
            </w:r>
          </w:p>
        </w:tc>
        <w:tc>
          <w:tcPr>
            <w:tcW w:w="311" w:type="pct"/>
            <w:tcBorders>
              <w:top w:val="single" w:sz="4" w:space="0" w:color="auto"/>
              <w:left w:val="nil"/>
              <w:bottom w:val="nil"/>
              <w:right w:val="nil"/>
            </w:tcBorders>
            <w:shd w:val="clear" w:color="auto" w:fill="auto"/>
            <w:noWrap/>
            <w:vAlign w:val="center"/>
            <w:hideMark/>
          </w:tcPr>
          <w:p w14:paraId="6300928A"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single" w:sz="4" w:space="0" w:color="auto"/>
              <w:left w:val="nil"/>
              <w:bottom w:val="nil"/>
              <w:right w:val="nil"/>
            </w:tcBorders>
            <w:shd w:val="clear" w:color="auto" w:fill="auto"/>
            <w:noWrap/>
            <w:vAlign w:val="center"/>
            <w:hideMark/>
          </w:tcPr>
          <w:p w14:paraId="28029977"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(R)-</w:t>
            </w:r>
            <w:proofErr w:type="spellStart"/>
            <w:r w:rsidRPr="00877650">
              <w:rPr>
                <w:rFonts w:ascii="Calibri" w:hAnsi="Calibri" w:cs="Calibri"/>
                <w:color w:val="000000"/>
              </w:rPr>
              <w:t>ethylmalonyl</w:t>
            </w:r>
            <w:proofErr w:type="spellEnd"/>
            <w:r w:rsidRPr="00877650">
              <w:rPr>
                <w:rFonts w:ascii="Calibri" w:hAnsi="Calibri" w:cs="Calibri"/>
                <w:color w:val="000000"/>
              </w:rPr>
              <w:t>-CoA mutase</w:t>
            </w:r>
          </w:p>
        </w:tc>
        <w:tc>
          <w:tcPr>
            <w:tcW w:w="552" w:type="pct"/>
            <w:tcBorders>
              <w:top w:val="single" w:sz="4" w:space="0" w:color="auto"/>
              <w:left w:val="nil"/>
              <w:bottom w:val="nil"/>
              <w:right w:val="nil"/>
            </w:tcBorders>
            <w:shd w:val="clear" w:color="auto" w:fill="auto"/>
            <w:noWrap/>
            <w:vAlign w:val="center"/>
            <w:hideMark/>
          </w:tcPr>
          <w:p w14:paraId="06C64233" w14:textId="77777777" w:rsidR="00257248" w:rsidRPr="00877650" w:rsidRDefault="00257248" w:rsidP="00323FD6">
            <w:pPr>
              <w:rPr>
                <w:rFonts w:ascii="Calibri" w:hAnsi="Calibri" w:cs="Calibri"/>
                <w:color w:val="000000"/>
              </w:rPr>
            </w:pPr>
            <w:r w:rsidRPr="00877650">
              <w:rPr>
                <w:rFonts w:ascii="Calibri" w:hAnsi="Calibri" w:cs="Calibri"/>
                <w:color w:val="000000"/>
              </w:rPr>
              <w:t>conserved hypothetical protein</w:t>
            </w:r>
          </w:p>
        </w:tc>
        <w:tc>
          <w:tcPr>
            <w:tcW w:w="448" w:type="pct"/>
            <w:tcBorders>
              <w:top w:val="single" w:sz="4" w:space="0" w:color="auto"/>
              <w:left w:val="nil"/>
              <w:bottom w:val="nil"/>
              <w:right w:val="nil"/>
            </w:tcBorders>
            <w:shd w:val="clear" w:color="auto" w:fill="auto"/>
            <w:noWrap/>
            <w:vAlign w:val="center"/>
            <w:hideMark/>
          </w:tcPr>
          <w:p w14:paraId="7EE65B71" w14:textId="77777777" w:rsidR="00257248" w:rsidRPr="00877650" w:rsidRDefault="00257248" w:rsidP="00323FD6">
            <w:pPr>
              <w:rPr>
                <w:rFonts w:ascii="Calibri" w:hAnsi="Calibri" w:cs="Calibri"/>
                <w:color w:val="000000"/>
              </w:rPr>
            </w:pPr>
            <w:r w:rsidRPr="00877650">
              <w:rPr>
                <w:rFonts w:ascii="Calibri" w:hAnsi="Calibri" w:cs="Calibri"/>
                <w:color w:val="000000"/>
              </w:rPr>
              <w:t>4089</w:t>
            </w:r>
          </w:p>
        </w:tc>
        <w:tc>
          <w:tcPr>
            <w:tcW w:w="309" w:type="pct"/>
            <w:tcBorders>
              <w:top w:val="single" w:sz="4" w:space="0" w:color="auto"/>
              <w:left w:val="nil"/>
              <w:bottom w:val="nil"/>
              <w:right w:val="nil"/>
            </w:tcBorders>
            <w:shd w:val="clear" w:color="auto" w:fill="auto"/>
            <w:noWrap/>
            <w:vAlign w:val="center"/>
            <w:hideMark/>
          </w:tcPr>
          <w:p w14:paraId="664EF1BD" w14:textId="77777777" w:rsidR="00257248" w:rsidRPr="00877650" w:rsidRDefault="00257248" w:rsidP="00323FD6">
            <w:pPr>
              <w:rPr>
                <w:rFonts w:ascii="Calibri" w:hAnsi="Calibri" w:cs="Calibri"/>
                <w:color w:val="000000"/>
              </w:rPr>
            </w:pPr>
            <w:r w:rsidRPr="00877650">
              <w:rPr>
                <w:rFonts w:ascii="Calibri" w:hAnsi="Calibri" w:cs="Calibri"/>
                <w:color w:val="000000"/>
              </w:rPr>
              <w:t>3097</w:t>
            </w:r>
          </w:p>
        </w:tc>
        <w:tc>
          <w:tcPr>
            <w:tcW w:w="240" w:type="pct"/>
            <w:tcBorders>
              <w:top w:val="single" w:sz="4" w:space="0" w:color="auto"/>
              <w:left w:val="nil"/>
              <w:bottom w:val="nil"/>
              <w:right w:val="nil"/>
            </w:tcBorders>
            <w:shd w:val="clear" w:color="auto" w:fill="auto"/>
            <w:noWrap/>
            <w:vAlign w:val="center"/>
            <w:hideMark/>
          </w:tcPr>
          <w:p w14:paraId="7D9CCAE1" w14:textId="77777777" w:rsidR="00257248" w:rsidRPr="00877650" w:rsidRDefault="00257248" w:rsidP="00323FD6">
            <w:pPr>
              <w:rPr>
                <w:rFonts w:ascii="Calibri" w:hAnsi="Calibri" w:cs="Calibri"/>
                <w:color w:val="000000"/>
              </w:rPr>
            </w:pPr>
            <w:r w:rsidRPr="00877650">
              <w:rPr>
                <w:rFonts w:ascii="Calibri" w:hAnsi="Calibri" w:cs="Calibri"/>
                <w:color w:val="000000"/>
              </w:rPr>
              <w:t>29.3</w:t>
            </w:r>
          </w:p>
        </w:tc>
        <w:tc>
          <w:tcPr>
            <w:tcW w:w="311" w:type="pct"/>
            <w:tcBorders>
              <w:top w:val="single" w:sz="4" w:space="0" w:color="auto"/>
              <w:left w:val="nil"/>
              <w:bottom w:val="nil"/>
              <w:right w:val="nil"/>
            </w:tcBorders>
            <w:shd w:val="clear" w:color="auto" w:fill="auto"/>
            <w:noWrap/>
            <w:vAlign w:val="center"/>
            <w:hideMark/>
          </w:tcPr>
          <w:p w14:paraId="0320172C" w14:textId="77777777" w:rsidR="00257248" w:rsidRPr="00877650" w:rsidRDefault="00257248" w:rsidP="00323FD6">
            <w:pPr>
              <w:rPr>
                <w:rFonts w:ascii="Calibri" w:hAnsi="Calibri" w:cs="Calibri"/>
                <w:color w:val="000000"/>
              </w:rPr>
            </w:pPr>
            <w:r w:rsidRPr="00877650">
              <w:rPr>
                <w:rFonts w:ascii="Calibri" w:hAnsi="Calibri" w:cs="Calibri"/>
                <w:color w:val="000000"/>
              </w:rPr>
              <w:t>2</w:t>
            </w:r>
          </w:p>
        </w:tc>
        <w:tc>
          <w:tcPr>
            <w:tcW w:w="311" w:type="pct"/>
            <w:tcBorders>
              <w:top w:val="single" w:sz="4" w:space="0" w:color="auto"/>
              <w:left w:val="nil"/>
              <w:bottom w:val="nil"/>
              <w:right w:val="nil"/>
            </w:tcBorders>
            <w:shd w:val="clear" w:color="auto" w:fill="auto"/>
            <w:noWrap/>
            <w:vAlign w:val="center"/>
            <w:hideMark/>
          </w:tcPr>
          <w:p w14:paraId="0125A929" w14:textId="77777777" w:rsidR="00257248" w:rsidRPr="00877650" w:rsidRDefault="00257248" w:rsidP="00323FD6">
            <w:pPr>
              <w:rPr>
                <w:rFonts w:ascii="Calibri" w:hAnsi="Calibri" w:cs="Calibri"/>
                <w:color w:val="000000"/>
              </w:rPr>
            </w:pPr>
            <w:r w:rsidRPr="00877650">
              <w:rPr>
                <w:rFonts w:ascii="Calibri" w:hAnsi="Calibri" w:cs="Calibri"/>
                <w:color w:val="000000"/>
              </w:rPr>
              <w:t>4411</w:t>
            </w:r>
          </w:p>
        </w:tc>
        <w:tc>
          <w:tcPr>
            <w:tcW w:w="413" w:type="pct"/>
            <w:tcBorders>
              <w:top w:val="single" w:sz="4" w:space="0" w:color="auto"/>
              <w:left w:val="nil"/>
              <w:bottom w:val="nil"/>
              <w:right w:val="single" w:sz="4" w:space="0" w:color="auto"/>
            </w:tcBorders>
            <w:shd w:val="clear" w:color="auto" w:fill="auto"/>
            <w:noWrap/>
            <w:vAlign w:val="center"/>
            <w:hideMark/>
          </w:tcPr>
          <w:p w14:paraId="1CD749E3"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0.0453%</w:t>
            </w:r>
          </w:p>
        </w:tc>
      </w:tr>
      <w:tr w:rsidR="00257248" w:rsidRPr="00877650" w14:paraId="304B03A3" w14:textId="77777777" w:rsidTr="00323FD6">
        <w:trPr>
          <w:trHeight w:val="290"/>
        </w:trPr>
        <w:tc>
          <w:tcPr>
            <w:tcW w:w="1105" w:type="pct"/>
            <w:gridSpan w:val="2"/>
            <w:tcBorders>
              <w:top w:val="nil"/>
              <w:left w:val="single" w:sz="4" w:space="0" w:color="auto"/>
              <w:bottom w:val="single" w:sz="4" w:space="0" w:color="auto"/>
              <w:right w:val="nil"/>
            </w:tcBorders>
            <w:shd w:val="clear" w:color="auto" w:fill="auto"/>
            <w:noWrap/>
            <w:vAlign w:val="center"/>
            <w:hideMark/>
          </w:tcPr>
          <w:p w14:paraId="7B6531FE" w14:textId="77777777" w:rsidR="00257248" w:rsidRPr="00877650" w:rsidRDefault="00257248" w:rsidP="00323FD6">
            <w:pPr>
              <w:rPr>
                <w:rFonts w:ascii="Calibri" w:hAnsi="Calibri" w:cs="Calibri"/>
                <w:color w:val="F2F2F2"/>
              </w:rPr>
            </w:pPr>
          </w:p>
        </w:tc>
        <w:tc>
          <w:tcPr>
            <w:tcW w:w="516" w:type="pct"/>
            <w:tcBorders>
              <w:top w:val="nil"/>
              <w:left w:val="nil"/>
              <w:bottom w:val="single" w:sz="4" w:space="0" w:color="auto"/>
              <w:right w:val="nil"/>
            </w:tcBorders>
            <w:shd w:val="clear" w:color="auto" w:fill="auto"/>
            <w:noWrap/>
            <w:vAlign w:val="center"/>
            <w:hideMark/>
          </w:tcPr>
          <w:p w14:paraId="743BC802" w14:textId="77777777" w:rsidR="00257248" w:rsidRPr="00877650" w:rsidRDefault="00257248" w:rsidP="00323FD6">
            <w:pPr>
              <w:rPr>
                <w:rFonts w:ascii="Calibri" w:hAnsi="Calibri" w:cs="Calibri"/>
                <w:color w:val="000000"/>
              </w:rPr>
            </w:pPr>
            <w:r w:rsidRPr="00877650">
              <w:rPr>
                <w:rFonts w:ascii="Calibri" w:hAnsi="Calibri" w:cs="Calibri"/>
                <w:color w:val="000000"/>
              </w:rPr>
              <w:t>Ga0112170_101</w:t>
            </w:r>
          </w:p>
        </w:tc>
        <w:tc>
          <w:tcPr>
            <w:tcW w:w="311" w:type="pct"/>
            <w:tcBorders>
              <w:top w:val="nil"/>
              <w:left w:val="nil"/>
              <w:bottom w:val="single" w:sz="4" w:space="0" w:color="auto"/>
              <w:right w:val="nil"/>
            </w:tcBorders>
            <w:shd w:val="clear" w:color="auto" w:fill="auto"/>
            <w:noWrap/>
            <w:vAlign w:val="center"/>
            <w:hideMark/>
          </w:tcPr>
          <w:p w14:paraId="3474D828"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single" w:sz="4" w:space="0" w:color="auto"/>
              <w:right w:val="nil"/>
            </w:tcBorders>
            <w:shd w:val="clear" w:color="auto" w:fill="auto"/>
            <w:noWrap/>
            <w:vAlign w:val="center"/>
            <w:hideMark/>
          </w:tcPr>
          <w:p w14:paraId="019551DF"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DNA-binding transcriptional regulator, </w:t>
            </w:r>
            <w:proofErr w:type="spellStart"/>
            <w:r w:rsidRPr="00877650">
              <w:rPr>
                <w:rFonts w:ascii="Calibri" w:hAnsi="Calibri" w:cs="Calibri"/>
                <w:color w:val="000000"/>
              </w:rPr>
              <w:t>CsgD</w:t>
            </w:r>
            <w:proofErr w:type="spellEnd"/>
            <w:r w:rsidRPr="00877650">
              <w:rPr>
                <w:rFonts w:ascii="Calibri" w:hAnsi="Calibri" w:cs="Calibri"/>
                <w:color w:val="000000"/>
              </w:rPr>
              <w:t xml:space="preserve"> family</w:t>
            </w:r>
          </w:p>
        </w:tc>
        <w:tc>
          <w:tcPr>
            <w:tcW w:w="552" w:type="pct"/>
            <w:tcBorders>
              <w:top w:val="nil"/>
              <w:left w:val="nil"/>
              <w:bottom w:val="single" w:sz="4" w:space="0" w:color="auto"/>
              <w:right w:val="nil"/>
            </w:tcBorders>
            <w:shd w:val="clear" w:color="auto" w:fill="auto"/>
            <w:noWrap/>
            <w:vAlign w:val="center"/>
            <w:hideMark/>
          </w:tcPr>
          <w:p w14:paraId="58729B99" w14:textId="77777777" w:rsidR="00257248" w:rsidRPr="00877650" w:rsidRDefault="00257248" w:rsidP="00323FD6">
            <w:pPr>
              <w:rPr>
                <w:rFonts w:ascii="Calibri" w:hAnsi="Calibri" w:cs="Calibri"/>
                <w:color w:val="000000"/>
              </w:rPr>
            </w:pPr>
            <w:r w:rsidRPr="00877650">
              <w:rPr>
                <w:rFonts w:ascii="Calibri" w:hAnsi="Calibri" w:cs="Calibri"/>
                <w:color w:val="000000"/>
              </w:rPr>
              <w:t>acyl homoserine lactone synthase</w:t>
            </w:r>
          </w:p>
        </w:tc>
        <w:tc>
          <w:tcPr>
            <w:tcW w:w="448" w:type="pct"/>
            <w:tcBorders>
              <w:top w:val="nil"/>
              <w:left w:val="nil"/>
              <w:bottom w:val="single" w:sz="4" w:space="0" w:color="auto"/>
              <w:right w:val="nil"/>
            </w:tcBorders>
            <w:shd w:val="clear" w:color="auto" w:fill="auto"/>
            <w:noWrap/>
            <w:vAlign w:val="center"/>
            <w:hideMark/>
          </w:tcPr>
          <w:p w14:paraId="3FC81047" w14:textId="77777777" w:rsidR="00257248" w:rsidRPr="00877650" w:rsidRDefault="00257248" w:rsidP="00323FD6">
            <w:pPr>
              <w:rPr>
                <w:rFonts w:ascii="Calibri" w:hAnsi="Calibri" w:cs="Calibri"/>
                <w:color w:val="000000"/>
              </w:rPr>
            </w:pPr>
            <w:r w:rsidRPr="00877650">
              <w:rPr>
                <w:rFonts w:ascii="Calibri" w:hAnsi="Calibri" w:cs="Calibri"/>
                <w:color w:val="000000"/>
              </w:rPr>
              <w:t>15</w:t>
            </w:r>
          </w:p>
        </w:tc>
        <w:tc>
          <w:tcPr>
            <w:tcW w:w="309" w:type="pct"/>
            <w:tcBorders>
              <w:top w:val="nil"/>
              <w:left w:val="nil"/>
              <w:bottom w:val="single" w:sz="4" w:space="0" w:color="auto"/>
              <w:right w:val="nil"/>
            </w:tcBorders>
            <w:shd w:val="clear" w:color="auto" w:fill="auto"/>
            <w:noWrap/>
            <w:vAlign w:val="center"/>
            <w:hideMark/>
          </w:tcPr>
          <w:p w14:paraId="792554F9" w14:textId="77777777" w:rsidR="00257248" w:rsidRPr="00877650" w:rsidRDefault="00257248" w:rsidP="00323FD6">
            <w:pPr>
              <w:rPr>
                <w:rFonts w:ascii="Calibri" w:hAnsi="Calibri" w:cs="Calibri"/>
                <w:color w:val="000000"/>
              </w:rPr>
            </w:pPr>
            <w:r w:rsidRPr="00877650">
              <w:rPr>
                <w:rFonts w:ascii="Calibri" w:hAnsi="Calibri" w:cs="Calibri"/>
                <w:color w:val="000000"/>
              </w:rPr>
              <w:t>48</w:t>
            </w:r>
          </w:p>
        </w:tc>
        <w:tc>
          <w:tcPr>
            <w:tcW w:w="240" w:type="pct"/>
            <w:tcBorders>
              <w:top w:val="nil"/>
              <w:left w:val="nil"/>
              <w:bottom w:val="single" w:sz="4" w:space="0" w:color="auto"/>
              <w:right w:val="nil"/>
            </w:tcBorders>
            <w:shd w:val="clear" w:color="auto" w:fill="auto"/>
            <w:noWrap/>
            <w:vAlign w:val="center"/>
            <w:hideMark/>
          </w:tcPr>
          <w:p w14:paraId="2839C4DA" w14:textId="77777777" w:rsidR="00257248" w:rsidRPr="00877650" w:rsidRDefault="00257248" w:rsidP="00323FD6">
            <w:pPr>
              <w:rPr>
                <w:rFonts w:ascii="Calibri" w:hAnsi="Calibri" w:cs="Calibri"/>
                <w:color w:val="000000"/>
              </w:rPr>
            </w:pPr>
            <w:r w:rsidRPr="00877650">
              <w:rPr>
                <w:rFonts w:ascii="Calibri" w:hAnsi="Calibri" w:cs="Calibri"/>
                <w:color w:val="000000"/>
              </w:rPr>
              <w:t>17.6</w:t>
            </w:r>
          </w:p>
        </w:tc>
        <w:tc>
          <w:tcPr>
            <w:tcW w:w="1035" w:type="pct"/>
            <w:gridSpan w:val="3"/>
            <w:tcBorders>
              <w:top w:val="nil"/>
              <w:left w:val="nil"/>
              <w:bottom w:val="single" w:sz="4" w:space="0" w:color="auto"/>
              <w:right w:val="single" w:sz="4" w:space="0" w:color="auto"/>
            </w:tcBorders>
            <w:shd w:val="clear" w:color="auto" w:fill="auto"/>
            <w:noWrap/>
            <w:vAlign w:val="center"/>
            <w:hideMark/>
          </w:tcPr>
          <w:p w14:paraId="4B41A45B" w14:textId="77777777" w:rsidR="00257248" w:rsidRPr="00877650" w:rsidRDefault="00257248" w:rsidP="00323FD6">
            <w:pPr>
              <w:rPr>
                <w:rFonts w:ascii="Calibri" w:hAnsi="Calibri" w:cs="Calibri"/>
                <w:color w:val="000000"/>
              </w:rPr>
            </w:pPr>
          </w:p>
        </w:tc>
      </w:tr>
      <w:tr w:rsidR="00257248" w:rsidRPr="00877650" w14:paraId="02F8BEFD" w14:textId="77777777" w:rsidTr="00323FD6">
        <w:trPr>
          <w:trHeight w:val="290"/>
        </w:trPr>
        <w:tc>
          <w:tcPr>
            <w:tcW w:w="516" w:type="pct"/>
            <w:tcBorders>
              <w:top w:val="nil"/>
              <w:left w:val="single" w:sz="4" w:space="0" w:color="auto"/>
              <w:bottom w:val="nil"/>
              <w:right w:val="nil"/>
            </w:tcBorders>
            <w:shd w:val="clear" w:color="auto" w:fill="auto"/>
            <w:noWrap/>
            <w:vAlign w:val="center"/>
            <w:hideMark/>
          </w:tcPr>
          <w:p w14:paraId="48D7501E" w14:textId="77777777" w:rsidR="00257248" w:rsidRPr="00877650" w:rsidRDefault="00257248" w:rsidP="00323FD6">
            <w:pPr>
              <w:rPr>
                <w:rFonts w:ascii="Calibri" w:hAnsi="Calibri" w:cs="Calibri"/>
                <w:color w:val="000000"/>
              </w:rPr>
            </w:pPr>
            <w:r w:rsidRPr="00877650">
              <w:rPr>
                <w:rFonts w:ascii="Calibri" w:hAnsi="Calibri" w:cs="Calibri"/>
                <w:color w:val="000000"/>
              </w:rPr>
              <w:t>2667528003</w:t>
            </w:r>
          </w:p>
        </w:tc>
        <w:tc>
          <w:tcPr>
            <w:tcW w:w="589" w:type="pct"/>
            <w:tcBorders>
              <w:top w:val="nil"/>
              <w:left w:val="nil"/>
              <w:bottom w:val="nil"/>
              <w:right w:val="nil"/>
            </w:tcBorders>
            <w:shd w:val="clear" w:color="auto" w:fill="auto"/>
            <w:noWrap/>
            <w:vAlign w:val="center"/>
            <w:hideMark/>
          </w:tcPr>
          <w:p w14:paraId="072968D1"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Leisingera</w:t>
            </w:r>
            <w:proofErr w:type="spellEnd"/>
            <w:r w:rsidRPr="00877650">
              <w:rPr>
                <w:rFonts w:ascii="Calibri" w:hAnsi="Calibri" w:cs="Calibri"/>
                <w:color w:val="000000"/>
              </w:rPr>
              <w:t xml:space="preserve"> sp. ANG-S3</w:t>
            </w:r>
          </w:p>
        </w:tc>
        <w:tc>
          <w:tcPr>
            <w:tcW w:w="516" w:type="pct"/>
            <w:tcBorders>
              <w:top w:val="nil"/>
              <w:left w:val="nil"/>
              <w:bottom w:val="nil"/>
              <w:right w:val="nil"/>
            </w:tcBorders>
            <w:shd w:val="clear" w:color="auto" w:fill="auto"/>
            <w:noWrap/>
            <w:vAlign w:val="center"/>
            <w:hideMark/>
          </w:tcPr>
          <w:p w14:paraId="5AA6CC34" w14:textId="77777777" w:rsidR="00257248" w:rsidRPr="00877650" w:rsidRDefault="00257248" w:rsidP="00323FD6">
            <w:pPr>
              <w:rPr>
                <w:rFonts w:ascii="Calibri" w:hAnsi="Calibri" w:cs="Calibri"/>
                <w:color w:val="000000"/>
              </w:rPr>
            </w:pPr>
            <w:r w:rsidRPr="00877650">
              <w:rPr>
                <w:rFonts w:ascii="Calibri" w:hAnsi="Calibri" w:cs="Calibri"/>
                <w:color w:val="000000"/>
              </w:rPr>
              <w:t>Ga0112164_105</w:t>
            </w:r>
          </w:p>
        </w:tc>
        <w:tc>
          <w:tcPr>
            <w:tcW w:w="311" w:type="pct"/>
            <w:tcBorders>
              <w:top w:val="nil"/>
              <w:left w:val="nil"/>
              <w:bottom w:val="nil"/>
              <w:right w:val="nil"/>
            </w:tcBorders>
            <w:shd w:val="clear" w:color="auto" w:fill="auto"/>
            <w:noWrap/>
            <w:vAlign w:val="center"/>
            <w:hideMark/>
          </w:tcPr>
          <w:p w14:paraId="4BF4BC29"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06E33F80" w14:textId="77777777" w:rsidR="00257248" w:rsidRPr="00877650" w:rsidRDefault="00257248" w:rsidP="00323FD6">
            <w:pPr>
              <w:rPr>
                <w:rFonts w:ascii="Calibri" w:hAnsi="Calibri" w:cs="Calibri"/>
                <w:color w:val="000000"/>
              </w:rPr>
            </w:pPr>
            <w:r w:rsidRPr="00877650">
              <w:rPr>
                <w:rFonts w:ascii="Calibri" w:hAnsi="Calibri" w:cs="Calibri"/>
                <w:color w:val="000000"/>
              </w:rPr>
              <w:t>conserved hypothetical protein</w:t>
            </w:r>
          </w:p>
        </w:tc>
        <w:tc>
          <w:tcPr>
            <w:tcW w:w="552" w:type="pct"/>
            <w:tcBorders>
              <w:top w:val="nil"/>
              <w:left w:val="nil"/>
              <w:bottom w:val="nil"/>
              <w:right w:val="nil"/>
            </w:tcBorders>
            <w:shd w:val="clear" w:color="auto" w:fill="auto"/>
            <w:noWrap/>
            <w:vAlign w:val="center"/>
            <w:hideMark/>
          </w:tcPr>
          <w:p w14:paraId="5707B35E"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(R)-</w:t>
            </w:r>
            <w:proofErr w:type="spellStart"/>
            <w:r w:rsidRPr="00877650">
              <w:rPr>
                <w:rFonts w:ascii="Calibri" w:hAnsi="Calibri" w:cs="Calibri"/>
                <w:color w:val="000000"/>
              </w:rPr>
              <w:t>ethylmalonyl</w:t>
            </w:r>
            <w:proofErr w:type="spellEnd"/>
            <w:r w:rsidRPr="00877650">
              <w:rPr>
                <w:rFonts w:ascii="Calibri" w:hAnsi="Calibri" w:cs="Calibri"/>
                <w:color w:val="000000"/>
              </w:rPr>
              <w:t>-CoA mutase</w:t>
            </w:r>
          </w:p>
        </w:tc>
        <w:tc>
          <w:tcPr>
            <w:tcW w:w="448" w:type="pct"/>
            <w:tcBorders>
              <w:top w:val="nil"/>
              <w:left w:val="nil"/>
              <w:bottom w:val="nil"/>
              <w:right w:val="nil"/>
            </w:tcBorders>
            <w:shd w:val="clear" w:color="auto" w:fill="auto"/>
            <w:noWrap/>
            <w:vAlign w:val="center"/>
            <w:hideMark/>
          </w:tcPr>
          <w:p w14:paraId="5D78FAE2" w14:textId="77777777" w:rsidR="00257248" w:rsidRPr="00877650" w:rsidRDefault="00257248" w:rsidP="00323FD6">
            <w:pPr>
              <w:rPr>
                <w:rFonts w:ascii="Calibri" w:hAnsi="Calibri" w:cs="Calibri"/>
                <w:color w:val="000000"/>
              </w:rPr>
            </w:pPr>
            <w:r w:rsidRPr="00877650">
              <w:rPr>
                <w:rFonts w:ascii="Calibri" w:hAnsi="Calibri" w:cs="Calibri"/>
                <w:color w:val="000000"/>
              </w:rPr>
              <w:t>3097</w:t>
            </w:r>
          </w:p>
        </w:tc>
        <w:tc>
          <w:tcPr>
            <w:tcW w:w="309" w:type="pct"/>
            <w:tcBorders>
              <w:top w:val="nil"/>
              <w:left w:val="nil"/>
              <w:bottom w:val="nil"/>
              <w:right w:val="nil"/>
            </w:tcBorders>
            <w:shd w:val="clear" w:color="auto" w:fill="auto"/>
            <w:noWrap/>
            <w:vAlign w:val="center"/>
            <w:hideMark/>
          </w:tcPr>
          <w:p w14:paraId="053D92DC" w14:textId="77777777" w:rsidR="00257248" w:rsidRPr="00877650" w:rsidRDefault="00257248" w:rsidP="00323FD6">
            <w:pPr>
              <w:rPr>
                <w:rFonts w:ascii="Calibri" w:hAnsi="Calibri" w:cs="Calibri"/>
                <w:color w:val="000000"/>
              </w:rPr>
            </w:pPr>
            <w:r w:rsidRPr="00877650">
              <w:rPr>
                <w:rFonts w:ascii="Calibri" w:hAnsi="Calibri" w:cs="Calibri"/>
                <w:color w:val="000000"/>
              </w:rPr>
              <w:t>4089</w:t>
            </w:r>
          </w:p>
        </w:tc>
        <w:tc>
          <w:tcPr>
            <w:tcW w:w="240" w:type="pct"/>
            <w:tcBorders>
              <w:top w:val="nil"/>
              <w:left w:val="nil"/>
              <w:bottom w:val="nil"/>
              <w:right w:val="nil"/>
            </w:tcBorders>
            <w:shd w:val="clear" w:color="auto" w:fill="auto"/>
            <w:noWrap/>
            <w:vAlign w:val="center"/>
            <w:hideMark/>
          </w:tcPr>
          <w:p w14:paraId="2637C4D6" w14:textId="77777777" w:rsidR="00257248" w:rsidRPr="00877650" w:rsidRDefault="00257248" w:rsidP="00323FD6">
            <w:pPr>
              <w:rPr>
                <w:rFonts w:ascii="Calibri" w:hAnsi="Calibri" w:cs="Calibri"/>
                <w:color w:val="000000"/>
              </w:rPr>
            </w:pPr>
            <w:r w:rsidRPr="00877650">
              <w:rPr>
                <w:rFonts w:ascii="Calibri" w:hAnsi="Calibri" w:cs="Calibri"/>
                <w:color w:val="000000"/>
              </w:rPr>
              <w:t>29.3</w:t>
            </w:r>
          </w:p>
        </w:tc>
        <w:tc>
          <w:tcPr>
            <w:tcW w:w="311" w:type="pct"/>
            <w:tcBorders>
              <w:top w:val="nil"/>
              <w:left w:val="nil"/>
              <w:bottom w:val="nil"/>
              <w:right w:val="nil"/>
            </w:tcBorders>
            <w:shd w:val="clear" w:color="auto" w:fill="auto"/>
            <w:noWrap/>
            <w:vAlign w:val="center"/>
            <w:hideMark/>
          </w:tcPr>
          <w:p w14:paraId="44870116" w14:textId="77777777" w:rsidR="00257248" w:rsidRPr="00877650" w:rsidRDefault="00257248" w:rsidP="00323FD6">
            <w:pPr>
              <w:rPr>
                <w:rFonts w:ascii="Calibri" w:hAnsi="Calibri" w:cs="Calibri"/>
                <w:color w:val="000000"/>
              </w:rPr>
            </w:pPr>
            <w:r w:rsidRPr="00877650">
              <w:rPr>
                <w:rFonts w:ascii="Calibri" w:hAnsi="Calibri" w:cs="Calibri"/>
                <w:color w:val="000000"/>
              </w:rPr>
              <w:t>2</w:t>
            </w:r>
          </w:p>
        </w:tc>
        <w:tc>
          <w:tcPr>
            <w:tcW w:w="311" w:type="pct"/>
            <w:tcBorders>
              <w:top w:val="nil"/>
              <w:left w:val="nil"/>
              <w:bottom w:val="nil"/>
              <w:right w:val="nil"/>
            </w:tcBorders>
            <w:shd w:val="clear" w:color="auto" w:fill="auto"/>
            <w:noWrap/>
            <w:vAlign w:val="center"/>
            <w:hideMark/>
          </w:tcPr>
          <w:p w14:paraId="0A417D71" w14:textId="77777777" w:rsidR="00257248" w:rsidRPr="00877650" w:rsidRDefault="00257248" w:rsidP="00323FD6">
            <w:pPr>
              <w:rPr>
                <w:rFonts w:ascii="Calibri" w:hAnsi="Calibri" w:cs="Calibri"/>
                <w:color w:val="000000"/>
              </w:rPr>
            </w:pPr>
            <w:r w:rsidRPr="00877650">
              <w:rPr>
                <w:rFonts w:ascii="Calibri" w:hAnsi="Calibri" w:cs="Calibri"/>
                <w:color w:val="000000"/>
              </w:rPr>
              <w:t>4416</w:t>
            </w:r>
          </w:p>
        </w:tc>
        <w:tc>
          <w:tcPr>
            <w:tcW w:w="413" w:type="pct"/>
            <w:tcBorders>
              <w:top w:val="nil"/>
              <w:left w:val="nil"/>
              <w:bottom w:val="nil"/>
              <w:right w:val="single" w:sz="4" w:space="0" w:color="auto"/>
            </w:tcBorders>
            <w:shd w:val="clear" w:color="auto" w:fill="auto"/>
            <w:noWrap/>
            <w:vAlign w:val="center"/>
            <w:hideMark/>
          </w:tcPr>
          <w:p w14:paraId="0D76005E"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0.0453%</w:t>
            </w:r>
          </w:p>
        </w:tc>
      </w:tr>
      <w:tr w:rsidR="00257248" w:rsidRPr="00877650" w14:paraId="2FDB624C" w14:textId="77777777" w:rsidTr="00323FD6">
        <w:trPr>
          <w:trHeight w:val="290"/>
        </w:trPr>
        <w:tc>
          <w:tcPr>
            <w:tcW w:w="1105" w:type="pct"/>
            <w:gridSpan w:val="2"/>
            <w:tcBorders>
              <w:top w:val="nil"/>
              <w:left w:val="single" w:sz="4" w:space="0" w:color="auto"/>
              <w:bottom w:val="single" w:sz="4" w:space="0" w:color="auto"/>
              <w:right w:val="nil"/>
            </w:tcBorders>
            <w:shd w:val="clear" w:color="auto" w:fill="auto"/>
            <w:noWrap/>
            <w:vAlign w:val="center"/>
            <w:hideMark/>
          </w:tcPr>
          <w:p w14:paraId="1BC3A32A" w14:textId="77777777" w:rsidR="00257248" w:rsidRPr="00877650" w:rsidRDefault="00257248" w:rsidP="00323FD6">
            <w:pPr>
              <w:rPr>
                <w:rFonts w:ascii="Calibri" w:hAnsi="Calibri" w:cs="Calibri"/>
                <w:color w:val="F2F2F2"/>
              </w:rPr>
            </w:pPr>
          </w:p>
        </w:tc>
        <w:tc>
          <w:tcPr>
            <w:tcW w:w="516" w:type="pct"/>
            <w:tcBorders>
              <w:top w:val="nil"/>
              <w:left w:val="nil"/>
              <w:bottom w:val="single" w:sz="4" w:space="0" w:color="auto"/>
              <w:right w:val="nil"/>
            </w:tcBorders>
            <w:shd w:val="clear" w:color="auto" w:fill="auto"/>
            <w:noWrap/>
            <w:vAlign w:val="center"/>
            <w:hideMark/>
          </w:tcPr>
          <w:p w14:paraId="3B573F07" w14:textId="77777777" w:rsidR="00257248" w:rsidRPr="00877650" w:rsidRDefault="00257248" w:rsidP="00323FD6">
            <w:pPr>
              <w:rPr>
                <w:rFonts w:ascii="Calibri" w:hAnsi="Calibri" w:cs="Calibri"/>
                <w:color w:val="000000"/>
              </w:rPr>
            </w:pPr>
            <w:r w:rsidRPr="00877650">
              <w:rPr>
                <w:rFonts w:ascii="Calibri" w:hAnsi="Calibri" w:cs="Calibri"/>
                <w:color w:val="000000"/>
              </w:rPr>
              <w:t>Ga0112164_105</w:t>
            </w:r>
          </w:p>
        </w:tc>
        <w:tc>
          <w:tcPr>
            <w:tcW w:w="311" w:type="pct"/>
            <w:tcBorders>
              <w:top w:val="nil"/>
              <w:left w:val="nil"/>
              <w:bottom w:val="single" w:sz="4" w:space="0" w:color="auto"/>
              <w:right w:val="nil"/>
            </w:tcBorders>
            <w:shd w:val="clear" w:color="auto" w:fill="auto"/>
            <w:noWrap/>
            <w:vAlign w:val="center"/>
            <w:hideMark/>
          </w:tcPr>
          <w:p w14:paraId="1D19C5F0"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single" w:sz="4" w:space="0" w:color="auto"/>
              <w:right w:val="nil"/>
            </w:tcBorders>
            <w:shd w:val="clear" w:color="auto" w:fill="auto"/>
            <w:noWrap/>
            <w:vAlign w:val="center"/>
            <w:hideMark/>
          </w:tcPr>
          <w:p w14:paraId="00CB4C3A" w14:textId="77777777" w:rsidR="00257248" w:rsidRPr="00877650" w:rsidRDefault="00257248" w:rsidP="00323FD6">
            <w:pPr>
              <w:rPr>
                <w:rFonts w:ascii="Calibri" w:hAnsi="Calibri" w:cs="Calibri"/>
                <w:color w:val="000000"/>
              </w:rPr>
            </w:pPr>
            <w:r w:rsidRPr="00877650">
              <w:rPr>
                <w:rFonts w:ascii="Calibri" w:hAnsi="Calibri" w:cs="Calibri"/>
                <w:color w:val="000000"/>
              </w:rPr>
              <w:t>acyl homoserine lactone synthase</w:t>
            </w:r>
          </w:p>
        </w:tc>
        <w:tc>
          <w:tcPr>
            <w:tcW w:w="552" w:type="pct"/>
            <w:tcBorders>
              <w:top w:val="nil"/>
              <w:left w:val="nil"/>
              <w:bottom w:val="single" w:sz="4" w:space="0" w:color="auto"/>
              <w:right w:val="nil"/>
            </w:tcBorders>
            <w:shd w:val="clear" w:color="auto" w:fill="auto"/>
            <w:noWrap/>
            <w:vAlign w:val="center"/>
            <w:hideMark/>
          </w:tcPr>
          <w:p w14:paraId="1237FDDA"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DNA-binding transcriptional </w:t>
            </w:r>
            <w:r w:rsidRPr="00877650">
              <w:rPr>
                <w:rFonts w:ascii="Calibri" w:hAnsi="Calibri" w:cs="Calibri"/>
                <w:color w:val="000000"/>
              </w:rPr>
              <w:lastRenderedPageBreak/>
              <w:t xml:space="preserve">regulator, </w:t>
            </w:r>
            <w:proofErr w:type="spellStart"/>
            <w:r w:rsidRPr="00877650">
              <w:rPr>
                <w:rFonts w:ascii="Calibri" w:hAnsi="Calibri" w:cs="Calibri"/>
                <w:color w:val="000000"/>
              </w:rPr>
              <w:t>CsgD</w:t>
            </w:r>
            <w:proofErr w:type="spellEnd"/>
            <w:r w:rsidRPr="00877650">
              <w:rPr>
                <w:rFonts w:ascii="Calibri" w:hAnsi="Calibri" w:cs="Calibri"/>
                <w:color w:val="000000"/>
              </w:rPr>
              <w:t xml:space="preserve"> family</w:t>
            </w:r>
          </w:p>
        </w:tc>
        <w:tc>
          <w:tcPr>
            <w:tcW w:w="448" w:type="pct"/>
            <w:tcBorders>
              <w:top w:val="nil"/>
              <w:left w:val="nil"/>
              <w:bottom w:val="single" w:sz="4" w:space="0" w:color="auto"/>
              <w:right w:val="nil"/>
            </w:tcBorders>
            <w:shd w:val="clear" w:color="auto" w:fill="auto"/>
            <w:noWrap/>
            <w:vAlign w:val="center"/>
            <w:hideMark/>
          </w:tcPr>
          <w:p w14:paraId="09125131" w14:textId="77777777" w:rsidR="00257248" w:rsidRPr="00877650" w:rsidRDefault="00257248" w:rsidP="00323FD6">
            <w:pPr>
              <w:rPr>
                <w:rFonts w:ascii="Calibri" w:hAnsi="Calibri" w:cs="Calibri"/>
                <w:color w:val="000000"/>
              </w:rPr>
            </w:pPr>
            <w:r w:rsidRPr="00877650">
              <w:rPr>
                <w:rFonts w:ascii="Calibri" w:hAnsi="Calibri" w:cs="Calibri"/>
                <w:color w:val="000000"/>
              </w:rPr>
              <w:lastRenderedPageBreak/>
              <w:t>48</w:t>
            </w:r>
          </w:p>
        </w:tc>
        <w:tc>
          <w:tcPr>
            <w:tcW w:w="309" w:type="pct"/>
            <w:tcBorders>
              <w:top w:val="nil"/>
              <w:left w:val="nil"/>
              <w:bottom w:val="single" w:sz="4" w:space="0" w:color="auto"/>
              <w:right w:val="nil"/>
            </w:tcBorders>
            <w:shd w:val="clear" w:color="auto" w:fill="auto"/>
            <w:noWrap/>
            <w:vAlign w:val="center"/>
            <w:hideMark/>
          </w:tcPr>
          <w:p w14:paraId="1EC17E3C" w14:textId="77777777" w:rsidR="00257248" w:rsidRPr="00877650" w:rsidRDefault="00257248" w:rsidP="00323FD6">
            <w:pPr>
              <w:rPr>
                <w:rFonts w:ascii="Calibri" w:hAnsi="Calibri" w:cs="Calibri"/>
                <w:color w:val="000000"/>
              </w:rPr>
            </w:pPr>
            <w:r w:rsidRPr="00877650">
              <w:rPr>
                <w:rFonts w:ascii="Calibri" w:hAnsi="Calibri" w:cs="Calibri"/>
                <w:color w:val="000000"/>
              </w:rPr>
              <w:t>15</w:t>
            </w:r>
          </w:p>
        </w:tc>
        <w:tc>
          <w:tcPr>
            <w:tcW w:w="240" w:type="pct"/>
            <w:tcBorders>
              <w:top w:val="nil"/>
              <w:left w:val="nil"/>
              <w:bottom w:val="single" w:sz="4" w:space="0" w:color="auto"/>
              <w:right w:val="nil"/>
            </w:tcBorders>
            <w:shd w:val="clear" w:color="auto" w:fill="auto"/>
            <w:noWrap/>
            <w:vAlign w:val="center"/>
            <w:hideMark/>
          </w:tcPr>
          <w:p w14:paraId="00149330" w14:textId="77777777" w:rsidR="00257248" w:rsidRPr="00877650" w:rsidRDefault="00257248" w:rsidP="00323FD6">
            <w:pPr>
              <w:rPr>
                <w:rFonts w:ascii="Calibri" w:hAnsi="Calibri" w:cs="Calibri"/>
                <w:color w:val="000000"/>
              </w:rPr>
            </w:pPr>
            <w:r w:rsidRPr="00877650">
              <w:rPr>
                <w:rFonts w:ascii="Calibri" w:hAnsi="Calibri" w:cs="Calibri"/>
                <w:color w:val="000000"/>
              </w:rPr>
              <w:t>17.6</w:t>
            </w:r>
          </w:p>
        </w:tc>
        <w:tc>
          <w:tcPr>
            <w:tcW w:w="311" w:type="pct"/>
            <w:tcBorders>
              <w:top w:val="nil"/>
              <w:left w:val="nil"/>
              <w:bottom w:val="single" w:sz="4" w:space="0" w:color="auto"/>
              <w:right w:val="nil"/>
            </w:tcBorders>
            <w:shd w:val="clear" w:color="auto" w:fill="auto"/>
            <w:noWrap/>
            <w:vAlign w:val="center"/>
            <w:hideMark/>
          </w:tcPr>
          <w:p w14:paraId="305F49EE" w14:textId="77777777" w:rsidR="00257248" w:rsidRPr="00877650" w:rsidRDefault="00257248" w:rsidP="00323FD6">
            <w:pPr>
              <w:rPr>
                <w:rFonts w:ascii="Calibri" w:hAnsi="Calibri" w:cs="Calibri"/>
                <w:color w:val="000000"/>
              </w:rPr>
            </w:pPr>
            <w:r w:rsidRPr="00877650">
              <w:rPr>
                <w:rFonts w:ascii="Calibri" w:hAnsi="Calibri" w:cs="Calibri"/>
                <w:color w:val="000000"/>
              </w:rPr>
              <w:t> </w:t>
            </w:r>
          </w:p>
        </w:tc>
        <w:tc>
          <w:tcPr>
            <w:tcW w:w="311" w:type="pct"/>
            <w:tcBorders>
              <w:top w:val="nil"/>
              <w:left w:val="nil"/>
              <w:bottom w:val="single" w:sz="4" w:space="0" w:color="auto"/>
              <w:right w:val="nil"/>
            </w:tcBorders>
            <w:shd w:val="clear" w:color="auto" w:fill="auto"/>
            <w:noWrap/>
            <w:vAlign w:val="center"/>
            <w:hideMark/>
          </w:tcPr>
          <w:p w14:paraId="52A3F51B" w14:textId="77777777" w:rsidR="00257248" w:rsidRPr="00877650" w:rsidRDefault="00257248" w:rsidP="00323FD6">
            <w:pPr>
              <w:rPr>
                <w:rFonts w:ascii="Calibri" w:hAnsi="Calibri" w:cs="Calibri"/>
                <w:color w:val="000000"/>
              </w:rPr>
            </w:pPr>
            <w:r w:rsidRPr="00877650">
              <w:rPr>
                <w:rFonts w:ascii="Calibri" w:hAnsi="Calibri" w:cs="Calibri"/>
                <w:color w:val="000000"/>
              </w:rPr>
              <w:t>4416</w:t>
            </w:r>
          </w:p>
        </w:tc>
        <w:tc>
          <w:tcPr>
            <w:tcW w:w="413" w:type="pct"/>
            <w:tcBorders>
              <w:top w:val="nil"/>
              <w:left w:val="nil"/>
              <w:bottom w:val="single" w:sz="4" w:space="0" w:color="auto"/>
              <w:right w:val="single" w:sz="4" w:space="0" w:color="auto"/>
            </w:tcBorders>
            <w:shd w:val="clear" w:color="auto" w:fill="auto"/>
            <w:noWrap/>
            <w:vAlign w:val="center"/>
            <w:hideMark/>
          </w:tcPr>
          <w:p w14:paraId="76FF0122" w14:textId="77777777" w:rsidR="00257248" w:rsidRPr="00877650" w:rsidRDefault="00257248" w:rsidP="00323FD6">
            <w:pPr>
              <w:rPr>
                <w:rFonts w:ascii="Calibri" w:hAnsi="Calibri" w:cs="Calibri"/>
                <w:color w:val="000000"/>
              </w:rPr>
            </w:pPr>
            <w:r w:rsidRPr="00877650">
              <w:rPr>
                <w:rFonts w:ascii="Calibri" w:hAnsi="Calibri" w:cs="Calibri"/>
                <w:color w:val="000000"/>
              </w:rPr>
              <w:t> </w:t>
            </w:r>
          </w:p>
        </w:tc>
      </w:tr>
      <w:tr w:rsidR="00257248" w:rsidRPr="00877650" w14:paraId="10744699" w14:textId="77777777" w:rsidTr="00323FD6">
        <w:trPr>
          <w:trHeight w:val="290"/>
        </w:trPr>
        <w:tc>
          <w:tcPr>
            <w:tcW w:w="516" w:type="pct"/>
            <w:tcBorders>
              <w:top w:val="nil"/>
              <w:left w:val="single" w:sz="4" w:space="0" w:color="auto"/>
              <w:bottom w:val="nil"/>
              <w:right w:val="nil"/>
            </w:tcBorders>
            <w:shd w:val="clear" w:color="auto" w:fill="auto"/>
            <w:noWrap/>
            <w:vAlign w:val="center"/>
            <w:hideMark/>
          </w:tcPr>
          <w:p w14:paraId="0E56DBA6" w14:textId="77777777" w:rsidR="00257248" w:rsidRPr="00877650" w:rsidRDefault="00257248" w:rsidP="00323FD6">
            <w:pPr>
              <w:rPr>
                <w:rFonts w:ascii="Calibri" w:hAnsi="Calibri" w:cs="Calibri"/>
                <w:color w:val="000000"/>
              </w:rPr>
            </w:pPr>
            <w:r w:rsidRPr="00877650">
              <w:rPr>
                <w:rFonts w:ascii="Calibri" w:hAnsi="Calibri" w:cs="Calibri"/>
                <w:color w:val="000000"/>
              </w:rPr>
              <w:t>2690316342</w:t>
            </w:r>
          </w:p>
        </w:tc>
        <w:tc>
          <w:tcPr>
            <w:tcW w:w="589" w:type="pct"/>
            <w:tcBorders>
              <w:top w:val="nil"/>
              <w:left w:val="nil"/>
              <w:bottom w:val="nil"/>
              <w:right w:val="nil"/>
            </w:tcBorders>
            <w:shd w:val="clear" w:color="auto" w:fill="auto"/>
            <w:noWrap/>
            <w:vAlign w:val="center"/>
            <w:hideMark/>
          </w:tcPr>
          <w:p w14:paraId="35352135"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Leisingera</w:t>
            </w:r>
            <w:proofErr w:type="spellEnd"/>
            <w:r w:rsidRPr="00877650">
              <w:rPr>
                <w:rFonts w:ascii="Calibri" w:hAnsi="Calibri" w:cs="Calibri"/>
                <w:color w:val="000000"/>
              </w:rPr>
              <w:t xml:space="preserve"> sp. ANG-S5</w:t>
            </w:r>
          </w:p>
        </w:tc>
        <w:tc>
          <w:tcPr>
            <w:tcW w:w="516" w:type="pct"/>
            <w:tcBorders>
              <w:top w:val="nil"/>
              <w:left w:val="nil"/>
              <w:bottom w:val="nil"/>
              <w:right w:val="nil"/>
            </w:tcBorders>
            <w:shd w:val="clear" w:color="auto" w:fill="auto"/>
            <w:noWrap/>
            <w:vAlign w:val="center"/>
            <w:hideMark/>
          </w:tcPr>
          <w:p w14:paraId="5247C70B" w14:textId="77777777" w:rsidR="00257248" w:rsidRPr="00877650" w:rsidRDefault="00257248" w:rsidP="00323FD6">
            <w:pPr>
              <w:rPr>
                <w:rFonts w:ascii="Calibri" w:hAnsi="Calibri" w:cs="Calibri"/>
                <w:color w:val="000000"/>
              </w:rPr>
            </w:pPr>
            <w:r w:rsidRPr="00877650">
              <w:rPr>
                <w:rFonts w:ascii="Calibri" w:hAnsi="Calibri" w:cs="Calibri"/>
                <w:color w:val="000000"/>
              </w:rPr>
              <w:t>Ga0112166_127</w:t>
            </w:r>
          </w:p>
        </w:tc>
        <w:tc>
          <w:tcPr>
            <w:tcW w:w="311" w:type="pct"/>
            <w:tcBorders>
              <w:top w:val="nil"/>
              <w:left w:val="nil"/>
              <w:bottom w:val="nil"/>
              <w:right w:val="nil"/>
            </w:tcBorders>
            <w:shd w:val="clear" w:color="auto" w:fill="auto"/>
            <w:noWrap/>
            <w:vAlign w:val="center"/>
            <w:hideMark/>
          </w:tcPr>
          <w:p w14:paraId="26ABD434"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28F89540"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(R)-</w:t>
            </w:r>
            <w:proofErr w:type="spellStart"/>
            <w:r w:rsidRPr="00877650">
              <w:rPr>
                <w:rFonts w:ascii="Calibri" w:hAnsi="Calibri" w:cs="Calibri"/>
                <w:color w:val="000000"/>
              </w:rPr>
              <w:t>ethylmalonyl</w:t>
            </w:r>
            <w:proofErr w:type="spellEnd"/>
            <w:r w:rsidRPr="00877650">
              <w:rPr>
                <w:rFonts w:ascii="Calibri" w:hAnsi="Calibri" w:cs="Calibri"/>
                <w:color w:val="000000"/>
              </w:rPr>
              <w:t>-CoA mutase</w:t>
            </w:r>
          </w:p>
        </w:tc>
        <w:tc>
          <w:tcPr>
            <w:tcW w:w="552" w:type="pct"/>
            <w:tcBorders>
              <w:top w:val="nil"/>
              <w:left w:val="nil"/>
              <w:bottom w:val="nil"/>
              <w:right w:val="nil"/>
            </w:tcBorders>
            <w:shd w:val="clear" w:color="auto" w:fill="auto"/>
            <w:noWrap/>
            <w:vAlign w:val="center"/>
            <w:hideMark/>
          </w:tcPr>
          <w:p w14:paraId="6382813A" w14:textId="77777777" w:rsidR="00257248" w:rsidRPr="00877650" w:rsidRDefault="00257248" w:rsidP="00323FD6">
            <w:pPr>
              <w:rPr>
                <w:rFonts w:ascii="Calibri" w:hAnsi="Calibri" w:cs="Calibri"/>
                <w:color w:val="000000"/>
              </w:rPr>
            </w:pPr>
            <w:r w:rsidRPr="00877650">
              <w:rPr>
                <w:rFonts w:ascii="Calibri" w:hAnsi="Calibri" w:cs="Calibri"/>
                <w:color w:val="000000"/>
              </w:rPr>
              <w:t>conserved hypothetical protein</w:t>
            </w:r>
          </w:p>
        </w:tc>
        <w:tc>
          <w:tcPr>
            <w:tcW w:w="448" w:type="pct"/>
            <w:tcBorders>
              <w:top w:val="nil"/>
              <w:left w:val="nil"/>
              <w:bottom w:val="nil"/>
              <w:right w:val="nil"/>
            </w:tcBorders>
            <w:shd w:val="clear" w:color="auto" w:fill="auto"/>
            <w:noWrap/>
            <w:vAlign w:val="center"/>
            <w:hideMark/>
          </w:tcPr>
          <w:p w14:paraId="20A48B21" w14:textId="77777777" w:rsidR="00257248" w:rsidRPr="00877650" w:rsidRDefault="00257248" w:rsidP="00323FD6">
            <w:pPr>
              <w:rPr>
                <w:rFonts w:ascii="Calibri" w:hAnsi="Calibri" w:cs="Calibri"/>
                <w:color w:val="000000"/>
              </w:rPr>
            </w:pPr>
            <w:r w:rsidRPr="00877650">
              <w:rPr>
                <w:rFonts w:ascii="Calibri" w:hAnsi="Calibri" w:cs="Calibri"/>
                <w:color w:val="000000"/>
              </w:rPr>
              <w:t>4089</w:t>
            </w:r>
          </w:p>
        </w:tc>
        <w:tc>
          <w:tcPr>
            <w:tcW w:w="309" w:type="pct"/>
            <w:tcBorders>
              <w:top w:val="nil"/>
              <w:left w:val="nil"/>
              <w:bottom w:val="nil"/>
              <w:right w:val="nil"/>
            </w:tcBorders>
            <w:shd w:val="clear" w:color="auto" w:fill="auto"/>
            <w:noWrap/>
            <w:vAlign w:val="center"/>
            <w:hideMark/>
          </w:tcPr>
          <w:p w14:paraId="637A2A88" w14:textId="77777777" w:rsidR="00257248" w:rsidRPr="00877650" w:rsidRDefault="00257248" w:rsidP="00323FD6">
            <w:pPr>
              <w:rPr>
                <w:rFonts w:ascii="Calibri" w:hAnsi="Calibri" w:cs="Calibri"/>
                <w:color w:val="000000"/>
              </w:rPr>
            </w:pPr>
            <w:r w:rsidRPr="00877650">
              <w:rPr>
                <w:rFonts w:ascii="Calibri" w:hAnsi="Calibri" w:cs="Calibri"/>
                <w:color w:val="000000"/>
              </w:rPr>
              <w:t>3097</w:t>
            </w:r>
          </w:p>
        </w:tc>
        <w:tc>
          <w:tcPr>
            <w:tcW w:w="240" w:type="pct"/>
            <w:tcBorders>
              <w:top w:val="nil"/>
              <w:left w:val="nil"/>
              <w:bottom w:val="nil"/>
              <w:right w:val="nil"/>
            </w:tcBorders>
            <w:shd w:val="clear" w:color="auto" w:fill="auto"/>
            <w:noWrap/>
            <w:vAlign w:val="center"/>
            <w:hideMark/>
          </w:tcPr>
          <w:p w14:paraId="60BE906D" w14:textId="77777777" w:rsidR="00257248" w:rsidRPr="00877650" w:rsidRDefault="00257248" w:rsidP="00323FD6">
            <w:pPr>
              <w:rPr>
                <w:rFonts w:ascii="Calibri" w:hAnsi="Calibri" w:cs="Calibri"/>
                <w:color w:val="000000"/>
              </w:rPr>
            </w:pPr>
            <w:r w:rsidRPr="00877650">
              <w:rPr>
                <w:rFonts w:ascii="Calibri" w:hAnsi="Calibri" w:cs="Calibri"/>
                <w:color w:val="000000"/>
              </w:rPr>
              <w:t>29.3</w:t>
            </w:r>
          </w:p>
        </w:tc>
        <w:tc>
          <w:tcPr>
            <w:tcW w:w="311" w:type="pct"/>
            <w:tcBorders>
              <w:top w:val="nil"/>
              <w:left w:val="nil"/>
              <w:bottom w:val="nil"/>
              <w:right w:val="nil"/>
            </w:tcBorders>
            <w:shd w:val="clear" w:color="auto" w:fill="auto"/>
            <w:noWrap/>
            <w:vAlign w:val="center"/>
            <w:hideMark/>
          </w:tcPr>
          <w:p w14:paraId="09B78A74" w14:textId="77777777" w:rsidR="00257248" w:rsidRPr="00877650" w:rsidRDefault="00257248" w:rsidP="00323FD6">
            <w:pPr>
              <w:rPr>
                <w:rFonts w:ascii="Calibri" w:hAnsi="Calibri" w:cs="Calibri"/>
                <w:color w:val="000000"/>
              </w:rPr>
            </w:pPr>
            <w:r w:rsidRPr="00877650">
              <w:rPr>
                <w:rFonts w:ascii="Calibri" w:hAnsi="Calibri" w:cs="Calibri"/>
                <w:color w:val="000000"/>
              </w:rPr>
              <w:t>3</w:t>
            </w:r>
          </w:p>
        </w:tc>
        <w:tc>
          <w:tcPr>
            <w:tcW w:w="311" w:type="pct"/>
            <w:tcBorders>
              <w:top w:val="nil"/>
              <w:left w:val="nil"/>
              <w:bottom w:val="nil"/>
              <w:right w:val="nil"/>
            </w:tcBorders>
            <w:shd w:val="clear" w:color="auto" w:fill="auto"/>
            <w:noWrap/>
            <w:vAlign w:val="center"/>
            <w:hideMark/>
          </w:tcPr>
          <w:p w14:paraId="61474A59" w14:textId="77777777" w:rsidR="00257248" w:rsidRPr="00877650" w:rsidRDefault="00257248" w:rsidP="00323FD6">
            <w:pPr>
              <w:rPr>
                <w:rFonts w:ascii="Calibri" w:hAnsi="Calibri" w:cs="Calibri"/>
                <w:color w:val="000000"/>
              </w:rPr>
            </w:pPr>
            <w:r w:rsidRPr="00877650">
              <w:rPr>
                <w:rFonts w:ascii="Calibri" w:hAnsi="Calibri" w:cs="Calibri"/>
                <w:color w:val="000000"/>
              </w:rPr>
              <w:t>4463</w:t>
            </w:r>
          </w:p>
        </w:tc>
        <w:tc>
          <w:tcPr>
            <w:tcW w:w="413" w:type="pct"/>
            <w:tcBorders>
              <w:top w:val="nil"/>
              <w:left w:val="nil"/>
              <w:bottom w:val="nil"/>
              <w:right w:val="single" w:sz="4" w:space="0" w:color="auto"/>
            </w:tcBorders>
            <w:shd w:val="clear" w:color="auto" w:fill="auto"/>
            <w:noWrap/>
            <w:vAlign w:val="center"/>
            <w:hideMark/>
          </w:tcPr>
          <w:p w14:paraId="06FC19BE"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0.0672%</w:t>
            </w:r>
          </w:p>
        </w:tc>
      </w:tr>
      <w:tr w:rsidR="00257248" w:rsidRPr="00877650" w14:paraId="72E7646C" w14:textId="77777777" w:rsidTr="00323FD6">
        <w:trPr>
          <w:trHeight w:val="290"/>
        </w:trPr>
        <w:tc>
          <w:tcPr>
            <w:tcW w:w="1105" w:type="pct"/>
            <w:gridSpan w:val="2"/>
            <w:tcBorders>
              <w:top w:val="nil"/>
              <w:left w:val="single" w:sz="4" w:space="0" w:color="auto"/>
              <w:bottom w:val="nil"/>
              <w:right w:val="nil"/>
            </w:tcBorders>
            <w:shd w:val="clear" w:color="auto" w:fill="auto"/>
            <w:noWrap/>
            <w:vAlign w:val="center"/>
            <w:hideMark/>
          </w:tcPr>
          <w:p w14:paraId="57C51460" w14:textId="77777777" w:rsidR="00257248" w:rsidRPr="00877650" w:rsidRDefault="00257248" w:rsidP="00323FD6">
            <w:pPr>
              <w:rPr>
                <w:rFonts w:ascii="Calibri" w:hAnsi="Calibri" w:cs="Calibri"/>
                <w:color w:val="F2F2F2"/>
              </w:rPr>
            </w:pPr>
          </w:p>
        </w:tc>
        <w:tc>
          <w:tcPr>
            <w:tcW w:w="516" w:type="pct"/>
            <w:tcBorders>
              <w:top w:val="nil"/>
              <w:left w:val="nil"/>
              <w:bottom w:val="nil"/>
              <w:right w:val="nil"/>
            </w:tcBorders>
            <w:shd w:val="clear" w:color="auto" w:fill="auto"/>
            <w:noWrap/>
            <w:vAlign w:val="center"/>
            <w:hideMark/>
          </w:tcPr>
          <w:p w14:paraId="3EAB9AF0" w14:textId="77777777" w:rsidR="00257248" w:rsidRPr="00877650" w:rsidRDefault="00257248" w:rsidP="00323FD6">
            <w:pPr>
              <w:rPr>
                <w:rFonts w:ascii="Calibri" w:hAnsi="Calibri" w:cs="Calibri"/>
                <w:color w:val="000000"/>
              </w:rPr>
            </w:pPr>
            <w:r w:rsidRPr="00877650">
              <w:rPr>
                <w:rFonts w:ascii="Calibri" w:hAnsi="Calibri" w:cs="Calibri"/>
                <w:color w:val="000000"/>
              </w:rPr>
              <w:t>Ga0112166_103</w:t>
            </w:r>
          </w:p>
        </w:tc>
        <w:tc>
          <w:tcPr>
            <w:tcW w:w="311" w:type="pct"/>
            <w:tcBorders>
              <w:top w:val="nil"/>
              <w:left w:val="nil"/>
              <w:bottom w:val="nil"/>
              <w:right w:val="nil"/>
            </w:tcBorders>
            <w:shd w:val="clear" w:color="auto" w:fill="auto"/>
            <w:noWrap/>
            <w:vAlign w:val="center"/>
            <w:hideMark/>
          </w:tcPr>
          <w:p w14:paraId="5863D0E3"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08517D4B" w14:textId="77777777" w:rsidR="00257248" w:rsidRPr="00877650" w:rsidRDefault="00257248" w:rsidP="00323FD6">
            <w:pPr>
              <w:rPr>
                <w:rFonts w:ascii="Calibri" w:hAnsi="Calibri" w:cs="Calibri"/>
                <w:color w:val="000000"/>
              </w:rPr>
            </w:pPr>
            <w:r w:rsidRPr="00877650">
              <w:rPr>
                <w:rFonts w:ascii="Calibri" w:hAnsi="Calibri" w:cs="Calibri"/>
                <w:color w:val="000000"/>
              </w:rPr>
              <w:t>Catechol 2,3-dioxygenase</w:t>
            </w:r>
          </w:p>
        </w:tc>
        <w:tc>
          <w:tcPr>
            <w:tcW w:w="552" w:type="pct"/>
            <w:tcBorders>
              <w:top w:val="nil"/>
              <w:left w:val="nil"/>
              <w:bottom w:val="nil"/>
              <w:right w:val="nil"/>
            </w:tcBorders>
            <w:shd w:val="clear" w:color="auto" w:fill="auto"/>
            <w:noWrap/>
            <w:vAlign w:val="center"/>
            <w:hideMark/>
          </w:tcPr>
          <w:p w14:paraId="39405E25"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MoxR</w:t>
            </w:r>
            <w:proofErr w:type="spellEnd"/>
            <w:r w:rsidRPr="00877650">
              <w:rPr>
                <w:rFonts w:ascii="Calibri" w:hAnsi="Calibri" w:cs="Calibri"/>
                <w:color w:val="000000"/>
              </w:rPr>
              <w:t>-like ATPase</w:t>
            </w:r>
          </w:p>
        </w:tc>
        <w:tc>
          <w:tcPr>
            <w:tcW w:w="448" w:type="pct"/>
            <w:tcBorders>
              <w:top w:val="nil"/>
              <w:left w:val="nil"/>
              <w:bottom w:val="nil"/>
              <w:right w:val="nil"/>
            </w:tcBorders>
            <w:shd w:val="clear" w:color="auto" w:fill="auto"/>
            <w:noWrap/>
            <w:vAlign w:val="center"/>
            <w:hideMark/>
          </w:tcPr>
          <w:p w14:paraId="7568783F" w14:textId="77777777" w:rsidR="00257248" w:rsidRPr="00877650" w:rsidRDefault="00257248" w:rsidP="00323FD6">
            <w:pPr>
              <w:rPr>
                <w:rFonts w:ascii="Calibri" w:hAnsi="Calibri" w:cs="Calibri"/>
                <w:color w:val="000000"/>
              </w:rPr>
            </w:pPr>
            <w:r w:rsidRPr="00877650">
              <w:rPr>
                <w:rFonts w:ascii="Calibri" w:hAnsi="Calibri" w:cs="Calibri"/>
                <w:color w:val="000000"/>
              </w:rPr>
              <w:t>5369</w:t>
            </w:r>
          </w:p>
        </w:tc>
        <w:tc>
          <w:tcPr>
            <w:tcW w:w="309" w:type="pct"/>
            <w:tcBorders>
              <w:top w:val="nil"/>
              <w:left w:val="nil"/>
              <w:bottom w:val="nil"/>
              <w:right w:val="nil"/>
            </w:tcBorders>
            <w:shd w:val="clear" w:color="auto" w:fill="auto"/>
            <w:noWrap/>
            <w:vAlign w:val="center"/>
            <w:hideMark/>
          </w:tcPr>
          <w:p w14:paraId="43D9FBAD" w14:textId="77777777" w:rsidR="00257248" w:rsidRPr="00877650" w:rsidRDefault="00257248" w:rsidP="00323FD6">
            <w:pPr>
              <w:rPr>
                <w:rFonts w:ascii="Calibri" w:hAnsi="Calibri" w:cs="Calibri"/>
                <w:color w:val="000000"/>
              </w:rPr>
            </w:pPr>
            <w:r w:rsidRPr="00877650">
              <w:rPr>
                <w:rFonts w:ascii="Calibri" w:hAnsi="Calibri" w:cs="Calibri"/>
                <w:color w:val="000000"/>
              </w:rPr>
              <w:t>9993</w:t>
            </w:r>
          </w:p>
        </w:tc>
        <w:tc>
          <w:tcPr>
            <w:tcW w:w="240" w:type="pct"/>
            <w:tcBorders>
              <w:top w:val="nil"/>
              <w:left w:val="nil"/>
              <w:bottom w:val="nil"/>
              <w:right w:val="nil"/>
            </w:tcBorders>
            <w:shd w:val="clear" w:color="auto" w:fill="auto"/>
            <w:noWrap/>
            <w:vAlign w:val="center"/>
            <w:hideMark/>
          </w:tcPr>
          <w:p w14:paraId="1C99002E" w14:textId="77777777" w:rsidR="00257248" w:rsidRPr="00877650" w:rsidRDefault="00257248" w:rsidP="00323FD6">
            <w:pPr>
              <w:rPr>
                <w:rFonts w:ascii="Calibri" w:hAnsi="Calibri" w:cs="Calibri"/>
                <w:color w:val="000000"/>
              </w:rPr>
            </w:pPr>
            <w:r w:rsidRPr="00877650">
              <w:rPr>
                <w:rFonts w:ascii="Calibri" w:hAnsi="Calibri" w:cs="Calibri"/>
                <w:color w:val="000000"/>
              </w:rPr>
              <w:t>23.8</w:t>
            </w:r>
          </w:p>
        </w:tc>
        <w:tc>
          <w:tcPr>
            <w:tcW w:w="311" w:type="pct"/>
            <w:tcBorders>
              <w:top w:val="nil"/>
              <w:left w:val="nil"/>
              <w:bottom w:val="nil"/>
              <w:right w:val="nil"/>
            </w:tcBorders>
            <w:shd w:val="clear" w:color="auto" w:fill="auto"/>
            <w:noWrap/>
            <w:vAlign w:val="center"/>
            <w:hideMark/>
          </w:tcPr>
          <w:p w14:paraId="34A8A081" w14:textId="77777777" w:rsidR="00257248" w:rsidRPr="00877650" w:rsidRDefault="00257248" w:rsidP="00323FD6">
            <w:pPr>
              <w:rPr>
                <w:rFonts w:ascii="Calibri" w:hAnsi="Calibri" w:cs="Calibri"/>
                <w:color w:val="000000"/>
              </w:rPr>
            </w:pPr>
          </w:p>
        </w:tc>
        <w:tc>
          <w:tcPr>
            <w:tcW w:w="724" w:type="pct"/>
            <w:gridSpan w:val="2"/>
            <w:tcBorders>
              <w:top w:val="nil"/>
              <w:left w:val="nil"/>
              <w:bottom w:val="nil"/>
              <w:right w:val="single" w:sz="4" w:space="0" w:color="auto"/>
            </w:tcBorders>
            <w:shd w:val="clear" w:color="auto" w:fill="auto"/>
            <w:noWrap/>
            <w:vAlign w:val="center"/>
            <w:hideMark/>
          </w:tcPr>
          <w:p w14:paraId="44224CC1" w14:textId="77777777" w:rsidR="00257248" w:rsidRPr="00877650" w:rsidRDefault="00257248" w:rsidP="00323FD6">
            <w:pPr>
              <w:rPr>
                <w:rFonts w:ascii="Calibri" w:hAnsi="Calibri" w:cs="Calibri"/>
                <w:color w:val="000000"/>
              </w:rPr>
            </w:pPr>
          </w:p>
        </w:tc>
      </w:tr>
      <w:tr w:rsidR="00257248" w:rsidRPr="00877650" w14:paraId="0736A006" w14:textId="77777777" w:rsidTr="00323FD6">
        <w:trPr>
          <w:trHeight w:val="290"/>
        </w:trPr>
        <w:tc>
          <w:tcPr>
            <w:tcW w:w="1105" w:type="pct"/>
            <w:gridSpan w:val="2"/>
            <w:tcBorders>
              <w:top w:val="nil"/>
              <w:left w:val="single" w:sz="4" w:space="0" w:color="auto"/>
              <w:bottom w:val="nil"/>
              <w:right w:val="nil"/>
            </w:tcBorders>
            <w:shd w:val="clear" w:color="auto" w:fill="auto"/>
            <w:noWrap/>
            <w:vAlign w:val="center"/>
            <w:hideMark/>
          </w:tcPr>
          <w:p w14:paraId="32047B0C" w14:textId="77777777" w:rsidR="00257248" w:rsidRPr="00877650" w:rsidRDefault="00257248" w:rsidP="00323FD6">
            <w:pPr>
              <w:rPr>
                <w:rFonts w:ascii="Calibri" w:hAnsi="Calibri" w:cs="Calibri"/>
                <w:color w:val="F2F2F2"/>
              </w:rPr>
            </w:pPr>
          </w:p>
        </w:tc>
        <w:tc>
          <w:tcPr>
            <w:tcW w:w="516" w:type="pct"/>
            <w:tcBorders>
              <w:top w:val="nil"/>
              <w:left w:val="nil"/>
              <w:bottom w:val="nil"/>
              <w:right w:val="nil"/>
            </w:tcBorders>
            <w:shd w:val="clear" w:color="auto" w:fill="auto"/>
            <w:noWrap/>
            <w:vAlign w:val="center"/>
            <w:hideMark/>
          </w:tcPr>
          <w:p w14:paraId="70F13FEB" w14:textId="77777777" w:rsidR="00257248" w:rsidRPr="00877650" w:rsidRDefault="00257248" w:rsidP="00323FD6">
            <w:pPr>
              <w:rPr>
                <w:rFonts w:ascii="Calibri" w:hAnsi="Calibri" w:cs="Calibri"/>
                <w:color w:val="000000"/>
              </w:rPr>
            </w:pPr>
            <w:r w:rsidRPr="00877650">
              <w:rPr>
                <w:rFonts w:ascii="Calibri" w:hAnsi="Calibri" w:cs="Calibri"/>
                <w:color w:val="000000"/>
              </w:rPr>
              <w:t>Ga0112166_127</w:t>
            </w:r>
          </w:p>
        </w:tc>
        <w:tc>
          <w:tcPr>
            <w:tcW w:w="311" w:type="pct"/>
            <w:tcBorders>
              <w:top w:val="nil"/>
              <w:left w:val="nil"/>
              <w:bottom w:val="nil"/>
              <w:right w:val="nil"/>
            </w:tcBorders>
            <w:shd w:val="clear" w:color="auto" w:fill="auto"/>
            <w:noWrap/>
            <w:vAlign w:val="center"/>
            <w:hideMark/>
          </w:tcPr>
          <w:p w14:paraId="722DFBED"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6926A01E"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DNA-binding transcriptional regulator, </w:t>
            </w:r>
            <w:proofErr w:type="spellStart"/>
            <w:r w:rsidRPr="00877650">
              <w:rPr>
                <w:rFonts w:ascii="Calibri" w:hAnsi="Calibri" w:cs="Calibri"/>
                <w:color w:val="000000"/>
              </w:rPr>
              <w:t>CsgD</w:t>
            </w:r>
            <w:proofErr w:type="spellEnd"/>
            <w:r w:rsidRPr="00877650">
              <w:rPr>
                <w:rFonts w:ascii="Calibri" w:hAnsi="Calibri" w:cs="Calibri"/>
                <w:color w:val="000000"/>
              </w:rPr>
              <w:t xml:space="preserve"> family</w:t>
            </w:r>
          </w:p>
        </w:tc>
        <w:tc>
          <w:tcPr>
            <w:tcW w:w="552" w:type="pct"/>
            <w:tcBorders>
              <w:top w:val="nil"/>
              <w:left w:val="nil"/>
              <w:bottom w:val="nil"/>
              <w:right w:val="nil"/>
            </w:tcBorders>
            <w:shd w:val="clear" w:color="auto" w:fill="auto"/>
            <w:noWrap/>
            <w:vAlign w:val="center"/>
            <w:hideMark/>
          </w:tcPr>
          <w:p w14:paraId="09D983D5" w14:textId="77777777" w:rsidR="00257248" w:rsidRPr="00877650" w:rsidRDefault="00257248" w:rsidP="00323FD6">
            <w:pPr>
              <w:rPr>
                <w:rFonts w:ascii="Calibri" w:hAnsi="Calibri" w:cs="Calibri"/>
                <w:color w:val="000000"/>
              </w:rPr>
            </w:pPr>
            <w:r w:rsidRPr="00877650">
              <w:rPr>
                <w:rFonts w:ascii="Calibri" w:hAnsi="Calibri" w:cs="Calibri"/>
                <w:color w:val="000000"/>
              </w:rPr>
              <w:t>acyl homoserine lactone synthase</w:t>
            </w:r>
          </w:p>
        </w:tc>
        <w:tc>
          <w:tcPr>
            <w:tcW w:w="448" w:type="pct"/>
            <w:tcBorders>
              <w:top w:val="nil"/>
              <w:left w:val="nil"/>
              <w:bottom w:val="nil"/>
              <w:right w:val="nil"/>
            </w:tcBorders>
            <w:shd w:val="clear" w:color="auto" w:fill="auto"/>
            <w:noWrap/>
            <w:vAlign w:val="center"/>
            <w:hideMark/>
          </w:tcPr>
          <w:p w14:paraId="78A32930" w14:textId="77777777" w:rsidR="00257248" w:rsidRPr="00877650" w:rsidRDefault="00257248" w:rsidP="00323FD6">
            <w:pPr>
              <w:rPr>
                <w:rFonts w:ascii="Calibri" w:hAnsi="Calibri" w:cs="Calibri"/>
                <w:color w:val="000000"/>
              </w:rPr>
            </w:pPr>
            <w:r w:rsidRPr="00877650">
              <w:rPr>
                <w:rFonts w:ascii="Calibri" w:hAnsi="Calibri" w:cs="Calibri"/>
                <w:color w:val="000000"/>
              </w:rPr>
              <w:t>15</w:t>
            </w:r>
          </w:p>
        </w:tc>
        <w:tc>
          <w:tcPr>
            <w:tcW w:w="309" w:type="pct"/>
            <w:tcBorders>
              <w:top w:val="nil"/>
              <w:left w:val="nil"/>
              <w:bottom w:val="nil"/>
              <w:right w:val="nil"/>
            </w:tcBorders>
            <w:shd w:val="clear" w:color="auto" w:fill="auto"/>
            <w:noWrap/>
            <w:vAlign w:val="center"/>
            <w:hideMark/>
          </w:tcPr>
          <w:p w14:paraId="26701A17" w14:textId="77777777" w:rsidR="00257248" w:rsidRPr="00877650" w:rsidRDefault="00257248" w:rsidP="00323FD6">
            <w:pPr>
              <w:rPr>
                <w:rFonts w:ascii="Calibri" w:hAnsi="Calibri" w:cs="Calibri"/>
                <w:color w:val="000000"/>
              </w:rPr>
            </w:pPr>
            <w:r w:rsidRPr="00877650">
              <w:rPr>
                <w:rFonts w:ascii="Calibri" w:hAnsi="Calibri" w:cs="Calibri"/>
                <w:color w:val="000000"/>
              </w:rPr>
              <w:t>48</w:t>
            </w:r>
          </w:p>
        </w:tc>
        <w:tc>
          <w:tcPr>
            <w:tcW w:w="240" w:type="pct"/>
            <w:tcBorders>
              <w:top w:val="nil"/>
              <w:left w:val="nil"/>
              <w:bottom w:val="nil"/>
              <w:right w:val="nil"/>
            </w:tcBorders>
            <w:shd w:val="clear" w:color="auto" w:fill="auto"/>
            <w:noWrap/>
            <w:vAlign w:val="center"/>
            <w:hideMark/>
          </w:tcPr>
          <w:p w14:paraId="35A59D60" w14:textId="77777777" w:rsidR="00257248" w:rsidRPr="00877650" w:rsidRDefault="00257248" w:rsidP="00323FD6">
            <w:pPr>
              <w:rPr>
                <w:rFonts w:ascii="Calibri" w:hAnsi="Calibri" w:cs="Calibri"/>
                <w:color w:val="000000"/>
              </w:rPr>
            </w:pPr>
            <w:r w:rsidRPr="00877650">
              <w:rPr>
                <w:rFonts w:ascii="Calibri" w:hAnsi="Calibri" w:cs="Calibri"/>
                <w:color w:val="000000"/>
              </w:rPr>
              <w:t>17.6</w:t>
            </w:r>
          </w:p>
        </w:tc>
        <w:tc>
          <w:tcPr>
            <w:tcW w:w="1035" w:type="pct"/>
            <w:gridSpan w:val="3"/>
            <w:tcBorders>
              <w:top w:val="nil"/>
              <w:left w:val="nil"/>
              <w:bottom w:val="nil"/>
              <w:right w:val="single" w:sz="4" w:space="0" w:color="auto"/>
            </w:tcBorders>
            <w:shd w:val="clear" w:color="auto" w:fill="auto"/>
            <w:noWrap/>
            <w:vAlign w:val="center"/>
            <w:hideMark/>
          </w:tcPr>
          <w:p w14:paraId="2D934E7B" w14:textId="77777777" w:rsidR="00257248" w:rsidRPr="00877650" w:rsidRDefault="00257248" w:rsidP="00323FD6">
            <w:pPr>
              <w:rPr>
                <w:rFonts w:ascii="Calibri" w:hAnsi="Calibri" w:cs="Calibri"/>
                <w:color w:val="000000"/>
              </w:rPr>
            </w:pPr>
          </w:p>
        </w:tc>
      </w:tr>
      <w:tr w:rsidR="00257248" w:rsidRPr="00877650" w14:paraId="142FA636" w14:textId="77777777" w:rsidTr="00323FD6">
        <w:trPr>
          <w:trHeight w:val="290"/>
        </w:trPr>
        <w:tc>
          <w:tcPr>
            <w:tcW w:w="516" w:type="pct"/>
            <w:tcBorders>
              <w:top w:val="single" w:sz="4" w:space="0" w:color="auto"/>
              <w:left w:val="single" w:sz="4" w:space="0" w:color="auto"/>
              <w:bottom w:val="single" w:sz="4" w:space="0" w:color="auto"/>
              <w:right w:val="nil"/>
            </w:tcBorders>
            <w:shd w:val="clear" w:color="auto" w:fill="auto"/>
            <w:noWrap/>
            <w:vAlign w:val="center"/>
            <w:hideMark/>
          </w:tcPr>
          <w:p w14:paraId="55A5C9C4" w14:textId="77777777" w:rsidR="00257248" w:rsidRPr="00877650" w:rsidRDefault="00257248" w:rsidP="00323FD6">
            <w:pPr>
              <w:rPr>
                <w:rFonts w:ascii="Calibri" w:hAnsi="Calibri" w:cs="Calibri"/>
                <w:color w:val="000000"/>
              </w:rPr>
            </w:pPr>
            <w:r w:rsidRPr="00877650">
              <w:rPr>
                <w:rFonts w:ascii="Calibri" w:hAnsi="Calibri" w:cs="Calibri"/>
                <w:color w:val="000000"/>
              </w:rPr>
              <w:t>2695420551</w:t>
            </w:r>
          </w:p>
        </w:tc>
        <w:tc>
          <w:tcPr>
            <w:tcW w:w="589" w:type="pct"/>
            <w:tcBorders>
              <w:top w:val="single" w:sz="4" w:space="0" w:color="auto"/>
              <w:left w:val="nil"/>
              <w:bottom w:val="single" w:sz="4" w:space="0" w:color="auto"/>
              <w:right w:val="nil"/>
            </w:tcBorders>
            <w:shd w:val="clear" w:color="auto" w:fill="auto"/>
            <w:noWrap/>
            <w:vAlign w:val="center"/>
            <w:hideMark/>
          </w:tcPr>
          <w:p w14:paraId="543A37E6"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Leisingera</w:t>
            </w:r>
            <w:proofErr w:type="spellEnd"/>
            <w:r w:rsidRPr="00877650">
              <w:rPr>
                <w:rFonts w:ascii="Calibri" w:hAnsi="Calibri" w:cs="Calibri"/>
                <w:color w:val="000000"/>
              </w:rPr>
              <w:t xml:space="preserve"> sp. ANG-</w:t>
            </w:r>
            <w:proofErr w:type="spellStart"/>
            <w:r w:rsidRPr="00877650">
              <w:rPr>
                <w:rFonts w:ascii="Calibri" w:hAnsi="Calibri" w:cs="Calibri"/>
                <w:color w:val="000000"/>
              </w:rPr>
              <w:t>Vp</w:t>
            </w:r>
            <w:proofErr w:type="spellEnd"/>
          </w:p>
        </w:tc>
        <w:tc>
          <w:tcPr>
            <w:tcW w:w="516" w:type="pct"/>
            <w:tcBorders>
              <w:top w:val="single" w:sz="4" w:space="0" w:color="auto"/>
              <w:left w:val="nil"/>
              <w:bottom w:val="single" w:sz="4" w:space="0" w:color="auto"/>
              <w:right w:val="nil"/>
            </w:tcBorders>
            <w:shd w:val="clear" w:color="auto" w:fill="auto"/>
            <w:noWrap/>
            <w:vAlign w:val="center"/>
            <w:hideMark/>
          </w:tcPr>
          <w:p w14:paraId="587F4846"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311" w:type="pct"/>
            <w:tcBorders>
              <w:top w:val="single" w:sz="4" w:space="0" w:color="auto"/>
              <w:left w:val="nil"/>
              <w:bottom w:val="single" w:sz="4" w:space="0" w:color="auto"/>
              <w:right w:val="nil"/>
            </w:tcBorders>
            <w:shd w:val="clear" w:color="auto" w:fill="auto"/>
            <w:noWrap/>
            <w:vAlign w:val="center"/>
            <w:hideMark/>
          </w:tcPr>
          <w:p w14:paraId="2604777A"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484" w:type="pct"/>
            <w:tcBorders>
              <w:top w:val="single" w:sz="4" w:space="0" w:color="auto"/>
              <w:left w:val="nil"/>
              <w:bottom w:val="single" w:sz="4" w:space="0" w:color="auto"/>
              <w:right w:val="nil"/>
            </w:tcBorders>
            <w:shd w:val="clear" w:color="auto" w:fill="auto"/>
            <w:noWrap/>
            <w:vAlign w:val="center"/>
            <w:hideMark/>
          </w:tcPr>
          <w:p w14:paraId="14685931"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552" w:type="pct"/>
            <w:tcBorders>
              <w:top w:val="single" w:sz="4" w:space="0" w:color="auto"/>
              <w:left w:val="nil"/>
              <w:bottom w:val="single" w:sz="4" w:space="0" w:color="auto"/>
              <w:right w:val="nil"/>
            </w:tcBorders>
            <w:shd w:val="clear" w:color="auto" w:fill="auto"/>
            <w:noWrap/>
            <w:vAlign w:val="center"/>
            <w:hideMark/>
          </w:tcPr>
          <w:p w14:paraId="0232666D"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448" w:type="pct"/>
            <w:tcBorders>
              <w:top w:val="single" w:sz="4" w:space="0" w:color="auto"/>
              <w:left w:val="nil"/>
              <w:bottom w:val="single" w:sz="4" w:space="0" w:color="auto"/>
              <w:right w:val="nil"/>
            </w:tcBorders>
            <w:shd w:val="clear" w:color="auto" w:fill="auto"/>
            <w:noWrap/>
            <w:vAlign w:val="center"/>
            <w:hideMark/>
          </w:tcPr>
          <w:p w14:paraId="62900ADC"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309" w:type="pct"/>
            <w:tcBorders>
              <w:top w:val="single" w:sz="4" w:space="0" w:color="auto"/>
              <w:left w:val="nil"/>
              <w:bottom w:val="single" w:sz="4" w:space="0" w:color="auto"/>
              <w:right w:val="nil"/>
            </w:tcBorders>
            <w:shd w:val="clear" w:color="auto" w:fill="auto"/>
            <w:noWrap/>
            <w:vAlign w:val="center"/>
            <w:hideMark/>
          </w:tcPr>
          <w:p w14:paraId="4AFD7AA8"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240" w:type="pct"/>
            <w:tcBorders>
              <w:top w:val="single" w:sz="4" w:space="0" w:color="auto"/>
              <w:left w:val="nil"/>
              <w:bottom w:val="single" w:sz="4" w:space="0" w:color="auto"/>
              <w:right w:val="nil"/>
            </w:tcBorders>
            <w:shd w:val="clear" w:color="auto" w:fill="auto"/>
            <w:noWrap/>
            <w:vAlign w:val="center"/>
            <w:hideMark/>
          </w:tcPr>
          <w:p w14:paraId="79575C9D"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311" w:type="pct"/>
            <w:tcBorders>
              <w:top w:val="single" w:sz="4" w:space="0" w:color="auto"/>
              <w:left w:val="nil"/>
              <w:bottom w:val="single" w:sz="4" w:space="0" w:color="auto"/>
              <w:right w:val="nil"/>
            </w:tcBorders>
            <w:shd w:val="clear" w:color="auto" w:fill="auto"/>
            <w:noWrap/>
            <w:vAlign w:val="center"/>
            <w:hideMark/>
          </w:tcPr>
          <w:p w14:paraId="2788EE38" w14:textId="77777777" w:rsidR="00257248" w:rsidRPr="00877650" w:rsidRDefault="00257248" w:rsidP="00323FD6">
            <w:pPr>
              <w:rPr>
                <w:rFonts w:ascii="Calibri" w:hAnsi="Calibri" w:cs="Calibri"/>
                <w:color w:val="000000"/>
              </w:rPr>
            </w:pPr>
            <w:r w:rsidRPr="00877650">
              <w:rPr>
                <w:rFonts w:ascii="Calibri" w:hAnsi="Calibri" w:cs="Calibri"/>
                <w:color w:val="000000"/>
              </w:rPr>
              <w:t>0</w:t>
            </w:r>
          </w:p>
        </w:tc>
        <w:tc>
          <w:tcPr>
            <w:tcW w:w="311" w:type="pct"/>
            <w:tcBorders>
              <w:top w:val="single" w:sz="4" w:space="0" w:color="auto"/>
              <w:left w:val="nil"/>
              <w:bottom w:val="single" w:sz="4" w:space="0" w:color="auto"/>
              <w:right w:val="nil"/>
            </w:tcBorders>
            <w:shd w:val="clear" w:color="auto" w:fill="auto"/>
            <w:noWrap/>
            <w:vAlign w:val="center"/>
            <w:hideMark/>
          </w:tcPr>
          <w:p w14:paraId="4B27A57F" w14:textId="77777777" w:rsidR="00257248" w:rsidRPr="00877650" w:rsidRDefault="00257248" w:rsidP="00323FD6">
            <w:pPr>
              <w:rPr>
                <w:rFonts w:ascii="Calibri" w:hAnsi="Calibri" w:cs="Calibri"/>
                <w:color w:val="000000"/>
              </w:rPr>
            </w:pPr>
            <w:r w:rsidRPr="00877650">
              <w:rPr>
                <w:rFonts w:ascii="Calibri" w:hAnsi="Calibri" w:cs="Calibri"/>
                <w:color w:val="000000"/>
              </w:rPr>
              <w:t>4928</w:t>
            </w:r>
          </w:p>
        </w:tc>
        <w:tc>
          <w:tcPr>
            <w:tcW w:w="413" w:type="pct"/>
            <w:tcBorders>
              <w:top w:val="single" w:sz="4" w:space="0" w:color="auto"/>
              <w:left w:val="nil"/>
              <w:bottom w:val="single" w:sz="4" w:space="0" w:color="auto"/>
              <w:right w:val="single" w:sz="4" w:space="0" w:color="auto"/>
            </w:tcBorders>
            <w:shd w:val="clear" w:color="auto" w:fill="auto"/>
            <w:noWrap/>
            <w:vAlign w:val="center"/>
            <w:hideMark/>
          </w:tcPr>
          <w:p w14:paraId="4B04DA18"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0.00%</w:t>
            </w:r>
          </w:p>
        </w:tc>
      </w:tr>
      <w:tr w:rsidR="00257248" w:rsidRPr="00877650" w14:paraId="098FE3C3" w14:textId="77777777" w:rsidTr="00323FD6">
        <w:trPr>
          <w:trHeight w:val="290"/>
        </w:trPr>
        <w:tc>
          <w:tcPr>
            <w:tcW w:w="516" w:type="pct"/>
            <w:tcBorders>
              <w:top w:val="nil"/>
              <w:left w:val="single" w:sz="4" w:space="0" w:color="auto"/>
              <w:bottom w:val="single" w:sz="4" w:space="0" w:color="auto"/>
              <w:right w:val="nil"/>
            </w:tcBorders>
            <w:shd w:val="clear" w:color="auto" w:fill="auto"/>
            <w:noWrap/>
            <w:vAlign w:val="center"/>
            <w:hideMark/>
          </w:tcPr>
          <w:p w14:paraId="030810C8" w14:textId="77777777" w:rsidR="00257248" w:rsidRPr="00877650" w:rsidRDefault="00257248" w:rsidP="00323FD6">
            <w:pPr>
              <w:rPr>
                <w:rFonts w:ascii="Calibri" w:hAnsi="Calibri" w:cs="Calibri"/>
                <w:color w:val="000000"/>
              </w:rPr>
            </w:pPr>
            <w:r w:rsidRPr="00877650">
              <w:rPr>
                <w:rFonts w:ascii="Calibri" w:hAnsi="Calibri" w:cs="Calibri"/>
                <w:color w:val="000000"/>
              </w:rPr>
              <w:t>2627854045</w:t>
            </w:r>
          </w:p>
        </w:tc>
        <w:tc>
          <w:tcPr>
            <w:tcW w:w="589" w:type="pct"/>
            <w:tcBorders>
              <w:top w:val="nil"/>
              <w:left w:val="nil"/>
              <w:bottom w:val="single" w:sz="4" w:space="0" w:color="auto"/>
              <w:right w:val="nil"/>
            </w:tcBorders>
            <w:shd w:val="clear" w:color="auto" w:fill="auto"/>
            <w:noWrap/>
            <w:vAlign w:val="center"/>
            <w:hideMark/>
          </w:tcPr>
          <w:p w14:paraId="67786DBE"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Nautella</w:t>
            </w:r>
            <w:proofErr w:type="spellEnd"/>
            <w:r w:rsidRPr="00877650">
              <w:rPr>
                <w:rFonts w:ascii="Calibri" w:hAnsi="Calibri" w:cs="Calibri"/>
                <w:color w:val="000000"/>
              </w:rPr>
              <w:t xml:space="preserve"> sp. ECSMB14104</w:t>
            </w:r>
          </w:p>
        </w:tc>
        <w:tc>
          <w:tcPr>
            <w:tcW w:w="516" w:type="pct"/>
            <w:tcBorders>
              <w:top w:val="nil"/>
              <w:left w:val="nil"/>
              <w:bottom w:val="single" w:sz="4" w:space="0" w:color="auto"/>
              <w:right w:val="nil"/>
            </w:tcBorders>
            <w:shd w:val="clear" w:color="auto" w:fill="auto"/>
            <w:noWrap/>
            <w:vAlign w:val="center"/>
            <w:hideMark/>
          </w:tcPr>
          <w:p w14:paraId="12170EDC" w14:textId="77777777" w:rsidR="00257248" w:rsidRPr="00877650" w:rsidRDefault="00257248" w:rsidP="00323FD6">
            <w:pPr>
              <w:rPr>
                <w:rFonts w:ascii="Calibri" w:hAnsi="Calibri" w:cs="Calibri"/>
                <w:color w:val="000000"/>
              </w:rPr>
            </w:pPr>
            <w:r w:rsidRPr="00877650">
              <w:rPr>
                <w:rFonts w:ascii="Calibri" w:hAnsi="Calibri" w:cs="Calibri"/>
                <w:color w:val="000000"/>
              </w:rPr>
              <w:t>Ga0077307_102</w:t>
            </w:r>
          </w:p>
        </w:tc>
        <w:tc>
          <w:tcPr>
            <w:tcW w:w="311" w:type="pct"/>
            <w:tcBorders>
              <w:top w:val="nil"/>
              <w:left w:val="nil"/>
              <w:bottom w:val="single" w:sz="4" w:space="0" w:color="auto"/>
              <w:right w:val="nil"/>
            </w:tcBorders>
            <w:shd w:val="clear" w:color="auto" w:fill="auto"/>
            <w:noWrap/>
            <w:vAlign w:val="center"/>
            <w:hideMark/>
          </w:tcPr>
          <w:p w14:paraId="19A1C991"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single" w:sz="4" w:space="0" w:color="auto"/>
              <w:right w:val="nil"/>
            </w:tcBorders>
            <w:shd w:val="clear" w:color="auto" w:fill="auto"/>
            <w:noWrap/>
            <w:vAlign w:val="center"/>
            <w:hideMark/>
          </w:tcPr>
          <w:p w14:paraId="6EBE89A1"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DNA-binding transcriptional regulator, </w:t>
            </w:r>
            <w:proofErr w:type="spellStart"/>
            <w:r w:rsidRPr="00877650">
              <w:rPr>
                <w:rFonts w:ascii="Calibri" w:hAnsi="Calibri" w:cs="Calibri"/>
                <w:color w:val="000000"/>
              </w:rPr>
              <w:t>CsgD</w:t>
            </w:r>
            <w:proofErr w:type="spellEnd"/>
            <w:r w:rsidRPr="00877650">
              <w:rPr>
                <w:rFonts w:ascii="Calibri" w:hAnsi="Calibri" w:cs="Calibri"/>
                <w:color w:val="000000"/>
              </w:rPr>
              <w:t xml:space="preserve"> family</w:t>
            </w:r>
          </w:p>
        </w:tc>
        <w:tc>
          <w:tcPr>
            <w:tcW w:w="552" w:type="pct"/>
            <w:tcBorders>
              <w:top w:val="nil"/>
              <w:left w:val="nil"/>
              <w:bottom w:val="single" w:sz="4" w:space="0" w:color="auto"/>
              <w:right w:val="nil"/>
            </w:tcBorders>
            <w:shd w:val="clear" w:color="auto" w:fill="auto"/>
            <w:noWrap/>
            <w:vAlign w:val="center"/>
            <w:hideMark/>
          </w:tcPr>
          <w:p w14:paraId="1EB2CA0B" w14:textId="77777777" w:rsidR="00257248" w:rsidRPr="00877650" w:rsidRDefault="00257248" w:rsidP="00323FD6">
            <w:pPr>
              <w:rPr>
                <w:rFonts w:ascii="Calibri" w:hAnsi="Calibri" w:cs="Calibri"/>
                <w:color w:val="000000"/>
              </w:rPr>
            </w:pPr>
            <w:r w:rsidRPr="00877650">
              <w:rPr>
                <w:rFonts w:ascii="Calibri" w:hAnsi="Calibri" w:cs="Calibri"/>
                <w:color w:val="000000"/>
              </w:rPr>
              <w:t>N-acyl-L-homoserine lactone synthetase</w:t>
            </w:r>
          </w:p>
        </w:tc>
        <w:tc>
          <w:tcPr>
            <w:tcW w:w="448" w:type="pct"/>
            <w:tcBorders>
              <w:top w:val="nil"/>
              <w:left w:val="nil"/>
              <w:bottom w:val="single" w:sz="4" w:space="0" w:color="auto"/>
              <w:right w:val="nil"/>
            </w:tcBorders>
            <w:shd w:val="clear" w:color="auto" w:fill="auto"/>
            <w:noWrap/>
            <w:vAlign w:val="center"/>
            <w:hideMark/>
          </w:tcPr>
          <w:p w14:paraId="4BFDD8D8" w14:textId="77777777" w:rsidR="00257248" w:rsidRPr="00877650" w:rsidRDefault="00257248" w:rsidP="00323FD6">
            <w:pPr>
              <w:rPr>
                <w:rFonts w:ascii="Calibri" w:hAnsi="Calibri" w:cs="Calibri"/>
                <w:color w:val="000000"/>
              </w:rPr>
            </w:pPr>
            <w:r w:rsidRPr="00877650">
              <w:rPr>
                <w:rFonts w:ascii="Calibri" w:hAnsi="Calibri" w:cs="Calibri"/>
                <w:color w:val="000000"/>
              </w:rPr>
              <w:t>16</w:t>
            </w:r>
          </w:p>
        </w:tc>
        <w:tc>
          <w:tcPr>
            <w:tcW w:w="309" w:type="pct"/>
            <w:tcBorders>
              <w:top w:val="nil"/>
              <w:left w:val="nil"/>
              <w:bottom w:val="single" w:sz="4" w:space="0" w:color="auto"/>
              <w:right w:val="nil"/>
            </w:tcBorders>
            <w:shd w:val="clear" w:color="auto" w:fill="auto"/>
            <w:noWrap/>
            <w:vAlign w:val="center"/>
            <w:hideMark/>
          </w:tcPr>
          <w:p w14:paraId="6474AFEE" w14:textId="77777777" w:rsidR="00257248" w:rsidRPr="00877650" w:rsidRDefault="00257248" w:rsidP="00323FD6">
            <w:pPr>
              <w:rPr>
                <w:rFonts w:ascii="Calibri" w:hAnsi="Calibri" w:cs="Calibri"/>
                <w:color w:val="000000"/>
              </w:rPr>
            </w:pPr>
            <w:r w:rsidRPr="00877650">
              <w:rPr>
                <w:rFonts w:ascii="Calibri" w:hAnsi="Calibri" w:cs="Calibri"/>
                <w:color w:val="000000"/>
              </w:rPr>
              <w:t>45</w:t>
            </w:r>
          </w:p>
        </w:tc>
        <w:tc>
          <w:tcPr>
            <w:tcW w:w="240" w:type="pct"/>
            <w:tcBorders>
              <w:top w:val="nil"/>
              <w:left w:val="nil"/>
              <w:bottom w:val="single" w:sz="4" w:space="0" w:color="auto"/>
              <w:right w:val="nil"/>
            </w:tcBorders>
            <w:shd w:val="clear" w:color="auto" w:fill="auto"/>
            <w:noWrap/>
            <w:vAlign w:val="center"/>
            <w:hideMark/>
          </w:tcPr>
          <w:p w14:paraId="6B8E3904" w14:textId="77777777" w:rsidR="00257248" w:rsidRPr="00877650" w:rsidRDefault="00257248" w:rsidP="00323FD6">
            <w:pPr>
              <w:rPr>
                <w:rFonts w:ascii="Calibri" w:hAnsi="Calibri" w:cs="Calibri"/>
                <w:color w:val="000000"/>
              </w:rPr>
            </w:pPr>
            <w:r w:rsidRPr="00877650">
              <w:rPr>
                <w:rFonts w:ascii="Calibri" w:hAnsi="Calibri" w:cs="Calibri"/>
                <w:color w:val="000000"/>
              </w:rPr>
              <w:t>33.7</w:t>
            </w:r>
          </w:p>
        </w:tc>
        <w:tc>
          <w:tcPr>
            <w:tcW w:w="311" w:type="pct"/>
            <w:tcBorders>
              <w:top w:val="nil"/>
              <w:left w:val="nil"/>
              <w:bottom w:val="single" w:sz="4" w:space="0" w:color="auto"/>
              <w:right w:val="nil"/>
            </w:tcBorders>
            <w:shd w:val="clear" w:color="auto" w:fill="auto"/>
            <w:noWrap/>
            <w:vAlign w:val="center"/>
            <w:hideMark/>
          </w:tcPr>
          <w:p w14:paraId="4A2E3C73" w14:textId="77777777" w:rsidR="00257248" w:rsidRPr="00877650" w:rsidRDefault="00257248" w:rsidP="00323FD6">
            <w:pPr>
              <w:rPr>
                <w:rFonts w:ascii="Calibri" w:hAnsi="Calibri" w:cs="Calibri"/>
                <w:color w:val="000000"/>
              </w:rPr>
            </w:pPr>
            <w:r w:rsidRPr="00877650">
              <w:rPr>
                <w:rFonts w:ascii="Calibri" w:hAnsi="Calibri" w:cs="Calibri"/>
                <w:color w:val="000000"/>
              </w:rPr>
              <w:t>1</w:t>
            </w:r>
          </w:p>
        </w:tc>
        <w:tc>
          <w:tcPr>
            <w:tcW w:w="311" w:type="pct"/>
            <w:tcBorders>
              <w:top w:val="nil"/>
              <w:left w:val="nil"/>
              <w:bottom w:val="single" w:sz="4" w:space="0" w:color="auto"/>
              <w:right w:val="nil"/>
            </w:tcBorders>
            <w:shd w:val="clear" w:color="auto" w:fill="auto"/>
            <w:noWrap/>
            <w:vAlign w:val="center"/>
            <w:hideMark/>
          </w:tcPr>
          <w:p w14:paraId="6AD1D421" w14:textId="77777777" w:rsidR="00257248" w:rsidRPr="00877650" w:rsidRDefault="00257248" w:rsidP="00323FD6">
            <w:pPr>
              <w:rPr>
                <w:rFonts w:ascii="Calibri" w:hAnsi="Calibri" w:cs="Calibri"/>
                <w:color w:val="000000"/>
              </w:rPr>
            </w:pPr>
            <w:r w:rsidRPr="00877650">
              <w:rPr>
                <w:rFonts w:ascii="Calibri" w:hAnsi="Calibri" w:cs="Calibri"/>
                <w:color w:val="000000"/>
              </w:rPr>
              <w:t>3732</w:t>
            </w:r>
          </w:p>
        </w:tc>
        <w:tc>
          <w:tcPr>
            <w:tcW w:w="413" w:type="pct"/>
            <w:tcBorders>
              <w:top w:val="nil"/>
              <w:left w:val="nil"/>
              <w:bottom w:val="single" w:sz="4" w:space="0" w:color="auto"/>
              <w:right w:val="single" w:sz="4" w:space="0" w:color="auto"/>
            </w:tcBorders>
            <w:shd w:val="clear" w:color="auto" w:fill="auto"/>
            <w:noWrap/>
            <w:vAlign w:val="center"/>
            <w:hideMark/>
          </w:tcPr>
          <w:p w14:paraId="0EC3D35A"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0.0268%</w:t>
            </w:r>
          </w:p>
        </w:tc>
      </w:tr>
      <w:tr w:rsidR="00257248" w:rsidRPr="00877650" w14:paraId="322EB8F8" w14:textId="77777777" w:rsidTr="00323FD6">
        <w:trPr>
          <w:trHeight w:val="290"/>
        </w:trPr>
        <w:tc>
          <w:tcPr>
            <w:tcW w:w="516" w:type="pct"/>
            <w:tcBorders>
              <w:top w:val="nil"/>
              <w:left w:val="single" w:sz="4" w:space="0" w:color="auto"/>
              <w:bottom w:val="nil"/>
              <w:right w:val="nil"/>
            </w:tcBorders>
            <w:shd w:val="clear" w:color="auto" w:fill="auto"/>
            <w:noWrap/>
            <w:vAlign w:val="center"/>
            <w:hideMark/>
          </w:tcPr>
          <w:p w14:paraId="70216EED" w14:textId="77777777" w:rsidR="00257248" w:rsidRPr="00877650" w:rsidRDefault="00257248" w:rsidP="00323FD6">
            <w:pPr>
              <w:rPr>
                <w:rFonts w:ascii="Calibri" w:hAnsi="Calibri" w:cs="Calibri"/>
                <w:color w:val="000000"/>
              </w:rPr>
            </w:pPr>
            <w:r w:rsidRPr="00877650">
              <w:rPr>
                <w:rFonts w:ascii="Calibri" w:hAnsi="Calibri" w:cs="Calibri"/>
                <w:color w:val="000000"/>
              </w:rPr>
              <w:lastRenderedPageBreak/>
              <w:t>2510065029</w:t>
            </w:r>
          </w:p>
        </w:tc>
        <w:tc>
          <w:tcPr>
            <w:tcW w:w="589" w:type="pct"/>
            <w:tcBorders>
              <w:top w:val="nil"/>
              <w:left w:val="nil"/>
              <w:bottom w:val="nil"/>
              <w:right w:val="nil"/>
            </w:tcBorders>
            <w:shd w:val="clear" w:color="auto" w:fill="auto"/>
            <w:noWrap/>
            <w:vAlign w:val="center"/>
            <w:hideMark/>
          </w:tcPr>
          <w:p w14:paraId="4DA9780D"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Phaeobacter</w:t>
            </w:r>
            <w:proofErr w:type="spellEnd"/>
            <w:r w:rsidRPr="00877650">
              <w:rPr>
                <w:rFonts w:ascii="Calibri" w:hAnsi="Calibri" w:cs="Calibri"/>
                <w:color w:val="000000"/>
              </w:rPr>
              <w:t xml:space="preserve"> </w:t>
            </w:r>
            <w:proofErr w:type="spellStart"/>
            <w:r w:rsidRPr="00877650">
              <w:rPr>
                <w:rFonts w:ascii="Calibri" w:hAnsi="Calibri" w:cs="Calibri"/>
                <w:color w:val="000000"/>
              </w:rPr>
              <w:t>gallaeciensis</w:t>
            </w:r>
            <w:proofErr w:type="spellEnd"/>
            <w:r w:rsidRPr="00877650">
              <w:rPr>
                <w:rFonts w:ascii="Calibri" w:hAnsi="Calibri" w:cs="Calibri"/>
                <w:color w:val="000000"/>
              </w:rPr>
              <w:t xml:space="preserve"> DSM 17395</w:t>
            </w:r>
          </w:p>
        </w:tc>
        <w:tc>
          <w:tcPr>
            <w:tcW w:w="516" w:type="pct"/>
            <w:tcBorders>
              <w:top w:val="nil"/>
              <w:left w:val="nil"/>
              <w:bottom w:val="nil"/>
              <w:right w:val="nil"/>
            </w:tcBorders>
            <w:shd w:val="clear" w:color="auto" w:fill="auto"/>
            <w:noWrap/>
            <w:vAlign w:val="center"/>
            <w:hideMark/>
          </w:tcPr>
          <w:p w14:paraId="796F7199" w14:textId="77777777" w:rsidR="00257248" w:rsidRPr="00877650" w:rsidRDefault="00257248" w:rsidP="00323FD6">
            <w:pPr>
              <w:rPr>
                <w:rFonts w:ascii="Calibri" w:hAnsi="Calibri" w:cs="Calibri"/>
                <w:color w:val="000000"/>
              </w:rPr>
            </w:pPr>
            <w:r w:rsidRPr="00877650">
              <w:rPr>
                <w:rFonts w:ascii="Calibri" w:hAnsi="Calibri" w:cs="Calibri"/>
                <w:color w:val="000000"/>
              </w:rPr>
              <w:t>PGA1_c</w:t>
            </w:r>
          </w:p>
        </w:tc>
        <w:tc>
          <w:tcPr>
            <w:tcW w:w="311" w:type="pct"/>
            <w:tcBorders>
              <w:top w:val="nil"/>
              <w:left w:val="nil"/>
              <w:bottom w:val="nil"/>
              <w:right w:val="nil"/>
            </w:tcBorders>
            <w:shd w:val="clear" w:color="auto" w:fill="auto"/>
            <w:noWrap/>
            <w:vAlign w:val="center"/>
            <w:hideMark/>
          </w:tcPr>
          <w:p w14:paraId="4365E37B"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36D4CAEA"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regulatory protein, </w:t>
            </w:r>
            <w:proofErr w:type="spellStart"/>
            <w:r w:rsidRPr="00877650">
              <w:rPr>
                <w:rFonts w:ascii="Calibri" w:hAnsi="Calibri" w:cs="Calibri"/>
                <w:color w:val="000000"/>
              </w:rPr>
              <w:t>luxR</w:t>
            </w:r>
            <w:proofErr w:type="spellEnd"/>
            <w:r w:rsidRPr="00877650">
              <w:rPr>
                <w:rFonts w:ascii="Calibri" w:hAnsi="Calibri" w:cs="Calibri"/>
                <w:color w:val="000000"/>
              </w:rPr>
              <w:t xml:space="preserve"> family</w:t>
            </w:r>
          </w:p>
        </w:tc>
        <w:tc>
          <w:tcPr>
            <w:tcW w:w="552" w:type="pct"/>
            <w:tcBorders>
              <w:top w:val="nil"/>
              <w:left w:val="nil"/>
              <w:bottom w:val="nil"/>
              <w:right w:val="nil"/>
            </w:tcBorders>
            <w:shd w:val="clear" w:color="auto" w:fill="auto"/>
            <w:noWrap/>
            <w:vAlign w:val="center"/>
            <w:hideMark/>
          </w:tcPr>
          <w:p w14:paraId="1C7935B2" w14:textId="77777777" w:rsidR="00257248" w:rsidRPr="00877650" w:rsidRDefault="00257248" w:rsidP="00323FD6">
            <w:pPr>
              <w:rPr>
                <w:rFonts w:ascii="Calibri" w:hAnsi="Calibri" w:cs="Calibri"/>
                <w:color w:val="000000"/>
              </w:rPr>
            </w:pPr>
            <w:r w:rsidRPr="00877650">
              <w:rPr>
                <w:rFonts w:ascii="Calibri" w:hAnsi="Calibri" w:cs="Calibri"/>
                <w:color w:val="000000"/>
              </w:rPr>
              <w:t>N-acyl-L-homoserine lactone synthetase</w:t>
            </w:r>
          </w:p>
        </w:tc>
        <w:tc>
          <w:tcPr>
            <w:tcW w:w="448" w:type="pct"/>
            <w:tcBorders>
              <w:top w:val="nil"/>
              <w:left w:val="nil"/>
              <w:bottom w:val="nil"/>
              <w:right w:val="nil"/>
            </w:tcBorders>
            <w:shd w:val="clear" w:color="auto" w:fill="auto"/>
            <w:noWrap/>
            <w:vAlign w:val="center"/>
            <w:hideMark/>
          </w:tcPr>
          <w:p w14:paraId="710DBA77" w14:textId="77777777" w:rsidR="00257248" w:rsidRPr="00877650" w:rsidRDefault="00257248" w:rsidP="00323FD6">
            <w:pPr>
              <w:rPr>
                <w:rFonts w:ascii="Calibri" w:hAnsi="Calibri" w:cs="Calibri"/>
                <w:color w:val="000000"/>
              </w:rPr>
            </w:pPr>
            <w:r w:rsidRPr="00877650">
              <w:rPr>
                <w:rFonts w:ascii="Calibri" w:hAnsi="Calibri" w:cs="Calibri"/>
                <w:color w:val="000000"/>
              </w:rPr>
              <w:t>16</w:t>
            </w:r>
          </w:p>
        </w:tc>
        <w:tc>
          <w:tcPr>
            <w:tcW w:w="309" w:type="pct"/>
            <w:tcBorders>
              <w:top w:val="nil"/>
              <w:left w:val="nil"/>
              <w:bottom w:val="nil"/>
              <w:right w:val="nil"/>
            </w:tcBorders>
            <w:shd w:val="clear" w:color="auto" w:fill="auto"/>
            <w:noWrap/>
            <w:vAlign w:val="center"/>
            <w:hideMark/>
          </w:tcPr>
          <w:p w14:paraId="36B7480A" w14:textId="77777777" w:rsidR="00257248" w:rsidRPr="00877650" w:rsidRDefault="00257248" w:rsidP="00323FD6">
            <w:pPr>
              <w:rPr>
                <w:rFonts w:ascii="Calibri" w:hAnsi="Calibri" w:cs="Calibri"/>
                <w:color w:val="000000"/>
              </w:rPr>
            </w:pPr>
            <w:r w:rsidRPr="00877650">
              <w:rPr>
                <w:rFonts w:ascii="Calibri" w:hAnsi="Calibri" w:cs="Calibri"/>
                <w:color w:val="000000"/>
              </w:rPr>
              <w:t>45</w:t>
            </w:r>
          </w:p>
        </w:tc>
        <w:tc>
          <w:tcPr>
            <w:tcW w:w="240" w:type="pct"/>
            <w:tcBorders>
              <w:top w:val="nil"/>
              <w:left w:val="nil"/>
              <w:bottom w:val="nil"/>
              <w:right w:val="nil"/>
            </w:tcBorders>
            <w:shd w:val="clear" w:color="auto" w:fill="auto"/>
            <w:noWrap/>
            <w:vAlign w:val="center"/>
            <w:hideMark/>
          </w:tcPr>
          <w:p w14:paraId="3053752F" w14:textId="77777777" w:rsidR="00257248" w:rsidRPr="00877650" w:rsidRDefault="00257248" w:rsidP="00323FD6">
            <w:pPr>
              <w:rPr>
                <w:rFonts w:ascii="Calibri" w:hAnsi="Calibri" w:cs="Calibri"/>
                <w:color w:val="000000"/>
              </w:rPr>
            </w:pPr>
            <w:r w:rsidRPr="00877650">
              <w:rPr>
                <w:rFonts w:ascii="Calibri" w:hAnsi="Calibri" w:cs="Calibri"/>
                <w:color w:val="000000"/>
              </w:rPr>
              <w:t>38.9</w:t>
            </w:r>
          </w:p>
        </w:tc>
        <w:tc>
          <w:tcPr>
            <w:tcW w:w="311" w:type="pct"/>
            <w:tcBorders>
              <w:top w:val="nil"/>
              <w:left w:val="nil"/>
              <w:bottom w:val="nil"/>
              <w:right w:val="nil"/>
            </w:tcBorders>
            <w:shd w:val="clear" w:color="auto" w:fill="auto"/>
            <w:noWrap/>
            <w:vAlign w:val="center"/>
            <w:hideMark/>
          </w:tcPr>
          <w:p w14:paraId="0CC365D7" w14:textId="77777777" w:rsidR="00257248" w:rsidRPr="00877650" w:rsidRDefault="00257248" w:rsidP="00323FD6">
            <w:pPr>
              <w:rPr>
                <w:rFonts w:ascii="Calibri" w:hAnsi="Calibri" w:cs="Calibri"/>
                <w:color w:val="000000"/>
              </w:rPr>
            </w:pPr>
            <w:r w:rsidRPr="00877650">
              <w:rPr>
                <w:rFonts w:ascii="Calibri" w:hAnsi="Calibri" w:cs="Calibri"/>
                <w:color w:val="000000"/>
              </w:rPr>
              <w:t>2</w:t>
            </w:r>
          </w:p>
        </w:tc>
        <w:tc>
          <w:tcPr>
            <w:tcW w:w="311" w:type="pct"/>
            <w:tcBorders>
              <w:top w:val="nil"/>
              <w:left w:val="nil"/>
              <w:bottom w:val="nil"/>
              <w:right w:val="nil"/>
            </w:tcBorders>
            <w:shd w:val="clear" w:color="auto" w:fill="auto"/>
            <w:noWrap/>
            <w:vAlign w:val="center"/>
            <w:hideMark/>
          </w:tcPr>
          <w:p w14:paraId="3F26B3CF" w14:textId="77777777" w:rsidR="00257248" w:rsidRPr="00877650" w:rsidRDefault="00257248" w:rsidP="00323FD6">
            <w:pPr>
              <w:rPr>
                <w:rFonts w:ascii="Calibri" w:hAnsi="Calibri" w:cs="Calibri"/>
                <w:color w:val="000000"/>
              </w:rPr>
            </w:pPr>
            <w:r w:rsidRPr="00877650">
              <w:rPr>
                <w:rFonts w:ascii="Calibri" w:hAnsi="Calibri" w:cs="Calibri"/>
                <w:color w:val="000000"/>
              </w:rPr>
              <w:t>3944</w:t>
            </w:r>
          </w:p>
        </w:tc>
        <w:tc>
          <w:tcPr>
            <w:tcW w:w="413" w:type="pct"/>
            <w:tcBorders>
              <w:top w:val="nil"/>
              <w:left w:val="nil"/>
              <w:bottom w:val="nil"/>
              <w:right w:val="single" w:sz="4" w:space="0" w:color="auto"/>
            </w:tcBorders>
            <w:shd w:val="clear" w:color="auto" w:fill="auto"/>
            <w:noWrap/>
            <w:vAlign w:val="center"/>
            <w:hideMark/>
          </w:tcPr>
          <w:p w14:paraId="4ACCE9B6"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0.0507%</w:t>
            </w:r>
          </w:p>
        </w:tc>
      </w:tr>
      <w:tr w:rsidR="00257248" w:rsidRPr="00877650" w14:paraId="6E73518B" w14:textId="77777777" w:rsidTr="00323FD6">
        <w:trPr>
          <w:trHeight w:val="290"/>
        </w:trPr>
        <w:tc>
          <w:tcPr>
            <w:tcW w:w="1105" w:type="pct"/>
            <w:gridSpan w:val="2"/>
            <w:tcBorders>
              <w:top w:val="nil"/>
              <w:left w:val="single" w:sz="4" w:space="0" w:color="auto"/>
              <w:bottom w:val="single" w:sz="4" w:space="0" w:color="auto"/>
              <w:right w:val="nil"/>
            </w:tcBorders>
            <w:shd w:val="clear" w:color="auto" w:fill="auto"/>
            <w:noWrap/>
            <w:vAlign w:val="center"/>
            <w:hideMark/>
          </w:tcPr>
          <w:p w14:paraId="457AD15E" w14:textId="77777777" w:rsidR="00257248" w:rsidRPr="00877650" w:rsidRDefault="00257248" w:rsidP="00323FD6">
            <w:pPr>
              <w:rPr>
                <w:rFonts w:ascii="Calibri" w:hAnsi="Calibri" w:cs="Calibri"/>
                <w:color w:val="F2F2F2"/>
              </w:rPr>
            </w:pPr>
          </w:p>
        </w:tc>
        <w:tc>
          <w:tcPr>
            <w:tcW w:w="516" w:type="pct"/>
            <w:tcBorders>
              <w:top w:val="nil"/>
              <w:left w:val="nil"/>
              <w:bottom w:val="single" w:sz="4" w:space="0" w:color="auto"/>
              <w:right w:val="nil"/>
            </w:tcBorders>
            <w:shd w:val="clear" w:color="auto" w:fill="auto"/>
            <w:noWrap/>
            <w:vAlign w:val="center"/>
            <w:hideMark/>
          </w:tcPr>
          <w:p w14:paraId="13BEE3BC" w14:textId="77777777" w:rsidR="00257248" w:rsidRPr="00877650" w:rsidRDefault="00257248" w:rsidP="00323FD6">
            <w:pPr>
              <w:rPr>
                <w:rFonts w:ascii="Calibri" w:hAnsi="Calibri" w:cs="Calibri"/>
                <w:color w:val="000000"/>
              </w:rPr>
            </w:pPr>
            <w:r w:rsidRPr="00877650">
              <w:rPr>
                <w:rFonts w:ascii="Calibri" w:hAnsi="Calibri" w:cs="Calibri"/>
                <w:color w:val="000000"/>
              </w:rPr>
              <w:t>PGA1_c</w:t>
            </w:r>
          </w:p>
        </w:tc>
        <w:tc>
          <w:tcPr>
            <w:tcW w:w="311" w:type="pct"/>
            <w:tcBorders>
              <w:top w:val="nil"/>
              <w:left w:val="nil"/>
              <w:bottom w:val="single" w:sz="4" w:space="0" w:color="auto"/>
              <w:right w:val="nil"/>
            </w:tcBorders>
            <w:shd w:val="clear" w:color="auto" w:fill="auto"/>
            <w:noWrap/>
            <w:vAlign w:val="center"/>
            <w:hideMark/>
          </w:tcPr>
          <w:p w14:paraId="1D335BF2"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single" w:sz="4" w:space="0" w:color="auto"/>
              <w:right w:val="nil"/>
            </w:tcBorders>
            <w:shd w:val="clear" w:color="auto" w:fill="auto"/>
            <w:noWrap/>
            <w:vAlign w:val="center"/>
            <w:hideMark/>
          </w:tcPr>
          <w:p w14:paraId="565B12AD"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Glyoxylase</w:t>
            </w:r>
            <w:proofErr w:type="spellEnd"/>
            <w:r w:rsidRPr="00877650">
              <w:rPr>
                <w:rFonts w:ascii="Calibri" w:hAnsi="Calibri" w:cs="Calibri"/>
                <w:color w:val="000000"/>
              </w:rPr>
              <w:t>, beta-lactamase superfamily II</w:t>
            </w:r>
          </w:p>
        </w:tc>
        <w:tc>
          <w:tcPr>
            <w:tcW w:w="552" w:type="pct"/>
            <w:tcBorders>
              <w:top w:val="nil"/>
              <w:left w:val="nil"/>
              <w:bottom w:val="single" w:sz="4" w:space="0" w:color="auto"/>
              <w:right w:val="nil"/>
            </w:tcBorders>
            <w:shd w:val="clear" w:color="auto" w:fill="auto"/>
            <w:noWrap/>
            <w:vAlign w:val="center"/>
            <w:hideMark/>
          </w:tcPr>
          <w:p w14:paraId="7EE866C9"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homogentisate</w:t>
            </w:r>
            <w:proofErr w:type="spellEnd"/>
            <w:r w:rsidRPr="00877650">
              <w:rPr>
                <w:rFonts w:ascii="Calibri" w:hAnsi="Calibri" w:cs="Calibri"/>
                <w:color w:val="000000"/>
              </w:rPr>
              <w:t xml:space="preserve"> 1,2-dioxygenase</w:t>
            </w:r>
          </w:p>
        </w:tc>
        <w:tc>
          <w:tcPr>
            <w:tcW w:w="448" w:type="pct"/>
            <w:tcBorders>
              <w:top w:val="nil"/>
              <w:left w:val="nil"/>
              <w:bottom w:val="single" w:sz="4" w:space="0" w:color="auto"/>
              <w:right w:val="nil"/>
            </w:tcBorders>
            <w:shd w:val="clear" w:color="auto" w:fill="auto"/>
            <w:noWrap/>
            <w:vAlign w:val="center"/>
            <w:hideMark/>
          </w:tcPr>
          <w:p w14:paraId="34BC3B76" w14:textId="77777777" w:rsidR="00257248" w:rsidRPr="00877650" w:rsidRDefault="00257248" w:rsidP="00323FD6">
            <w:pPr>
              <w:rPr>
                <w:rFonts w:ascii="Calibri" w:hAnsi="Calibri" w:cs="Calibri"/>
                <w:color w:val="000000"/>
              </w:rPr>
            </w:pPr>
            <w:r w:rsidRPr="00877650">
              <w:rPr>
                <w:rFonts w:ascii="Calibri" w:hAnsi="Calibri" w:cs="Calibri"/>
                <w:color w:val="000000"/>
              </w:rPr>
              <w:t>1260</w:t>
            </w:r>
          </w:p>
        </w:tc>
        <w:tc>
          <w:tcPr>
            <w:tcW w:w="309" w:type="pct"/>
            <w:tcBorders>
              <w:top w:val="nil"/>
              <w:left w:val="nil"/>
              <w:bottom w:val="single" w:sz="4" w:space="0" w:color="auto"/>
              <w:right w:val="nil"/>
            </w:tcBorders>
            <w:shd w:val="clear" w:color="auto" w:fill="auto"/>
            <w:noWrap/>
            <w:vAlign w:val="center"/>
            <w:hideMark/>
          </w:tcPr>
          <w:p w14:paraId="3441DCE2" w14:textId="77777777" w:rsidR="00257248" w:rsidRPr="00877650" w:rsidRDefault="00257248" w:rsidP="00323FD6">
            <w:pPr>
              <w:rPr>
                <w:rFonts w:ascii="Calibri" w:hAnsi="Calibri" w:cs="Calibri"/>
                <w:color w:val="000000"/>
              </w:rPr>
            </w:pPr>
            <w:r w:rsidRPr="00877650">
              <w:rPr>
                <w:rFonts w:ascii="Calibri" w:hAnsi="Calibri" w:cs="Calibri"/>
                <w:color w:val="000000"/>
              </w:rPr>
              <w:t>79</w:t>
            </w:r>
          </w:p>
        </w:tc>
        <w:tc>
          <w:tcPr>
            <w:tcW w:w="240" w:type="pct"/>
            <w:tcBorders>
              <w:top w:val="nil"/>
              <w:left w:val="nil"/>
              <w:bottom w:val="single" w:sz="4" w:space="0" w:color="auto"/>
              <w:right w:val="nil"/>
            </w:tcBorders>
            <w:shd w:val="clear" w:color="auto" w:fill="auto"/>
            <w:noWrap/>
            <w:vAlign w:val="center"/>
            <w:hideMark/>
          </w:tcPr>
          <w:p w14:paraId="5DC39AB9" w14:textId="77777777" w:rsidR="00257248" w:rsidRPr="00877650" w:rsidRDefault="00257248" w:rsidP="00323FD6">
            <w:pPr>
              <w:rPr>
                <w:rFonts w:ascii="Calibri" w:hAnsi="Calibri" w:cs="Calibri"/>
                <w:color w:val="000000"/>
              </w:rPr>
            </w:pPr>
            <w:r w:rsidRPr="00877650">
              <w:rPr>
                <w:rFonts w:ascii="Calibri" w:hAnsi="Calibri" w:cs="Calibri"/>
                <w:color w:val="000000"/>
              </w:rPr>
              <w:t>17.4</w:t>
            </w:r>
          </w:p>
        </w:tc>
        <w:tc>
          <w:tcPr>
            <w:tcW w:w="1035" w:type="pct"/>
            <w:gridSpan w:val="3"/>
            <w:tcBorders>
              <w:top w:val="nil"/>
              <w:left w:val="nil"/>
              <w:bottom w:val="single" w:sz="4" w:space="0" w:color="auto"/>
              <w:right w:val="single" w:sz="4" w:space="0" w:color="auto"/>
            </w:tcBorders>
            <w:shd w:val="clear" w:color="auto" w:fill="auto"/>
            <w:noWrap/>
            <w:vAlign w:val="center"/>
            <w:hideMark/>
          </w:tcPr>
          <w:p w14:paraId="34139621" w14:textId="77777777" w:rsidR="00257248" w:rsidRPr="00877650" w:rsidRDefault="00257248" w:rsidP="00323FD6">
            <w:pPr>
              <w:rPr>
                <w:rFonts w:ascii="Calibri" w:hAnsi="Calibri" w:cs="Calibri"/>
                <w:color w:val="000000"/>
              </w:rPr>
            </w:pPr>
          </w:p>
        </w:tc>
      </w:tr>
      <w:tr w:rsidR="00257248" w:rsidRPr="00877650" w14:paraId="6F73A2CF" w14:textId="77777777" w:rsidTr="00323FD6">
        <w:trPr>
          <w:trHeight w:val="290"/>
        </w:trPr>
        <w:tc>
          <w:tcPr>
            <w:tcW w:w="516" w:type="pct"/>
            <w:tcBorders>
              <w:top w:val="nil"/>
              <w:left w:val="single" w:sz="4" w:space="0" w:color="auto"/>
              <w:bottom w:val="nil"/>
              <w:right w:val="nil"/>
            </w:tcBorders>
            <w:shd w:val="clear" w:color="auto" w:fill="auto"/>
            <w:noWrap/>
            <w:vAlign w:val="center"/>
            <w:hideMark/>
          </w:tcPr>
          <w:p w14:paraId="590C2E5E" w14:textId="77777777" w:rsidR="00257248" w:rsidRPr="00877650" w:rsidRDefault="00257248" w:rsidP="00323FD6">
            <w:pPr>
              <w:rPr>
                <w:rFonts w:ascii="Calibri" w:hAnsi="Calibri" w:cs="Calibri"/>
                <w:color w:val="000000"/>
              </w:rPr>
            </w:pPr>
            <w:r w:rsidRPr="00877650">
              <w:rPr>
                <w:rFonts w:ascii="Calibri" w:hAnsi="Calibri" w:cs="Calibri"/>
                <w:color w:val="000000"/>
              </w:rPr>
              <w:t>2558309061</w:t>
            </w:r>
          </w:p>
        </w:tc>
        <w:tc>
          <w:tcPr>
            <w:tcW w:w="589" w:type="pct"/>
            <w:tcBorders>
              <w:top w:val="nil"/>
              <w:left w:val="nil"/>
              <w:bottom w:val="nil"/>
              <w:right w:val="nil"/>
            </w:tcBorders>
            <w:shd w:val="clear" w:color="auto" w:fill="auto"/>
            <w:noWrap/>
            <w:vAlign w:val="center"/>
            <w:hideMark/>
          </w:tcPr>
          <w:p w14:paraId="435BA324"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Phaeobacter</w:t>
            </w:r>
            <w:proofErr w:type="spellEnd"/>
            <w:r w:rsidRPr="00877650">
              <w:rPr>
                <w:rFonts w:ascii="Calibri" w:hAnsi="Calibri" w:cs="Calibri"/>
                <w:color w:val="000000"/>
              </w:rPr>
              <w:t xml:space="preserve"> </w:t>
            </w:r>
            <w:proofErr w:type="spellStart"/>
            <w:r w:rsidRPr="00877650">
              <w:rPr>
                <w:rFonts w:ascii="Calibri" w:hAnsi="Calibri" w:cs="Calibri"/>
                <w:color w:val="000000"/>
              </w:rPr>
              <w:t>gallaeciensis</w:t>
            </w:r>
            <w:proofErr w:type="spellEnd"/>
            <w:r w:rsidRPr="00877650">
              <w:rPr>
                <w:rFonts w:ascii="Calibri" w:hAnsi="Calibri" w:cs="Calibri"/>
                <w:color w:val="000000"/>
              </w:rPr>
              <w:t xml:space="preserve"> DSM 26640</w:t>
            </w:r>
          </w:p>
        </w:tc>
        <w:tc>
          <w:tcPr>
            <w:tcW w:w="516" w:type="pct"/>
            <w:tcBorders>
              <w:top w:val="nil"/>
              <w:left w:val="nil"/>
              <w:bottom w:val="nil"/>
              <w:right w:val="nil"/>
            </w:tcBorders>
            <w:shd w:val="clear" w:color="auto" w:fill="auto"/>
            <w:noWrap/>
            <w:vAlign w:val="center"/>
            <w:hideMark/>
          </w:tcPr>
          <w:p w14:paraId="2D8E717F" w14:textId="77777777" w:rsidR="00257248" w:rsidRPr="00877650" w:rsidRDefault="00257248" w:rsidP="00323FD6">
            <w:pPr>
              <w:rPr>
                <w:rFonts w:ascii="Calibri" w:hAnsi="Calibri" w:cs="Calibri"/>
                <w:color w:val="000000"/>
              </w:rPr>
            </w:pPr>
            <w:r w:rsidRPr="00877650">
              <w:rPr>
                <w:rFonts w:ascii="Calibri" w:hAnsi="Calibri" w:cs="Calibri"/>
                <w:color w:val="000000"/>
              </w:rPr>
              <w:t>CP006966</w:t>
            </w:r>
          </w:p>
        </w:tc>
        <w:tc>
          <w:tcPr>
            <w:tcW w:w="311" w:type="pct"/>
            <w:tcBorders>
              <w:top w:val="nil"/>
              <w:left w:val="nil"/>
              <w:bottom w:val="nil"/>
              <w:right w:val="nil"/>
            </w:tcBorders>
            <w:shd w:val="clear" w:color="auto" w:fill="auto"/>
            <w:noWrap/>
            <w:vAlign w:val="center"/>
            <w:hideMark/>
          </w:tcPr>
          <w:p w14:paraId="4CA4F1AC"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6ED839D5" w14:textId="77777777" w:rsidR="00257248" w:rsidRPr="00877650" w:rsidRDefault="00257248" w:rsidP="00323FD6">
            <w:pPr>
              <w:rPr>
                <w:rFonts w:ascii="Calibri" w:hAnsi="Calibri" w:cs="Calibri"/>
                <w:color w:val="000000"/>
              </w:rPr>
            </w:pPr>
            <w:r w:rsidRPr="00877650">
              <w:rPr>
                <w:rFonts w:ascii="Calibri" w:hAnsi="Calibri" w:cs="Calibri"/>
                <w:color w:val="000000"/>
              </w:rPr>
              <w:t>N-acyl-L-homoserine lactone synthetase</w:t>
            </w:r>
          </w:p>
        </w:tc>
        <w:tc>
          <w:tcPr>
            <w:tcW w:w="552" w:type="pct"/>
            <w:tcBorders>
              <w:top w:val="nil"/>
              <w:left w:val="nil"/>
              <w:bottom w:val="nil"/>
              <w:right w:val="nil"/>
            </w:tcBorders>
            <w:shd w:val="clear" w:color="auto" w:fill="auto"/>
            <w:noWrap/>
            <w:vAlign w:val="center"/>
            <w:hideMark/>
          </w:tcPr>
          <w:p w14:paraId="782FA539"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regulatory protein, </w:t>
            </w:r>
            <w:proofErr w:type="spellStart"/>
            <w:r w:rsidRPr="00877650">
              <w:rPr>
                <w:rFonts w:ascii="Calibri" w:hAnsi="Calibri" w:cs="Calibri"/>
                <w:color w:val="000000"/>
              </w:rPr>
              <w:t>luxR</w:t>
            </w:r>
            <w:proofErr w:type="spellEnd"/>
            <w:r w:rsidRPr="00877650">
              <w:rPr>
                <w:rFonts w:ascii="Calibri" w:hAnsi="Calibri" w:cs="Calibri"/>
                <w:color w:val="000000"/>
              </w:rPr>
              <w:t xml:space="preserve"> family</w:t>
            </w:r>
          </w:p>
        </w:tc>
        <w:tc>
          <w:tcPr>
            <w:tcW w:w="448" w:type="pct"/>
            <w:tcBorders>
              <w:top w:val="nil"/>
              <w:left w:val="nil"/>
              <w:bottom w:val="nil"/>
              <w:right w:val="nil"/>
            </w:tcBorders>
            <w:shd w:val="clear" w:color="auto" w:fill="auto"/>
            <w:noWrap/>
            <w:vAlign w:val="center"/>
            <w:hideMark/>
          </w:tcPr>
          <w:p w14:paraId="56E27DDB" w14:textId="77777777" w:rsidR="00257248" w:rsidRPr="00877650" w:rsidRDefault="00257248" w:rsidP="00323FD6">
            <w:pPr>
              <w:rPr>
                <w:rFonts w:ascii="Calibri" w:hAnsi="Calibri" w:cs="Calibri"/>
                <w:color w:val="000000"/>
              </w:rPr>
            </w:pPr>
            <w:r w:rsidRPr="00877650">
              <w:rPr>
                <w:rFonts w:ascii="Calibri" w:hAnsi="Calibri" w:cs="Calibri"/>
                <w:color w:val="000000"/>
              </w:rPr>
              <w:t>45</w:t>
            </w:r>
          </w:p>
        </w:tc>
        <w:tc>
          <w:tcPr>
            <w:tcW w:w="309" w:type="pct"/>
            <w:tcBorders>
              <w:top w:val="nil"/>
              <w:left w:val="nil"/>
              <w:bottom w:val="nil"/>
              <w:right w:val="nil"/>
            </w:tcBorders>
            <w:shd w:val="clear" w:color="auto" w:fill="auto"/>
            <w:noWrap/>
            <w:vAlign w:val="center"/>
            <w:hideMark/>
          </w:tcPr>
          <w:p w14:paraId="4A032807" w14:textId="77777777" w:rsidR="00257248" w:rsidRPr="00877650" w:rsidRDefault="00257248" w:rsidP="00323FD6">
            <w:pPr>
              <w:rPr>
                <w:rFonts w:ascii="Calibri" w:hAnsi="Calibri" w:cs="Calibri"/>
                <w:color w:val="000000"/>
              </w:rPr>
            </w:pPr>
            <w:r w:rsidRPr="00877650">
              <w:rPr>
                <w:rFonts w:ascii="Calibri" w:hAnsi="Calibri" w:cs="Calibri"/>
                <w:color w:val="000000"/>
              </w:rPr>
              <w:t>16</w:t>
            </w:r>
          </w:p>
        </w:tc>
        <w:tc>
          <w:tcPr>
            <w:tcW w:w="240" w:type="pct"/>
            <w:tcBorders>
              <w:top w:val="nil"/>
              <w:left w:val="nil"/>
              <w:bottom w:val="nil"/>
              <w:right w:val="nil"/>
            </w:tcBorders>
            <w:shd w:val="clear" w:color="auto" w:fill="auto"/>
            <w:noWrap/>
            <w:vAlign w:val="center"/>
            <w:hideMark/>
          </w:tcPr>
          <w:p w14:paraId="76237CD7" w14:textId="77777777" w:rsidR="00257248" w:rsidRPr="00877650" w:rsidRDefault="00257248" w:rsidP="00323FD6">
            <w:pPr>
              <w:rPr>
                <w:rFonts w:ascii="Calibri" w:hAnsi="Calibri" w:cs="Calibri"/>
                <w:color w:val="000000"/>
              </w:rPr>
            </w:pPr>
            <w:r w:rsidRPr="00877650">
              <w:rPr>
                <w:rFonts w:ascii="Calibri" w:hAnsi="Calibri" w:cs="Calibri"/>
                <w:color w:val="000000"/>
              </w:rPr>
              <w:t>38.9</w:t>
            </w:r>
          </w:p>
        </w:tc>
        <w:tc>
          <w:tcPr>
            <w:tcW w:w="311" w:type="pct"/>
            <w:tcBorders>
              <w:top w:val="nil"/>
              <w:left w:val="nil"/>
              <w:bottom w:val="nil"/>
              <w:right w:val="nil"/>
            </w:tcBorders>
            <w:shd w:val="clear" w:color="auto" w:fill="auto"/>
            <w:noWrap/>
            <w:vAlign w:val="center"/>
            <w:hideMark/>
          </w:tcPr>
          <w:p w14:paraId="4A793E50" w14:textId="77777777" w:rsidR="00257248" w:rsidRPr="00877650" w:rsidRDefault="00257248" w:rsidP="00323FD6">
            <w:pPr>
              <w:rPr>
                <w:rFonts w:ascii="Calibri" w:hAnsi="Calibri" w:cs="Calibri"/>
                <w:color w:val="000000"/>
              </w:rPr>
            </w:pPr>
            <w:r w:rsidRPr="00877650">
              <w:rPr>
                <w:rFonts w:ascii="Calibri" w:hAnsi="Calibri" w:cs="Calibri"/>
                <w:color w:val="000000"/>
              </w:rPr>
              <w:t>3</w:t>
            </w:r>
          </w:p>
        </w:tc>
        <w:tc>
          <w:tcPr>
            <w:tcW w:w="311" w:type="pct"/>
            <w:tcBorders>
              <w:top w:val="nil"/>
              <w:left w:val="nil"/>
              <w:bottom w:val="nil"/>
              <w:right w:val="nil"/>
            </w:tcBorders>
            <w:shd w:val="clear" w:color="auto" w:fill="auto"/>
            <w:noWrap/>
            <w:vAlign w:val="center"/>
            <w:hideMark/>
          </w:tcPr>
          <w:p w14:paraId="285866CB" w14:textId="77777777" w:rsidR="00257248" w:rsidRPr="00877650" w:rsidRDefault="00257248" w:rsidP="00323FD6">
            <w:pPr>
              <w:rPr>
                <w:rFonts w:ascii="Calibri" w:hAnsi="Calibri" w:cs="Calibri"/>
                <w:color w:val="000000"/>
              </w:rPr>
            </w:pPr>
            <w:r w:rsidRPr="00877650">
              <w:rPr>
                <w:rFonts w:ascii="Calibri" w:hAnsi="Calibri" w:cs="Calibri"/>
                <w:color w:val="000000"/>
              </w:rPr>
              <w:t>4433</w:t>
            </w:r>
          </w:p>
        </w:tc>
        <w:tc>
          <w:tcPr>
            <w:tcW w:w="413" w:type="pct"/>
            <w:tcBorders>
              <w:top w:val="nil"/>
              <w:left w:val="nil"/>
              <w:bottom w:val="nil"/>
              <w:right w:val="single" w:sz="4" w:space="0" w:color="auto"/>
            </w:tcBorders>
            <w:shd w:val="clear" w:color="auto" w:fill="auto"/>
            <w:noWrap/>
            <w:vAlign w:val="center"/>
            <w:hideMark/>
          </w:tcPr>
          <w:p w14:paraId="626C4A84"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0.0677%</w:t>
            </w:r>
          </w:p>
        </w:tc>
      </w:tr>
      <w:tr w:rsidR="00257248" w:rsidRPr="00877650" w14:paraId="7BB2DA82" w14:textId="77777777" w:rsidTr="00323FD6">
        <w:trPr>
          <w:trHeight w:val="290"/>
        </w:trPr>
        <w:tc>
          <w:tcPr>
            <w:tcW w:w="1105" w:type="pct"/>
            <w:gridSpan w:val="2"/>
            <w:tcBorders>
              <w:top w:val="nil"/>
              <w:left w:val="single" w:sz="4" w:space="0" w:color="auto"/>
              <w:bottom w:val="nil"/>
              <w:right w:val="nil"/>
            </w:tcBorders>
            <w:shd w:val="clear" w:color="auto" w:fill="auto"/>
            <w:noWrap/>
            <w:vAlign w:val="center"/>
            <w:hideMark/>
          </w:tcPr>
          <w:p w14:paraId="4239DEE1" w14:textId="77777777" w:rsidR="00257248" w:rsidRPr="00877650" w:rsidRDefault="00257248" w:rsidP="00323FD6">
            <w:pPr>
              <w:rPr>
                <w:rFonts w:ascii="Calibri" w:hAnsi="Calibri" w:cs="Calibri"/>
                <w:color w:val="F2F2F2"/>
              </w:rPr>
            </w:pPr>
          </w:p>
        </w:tc>
        <w:tc>
          <w:tcPr>
            <w:tcW w:w="516" w:type="pct"/>
            <w:tcBorders>
              <w:top w:val="nil"/>
              <w:left w:val="nil"/>
              <w:bottom w:val="nil"/>
              <w:right w:val="nil"/>
            </w:tcBorders>
            <w:shd w:val="clear" w:color="auto" w:fill="auto"/>
            <w:noWrap/>
            <w:vAlign w:val="center"/>
            <w:hideMark/>
          </w:tcPr>
          <w:p w14:paraId="412824FF" w14:textId="77777777" w:rsidR="00257248" w:rsidRPr="00877650" w:rsidRDefault="00257248" w:rsidP="00323FD6">
            <w:pPr>
              <w:rPr>
                <w:rFonts w:ascii="Calibri" w:hAnsi="Calibri" w:cs="Calibri"/>
                <w:color w:val="000000"/>
              </w:rPr>
            </w:pPr>
            <w:r w:rsidRPr="00877650">
              <w:rPr>
                <w:rFonts w:ascii="Calibri" w:hAnsi="Calibri" w:cs="Calibri"/>
                <w:color w:val="000000"/>
              </w:rPr>
              <w:t>CP006966</w:t>
            </w:r>
          </w:p>
        </w:tc>
        <w:tc>
          <w:tcPr>
            <w:tcW w:w="311" w:type="pct"/>
            <w:tcBorders>
              <w:top w:val="nil"/>
              <w:left w:val="nil"/>
              <w:bottom w:val="nil"/>
              <w:right w:val="nil"/>
            </w:tcBorders>
            <w:shd w:val="clear" w:color="auto" w:fill="auto"/>
            <w:noWrap/>
            <w:vAlign w:val="center"/>
            <w:hideMark/>
          </w:tcPr>
          <w:p w14:paraId="3C201A83"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36A5DF32" w14:textId="77777777" w:rsidR="00257248" w:rsidRPr="00877650" w:rsidRDefault="00257248" w:rsidP="00323FD6">
            <w:pPr>
              <w:rPr>
                <w:rFonts w:ascii="Calibri" w:hAnsi="Calibri" w:cs="Calibri"/>
                <w:color w:val="000000"/>
              </w:rPr>
            </w:pPr>
            <w:r w:rsidRPr="00877650">
              <w:rPr>
                <w:rFonts w:ascii="Calibri" w:hAnsi="Calibri" w:cs="Calibri"/>
                <w:color w:val="000000"/>
              </w:rPr>
              <w:t>conserved hypothetical protein</w:t>
            </w:r>
          </w:p>
        </w:tc>
        <w:tc>
          <w:tcPr>
            <w:tcW w:w="552" w:type="pct"/>
            <w:tcBorders>
              <w:top w:val="nil"/>
              <w:left w:val="nil"/>
              <w:bottom w:val="nil"/>
              <w:right w:val="nil"/>
            </w:tcBorders>
            <w:shd w:val="clear" w:color="auto" w:fill="auto"/>
            <w:noWrap/>
            <w:vAlign w:val="center"/>
            <w:hideMark/>
          </w:tcPr>
          <w:p w14:paraId="14703F35" w14:textId="77777777" w:rsidR="00257248" w:rsidRPr="00877650" w:rsidRDefault="00257248" w:rsidP="00323FD6">
            <w:pPr>
              <w:rPr>
                <w:rFonts w:ascii="Calibri" w:hAnsi="Calibri" w:cs="Calibri"/>
                <w:color w:val="000000"/>
              </w:rPr>
            </w:pPr>
            <w:r w:rsidRPr="00877650">
              <w:rPr>
                <w:rFonts w:ascii="Calibri" w:hAnsi="Calibri" w:cs="Calibri"/>
                <w:color w:val="000000"/>
              </w:rPr>
              <w:t>(R)-</w:t>
            </w:r>
            <w:proofErr w:type="spellStart"/>
            <w:r w:rsidRPr="00877650">
              <w:rPr>
                <w:rFonts w:ascii="Calibri" w:hAnsi="Calibri" w:cs="Calibri"/>
                <w:color w:val="000000"/>
              </w:rPr>
              <w:t>ethylmalonyl</w:t>
            </w:r>
            <w:proofErr w:type="spellEnd"/>
            <w:r w:rsidRPr="00877650">
              <w:rPr>
                <w:rFonts w:ascii="Calibri" w:hAnsi="Calibri" w:cs="Calibri"/>
                <w:color w:val="000000"/>
              </w:rPr>
              <w:t>-CoA mutase</w:t>
            </w:r>
          </w:p>
        </w:tc>
        <w:tc>
          <w:tcPr>
            <w:tcW w:w="448" w:type="pct"/>
            <w:tcBorders>
              <w:top w:val="nil"/>
              <w:left w:val="nil"/>
              <w:bottom w:val="nil"/>
              <w:right w:val="nil"/>
            </w:tcBorders>
            <w:shd w:val="clear" w:color="auto" w:fill="auto"/>
            <w:noWrap/>
            <w:vAlign w:val="center"/>
            <w:hideMark/>
          </w:tcPr>
          <w:p w14:paraId="31359704" w14:textId="77777777" w:rsidR="00257248" w:rsidRPr="00877650" w:rsidRDefault="00257248" w:rsidP="00323FD6">
            <w:pPr>
              <w:rPr>
                <w:rFonts w:ascii="Calibri" w:hAnsi="Calibri" w:cs="Calibri"/>
                <w:color w:val="000000"/>
              </w:rPr>
            </w:pPr>
            <w:r w:rsidRPr="00877650">
              <w:rPr>
                <w:rFonts w:ascii="Calibri" w:hAnsi="Calibri" w:cs="Calibri"/>
                <w:color w:val="000000"/>
              </w:rPr>
              <w:t>3128</w:t>
            </w:r>
          </w:p>
        </w:tc>
        <w:tc>
          <w:tcPr>
            <w:tcW w:w="309" w:type="pct"/>
            <w:tcBorders>
              <w:top w:val="nil"/>
              <w:left w:val="nil"/>
              <w:bottom w:val="nil"/>
              <w:right w:val="nil"/>
            </w:tcBorders>
            <w:shd w:val="clear" w:color="auto" w:fill="auto"/>
            <w:noWrap/>
            <w:vAlign w:val="center"/>
            <w:hideMark/>
          </w:tcPr>
          <w:p w14:paraId="6FEF4838" w14:textId="77777777" w:rsidR="00257248" w:rsidRPr="00877650" w:rsidRDefault="00257248" w:rsidP="00323FD6">
            <w:pPr>
              <w:rPr>
                <w:rFonts w:ascii="Calibri" w:hAnsi="Calibri" w:cs="Calibri"/>
                <w:color w:val="000000"/>
              </w:rPr>
            </w:pPr>
            <w:r w:rsidRPr="00877650">
              <w:rPr>
                <w:rFonts w:ascii="Calibri" w:hAnsi="Calibri" w:cs="Calibri"/>
                <w:color w:val="000000"/>
              </w:rPr>
              <w:t>4374</w:t>
            </w:r>
          </w:p>
        </w:tc>
        <w:tc>
          <w:tcPr>
            <w:tcW w:w="240" w:type="pct"/>
            <w:tcBorders>
              <w:top w:val="nil"/>
              <w:left w:val="nil"/>
              <w:bottom w:val="nil"/>
              <w:right w:val="nil"/>
            </w:tcBorders>
            <w:shd w:val="clear" w:color="auto" w:fill="auto"/>
            <w:noWrap/>
            <w:vAlign w:val="center"/>
            <w:hideMark/>
          </w:tcPr>
          <w:p w14:paraId="49B28F65" w14:textId="77777777" w:rsidR="00257248" w:rsidRPr="00877650" w:rsidRDefault="00257248" w:rsidP="00323FD6">
            <w:pPr>
              <w:rPr>
                <w:rFonts w:ascii="Calibri" w:hAnsi="Calibri" w:cs="Calibri"/>
                <w:color w:val="000000"/>
              </w:rPr>
            </w:pPr>
            <w:r w:rsidRPr="00877650">
              <w:rPr>
                <w:rFonts w:ascii="Calibri" w:hAnsi="Calibri" w:cs="Calibri"/>
                <w:color w:val="000000"/>
              </w:rPr>
              <w:t>34.8</w:t>
            </w:r>
          </w:p>
        </w:tc>
        <w:tc>
          <w:tcPr>
            <w:tcW w:w="1035" w:type="pct"/>
            <w:gridSpan w:val="3"/>
            <w:tcBorders>
              <w:top w:val="nil"/>
              <w:left w:val="nil"/>
              <w:bottom w:val="nil"/>
              <w:right w:val="single" w:sz="4" w:space="0" w:color="auto"/>
            </w:tcBorders>
            <w:shd w:val="clear" w:color="auto" w:fill="auto"/>
            <w:noWrap/>
            <w:vAlign w:val="center"/>
            <w:hideMark/>
          </w:tcPr>
          <w:p w14:paraId="6233E3B1" w14:textId="77777777" w:rsidR="00257248" w:rsidRPr="00877650" w:rsidRDefault="00257248" w:rsidP="00323FD6">
            <w:pPr>
              <w:rPr>
                <w:rFonts w:ascii="Calibri" w:hAnsi="Calibri" w:cs="Calibri"/>
                <w:color w:val="000000"/>
              </w:rPr>
            </w:pPr>
          </w:p>
        </w:tc>
      </w:tr>
      <w:tr w:rsidR="00257248" w:rsidRPr="00877650" w14:paraId="49943D14" w14:textId="77777777" w:rsidTr="00323FD6">
        <w:trPr>
          <w:trHeight w:val="290"/>
        </w:trPr>
        <w:tc>
          <w:tcPr>
            <w:tcW w:w="1105" w:type="pct"/>
            <w:gridSpan w:val="2"/>
            <w:tcBorders>
              <w:top w:val="nil"/>
              <w:left w:val="single" w:sz="4" w:space="0" w:color="auto"/>
              <w:bottom w:val="single" w:sz="4" w:space="0" w:color="auto"/>
              <w:right w:val="nil"/>
            </w:tcBorders>
            <w:shd w:val="clear" w:color="auto" w:fill="auto"/>
            <w:noWrap/>
            <w:vAlign w:val="center"/>
            <w:hideMark/>
          </w:tcPr>
          <w:p w14:paraId="1775ABEF" w14:textId="77777777" w:rsidR="00257248" w:rsidRPr="00877650" w:rsidRDefault="00257248" w:rsidP="00323FD6">
            <w:pPr>
              <w:rPr>
                <w:rFonts w:ascii="Calibri" w:hAnsi="Calibri" w:cs="Calibri"/>
                <w:color w:val="F2F2F2"/>
              </w:rPr>
            </w:pPr>
          </w:p>
        </w:tc>
        <w:tc>
          <w:tcPr>
            <w:tcW w:w="516" w:type="pct"/>
            <w:tcBorders>
              <w:top w:val="nil"/>
              <w:left w:val="nil"/>
              <w:bottom w:val="single" w:sz="4" w:space="0" w:color="auto"/>
              <w:right w:val="nil"/>
            </w:tcBorders>
            <w:shd w:val="clear" w:color="auto" w:fill="auto"/>
            <w:noWrap/>
            <w:vAlign w:val="center"/>
            <w:hideMark/>
          </w:tcPr>
          <w:p w14:paraId="1851A94C" w14:textId="77777777" w:rsidR="00257248" w:rsidRPr="00877650" w:rsidRDefault="00257248" w:rsidP="00323FD6">
            <w:pPr>
              <w:rPr>
                <w:rFonts w:ascii="Calibri" w:hAnsi="Calibri" w:cs="Calibri"/>
                <w:color w:val="000000"/>
              </w:rPr>
            </w:pPr>
            <w:r w:rsidRPr="00877650">
              <w:rPr>
                <w:rFonts w:ascii="Calibri" w:hAnsi="Calibri" w:cs="Calibri"/>
                <w:color w:val="000000"/>
              </w:rPr>
              <w:t>CP006967</w:t>
            </w:r>
          </w:p>
        </w:tc>
        <w:tc>
          <w:tcPr>
            <w:tcW w:w="311" w:type="pct"/>
            <w:tcBorders>
              <w:top w:val="nil"/>
              <w:left w:val="nil"/>
              <w:bottom w:val="single" w:sz="4" w:space="0" w:color="auto"/>
              <w:right w:val="nil"/>
            </w:tcBorders>
            <w:shd w:val="clear" w:color="auto" w:fill="auto"/>
            <w:noWrap/>
            <w:vAlign w:val="center"/>
            <w:hideMark/>
          </w:tcPr>
          <w:p w14:paraId="0FD8884D"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single" w:sz="4" w:space="0" w:color="auto"/>
              <w:right w:val="nil"/>
            </w:tcBorders>
            <w:shd w:val="clear" w:color="auto" w:fill="auto"/>
            <w:noWrap/>
            <w:vAlign w:val="center"/>
            <w:hideMark/>
          </w:tcPr>
          <w:p w14:paraId="00F1B497"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succinate-semialdehyde dehydrogenase / </w:t>
            </w:r>
            <w:proofErr w:type="spellStart"/>
            <w:r w:rsidRPr="00877650">
              <w:rPr>
                <w:rFonts w:ascii="Calibri" w:hAnsi="Calibri" w:cs="Calibri"/>
                <w:color w:val="000000"/>
              </w:rPr>
              <w:t>glutarate</w:t>
            </w:r>
            <w:proofErr w:type="spellEnd"/>
            <w:r w:rsidRPr="00877650">
              <w:rPr>
                <w:rFonts w:ascii="Calibri" w:hAnsi="Calibri" w:cs="Calibri"/>
                <w:color w:val="000000"/>
              </w:rPr>
              <w:t xml:space="preserve">-semialdehyde </w:t>
            </w:r>
            <w:r w:rsidRPr="00877650">
              <w:rPr>
                <w:rFonts w:ascii="Calibri" w:hAnsi="Calibri" w:cs="Calibri"/>
                <w:color w:val="000000"/>
              </w:rPr>
              <w:lastRenderedPageBreak/>
              <w:t>dehydrogenase</w:t>
            </w:r>
          </w:p>
        </w:tc>
        <w:tc>
          <w:tcPr>
            <w:tcW w:w="552" w:type="pct"/>
            <w:tcBorders>
              <w:top w:val="nil"/>
              <w:left w:val="nil"/>
              <w:bottom w:val="single" w:sz="4" w:space="0" w:color="auto"/>
              <w:right w:val="nil"/>
            </w:tcBorders>
            <w:shd w:val="clear" w:color="auto" w:fill="auto"/>
            <w:noWrap/>
            <w:vAlign w:val="center"/>
            <w:hideMark/>
          </w:tcPr>
          <w:p w14:paraId="53A9A453" w14:textId="77777777" w:rsidR="00257248" w:rsidRPr="00877650" w:rsidRDefault="00257248" w:rsidP="00323FD6">
            <w:pPr>
              <w:rPr>
                <w:rFonts w:ascii="Calibri" w:hAnsi="Calibri" w:cs="Calibri"/>
                <w:color w:val="000000"/>
              </w:rPr>
            </w:pPr>
            <w:r w:rsidRPr="00877650">
              <w:rPr>
                <w:rFonts w:ascii="Calibri" w:hAnsi="Calibri" w:cs="Calibri"/>
                <w:color w:val="000000"/>
              </w:rPr>
              <w:lastRenderedPageBreak/>
              <w:t>hypothetical protein</w:t>
            </w:r>
          </w:p>
        </w:tc>
        <w:tc>
          <w:tcPr>
            <w:tcW w:w="448" w:type="pct"/>
            <w:tcBorders>
              <w:top w:val="nil"/>
              <w:left w:val="nil"/>
              <w:bottom w:val="single" w:sz="4" w:space="0" w:color="auto"/>
              <w:right w:val="nil"/>
            </w:tcBorders>
            <w:shd w:val="clear" w:color="auto" w:fill="auto"/>
            <w:noWrap/>
            <w:vAlign w:val="center"/>
            <w:hideMark/>
          </w:tcPr>
          <w:p w14:paraId="2E11E915" w14:textId="77777777" w:rsidR="00257248" w:rsidRPr="00877650" w:rsidRDefault="00257248" w:rsidP="00323FD6">
            <w:pPr>
              <w:rPr>
                <w:rFonts w:ascii="Calibri" w:hAnsi="Calibri" w:cs="Calibri"/>
                <w:color w:val="000000"/>
              </w:rPr>
            </w:pPr>
            <w:r w:rsidRPr="00877650">
              <w:rPr>
                <w:rFonts w:ascii="Calibri" w:hAnsi="Calibri" w:cs="Calibri"/>
                <w:color w:val="000000"/>
              </w:rPr>
              <w:t>2506</w:t>
            </w:r>
          </w:p>
        </w:tc>
        <w:tc>
          <w:tcPr>
            <w:tcW w:w="309" w:type="pct"/>
            <w:tcBorders>
              <w:top w:val="nil"/>
              <w:left w:val="nil"/>
              <w:bottom w:val="single" w:sz="4" w:space="0" w:color="auto"/>
              <w:right w:val="nil"/>
            </w:tcBorders>
            <w:shd w:val="clear" w:color="auto" w:fill="auto"/>
            <w:noWrap/>
            <w:vAlign w:val="center"/>
            <w:hideMark/>
          </w:tcPr>
          <w:p w14:paraId="0027A346" w14:textId="77777777" w:rsidR="00257248" w:rsidRPr="00877650" w:rsidRDefault="00257248" w:rsidP="00323FD6">
            <w:pPr>
              <w:rPr>
                <w:rFonts w:ascii="Calibri" w:hAnsi="Calibri" w:cs="Calibri"/>
                <w:color w:val="000000"/>
              </w:rPr>
            </w:pPr>
            <w:r w:rsidRPr="00877650">
              <w:rPr>
                <w:rFonts w:ascii="Calibri" w:hAnsi="Calibri" w:cs="Calibri"/>
                <w:color w:val="000000"/>
              </w:rPr>
              <w:t>359</w:t>
            </w:r>
          </w:p>
        </w:tc>
        <w:tc>
          <w:tcPr>
            <w:tcW w:w="240" w:type="pct"/>
            <w:tcBorders>
              <w:top w:val="nil"/>
              <w:left w:val="nil"/>
              <w:bottom w:val="single" w:sz="4" w:space="0" w:color="auto"/>
              <w:right w:val="nil"/>
            </w:tcBorders>
            <w:shd w:val="clear" w:color="auto" w:fill="auto"/>
            <w:noWrap/>
            <w:vAlign w:val="center"/>
            <w:hideMark/>
          </w:tcPr>
          <w:p w14:paraId="0BAF6357" w14:textId="77777777" w:rsidR="00257248" w:rsidRPr="00877650" w:rsidRDefault="00257248" w:rsidP="00323FD6">
            <w:pPr>
              <w:rPr>
                <w:rFonts w:ascii="Calibri" w:hAnsi="Calibri" w:cs="Calibri"/>
                <w:color w:val="000000"/>
              </w:rPr>
            </w:pPr>
            <w:r w:rsidRPr="00877650">
              <w:rPr>
                <w:rFonts w:ascii="Calibri" w:hAnsi="Calibri" w:cs="Calibri"/>
                <w:color w:val="000000"/>
              </w:rPr>
              <w:t>23.1</w:t>
            </w:r>
          </w:p>
        </w:tc>
        <w:tc>
          <w:tcPr>
            <w:tcW w:w="1035" w:type="pct"/>
            <w:gridSpan w:val="3"/>
            <w:tcBorders>
              <w:top w:val="nil"/>
              <w:left w:val="nil"/>
              <w:bottom w:val="single" w:sz="4" w:space="0" w:color="auto"/>
              <w:right w:val="single" w:sz="4" w:space="0" w:color="auto"/>
            </w:tcBorders>
            <w:shd w:val="clear" w:color="auto" w:fill="auto"/>
            <w:noWrap/>
            <w:vAlign w:val="center"/>
            <w:hideMark/>
          </w:tcPr>
          <w:p w14:paraId="6282A8D7" w14:textId="77777777" w:rsidR="00257248" w:rsidRPr="00877650" w:rsidRDefault="00257248" w:rsidP="00323FD6">
            <w:pPr>
              <w:rPr>
                <w:rFonts w:ascii="Calibri" w:hAnsi="Calibri" w:cs="Calibri"/>
                <w:color w:val="000000"/>
              </w:rPr>
            </w:pPr>
          </w:p>
        </w:tc>
      </w:tr>
      <w:tr w:rsidR="00257248" w:rsidRPr="00877650" w14:paraId="1777BE6E" w14:textId="77777777" w:rsidTr="00323FD6">
        <w:trPr>
          <w:trHeight w:val="290"/>
        </w:trPr>
        <w:tc>
          <w:tcPr>
            <w:tcW w:w="516" w:type="pct"/>
            <w:tcBorders>
              <w:top w:val="nil"/>
              <w:left w:val="single" w:sz="4" w:space="0" w:color="auto"/>
              <w:bottom w:val="nil"/>
              <w:right w:val="nil"/>
            </w:tcBorders>
            <w:shd w:val="clear" w:color="auto" w:fill="auto"/>
            <w:noWrap/>
            <w:vAlign w:val="center"/>
            <w:hideMark/>
          </w:tcPr>
          <w:p w14:paraId="56F7F1EB" w14:textId="77777777" w:rsidR="00257248" w:rsidRPr="00877650" w:rsidRDefault="00257248" w:rsidP="00323FD6">
            <w:pPr>
              <w:rPr>
                <w:rFonts w:ascii="Calibri" w:hAnsi="Calibri" w:cs="Calibri"/>
                <w:color w:val="000000"/>
              </w:rPr>
            </w:pPr>
            <w:r w:rsidRPr="00877650">
              <w:rPr>
                <w:rFonts w:ascii="Calibri" w:hAnsi="Calibri" w:cs="Calibri"/>
                <w:color w:val="000000"/>
              </w:rPr>
              <w:t>2510065028</w:t>
            </w:r>
          </w:p>
        </w:tc>
        <w:tc>
          <w:tcPr>
            <w:tcW w:w="589" w:type="pct"/>
            <w:tcBorders>
              <w:top w:val="nil"/>
              <w:left w:val="nil"/>
              <w:bottom w:val="nil"/>
              <w:right w:val="nil"/>
            </w:tcBorders>
            <w:shd w:val="clear" w:color="auto" w:fill="auto"/>
            <w:noWrap/>
            <w:vAlign w:val="center"/>
            <w:hideMark/>
          </w:tcPr>
          <w:p w14:paraId="0108B36B"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Phaeobacter</w:t>
            </w:r>
            <w:proofErr w:type="spellEnd"/>
            <w:r w:rsidRPr="00877650">
              <w:rPr>
                <w:rFonts w:ascii="Calibri" w:hAnsi="Calibri" w:cs="Calibri"/>
                <w:color w:val="000000"/>
              </w:rPr>
              <w:t xml:space="preserve"> </w:t>
            </w:r>
            <w:proofErr w:type="spellStart"/>
            <w:r w:rsidRPr="00877650">
              <w:rPr>
                <w:rFonts w:ascii="Calibri" w:hAnsi="Calibri" w:cs="Calibri"/>
                <w:color w:val="000000"/>
              </w:rPr>
              <w:t>inhibens</w:t>
            </w:r>
            <w:proofErr w:type="spellEnd"/>
            <w:r w:rsidRPr="00877650">
              <w:rPr>
                <w:rFonts w:ascii="Calibri" w:hAnsi="Calibri" w:cs="Calibri"/>
                <w:color w:val="000000"/>
              </w:rPr>
              <w:t xml:space="preserve"> 2.10</w:t>
            </w:r>
          </w:p>
        </w:tc>
        <w:tc>
          <w:tcPr>
            <w:tcW w:w="516" w:type="pct"/>
            <w:tcBorders>
              <w:top w:val="nil"/>
              <w:left w:val="nil"/>
              <w:bottom w:val="nil"/>
              <w:right w:val="nil"/>
            </w:tcBorders>
            <w:shd w:val="clear" w:color="auto" w:fill="auto"/>
            <w:noWrap/>
            <w:vAlign w:val="center"/>
            <w:hideMark/>
          </w:tcPr>
          <w:p w14:paraId="45D7CAB1" w14:textId="77777777" w:rsidR="00257248" w:rsidRPr="00877650" w:rsidRDefault="00257248" w:rsidP="00323FD6">
            <w:pPr>
              <w:rPr>
                <w:rFonts w:ascii="Calibri" w:hAnsi="Calibri" w:cs="Calibri"/>
                <w:color w:val="000000"/>
              </w:rPr>
            </w:pPr>
            <w:r w:rsidRPr="00877650">
              <w:rPr>
                <w:rFonts w:ascii="Calibri" w:hAnsi="Calibri" w:cs="Calibri"/>
                <w:color w:val="000000"/>
              </w:rPr>
              <w:t>PGA2_c</w:t>
            </w:r>
          </w:p>
        </w:tc>
        <w:tc>
          <w:tcPr>
            <w:tcW w:w="311" w:type="pct"/>
            <w:tcBorders>
              <w:top w:val="nil"/>
              <w:left w:val="nil"/>
              <w:bottom w:val="nil"/>
              <w:right w:val="nil"/>
            </w:tcBorders>
            <w:shd w:val="clear" w:color="auto" w:fill="auto"/>
            <w:noWrap/>
            <w:vAlign w:val="center"/>
            <w:hideMark/>
          </w:tcPr>
          <w:p w14:paraId="0287B256"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2AD13781"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regulatory protein, </w:t>
            </w:r>
            <w:proofErr w:type="spellStart"/>
            <w:r w:rsidRPr="00877650">
              <w:rPr>
                <w:rFonts w:ascii="Calibri" w:hAnsi="Calibri" w:cs="Calibri"/>
                <w:color w:val="000000"/>
              </w:rPr>
              <w:t>luxR</w:t>
            </w:r>
            <w:proofErr w:type="spellEnd"/>
            <w:r w:rsidRPr="00877650">
              <w:rPr>
                <w:rFonts w:ascii="Calibri" w:hAnsi="Calibri" w:cs="Calibri"/>
                <w:color w:val="000000"/>
              </w:rPr>
              <w:t xml:space="preserve"> family</w:t>
            </w:r>
          </w:p>
        </w:tc>
        <w:tc>
          <w:tcPr>
            <w:tcW w:w="552" w:type="pct"/>
            <w:tcBorders>
              <w:top w:val="nil"/>
              <w:left w:val="nil"/>
              <w:bottom w:val="nil"/>
              <w:right w:val="nil"/>
            </w:tcBorders>
            <w:shd w:val="clear" w:color="auto" w:fill="auto"/>
            <w:noWrap/>
            <w:vAlign w:val="center"/>
            <w:hideMark/>
          </w:tcPr>
          <w:p w14:paraId="374B146D" w14:textId="77777777" w:rsidR="00257248" w:rsidRPr="00877650" w:rsidRDefault="00257248" w:rsidP="00323FD6">
            <w:pPr>
              <w:rPr>
                <w:rFonts w:ascii="Calibri" w:hAnsi="Calibri" w:cs="Calibri"/>
                <w:color w:val="000000"/>
              </w:rPr>
            </w:pPr>
            <w:r w:rsidRPr="00877650">
              <w:rPr>
                <w:rFonts w:ascii="Calibri" w:hAnsi="Calibri" w:cs="Calibri"/>
                <w:color w:val="000000"/>
              </w:rPr>
              <w:t>N-acyl-L-homoserine lactone synthetase</w:t>
            </w:r>
          </w:p>
        </w:tc>
        <w:tc>
          <w:tcPr>
            <w:tcW w:w="448" w:type="pct"/>
            <w:tcBorders>
              <w:top w:val="nil"/>
              <w:left w:val="nil"/>
              <w:bottom w:val="nil"/>
              <w:right w:val="nil"/>
            </w:tcBorders>
            <w:shd w:val="clear" w:color="auto" w:fill="auto"/>
            <w:noWrap/>
            <w:vAlign w:val="center"/>
            <w:hideMark/>
          </w:tcPr>
          <w:p w14:paraId="565B6BCB" w14:textId="77777777" w:rsidR="00257248" w:rsidRPr="00877650" w:rsidRDefault="00257248" w:rsidP="00323FD6">
            <w:pPr>
              <w:rPr>
                <w:rFonts w:ascii="Calibri" w:hAnsi="Calibri" w:cs="Calibri"/>
                <w:color w:val="000000"/>
              </w:rPr>
            </w:pPr>
            <w:r w:rsidRPr="00877650">
              <w:rPr>
                <w:rFonts w:ascii="Calibri" w:hAnsi="Calibri" w:cs="Calibri"/>
                <w:color w:val="000000"/>
              </w:rPr>
              <w:t>16</w:t>
            </w:r>
          </w:p>
        </w:tc>
        <w:tc>
          <w:tcPr>
            <w:tcW w:w="309" w:type="pct"/>
            <w:tcBorders>
              <w:top w:val="nil"/>
              <w:left w:val="nil"/>
              <w:bottom w:val="nil"/>
              <w:right w:val="nil"/>
            </w:tcBorders>
            <w:shd w:val="clear" w:color="auto" w:fill="auto"/>
            <w:noWrap/>
            <w:vAlign w:val="center"/>
            <w:hideMark/>
          </w:tcPr>
          <w:p w14:paraId="0C432E8E" w14:textId="77777777" w:rsidR="00257248" w:rsidRPr="00877650" w:rsidRDefault="00257248" w:rsidP="00323FD6">
            <w:pPr>
              <w:rPr>
                <w:rFonts w:ascii="Calibri" w:hAnsi="Calibri" w:cs="Calibri"/>
                <w:color w:val="000000"/>
              </w:rPr>
            </w:pPr>
            <w:r w:rsidRPr="00877650">
              <w:rPr>
                <w:rFonts w:ascii="Calibri" w:hAnsi="Calibri" w:cs="Calibri"/>
                <w:color w:val="000000"/>
              </w:rPr>
              <w:t>45</w:t>
            </w:r>
          </w:p>
        </w:tc>
        <w:tc>
          <w:tcPr>
            <w:tcW w:w="240" w:type="pct"/>
            <w:tcBorders>
              <w:top w:val="nil"/>
              <w:left w:val="nil"/>
              <w:bottom w:val="nil"/>
              <w:right w:val="nil"/>
            </w:tcBorders>
            <w:shd w:val="clear" w:color="auto" w:fill="auto"/>
            <w:noWrap/>
            <w:vAlign w:val="center"/>
            <w:hideMark/>
          </w:tcPr>
          <w:p w14:paraId="085DAEF8" w14:textId="77777777" w:rsidR="00257248" w:rsidRPr="00877650" w:rsidRDefault="00257248" w:rsidP="00323FD6">
            <w:pPr>
              <w:rPr>
                <w:rFonts w:ascii="Calibri" w:hAnsi="Calibri" w:cs="Calibri"/>
                <w:color w:val="000000"/>
              </w:rPr>
            </w:pPr>
            <w:r w:rsidRPr="00877650">
              <w:rPr>
                <w:rFonts w:ascii="Calibri" w:hAnsi="Calibri" w:cs="Calibri"/>
                <w:color w:val="000000"/>
              </w:rPr>
              <w:t>38.9</w:t>
            </w:r>
          </w:p>
        </w:tc>
        <w:tc>
          <w:tcPr>
            <w:tcW w:w="311" w:type="pct"/>
            <w:tcBorders>
              <w:top w:val="nil"/>
              <w:left w:val="nil"/>
              <w:bottom w:val="nil"/>
              <w:right w:val="nil"/>
            </w:tcBorders>
            <w:shd w:val="clear" w:color="auto" w:fill="auto"/>
            <w:noWrap/>
            <w:vAlign w:val="center"/>
            <w:hideMark/>
          </w:tcPr>
          <w:p w14:paraId="0D0E081C" w14:textId="77777777" w:rsidR="00257248" w:rsidRPr="00877650" w:rsidRDefault="00257248" w:rsidP="00323FD6">
            <w:pPr>
              <w:rPr>
                <w:rFonts w:ascii="Calibri" w:hAnsi="Calibri" w:cs="Calibri"/>
                <w:color w:val="000000"/>
              </w:rPr>
            </w:pPr>
            <w:r w:rsidRPr="00877650">
              <w:rPr>
                <w:rFonts w:ascii="Calibri" w:hAnsi="Calibri" w:cs="Calibri"/>
                <w:color w:val="000000"/>
              </w:rPr>
              <w:t>2</w:t>
            </w:r>
          </w:p>
        </w:tc>
        <w:tc>
          <w:tcPr>
            <w:tcW w:w="311" w:type="pct"/>
            <w:tcBorders>
              <w:top w:val="nil"/>
              <w:left w:val="nil"/>
              <w:bottom w:val="nil"/>
              <w:right w:val="nil"/>
            </w:tcBorders>
            <w:shd w:val="clear" w:color="auto" w:fill="auto"/>
            <w:noWrap/>
            <w:vAlign w:val="center"/>
            <w:hideMark/>
          </w:tcPr>
          <w:p w14:paraId="6E59CD7F" w14:textId="77777777" w:rsidR="00257248" w:rsidRPr="00877650" w:rsidRDefault="00257248" w:rsidP="00323FD6">
            <w:pPr>
              <w:rPr>
                <w:rFonts w:ascii="Calibri" w:hAnsi="Calibri" w:cs="Calibri"/>
                <w:color w:val="000000"/>
              </w:rPr>
            </w:pPr>
            <w:r w:rsidRPr="00877650">
              <w:rPr>
                <w:rFonts w:ascii="Calibri" w:hAnsi="Calibri" w:cs="Calibri"/>
                <w:color w:val="000000"/>
              </w:rPr>
              <w:t>3792</w:t>
            </w:r>
          </w:p>
        </w:tc>
        <w:tc>
          <w:tcPr>
            <w:tcW w:w="413" w:type="pct"/>
            <w:tcBorders>
              <w:top w:val="nil"/>
              <w:left w:val="nil"/>
              <w:bottom w:val="nil"/>
              <w:right w:val="single" w:sz="4" w:space="0" w:color="auto"/>
            </w:tcBorders>
            <w:shd w:val="clear" w:color="auto" w:fill="auto"/>
            <w:noWrap/>
            <w:vAlign w:val="center"/>
            <w:hideMark/>
          </w:tcPr>
          <w:p w14:paraId="062D6B3D"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0.0527%</w:t>
            </w:r>
          </w:p>
        </w:tc>
      </w:tr>
      <w:tr w:rsidR="00257248" w:rsidRPr="00877650" w14:paraId="087CDDD6" w14:textId="77777777" w:rsidTr="00323FD6">
        <w:trPr>
          <w:trHeight w:val="290"/>
        </w:trPr>
        <w:tc>
          <w:tcPr>
            <w:tcW w:w="1105" w:type="pct"/>
            <w:gridSpan w:val="2"/>
            <w:tcBorders>
              <w:top w:val="nil"/>
              <w:left w:val="single" w:sz="4" w:space="0" w:color="auto"/>
              <w:bottom w:val="nil"/>
              <w:right w:val="nil"/>
            </w:tcBorders>
            <w:shd w:val="clear" w:color="auto" w:fill="auto"/>
            <w:noWrap/>
            <w:vAlign w:val="center"/>
            <w:hideMark/>
          </w:tcPr>
          <w:p w14:paraId="67D14F6F" w14:textId="77777777" w:rsidR="00257248" w:rsidRPr="00877650" w:rsidRDefault="00257248" w:rsidP="00323FD6">
            <w:pPr>
              <w:rPr>
                <w:rFonts w:ascii="Calibri" w:hAnsi="Calibri" w:cs="Calibri"/>
                <w:color w:val="F2F2F2"/>
              </w:rPr>
            </w:pPr>
          </w:p>
        </w:tc>
        <w:tc>
          <w:tcPr>
            <w:tcW w:w="516" w:type="pct"/>
            <w:tcBorders>
              <w:top w:val="nil"/>
              <w:left w:val="nil"/>
              <w:bottom w:val="nil"/>
              <w:right w:val="nil"/>
            </w:tcBorders>
            <w:shd w:val="clear" w:color="auto" w:fill="auto"/>
            <w:noWrap/>
            <w:vAlign w:val="center"/>
            <w:hideMark/>
          </w:tcPr>
          <w:p w14:paraId="63E14E7B" w14:textId="77777777" w:rsidR="00257248" w:rsidRPr="00877650" w:rsidRDefault="00257248" w:rsidP="00323FD6">
            <w:pPr>
              <w:rPr>
                <w:rFonts w:ascii="Calibri" w:hAnsi="Calibri" w:cs="Calibri"/>
                <w:color w:val="000000"/>
              </w:rPr>
            </w:pPr>
            <w:r w:rsidRPr="00877650">
              <w:rPr>
                <w:rFonts w:ascii="Calibri" w:hAnsi="Calibri" w:cs="Calibri"/>
                <w:color w:val="000000"/>
              </w:rPr>
              <w:t>PGA2_c</w:t>
            </w:r>
          </w:p>
        </w:tc>
        <w:tc>
          <w:tcPr>
            <w:tcW w:w="311" w:type="pct"/>
            <w:tcBorders>
              <w:top w:val="nil"/>
              <w:left w:val="nil"/>
              <w:bottom w:val="nil"/>
              <w:right w:val="nil"/>
            </w:tcBorders>
            <w:shd w:val="clear" w:color="auto" w:fill="auto"/>
            <w:noWrap/>
            <w:vAlign w:val="center"/>
            <w:hideMark/>
          </w:tcPr>
          <w:p w14:paraId="558CB9DF"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12C37D27" w14:textId="77777777" w:rsidR="00257248" w:rsidRPr="00877650" w:rsidRDefault="00257248" w:rsidP="00323FD6">
            <w:pPr>
              <w:rPr>
                <w:rFonts w:ascii="Calibri" w:hAnsi="Calibri" w:cs="Calibri"/>
                <w:color w:val="000000"/>
              </w:rPr>
            </w:pPr>
            <w:r w:rsidRPr="00877650">
              <w:rPr>
                <w:rFonts w:ascii="Calibri" w:hAnsi="Calibri" w:cs="Calibri"/>
                <w:color w:val="000000"/>
              </w:rPr>
              <w:t>peptide/nickel transport system ATP-binding protein</w:t>
            </w:r>
          </w:p>
        </w:tc>
        <w:tc>
          <w:tcPr>
            <w:tcW w:w="552" w:type="pct"/>
            <w:tcBorders>
              <w:top w:val="nil"/>
              <w:left w:val="nil"/>
              <w:bottom w:val="nil"/>
              <w:right w:val="nil"/>
            </w:tcBorders>
            <w:shd w:val="clear" w:color="auto" w:fill="auto"/>
            <w:noWrap/>
            <w:vAlign w:val="center"/>
            <w:hideMark/>
          </w:tcPr>
          <w:p w14:paraId="70A4EC2D" w14:textId="77777777" w:rsidR="00257248" w:rsidRPr="00877650" w:rsidRDefault="00257248" w:rsidP="00323FD6">
            <w:pPr>
              <w:rPr>
                <w:rFonts w:ascii="Calibri" w:hAnsi="Calibri" w:cs="Calibri"/>
                <w:color w:val="000000"/>
              </w:rPr>
            </w:pPr>
            <w:r w:rsidRPr="00877650">
              <w:rPr>
                <w:rFonts w:ascii="Calibri" w:hAnsi="Calibri" w:cs="Calibri"/>
                <w:color w:val="000000"/>
              </w:rPr>
              <w:t>Protein of unknown function (DUF3307)</w:t>
            </w:r>
          </w:p>
        </w:tc>
        <w:tc>
          <w:tcPr>
            <w:tcW w:w="448" w:type="pct"/>
            <w:tcBorders>
              <w:top w:val="nil"/>
              <w:left w:val="nil"/>
              <w:bottom w:val="nil"/>
              <w:right w:val="nil"/>
            </w:tcBorders>
            <w:shd w:val="clear" w:color="auto" w:fill="auto"/>
            <w:noWrap/>
            <w:vAlign w:val="center"/>
            <w:hideMark/>
          </w:tcPr>
          <w:p w14:paraId="02055E3B" w14:textId="77777777" w:rsidR="00257248" w:rsidRPr="00877650" w:rsidRDefault="00257248" w:rsidP="00323FD6">
            <w:pPr>
              <w:rPr>
                <w:rFonts w:ascii="Calibri" w:hAnsi="Calibri" w:cs="Calibri"/>
                <w:color w:val="000000"/>
              </w:rPr>
            </w:pPr>
            <w:r w:rsidRPr="00877650">
              <w:rPr>
                <w:rFonts w:ascii="Calibri" w:hAnsi="Calibri" w:cs="Calibri"/>
                <w:color w:val="000000"/>
              </w:rPr>
              <w:t>4250</w:t>
            </w:r>
          </w:p>
        </w:tc>
        <w:tc>
          <w:tcPr>
            <w:tcW w:w="309" w:type="pct"/>
            <w:tcBorders>
              <w:top w:val="nil"/>
              <w:left w:val="nil"/>
              <w:bottom w:val="nil"/>
              <w:right w:val="nil"/>
            </w:tcBorders>
            <w:shd w:val="clear" w:color="auto" w:fill="auto"/>
            <w:noWrap/>
            <w:vAlign w:val="center"/>
            <w:hideMark/>
          </w:tcPr>
          <w:p w14:paraId="22FCB5DB" w14:textId="77777777" w:rsidR="00257248" w:rsidRPr="00877650" w:rsidRDefault="00257248" w:rsidP="00323FD6">
            <w:pPr>
              <w:rPr>
                <w:rFonts w:ascii="Calibri" w:hAnsi="Calibri" w:cs="Calibri"/>
                <w:color w:val="000000"/>
              </w:rPr>
            </w:pPr>
            <w:r w:rsidRPr="00877650">
              <w:rPr>
                <w:rFonts w:ascii="Calibri" w:hAnsi="Calibri" w:cs="Calibri"/>
                <w:color w:val="000000"/>
              </w:rPr>
              <w:t>2119</w:t>
            </w:r>
          </w:p>
        </w:tc>
        <w:tc>
          <w:tcPr>
            <w:tcW w:w="240" w:type="pct"/>
            <w:tcBorders>
              <w:top w:val="nil"/>
              <w:left w:val="nil"/>
              <w:bottom w:val="nil"/>
              <w:right w:val="nil"/>
            </w:tcBorders>
            <w:shd w:val="clear" w:color="auto" w:fill="auto"/>
            <w:noWrap/>
            <w:vAlign w:val="center"/>
            <w:hideMark/>
          </w:tcPr>
          <w:p w14:paraId="53D963C8" w14:textId="77777777" w:rsidR="00257248" w:rsidRPr="00877650" w:rsidRDefault="00257248" w:rsidP="00323FD6">
            <w:pPr>
              <w:rPr>
                <w:rFonts w:ascii="Calibri" w:hAnsi="Calibri" w:cs="Calibri"/>
                <w:color w:val="000000"/>
              </w:rPr>
            </w:pPr>
            <w:r w:rsidRPr="00877650">
              <w:rPr>
                <w:rFonts w:ascii="Calibri" w:hAnsi="Calibri" w:cs="Calibri"/>
                <w:color w:val="000000"/>
              </w:rPr>
              <w:t>16.4</w:t>
            </w:r>
          </w:p>
        </w:tc>
        <w:tc>
          <w:tcPr>
            <w:tcW w:w="1035" w:type="pct"/>
            <w:gridSpan w:val="3"/>
            <w:tcBorders>
              <w:top w:val="nil"/>
              <w:left w:val="nil"/>
              <w:bottom w:val="nil"/>
              <w:right w:val="single" w:sz="4" w:space="0" w:color="auto"/>
            </w:tcBorders>
            <w:shd w:val="clear" w:color="auto" w:fill="auto"/>
            <w:noWrap/>
            <w:vAlign w:val="center"/>
            <w:hideMark/>
          </w:tcPr>
          <w:p w14:paraId="55D5DC9A" w14:textId="77777777" w:rsidR="00257248" w:rsidRPr="00877650" w:rsidRDefault="00257248" w:rsidP="00323FD6">
            <w:pPr>
              <w:rPr>
                <w:rFonts w:ascii="Calibri" w:hAnsi="Calibri" w:cs="Calibri"/>
                <w:color w:val="000000"/>
              </w:rPr>
            </w:pPr>
          </w:p>
        </w:tc>
      </w:tr>
      <w:tr w:rsidR="00257248" w:rsidRPr="00877650" w14:paraId="71B82225" w14:textId="77777777" w:rsidTr="00323FD6">
        <w:trPr>
          <w:trHeight w:val="290"/>
        </w:trPr>
        <w:tc>
          <w:tcPr>
            <w:tcW w:w="516" w:type="pct"/>
            <w:tcBorders>
              <w:top w:val="single" w:sz="4" w:space="0" w:color="auto"/>
              <w:left w:val="single" w:sz="4" w:space="0" w:color="auto"/>
              <w:bottom w:val="nil"/>
              <w:right w:val="nil"/>
            </w:tcBorders>
            <w:shd w:val="clear" w:color="auto" w:fill="auto"/>
            <w:noWrap/>
            <w:vAlign w:val="center"/>
            <w:hideMark/>
          </w:tcPr>
          <w:p w14:paraId="3956FEB5" w14:textId="77777777" w:rsidR="00257248" w:rsidRPr="00877650" w:rsidRDefault="00257248" w:rsidP="00323FD6">
            <w:pPr>
              <w:rPr>
                <w:rFonts w:ascii="Calibri" w:hAnsi="Calibri" w:cs="Calibri"/>
                <w:color w:val="000000"/>
              </w:rPr>
            </w:pPr>
            <w:r w:rsidRPr="00877650">
              <w:rPr>
                <w:rFonts w:ascii="Calibri" w:hAnsi="Calibri" w:cs="Calibri"/>
                <w:color w:val="000000"/>
              </w:rPr>
              <w:t>2724679070</w:t>
            </w:r>
          </w:p>
        </w:tc>
        <w:tc>
          <w:tcPr>
            <w:tcW w:w="589" w:type="pct"/>
            <w:tcBorders>
              <w:top w:val="single" w:sz="4" w:space="0" w:color="auto"/>
              <w:left w:val="nil"/>
              <w:bottom w:val="nil"/>
              <w:right w:val="nil"/>
            </w:tcBorders>
            <w:shd w:val="clear" w:color="auto" w:fill="auto"/>
            <w:noWrap/>
            <w:vAlign w:val="center"/>
            <w:hideMark/>
          </w:tcPr>
          <w:p w14:paraId="597646C9"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Phaeobacter</w:t>
            </w:r>
            <w:proofErr w:type="spellEnd"/>
            <w:r w:rsidRPr="00877650">
              <w:rPr>
                <w:rFonts w:ascii="Calibri" w:hAnsi="Calibri" w:cs="Calibri"/>
                <w:color w:val="000000"/>
              </w:rPr>
              <w:t xml:space="preserve"> </w:t>
            </w:r>
            <w:proofErr w:type="spellStart"/>
            <w:r w:rsidRPr="00877650">
              <w:rPr>
                <w:rFonts w:ascii="Calibri" w:hAnsi="Calibri" w:cs="Calibri"/>
                <w:color w:val="000000"/>
              </w:rPr>
              <w:t>inhibens</w:t>
            </w:r>
            <w:proofErr w:type="spellEnd"/>
            <w:r w:rsidRPr="00877650">
              <w:rPr>
                <w:rFonts w:ascii="Calibri" w:hAnsi="Calibri" w:cs="Calibri"/>
                <w:color w:val="000000"/>
              </w:rPr>
              <w:t xml:space="preserve"> S4Sm</w:t>
            </w:r>
          </w:p>
        </w:tc>
        <w:tc>
          <w:tcPr>
            <w:tcW w:w="516" w:type="pct"/>
            <w:tcBorders>
              <w:top w:val="single" w:sz="4" w:space="0" w:color="auto"/>
              <w:left w:val="nil"/>
              <w:bottom w:val="nil"/>
              <w:right w:val="nil"/>
            </w:tcBorders>
            <w:shd w:val="clear" w:color="auto" w:fill="auto"/>
            <w:noWrap/>
            <w:vAlign w:val="center"/>
            <w:hideMark/>
          </w:tcPr>
          <w:p w14:paraId="29866F7A" w14:textId="77777777" w:rsidR="00257248" w:rsidRPr="00877650" w:rsidRDefault="00257248" w:rsidP="00323FD6">
            <w:pPr>
              <w:rPr>
                <w:rFonts w:ascii="Calibri" w:hAnsi="Calibri" w:cs="Calibri"/>
                <w:color w:val="000000"/>
              </w:rPr>
            </w:pPr>
            <w:r w:rsidRPr="00877650">
              <w:rPr>
                <w:rFonts w:ascii="Calibri" w:hAnsi="Calibri" w:cs="Calibri"/>
                <w:color w:val="000000"/>
              </w:rPr>
              <w:t>Ga0126028_177</w:t>
            </w:r>
          </w:p>
        </w:tc>
        <w:tc>
          <w:tcPr>
            <w:tcW w:w="311" w:type="pct"/>
            <w:tcBorders>
              <w:top w:val="single" w:sz="4" w:space="0" w:color="auto"/>
              <w:left w:val="nil"/>
              <w:bottom w:val="nil"/>
              <w:right w:val="nil"/>
            </w:tcBorders>
            <w:shd w:val="clear" w:color="auto" w:fill="auto"/>
            <w:noWrap/>
            <w:vAlign w:val="center"/>
            <w:hideMark/>
          </w:tcPr>
          <w:p w14:paraId="256F68B9"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single" w:sz="4" w:space="0" w:color="auto"/>
              <w:left w:val="nil"/>
              <w:bottom w:val="nil"/>
              <w:right w:val="nil"/>
            </w:tcBorders>
            <w:shd w:val="clear" w:color="auto" w:fill="auto"/>
            <w:noWrap/>
            <w:vAlign w:val="center"/>
            <w:hideMark/>
          </w:tcPr>
          <w:p w14:paraId="3E114D09" w14:textId="77777777" w:rsidR="00257248" w:rsidRPr="00877650" w:rsidRDefault="00257248" w:rsidP="00323FD6">
            <w:pPr>
              <w:rPr>
                <w:rFonts w:ascii="Calibri" w:hAnsi="Calibri" w:cs="Calibri"/>
                <w:color w:val="000000"/>
              </w:rPr>
            </w:pPr>
            <w:r w:rsidRPr="00877650">
              <w:rPr>
                <w:rFonts w:ascii="Calibri" w:hAnsi="Calibri" w:cs="Calibri"/>
                <w:color w:val="000000"/>
              </w:rPr>
              <w:t>acyl homoserine lactone synthase</w:t>
            </w:r>
          </w:p>
        </w:tc>
        <w:tc>
          <w:tcPr>
            <w:tcW w:w="552" w:type="pct"/>
            <w:tcBorders>
              <w:top w:val="single" w:sz="4" w:space="0" w:color="auto"/>
              <w:left w:val="nil"/>
              <w:bottom w:val="nil"/>
              <w:right w:val="nil"/>
            </w:tcBorders>
            <w:shd w:val="clear" w:color="auto" w:fill="auto"/>
            <w:noWrap/>
            <w:vAlign w:val="center"/>
            <w:hideMark/>
          </w:tcPr>
          <w:p w14:paraId="38C52537"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regulatory protein, </w:t>
            </w:r>
            <w:proofErr w:type="spellStart"/>
            <w:r w:rsidRPr="00877650">
              <w:rPr>
                <w:rFonts w:ascii="Calibri" w:hAnsi="Calibri" w:cs="Calibri"/>
                <w:color w:val="000000"/>
              </w:rPr>
              <w:t>luxR</w:t>
            </w:r>
            <w:proofErr w:type="spellEnd"/>
            <w:r w:rsidRPr="00877650">
              <w:rPr>
                <w:rFonts w:ascii="Calibri" w:hAnsi="Calibri" w:cs="Calibri"/>
                <w:color w:val="000000"/>
              </w:rPr>
              <w:t xml:space="preserve"> family</w:t>
            </w:r>
          </w:p>
        </w:tc>
        <w:tc>
          <w:tcPr>
            <w:tcW w:w="448" w:type="pct"/>
            <w:tcBorders>
              <w:top w:val="single" w:sz="4" w:space="0" w:color="auto"/>
              <w:left w:val="nil"/>
              <w:bottom w:val="nil"/>
              <w:right w:val="nil"/>
            </w:tcBorders>
            <w:shd w:val="clear" w:color="auto" w:fill="auto"/>
            <w:noWrap/>
            <w:vAlign w:val="center"/>
            <w:hideMark/>
          </w:tcPr>
          <w:p w14:paraId="7E318BBD" w14:textId="77777777" w:rsidR="00257248" w:rsidRPr="00877650" w:rsidRDefault="00257248" w:rsidP="00323FD6">
            <w:pPr>
              <w:rPr>
                <w:rFonts w:ascii="Calibri" w:hAnsi="Calibri" w:cs="Calibri"/>
                <w:color w:val="000000"/>
              </w:rPr>
            </w:pPr>
            <w:r w:rsidRPr="00877650">
              <w:rPr>
                <w:rFonts w:ascii="Calibri" w:hAnsi="Calibri" w:cs="Calibri"/>
                <w:color w:val="000000"/>
              </w:rPr>
              <w:t>45</w:t>
            </w:r>
          </w:p>
        </w:tc>
        <w:tc>
          <w:tcPr>
            <w:tcW w:w="309" w:type="pct"/>
            <w:tcBorders>
              <w:top w:val="single" w:sz="4" w:space="0" w:color="auto"/>
              <w:left w:val="nil"/>
              <w:bottom w:val="nil"/>
              <w:right w:val="nil"/>
            </w:tcBorders>
            <w:shd w:val="clear" w:color="auto" w:fill="auto"/>
            <w:noWrap/>
            <w:vAlign w:val="center"/>
            <w:hideMark/>
          </w:tcPr>
          <w:p w14:paraId="4DCACCEB" w14:textId="77777777" w:rsidR="00257248" w:rsidRPr="00877650" w:rsidRDefault="00257248" w:rsidP="00323FD6">
            <w:pPr>
              <w:rPr>
                <w:rFonts w:ascii="Calibri" w:hAnsi="Calibri" w:cs="Calibri"/>
                <w:color w:val="000000"/>
              </w:rPr>
            </w:pPr>
            <w:r w:rsidRPr="00877650">
              <w:rPr>
                <w:rFonts w:ascii="Calibri" w:hAnsi="Calibri" w:cs="Calibri"/>
                <w:color w:val="000000"/>
              </w:rPr>
              <w:t>16</w:t>
            </w:r>
          </w:p>
        </w:tc>
        <w:tc>
          <w:tcPr>
            <w:tcW w:w="240" w:type="pct"/>
            <w:tcBorders>
              <w:top w:val="single" w:sz="4" w:space="0" w:color="auto"/>
              <w:left w:val="nil"/>
              <w:bottom w:val="nil"/>
              <w:right w:val="nil"/>
            </w:tcBorders>
            <w:shd w:val="clear" w:color="auto" w:fill="auto"/>
            <w:noWrap/>
            <w:vAlign w:val="center"/>
            <w:hideMark/>
          </w:tcPr>
          <w:p w14:paraId="78242590" w14:textId="77777777" w:rsidR="00257248" w:rsidRPr="00877650" w:rsidRDefault="00257248" w:rsidP="00323FD6">
            <w:pPr>
              <w:rPr>
                <w:rFonts w:ascii="Calibri" w:hAnsi="Calibri" w:cs="Calibri"/>
                <w:color w:val="000000"/>
              </w:rPr>
            </w:pPr>
            <w:r w:rsidRPr="00877650">
              <w:rPr>
                <w:rFonts w:ascii="Calibri" w:hAnsi="Calibri" w:cs="Calibri"/>
                <w:color w:val="000000"/>
              </w:rPr>
              <w:t>38.9</w:t>
            </w:r>
          </w:p>
        </w:tc>
        <w:tc>
          <w:tcPr>
            <w:tcW w:w="311" w:type="pct"/>
            <w:tcBorders>
              <w:top w:val="single" w:sz="4" w:space="0" w:color="auto"/>
              <w:left w:val="nil"/>
              <w:bottom w:val="nil"/>
              <w:right w:val="nil"/>
            </w:tcBorders>
            <w:shd w:val="clear" w:color="auto" w:fill="auto"/>
            <w:noWrap/>
            <w:vAlign w:val="center"/>
            <w:hideMark/>
          </w:tcPr>
          <w:p w14:paraId="1DC20F7C" w14:textId="77777777" w:rsidR="00257248" w:rsidRPr="00877650" w:rsidRDefault="00257248" w:rsidP="00323FD6">
            <w:pPr>
              <w:rPr>
                <w:rFonts w:ascii="Calibri" w:hAnsi="Calibri" w:cs="Calibri"/>
                <w:color w:val="000000"/>
              </w:rPr>
            </w:pPr>
            <w:r w:rsidRPr="00877650">
              <w:rPr>
                <w:rFonts w:ascii="Calibri" w:hAnsi="Calibri" w:cs="Calibri"/>
                <w:color w:val="000000"/>
              </w:rPr>
              <w:t>5</w:t>
            </w:r>
          </w:p>
        </w:tc>
        <w:tc>
          <w:tcPr>
            <w:tcW w:w="311" w:type="pct"/>
            <w:tcBorders>
              <w:top w:val="single" w:sz="4" w:space="0" w:color="auto"/>
              <w:left w:val="nil"/>
              <w:bottom w:val="nil"/>
              <w:right w:val="nil"/>
            </w:tcBorders>
            <w:shd w:val="clear" w:color="auto" w:fill="auto"/>
            <w:noWrap/>
            <w:vAlign w:val="center"/>
            <w:hideMark/>
          </w:tcPr>
          <w:p w14:paraId="38D8B96D" w14:textId="77777777" w:rsidR="00257248" w:rsidRPr="00877650" w:rsidRDefault="00257248" w:rsidP="00323FD6">
            <w:pPr>
              <w:rPr>
                <w:rFonts w:ascii="Calibri" w:hAnsi="Calibri" w:cs="Calibri"/>
                <w:color w:val="000000"/>
              </w:rPr>
            </w:pPr>
            <w:r w:rsidRPr="00877650">
              <w:rPr>
                <w:rFonts w:ascii="Calibri" w:hAnsi="Calibri" w:cs="Calibri"/>
                <w:color w:val="000000"/>
              </w:rPr>
              <w:t>4375</w:t>
            </w:r>
          </w:p>
        </w:tc>
        <w:tc>
          <w:tcPr>
            <w:tcW w:w="413" w:type="pct"/>
            <w:tcBorders>
              <w:top w:val="single" w:sz="4" w:space="0" w:color="auto"/>
              <w:left w:val="nil"/>
              <w:bottom w:val="nil"/>
              <w:right w:val="single" w:sz="4" w:space="0" w:color="auto"/>
            </w:tcBorders>
            <w:shd w:val="clear" w:color="auto" w:fill="auto"/>
            <w:noWrap/>
            <w:vAlign w:val="center"/>
            <w:hideMark/>
          </w:tcPr>
          <w:p w14:paraId="6D4E58F8"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0.1143%</w:t>
            </w:r>
          </w:p>
        </w:tc>
      </w:tr>
      <w:tr w:rsidR="00257248" w:rsidRPr="00877650" w14:paraId="67E3CF70" w14:textId="77777777" w:rsidTr="00323FD6">
        <w:trPr>
          <w:trHeight w:val="290"/>
        </w:trPr>
        <w:tc>
          <w:tcPr>
            <w:tcW w:w="1105" w:type="pct"/>
            <w:gridSpan w:val="2"/>
            <w:vMerge w:val="restart"/>
            <w:tcBorders>
              <w:top w:val="nil"/>
              <w:left w:val="single" w:sz="4" w:space="0" w:color="auto"/>
              <w:right w:val="nil"/>
            </w:tcBorders>
            <w:shd w:val="clear" w:color="auto" w:fill="auto"/>
            <w:noWrap/>
            <w:vAlign w:val="center"/>
            <w:hideMark/>
          </w:tcPr>
          <w:p w14:paraId="4002CF9D" w14:textId="77777777" w:rsidR="00257248" w:rsidRPr="00877650" w:rsidRDefault="00257248" w:rsidP="00323FD6">
            <w:pPr>
              <w:rPr>
                <w:rFonts w:ascii="Calibri" w:hAnsi="Calibri" w:cs="Calibri"/>
                <w:color w:val="F2F2F2"/>
              </w:rPr>
            </w:pPr>
          </w:p>
        </w:tc>
        <w:tc>
          <w:tcPr>
            <w:tcW w:w="516" w:type="pct"/>
            <w:tcBorders>
              <w:top w:val="nil"/>
              <w:left w:val="nil"/>
              <w:bottom w:val="nil"/>
              <w:right w:val="nil"/>
            </w:tcBorders>
            <w:shd w:val="clear" w:color="auto" w:fill="auto"/>
            <w:noWrap/>
            <w:vAlign w:val="center"/>
            <w:hideMark/>
          </w:tcPr>
          <w:p w14:paraId="46E3A2B6" w14:textId="77777777" w:rsidR="00257248" w:rsidRPr="00877650" w:rsidRDefault="00257248" w:rsidP="00323FD6">
            <w:pPr>
              <w:rPr>
                <w:rFonts w:ascii="Calibri" w:hAnsi="Calibri" w:cs="Calibri"/>
                <w:color w:val="000000"/>
              </w:rPr>
            </w:pPr>
            <w:r w:rsidRPr="00877650">
              <w:rPr>
                <w:rFonts w:ascii="Calibri" w:hAnsi="Calibri" w:cs="Calibri"/>
                <w:color w:val="000000"/>
              </w:rPr>
              <w:t>Ga0126028_177</w:t>
            </w:r>
          </w:p>
        </w:tc>
        <w:tc>
          <w:tcPr>
            <w:tcW w:w="311" w:type="pct"/>
            <w:tcBorders>
              <w:top w:val="nil"/>
              <w:left w:val="nil"/>
              <w:bottom w:val="nil"/>
              <w:right w:val="nil"/>
            </w:tcBorders>
            <w:shd w:val="clear" w:color="auto" w:fill="auto"/>
            <w:noWrap/>
            <w:vAlign w:val="center"/>
            <w:hideMark/>
          </w:tcPr>
          <w:p w14:paraId="25E5F071"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0145EE1B" w14:textId="77777777" w:rsidR="00257248" w:rsidRPr="00877650" w:rsidRDefault="00257248" w:rsidP="00323FD6">
            <w:pPr>
              <w:rPr>
                <w:rFonts w:ascii="Calibri" w:hAnsi="Calibri" w:cs="Calibri"/>
                <w:color w:val="000000"/>
              </w:rPr>
            </w:pPr>
            <w:r w:rsidRPr="00877650">
              <w:rPr>
                <w:rFonts w:ascii="Calibri" w:hAnsi="Calibri" w:cs="Calibri"/>
                <w:color w:val="000000"/>
              </w:rPr>
              <w:t>conserved hypothetical protein</w:t>
            </w:r>
          </w:p>
        </w:tc>
        <w:tc>
          <w:tcPr>
            <w:tcW w:w="552" w:type="pct"/>
            <w:tcBorders>
              <w:top w:val="nil"/>
              <w:left w:val="nil"/>
              <w:bottom w:val="nil"/>
              <w:right w:val="nil"/>
            </w:tcBorders>
            <w:shd w:val="clear" w:color="auto" w:fill="auto"/>
            <w:noWrap/>
            <w:vAlign w:val="center"/>
            <w:hideMark/>
          </w:tcPr>
          <w:p w14:paraId="72CC271F" w14:textId="77777777" w:rsidR="00257248" w:rsidRPr="00877650" w:rsidRDefault="00257248" w:rsidP="00323FD6">
            <w:pPr>
              <w:rPr>
                <w:rFonts w:ascii="Calibri" w:hAnsi="Calibri" w:cs="Calibri"/>
                <w:color w:val="000000"/>
              </w:rPr>
            </w:pPr>
            <w:r w:rsidRPr="00877650">
              <w:rPr>
                <w:rFonts w:ascii="Calibri" w:hAnsi="Calibri" w:cs="Calibri"/>
                <w:color w:val="000000"/>
              </w:rPr>
              <w:t>Putative transposase of IS4/5 family (DUF4096)</w:t>
            </w:r>
          </w:p>
        </w:tc>
        <w:tc>
          <w:tcPr>
            <w:tcW w:w="448" w:type="pct"/>
            <w:tcBorders>
              <w:top w:val="nil"/>
              <w:left w:val="nil"/>
              <w:bottom w:val="nil"/>
              <w:right w:val="nil"/>
            </w:tcBorders>
            <w:shd w:val="clear" w:color="auto" w:fill="auto"/>
            <w:noWrap/>
            <w:vAlign w:val="center"/>
            <w:hideMark/>
          </w:tcPr>
          <w:p w14:paraId="1D05BBA3" w14:textId="77777777" w:rsidR="00257248" w:rsidRPr="00877650" w:rsidRDefault="00257248" w:rsidP="00323FD6">
            <w:pPr>
              <w:rPr>
                <w:rFonts w:ascii="Calibri" w:hAnsi="Calibri" w:cs="Calibri"/>
                <w:color w:val="000000"/>
              </w:rPr>
            </w:pPr>
            <w:r w:rsidRPr="00877650">
              <w:rPr>
                <w:rFonts w:ascii="Calibri" w:hAnsi="Calibri" w:cs="Calibri"/>
                <w:color w:val="000000"/>
              </w:rPr>
              <w:t>3187</w:t>
            </w:r>
          </w:p>
        </w:tc>
        <w:tc>
          <w:tcPr>
            <w:tcW w:w="309" w:type="pct"/>
            <w:tcBorders>
              <w:top w:val="nil"/>
              <w:left w:val="nil"/>
              <w:bottom w:val="nil"/>
              <w:right w:val="nil"/>
            </w:tcBorders>
            <w:shd w:val="clear" w:color="auto" w:fill="auto"/>
            <w:noWrap/>
            <w:vAlign w:val="center"/>
            <w:hideMark/>
          </w:tcPr>
          <w:p w14:paraId="7FFC2677" w14:textId="77777777" w:rsidR="00257248" w:rsidRPr="00877650" w:rsidRDefault="00257248" w:rsidP="00323FD6">
            <w:pPr>
              <w:rPr>
                <w:rFonts w:ascii="Calibri" w:hAnsi="Calibri" w:cs="Calibri"/>
                <w:color w:val="000000"/>
              </w:rPr>
            </w:pPr>
            <w:r w:rsidRPr="00877650">
              <w:rPr>
                <w:rFonts w:ascii="Calibri" w:hAnsi="Calibri" w:cs="Calibri"/>
                <w:color w:val="000000"/>
              </w:rPr>
              <w:t>2564</w:t>
            </w:r>
          </w:p>
        </w:tc>
        <w:tc>
          <w:tcPr>
            <w:tcW w:w="240" w:type="pct"/>
            <w:tcBorders>
              <w:top w:val="nil"/>
              <w:left w:val="nil"/>
              <w:bottom w:val="nil"/>
              <w:right w:val="nil"/>
            </w:tcBorders>
            <w:shd w:val="clear" w:color="auto" w:fill="auto"/>
            <w:noWrap/>
            <w:vAlign w:val="center"/>
            <w:hideMark/>
          </w:tcPr>
          <w:p w14:paraId="075CA3A9" w14:textId="77777777" w:rsidR="00257248" w:rsidRPr="00877650" w:rsidRDefault="00257248" w:rsidP="00323FD6">
            <w:pPr>
              <w:rPr>
                <w:rFonts w:ascii="Calibri" w:hAnsi="Calibri" w:cs="Calibri"/>
                <w:color w:val="000000"/>
              </w:rPr>
            </w:pPr>
            <w:r w:rsidRPr="00877650">
              <w:rPr>
                <w:rFonts w:ascii="Calibri" w:hAnsi="Calibri" w:cs="Calibri"/>
                <w:color w:val="000000"/>
              </w:rPr>
              <w:t>34.8</w:t>
            </w:r>
          </w:p>
        </w:tc>
        <w:tc>
          <w:tcPr>
            <w:tcW w:w="1035" w:type="pct"/>
            <w:gridSpan w:val="3"/>
            <w:vMerge w:val="restart"/>
            <w:tcBorders>
              <w:top w:val="nil"/>
              <w:left w:val="nil"/>
              <w:right w:val="single" w:sz="4" w:space="0" w:color="auto"/>
            </w:tcBorders>
            <w:shd w:val="clear" w:color="auto" w:fill="auto"/>
            <w:noWrap/>
            <w:vAlign w:val="center"/>
            <w:hideMark/>
          </w:tcPr>
          <w:p w14:paraId="07FF4AC3" w14:textId="77777777" w:rsidR="00257248" w:rsidRPr="00877650" w:rsidRDefault="00257248" w:rsidP="00323FD6">
            <w:pPr>
              <w:rPr>
                <w:rFonts w:ascii="Calibri" w:hAnsi="Calibri" w:cs="Calibri"/>
                <w:color w:val="000000"/>
              </w:rPr>
            </w:pPr>
          </w:p>
        </w:tc>
      </w:tr>
      <w:tr w:rsidR="00257248" w:rsidRPr="00877650" w14:paraId="69040439" w14:textId="77777777" w:rsidTr="00323FD6">
        <w:trPr>
          <w:trHeight w:val="290"/>
        </w:trPr>
        <w:tc>
          <w:tcPr>
            <w:tcW w:w="1105" w:type="pct"/>
            <w:gridSpan w:val="2"/>
            <w:vMerge/>
            <w:tcBorders>
              <w:left w:val="single" w:sz="4" w:space="0" w:color="auto"/>
              <w:right w:val="nil"/>
            </w:tcBorders>
            <w:shd w:val="clear" w:color="auto" w:fill="auto"/>
            <w:noWrap/>
            <w:vAlign w:val="center"/>
            <w:hideMark/>
          </w:tcPr>
          <w:p w14:paraId="2999E929" w14:textId="77777777" w:rsidR="00257248" w:rsidRPr="00877650" w:rsidRDefault="00257248" w:rsidP="00323FD6">
            <w:pPr>
              <w:rPr>
                <w:rFonts w:ascii="Calibri" w:hAnsi="Calibri" w:cs="Calibri"/>
                <w:color w:val="F2F2F2"/>
              </w:rPr>
            </w:pPr>
          </w:p>
        </w:tc>
        <w:tc>
          <w:tcPr>
            <w:tcW w:w="516" w:type="pct"/>
            <w:tcBorders>
              <w:top w:val="nil"/>
              <w:left w:val="nil"/>
              <w:bottom w:val="nil"/>
              <w:right w:val="nil"/>
            </w:tcBorders>
            <w:shd w:val="clear" w:color="auto" w:fill="auto"/>
            <w:noWrap/>
            <w:vAlign w:val="center"/>
            <w:hideMark/>
          </w:tcPr>
          <w:p w14:paraId="10928BD6" w14:textId="77777777" w:rsidR="00257248" w:rsidRPr="00877650" w:rsidRDefault="00257248" w:rsidP="00323FD6">
            <w:pPr>
              <w:rPr>
                <w:rFonts w:ascii="Calibri" w:hAnsi="Calibri" w:cs="Calibri"/>
                <w:color w:val="000000"/>
              </w:rPr>
            </w:pPr>
            <w:r w:rsidRPr="00877650">
              <w:rPr>
                <w:rFonts w:ascii="Calibri" w:hAnsi="Calibri" w:cs="Calibri"/>
                <w:color w:val="000000"/>
              </w:rPr>
              <w:t>Ga0126028_138</w:t>
            </w:r>
          </w:p>
        </w:tc>
        <w:tc>
          <w:tcPr>
            <w:tcW w:w="311" w:type="pct"/>
            <w:tcBorders>
              <w:top w:val="nil"/>
              <w:left w:val="nil"/>
              <w:bottom w:val="nil"/>
              <w:right w:val="nil"/>
            </w:tcBorders>
            <w:shd w:val="clear" w:color="auto" w:fill="auto"/>
            <w:noWrap/>
            <w:vAlign w:val="center"/>
            <w:hideMark/>
          </w:tcPr>
          <w:p w14:paraId="610B3E39"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075EF45E"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Glyoxylase</w:t>
            </w:r>
            <w:proofErr w:type="spellEnd"/>
            <w:r w:rsidRPr="00877650">
              <w:rPr>
                <w:rFonts w:ascii="Calibri" w:hAnsi="Calibri" w:cs="Calibri"/>
                <w:color w:val="000000"/>
              </w:rPr>
              <w:t>, beta-lactamase superfamily II</w:t>
            </w:r>
          </w:p>
        </w:tc>
        <w:tc>
          <w:tcPr>
            <w:tcW w:w="552" w:type="pct"/>
            <w:tcBorders>
              <w:top w:val="nil"/>
              <w:left w:val="nil"/>
              <w:bottom w:val="nil"/>
              <w:right w:val="nil"/>
            </w:tcBorders>
            <w:shd w:val="clear" w:color="auto" w:fill="auto"/>
            <w:noWrap/>
            <w:vAlign w:val="center"/>
            <w:hideMark/>
          </w:tcPr>
          <w:p w14:paraId="60D15D96"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w:t>
            </w:r>
            <w:proofErr w:type="spellStart"/>
            <w:r w:rsidRPr="00877650">
              <w:rPr>
                <w:rFonts w:ascii="Calibri" w:hAnsi="Calibri" w:cs="Calibri"/>
                <w:color w:val="000000"/>
              </w:rPr>
              <w:t>homogentisate</w:t>
            </w:r>
            <w:proofErr w:type="spellEnd"/>
            <w:r w:rsidRPr="00877650">
              <w:rPr>
                <w:rFonts w:ascii="Calibri" w:hAnsi="Calibri" w:cs="Calibri"/>
                <w:color w:val="000000"/>
              </w:rPr>
              <w:t xml:space="preserve"> 1,2-dioxygenase</w:t>
            </w:r>
          </w:p>
        </w:tc>
        <w:tc>
          <w:tcPr>
            <w:tcW w:w="448" w:type="pct"/>
            <w:tcBorders>
              <w:top w:val="nil"/>
              <w:left w:val="nil"/>
              <w:bottom w:val="nil"/>
              <w:right w:val="nil"/>
            </w:tcBorders>
            <w:shd w:val="clear" w:color="auto" w:fill="auto"/>
            <w:noWrap/>
            <w:vAlign w:val="center"/>
            <w:hideMark/>
          </w:tcPr>
          <w:p w14:paraId="5B004079" w14:textId="77777777" w:rsidR="00257248" w:rsidRPr="00877650" w:rsidRDefault="00257248" w:rsidP="00323FD6">
            <w:pPr>
              <w:rPr>
                <w:rFonts w:ascii="Calibri" w:hAnsi="Calibri" w:cs="Calibri"/>
                <w:color w:val="000000"/>
              </w:rPr>
            </w:pPr>
            <w:r w:rsidRPr="00877650">
              <w:rPr>
                <w:rFonts w:ascii="Calibri" w:hAnsi="Calibri" w:cs="Calibri"/>
                <w:color w:val="000000"/>
              </w:rPr>
              <w:t>1260</w:t>
            </w:r>
          </w:p>
        </w:tc>
        <w:tc>
          <w:tcPr>
            <w:tcW w:w="309" w:type="pct"/>
            <w:tcBorders>
              <w:top w:val="nil"/>
              <w:left w:val="nil"/>
              <w:bottom w:val="nil"/>
              <w:right w:val="nil"/>
            </w:tcBorders>
            <w:shd w:val="clear" w:color="auto" w:fill="auto"/>
            <w:noWrap/>
            <w:vAlign w:val="center"/>
            <w:hideMark/>
          </w:tcPr>
          <w:p w14:paraId="33B63AE6" w14:textId="77777777" w:rsidR="00257248" w:rsidRPr="00877650" w:rsidRDefault="00257248" w:rsidP="00323FD6">
            <w:pPr>
              <w:rPr>
                <w:rFonts w:ascii="Calibri" w:hAnsi="Calibri" w:cs="Calibri"/>
                <w:color w:val="000000"/>
              </w:rPr>
            </w:pPr>
            <w:r w:rsidRPr="00877650">
              <w:rPr>
                <w:rFonts w:ascii="Calibri" w:hAnsi="Calibri" w:cs="Calibri"/>
                <w:color w:val="000000"/>
              </w:rPr>
              <w:t>76</w:t>
            </w:r>
          </w:p>
        </w:tc>
        <w:tc>
          <w:tcPr>
            <w:tcW w:w="240" w:type="pct"/>
            <w:tcBorders>
              <w:top w:val="nil"/>
              <w:left w:val="nil"/>
              <w:bottom w:val="nil"/>
              <w:right w:val="nil"/>
            </w:tcBorders>
            <w:shd w:val="clear" w:color="auto" w:fill="auto"/>
            <w:noWrap/>
            <w:vAlign w:val="center"/>
            <w:hideMark/>
          </w:tcPr>
          <w:p w14:paraId="70FE5455" w14:textId="77777777" w:rsidR="00257248" w:rsidRPr="00877650" w:rsidRDefault="00257248" w:rsidP="00323FD6">
            <w:pPr>
              <w:rPr>
                <w:rFonts w:ascii="Calibri" w:hAnsi="Calibri" w:cs="Calibri"/>
                <w:color w:val="000000"/>
              </w:rPr>
            </w:pPr>
            <w:r w:rsidRPr="00877650">
              <w:rPr>
                <w:rFonts w:ascii="Calibri" w:hAnsi="Calibri" w:cs="Calibri"/>
                <w:color w:val="000000"/>
              </w:rPr>
              <w:t>17.4</w:t>
            </w:r>
          </w:p>
        </w:tc>
        <w:tc>
          <w:tcPr>
            <w:tcW w:w="1035" w:type="pct"/>
            <w:gridSpan w:val="3"/>
            <w:vMerge/>
            <w:tcBorders>
              <w:left w:val="nil"/>
              <w:bottom w:val="nil"/>
              <w:right w:val="single" w:sz="4" w:space="0" w:color="auto"/>
            </w:tcBorders>
            <w:shd w:val="clear" w:color="auto" w:fill="auto"/>
            <w:noWrap/>
            <w:vAlign w:val="center"/>
            <w:hideMark/>
          </w:tcPr>
          <w:p w14:paraId="67F6255B" w14:textId="77777777" w:rsidR="00257248" w:rsidRPr="00877650" w:rsidRDefault="00257248" w:rsidP="00323FD6">
            <w:pPr>
              <w:rPr>
                <w:rFonts w:ascii="Calibri" w:hAnsi="Calibri" w:cs="Calibri"/>
                <w:color w:val="000000"/>
              </w:rPr>
            </w:pPr>
          </w:p>
        </w:tc>
      </w:tr>
      <w:tr w:rsidR="00257248" w:rsidRPr="00877650" w14:paraId="7666CC00" w14:textId="77777777" w:rsidTr="00323FD6">
        <w:trPr>
          <w:trHeight w:val="290"/>
        </w:trPr>
        <w:tc>
          <w:tcPr>
            <w:tcW w:w="1105" w:type="pct"/>
            <w:gridSpan w:val="2"/>
            <w:vMerge/>
            <w:tcBorders>
              <w:left w:val="single" w:sz="4" w:space="0" w:color="auto"/>
              <w:bottom w:val="nil"/>
              <w:right w:val="nil"/>
            </w:tcBorders>
            <w:shd w:val="clear" w:color="auto" w:fill="auto"/>
            <w:noWrap/>
            <w:vAlign w:val="center"/>
            <w:hideMark/>
          </w:tcPr>
          <w:p w14:paraId="5A22FBB0" w14:textId="77777777" w:rsidR="00257248" w:rsidRPr="00877650" w:rsidRDefault="00257248" w:rsidP="00323FD6">
            <w:pPr>
              <w:rPr>
                <w:rFonts w:ascii="Calibri" w:hAnsi="Calibri" w:cs="Calibri"/>
                <w:color w:val="F2F2F2"/>
              </w:rPr>
            </w:pPr>
          </w:p>
        </w:tc>
        <w:tc>
          <w:tcPr>
            <w:tcW w:w="516" w:type="pct"/>
            <w:tcBorders>
              <w:top w:val="nil"/>
              <w:left w:val="nil"/>
              <w:bottom w:val="nil"/>
              <w:right w:val="nil"/>
            </w:tcBorders>
            <w:shd w:val="clear" w:color="auto" w:fill="auto"/>
            <w:noWrap/>
            <w:vAlign w:val="center"/>
            <w:hideMark/>
          </w:tcPr>
          <w:p w14:paraId="0B1E67E2" w14:textId="77777777" w:rsidR="00257248" w:rsidRPr="00877650" w:rsidRDefault="00257248" w:rsidP="00323FD6">
            <w:pPr>
              <w:rPr>
                <w:rFonts w:ascii="Calibri" w:hAnsi="Calibri" w:cs="Calibri"/>
                <w:color w:val="000000"/>
              </w:rPr>
            </w:pPr>
            <w:r w:rsidRPr="00877650">
              <w:rPr>
                <w:rFonts w:ascii="Calibri" w:hAnsi="Calibri" w:cs="Calibri"/>
                <w:color w:val="000000"/>
              </w:rPr>
              <w:t>Ga0126028_156</w:t>
            </w:r>
          </w:p>
        </w:tc>
        <w:tc>
          <w:tcPr>
            <w:tcW w:w="311" w:type="pct"/>
            <w:tcBorders>
              <w:top w:val="nil"/>
              <w:left w:val="nil"/>
              <w:bottom w:val="nil"/>
              <w:right w:val="nil"/>
            </w:tcBorders>
            <w:shd w:val="clear" w:color="auto" w:fill="auto"/>
            <w:noWrap/>
            <w:vAlign w:val="center"/>
            <w:hideMark/>
          </w:tcPr>
          <w:p w14:paraId="2883ED85"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683BC56E" w14:textId="77777777" w:rsidR="00257248" w:rsidRPr="00877650" w:rsidRDefault="00257248" w:rsidP="00323FD6">
            <w:pPr>
              <w:rPr>
                <w:rFonts w:ascii="Calibri" w:hAnsi="Calibri" w:cs="Calibri"/>
                <w:color w:val="000000"/>
              </w:rPr>
            </w:pPr>
            <w:proofErr w:type="gramStart"/>
            <w:r w:rsidRPr="00877650">
              <w:rPr>
                <w:rFonts w:ascii="Calibri" w:hAnsi="Calibri" w:cs="Calibri"/>
                <w:color w:val="000000"/>
              </w:rPr>
              <w:t>tRNA(</w:t>
            </w:r>
            <w:proofErr w:type="spellStart"/>
            <w:proofErr w:type="gramEnd"/>
            <w:r w:rsidRPr="00877650">
              <w:rPr>
                <w:rFonts w:ascii="Calibri" w:hAnsi="Calibri" w:cs="Calibri"/>
                <w:color w:val="000000"/>
              </w:rPr>
              <w:t>Arg</w:t>
            </w:r>
            <w:proofErr w:type="spellEnd"/>
            <w:r w:rsidRPr="00877650">
              <w:rPr>
                <w:rFonts w:ascii="Calibri" w:hAnsi="Calibri" w:cs="Calibri"/>
                <w:color w:val="000000"/>
              </w:rPr>
              <w:t xml:space="preserve">) A34 adenosine deaminase </w:t>
            </w:r>
            <w:proofErr w:type="spellStart"/>
            <w:r w:rsidRPr="00877650">
              <w:rPr>
                <w:rFonts w:ascii="Calibri" w:hAnsi="Calibri" w:cs="Calibri"/>
                <w:color w:val="000000"/>
              </w:rPr>
              <w:t>TadA</w:t>
            </w:r>
            <w:proofErr w:type="spellEnd"/>
          </w:p>
        </w:tc>
        <w:tc>
          <w:tcPr>
            <w:tcW w:w="552" w:type="pct"/>
            <w:tcBorders>
              <w:top w:val="nil"/>
              <w:left w:val="nil"/>
              <w:bottom w:val="nil"/>
              <w:right w:val="nil"/>
            </w:tcBorders>
            <w:shd w:val="clear" w:color="auto" w:fill="auto"/>
            <w:noWrap/>
            <w:vAlign w:val="center"/>
            <w:hideMark/>
          </w:tcPr>
          <w:p w14:paraId="5811FD0D" w14:textId="77777777" w:rsidR="00257248" w:rsidRPr="00877650" w:rsidRDefault="00257248" w:rsidP="00323FD6">
            <w:pPr>
              <w:rPr>
                <w:rFonts w:ascii="Calibri" w:hAnsi="Calibri" w:cs="Calibri"/>
                <w:color w:val="000000"/>
              </w:rPr>
            </w:pPr>
            <w:r w:rsidRPr="00877650">
              <w:rPr>
                <w:rFonts w:ascii="Calibri" w:hAnsi="Calibri" w:cs="Calibri"/>
                <w:color w:val="000000"/>
              </w:rPr>
              <w:t>acetyl esterase</w:t>
            </w:r>
          </w:p>
        </w:tc>
        <w:tc>
          <w:tcPr>
            <w:tcW w:w="448" w:type="pct"/>
            <w:tcBorders>
              <w:top w:val="nil"/>
              <w:left w:val="nil"/>
              <w:bottom w:val="nil"/>
              <w:right w:val="nil"/>
            </w:tcBorders>
            <w:shd w:val="clear" w:color="auto" w:fill="auto"/>
            <w:noWrap/>
            <w:vAlign w:val="center"/>
            <w:hideMark/>
          </w:tcPr>
          <w:p w14:paraId="4525D1BC" w14:textId="77777777" w:rsidR="00257248" w:rsidRPr="00877650" w:rsidRDefault="00257248" w:rsidP="00323FD6">
            <w:pPr>
              <w:rPr>
                <w:rFonts w:ascii="Calibri" w:hAnsi="Calibri" w:cs="Calibri"/>
                <w:color w:val="000000"/>
              </w:rPr>
            </w:pPr>
            <w:r w:rsidRPr="00877650">
              <w:rPr>
                <w:rFonts w:ascii="Calibri" w:hAnsi="Calibri" w:cs="Calibri"/>
                <w:color w:val="000000"/>
              </w:rPr>
              <w:t>14092</w:t>
            </w:r>
          </w:p>
        </w:tc>
        <w:tc>
          <w:tcPr>
            <w:tcW w:w="309" w:type="pct"/>
            <w:tcBorders>
              <w:top w:val="nil"/>
              <w:left w:val="nil"/>
              <w:bottom w:val="nil"/>
              <w:right w:val="nil"/>
            </w:tcBorders>
            <w:shd w:val="clear" w:color="auto" w:fill="auto"/>
            <w:noWrap/>
            <w:vAlign w:val="center"/>
            <w:hideMark/>
          </w:tcPr>
          <w:p w14:paraId="56EBF65B" w14:textId="77777777" w:rsidR="00257248" w:rsidRPr="00877650" w:rsidRDefault="00257248" w:rsidP="00323FD6">
            <w:pPr>
              <w:rPr>
                <w:rFonts w:ascii="Calibri" w:hAnsi="Calibri" w:cs="Calibri"/>
                <w:color w:val="000000"/>
              </w:rPr>
            </w:pPr>
            <w:r w:rsidRPr="00877650">
              <w:rPr>
                <w:rFonts w:ascii="Calibri" w:hAnsi="Calibri" w:cs="Calibri"/>
                <w:color w:val="000000"/>
              </w:rPr>
              <w:t>1851</w:t>
            </w:r>
          </w:p>
        </w:tc>
        <w:tc>
          <w:tcPr>
            <w:tcW w:w="240" w:type="pct"/>
            <w:tcBorders>
              <w:top w:val="nil"/>
              <w:left w:val="nil"/>
              <w:bottom w:val="nil"/>
              <w:right w:val="nil"/>
            </w:tcBorders>
            <w:shd w:val="clear" w:color="auto" w:fill="auto"/>
            <w:noWrap/>
            <w:vAlign w:val="center"/>
            <w:hideMark/>
          </w:tcPr>
          <w:p w14:paraId="3556F1D4" w14:textId="77777777" w:rsidR="00257248" w:rsidRPr="00877650" w:rsidRDefault="00257248" w:rsidP="00323FD6">
            <w:pPr>
              <w:rPr>
                <w:rFonts w:ascii="Calibri" w:hAnsi="Calibri" w:cs="Calibri"/>
                <w:color w:val="000000"/>
              </w:rPr>
            </w:pPr>
            <w:r w:rsidRPr="00877650">
              <w:rPr>
                <w:rFonts w:ascii="Calibri" w:hAnsi="Calibri" w:cs="Calibri"/>
                <w:color w:val="000000"/>
              </w:rPr>
              <w:t>17</w:t>
            </w:r>
          </w:p>
        </w:tc>
        <w:tc>
          <w:tcPr>
            <w:tcW w:w="1035" w:type="pct"/>
            <w:gridSpan w:val="3"/>
            <w:tcBorders>
              <w:top w:val="nil"/>
              <w:left w:val="nil"/>
              <w:bottom w:val="nil"/>
              <w:right w:val="single" w:sz="4" w:space="0" w:color="auto"/>
            </w:tcBorders>
            <w:shd w:val="clear" w:color="auto" w:fill="auto"/>
            <w:noWrap/>
            <w:vAlign w:val="center"/>
            <w:hideMark/>
          </w:tcPr>
          <w:p w14:paraId="638813A7" w14:textId="77777777" w:rsidR="00257248" w:rsidRPr="00877650" w:rsidRDefault="00257248" w:rsidP="00323FD6">
            <w:pPr>
              <w:rPr>
                <w:rFonts w:ascii="Calibri" w:hAnsi="Calibri" w:cs="Calibri"/>
                <w:color w:val="000000"/>
              </w:rPr>
            </w:pPr>
          </w:p>
        </w:tc>
      </w:tr>
      <w:tr w:rsidR="00257248" w:rsidRPr="00877650" w14:paraId="401E2D1F" w14:textId="77777777" w:rsidTr="00323FD6">
        <w:trPr>
          <w:trHeight w:val="290"/>
        </w:trPr>
        <w:tc>
          <w:tcPr>
            <w:tcW w:w="1105" w:type="pct"/>
            <w:gridSpan w:val="2"/>
            <w:tcBorders>
              <w:top w:val="nil"/>
              <w:left w:val="single" w:sz="4" w:space="0" w:color="auto"/>
              <w:bottom w:val="nil"/>
              <w:right w:val="nil"/>
            </w:tcBorders>
            <w:shd w:val="clear" w:color="auto" w:fill="auto"/>
            <w:noWrap/>
            <w:vAlign w:val="center"/>
            <w:hideMark/>
          </w:tcPr>
          <w:p w14:paraId="60AD1023" w14:textId="77777777" w:rsidR="00257248" w:rsidRPr="00877650" w:rsidRDefault="00257248" w:rsidP="00323FD6">
            <w:pPr>
              <w:rPr>
                <w:rFonts w:ascii="Calibri" w:hAnsi="Calibri" w:cs="Calibri"/>
                <w:color w:val="F2F2F2"/>
              </w:rPr>
            </w:pPr>
          </w:p>
        </w:tc>
        <w:tc>
          <w:tcPr>
            <w:tcW w:w="516" w:type="pct"/>
            <w:tcBorders>
              <w:top w:val="nil"/>
              <w:left w:val="nil"/>
              <w:bottom w:val="nil"/>
              <w:right w:val="nil"/>
            </w:tcBorders>
            <w:shd w:val="clear" w:color="auto" w:fill="auto"/>
            <w:noWrap/>
            <w:vAlign w:val="center"/>
            <w:hideMark/>
          </w:tcPr>
          <w:p w14:paraId="6A50FD88" w14:textId="77777777" w:rsidR="00257248" w:rsidRPr="00877650" w:rsidRDefault="00257248" w:rsidP="00323FD6">
            <w:pPr>
              <w:rPr>
                <w:rFonts w:ascii="Calibri" w:hAnsi="Calibri" w:cs="Calibri"/>
                <w:color w:val="000000"/>
              </w:rPr>
            </w:pPr>
            <w:r w:rsidRPr="00877650">
              <w:rPr>
                <w:rFonts w:ascii="Calibri" w:hAnsi="Calibri" w:cs="Calibri"/>
                <w:color w:val="000000"/>
              </w:rPr>
              <w:t>Ga0126028_132</w:t>
            </w:r>
          </w:p>
        </w:tc>
        <w:tc>
          <w:tcPr>
            <w:tcW w:w="311" w:type="pct"/>
            <w:tcBorders>
              <w:top w:val="nil"/>
              <w:left w:val="nil"/>
              <w:bottom w:val="nil"/>
              <w:right w:val="nil"/>
            </w:tcBorders>
            <w:shd w:val="clear" w:color="auto" w:fill="auto"/>
            <w:noWrap/>
            <w:vAlign w:val="center"/>
            <w:hideMark/>
          </w:tcPr>
          <w:p w14:paraId="401B3D0C"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7001CBC0" w14:textId="77777777" w:rsidR="00257248" w:rsidRPr="00877650" w:rsidRDefault="00257248" w:rsidP="00323FD6">
            <w:pPr>
              <w:rPr>
                <w:rFonts w:ascii="Calibri" w:hAnsi="Calibri" w:cs="Calibri"/>
                <w:color w:val="000000"/>
              </w:rPr>
            </w:pPr>
            <w:r w:rsidRPr="00877650">
              <w:rPr>
                <w:rFonts w:ascii="Calibri" w:hAnsi="Calibri" w:cs="Calibri"/>
                <w:color w:val="000000"/>
              </w:rPr>
              <w:t>HTH-like domain-containing protein</w:t>
            </w:r>
          </w:p>
        </w:tc>
        <w:tc>
          <w:tcPr>
            <w:tcW w:w="552" w:type="pct"/>
            <w:tcBorders>
              <w:top w:val="nil"/>
              <w:left w:val="nil"/>
              <w:bottom w:val="nil"/>
              <w:right w:val="nil"/>
            </w:tcBorders>
            <w:shd w:val="clear" w:color="auto" w:fill="auto"/>
            <w:noWrap/>
            <w:vAlign w:val="center"/>
            <w:hideMark/>
          </w:tcPr>
          <w:p w14:paraId="0FF26F27" w14:textId="77777777" w:rsidR="00257248" w:rsidRPr="00877650" w:rsidRDefault="00257248" w:rsidP="00323FD6">
            <w:pPr>
              <w:rPr>
                <w:rFonts w:ascii="Calibri" w:hAnsi="Calibri" w:cs="Calibri"/>
                <w:color w:val="000000"/>
              </w:rPr>
            </w:pPr>
            <w:r w:rsidRPr="00877650">
              <w:rPr>
                <w:rFonts w:ascii="Calibri" w:hAnsi="Calibri" w:cs="Calibri"/>
                <w:color w:val="000000"/>
              </w:rPr>
              <w:t>Protein of unknown function (DUF3307)</w:t>
            </w:r>
          </w:p>
        </w:tc>
        <w:tc>
          <w:tcPr>
            <w:tcW w:w="448" w:type="pct"/>
            <w:tcBorders>
              <w:top w:val="nil"/>
              <w:left w:val="nil"/>
              <w:bottom w:val="nil"/>
              <w:right w:val="nil"/>
            </w:tcBorders>
            <w:shd w:val="clear" w:color="auto" w:fill="auto"/>
            <w:noWrap/>
            <w:vAlign w:val="center"/>
            <w:hideMark/>
          </w:tcPr>
          <w:p w14:paraId="629EDBF2" w14:textId="77777777" w:rsidR="00257248" w:rsidRPr="00877650" w:rsidRDefault="00257248" w:rsidP="00323FD6">
            <w:pPr>
              <w:rPr>
                <w:rFonts w:ascii="Calibri" w:hAnsi="Calibri" w:cs="Calibri"/>
                <w:color w:val="000000"/>
              </w:rPr>
            </w:pPr>
            <w:r w:rsidRPr="00877650">
              <w:rPr>
                <w:rFonts w:ascii="Calibri" w:hAnsi="Calibri" w:cs="Calibri"/>
                <w:color w:val="000000"/>
              </w:rPr>
              <w:t>3604</w:t>
            </w:r>
          </w:p>
        </w:tc>
        <w:tc>
          <w:tcPr>
            <w:tcW w:w="309" w:type="pct"/>
            <w:tcBorders>
              <w:top w:val="nil"/>
              <w:left w:val="nil"/>
              <w:bottom w:val="nil"/>
              <w:right w:val="nil"/>
            </w:tcBorders>
            <w:shd w:val="clear" w:color="auto" w:fill="auto"/>
            <w:noWrap/>
            <w:vAlign w:val="center"/>
            <w:hideMark/>
          </w:tcPr>
          <w:p w14:paraId="0368B646" w14:textId="77777777" w:rsidR="00257248" w:rsidRPr="00877650" w:rsidRDefault="00257248" w:rsidP="00323FD6">
            <w:pPr>
              <w:rPr>
                <w:rFonts w:ascii="Calibri" w:hAnsi="Calibri" w:cs="Calibri"/>
                <w:color w:val="000000"/>
              </w:rPr>
            </w:pPr>
            <w:r w:rsidRPr="00877650">
              <w:rPr>
                <w:rFonts w:ascii="Calibri" w:hAnsi="Calibri" w:cs="Calibri"/>
                <w:color w:val="000000"/>
              </w:rPr>
              <w:t>2119</w:t>
            </w:r>
          </w:p>
        </w:tc>
        <w:tc>
          <w:tcPr>
            <w:tcW w:w="240" w:type="pct"/>
            <w:tcBorders>
              <w:top w:val="nil"/>
              <w:left w:val="nil"/>
              <w:bottom w:val="nil"/>
              <w:right w:val="nil"/>
            </w:tcBorders>
            <w:shd w:val="clear" w:color="auto" w:fill="auto"/>
            <w:noWrap/>
            <w:vAlign w:val="center"/>
            <w:hideMark/>
          </w:tcPr>
          <w:p w14:paraId="6325495C" w14:textId="77777777" w:rsidR="00257248" w:rsidRPr="00877650" w:rsidRDefault="00257248" w:rsidP="00323FD6">
            <w:pPr>
              <w:rPr>
                <w:rFonts w:ascii="Calibri" w:hAnsi="Calibri" w:cs="Calibri"/>
                <w:color w:val="000000"/>
              </w:rPr>
            </w:pPr>
            <w:r w:rsidRPr="00877650">
              <w:rPr>
                <w:rFonts w:ascii="Calibri" w:hAnsi="Calibri" w:cs="Calibri"/>
                <w:color w:val="000000"/>
              </w:rPr>
              <w:t>16.4</w:t>
            </w:r>
          </w:p>
        </w:tc>
        <w:tc>
          <w:tcPr>
            <w:tcW w:w="1035" w:type="pct"/>
            <w:gridSpan w:val="3"/>
            <w:tcBorders>
              <w:top w:val="nil"/>
              <w:left w:val="nil"/>
              <w:bottom w:val="nil"/>
              <w:right w:val="single" w:sz="4" w:space="0" w:color="auto"/>
            </w:tcBorders>
            <w:shd w:val="clear" w:color="auto" w:fill="auto"/>
            <w:noWrap/>
            <w:vAlign w:val="center"/>
            <w:hideMark/>
          </w:tcPr>
          <w:p w14:paraId="287C3586" w14:textId="77777777" w:rsidR="00257248" w:rsidRPr="00877650" w:rsidRDefault="00257248" w:rsidP="00323FD6">
            <w:pPr>
              <w:rPr>
                <w:rFonts w:ascii="Calibri" w:hAnsi="Calibri" w:cs="Calibri"/>
                <w:color w:val="000000"/>
              </w:rPr>
            </w:pPr>
          </w:p>
        </w:tc>
      </w:tr>
      <w:tr w:rsidR="00257248" w:rsidRPr="00877650" w14:paraId="0FD52290" w14:textId="77777777" w:rsidTr="00323FD6">
        <w:trPr>
          <w:trHeight w:val="290"/>
        </w:trPr>
        <w:tc>
          <w:tcPr>
            <w:tcW w:w="516" w:type="pct"/>
            <w:tcBorders>
              <w:top w:val="single" w:sz="4" w:space="0" w:color="auto"/>
              <w:left w:val="single" w:sz="4" w:space="0" w:color="auto"/>
              <w:bottom w:val="single" w:sz="4" w:space="0" w:color="auto"/>
              <w:right w:val="nil"/>
            </w:tcBorders>
            <w:shd w:val="clear" w:color="auto" w:fill="auto"/>
            <w:noWrap/>
            <w:vAlign w:val="center"/>
            <w:hideMark/>
          </w:tcPr>
          <w:p w14:paraId="60B5D720" w14:textId="77777777" w:rsidR="00257248" w:rsidRPr="00877650" w:rsidRDefault="00257248" w:rsidP="00323FD6">
            <w:pPr>
              <w:rPr>
                <w:rFonts w:ascii="Calibri" w:hAnsi="Calibri" w:cs="Calibri"/>
                <w:color w:val="000000"/>
              </w:rPr>
            </w:pPr>
            <w:r w:rsidRPr="00877650">
              <w:rPr>
                <w:rFonts w:ascii="Calibri" w:hAnsi="Calibri" w:cs="Calibri"/>
                <w:color w:val="000000"/>
              </w:rPr>
              <w:t>2574179718</w:t>
            </w:r>
          </w:p>
        </w:tc>
        <w:tc>
          <w:tcPr>
            <w:tcW w:w="589" w:type="pct"/>
            <w:tcBorders>
              <w:top w:val="single" w:sz="4" w:space="0" w:color="auto"/>
              <w:left w:val="nil"/>
              <w:bottom w:val="single" w:sz="4" w:space="0" w:color="auto"/>
              <w:right w:val="nil"/>
            </w:tcBorders>
            <w:shd w:val="clear" w:color="auto" w:fill="auto"/>
            <w:noWrap/>
            <w:vAlign w:val="center"/>
            <w:hideMark/>
          </w:tcPr>
          <w:p w14:paraId="3B0AD0CD"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Phaeobacter</w:t>
            </w:r>
            <w:proofErr w:type="spellEnd"/>
            <w:r w:rsidRPr="00877650">
              <w:rPr>
                <w:rFonts w:ascii="Calibri" w:hAnsi="Calibri" w:cs="Calibri"/>
                <w:color w:val="000000"/>
              </w:rPr>
              <w:t xml:space="preserve"> </w:t>
            </w:r>
            <w:proofErr w:type="spellStart"/>
            <w:r w:rsidRPr="00877650">
              <w:rPr>
                <w:rFonts w:ascii="Calibri" w:hAnsi="Calibri" w:cs="Calibri"/>
                <w:color w:val="000000"/>
              </w:rPr>
              <w:t>inhibens</w:t>
            </w:r>
            <w:proofErr w:type="spellEnd"/>
            <w:r w:rsidRPr="00877650">
              <w:rPr>
                <w:rFonts w:ascii="Calibri" w:hAnsi="Calibri" w:cs="Calibri"/>
                <w:color w:val="000000"/>
              </w:rPr>
              <w:t xml:space="preserve"> T5, DSM 16374</w:t>
            </w:r>
          </w:p>
        </w:tc>
        <w:tc>
          <w:tcPr>
            <w:tcW w:w="516" w:type="pct"/>
            <w:tcBorders>
              <w:top w:val="single" w:sz="4" w:space="0" w:color="auto"/>
              <w:left w:val="nil"/>
              <w:bottom w:val="single" w:sz="4" w:space="0" w:color="auto"/>
              <w:right w:val="nil"/>
            </w:tcBorders>
            <w:shd w:val="clear" w:color="auto" w:fill="auto"/>
            <w:noWrap/>
            <w:vAlign w:val="center"/>
            <w:hideMark/>
          </w:tcPr>
          <w:p w14:paraId="28F90AB6" w14:textId="77777777" w:rsidR="00257248" w:rsidRPr="00877650" w:rsidRDefault="00257248" w:rsidP="00323FD6">
            <w:pPr>
              <w:rPr>
                <w:rFonts w:ascii="Calibri" w:hAnsi="Calibri" w:cs="Calibri"/>
                <w:color w:val="000000"/>
              </w:rPr>
            </w:pPr>
            <w:r w:rsidRPr="00877650">
              <w:rPr>
                <w:rFonts w:ascii="Calibri" w:hAnsi="Calibri" w:cs="Calibri"/>
                <w:color w:val="000000"/>
              </w:rPr>
              <w:t>Phain_cP05.1</w:t>
            </w:r>
          </w:p>
        </w:tc>
        <w:tc>
          <w:tcPr>
            <w:tcW w:w="311" w:type="pct"/>
            <w:tcBorders>
              <w:top w:val="single" w:sz="4" w:space="0" w:color="auto"/>
              <w:left w:val="nil"/>
              <w:bottom w:val="single" w:sz="4" w:space="0" w:color="auto"/>
              <w:right w:val="nil"/>
            </w:tcBorders>
            <w:shd w:val="clear" w:color="auto" w:fill="auto"/>
            <w:noWrap/>
            <w:vAlign w:val="center"/>
            <w:hideMark/>
          </w:tcPr>
          <w:p w14:paraId="751CB178"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single" w:sz="4" w:space="0" w:color="auto"/>
              <w:left w:val="nil"/>
              <w:bottom w:val="single" w:sz="4" w:space="0" w:color="auto"/>
              <w:right w:val="nil"/>
            </w:tcBorders>
            <w:shd w:val="clear" w:color="auto" w:fill="auto"/>
            <w:noWrap/>
            <w:vAlign w:val="center"/>
            <w:hideMark/>
          </w:tcPr>
          <w:p w14:paraId="68D14220"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regulatory protein, </w:t>
            </w:r>
            <w:proofErr w:type="spellStart"/>
            <w:r w:rsidRPr="00877650">
              <w:rPr>
                <w:rFonts w:ascii="Calibri" w:hAnsi="Calibri" w:cs="Calibri"/>
                <w:color w:val="000000"/>
              </w:rPr>
              <w:t>luxR</w:t>
            </w:r>
            <w:proofErr w:type="spellEnd"/>
            <w:r w:rsidRPr="00877650">
              <w:rPr>
                <w:rFonts w:ascii="Calibri" w:hAnsi="Calibri" w:cs="Calibri"/>
                <w:color w:val="000000"/>
              </w:rPr>
              <w:t xml:space="preserve"> family</w:t>
            </w:r>
          </w:p>
        </w:tc>
        <w:tc>
          <w:tcPr>
            <w:tcW w:w="552" w:type="pct"/>
            <w:tcBorders>
              <w:top w:val="single" w:sz="4" w:space="0" w:color="auto"/>
              <w:left w:val="nil"/>
              <w:bottom w:val="single" w:sz="4" w:space="0" w:color="auto"/>
              <w:right w:val="nil"/>
            </w:tcBorders>
            <w:shd w:val="clear" w:color="auto" w:fill="auto"/>
            <w:noWrap/>
            <w:vAlign w:val="center"/>
            <w:hideMark/>
          </w:tcPr>
          <w:p w14:paraId="3EE2B771" w14:textId="77777777" w:rsidR="00257248" w:rsidRPr="00877650" w:rsidRDefault="00257248" w:rsidP="00323FD6">
            <w:pPr>
              <w:rPr>
                <w:rFonts w:ascii="Calibri" w:hAnsi="Calibri" w:cs="Calibri"/>
                <w:color w:val="000000"/>
              </w:rPr>
            </w:pPr>
            <w:r w:rsidRPr="00877650">
              <w:rPr>
                <w:rFonts w:ascii="Calibri" w:hAnsi="Calibri" w:cs="Calibri"/>
                <w:color w:val="000000"/>
              </w:rPr>
              <w:t>N-acyl-L-homoserine lactone synthetase</w:t>
            </w:r>
          </w:p>
        </w:tc>
        <w:tc>
          <w:tcPr>
            <w:tcW w:w="448" w:type="pct"/>
            <w:tcBorders>
              <w:top w:val="single" w:sz="4" w:space="0" w:color="auto"/>
              <w:left w:val="nil"/>
              <w:bottom w:val="single" w:sz="4" w:space="0" w:color="auto"/>
              <w:right w:val="nil"/>
            </w:tcBorders>
            <w:shd w:val="clear" w:color="auto" w:fill="auto"/>
            <w:noWrap/>
            <w:vAlign w:val="center"/>
            <w:hideMark/>
          </w:tcPr>
          <w:p w14:paraId="1AA44085" w14:textId="77777777" w:rsidR="00257248" w:rsidRPr="00877650" w:rsidRDefault="00257248" w:rsidP="00323FD6">
            <w:pPr>
              <w:rPr>
                <w:rFonts w:ascii="Calibri" w:hAnsi="Calibri" w:cs="Calibri"/>
                <w:color w:val="000000"/>
              </w:rPr>
            </w:pPr>
            <w:r w:rsidRPr="00877650">
              <w:rPr>
                <w:rFonts w:ascii="Calibri" w:hAnsi="Calibri" w:cs="Calibri"/>
                <w:color w:val="000000"/>
              </w:rPr>
              <w:t>16</w:t>
            </w:r>
          </w:p>
        </w:tc>
        <w:tc>
          <w:tcPr>
            <w:tcW w:w="309" w:type="pct"/>
            <w:tcBorders>
              <w:top w:val="single" w:sz="4" w:space="0" w:color="auto"/>
              <w:left w:val="nil"/>
              <w:bottom w:val="single" w:sz="4" w:space="0" w:color="auto"/>
              <w:right w:val="nil"/>
            </w:tcBorders>
            <w:shd w:val="clear" w:color="auto" w:fill="auto"/>
            <w:noWrap/>
            <w:vAlign w:val="center"/>
            <w:hideMark/>
          </w:tcPr>
          <w:p w14:paraId="2A4BF952" w14:textId="77777777" w:rsidR="00257248" w:rsidRPr="00877650" w:rsidRDefault="00257248" w:rsidP="00323FD6">
            <w:pPr>
              <w:rPr>
                <w:rFonts w:ascii="Calibri" w:hAnsi="Calibri" w:cs="Calibri"/>
                <w:color w:val="000000"/>
              </w:rPr>
            </w:pPr>
            <w:r w:rsidRPr="00877650">
              <w:rPr>
                <w:rFonts w:ascii="Calibri" w:hAnsi="Calibri" w:cs="Calibri"/>
                <w:color w:val="000000"/>
              </w:rPr>
              <w:t>45</w:t>
            </w:r>
          </w:p>
        </w:tc>
        <w:tc>
          <w:tcPr>
            <w:tcW w:w="240" w:type="pct"/>
            <w:tcBorders>
              <w:top w:val="single" w:sz="4" w:space="0" w:color="auto"/>
              <w:left w:val="nil"/>
              <w:bottom w:val="single" w:sz="4" w:space="0" w:color="auto"/>
              <w:right w:val="nil"/>
            </w:tcBorders>
            <w:shd w:val="clear" w:color="auto" w:fill="auto"/>
            <w:noWrap/>
            <w:vAlign w:val="center"/>
            <w:hideMark/>
          </w:tcPr>
          <w:p w14:paraId="3FA891CF" w14:textId="77777777" w:rsidR="00257248" w:rsidRPr="00877650" w:rsidRDefault="00257248" w:rsidP="00323FD6">
            <w:pPr>
              <w:rPr>
                <w:rFonts w:ascii="Calibri" w:hAnsi="Calibri" w:cs="Calibri"/>
                <w:color w:val="000000"/>
              </w:rPr>
            </w:pPr>
            <w:r w:rsidRPr="00877650">
              <w:rPr>
                <w:rFonts w:ascii="Calibri" w:hAnsi="Calibri" w:cs="Calibri"/>
                <w:color w:val="000000"/>
              </w:rPr>
              <w:t>38.9</w:t>
            </w:r>
          </w:p>
        </w:tc>
        <w:tc>
          <w:tcPr>
            <w:tcW w:w="311" w:type="pct"/>
            <w:tcBorders>
              <w:top w:val="single" w:sz="4" w:space="0" w:color="auto"/>
              <w:left w:val="nil"/>
              <w:bottom w:val="single" w:sz="4" w:space="0" w:color="auto"/>
              <w:right w:val="nil"/>
            </w:tcBorders>
            <w:shd w:val="clear" w:color="auto" w:fill="auto"/>
            <w:noWrap/>
            <w:vAlign w:val="center"/>
            <w:hideMark/>
          </w:tcPr>
          <w:p w14:paraId="40EE95EE" w14:textId="77777777" w:rsidR="00257248" w:rsidRPr="00877650" w:rsidRDefault="00257248" w:rsidP="00323FD6">
            <w:pPr>
              <w:rPr>
                <w:rFonts w:ascii="Calibri" w:hAnsi="Calibri" w:cs="Calibri"/>
                <w:color w:val="000000"/>
              </w:rPr>
            </w:pPr>
            <w:r w:rsidRPr="00877650">
              <w:rPr>
                <w:rFonts w:ascii="Calibri" w:hAnsi="Calibri" w:cs="Calibri"/>
                <w:color w:val="000000"/>
              </w:rPr>
              <w:t>1</w:t>
            </w:r>
          </w:p>
        </w:tc>
        <w:tc>
          <w:tcPr>
            <w:tcW w:w="311" w:type="pct"/>
            <w:tcBorders>
              <w:top w:val="single" w:sz="4" w:space="0" w:color="auto"/>
              <w:left w:val="nil"/>
              <w:bottom w:val="single" w:sz="4" w:space="0" w:color="auto"/>
              <w:right w:val="nil"/>
            </w:tcBorders>
            <w:shd w:val="clear" w:color="auto" w:fill="auto"/>
            <w:noWrap/>
            <w:vAlign w:val="center"/>
            <w:hideMark/>
          </w:tcPr>
          <w:p w14:paraId="1BFA9C3C" w14:textId="77777777" w:rsidR="00257248" w:rsidRPr="00877650" w:rsidRDefault="00257248" w:rsidP="00323FD6">
            <w:pPr>
              <w:rPr>
                <w:rFonts w:ascii="Calibri" w:hAnsi="Calibri" w:cs="Calibri"/>
                <w:color w:val="000000"/>
              </w:rPr>
            </w:pPr>
            <w:r w:rsidRPr="00877650">
              <w:rPr>
                <w:rFonts w:ascii="Calibri" w:hAnsi="Calibri" w:cs="Calibri"/>
                <w:color w:val="000000"/>
              </w:rPr>
              <w:t>3976</w:t>
            </w:r>
          </w:p>
        </w:tc>
        <w:tc>
          <w:tcPr>
            <w:tcW w:w="413" w:type="pct"/>
            <w:tcBorders>
              <w:top w:val="single" w:sz="4" w:space="0" w:color="auto"/>
              <w:left w:val="nil"/>
              <w:bottom w:val="single" w:sz="4" w:space="0" w:color="auto"/>
              <w:right w:val="single" w:sz="4" w:space="0" w:color="auto"/>
            </w:tcBorders>
            <w:shd w:val="clear" w:color="auto" w:fill="auto"/>
            <w:noWrap/>
            <w:vAlign w:val="center"/>
            <w:hideMark/>
          </w:tcPr>
          <w:p w14:paraId="78487C4A"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0.0252%</w:t>
            </w:r>
          </w:p>
        </w:tc>
      </w:tr>
      <w:tr w:rsidR="00257248" w:rsidRPr="00877650" w14:paraId="7F3F8FB3" w14:textId="77777777" w:rsidTr="00323FD6">
        <w:trPr>
          <w:trHeight w:val="290"/>
        </w:trPr>
        <w:tc>
          <w:tcPr>
            <w:tcW w:w="516" w:type="pct"/>
            <w:tcBorders>
              <w:top w:val="nil"/>
              <w:left w:val="single" w:sz="4" w:space="0" w:color="auto"/>
              <w:bottom w:val="single" w:sz="4" w:space="0" w:color="auto"/>
              <w:right w:val="nil"/>
            </w:tcBorders>
            <w:shd w:val="clear" w:color="auto" w:fill="auto"/>
            <w:noWrap/>
            <w:vAlign w:val="center"/>
            <w:hideMark/>
          </w:tcPr>
          <w:p w14:paraId="7E9BB591" w14:textId="77777777" w:rsidR="00257248" w:rsidRPr="00877650" w:rsidRDefault="00257248" w:rsidP="00323FD6">
            <w:pPr>
              <w:rPr>
                <w:rFonts w:ascii="Calibri" w:hAnsi="Calibri" w:cs="Calibri"/>
                <w:color w:val="000000"/>
              </w:rPr>
            </w:pPr>
            <w:r w:rsidRPr="00877650">
              <w:rPr>
                <w:rFonts w:ascii="Calibri" w:hAnsi="Calibri" w:cs="Calibri"/>
                <w:color w:val="000000"/>
              </w:rPr>
              <w:t>2706794654</w:t>
            </w:r>
          </w:p>
        </w:tc>
        <w:tc>
          <w:tcPr>
            <w:tcW w:w="589" w:type="pct"/>
            <w:tcBorders>
              <w:top w:val="nil"/>
              <w:left w:val="nil"/>
              <w:bottom w:val="single" w:sz="4" w:space="0" w:color="auto"/>
              <w:right w:val="nil"/>
            </w:tcBorders>
            <w:shd w:val="clear" w:color="auto" w:fill="auto"/>
            <w:noWrap/>
            <w:vAlign w:val="center"/>
            <w:hideMark/>
          </w:tcPr>
          <w:p w14:paraId="369171EA"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Phaeobacter</w:t>
            </w:r>
            <w:proofErr w:type="spellEnd"/>
            <w:r w:rsidRPr="00877650">
              <w:rPr>
                <w:rFonts w:ascii="Calibri" w:hAnsi="Calibri" w:cs="Calibri"/>
                <w:color w:val="000000"/>
              </w:rPr>
              <w:t xml:space="preserve"> </w:t>
            </w:r>
            <w:proofErr w:type="spellStart"/>
            <w:r w:rsidRPr="00877650">
              <w:rPr>
                <w:rFonts w:ascii="Calibri" w:hAnsi="Calibri" w:cs="Calibri"/>
                <w:color w:val="000000"/>
              </w:rPr>
              <w:t>italicus</w:t>
            </w:r>
            <w:proofErr w:type="spellEnd"/>
            <w:r w:rsidRPr="00877650">
              <w:rPr>
                <w:rFonts w:ascii="Calibri" w:hAnsi="Calibri" w:cs="Calibri"/>
                <w:color w:val="000000"/>
              </w:rPr>
              <w:t xml:space="preserve"> CECT 7321</w:t>
            </w:r>
          </w:p>
        </w:tc>
        <w:tc>
          <w:tcPr>
            <w:tcW w:w="516" w:type="pct"/>
            <w:tcBorders>
              <w:top w:val="nil"/>
              <w:left w:val="nil"/>
              <w:bottom w:val="single" w:sz="4" w:space="0" w:color="auto"/>
              <w:right w:val="nil"/>
            </w:tcBorders>
            <w:shd w:val="clear" w:color="auto" w:fill="auto"/>
            <w:noWrap/>
            <w:vAlign w:val="center"/>
            <w:hideMark/>
          </w:tcPr>
          <w:p w14:paraId="04CBE9C4" w14:textId="77777777" w:rsidR="00257248" w:rsidRPr="00877650" w:rsidRDefault="00257248" w:rsidP="00323FD6">
            <w:pPr>
              <w:rPr>
                <w:rFonts w:ascii="Calibri" w:hAnsi="Calibri" w:cs="Calibri"/>
                <w:color w:val="000000"/>
              </w:rPr>
            </w:pPr>
            <w:r w:rsidRPr="00877650">
              <w:rPr>
                <w:rFonts w:ascii="Calibri" w:hAnsi="Calibri" w:cs="Calibri"/>
                <w:color w:val="000000"/>
              </w:rPr>
              <w:t>Ga0124145_113</w:t>
            </w:r>
          </w:p>
        </w:tc>
        <w:tc>
          <w:tcPr>
            <w:tcW w:w="311" w:type="pct"/>
            <w:tcBorders>
              <w:top w:val="nil"/>
              <w:left w:val="nil"/>
              <w:bottom w:val="single" w:sz="4" w:space="0" w:color="auto"/>
              <w:right w:val="nil"/>
            </w:tcBorders>
            <w:shd w:val="clear" w:color="auto" w:fill="auto"/>
            <w:noWrap/>
            <w:vAlign w:val="center"/>
            <w:hideMark/>
          </w:tcPr>
          <w:p w14:paraId="1DD3A9D2"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single" w:sz="4" w:space="0" w:color="auto"/>
              <w:right w:val="nil"/>
            </w:tcBorders>
            <w:shd w:val="clear" w:color="auto" w:fill="auto"/>
            <w:noWrap/>
            <w:vAlign w:val="center"/>
            <w:hideMark/>
          </w:tcPr>
          <w:p w14:paraId="5C2697CF"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DNA-binding transcriptional regulator, </w:t>
            </w:r>
            <w:proofErr w:type="spellStart"/>
            <w:r w:rsidRPr="00877650">
              <w:rPr>
                <w:rFonts w:ascii="Calibri" w:hAnsi="Calibri" w:cs="Calibri"/>
                <w:color w:val="000000"/>
              </w:rPr>
              <w:t>CsgD</w:t>
            </w:r>
            <w:proofErr w:type="spellEnd"/>
            <w:r w:rsidRPr="00877650">
              <w:rPr>
                <w:rFonts w:ascii="Calibri" w:hAnsi="Calibri" w:cs="Calibri"/>
                <w:color w:val="000000"/>
              </w:rPr>
              <w:t xml:space="preserve"> family</w:t>
            </w:r>
          </w:p>
        </w:tc>
        <w:tc>
          <w:tcPr>
            <w:tcW w:w="552" w:type="pct"/>
            <w:tcBorders>
              <w:top w:val="nil"/>
              <w:left w:val="nil"/>
              <w:bottom w:val="single" w:sz="4" w:space="0" w:color="auto"/>
              <w:right w:val="nil"/>
            </w:tcBorders>
            <w:shd w:val="clear" w:color="auto" w:fill="auto"/>
            <w:noWrap/>
            <w:vAlign w:val="center"/>
            <w:hideMark/>
          </w:tcPr>
          <w:p w14:paraId="4F9AB4B8" w14:textId="77777777" w:rsidR="00257248" w:rsidRPr="00877650" w:rsidRDefault="00257248" w:rsidP="00323FD6">
            <w:pPr>
              <w:rPr>
                <w:rFonts w:ascii="Calibri" w:hAnsi="Calibri" w:cs="Calibri"/>
                <w:color w:val="000000"/>
              </w:rPr>
            </w:pPr>
            <w:r w:rsidRPr="00877650">
              <w:rPr>
                <w:rFonts w:ascii="Calibri" w:hAnsi="Calibri" w:cs="Calibri"/>
                <w:color w:val="000000"/>
              </w:rPr>
              <w:t>acyl homoserine lactone synthase</w:t>
            </w:r>
          </w:p>
        </w:tc>
        <w:tc>
          <w:tcPr>
            <w:tcW w:w="448" w:type="pct"/>
            <w:tcBorders>
              <w:top w:val="nil"/>
              <w:left w:val="nil"/>
              <w:bottom w:val="single" w:sz="4" w:space="0" w:color="auto"/>
              <w:right w:val="nil"/>
            </w:tcBorders>
            <w:shd w:val="clear" w:color="auto" w:fill="auto"/>
            <w:noWrap/>
            <w:vAlign w:val="center"/>
            <w:hideMark/>
          </w:tcPr>
          <w:p w14:paraId="7D13CC7C" w14:textId="77777777" w:rsidR="00257248" w:rsidRPr="00877650" w:rsidRDefault="00257248" w:rsidP="00323FD6">
            <w:pPr>
              <w:rPr>
                <w:rFonts w:ascii="Calibri" w:hAnsi="Calibri" w:cs="Calibri"/>
                <w:color w:val="000000"/>
              </w:rPr>
            </w:pPr>
            <w:r w:rsidRPr="00877650">
              <w:rPr>
                <w:rFonts w:ascii="Calibri" w:hAnsi="Calibri" w:cs="Calibri"/>
                <w:color w:val="000000"/>
              </w:rPr>
              <w:t>16</w:t>
            </w:r>
          </w:p>
        </w:tc>
        <w:tc>
          <w:tcPr>
            <w:tcW w:w="309" w:type="pct"/>
            <w:tcBorders>
              <w:top w:val="nil"/>
              <w:left w:val="nil"/>
              <w:bottom w:val="single" w:sz="4" w:space="0" w:color="auto"/>
              <w:right w:val="nil"/>
            </w:tcBorders>
            <w:shd w:val="clear" w:color="auto" w:fill="auto"/>
            <w:noWrap/>
            <w:vAlign w:val="center"/>
            <w:hideMark/>
          </w:tcPr>
          <w:p w14:paraId="7B98A27C" w14:textId="77777777" w:rsidR="00257248" w:rsidRPr="00877650" w:rsidRDefault="00257248" w:rsidP="00323FD6">
            <w:pPr>
              <w:rPr>
                <w:rFonts w:ascii="Calibri" w:hAnsi="Calibri" w:cs="Calibri"/>
                <w:color w:val="000000"/>
              </w:rPr>
            </w:pPr>
            <w:r w:rsidRPr="00877650">
              <w:rPr>
                <w:rFonts w:ascii="Calibri" w:hAnsi="Calibri" w:cs="Calibri"/>
                <w:color w:val="000000"/>
              </w:rPr>
              <w:t>45</w:t>
            </w:r>
          </w:p>
        </w:tc>
        <w:tc>
          <w:tcPr>
            <w:tcW w:w="240" w:type="pct"/>
            <w:tcBorders>
              <w:top w:val="nil"/>
              <w:left w:val="nil"/>
              <w:bottom w:val="single" w:sz="4" w:space="0" w:color="auto"/>
              <w:right w:val="nil"/>
            </w:tcBorders>
            <w:shd w:val="clear" w:color="auto" w:fill="auto"/>
            <w:noWrap/>
            <w:vAlign w:val="center"/>
            <w:hideMark/>
          </w:tcPr>
          <w:p w14:paraId="299E6F8D" w14:textId="77777777" w:rsidR="00257248" w:rsidRPr="00877650" w:rsidRDefault="00257248" w:rsidP="00323FD6">
            <w:pPr>
              <w:rPr>
                <w:rFonts w:ascii="Calibri" w:hAnsi="Calibri" w:cs="Calibri"/>
                <w:color w:val="000000"/>
              </w:rPr>
            </w:pPr>
            <w:r w:rsidRPr="00877650">
              <w:rPr>
                <w:rFonts w:ascii="Calibri" w:hAnsi="Calibri" w:cs="Calibri"/>
                <w:color w:val="000000"/>
              </w:rPr>
              <w:t>34.7</w:t>
            </w:r>
          </w:p>
        </w:tc>
        <w:tc>
          <w:tcPr>
            <w:tcW w:w="311" w:type="pct"/>
            <w:tcBorders>
              <w:top w:val="nil"/>
              <w:left w:val="nil"/>
              <w:bottom w:val="single" w:sz="4" w:space="0" w:color="auto"/>
              <w:right w:val="nil"/>
            </w:tcBorders>
            <w:shd w:val="clear" w:color="auto" w:fill="auto"/>
            <w:noWrap/>
            <w:vAlign w:val="center"/>
            <w:hideMark/>
          </w:tcPr>
          <w:p w14:paraId="3E2A3B7B" w14:textId="77777777" w:rsidR="00257248" w:rsidRPr="00877650" w:rsidRDefault="00257248" w:rsidP="00323FD6">
            <w:pPr>
              <w:rPr>
                <w:rFonts w:ascii="Calibri" w:hAnsi="Calibri" w:cs="Calibri"/>
                <w:color w:val="000000"/>
              </w:rPr>
            </w:pPr>
            <w:r w:rsidRPr="00877650">
              <w:rPr>
                <w:rFonts w:ascii="Calibri" w:hAnsi="Calibri" w:cs="Calibri"/>
                <w:color w:val="000000"/>
              </w:rPr>
              <w:t>1</w:t>
            </w:r>
          </w:p>
        </w:tc>
        <w:tc>
          <w:tcPr>
            <w:tcW w:w="311" w:type="pct"/>
            <w:tcBorders>
              <w:top w:val="nil"/>
              <w:left w:val="nil"/>
              <w:bottom w:val="single" w:sz="4" w:space="0" w:color="auto"/>
              <w:right w:val="nil"/>
            </w:tcBorders>
            <w:shd w:val="clear" w:color="auto" w:fill="auto"/>
            <w:noWrap/>
            <w:vAlign w:val="center"/>
            <w:hideMark/>
          </w:tcPr>
          <w:p w14:paraId="7538AD8E" w14:textId="77777777" w:rsidR="00257248" w:rsidRPr="00877650" w:rsidRDefault="00257248" w:rsidP="00323FD6">
            <w:pPr>
              <w:rPr>
                <w:rFonts w:ascii="Calibri" w:hAnsi="Calibri" w:cs="Calibri"/>
                <w:color w:val="000000"/>
              </w:rPr>
            </w:pPr>
            <w:r w:rsidRPr="00877650">
              <w:rPr>
                <w:rFonts w:ascii="Calibri" w:hAnsi="Calibri" w:cs="Calibri"/>
                <w:color w:val="000000"/>
              </w:rPr>
              <w:t>3907</w:t>
            </w:r>
          </w:p>
        </w:tc>
        <w:tc>
          <w:tcPr>
            <w:tcW w:w="413" w:type="pct"/>
            <w:tcBorders>
              <w:top w:val="nil"/>
              <w:left w:val="nil"/>
              <w:bottom w:val="single" w:sz="4" w:space="0" w:color="auto"/>
              <w:right w:val="single" w:sz="4" w:space="0" w:color="auto"/>
            </w:tcBorders>
            <w:shd w:val="clear" w:color="auto" w:fill="auto"/>
            <w:noWrap/>
            <w:vAlign w:val="center"/>
            <w:hideMark/>
          </w:tcPr>
          <w:p w14:paraId="1A67128E"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0.0256%</w:t>
            </w:r>
          </w:p>
        </w:tc>
      </w:tr>
      <w:tr w:rsidR="00257248" w:rsidRPr="00877650" w14:paraId="4767631D" w14:textId="77777777" w:rsidTr="00323FD6">
        <w:trPr>
          <w:trHeight w:val="290"/>
        </w:trPr>
        <w:tc>
          <w:tcPr>
            <w:tcW w:w="516" w:type="pct"/>
            <w:tcBorders>
              <w:top w:val="nil"/>
              <w:left w:val="single" w:sz="4" w:space="0" w:color="auto"/>
              <w:bottom w:val="nil"/>
              <w:right w:val="nil"/>
            </w:tcBorders>
            <w:shd w:val="clear" w:color="auto" w:fill="auto"/>
            <w:noWrap/>
            <w:vAlign w:val="center"/>
            <w:hideMark/>
          </w:tcPr>
          <w:p w14:paraId="4478B61F" w14:textId="77777777" w:rsidR="00257248" w:rsidRPr="00877650" w:rsidRDefault="00257248" w:rsidP="00323FD6">
            <w:pPr>
              <w:rPr>
                <w:rFonts w:ascii="Calibri" w:hAnsi="Calibri" w:cs="Calibri"/>
                <w:color w:val="000000"/>
              </w:rPr>
            </w:pPr>
            <w:r w:rsidRPr="00877650">
              <w:rPr>
                <w:rFonts w:ascii="Calibri" w:hAnsi="Calibri" w:cs="Calibri"/>
                <w:color w:val="000000"/>
              </w:rPr>
              <w:t>2706794655</w:t>
            </w:r>
          </w:p>
        </w:tc>
        <w:tc>
          <w:tcPr>
            <w:tcW w:w="589" w:type="pct"/>
            <w:tcBorders>
              <w:top w:val="nil"/>
              <w:left w:val="nil"/>
              <w:bottom w:val="nil"/>
              <w:right w:val="nil"/>
            </w:tcBorders>
            <w:shd w:val="clear" w:color="auto" w:fill="auto"/>
            <w:noWrap/>
            <w:vAlign w:val="center"/>
            <w:hideMark/>
          </w:tcPr>
          <w:p w14:paraId="65EF92E9"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Phaeobacter</w:t>
            </w:r>
            <w:proofErr w:type="spellEnd"/>
            <w:r w:rsidRPr="00877650">
              <w:rPr>
                <w:rFonts w:ascii="Calibri" w:hAnsi="Calibri" w:cs="Calibri"/>
                <w:color w:val="000000"/>
              </w:rPr>
              <w:t xml:space="preserve"> </w:t>
            </w:r>
            <w:proofErr w:type="spellStart"/>
            <w:r w:rsidRPr="00877650">
              <w:rPr>
                <w:rFonts w:ascii="Calibri" w:hAnsi="Calibri" w:cs="Calibri"/>
                <w:color w:val="000000"/>
              </w:rPr>
              <w:t>italicus</w:t>
            </w:r>
            <w:proofErr w:type="spellEnd"/>
            <w:r w:rsidRPr="00877650">
              <w:rPr>
                <w:rFonts w:ascii="Calibri" w:hAnsi="Calibri" w:cs="Calibri"/>
                <w:color w:val="000000"/>
              </w:rPr>
              <w:t xml:space="preserve"> CECT 7645</w:t>
            </w:r>
          </w:p>
        </w:tc>
        <w:tc>
          <w:tcPr>
            <w:tcW w:w="516" w:type="pct"/>
            <w:tcBorders>
              <w:top w:val="nil"/>
              <w:left w:val="nil"/>
              <w:bottom w:val="nil"/>
              <w:right w:val="nil"/>
            </w:tcBorders>
            <w:shd w:val="clear" w:color="auto" w:fill="auto"/>
            <w:noWrap/>
            <w:vAlign w:val="center"/>
            <w:hideMark/>
          </w:tcPr>
          <w:p w14:paraId="32E3D1B5" w14:textId="77777777" w:rsidR="00257248" w:rsidRPr="00877650" w:rsidRDefault="00257248" w:rsidP="00323FD6">
            <w:pPr>
              <w:rPr>
                <w:rFonts w:ascii="Calibri" w:hAnsi="Calibri" w:cs="Calibri"/>
                <w:color w:val="000000"/>
              </w:rPr>
            </w:pPr>
            <w:r w:rsidRPr="00877650">
              <w:rPr>
                <w:rFonts w:ascii="Calibri" w:hAnsi="Calibri" w:cs="Calibri"/>
                <w:color w:val="000000"/>
              </w:rPr>
              <w:t>Ga0124146_131</w:t>
            </w:r>
          </w:p>
        </w:tc>
        <w:tc>
          <w:tcPr>
            <w:tcW w:w="311" w:type="pct"/>
            <w:tcBorders>
              <w:top w:val="nil"/>
              <w:left w:val="nil"/>
              <w:bottom w:val="nil"/>
              <w:right w:val="nil"/>
            </w:tcBorders>
            <w:shd w:val="clear" w:color="auto" w:fill="auto"/>
            <w:noWrap/>
            <w:vAlign w:val="center"/>
            <w:hideMark/>
          </w:tcPr>
          <w:p w14:paraId="68F0D728"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7A7B0187"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DNA-binding transcriptional regulator, </w:t>
            </w:r>
            <w:proofErr w:type="spellStart"/>
            <w:r w:rsidRPr="00877650">
              <w:rPr>
                <w:rFonts w:ascii="Calibri" w:hAnsi="Calibri" w:cs="Calibri"/>
                <w:color w:val="000000"/>
              </w:rPr>
              <w:t>CsgD</w:t>
            </w:r>
            <w:proofErr w:type="spellEnd"/>
            <w:r w:rsidRPr="00877650">
              <w:rPr>
                <w:rFonts w:ascii="Calibri" w:hAnsi="Calibri" w:cs="Calibri"/>
                <w:color w:val="000000"/>
              </w:rPr>
              <w:t xml:space="preserve"> family</w:t>
            </w:r>
          </w:p>
        </w:tc>
        <w:tc>
          <w:tcPr>
            <w:tcW w:w="552" w:type="pct"/>
            <w:tcBorders>
              <w:top w:val="nil"/>
              <w:left w:val="nil"/>
              <w:bottom w:val="nil"/>
              <w:right w:val="nil"/>
            </w:tcBorders>
            <w:shd w:val="clear" w:color="auto" w:fill="auto"/>
            <w:noWrap/>
            <w:vAlign w:val="center"/>
            <w:hideMark/>
          </w:tcPr>
          <w:p w14:paraId="5BF69CBD" w14:textId="77777777" w:rsidR="00257248" w:rsidRPr="00877650" w:rsidRDefault="00257248" w:rsidP="00323FD6">
            <w:pPr>
              <w:rPr>
                <w:rFonts w:ascii="Calibri" w:hAnsi="Calibri" w:cs="Calibri"/>
                <w:color w:val="000000"/>
              </w:rPr>
            </w:pPr>
            <w:r w:rsidRPr="00877650">
              <w:rPr>
                <w:rFonts w:ascii="Calibri" w:hAnsi="Calibri" w:cs="Calibri"/>
                <w:color w:val="000000"/>
              </w:rPr>
              <w:t>acyl homoserine lactone synthase</w:t>
            </w:r>
          </w:p>
        </w:tc>
        <w:tc>
          <w:tcPr>
            <w:tcW w:w="448" w:type="pct"/>
            <w:tcBorders>
              <w:top w:val="nil"/>
              <w:left w:val="nil"/>
              <w:bottom w:val="nil"/>
              <w:right w:val="nil"/>
            </w:tcBorders>
            <w:shd w:val="clear" w:color="auto" w:fill="auto"/>
            <w:noWrap/>
            <w:vAlign w:val="center"/>
            <w:hideMark/>
          </w:tcPr>
          <w:p w14:paraId="1EE7F2E0" w14:textId="77777777" w:rsidR="00257248" w:rsidRPr="00877650" w:rsidRDefault="00257248" w:rsidP="00323FD6">
            <w:pPr>
              <w:rPr>
                <w:rFonts w:ascii="Calibri" w:hAnsi="Calibri" w:cs="Calibri"/>
                <w:color w:val="000000"/>
              </w:rPr>
            </w:pPr>
            <w:r w:rsidRPr="00877650">
              <w:rPr>
                <w:rFonts w:ascii="Calibri" w:hAnsi="Calibri" w:cs="Calibri"/>
                <w:color w:val="000000"/>
              </w:rPr>
              <w:t>16</w:t>
            </w:r>
          </w:p>
        </w:tc>
        <w:tc>
          <w:tcPr>
            <w:tcW w:w="309" w:type="pct"/>
            <w:tcBorders>
              <w:top w:val="nil"/>
              <w:left w:val="nil"/>
              <w:bottom w:val="nil"/>
              <w:right w:val="nil"/>
            </w:tcBorders>
            <w:shd w:val="clear" w:color="auto" w:fill="auto"/>
            <w:noWrap/>
            <w:vAlign w:val="center"/>
            <w:hideMark/>
          </w:tcPr>
          <w:p w14:paraId="435D4AA6" w14:textId="77777777" w:rsidR="00257248" w:rsidRPr="00877650" w:rsidRDefault="00257248" w:rsidP="00323FD6">
            <w:pPr>
              <w:rPr>
                <w:rFonts w:ascii="Calibri" w:hAnsi="Calibri" w:cs="Calibri"/>
                <w:color w:val="000000"/>
              </w:rPr>
            </w:pPr>
            <w:r w:rsidRPr="00877650">
              <w:rPr>
                <w:rFonts w:ascii="Calibri" w:hAnsi="Calibri" w:cs="Calibri"/>
                <w:color w:val="000000"/>
              </w:rPr>
              <w:t>45</w:t>
            </w:r>
          </w:p>
        </w:tc>
        <w:tc>
          <w:tcPr>
            <w:tcW w:w="240" w:type="pct"/>
            <w:tcBorders>
              <w:top w:val="nil"/>
              <w:left w:val="nil"/>
              <w:bottom w:val="nil"/>
              <w:right w:val="nil"/>
            </w:tcBorders>
            <w:shd w:val="clear" w:color="auto" w:fill="auto"/>
            <w:noWrap/>
            <w:vAlign w:val="center"/>
            <w:hideMark/>
          </w:tcPr>
          <w:p w14:paraId="6D05A2E3" w14:textId="77777777" w:rsidR="00257248" w:rsidRPr="00877650" w:rsidRDefault="00257248" w:rsidP="00323FD6">
            <w:pPr>
              <w:rPr>
                <w:rFonts w:ascii="Calibri" w:hAnsi="Calibri" w:cs="Calibri"/>
                <w:color w:val="000000"/>
              </w:rPr>
            </w:pPr>
            <w:r w:rsidRPr="00877650">
              <w:rPr>
                <w:rFonts w:ascii="Calibri" w:hAnsi="Calibri" w:cs="Calibri"/>
                <w:color w:val="000000"/>
              </w:rPr>
              <w:t>34.7</w:t>
            </w:r>
          </w:p>
        </w:tc>
        <w:tc>
          <w:tcPr>
            <w:tcW w:w="311" w:type="pct"/>
            <w:tcBorders>
              <w:top w:val="nil"/>
              <w:left w:val="nil"/>
              <w:bottom w:val="nil"/>
              <w:right w:val="nil"/>
            </w:tcBorders>
            <w:shd w:val="clear" w:color="auto" w:fill="auto"/>
            <w:noWrap/>
            <w:vAlign w:val="center"/>
            <w:hideMark/>
          </w:tcPr>
          <w:p w14:paraId="0C46BD7A" w14:textId="77777777" w:rsidR="00257248" w:rsidRPr="00877650" w:rsidRDefault="00257248" w:rsidP="00323FD6">
            <w:pPr>
              <w:rPr>
                <w:rFonts w:ascii="Calibri" w:hAnsi="Calibri" w:cs="Calibri"/>
                <w:color w:val="000000"/>
              </w:rPr>
            </w:pPr>
            <w:r w:rsidRPr="00877650">
              <w:rPr>
                <w:rFonts w:ascii="Calibri" w:hAnsi="Calibri" w:cs="Calibri"/>
                <w:color w:val="000000"/>
              </w:rPr>
              <w:t>2</w:t>
            </w:r>
          </w:p>
        </w:tc>
        <w:tc>
          <w:tcPr>
            <w:tcW w:w="311" w:type="pct"/>
            <w:tcBorders>
              <w:top w:val="nil"/>
              <w:left w:val="nil"/>
              <w:bottom w:val="nil"/>
              <w:right w:val="nil"/>
            </w:tcBorders>
            <w:shd w:val="clear" w:color="auto" w:fill="auto"/>
            <w:noWrap/>
            <w:vAlign w:val="center"/>
            <w:hideMark/>
          </w:tcPr>
          <w:p w14:paraId="10DFB116" w14:textId="77777777" w:rsidR="00257248" w:rsidRPr="00877650" w:rsidRDefault="00257248" w:rsidP="00323FD6">
            <w:pPr>
              <w:rPr>
                <w:rFonts w:ascii="Calibri" w:hAnsi="Calibri" w:cs="Calibri"/>
                <w:color w:val="000000"/>
              </w:rPr>
            </w:pPr>
            <w:r w:rsidRPr="00877650">
              <w:rPr>
                <w:rFonts w:ascii="Calibri" w:hAnsi="Calibri" w:cs="Calibri"/>
                <w:color w:val="000000"/>
              </w:rPr>
              <w:t>3869</w:t>
            </w:r>
          </w:p>
        </w:tc>
        <w:tc>
          <w:tcPr>
            <w:tcW w:w="413" w:type="pct"/>
            <w:tcBorders>
              <w:top w:val="nil"/>
              <w:left w:val="nil"/>
              <w:bottom w:val="nil"/>
              <w:right w:val="single" w:sz="4" w:space="0" w:color="auto"/>
            </w:tcBorders>
            <w:shd w:val="clear" w:color="auto" w:fill="auto"/>
            <w:noWrap/>
            <w:vAlign w:val="center"/>
            <w:hideMark/>
          </w:tcPr>
          <w:p w14:paraId="70996292"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0.0517%</w:t>
            </w:r>
          </w:p>
        </w:tc>
      </w:tr>
      <w:tr w:rsidR="00257248" w:rsidRPr="00877650" w14:paraId="342689C4" w14:textId="77777777" w:rsidTr="00323FD6">
        <w:trPr>
          <w:trHeight w:val="290"/>
        </w:trPr>
        <w:tc>
          <w:tcPr>
            <w:tcW w:w="1105" w:type="pct"/>
            <w:gridSpan w:val="2"/>
            <w:tcBorders>
              <w:top w:val="nil"/>
              <w:left w:val="single" w:sz="4" w:space="0" w:color="auto"/>
              <w:bottom w:val="single" w:sz="4" w:space="0" w:color="auto"/>
              <w:right w:val="nil"/>
            </w:tcBorders>
            <w:shd w:val="clear" w:color="auto" w:fill="auto"/>
            <w:noWrap/>
            <w:vAlign w:val="center"/>
            <w:hideMark/>
          </w:tcPr>
          <w:p w14:paraId="645234E9" w14:textId="77777777" w:rsidR="00257248" w:rsidRPr="00877650" w:rsidRDefault="00257248" w:rsidP="00323FD6">
            <w:pPr>
              <w:rPr>
                <w:rFonts w:ascii="Calibri" w:hAnsi="Calibri" w:cs="Calibri"/>
                <w:color w:val="F2F2F2"/>
              </w:rPr>
            </w:pPr>
          </w:p>
        </w:tc>
        <w:tc>
          <w:tcPr>
            <w:tcW w:w="516" w:type="pct"/>
            <w:tcBorders>
              <w:top w:val="nil"/>
              <w:left w:val="nil"/>
              <w:bottom w:val="single" w:sz="4" w:space="0" w:color="auto"/>
              <w:right w:val="nil"/>
            </w:tcBorders>
            <w:shd w:val="clear" w:color="auto" w:fill="auto"/>
            <w:noWrap/>
            <w:vAlign w:val="center"/>
            <w:hideMark/>
          </w:tcPr>
          <w:p w14:paraId="40C4C5A2" w14:textId="77777777" w:rsidR="00257248" w:rsidRPr="00877650" w:rsidRDefault="00257248" w:rsidP="00323FD6">
            <w:pPr>
              <w:rPr>
                <w:rFonts w:ascii="Calibri" w:hAnsi="Calibri" w:cs="Calibri"/>
                <w:color w:val="000000"/>
              </w:rPr>
            </w:pPr>
            <w:r w:rsidRPr="00877650">
              <w:rPr>
                <w:rFonts w:ascii="Calibri" w:hAnsi="Calibri" w:cs="Calibri"/>
                <w:color w:val="000000"/>
              </w:rPr>
              <w:t>Ga0124146_134</w:t>
            </w:r>
          </w:p>
        </w:tc>
        <w:tc>
          <w:tcPr>
            <w:tcW w:w="311" w:type="pct"/>
            <w:tcBorders>
              <w:top w:val="nil"/>
              <w:left w:val="nil"/>
              <w:bottom w:val="single" w:sz="4" w:space="0" w:color="auto"/>
              <w:right w:val="nil"/>
            </w:tcBorders>
            <w:shd w:val="clear" w:color="auto" w:fill="auto"/>
            <w:noWrap/>
            <w:vAlign w:val="center"/>
            <w:hideMark/>
          </w:tcPr>
          <w:p w14:paraId="57DE9C69"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single" w:sz="4" w:space="0" w:color="auto"/>
              <w:right w:val="nil"/>
            </w:tcBorders>
            <w:shd w:val="clear" w:color="auto" w:fill="auto"/>
            <w:noWrap/>
            <w:vAlign w:val="center"/>
            <w:hideMark/>
          </w:tcPr>
          <w:p w14:paraId="122349B4" w14:textId="77777777" w:rsidR="00257248" w:rsidRPr="00877650" w:rsidRDefault="00257248" w:rsidP="00323FD6">
            <w:pPr>
              <w:rPr>
                <w:rFonts w:ascii="Calibri" w:hAnsi="Calibri" w:cs="Calibri"/>
                <w:color w:val="000000"/>
              </w:rPr>
            </w:pPr>
            <w:r w:rsidRPr="00877650">
              <w:rPr>
                <w:rFonts w:ascii="Calibri" w:hAnsi="Calibri" w:cs="Calibri"/>
                <w:color w:val="000000"/>
              </w:rPr>
              <w:t>hypothetical protein</w:t>
            </w:r>
          </w:p>
        </w:tc>
        <w:tc>
          <w:tcPr>
            <w:tcW w:w="552" w:type="pct"/>
            <w:tcBorders>
              <w:top w:val="nil"/>
              <w:left w:val="nil"/>
              <w:bottom w:val="single" w:sz="4" w:space="0" w:color="auto"/>
              <w:right w:val="nil"/>
            </w:tcBorders>
            <w:shd w:val="clear" w:color="auto" w:fill="auto"/>
            <w:noWrap/>
            <w:vAlign w:val="center"/>
            <w:hideMark/>
          </w:tcPr>
          <w:p w14:paraId="6ECF44E5"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Transposase </w:t>
            </w:r>
            <w:proofErr w:type="spellStart"/>
            <w:r w:rsidRPr="00877650">
              <w:rPr>
                <w:rFonts w:ascii="Calibri" w:hAnsi="Calibri" w:cs="Calibri"/>
                <w:color w:val="000000"/>
              </w:rPr>
              <w:t>InsO</w:t>
            </w:r>
            <w:proofErr w:type="spellEnd"/>
            <w:r w:rsidRPr="00877650">
              <w:rPr>
                <w:rFonts w:ascii="Calibri" w:hAnsi="Calibri" w:cs="Calibri"/>
                <w:color w:val="000000"/>
              </w:rPr>
              <w:t xml:space="preserve"> and inactivated derivatives</w:t>
            </w:r>
          </w:p>
        </w:tc>
        <w:tc>
          <w:tcPr>
            <w:tcW w:w="448" w:type="pct"/>
            <w:tcBorders>
              <w:top w:val="nil"/>
              <w:left w:val="nil"/>
              <w:bottom w:val="single" w:sz="4" w:space="0" w:color="auto"/>
              <w:right w:val="nil"/>
            </w:tcBorders>
            <w:shd w:val="clear" w:color="auto" w:fill="auto"/>
            <w:noWrap/>
            <w:vAlign w:val="center"/>
            <w:hideMark/>
          </w:tcPr>
          <w:p w14:paraId="20930279" w14:textId="77777777" w:rsidR="00257248" w:rsidRPr="00877650" w:rsidRDefault="00257248" w:rsidP="00323FD6">
            <w:pPr>
              <w:rPr>
                <w:rFonts w:ascii="Calibri" w:hAnsi="Calibri" w:cs="Calibri"/>
                <w:color w:val="000000"/>
              </w:rPr>
            </w:pPr>
            <w:r w:rsidRPr="00877650">
              <w:rPr>
                <w:rFonts w:ascii="Calibri" w:hAnsi="Calibri" w:cs="Calibri"/>
                <w:color w:val="000000"/>
              </w:rPr>
              <w:t>3616</w:t>
            </w:r>
          </w:p>
        </w:tc>
        <w:tc>
          <w:tcPr>
            <w:tcW w:w="309" w:type="pct"/>
            <w:tcBorders>
              <w:top w:val="nil"/>
              <w:left w:val="nil"/>
              <w:bottom w:val="single" w:sz="4" w:space="0" w:color="auto"/>
              <w:right w:val="nil"/>
            </w:tcBorders>
            <w:shd w:val="clear" w:color="auto" w:fill="auto"/>
            <w:noWrap/>
            <w:vAlign w:val="center"/>
            <w:hideMark/>
          </w:tcPr>
          <w:p w14:paraId="42D2AA68" w14:textId="77777777" w:rsidR="00257248" w:rsidRPr="00877650" w:rsidRDefault="00257248" w:rsidP="00323FD6">
            <w:pPr>
              <w:rPr>
                <w:rFonts w:ascii="Calibri" w:hAnsi="Calibri" w:cs="Calibri"/>
                <w:color w:val="000000"/>
              </w:rPr>
            </w:pPr>
            <w:r w:rsidRPr="00877650">
              <w:rPr>
                <w:rFonts w:ascii="Calibri" w:hAnsi="Calibri" w:cs="Calibri"/>
                <w:color w:val="000000"/>
              </w:rPr>
              <w:t>6470</w:t>
            </w:r>
          </w:p>
        </w:tc>
        <w:tc>
          <w:tcPr>
            <w:tcW w:w="240" w:type="pct"/>
            <w:tcBorders>
              <w:top w:val="nil"/>
              <w:left w:val="nil"/>
              <w:bottom w:val="single" w:sz="4" w:space="0" w:color="auto"/>
              <w:right w:val="nil"/>
            </w:tcBorders>
            <w:shd w:val="clear" w:color="auto" w:fill="auto"/>
            <w:noWrap/>
            <w:vAlign w:val="center"/>
            <w:hideMark/>
          </w:tcPr>
          <w:p w14:paraId="26E03871" w14:textId="77777777" w:rsidR="00257248" w:rsidRPr="00877650" w:rsidRDefault="00257248" w:rsidP="00323FD6">
            <w:pPr>
              <w:rPr>
                <w:rFonts w:ascii="Calibri" w:hAnsi="Calibri" w:cs="Calibri"/>
                <w:color w:val="000000"/>
              </w:rPr>
            </w:pPr>
            <w:r w:rsidRPr="00877650">
              <w:rPr>
                <w:rFonts w:ascii="Calibri" w:hAnsi="Calibri" w:cs="Calibri"/>
                <w:color w:val="000000"/>
              </w:rPr>
              <w:t>17.1</w:t>
            </w:r>
          </w:p>
        </w:tc>
        <w:tc>
          <w:tcPr>
            <w:tcW w:w="1035" w:type="pct"/>
            <w:gridSpan w:val="3"/>
            <w:tcBorders>
              <w:top w:val="nil"/>
              <w:left w:val="nil"/>
              <w:bottom w:val="single" w:sz="4" w:space="0" w:color="auto"/>
              <w:right w:val="single" w:sz="4" w:space="0" w:color="auto"/>
            </w:tcBorders>
            <w:shd w:val="clear" w:color="auto" w:fill="auto"/>
            <w:noWrap/>
            <w:vAlign w:val="center"/>
            <w:hideMark/>
          </w:tcPr>
          <w:p w14:paraId="02E206AB" w14:textId="77777777" w:rsidR="00257248" w:rsidRPr="00877650" w:rsidRDefault="00257248" w:rsidP="00323FD6">
            <w:pPr>
              <w:rPr>
                <w:rFonts w:ascii="Calibri" w:hAnsi="Calibri" w:cs="Calibri"/>
                <w:color w:val="000000"/>
              </w:rPr>
            </w:pPr>
          </w:p>
        </w:tc>
      </w:tr>
      <w:tr w:rsidR="00257248" w:rsidRPr="00877650" w14:paraId="6958B4DA" w14:textId="77777777" w:rsidTr="00323FD6">
        <w:trPr>
          <w:trHeight w:val="290"/>
        </w:trPr>
        <w:tc>
          <w:tcPr>
            <w:tcW w:w="516" w:type="pct"/>
            <w:tcBorders>
              <w:top w:val="nil"/>
              <w:left w:val="single" w:sz="4" w:space="0" w:color="auto"/>
              <w:bottom w:val="nil"/>
              <w:right w:val="nil"/>
            </w:tcBorders>
            <w:shd w:val="clear" w:color="auto" w:fill="auto"/>
            <w:noWrap/>
            <w:vAlign w:val="center"/>
            <w:hideMark/>
          </w:tcPr>
          <w:p w14:paraId="457FEE29" w14:textId="77777777" w:rsidR="00257248" w:rsidRPr="00877650" w:rsidRDefault="00257248" w:rsidP="00323FD6">
            <w:pPr>
              <w:rPr>
                <w:rFonts w:ascii="Calibri" w:hAnsi="Calibri" w:cs="Calibri"/>
                <w:color w:val="000000"/>
              </w:rPr>
            </w:pPr>
            <w:r w:rsidRPr="00877650">
              <w:rPr>
                <w:rFonts w:ascii="Calibri" w:hAnsi="Calibri" w:cs="Calibri"/>
                <w:color w:val="000000"/>
              </w:rPr>
              <w:t>2622736589</w:t>
            </w:r>
          </w:p>
        </w:tc>
        <w:tc>
          <w:tcPr>
            <w:tcW w:w="589" w:type="pct"/>
            <w:tcBorders>
              <w:top w:val="nil"/>
              <w:left w:val="nil"/>
              <w:bottom w:val="nil"/>
              <w:right w:val="nil"/>
            </w:tcBorders>
            <w:shd w:val="clear" w:color="auto" w:fill="auto"/>
            <w:noWrap/>
            <w:vAlign w:val="center"/>
            <w:hideMark/>
          </w:tcPr>
          <w:p w14:paraId="57E07016"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Phaeobacter</w:t>
            </w:r>
            <w:proofErr w:type="spellEnd"/>
            <w:r w:rsidRPr="00877650">
              <w:rPr>
                <w:rFonts w:ascii="Calibri" w:hAnsi="Calibri" w:cs="Calibri"/>
                <w:color w:val="000000"/>
              </w:rPr>
              <w:t xml:space="preserve"> </w:t>
            </w:r>
            <w:proofErr w:type="spellStart"/>
            <w:r w:rsidRPr="00877650">
              <w:rPr>
                <w:rFonts w:ascii="Calibri" w:hAnsi="Calibri" w:cs="Calibri"/>
                <w:color w:val="000000"/>
              </w:rPr>
              <w:t>italicus</w:t>
            </w:r>
            <w:proofErr w:type="spellEnd"/>
            <w:r w:rsidRPr="00877650">
              <w:rPr>
                <w:rFonts w:ascii="Calibri" w:hAnsi="Calibri" w:cs="Calibri"/>
                <w:color w:val="000000"/>
              </w:rPr>
              <w:t xml:space="preserve"> DSM 26436</w:t>
            </w:r>
          </w:p>
        </w:tc>
        <w:tc>
          <w:tcPr>
            <w:tcW w:w="516" w:type="pct"/>
            <w:tcBorders>
              <w:top w:val="nil"/>
              <w:left w:val="nil"/>
              <w:bottom w:val="nil"/>
              <w:right w:val="nil"/>
            </w:tcBorders>
            <w:shd w:val="clear" w:color="auto" w:fill="auto"/>
            <w:noWrap/>
            <w:vAlign w:val="center"/>
            <w:hideMark/>
          </w:tcPr>
          <w:p w14:paraId="5838E9FC" w14:textId="77777777" w:rsidR="00257248" w:rsidRPr="00877650" w:rsidRDefault="00257248" w:rsidP="00323FD6">
            <w:pPr>
              <w:rPr>
                <w:rFonts w:ascii="Calibri" w:hAnsi="Calibri" w:cs="Calibri"/>
                <w:color w:val="000000"/>
              </w:rPr>
            </w:pPr>
            <w:r w:rsidRPr="00877650">
              <w:rPr>
                <w:rFonts w:ascii="Calibri" w:hAnsi="Calibri" w:cs="Calibri"/>
                <w:color w:val="000000"/>
              </w:rPr>
              <w:t>Ga0070236_102</w:t>
            </w:r>
          </w:p>
        </w:tc>
        <w:tc>
          <w:tcPr>
            <w:tcW w:w="311" w:type="pct"/>
            <w:tcBorders>
              <w:top w:val="nil"/>
              <w:left w:val="nil"/>
              <w:bottom w:val="nil"/>
              <w:right w:val="nil"/>
            </w:tcBorders>
            <w:shd w:val="clear" w:color="auto" w:fill="auto"/>
            <w:noWrap/>
            <w:vAlign w:val="center"/>
            <w:hideMark/>
          </w:tcPr>
          <w:p w14:paraId="1A755B44"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233AF6B4" w14:textId="77777777" w:rsidR="00257248" w:rsidRPr="00877650" w:rsidRDefault="00257248" w:rsidP="00323FD6">
            <w:pPr>
              <w:rPr>
                <w:rFonts w:ascii="Calibri" w:hAnsi="Calibri" w:cs="Calibri"/>
                <w:color w:val="000000"/>
              </w:rPr>
            </w:pPr>
            <w:r w:rsidRPr="00877650">
              <w:rPr>
                <w:rFonts w:ascii="Calibri" w:hAnsi="Calibri" w:cs="Calibri"/>
                <w:color w:val="000000"/>
              </w:rPr>
              <w:t>N-acyl-L-homoserine lactone synthetase</w:t>
            </w:r>
          </w:p>
        </w:tc>
        <w:tc>
          <w:tcPr>
            <w:tcW w:w="552" w:type="pct"/>
            <w:tcBorders>
              <w:top w:val="nil"/>
              <w:left w:val="nil"/>
              <w:bottom w:val="nil"/>
              <w:right w:val="nil"/>
            </w:tcBorders>
            <w:shd w:val="clear" w:color="auto" w:fill="auto"/>
            <w:noWrap/>
            <w:vAlign w:val="center"/>
            <w:hideMark/>
          </w:tcPr>
          <w:p w14:paraId="2817174E"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DNA-binding transcriptional regulator, </w:t>
            </w:r>
            <w:proofErr w:type="spellStart"/>
            <w:r w:rsidRPr="00877650">
              <w:rPr>
                <w:rFonts w:ascii="Calibri" w:hAnsi="Calibri" w:cs="Calibri"/>
                <w:color w:val="000000"/>
              </w:rPr>
              <w:t>CsgD</w:t>
            </w:r>
            <w:proofErr w:type="spellEnd"/>
            <w:r w:rsidRPr="00877650">
              <w:rPr>
                <w:rFonts w:ascii="Calibri" w:hAnsi="Calibri" w:cs="Calibri"/>
                <w:color w:val="000000"/>
              </w:rPr>
              <w:t xml:space="preserve"> family</w:t>
            </w:r>
          </w:p>
        </w:tc>
        <w:tc>
          <w:tcPr>
            <w:tcW w:w="448" w:type="pct"/>
            <w:tcBorders>
              <w:top w:val="nil"/>
              <w:left w:val="nil"/>
              <w:bottom w:val="nil"/>
              <w:right w:val="nil"/>
            </w:tcBorders>
            <w:shd w:val="clear" w:color="auto" w:fill="auto"/>
            <w:noWrap/>
            <w:vAlign w:val="center"/>
            <w:hideMark/>
          </w:tcPr>
          <w:p w14:paraId="18E5E2DB" w14:textId="77777777" w:rsidR="00257248" w:rsidRPr="00877650" w:rsidRDefault="00257248" w:rsidP="00323FD6">
            <w:pPr>
              <w:rPr>
                <w:rFonts w:ascii="Calibri" w:hAnsi="Calibri" w:cs="Calibri"/>
                <w:color w:val="000000"/>
              </w:rPr>
            </w:pPr>
            <w:r w:rsidRPr="00877650">
              <w:rPr>
                <w:rFonts w:ascii="Calibri" w:hAnsi="Calibri" w:cs="Calibri"/>
                <w:color w:val="000000"/>
              </w:rPr>
              <w:t>45</w:t>
            </w:r>
          </w:p>
        </w:tc>
        <w:tc>
          <w:tcPr>
            <w:tcW w:w="309" w:type="pct"/>
            <w:tcBorders>
              <w:top w:val="nil"/>
              <w:left w:val="nil"/>
              <w:bottom w:val="nil"/>
              <w:right w:val="nil"/>
            </w:tcBorders>
            <w:shd w:val="clear" w:color="auto" w:fill="auto"/>
            <w:noWrap/>
            <w:vAlign w:val="center"/>
            <w:hideMark/>
          </w:tcPr>
          <w:p w14:paraId="463CA507" w14:textId="77777777" w:rsidR="00257248" w:rsidRPr="00877650" w:rsidRDefault="00257248" w:rsidP="00323FD6">
            <w:pPr>
              <w:rPr>
                <w:rFonts w:ascii="Calibri" w:hAnsi="Calibri" w:cs="Calibri"/>
                <w:color w:val="000000"/>
              </w:rPr>
            </w:pPr>
            <w:r w:rsidRPr="00877650">
              <w:rPr>
                <w:rFonts w:ascii="Calibri" w:hAnsi="Calibri" w:cs="Calibri"/>
                <w:color w:val="000000"/>
              </w:rPr>
              <w:t>16</w:t>
            </w:r>
          </w:p>
        </w:tc>
        <w:tc>
          <w:tcPr>
            <w:tcW w:w="240" w:type="pct"/>
            <w:tcBorders>
              <w:top w:val="nil"/>
              <w:left w:val="nil"/>
              <w:bottom w:val="nil"/>
              <w:right w:val="nil"/>
            </w:tcBorders>
            <w:shd w:val="clear" w:color="auto" w:fill="auto"/>
            <w:noWrap/>
            <w:vAlign w:val="center"/>
            <w:hideMark/>
          </w:tcPr>
          <w:p w14:paraId="1F93E399" w14:textId="77777777" w:rsidR="00257248" w:rsidRPr="00877650" w:rsidRDefault="00257248" w:rsidP="00323FD6">
            <w:pPr>
              <w:rPr>
                <w:rFonts w:ascii="Calibri" w:hAnsi="Calibri" w:cs="Calibri"/>
                <w:color w:val="000000"/>
              </w:rPr>
            </w:pPr>
            <w:r w:rsidRPr="00877650">
              <w:rPr>
                <w:rFonts w:ascii="Calibri" w:hAnsi="Calibri" w:cs="Calibri"/>
                <w:color w:val="000000"/>
              </w:rPr>
              <w:t>34.7</w:t>
            </w:r>
          </w:p>
        </w:tc>
        <w:tc>
          <w:tcPr>
            <w:tcW w:w="311" w:type="pct"/>
            <w:tcBorders>
              <w:top w:val="nil"/>
              <w:left w:val="nil"/>
              <w:bottom w:val="nil"/>
              <w:right w:val="nil"/>
            </w:tcBorders>
            <w:shd w:val="clear" w:color="auto" w:fill="auto"/>
            <w:noWrap/>
            <w:vAlign w:val="center"/>
            <w:hideMark/>
          </w:tcPr>
          <w:p w14:paraId="078F2732" w14:textId="77777777" w:rsidR="00257248" w:rsidRPr="00877650" w:rsidRDefault="00257248" w:rsidP="00323FD6">
            <w:pPr>
              <w:rPr>
                <w:rFonts w:ascii="Calibri" w:hAnsi="Calibri" w:cs="Calibri"/>
                <w:color w:val="000000"/>
              </w:rPr>
            </w:pPr>
            <w:r w:rsidRPr="00877650">
              <w:rPr>
                <w:rFonts w:ascii="Calibri" w:hAnsi="Calibri" w:cs="Calibri"/>
                <w:color w:val="000000"/>
              </w:rPr>
              <w:t>2</w:t>
            </w:r>
          </w:p>
        </w:tc>
        <w:tc>
          <w:tcPr>
            <w:tcW w:w="311" w:type="pct"/>
            <w:tcBorders>
              <w:top w:val="nil"/>
              <w:left w:val="nil"/>
              <w:bottom w:val="nil"/>
              <w:right w:val="nil"/>
            </w:tcBorders>
            <w:shd w:val="clear" w:color="auto" w:fill="auto"/>
            <w:noWrap/>
            <w:vAlign w:val="center"/>
            <w:hideMark/>
          </w:tcPr>
          <w:p w14:paraId="19DF6F00" w14:textId="77777777" w:rsidR="00257248" w:rsidRPr="00877650" w:rsidRDefault="00257248" w:rsidP="00323FD6">
            <w:pPr>
              <w:rPr>
                <w:rFonts w:ascii="Calibri" w:hAnsi="Calibri" w:cs="Calibri"/>
                <w:color w:val="000000"/>
              </w:rPr>
            </w:pPr>
            <w:r w:rsidRPr="00877650">
              <w:rPr>
                <w:rFonts w:ascii="Calibri" w:hAnsi="Calibri" w:cs="Calibri"/>
                <w:color w:val="000000"/>
              </w:rPr>
              <w:t>3900</w:t>
            </w:r>
          </w:p>
        </w:tc>
        <w:tc>
          <w:tcPr>
            <w:tcW w:w="413" w:type="pct"/>
            <w:tcBorders>
              <w:top w:val="nil"/>
              <w:left w:val="nil"/>
              <w:bottom w:val="nil"/>
              <w:right w:val="single" w:sz="4" w:space="0" w:color="auto"/>
            </w:tcBorders>
            <w:shd w:val="clear" w:color="auto" w:fill="auto"/>
            <w:noWrap/>
            <w:vAlign w:val="center"/>
            <w:hideMark/>
          </w:tcPr>
          <w:p w14:paraId="2BB21191"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0.0513%</w:t>
            </w:r>
          </w:p>
        </w:tc>
      </w:tr>
      <w:tr w:rsidR="00257248" w:rsidRPr="00877650" w14:paraId="333533F1" w14:textId="77777777" w:rsidTr="00323FD6">
        <w:trPr>
          <w:trHeight w:val="290"/>
        </w:trPr>
        <w:tc>
          <w:tcPr>
            <w:tcW w:w="1105" w:type="pct"/>
            <w:gridSpan w:val="2"/>
            <w:tcBorders>
              <w:top w:val="nil"/>
              <w:left w:val="single" w:sz="4" w:space="0" w:color="auto"/>
              <w:bottom w:val="single" w:sz="4" w:space="0" w:color="auto"/>
              <w:right w:val="nil"/>
            </w:tcBorders>
            <w:shd w:val="clear" w:color="auto" w:fill="auto"/>
            <w:noWrap/>
            <w:vAlign w:val="center"/>
            <w:hideMark/>
          </w:tcPr>
          <w:p w14:paraId="0B1EEC7C" w14:textId="77777777" w:rsidR="00257248" w:rsidRPr="00877650" w:rsidRDefault="00257248" w:rsidP="00323FD6">
            <w:pPr>
              <w:rPr>
                <w:rFonts w:ascii="Calibri" w:hAnsi="Calibri" w:cs="Calibri"/>
                <w:color w:val="F2F2F2"/>
              </w:rPr>
            </w:pPr>
          </w:p>
        </w:tc>
        <w:tc>
          <w:tcPr>
            <w:tcW w:w="516" w:type="pct"/>
            <w:tcBorders>
              <w:top w:val="nil"/>
              <w:left w:val="nil"/>
              <w:bottom w:val="single" w:sz="4" w:space="0" w:color="auto"/>
              <w:right w:val="nil"/>
            </w:tcBorders>
            <w:shd w:val="clear" w:color="auto" w:fill="auto"/>
            <w:noWrap/>
            <w:vAlign w:val="center"/>
            <w:hideMark/>
          </w:tcPr>
          <w:p w14:paraId="3C6309FE" w14:textId="77777777" w:rsidR="00257248" w:rsidRPr="00877650" w:rsidRDefault="00257248" w:rsidP="00323FD6">
            <w:pPr>
              <w:rPr>
                <w:rFonts w:ascii="Calibri" w:hAnsi="Calibri" w:cs="Calibri"/>
                <w:color w:val="000000"/>
              </w:rPr>
            </w:pPr>
            <w:r w:rsidRPr="00877650">
              <w:rPr>
                <w:rFonts w:ascii="Calibri" w:hAnsi="Calibri" w:cs="Calibri"/>
                <w:color w:val="000000"/>
              </w:rPr>
              <w:t>Ga0070236_107</w:t>
            </w:r>
          </w:p>
        </w:tc>
        <w:tc>
          <w:tcPr>
            <w:tcW w:w="311" w:type="pct"/>
            <w:tcBorders>
              <w:top w:val="nil"/>
              <w:left w:val="nil"/>
              <w:bottom w:val="single" w:sz="4" w:space="0" w:color="auto"/>
              <w:right w:val="nil"/>
            </w:tcBorders>
            <w:shd w:val="clear" w:color="auto" w:fill="auto"/>
            <w:noWrap/>
            <w:vAlign w:val="center"/>
            <w:hideMark/>
          </w:tcPr>
          <w:p w14:paraId="3E8330E9"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single" w:sz="4" w:space="0" w:color="auto"/>
              <w:right w:val="nil"/>
            </w:tcBorders>
            <w:shd w:val="clear" w:color="auto" w:fill="auto"/>
            <w:noWrap/>
            <w:vAlign w:val="center"/>
            <w:hideMark/>
          </w:tcPr>
          <w:p w14:paraId="49F83A1A" w14:textId="77777777" w:rsidR="00257248" w:rsidRPr="00877650" w:rsidRDefault="00257248" w:rsidP="00323FD6">
            <w:pPr>
              <w:rPr>
                <w:rFonts w:ascii="Calibri" w:hAnsi="Calibri" w:cs="Calibri"/>
                <w:color w:val="000000"/>
              </w:rPr>
            </w:pPr>
            <w:r w:rsidRPr="00877650">
              <w:rPr>
                <w:rFonts w:ascii="Calibri" w:hAnsi="Calibri" w:cs="Calibri"/>
                <w:color w:val="000000"/>
              </w:rPr>
              <w:t>hypothetical protein</w:t>
            </w:r>
          </w:p>
        </w:tc>
        <w:tc>
          <w:tcPr>
            <w:tcW w:w="552" w:type="pct"/>
            <w:tcBorders>
              <w:top w:val="nil"/>
              <w:left w:val="nil"/>
              <w:bottom w:val="single" w:sz="4" w:space="0" w:color="auto"/>
              <w:right w:val="nil"/>
            </w:tcBorders>
            <w:shd w:val="clear" w:color="auto" w:fill="auto"/>
            <w:noWrap/>
            <w:vAlign w:val="center"/>
            <w:hideMark/>
          </w:tcPr>
          <w:p w14:paraId="52D9E105"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Transposase </w:t>
            </w:r>
            <w:proofErr w:type="spellStart"/>
            <w:r w:rsidRPr="00877650">
              <w:rPr>
                <w:rFonts w:ascii="Calibri" w:hAnsi="Calibri" w:cs="Calibri"/>
                <w:color w:val="000000"/>
              </w:rPr>
              <w:t>InsO</w:t>
            </w:r>
            <w:proofErr w:type="spellEnd"/>
            <w:r w:rsidRPr="00877650">
              <w:rPr>
                <w:rFonts w:ascii="Calibri" w:hAnsi="Calibri" w:cs="Calibri"/>
                <w:color w:val="000000"/>
              </w:rPr>
              <w:t xml:space="preserve"> and inactivated derivatives</w:t>
            </w:r>
          </w:p>
        </w:tc>
        <w:tc>
          <w:tcPr>
            <w:tcW w:w="448" w:type="pct"/>
            <w:tcBorders>
              <w:top w:val="nil"/>
              <w:left w:val="nil"/>
              <w:bottom w:val="single" w:sz="4" w:space="0" w:color="auto"/>
              <w:right w:val="nil"/>
            </w:tcBorders>
            <w:shd w:val="clear" w:color="auto" w:fill="auto"/>
            <w:noWrap/>
            <w:vAlign w:val="center"/>
            <w:hideMark/>
          </w:tcPr>
          <w:p w14:paraId="0B9A5409" w14:textId="77777777" w:rsidR="00257248" w:rsidRPr="00877650" w:rsidRDefault="00257248" w:rsidP="00323FD6">
            <w:pPr>
              <w:rPr>
                <w:rFonts w:ascii="Calibri" w:hAnsi="Calibri" w:cs="Calibri"/>
                <w:color w:val="000000"/>
              </w:rPr>
            </w:pPr>
            <w:r w:rsidRPr="00877650">
              <w:rPr>
                <w:rFonts w:ascii="Calibri" w:hAnsi="Calibri" w:cs="Calibri"/>
                <w:color w:val="000000"/>
              </w:rPr>
              <w:t>3616</w:t>
            </w:r>
          </w:p>
        </w:tc>
        <w:tc>
          <w:tcPr>
            <w:tcW w:w="309" w:type="pct"/>
            <w:tcBorders>
              <w:top w:val="nil"/>
              <w:left w:val="nil"/>
              <w:bottom w:val="single" w:sz="4" w:space="0" w:color="auto"/>
              <w:right w:val="nil"/>
            </w:tcBorders>
            <w:shd w:val="clear" w:color="auto" w:fill="auto"/>
            <w:noWrap/>
            <w:vAlign w:val="center"/>
            <w:hideMark/>
          </w:tcPr>
          <w:p w14:paraId="3A96A13B" w14:textId="77777777" w:rsidR="00257248" w:rsidRPr="00877650" w:rsidRDefault="00257248" w:rsidP="00323FD6">
            <w:pPr>
              <w:rPr>
                <w:rFonts w:ascii="Calibri" w:hAnsi="Calibri" w:cs="Calibri"/>
                <w:color w:val="000000"/>
              </w:rPr>
            </w:pPr>
            <w:r w:rsidRPr="00877650">
              <w:rPr>
                <w:rFonts w:ascii="Calibri" w:hAnsi="Calibri" w:cs="Calibri"/>
                <w:color w:val="000000"/>
              </w:rPr>
              <w:t>6470</w:t>
            </w:r>
          </w:p>
        </w:tc>
        <w:tc>
          <w:tcPr>
            <w:tcW w:w="240" w:type="pct"/>
            <w:tcBorders>
              <w:top w:val="nil"/>
              <w:left w:val="nil"/>
              <w:bottom w:val="single" w:sz="4" w:space="0" w:color="auto"/>
              <w:right w:val="nil"/>
            </w:tcBorders>
            <w:shd w:val="clear" w:color="auto" w:fill="auto"/>
            <w:noWrap/>
            <w:vAlign w:val="center"/>
            <w:hideMark/>
          </w:tcPr>
          <w:p w14:paraId="3FB4249B" w14:textId="77777777" w:rsidR="00257248" w:rsidRPr="00877650" w:rsidRDefault="00257248" w:rsidP="00323FD6">
            <w:pPr>
              <w:rPr>
                <w:rFonts w:ascii="Calibri" w:hAnsi="Calibri" w:cs="Calibri"/>
                <w:color w:val="000000"/>
              </w:rPr>
            </w:pPr>
            <w:r w:rsidRPr="00877650">
              <w:rPr>
                <w:rFonts w:ascii="Calibri" w:hAnsi="Calibri" w:cs="Calibri"/>
                <w:color w:val="000000"/>
              </w:rPr>
              <w:t>17.1</w:t>
            </w:r>
          </w:p>
        </w:tc>
        <w:tc>
          <w:tcPr>
            <w:tcW w:w="1035" w:type="pct"/>
            <w:gridSpan w:val="3"/>
            <w:tcBorders>
              <w:top w:val="nil"/>
              <w:left w:val="nil"/>
              <w:bottom w:val="single" w:sz="4" w:space="0" w:color="auto"/>
              <w:right w:val="single" w:sz="4" w:space="0" w:color="auto"/>
            </w:tcBorders>
            <w:shd w:val="clear" w:color="auto" w:fill="auto"/>
            <w:noWrap/>
            <w:vAlign w:val="center"/>
            <w:hideMark/>
          </w:tcPr>
          <w:p w14:paraId="7CED35C8" w14:textId="77777777" w:rsidR="00257248" w:rsidRPr="00877650" w:rsidRDefault="00257248" w:rsidP="00323FD6">
            <w:pPr>
              <w:rPr>
                <w:rFonts w:ascii="Calibri" w:hAnsi="Calibri" w:cs="Calibri"/>
                <w:color w:val="000000"/>
              </w:rPr>
            </w:pPr>
          </w:p>
        </w:tc>
      </w:tr>
      <w:tr w:rsidR="00257248" w:rsidRPr="00877650" w14:paraId="1A6805E5" w14:textId="77777777" w:rsidTr="00323FD6">
        <w:trPr>
          <w:trHeight w:val="290"/>
        </w:trPr>
        <w:tc>
          <w:tcPr>
            <w:tcW w:w="516" w:type="pct"/>
            <w:tcBorders>
              <w:top w:val="nil"/>
              <w:left w:val="single" w:sz="4" w:space="0" w:color="auto"/>
              <w:bottom w:val="nil"/>
              <w:right w:val="nil"/>
            </w:tcBorders>
            <w:shd w:val="clear" w:color="auto" w:fill="auto"/>
            <w:noWrap/>
            <w:vAlign w:val="center"/>
            <w:hideMark/>
          </w:tcPr>
          <w:p w14:paraId="1B1668D0" w14:textId="77777777" w:rsidR="00257248" w:rsidRPr="00877650" w:rsidRDefault="00257248" w:rsidP="00323FD6">
            <w:pPr>
              <w:rPr>
                <w:rFonts w:ascii="Calibri" w:hAnsi="Calibri" w:cs="Calibri"/>
                <w:color w:val="000000"/>
              </w:rPr>
            </w:pPr>
            <w:r w:rsidRPr="00877650">
              <w:rPr>
                <w:rFonts w:ascii="Calibri" w:hAnsi="Calibri" w:cs="Calibri"/>
                <w:color w:val="000000"/>
              </w:rPr>
              <w:t>2671181183</w:t>
            </w:r>
          </w:p>
        </w:tc>
        <w:tc>
          <w:tcPr>
            <w:tcW w:w="589" w:type="pct"/>
            <w:tcBorders>
              <w:top w:val="nil"/>
              <w:left w:val="nil"/>
              <w:bottom w:val="nil"/>
              <w:right w:val="nil"/>
            </w:tcBorders>
            <w:shd w:val="clear" w:color="auto" w:fill="auto"/>
            <w:noWrap/>
            <w:vAlign w:val="center"/>
            <w:hideMark/>
          </w:tcPr>
          <w:p w14:paraId="45BFB93F"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Phaeobacter</w:t>
            </w:r>
            <w:proofErr w:type="spellEnd"/>
            <w:r w:rsidRPr="00877650">
              <w:rPr>
                <w:rFonts w:ascii="Calibri" w:hAnsi="Calibri" w:cs="Calibri"/>
                <w:color w:val="000000"/>
              </w:rPr>
              <w:t xml:space="preserve"> piscinae S26</w:t>
            </w:r>
          </w:p>
        </w:tc>
        <w:tc>
          <w:tcPr>
            <w:tcW w:w="516" w:type="pct"/>
            <w:tcBorders>
              <w:top w:val="nil"/>
              <w:left w:val="nil"/>
              <w:bottom w:val="nil"/>
              <w:right w:val="nil"/>
            </w:tcBorders>
            <w:shd w:val="clear" w:color="auto" w:fill="auto"/>
            <w:noWrap/>
            <w:vAlign w:val="center"/>
            <w:hideMark/>
          </w:tcPr>
          <w:p w14:paraId="67327CE0" w14:textId="77777777" w:rsidR="00257248" w:rsidRPr="00877650" w:rsidRDefault="00257248" w:rsidP="00323FD6">
            <w:pPr>
              <w:rPr>
                <w:rFonts w:ascii="Calibri" w:hAnsi="Calibri" w:cs="Calibri"/>
                <w:color w:val="000000"/>
              </w:rPr>
            </w:pPr>
            <w:r w:rsidRPr="00877650">
              <w:rPr>
                <w:rFonts w:ascii="Calibri" w:hAnsi="Calibri" w:cs="Calibri"/>
                <w:color w:val="000000"/>
              </w:rPr>
              <w:t>Ga0124422_105</w:t>
            </w:r>
          </w:p>
        </w:tc>
        <w:tc>
          <w:tcPr>
            <w:tcW w:w="311" w:type="pct"/>
            <w:tcBorders>
              <w:top w:val="nil"/>
              <w:left w:val="nil"/>
              <w:bottom w:val="nil"/>
              <w:right w:val="nil"/>
            </w:tcBorders>
            <w:shd w:val="clear" w:color="auto" w:fill="auto"/>
            <w:noWrap/>
            <w:vAlign w:val="center"/>
            <w:hideMark/>
          </w:tcPr>
          <w:p w14:paraId="16ED9929"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34197012" w14:textId="77777777" w:rsidR="00257248" w:rsidRPr="00877650" w:rsidRDefault="00257248" w:rsidP="00323FD6">
            <w:pPr>
              <w:rPr>
                <w:rFonts w:ascii="Calibri" w:hAnsi="Calibri" w:cs="Calibri"/>
                <w:color w:val="000000"/>
              </w:rPr>
            </w:pPr>
            <w:r w:rsidRPr="00877650">
              <w:rPr>
                <w:rFonts w:ascii="Calibri" w:hAnsi="Calibri" w:cs="Calibri"/>
                <w:color w:val="000000"/>
              </w:rPr>
              <w:t>acyl homoserine lactone synthase</w:t>
            </w:r>
          </w:p>
        </w:tc>
        <w:tc>
          <w:tcPr>
            <w:tcW w:w="552" w:type="pct"/>
            <w:tcBorders>
              <w:top w:val="nil"/>
              <w:left w:val="nil"/>
              <w:bottom w:val="nil"/>
              <w:right w:val="nil"/>
            </w:tcBorders>
            <w:shd w:val="clear" w:color="auto" w:fill="auto"/>
            <w:noWrap/>
            <w:vAlign w:val="center"/>
            <w:hideMark/>
          </w:tcPr>
          <w:p w14:paraId="4EED2287" w14:textId="77777777" w:rsidR="00257248" w:rsidRPr="00877650" w:rsidRDefault="00257248" w:rsidP="00323FD6">
            <w:pPr>
              <w:rPr>
                <w:rFonts w:ascii="Calibri" w:hAnsi="Calibri" w:cs="Calibri"/>
                <w:color w:val="000000"/>
              </w:rPr>
            </w:pPr>
            <w:r w:rsidRPr="00877650">
              <w:rPr>
                <w:rFonts w:ascii="Calibri" w:hAnsi="Calibri" w:cs="Calibri"/>
                <w:color w:val="000000"/>
              </w:rPr>
              <w:t>hypothetical protein</w:t>
            </w:r>
          </w:p>
        </w:tc>
        <w:tc>
          <w:tcPr>
            <w:tcW w:w="448" w:type="pct"/>
            <w:tcBorders>
              <w:top w:val="nil"/>
              <w:left w:val="nil"/>
              <w:bottom w:val="nil"/>
              <w:right w:val="nil"/>
            </w:tcBorders>
            <w:shd w:val="clear" w:color="auto" w:fill="auto"/>
            <w:noWrap/>
            <w:vAlign w:val="center"/>
            <w:hideMark/>
          </w:tcPr>
          <w:p w14:paraId="7A527386" w14:textId="77777777" w:rsidR="00257248" w:rsidRPr="00877650" w:rsidRDefault="00257248" w:rsidP="00323FD6">
            <w:pPr>
              <w:rPr>
                <w:rFonts w:ascii="Calibri" w:hAnsi="Calibri" w:cs="Calibri"/>
                <w:color w:val="000000"/>
              </w:rPr>
            </w:pPr>
            <w:r w:rsidRPr="00877650">
              <w:rPr>
                <w:rFonts w:ascii="Calibri" w:hAnsi="Calibri" w:cs="Calibri"/>
                <w:color w:val="000000"/>
              </w:rPr>
              <w:t>45</w:t>
            </w:r>
          </w:p>
        </w:tc>
        <w:tc>
          <w:tcPr>
            <w:tcW w:w="309" w:type="pct"/>
            <w:tcBorders>
              <w:top w:val="nil"/>
              <w:left w:val="nil"/>
              <w:bottom w:val="nil"/>
              <w:right w:val="nil"/>
            </w:tcBorders>
            <w:shd w:val="clear" w:color="auto" w:fill="auto"/>
            <w:noWrap/>
            <w:vAlign w:val="center"/>
            <w:hideMark/>
          </w:tcPr>
          <w:p w14:paraId="4826DDC1" w14:textId="77777777" w:rsidR="00257248" w:rsidRPr="00877650" w:rsidRDefault="00257248" w:rsidP="00323FD6">
            <w:pPr>
              <w:rPr>
                <w:rFonts w:ascii="Calibri" w:hAnsi="Calibri" w:cs="Calibri"/>
                <w:color w:val="000000"/>
              </w:rPr>
            </w:pPr>
            <w:r w:rsidRPr="00877650">
              <w:rPr>
                <w:rFonts w:ascii="Calibri" w:hAnsi="Calibri" w:cs="Calibri"/>
                <w:color w:val="000000"/>
              </w:rPr>
              <w:t>16</w:t>
            </w:r>
          </w:p>
        </w:tc>
        <w:tc>
          <w:tcPr>
            <w:tcW w:w="240" w:type="pct"/>
            <w:tcBorders>
              <w:top w:val="nil"/>
              <w:left w:val="nil"/>
              <w:bottom w:val="nil"/>
              <w:right w:val="nil"/>
            </w:tcBorders>
            <w:shd w:val="clear" w:color="auto" w:fill="auto"/>
            <w:noWrap/>
            <w:vAlign w:val="center"/>
            <w:hideMark/>
          </w:tcPr>
          <w:p w14:paraId="16161B8B" w14:textId="77777777" w:rsidR="00257248" w:rsidRPr="00877650" w:rsidRDefault="00257248" w:rsidP="00323FD6">
            <w:pPr>
              <w:rPr>
                <w:rFonts w:ascii="Calibri" w:hAnsi="Calibri" w:cs="Calibri"/>
                <w:color w:val="000000"/>
              </w:rPr>
            </w:pPr>
            <w:r w:rsidRPr="00877650">
              <w:rPr>
                <w:rFonts w:ascii="Calibri" w:hAnsi="Calibri" w:cs="Calibri"/>
                <w:color w:val="000000"/>
              </w:rPr>
              <w:t>38.9</w:t>
            </w:r>
          </w:p>
        </w:tc>
        <w:tc>
          <w:tcPr>
            <w:tcW w:w="311" w:type="pct"/>
            <w:tcBorders>
              <w:top w:val="nil"/>
              <w:left w:val="nil"/>
              <w:bottom w:val="nil"/>
              <w:right w:val="nil"/>
            </w:tcBorders>
            <w:shd w:val="clear" w:color="auto" w:fill="auto"/>
            <w:noWrap/>
            <w:vAlign w:val="center"/>
            <w:hideMark/>
          </w:tcPr>
          <w:p w14:paraId="692B6295" w14:textId="77777777" w:rsidR="00257248" w:rsidRPr="00877650" w:rsidRDefault="00257248" w:rsidP="00323FD6">
            <w:pPr>
              <w:rPr>
                <w:rFonts w:ascii="Calibri" w:hAnsi="Calibri" w:cs="Calibri"/>
                <w:color w:val="000000"/>
              </w:rPr>
            </w:pPr>
            <w:r w:rsidRPr="00877650">
              <w:rPr>
                <w:rFonts w:ascii="Calibri" w:hAnsi="Calibri" w:cs="Calibri"/>
                <w:color w:val="000000"/>
              </w:rPr>
              <w:t>3</w:t>
            </w:r>
          </w:p>
        </w:tc>
        <w:tc>
          <w:tcPr>
            <w:tcW w:w="311" w:type="pct"/>
            <w:tcBorders>
              <w:top w:val="nil"/>
              <w:left w:val="nil"/>
              <w:bottom w:val="nil"/>
              <w:right w:val="nil"/>
            </w:tcBorders>
            <w:shd w:val="clear" w:color="auto" w:fill="auto"/>
            <w:noWrap/>
            <w:vAlign w:val="center"/>
            <w:hideMark/>
          </w:tcPr>
          <w:p w14:paraId="4071EC15" w14:textId="77777777" w:rsidR="00257248" w:rsidRPr="00877650" w:rsidRDefault="00257248" w:rsidP="00323FD6">
            <w:pPr>
              <w:rPr>
                <w:rFonts w:ascii="Calibri" w:hAnsi="Calibri" w:cs="Calibri"/>
                <w:color w:val="000000"/>
              </w:rPr>
            </w:pPr>
            <w:r w:rsidRPr="00877650">
              <w:rPr>
                <w:rFonts w:ascii="Calibri" w:hAnsi="Calibri" w:cs="Calibri"/>
                <w:color w:val="000000"/>
              </w:rPr>
              <w:t>4079</w:t>
            </w:r>
          </w:p>
        </w:tc>
        <w:tc>
          <w:tcPr>
            <w:tcW w:w="413" w:type="pct"/>
            <w:tcBorders>
              <w:top w:val="nil"/>
              <w:left w:val="nil"/>
              <w:bottom w:val="nil"/>
              <w:right w:val="single" w:sz="4" w:space="0" w:color="auto"/>
            </w:tcBorders>
            <w:shd w:val="clear" w:color="auto" w:fill="auto"/>
            <w:noWrap/>
            <w:vAlign w:val="center"/>
            <w:hideMark/>
          </w:tcPr>
          <w:p w14:paraId="6D7AC86E"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0.0735%</w:t>
            </w:r>
          </w:p>
        </w:tc>
      </w:tr>
      <w:tr w:rsidR="00257248" w:rsidRPr="00877650" w14:paraId="5171540E" w14:textId="77777777" w:rsidTr="00323FD6">
        <w:trPr>
          <w:trHeight w:val="290"/>
        </w:trPr>
        <w:tc>
          <w:tcPr>
            <w:tcW w:w="1105" w:type="pct"/>
            <w:gridSpan w:val="2"/>
            <w:vMerge w:val="restart"/>
            <w:tcBorders>
              <w:top w:val="nil"/>
              <w:left w:val="single" w:sz="4" w:space="0" w:color="auto"/>
              <w:right w:val="nil"/>
            </w:tcBorders>
            <w:shd w:val="clear" w:color="auto" w:fill="auto"/>
            <w:noWrap/>
            <w:vAlign w:val="center"/>
            <w:hideMark/>
          </w:tcPr>
          <w:p w14:paraId="23B6E541" w14:textId="77777777" w:rsidR="00257248" w:rsidRPr="00877650" w:rsidRDefault="00257248" w:rsidP="00323FD6">
            <w:pPr>
              <w:rPr>
                <w:rFonts w:ascii="Calibri" w:hAnsi="Calibri" w:cs="Calibri"/>
                <w:color w:val="F2F2F2"/>
              </w:rPr>
            </w:pPr>
          </w:p>
        </w:tc>
        <w:tc>
          <w:tcPr>
            <w:tcW w:w="516" w:type="pct"/>
            <w:tcBorders>
              <w:top w:val="nil"/>
              <w:left w:val="nil"/>
              <w:bottom w:val="nil"/>
              <w:right w:val="nil"/>
            </w:tcBorders>
            <w:shd w:val="clear" w:color="auto" w:fill="auto"/>
            <w:noWrap/>
            <w:vAlign w:val="center"/>
            <w:hideMark/>
          </w:tcPr>
          <w:p w14:paraId="3A85B7E5" w14:textId="77777777" w:rsidR="00257248" w:rsidRPr="00877650" w:rsidRDefault="00257248" w:rsidP="00323FD6">
            <w:pPr>
              <w:rPr>
                <w:rFonts w:ascii="Calibri" w:hAnsi="Calibri" w:cs="Calibri"/>
                <w:color w:val="000000"/>
              </w:rPr>
            </w:pPr>
            <w:r w:rsidRPr="00877650">
              <w:rPr>
                <w:rFonts w:ascii="Calibri" w:hAnsi="Calibri" w:cs="Calibri"/>
                <w:color w:val="000000"/>
              </w:rPr>
              <w:t>Ga0124422_105</w:t>
            </w:r>
          </w:p>
        </w:tc>
        <w:tc>
          <w:tcPr>
            <w:tcW w:w="311" w:type="pct"/>
            <w:tcBorders>
              <w:top w:val="nil"/>
              <w:left w:val="nil"/>
              <w:bottom w:val="nil"/>
              <w:right w:val="nil"/>
            </w:tcBorders>
            <w:shd w:val="clear" w:color="auto" w:fill="auto"/>
            <w:noWrap/>
            <w:vAlign w:val="center"/>
            <w:hideMark/>
          </w:tcPr>
          <w:p w14:paraId="36EC9865"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2D9F2A1E" w14:textId="77777777" w:rsidR="00257248" w:rsidRPr="00877650" w:rsidRDefault="00257248" w:rsidP="00323FD6">
            <w:pPr>
              <w:rPr>
                <w:rFonts w:ascii="Calibri" w:hAnsi="Calibri" w:cs="Calibri"/>
                <w:color w:val="000000"/>
              </w:rPr>
            </w:pPr>
            <w:r w:rsidRPr="00877650">
              <w:rPr>
                <w:rFonts w:ascii="Calibri" w:hAnsi="Calibri" w:cs="Calibri"/>
                <w:color w:val="000000"/>
              </w:rPr>
              <w:t>conserved hypothetical protein</w:t>
            </w:r>
          </w:p>
        </w:tc>
        <w:tc>
          <w:tcPr>
            <w:tcW w:w="552" w:type="pct"/>
            <w:tcBorders>
              <w:top w:val="nil"/>
              <w:left w:val="nil"/>
              <w:bottom w:val="nil"/>
              <w:right w:val="nil"/>
            </w:tcBorders>
            <w:shd w:val="clear" w:color="auto" w:fill="auto"/>
            <w:noWrap/>
            <w:vAlign w:val="center"/>
            <w:hideMark/>
          </w:tcPr>
          <w:p w14:paraId="4E1F890E"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(R)-</w:t>
            </w:r>
            <w:proofErr w:type="spellStart"/>
            <w:r w:rsidRPr="00877650">
              <w:rPr>
                <w:rFonts w:ascii="Calibri" w:hAnsi="Calibri" w:cs="Calibri"/>
                <w:color w:val="000000"/>
              </w:rPr>
              <w:t>ethylmalonyl</w:t>
            </w:r>
            <w:proofErr w:type="spellEnd"/>
            <w:r w:rsidRPr="00877650">
              <w:rPr>
                <w:rFonts w:ascii="Calibri" w:hAnsi="Calibri" w:cs="Calibri"/>
                <w:color w:val="000000"/>
              </w:rPr>
              <w:t>-CoA mutase</w:t>
            </w:r>
          </w:p>
        </w:tc>
        <w:tc>
          <w:tcPr>
            <w:tcW w:w="448" w:type="pct"/>
            <w:tcBorders>
              <w:top w:val="nil"/>
              <w:left w:val="nil"/>
              <w:bottom w:val="nil"/>
              <w:right w:val="nil"/>
            </w:tcBorders>
            <w:shd w:val="clear" w:color="auto" w:fill="auto"/>
            <w:noWrap/>
            <w:vAlign w:val="center"/>
            <w:hideMark/>
          </w:tcPr>
          <w:p w14:paraId="2AD9B4DB" w14:textId="77777777" w:rsidR="00257248" w:rsidRPr="00877650" w:rsidRDefault="00257248" w:rsidP="00323FD6">
            <w:pPr>
              <w:rPr>
                <w:rFonts w:ascii="Calibri" w:hAnsi="Calibri" w:cs="Calibri"/>
                <w:color w:val="000000"/>
              </w:rPr>
            </w:pPr>
            <w:r w:rsidRPr="00877650">
              <w:rPr>
                <w:rFonts w:ascii="Calibri" w:hAnsi="Calibri" w:cs="Calibri"/>
                <w:color w:val="000000"/>
              </w:rPr>
              <w:t>3187</w:t>
            </w:r>
          </w:p>
        </w:tc>
        <w:tc>
          <w:tcPr>
            <w:tcW w:w="309" w:type="pct"/>
            <w:tcBorders>
              <w:top w:val="nil"/>
              <w:left w:val="nil"/>
              <w:bottom w:val="nil"/>
              <w:right w:val="nil"/>
            </w:tcBorders>
            <w:shd w:val="clear" w:color="auto" w:fill="auto"/>
            <w:noWrap/>
            <w:vAlign w:val="center"/>
            <w:hideMark/>
          </w:tcPr>
          <w:p w14:paraId="7CFBF612" w14:textId="77777777" w:rsidR="00257248" w:rsidRPr="00877650" w:rsidRDefault="00257248" w:rsidP="00323FD6">
            <w:pPr>
              <w:rPr>
                <w:rFonts w:ascii="Calibri" w:hAnsi="Calibri" w:cs="Calibri"/>
                <w:color w:val="000000"/>
              </w:rPr>
            </w:pPr>
            <w:r w:rsidRPr="00877650">
              <w:rPr>
                <w:rFonts w:ascii="Calibri" w:hAnsi="Calibri" w:cs="Calibri"/>
                <w:color w:val="000000"/>
              </w:rPr>
              <w:t>4238</w:t>
            </w:r>
          </w:p>
        </w:tc>
        <w:tc>
          <w:tcPr>
            <w:tcW w:w="240" w:type="pct"/>
            <w:tcBorders>
              <w:top w:val="nil"/>
              <w:left w:val="nil"/>
              <w:bottom w:val="nil"/>
              <w:right w:val="nil"/>
            </w:tcBorders>
            <w:shd w:val="clear" w:color="auto" w:fill="auto"/>
            <w:noWrap/>
            <w:vAlign w:val="center"/>
            <w:hideMark/>
          </w:tcPr>
          <w:p w14:paraId="691BF970" w14:textId="77777777" w:rsidR="00257248" w:rsidRPr="00877650" w:rsidRDefault="00257248" w:rsidP="00323FD6">
            <w:pPr>
              <w:rPr>
                <w:rFonts w:ascii="Calibri" w:hAnsi="Calibri" w:cs="Calibri"/>
                <w:color w:val="000000"/>
              </w:rPr>
            </w:pPr>
            <w:r w:rsidRPr="00877650">
              <w:rPr>
                <w:rFonts w:ascii="Calibri" w:hAnsi="Calibri" w:cs="Calibri"/>
                <w:color w:val="000000"/>
              </w:rPr>
              <w:t>34.8</w:t>
            </w:r>
          </w:p>
        </w:tc>
        <w:tc>
          <w:tcPr>
            <w:tcW w:w="1035" w:type="pct"/>
            <w:gridSpan w:val="3"/>
            <w:vMerge w:val="restart"/>
            <w:tcBorders>
              <w:top w:val="nil"/>
              <w:left w:val="nil"/>
              <w:right w:val="single" w:sz="4" w:space="0" w:color="auto"/>
            </w:tcBorders>
            <w:shd w:val="clear" w:color="auto" w:fill="auto"/>
            <w:noWrap/>
            <w:vAlign w:val="center"/>
            <w:hideMark/>
          </w:tcPr>
          <w:p w14:paraId="713D22EA" w14:textId="77777777" w:rsidR="00257248" w:rsidRPr="00877650" w:rsidRDefault="00257248" w:rsidP="00323FD6">
            <w:pPr>
              <w:rPr>
                <w:rFonts w:ascii="Calibri" w:hAnsi="Calibri" w:cs="Calibri"/>
                <w:color w:val="000000"/>
              </w:rPr>
            </w:pPr>
          </w:p>
        </w:tc>
      </w:tr>
      <w:tr w:rsidR="00257248" w:rsidRPr="00877650" w14:paraId="7D5B43F8" w14:textId="77777777" w:rsidTr="00323FD6">
        <w:trPr>
          <w:trHeight w:val="290"/>
        </w:trPr>
        <w:tc>
          <w:tcPr>
            <w:tcW w:w="1105" w:type="pct"/>
            <w:gridSpan w:val="2"/>
            <w:vMerge/>
            <w:tcBorders>
              <w:left w:val="single" w:sz="4" w:space="0" w:color="auto"/>
              <w:bottom w:val="single" w:sz="4" w:space="0" w:color="auto"/>
              <w:right w:val="nil"/>
            </w:tcBorders>
            <w:shd w:val="clear" w:color="auto" w:fill="auto"/>
            <w:noWrap/>
            <w:vAlign w:val="center"/>
            <w:hideMark/>
          </w:tcPr>
          <w:p w14:paraId="03B29068" w14:textId="77777777" w:rsidR="00257248" w:rsidRPr="00877650" w:rsidRDefault="00257248" w:rsidP="00323FD6">
            <w:pPr>
              <w:rPr>
                <w:rFonts w:ascii="Calibri" w:hAnsi="Calibri" w:cs="Calibri"/>
                <w:color w:val="F2F2F2"/>
              </w:rPr>
            </w:pPr>
          </w:p>
        </w:tc>
        <w:tc>
          <w:tcPr>
            <w:tcW w:w="516" w:type="pct"/>
            <w:tcBorders>
              <w:top w:val="nil"/>
              <w:left w:val="nil"/>
              <w:bottom w:val="single" w:sz="4" w:space="0" w:color="auto"/>
              <w:right w:val="nil"/>
            </w:tcBorders>
            <w:shd w:val="clear" w:color="auto" w:fill="auto"/>
            <w:noWrap/>
            <w:vAlign w:val="center"/>
            <w:hideMark/>
          </w:tcPr>
          <w:p w14:paraId="745A87CC" w14:textId="77777777" w:rsidR="00257248" w:rsidRPr="00877650" w:rsidRDefault="00257248" w:rsidP="00323FD6">
            <w:pPr>
              <w:rPr>
                <w:rFonts w:ascii="Calibri" w:hAnsi="Calibri" w:cs="Calibri"/>
                <w:color w:val="000000"/>
              </w:rPr>
            </w:pPr>
            <w:r w:rsidRPr="00877650">
              <w:rPr>
                <w:rFonts w:ascii="Calibri" w:hAnsi="Calibri" w:cs="Calibri"/>
                <w:color w:val="000000"/>
              </w:rPr>
              <w:t>Ga0124422_126</w:t>
            </w:r>
          </w:p>
        </w:tc>
        <w:tc>
          <w:tcPr>
            <w:tcW w:w="311" w:type="pct"/>
            <w:tcBorders>
              <w:top w:val="nil"/>
              <w:left w:val="nil"/>
              <w:bottom w:val="single" w:sz="4" w:space="0" w:color="auto"/>
              <w:right w:val="nil"/>
            </w:tcBorders>
            <w:shd w:val="clear" w:color="auto" w:fill="auto"/>
            <w:noWrap/>
            <w:vAlign w:val="center"/>
            <w:hideMark/>
          </w:tcPr>
          <w:p w14:paraId="501888C8"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single" w:sz="4" w:space="0" w:color="auto"/>
              <w:right w:val="nil"/>
            </w:tcBorders>
            <w:shd w:val="clear" w:color="auto" w:fill="auto"/>
            <w:noWrap/>
            <w:vAlign w:val="center"/>
            <w:hideMark/>
          </w:tcPr>
          <w:p w14:paraId="58443B3E" w14:textId="77777777" w:rsidR="00257248" w:rsidRPr="00877650" w:rsidRDefault="00257248" w:rsidP="00323FD6">
            <w:pPr>
              <w:rPr>
                <w:rFonts w:ascii="Calibri" w:hAnsi="Calibri" w:cs="Calibri"/>
                <w:color w:val="000000"/>
              </w:rPr>
            </w:pPr>
            <w:r w:rsidRPr="00877650">
              <w:rPr>
                <w:rFonts w:ascii="Calibri" w:hAnsi="Calibri" w:cs="Calibri"/>
                <w:color w:val="000000"/>
              </w:rPr>
              <w:t>hypothetical protein</w:t>
            </w:r>
          </w:p>
        </w:tc>
        <w:tc>
          <w:tcPr>
            <w:tcW w:w="552" w:type="pct"/>
            <w:tcBorders>
              <w:top w:val="nil"/>
              <w:left w:val="nil"/>
              <w:bottom w:val="single" w:sz="4" w:space="0" w:color="auto"/>
              <w:right w:val="nil"/>
            </w:tcBorders>
            <w:shd w:val="clear" w:color="auto" w:fill="auto"/>
            <w:noWrap/>
            <w:vAlign w:val="center"/>
            <w:hideMark/>
          </w:tcPr>
          <w:p w14:paraId="4CA1AA84"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w:t>
            </w:r>
            <w:proofErr w:type="spellStart"/>
            <w:r w:rsidRPr="00877650">
              <w:rPr>
                <w:rFonts w:ascii="Calibri" w:hAnsi="Calibri" w:cs="Calibri"/>
                <w:color w:val="000000"/>
              </w:rPr>
              <w:t>homogentisate</w:t>
            </w:r>
            <w:proofErr w:type="spellEnd"/>
            <w:r w:rsidRPr="00877650">
              <w:rPr>
                <w:rFonts w:ascii="Calibri" w:hAnsi="Calibri" w:cs="Calibri"/>
                <w:color w:val="000000"/>
              </w:rPr>
              <w:t xml:space="preserve"> 1,2-dioxygenase</w:t>
            </w:r>
          </w:p>
        </w:tc>
        <w:tc>
          <w:tcPr>
            <w:tcW w:w="448" w:type="pct"/>
            <w:tcBorders>
              <w:top w:val="nil"/>
              <w:left w:val="nil"/>
              <w:bottom w:val="single" w:sz="4" w:space="0" w:color="auto"/>
              <w:right w:val="nil"/>
            </w:tcBorders>
            <w:shd w:val="clear" w:color="auto" w:fill="auto"/>
            <w:noWrap/>
            <w:vAlign w:val="center"/>
            <w:hideMark/>
          </w:tcPr>
          <w:p w14:paraId="7117607E" w14:textId="77777777" w:rsidR="00257248" w:rsidRPr="00877650" w:rsidRDefault="00257248" w:rsidP="00323FD6">
            <w:pPr>
              <w:rPr>
                <w:rFonts w:ascii="Calibri" w:hAnsi="Calibri" w:cs="Calibri"/>
                <w:color w:val="000000"/>
              </w:rPr>
            </w:pPr>
            <w:r w:rsidRPr="00877650">
              <w:rPr>
                <w:rFonts w:ascii="Calibri" w:hAnsi="Calibri" w:cs="Calibri"/>
                <w:color w:val="000000"/>
              </w:rPr>
              <w:t>1260</w:t>
            </w:r>
          </w:p>
        </w:tc>
        <w:tc>
          <w:tcPr>
            <w:tcW w:w="309" w:type="pct"/>
            <w:tcBorders>
              <w:top w:val="nil"/>
              <w:left w:val="nil"/>
              <w:bottom w:val="single" w:sz="4" w:space="0" w:color="auto"/>
              <w:right w:val="nil"/>
            </w:tcBorders>
            <w:shd w:val="clear" w:color="auto" w:fill="auto"/>
            <w:noWrap/>
            <w:vAlign w:val="center"/>
            <w:hideMark/>
          </w:tcPr>
          <w:p w14:paraId="28DDBA1C" w14:textId="77777777" w:rsidR="00257248" w:rsidRPr="00877650" w:rsidRDefault="00257248" w:rsidP="00323FD6">
            <w:pPr>
              <w:rPr>
                <w:rFonts w:ascii="Calibri" w:hAnsi="Calibri" w:cs="Calibri"/>
                <w:color w:val="000000"/>
              </w:rPr>
            </w:pPr>
            <w:r w:rsidRPr="00877650">
              <w:rPr>
                <w:rFonts w:ascii="Calibri" w:hAnsi="Calibri" w:cs="Calibri"/>
                <w:color w:val="000000"/>
              </w:rPr>
              <w:t>80</w:t>
            </w:r>
          </w:p>
        </w:tc>
        <w:tc>
          <w:tcPr>
            <w:tcW w:w="240" w:type="pct"/>
            <w:tcBorders>
              <w:top w:val="nil"/>
              <w:left w:val="nil"/>
              <w:bottom w:val="single" w:sz="4" w:space="0" w:color="auto"/>
              <w:right w:val="nil"/>
            </w:tcBorders>
            <w:shd w:val="clear" w:color="auto" w:fill="auto"/>
            <w:noWrap/>
            <w:vAlign w:val="center"/>
            <w:hideMark/>
          </w:tcPr>
          <w:p w14:paraId="5D399338" w14:textId="77777777" w:rsidR="00257248" w:rsidRPr="00877650" w:rsidRDefault="00257248" w:rsidP="00323FD6">
            <w:pPr>
              <w:rPr>
                <w:rFonts w:ascii="Calibri" w:hAnsi="Calibri" w:cs="Calibri"/>
                <w:color w:val="000000"/>
              </w:rPr>
            </w:pPr>
            <w:r w:rsidRPr="00877650">
              <w:rPr>
                <w:rFonts w:ascii="Calibri" w:hAnsi="Calibri" w:cs="Calibri"/>
                <w:color w:val="000000"/>
              </w:rPr>
              <w:t>17.4</w:t>
            </w:r>
          </w:p>
        </w:tc>
        <w:tc>
          <w:tcPr>
            <w:tcW w:w="1035" w:type="pct"/>
            <w:gridSpan w:val="3"/>
            <w:vMerge/>
            <w:tcBorders>
              <w:left w:val="nil"/>
              <w:bottom w:val="single" w:sz="4" w:space="0" w:color="auto"/>
              <w:right w:val="single" w:sz="4" w:space="0" w:color="auto"/>
            </w:tcBorders>
            <w:shd w:val="clear" w:color="auto" w:fill="auto"/>
            <w:noWrap/>
            <w:vAlign w:val="center"/>
            <w:hideMark/>
          </w:tcPr>
          <w:p w14:paraId="04D1BD63" w14:textId="77777777" w:rsidR="00257248" w:rsidRPr="00877650" w:rsidRDefault="00257248" w:rsidP="00323FD6">
            <w:pPr>
              <w:rPr>
                <w:rFonts w:ascii="Calibri" w:hAnsi="Calibri" w:cs="Calibri"/>
                <w:color w:val="000000"/>
              </w:rPr>
            </w:pPr>
          </w:p>
        </w:tc>
      </w:tr>
      <w:tr w:rsidR="00257248" w:rsidRPr="00877650" w14:paraId="21DF4233" w14:textId="77777777" w:rsidTr="00323FD6">
        <w:trPr>
          <w:trHeight w:val="290"/>
        </w:trPr>
        <w:tc>
          <w:tcPr>
            <w:tcW w:w="516" w:type="pct"/>
            <w:tcBorders>
              <w:top w:val="nil"/>
              <w:left w:val="single" w:sz="4" w:space="0" w:color="auto"/>
              <w:bottom w:val="nil"/>
              <w:right w:val="nil"/>
            </w:tcBorders>
            <w:shd w:val="clear" w:color="auto" w:fill="auto"/>
            <w:noWrap/>
            <w:vAlign w:val="center"/>
            <w:hideMark/>
          </w:tcPr>
          <w:p w14:paraId="314B8C76" w14:textId="77777777" w:rsidR="00257248" w:rsidRPr="00877650" w:rsidRDefault="00257248" w:rsidP="00323FD6">
            <w:pPr>
              <w:rPr>
                <w:rFonts w:ascii="Calibri" w:hAnsi="Calibri" w:cs="Calibri"/>
                <w:color w:val="000000"/>
              </w:rPr>
            </w:pPr>
            <w:r w:rsidRPr="00877650">
              <w:rPr>
                <w:rFonts w:ascii="Calibri" w:hAnsi="Calibri" w:cs="Calibri"/>
                <w:color w:val="000000"/>
              </w:rPr>
              <w:lastRenderedPageBreak/>
              <w:t>2718218026</w:t>
            </w:r>
          </w:p>
        </w:tc>
        <w:tc>
          <w:tcPr>
            <w:tcW w:w="589" w:type="pct"/>
            <w:tcBorders>
              <w:top w:val="nil"/>
              <w:left w:val="nil"/>
              <w:bottom w:val="nil"/>
              <w:right w:val="nil"/>
            </w:tcBorders>
            <w:shd w:val="clear" w:color="auto" w:fill="auto"/>
            <w:noWrap/>
            <w:vAlign w:val="center"/>
            <w:hideMark/>
          </w:tcPr>
          <w:p w14:paraId="3A585F03"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Phaeobacter</w:t>
            </w:r>
            <w:proofErr w:type="spellEnd"/>
            <w:r w:rsidRPr="00877650">
              <w:rPr>
                <w:rFonts w:ascii="Calibri" w:hAnsi="Calibri" w:cs="Calibri"/>
                <w:color w:val="000000"/>
              </w:rPr>
              <w:t xml:space="preserve"> </w:t>
            </w:r>
            <w:proofErr w:type="spellStart"/>
            <w:r w:rsidRPr="00877650">
              <w:rPr>
                <w:rFonts w:ascii="Calibri" w:hAnsi="Calibri" w:cs="Calibri"/>
                <w:color w:val="000000"/>
              </w:rPr>
              <w:t>porticola</w:t>
            </w:r>
            <w:proofErr w:type="spellEnd"/>
            <w:r w:rsidRPr="00877650">
              <w:rPr>
                <w:rFonts w:ascii="Calibri" w:hAnsi="Calibri" w:cs="Calibri"/>
                <w:color w:val="000000"/>
              </w:rPr>
              <w:t xml:space="preserve"> P97</w:t>
            </w:r>
          </w:p>
        </w:tc>
        <w:tc>
          <w:tcPr>
            <w:tcW w:w="516" w:type="pct"/>
            <w:tcBorders>
              <w:top w:val="nil"/>
              <w:left w:val="nil"/>
              <w:bottom w:val="nil"/>
              <w:right w:val="nil"/>
            </w:tcBorders>
            <w:shd w:val="clear" w:color="auto" w:fill="auto"/>
            <w:noWrap/>
            <w:vAlign w:val="center"/>
            <w:hideMark/>
          </w:tcPr>
          <w:p w14:paraId="6B41CF41" w14:textId="77777777" w:rsidR="00257248" w:rsidRPr="00877650" w:rsidRDefault="00257248" w:rsidP="00323FD6">
            <w:pPr>
              <w:rPr>
                <w:rFonts w:ascii="Calibri" w:hAnsi="Calibri" w:cs="Calibri"/>
                <w:color w:val="000000"/>
              </w:rPr>
            </w:pPr>
            <w:r w:rsidRPr="00877650">
              <w:rPr>
                <w:rFonts w:ascii="Calibri" w:hAnsi="Calibri" w:cs="Calibri"/>
                <w:color w:val="000000"/>
              </w:rPr>
              <w:t>Ga0175981_13</w:t>
            </w:r>
          </w:p>
        </w:tc>
        <w:tc>
          <w:tcPr>
            <w:tcW w:w="311" w:type="pct"/>
            <w:tcBorders>
              <w:top w:val="nil"/>
              <w:left w:val="nil"/>
              <w:bottom w:val="nil"/>
              <w:right w:val="nil"/>
            </w:tcBorders>
            <w:shd w:val="clear" w:color="auto" w:fill="auto"/>
            <w:noWrap/>
            <w:vAlign w:val="center"/>
            <w:hideMark/>
          </w:tcPr>
          <w:p w14:paraId="56B8D04C"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0B1BCBCE" w14:textId="77777777" w:rsidR="00257248" w:rsidRPr="00877650" w:rsidRDefault="00257248" w:rsidP="00323FD6">
            <w:pPr>
              <w:rPr>
                <w:rFonts w:ascii="Calibri" w:hAnsi="Calibri" w:cs="Calibri"/>
                <w:color w:val="000000"/>
              </w:rPr>
            </w:pPr>
            <w:r w:rsidRPr="00877650">
              <w:rPr>
                <w:rFonts w:ascii="Calibri" w:hAnsi="Calibri" w:cs="Calibri"/>
                <w:color w:val="000000"/>
              </w:rPr>
              <w:t>acyl homoserine lactone synthase</w:t>
            </w:r>
          </w:p>
        </w:tc>
        <w:tc>
          <w:tcPr>
            <w:tcW w:w="552" w:type="pct"/>
            <w:tcBorders>
              <w:top w:val="nil"/>
              <w:left w:val="nil"/>
              <w:bottom w:val="nil"/>
              <w:right w:val="nil"/>
            </w:tcBorders>
            <w:shd w:val="clear" w:color="auto" w:fill="auto"/>
            <w:noWrap/>
            <w:vAlign w:val="center"/>
            <w:hideMark/>
          </w:tcPr>
          <w:p w14:paraId="4466494B"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regulatory protein, </w:t>
            </w:r>
            <w:proofErr w:type="spellStart"/>
            <w:r w:rsidRPr="00877650">
              <w:rPr>
                <w:rFonts w:ascii="Calibri" w:hAnsi="Calibri" w:cs="Calibri"/>
                <w:color w:val="000000"/>
              </w:rPr>
              <w:t>luxR</w:t>
            </w:r>
            <w:proofErr w:type="spellEnd"/>
            <w:r w:rsidRPr="00877650">
              <w:rPr>
                <w:rFonts w:ascii="Calibri" w:hAnsi="Calibri" w:cs="Calibri"/>
                <w:color w:val="000000"/>
              </w:rPr>
              <w:t xml:space="preserve"> family</w:t>
            </w:r>
          </w:p>
        </w:tc>
        <w:tc>
          <w:tcPr>
            <w:tcW w:w="448" w:type="pct"/>
            <w:tcBorders>
              <w:top w:val="nil"/>
              <w:left w:val="nil"/>
              <w:bottom w:val="nil"/>
              <w:right w:val="nil"/>
            </w:tcBorders>
            <w:shd w:val="clear" w:color="auto" w:fill="auto"/>
            <w:noWrap/>
            <w:vAlign w:val="center"/>
            <w:hideMark/>
          </w:tcPr>
          <w:p w14:paraId="2316A993" w14:textId="77777777" w:rsidR="00257248" w:rsidRPr="00877650" w:rsidRDefault="00257248" w:rsidP="00323FD6">
            <w:pPr>
              <w:rPr>
                <w:rFonts w:ascii="Calibri" w:hAnsi="Calibri" w:cs="Calibri"/>
                <w:color w:val="000000"/>
              </w:rPr>
            </w:pPr>
            <w:r w:rsidRPr="00877650">
              <w:rPr>
                <w:rFonts w:ascii="Calibri" w:hAnsi="Calibri" w:cs="Calibri"/>
                <w:color w:val="000000"/>
              </w:rPr>
              <w:t>44</w:t>
            </w:r>
          </w:p>
        </w:tc>
        <w:tc>
          <w:tcPr>
            <w:tcW w:w="309" w:type="pct"/>
            <w:tcBorders>
              <w:top w:val="nil"/>
              <w:left w:val="nil"/>
              <w:bottom w:val="nil"/>
              <w:right w:val="nil"/>
            </w:tcBorders>
            <w:shd w:val="clear" w:color="auto" w:fill="auto"/>
            <w:noWrap/>
            <w:vAlign w:val="center"/>
            <w:hideMark/>
          </w:tcPr>
          <w:p w14:paraId="37743263" w14:textId="77777777" w:rsidR="00257248" w:rsidRPr="00877650" w:rsidRDefault="00257248" w:rsidP="00323FD6">
            <w:pPr>
              <w:rPr>
                <w:rFonts w:ascii="Calibri" w:hAnsi="Calibri" w:cs="Calibri"/>
                <w:color w:val="000000"/>
              </w:rPr>
            </w:pPr>
            <w:r w:rsidRPr="00877650">
              <w:rPr>
                <w:rFonts w:ascii="Calibri" w:hAnsi="Calibri" w:cs="Calibri"/>
                <w:color w:val="000000"/>
              </w:rPr>
              <w:t>16</w:t>
            </w:r>
          </w:p>
        </w:tc>
        <w:tc>
          <w:tcPr>
            <w:tcW w:w="240" w:type="pct"/>
            <w:tcBorders>
              <w:top w:val="nil"/>
              <w:left w:val="nil"/>
              <w:bottom w:val="nil"/>
              <w:right w:val="nil"/>
            </w:tcBorders>
            <w:shd w:val="clear" w:color="auto" w:fill="auto"/>
            <w:noWrap/>
            <w:vAlign w:val="center"/>
            <w:hideMark/>
          </w:tcPr>
          <w:p w14:paraId="7FBDCC77" w14:textId="77777777" w:rsidR="00257248" w:rsidRPr="00877650" w:rsidRDefault="00257248" w:rsidP="00323FD6">
            <w:pPr>
              <w:rPr>
                <w:rFonts w:ascii="Calibri" w:hAnsi="Calibri" w:cs="Calibri"/>
                <w:color w:val="000000"/>
              </w:rPr>
            </w:pPr>
            <w:r w:rsidRPr="00877650">
              <w:rPr>
                <w:rFonts w:ascii="Calibri" w:hAnsi="Calibri" w:cs="Calibri"/>
                <w:color w:val="000000"/>
              </w:rPr>
              <w:t>40.2</w:t>
            </w:r>
          </w:p>
        </w:tc>
        <w:tc>
          <w:tcPr>
            <w:tcW w:w="311" w:type="pct"/>
            <w:tcBorders>
              <w:top w:val="nil"/>
              <w:left w:val="nil"/>
              <w:bottom w:val="nil"/>
              <w:right w:val="nil"/>
            </w:tcBorders>
            <w:shd w:val="clear" w:color="auto" w:fill="auto"/>
            <w:noWrap/>
            <w:vAlign w:val="center"/>
            <w:hideMark/>
          </w:tcPr>
          <w:p w14:paraId="2F59DC87" w14:textId="77777777" w:rsidR="00257248" w:rsidRPr="00877650" w:rsidRDefault="00257248" w:rsidP="00323FD6">
            <w:pPr>
              <w:rPr>
                <w:rFonts w:ascii="Calibri" w:hAnsi="Calibri" w:cs="Calibri"/>
                <w:color w:val="000000"/>
              </w:rPr>
            </w:pPr>
            <w:r w:rsidRPr="00877650">
              <w:rPr>
                <w:rFonts w:ascii="Calibri" w:hAnsi="Calibri" w:cs="Calibri"/>
                <w:color w:val="000000"/>
              </w:rPr>
              <w:t>2</w:t>
            </w:r>
          </w:p>
        </w:tc>
        <w:tc>
          <w:tcPr>
            <w:tcW w:w="311" w:type="pct"/>
            <w:tcBorders>
              <w:top w:val="nil"/>
              <w:left w:val="nil"/>
              <w:bottom w:val="nil"/>
              <w:right w:val="nil"/>
            </w:tcBorders>
            <w:shd w:val="clear" w:color="auto" w:fill="auto"/>
            <w:noWrap/>
            <w:vAlign w:val="center"/>
            <w:hideMark/>
          </w:tcPr>
          <w:p w14:paraId="256E0514" w14:textId="77777777" w:rsidR="00257248" w:rsidRPr="00877650" w:rsidRDefault="00257248" w:rsidP="00323FD6">
            <w:pPr>
              <w:rPr>
                <w:rFonts w:ascii="Calibri" w:hAnsi="Calibri" w:cs="Calibri"/>
                <w:color w:val="000000"/>
              </w:rPr>
            </w:pPr>
            <w:r w:rsidRPr="00877650">
              <w:rPr>
                <w:rFonts w:ascii="Calibri" w:hAnsi="Calibri" w:cs="Calibri"/>
                <w:color w:val="000000"/>
              </w:rPr>
              <w:t>4025</w:t>
            </w:r>
          </w:p>
        </w:tc>
        <w:tc>
          <w:tcPr>
            <w:tcW w:w="413" w:type="pct"/>
            <w:tcBorders>
              <w:top w:val="nil"/>
              <w:left w:val="nil"/>
              <w:bottom w:val="nil"/>
              <w:right w:val="single" w:sz="4" w:space="0" w:color="auto"/>
            </w:tcBorders>
            <w:shd w:val="clear" w:color="auto" w:fill="auto"/>
            <w:noWrap/>
            <w:vAlign w:val="center"/>
            <w:hideMark/>
          </w:tcPr>
          <w:p w14:paraId="08C5A889"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0.0497%</w:t>
            </w:r>
          </w:p>
        </w:tc>
      </w:tr>
      <w:tr w:rsidR="00257248" w:rsidRPr="00877650" w14:paraId="02F01ECC" w14:textId="77777777" w:rsidTr="00323FD6">
        <w:trPr>
          <w:trHeight w:val="290"/>
        </w:trPr>
        <w:tc>
          <w:tcPr>
            <w:tcW w:w="1105" w:type="pct"/>
            <w:gridSpan w:val="2"/>
            <w:tcBorders>
              <w:top w:val="nil"/>
              <w:left w:val="single" w:sz="4" w:space="0" w:color="auto"/>
              <w:bottom w:val="single" w:sz="4" w:space="0" w:color="auto"/>
              <w:right w:val="nil"/>
            </w:tcBorders>
            <w:shd w:val="clear" w:color="auto" w:fill="auto"/>
            <w:noWrap/>
            <w:vAlign w:val="center"/>
            <w:hideMark/>
          </w:tcPr>
          <w:p w14:paraId="0CFB5B5F" w14:textId="77777777" w:rsidR="00257248" w:rsidRPr="00877650" w:rsidRDefault="00257248" w:rsidP="00323FD6">
            <w:pPr>
              <w:rPr>
                <w:rFonts w:ascii="Calibri" w:hAnsi="Calibri" w:cs="Calibri"/>
                <w:color w:val="F2F2F2"/>
              </w:rPr>
            </w:pPr>
          </w:p>
        </w:tc>
        <w:tc>
          <w:tcPr>
            <w:tcW w:w="516" w:type="pct"/>
            <w:tcBorders>
              <w:top w:val="nil"/>
              <w:left w:val="nil"/>
              <w:bottom w:val="single" w:sz="4" w:space="0" w:color="auto"/>
              <w:right w:val="nil"/>
            </w:tcBorders>
            <w:shd w:val="clear" w:color="auto" w:fill="auto"/>
            <w:noWrap/>
            <w:vAlign w:val="center"/>
            <w:hideMark/>
          </w:tcPr>
          <w:p w14:paraId="21ED11DF" w14:textId="77777777" w:rsidR="00257248" w:rsidRPr="00877650" w:rsidRDefault="00257248" w:rsidP="00323FD6">
            <w:pPr>
              <w:rPr>
                <w:rFonts w:ascii="Calibri" w:hAnsi="Calibri" w:cs="Calibri"/>
                <w:color w:val="000000"/>
              </w:rPr>
            </w:pPr>
            <w:r w:rsidRPr="00877650">
              <w:rPr>
                <w:rFonts w:ascii="Calibri" w:hAnsi="Calibri" w:cs="Calibri"/>
                <w:color w:val="000000"/>
              </w:rPr>
              <w:t>Ga0175981_13</w:t>
            </w:r>
          </w:p>
        </w:tc>
        <w:tc>
          <w:tcPr>
            <w:tcW w:w="311" w:type="pct"/>
            <w:tcBorders>
              <w:top w:val="nil"/>
              <w:left w:val="nil"/>
              <w:bottom w:val="single" w:sz="4" w:space="0" w:color="auto"/>
              <w:right w:val="nil"/>
            </w:tcBorders>
            <w:shd w:val="clear" w:color="auto" w:fill="auto"/>
            <w:noWrap/>
            <w:vAlign w:val="center"/>
            <w:hideMark/>
          </w:tcPr>
          <w:p w14:paraId="1ED360FF"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single" w:sz="4" w:space="0" w:color="auto"/>
              <w:right w:val="nil"/>
            </w:tcBorders>
            <w:shd w:val="clear" w:color="auto" w:fill="auto"/>
            <w:noWrap/>
            <w:vAlign w:val="center"/>
            <w:hideMark/>
          </w:tcPr>
          <w:p w14:paraId="2E3CC6F8" w14:textId="77777777" w:rsidR="00257248" w:rsidRPr="00877650" w:rsidRDefault="00257248" w:rsidP="00323FD6">
            <w:pPr>
              <w:rPr>
                <w:rFonts w:ascii="Calibri" w:hAnsi="Calibri" w:cs="Calibri"/>
                <w:color w:val="000000"/>
              </w:rPr>
            </w:pPr>
            <w:r w:rsidRPr="00877650">
              <w:rPr>
                <w:rFonts w:ascii="Calibri" w:hAnsi="Calibri" w:cs="Calibri"/>
                <w:color w:val="000000"/>
              </w:rPr>
              <w:t>Cu2+-exporting ATPase</w:t>
            </w:r>
          </w:p>
        </w:tc>
        <w:tc>
          <w:tcPr>
            <w:tcW w:w="552" w:type="pct"/>
            <w:tcBorders>
              <w:top w:val="nil"/>
              <w:left w:val="nil"/>
              <w:bottom w:val="single" w:sz="4" w:space="0" w:color="auto"/>
              <w:right w:val="nil"/>
            </w:tcBorders>
            <w:shd w:val="clear" w:color="auto" w:fill="auto"/>
            <w:noWrap/>
            <w:vAlign w:val="center"/>
            <w:hideMark/>
          </w:tcPr>
          <w:p w14:paraId="6CA9D1A3"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ATP-dependent </w:t>
            </w:r>
            <w:proofErr w:type="spellStart"/>
            <w:r w:rsidRPr="00877650">
              <w:rPr>
                <w:rFonts w:ascii="Calibri" w:hAnsi="Calibri" w:cs="Calibri"/>
                <w:color w:val="000000"/>
              </w:rPr>
              <w:t>Clp</w:t>
            </w:r>
            <w:proofErr w:type="spellEnd"/>
            <w:r w:rsidRPr="00877650">
              <w:rPr>
                <w:rFonts w:ascii="Calibri" w:hAnsi="Calibri" w:cs="Calibri"/>
                <w:color w:val="000000"/>
              </w:rPr>
              <w:t xml:space="preserve"> protease adaptor protein </w:t>
            </w:r>
            <w:proofErr w:type="spellStart"/>
            <w:r w:rsidRPr="00877650">
              <w:rPr>
                <w:rFonts w:ascii="Calibri" w:hAnsi="Calibri" w:cs="Calibri"/>
                <w:color w:val="000000"/>
              </w:rPr>
              <w:t>ClpS</w:t>
            </w:r>
            <w:proofErr w:type="spellEnd"/>
          </w:p>
        </w:tc>
        <w:tc>
          <w:tcPr>
            <w:tcW w:w="448" w:type="pct"/>
            <w:tcBorders>
              <w:top w:val="nil"/>
              <w:left w:val="nil"/>
              <w:bottom w:val="single" w:sz="4" w:space="0" w:color="auto"/>
              <w:right w:val="nil"/>
            </w:tcBorders>
            <w:shd w:val="clear" w:color="auto" w:fill="auto"/>
            <w:noWrap/>
            <w:vAlign w:val="center"/>
            <w:hideMark/>
          </w:tcPr>
          <w:p w14:paraId="49DC473C" w14:textId="77777777" w:rsidR="00257248" w:rsidRPr="00877650" w:rsidRDefault="00257248" w:rsidP="00323FD6">
            <w:pPr>
              <w:rPr>
                <w:rFonts w:ascii="Calibri" w:hAnsi="Calibri" w:cs="Calibri"/>
                <w:color w:val="000000"/>
              </w:rPr>
            </w:pPr>
            <w:r w:rsidRPr="00877650">
              <w:rPr>
                <w:rFonts w:ascii="Calibri" w:hAnsi="Calibri" w:cs="Calibri"/>
                <w:color w:val="000000"/>
              </w:rPr>
              <w:t>2284</w:t>
            </w:r>
          </w:p>
        </w:tc>
        <w:tc>
          <w:tcPr>
            <w:tcW w:w="309" w:type="pct"/>
            <w:tcBorders>
              <w:top w:val="nil"/>
              <w:left w:val="nil"/>
              <w:bottom w:val="single" w:sz="4" w:space="0" w:color="auto"/>
              <w:right w:val="nil"/>
            </w:tcBorders>
            <w:shd w:val="clear" w:color="auto" w:fill="auto"/>
            <w:noWrap/>
            <w:vAlign w:val="center"/>
            <w:hideMark/>
          </w:tcPr>
          <w:p w14:paraId="22A5ADBA" w14:textId="77777777" w:rsidR="00257248" w:rsidRPr="00877650" w:rsidRDefault="00257248" w:rsidP="00323FD6">
            <w:pPr>
              <w:rPr>
                <w:rFonts w:ascii="Calibri" w:hAnsi="Calibri" w:cs="Calibri"/>
                <w:color w:val="000000"/>
              </w:rPr>
            </w:pPr>
            <w:r w:rsidRPr="00877650">
              <w:rPr>
                <w:rFonts w:ascii="Calibri" w:hAnsi="Calibri" w:cs="Calibri"/>
                <w:color w:val="000000"/>
              </w:rPr>
              <w:t>1039</w:t>
            </w:r>
          </w:p>
        </w:tc>
        <w:tc>
          <w:tcPr>
            <w:tcW w:w="240" w:type="pct"/>
            <w:tcBorders>
              <w:top w:val="nil"/>
              <w:left w:val="nil"/>
              <w:bottom w:val="single" w:sz="4" w:space="0" w:color="auto"/>
              <w:right w:val="nil"/>
            </w:tcBorders>
            <w:shd w:val="clear" w:color="auto" w:fill="auto"/>
            <w:noWrap/>
            <w:vAlign w:val="center"/>
            <w:hideMark/>
          </w:tcPr>
          <w:p w14:paraId="490685BF" w14:textId="77777777" w:rsidR="00257248" w:rsidRPr="00877650" w:rsidRDefault="00257248" w:rsidP="00323FD6">
            <w:pPr>
              <w:rPr>
                <w:rFonts w:ascii="Calibri" w:hAnsi="Calibri" w:cs="Calibri"/>
                <w:color w:val="000000"/>
              </w:rPr>
            </w:pPr>
            <w:r w:rsidRPr="00877650">
              <w:rPr>
                <w:rFonts w:ascii="Calibri" w:hAnsi="Calibri" w:cs="Calibri"/>
                <w:color w:val="000000"/>
              </w:rPr>
              <w:t>17.1</w:t>
            </w:r>
          </w:p>
        </w:tc>
        <w:tc>
          <w:tcPr>
            <w:tcW w:w="1035" w:type="pct"/>
            <w:gridSpan w:val="3"/>
            <w:tcBorders>
              <w:top w:val="nil"/>
              <w:left w:val="nil"/>
              <w:bottom w:val="single" w:sz="4" w:space="0" w:color="auto"/>
              <w:right w:val="single" w:sz="4" w:space="0" w:color="auto"/>
            </w:tcBorders>
            <w:shd w:val="clear" w:color="auto" w:fill="auto"/>
            <w:noWrap/>
            <w:vAlign w:val="center"/>
            <w:hideMark/>
          </w:tcPr>
          <w:p w14:paraId="1A45CDAD" w14:textId="77777777" w:rsidR="00257248" w:rsidRPr="00877650" w:rsidRDefault="00257248" w:rsidP="00323FD6">
            <w:pPr>
              <w:rPr>
                <w:rFonts w:ascii="Calibri" w:hAnsi="Calibri" w:cs="Calibri"/>
                <w:color w:val="000000"/>
              </w:rPr>
            </w:pPr>
          </w:p>
        </w:tc>
      </w:tr>
      <w:tr w:rsidR="00257248" w:rsidRPr="00877650" w14:paraId="4FD657EF" w14:textId="77777777" w:rsidTr="00323FD6">
        <w:trPr>
          <w:trHeight w:val="290"/>
        </w:trPr>
        <w:tc>
          <w:tcPr>
            <w:tcW w:w="516" w:type="pct"/>
            <w:tcBorders>
              <w:top w:val="nil"/>
              <w:left w:val="single" w:sz="4" w:space="0" w:color="auto"/>
              <w:bottom w:val="nil"/>
              <w:right w:val="nil"/>
            </w:tcBorders>
            <w:shd w:val="clear" w:color="auto" w:fill="auto"/>
            <w:noWrap/>
            <w:vAlign w:val="center"/>
            <w:hideMark/>
          </w:tcPr>
          <w:p w14:paraId="50DA2D62" w14:textId="77777777" w:rsidR="00257248" w:rsidRPr="00877650" w:rsidRDefault="00257248" w:rsidP="00323FD6">
            <w:pPr>
              <w:rPr>
                <w:rFonts w:ascii="Calibri" w:hAnsi="Calibri" w:cs="Calibri"/>
                <w:color w:val="000000"/>
              </w:rPr>
            </w:pPr>
            <w:r w:rsidRPr="00877650">
              <w:rPr>
                <w:rFonts w:ascii="Calibri" w:hAnsi="Calibri" w:cs="Calibri"/>
                <w:color w:val="000000"/>
              </w:rPr>
              <w:t>2645728037</w:t>
            </w:r>
          </w:p>
        </w:tc>
        <w:tc>
          <w:tcPr>
            <w:tcW w:w="589" w:type="pct"/>
            <w:tcBorders>
              <w:top w:val="nil"/>
              <w:left w:val="nil"/>
              <w:bottom w:val="nil"/>
              <w:right w:val="nil"/>
            </w:tcBorders>
            <w:shd w:val="clear" w:color="auto" w:fill="auto"/>
            <w:noWrap/>
            <w:vAlign w:val="center"/>
            <w:hideMark/>
          </w:tcPr>
          <w:p w14:paraId="5D0BE810"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Phaeobacter</w:t>
            </w:r>
            <w:proofErr w:type="spellEnd"/>
            <w:r w:rsidRPr="00877650">
              <w:rPr>
                <w:rFonts w:ascii="Calibri" w:hAnsi="Calibri" w:cs="Calibri"/>
                <w:color w:val="000000"/>
              </w:rPr>
              <w:t xml:space="preserve"> sp. 11ANDIMAR09</w:t>
            </w:r>
          </w:p>
        </w:tc>
        <w:tc>
          <w:tcPr>
            <w:tcW w:w="516" w:type="pct"/>
            <w:tcBorders>
              <w:top w:val="nil"/>
              <w:left w:val="nil"/>
              <w:bottom w:val="nil"/>
              <w:right w:val="nil"/>
            </w:tcBorders>
            <w:shd w:val="clear" w:color="auto" w:fill="auto"/>
            <w:noWrap/>
            <w:vAlign w:val="center"/>
            <w:hideMark/>
          </w:tcPr>
          <w:p w14:paraId="2CD28807" w14:textId="77777777" w:rsidR="00257248" w:rsidRPr="00877650" w:rsidRDefault="00257248" w:rsidP="00323FD6">
            <w:pPr>
              <w:rPr>
                <w:rFonts w:ascii="Calibri" w:hAnsi="Calibri" w:cs="Calibri"/>
                <w:color w:val="000000"/>
              </w:rPr>
            </w:pPr>
            <w:r w:rsidRPr="00877650">
              <w:rPr>
                <w:rFonts w:ascii="Calibri" w:hAnsi="Calibri" w:cs="Calibri"/>
                <w:color w:val="000000"/>
              </w:rPr>
              <w:t>Ga0098778_1011</w:t>
            </w:r>
          </w:p>
        </w:tc>
        <w:tc>
          <w:tcPr>
            <w:tcW w:w="311" w:type="pct"/>
            <w:tcBorders>
              <w:top w:val="nil"/>
              <w:left w:val="nil"/>
              <w:bottom w:val="nil"/>
              <w:right w:val="nil"/>
            </w:tcBorders>
            <w:shd w:val="clear" w:color="auto" w:fill="auto"/>
            <w:noWrap/>
            <w:vAlign w:val="center"/>
            <w:hideMark/>
          </w:tcPr>
          <w:p w14:paraId="23B942B2"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15406B73"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Uncharacterized conserved protein </w:t>
            </w:r>
            <w:proofErr w:type="spellStart"/>
            <w:r w:rsidRPr="00877650">
              <w:rPr>
                <w:rFonts w:ascii="Calibri" w:hAnsi="Calibri" w:cs="Calibri"/>
                <w:color w:val="000000"/>
              </w:rPr>
              <w:t>YaeQ</w:t>
            </w:r>
            <w:proofErr w:type="spellEnd"/>
            <w:r w:rsidRPr="00877650">
              <w:rPr>
                <w:rFonts w:ascii="Calibri" w:hAnsi="Calibri" w:cs="Calibri"/>
                <w:color w:val="000000"/>
              </w:rPr>
              <w:t xml:space="preserve">, suppresses </w:t>
            </w:r>
            <w:proofErr w:type="spellStart"/>
            <w:r w:rsidRPr="00877650">
              <w:rPr>
                <w:rFonts w:ascii="Calibri" w:hAnsi="Calibri" w:cs="Calibri"/>
                <w:color w:val="000000"/>
              </w:rPr>
              <w:t>RfaH</w:t>
            </w:r>
            <w:proofErr w:type="spellEnd"/>
            <w:r w:rsidRPr="00877650">
              <w:rPr>
                <w:rFonts w:ascii="Calibri" w:hAnsi="Calibri" w:cs="Calibri"/>
                <w:color w:val="000000"/>
              </w:rPr>
              <w:t xml:space="preserve"> defect</w:t>
            </w:r>
          </w:p>
        </w:tc>
        <w:tc>
          <w:tcPr>
            <w:tcW w:w="552" w:type="pct"/>
            <w:tcBorders>
              <w:top w:val="nil"/>
              <w:left w:val="nil"/>
              <w:bottom w:val="nil"/>
              <w:right w:val="nil"/>
            </w:tcBorders>
            <w:shd w:val="clear" w:color="auto" w:fill="auto"/>
            <w:noWrap/>
            <w:vAlign w:val="center"/>
            <w:hideMark/>
          </w:tcPr>
          <w:p w14:paraId="6366EAE0" w14:textId="77777777" w:rsidR="00257248" w:rsidRPr="00877650" w:rsidRDefault="00257248" w:rsidP="00323FD6">
            <w:pPr>
              <w:rPr>
                <w:rFonts w:ascii="Calibri" w:hAnsi="Calibri" w:cs="Calibri"/>
                <w:color w:val="000000"/>
              </w:rPr>
            </w:pPr>
            <w:r w:rsidRPr="00877650">
              <w:rPr>
                <w:rFonts w:ascii="Calibri" w:hAnsi="Calibri" w:cs="Calibri"/>
                <w:color w:val="000000"/>
              </w:rPr>
              <w:t>Transposase</w:t>
            </w:r>
          </w:p>
        </w:tc>
        <w:tc>
          <w:tcPr>
            <w:tcW w:w="448" w:type="pct"/>
            <w:tcBorders>
              <w:top w:val="nil"/>
              <w:left w:val="nil"/>
              <w:bottom w:val="nil"/>
              <w:right w:val="nil"/>
            </w:tcBorders>
            <w:shd w:val="clear" w:color="auto" w:fill="auto"/>
            <w:noWrap/>
            <w:vAlign w:val="center"/>
            <w:hideMark/>
          </w:tcPr>
          <w:p w14:paraId="7E4D73E1" w14:textId="77777777" w:rsidR="00257248" w:rsidRPr="00877650" w:rsidRDefault="00257248" w:rsidP="00323FD6">
            <w:pPr>
              <w:rPr>
                <w:rFonts w:ascii="Calibri" w:hAnsi="Calibri" w:cs="Calibri"/>
                <w:color w:val="000000"/>
              </w:rPr>
            </w:pPr>
            <w:r w:rsidRPr="00877650">
              <w:rPr>
                <w:rFonts w:ascii="Calibri" w:hAnsi="Calibri" w:cs="Calibri"/>
                <w:color w:val="000000"/>
              </w:rPr>
              <w:t>170</w:t>
            </w:r>
          </w:p>
        </w:tc>
        <w:tc>
          <w:tcPr>
            <w:tcW w:w="309" w:type="pct"/>
            <w:tcBorders>
              <w:top w:val="nil"/>
              <w:left w:val="nil"/>
              <w:bottom w:val="nil"/>
              <w:right w:val="nil"/>
            </w:tcBorders>
            <w:shd w:val="clear" w:color="auto" w:fill="auto"/>
            <w:noWrap/>
            <w:vAlign w:val="center"/>
            <w:hideMark/>
          </w:tcPr>
          <w:p w14:paraId="7C637D24" w14:textId="77777777" w:rsidR="00257248" w:rsidRPr="00877650" w:rsidRDefault="00257248" w:rsidP="00323FD6">
            <w:pPr>
              <w:rPr>
                <w:rFonts w:ascii="Calibri" w:hAnsi="Calibri" w:cs="Calibri"/>
                <w:color w:val="000000"/>
              </w:rPr>
            </w:pPr>
            <w:r w:rsidRPr="00877650">
              <w:rPr>
                <w:rFonts w:ascii="Calibri" w:hAnsi="Calibri" w:cs="Calibri"/>
                <w:color w:val="000000"/>
              </w:rPr>
              <w:t>483</w:t>
            </w:r>
          </w:p>
        </w:tc>
        <w:tc>
          <w:tcPr>
            <w:tcW w:w="240" w:type="pct"/>
            <w:tcBorders>
              <w:top w:val="nil"/>
              <w:left w:val="nil"/>
              <w:bottom w:val="nil"/>
              <w:right w:val="nil"/>
            </w:tcBorders>
            <w:shd w:val="clear" w:color="auto" w:fill="auto"/>
            <w:noWrap/>
            <w:vAlign w:val="center"/>
            <w:hideMark/>
          </w:tcPr>
          <w:p w14:paraId="0FC4B868" w14:textId="77777777" w:rsidR="00257248" w:rsidRPr="00877650" w:rsidRDefault="00257248" w:rsidP="00323FD6">
            <w:pPr>
              <w:rPr>
                <w:rFonts w:ascii="Calibri" w:hAnsi="Calibri" w:cs="Calibri"/>
                <w:color w:val="000000"/>
              </w:rPr>
            </w:pPr>
            <w:r w:rsidRPr="00877650">
              <w:rPr>
                <w:rFonts w:ascii="Calibri" w:hAnsi="Calibri" w:cs="Calibri"/>
                <w:color w:val="000000"/>
              </w:rPr>
              <w:t>17.1</w:t>
            </w:r>
          </w:p>
        </w:tc>
        <w:tc>
          <w:tcPr>
            <w:tcW w:w="311" w:type="pct"/>
            <w:tcBorders>
              <w:top w:val="nil"/>
              <w:left w:val="nil"/>
              <w:bottom w:val="nil"/>
              <w:right w:val="nil"/>
            </w:tcBorders>
            <w:shd w:val="clear" w:color="auto" w:fill="auto"/>
            <w:noWrap/>
            <w:vAlign w:val="center"/>
            <w:hideMark/>
          </w:tcPr>
          <w:p w14:paraId="08E317AB" w14:textId="77777777" w:rsidR="00257248" w:rsidRPr="00877650" w:rsidRDefault="00257248" w:rsidP="00323FD6">
            <w:pPr>
              <w:rPr>
                <w:rFonts w:ascii="Calibri" w:hAnsi="Calibri" w:cs="Calibri"/>
                <w:color w:val="000000"/>
              </w:rPr>
            </w:pPr>
            <w:r w:rsidRPr="00877650">
              <w:rPr>
                <w:rFonts w:ascii="Calibri" w:hAnsi="Calibri" w:cs="Calibri"/>
                <w:color w:val="000000"/>
              </w:rPr>
              <w:t>2</w:t>
            </w:r>
          </w:p>
        </w:tc>
        <w:tc>
          <w:tcPr>
            <w:tcW w:w="311" w:type="pct"/>
            <w:tcBorders>
              <w:top w:val="nil"/>
              <w:left w:val="nil"/>
              <w:bottom w:val="nil"/>
              <w:right w:val="nil"/>
            </w:tcBorders>
            <w:shd w:val="clear" w:color="auto" w:fill="auto"/>
            <w:noWrap/>
            <w:vAlign w:val="center"/>
            <w:hideMark/>
          </w:tcPr>
          <w:p w14:paraId="0B0FC335" w14:textId="77777777" w:rsidR="00257248" w:rsidRPr="00877650" w:rsidRDefault="00257248" w:rsidP="00323FD6">
            <w:pPr>
              <w:rPr>
                <w:rFonts w:ascii="Calibri" w:hAnsi="Calibri" w:cs="Calibri"/>
                <w:color w:val="000000"/>
              </w:rPr>
            </w:pPr>
            <w:r w:rsidRPr="00877650">
              <w:rPr>
                <w:rFonts w:ascii="Calibri" w:hAnsi="Calibri" w:cs="Calibri"/>
                <w:color w:val="000000"/>
              </w:rPr>
              <w:t>4544</w:t>
            </w:r>
          </w:p>
        </w:tc>
        <w:tc>
          <w:tcPr>
            <w:tcW w:w="413" w:type="pct"/>
            <w:tcBorders>
              <w:top w:val="nil"/>
              <w:left w:val="nil"/>
              <w:bottom w:val="nil"/>
              <w:right w:val="single" w:sz="4" w:space="0" w:color="auto"/>
            </w:tcBorders>
            <w:shd w:val="clear" w:color="auto" w:fill="auto"/>
            <w:noWrap/>
            <w:vAlign w:val="center"/>
            <w:hideMark/>
          </w:tcPr>
          <w:p w14:paraId="76C071B0"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0.044%</w:t>
            </w:r>
          </w:p>
        </w:tc>
      </w:tr>
      <w:tr w:rsidR="00257248" w:rsidRPr="00877650" w14:paraId="6EF0EF86" w14:textId="77777777" w:rsidTr="00323FD6">
        <w:trPr>
          <w:trHeight w:val="290"/>
        </w:trPr>
        <w:tc>
          <w:tcPr>
            <w:tcW w:w="1105" w:type="pct"/>
            <w:gridSpan w:val="2"/>
            <w:tcBorders>
              <w:top w:val="nil"/>
              <w:left w:val="single" w:sz="4" w:space="0" w:color="auto"/>
              <w:bottom w:val="single" w:sz="4" w:space="0" w:color="auto"/>
              <w:right w:val="nil"/>
            </w:tcBorders>
            <w:shd w:val="clear" w:color="auto" w:fill="auto"/>
            <w:noWrap/>
            <w:vAlign w:val="center"/>
            <w:hideMark/>
          </w:tcPr>
          <w:p w14:paraId="6CF85459" w14:textId="77777777" w:rsidR="00257248" w:rsidRPr="00877650" w:rsidRDefault="00257248" w:rsidP="00323FD6">
            <w:pPr>
              <w:rPr>
                <w:rFonts w:ascii="Calibri" w:hAnsi="Calibri" w:cs="Calibri"/>
                <w:color w:val="F2F2F2"/>
              </w:rPr>
            </w:pPr>
          </w:p>
        </w:tc>
        <w:tc>
          <w:tcPr>
            <w:tcW w:w="516" w:type="pct"/>
            <w:tcBorders>
              <w:top w:val="nil"/>
              <w:left w:val="nil"/>
              <w:bottom w:val="single" w:sz="4" w:space="0" w:color="auto"/>
              <w:right w:val="nil"/>
            </w:tcBorders>
            <w:shd w:val="clear" w:color="auto" w:fill="auto"/>
            <w:noWrap/>
            <w:vAlign w:val="center"/>
            <w:hideMark/>
          </w:tcPr>
          <w:p w14:paraId="0DC8C316" w14:textId="77777777" w:rsidR="00257248" w:rsidRPr="00877650" w:rsidRDefault="00257248" w:rsidP="00323FD6">
            <w:pPr>
              <w:rPr>
                <w:rFonts w:ascii="Calibri" w:hAnsi="Calibri" w:cs="Calibri"/>
                <w:color w:val="000000"/>
              </w:rPr>
            </w:pPr>
            <w:r w:rsidRPr="00877650">
              <w:rPr>
                <w:rFonts w:ascii="Calibri" w:hAnsi="Calibri" w:cs="Calibri"/>
                <w:color w:val="000000"/>
              </w:rPr>
              <w:t>Ga0098778_1002</w:t>
            </w:r>
          </w:p>
        </w:tc>
        <w:tc>
          <w:tcPr>
            <w:tcW w:w="311" w:type="pct"/>
            <w:tcBorders>
              <w:top w:val="nil"/>
              <w:left w:val="nil"/>
              <w:bottom w:val="single" w:sz="4" w:space="0" w:color="auto"/>
              <w:right w:val="nil"/>
            </w:tcBorders>
            <w:shd w:val="clear" w:color="auto" w:fill="auto"/>
            <w:noWrap/>
            <w:vAlign w:val="center"/>
            <w:hideMark/>
          </w:tcPr>
          <w:p w14:paraId="69F0D411"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single" w:sz="4" w:space="0" w:color="auto"/>
              <w:right w:val="nil"/>
            </w:tcBorders>
            <w:shd w:val="clear" w:color="auto" w:fill="auto"/>
            <w:noWrap/>
            <w:vAlign w:val="center"/>
            <w:hideMark/>
          </w:tcPr>
          <w:p w14:paraId="57048F67" w14:textId="77777777" w:rsidR="00257248" w:rsidRPr="00877650" w:rsidRDefault="00257248" w:rsidP="00323FD6">
            <w:pPr>
              <w:rPr>
                <w:rFonts w:ascii="Calibri" w:hAnsi="Calibri" w:cs="Calibri"/>
                <w:color w:val="000000"/>
              </w:rPr>
            </w:pPr>
            <w:r w:rsidRPr="00877650">
              <w:rPr>
                <w:rFonts w:ascii="Calibri" w:hAnsi="Calibri" w:cs="Calibri"/>
                <w:color w:val="000000"/>
              </w:rPr>
              <w:t>Lipid A 3-O-deacylase (</w:t>
            </w:r>
            <w:proofErr w:type="spellStart"/>
            <w:r w:rsidRPr="00877650">
              <w:rPr>
                <w:rFonts w:ascii="Calibri" w:hAnsi="Calibri" w:cs="Calibri"/>
                <w:color w:val="000000"/>
              </w:rPr>
              <w:t>PagL</w:t>
            </w:r>
            <w:proofErr w:type="spellEnd"/>
            <w:r w:rsidRPr="00877650">
              <w:rPr>
                <w:rFonts w:ascii="Calibri" w:hAnsi="Calibri" w:cs="Calibri"/>
                <w:color w:val="000000"/>
              </w:rPr>
              <w:t>)</w:t>
            </w:r>
          </w:p>
        </w:tc>
        <w:tc>
          <w:tcPr>
            <w:tcW w:w="552" w:type="pct"/>
            <w:tcBorders>
              <w:top w:val="nil"/>
              <w:left w:val="nil"/>
              <w:bottom w:val="single" w:sz="4" w:space="0" w:color="auto"/>
              <w:right w:val="nil"/>
            </w:tcBorders>
            <w:shd w:val="clear" w:color="auto" w:fill="auto"/>
            <w:noWrap/>
            <w:vAlign w:val="center"/>
            <w:hideMark/>
          </w:tcPr>
          <w:p w14:paraId="64FE4C97"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ATP-binding cassette, subfamily C, </w:t>
            </w:r>
            <w:proofErr w:type="spellStart"/>
            <w:r w:rsidRPr="00877650">
              <w:rPr>
                <w:rFonts w:ascii="Calibri" w:hAnsi="Calibri" w:cs="Calibri"/>
                <w:color w:val="000000"/>
              </w:rPr>
              <w:t>LapB</w:t>
            </w:r>
            <w:proofErr w:type="spellEnd"/>
          </w:p>
        </w:tc>
        <w:tc>
          <w:tcPr>
            <w:tcW w:w="448" w:type="pct"/>
            <w:tcBorders>
              <w:top w:val="nil"/>
              <w:left w:val="nil"/>
              <w:bottom w:val="single" w:sz="4" w:space="0" w:color="auto"/>
              <w:right w:val="nil"/>
            </w:tcBorders>
            <w:shd w:val="clear" w:color="auto" w:fill="auto"/>
            <w:noWrap/>
            <w:vAlign w:val="center"/>
            <w:hideMark/>
          </w:tcPr>
          <w:p w14:paraId="0ACD2575" w14:textId="77777777" w:rsidR="00257248" w:rsidRPr="00877650" w:rsidRDefault="00257248" w:rsidP="00323FD6">
            <w:pPr>
              <w:rPr>
                <w:rFonts w:ascii="Calibri" w:hAnsi="Calibri" w:cs="Calibri"/>
                <w:color w:val="000000"/>
              </w:rPr>
            </w:pPr>
            <w:r w:rsidRPr="00877650">
              <w:rPr>
                <w:rFonts w:ascii="Calibri" w:hAnsi="Calibri" w:cs="Calibri"/>
                <w:color w:val="000000"/>
              </w:rPr>
              <w:t>4168</w:t>
            </w:r>
          </w:p>
        </w:tc>
        <w:tc>
          <w:tcPr>
            <w:tcW w:w="309" w:type="pct"/>
            <w:tcBorders>
              <w:top w:val="nil"/>
              <w:left w:val="nil"/>
              <w:bottom w:val="single" w:sz="4" w:space="0" w:color="auto"/>
              <w:right w:val="nil"/>
            </w:tcBorders>
            <w:shd w:val="clear" w:color="auto" w:fill="auto"/>
            <w:noWrap/>
            <w:vAlign w:val="center"/>
            <w:hideMark/>
          </w:tcPr>
          <w:p w14:paraId="7B22C2DB" w14:textId="77777777" w:rsidR="00257248" w:rsidRPr="00877650" w:rsidRDefault="00257248" w:rsidP="00323FD6">
            <w:pPr>
              <w:rPr>
                <w:rFonts w:ascii="Calibri" w:hAnsi="Calibri" w:cs="Calibri"/>
                <w:color w:val="000000"/>
              </w:rPr>
            </w:pPr>
            <w:r w:rsidRPr="00877650">
              <w:rPr>
                <w:rFonts w:ascii="Calibri" w:hAnsi="Calibri" w:cs="Calibri"/>
                <w:color w:val="000000"/>
              </w:rPr>
              <w:t>1106</w:t>
            </w:r>
          </w:p>
        </w:tc>
        <w:tc>
          <w:tcPr>
            <w:tcW w:w="240" w:type="pct"/>
            <w:tcBorders>
              <w:top w:val="nil"/>
              <w:left w:val="nil"/>
              <w:bottom w:val="single" w:sz="4" w:space="0" w:color="auto"/>
              <w:right w:val="nil"/>
            </w:tcBorders>
            <w:shd w:val="clear" w:color="auto" w:fill="auto"/>
            <w:noWrap/>
            <w:vAlign w:val="center"/>
            <w:hideMark/>
          </w:tcPr>
          <w:p w14:paraId="7F9A4517" w14:textId="77777777" w:rsidR="00257248" w:rsidRPr="00877650" w:rsidRDefault="00257248" w:rsidP="00323FD6">
            <w:pPr>
              <w:rPr>
                <w:rFonts w:ascii="Calibri" w:hAnsi="Calibri" w:cs="Calibri"/>
                <w:color w:val="000000"/>
              </w:rPr>
            </w:pPr>
            <w:r w:rsidRPr="00877650">
              <w:rPr>
                <w:rFonts w:ascii="Calibri" w:hAnsi="Calibri" w:cs="Calibri"/>
                <w:color w:val="000000"/>
              </w:rPr>
              <w:t>16.1</w:t>
            </w:r>
          </w:p>
        </w:tc>
        <w:tc>
          <w:tcPr>
            <w:tcW w:w="1035" w:type="pct"/>
            <w:gridSpan w:val="3"/>
            <w:tcBorders>
              <w:top w:val="nil"/>
              <w:left w:val="nil"/>
              <w:bottom w:val="single" w:sz="4" w:space="0" w:color="auto"/>
              <w:right w:val="single" w:sz="4" w:space="0" w:color="auto"/>
            </w:tcBorders>
            <w:shd w:val="clear" w:color="auto" w:fill="auto"/>
            <w:noWrap/>
            <w:vAlign w:val="center"/>
            <w:hideMark/>
          </w:tcPr>
          <w:p w14:paraId="5C59752C" w14:textId="77777777" w:rsidR="00257248" w:rsidRPr="00877650" w:rsidRDefault="00257248" w:rsidP="00323FD6">
            <w:pPr>
              <w:rPr>
                <w:rFonts w:ascii="Calibri" w:hAnsi="Calibri" w:cs="Calibri"/>
                <w:color w:val="000000"/>
              </w:rPr>
            </w:pPr>
          </w:p>
        </w:tc>
      </w:tr>
      <w:tr w:rsidR="00257248" w:rsidRPr="00877650" w14:paraId="1BCB0652" w14:textId="77777777" w:rsidTr="00323FD6">
        <w:trPr>
          <w:trHeight w:val="290"/>
        </w:trPr>
        <w:tc>
          <w:tcPr>
            <w:tcW w:w="516" w:type="pct"/>
            <w:tcBorders>
              <w:top w:val="nil"/>
              <w:left w:val="single" w:sz="4" w:space="0" w:color="auto"/>
              <w:bottom w:val="nil"/>
              <w:right w:val="nil"/>
            </w:tcBorders>
            <w:shd w:val="clear" w:color="auto" w:fill="auto"/>
            <w:noWrap/>
            <w:vAlign w:val="center"/>
            <w:hideMark/>
          </w:tcPr>
          <w:p w14:paraId="2C21E004" w14:textId="77777777" w:rsidR="00257248" w:rsidRPr="00877650" w:rsidRDefault="00257248" w:rsidP="00323FD6">
            <w:pPr>
              <w:rPr>
                <w:rFonts w:ascii="Calibri" w:hAnsi="Calibri" w:cs="Calibri"/>
                <w:color w:val="000000"/>
              </w:rPr>
            </w:pPr>
            <w:r w:rsidRPr="00877650">
              <w:rPr>
                <w:rFonts w:ascii="Calibri" w:hAnsi="Calibri" w:cs="Calibri"/>
                <w:color w:val="000000"/>
              </w:rPr>
              <w:t>2713896965</w:t>
            </w:r>
          </w:p>
        </w:tc>
        <w:tc>
          <w:tcPr>
            <w:tcW w:w="589" w:type="pct"/>
            <w:tcBorders>
              <w:top w:val="nil"/>
              <w:left w:val="nil"/>
              <w:bottom w:val="nil"/>
              <w:right w:val="nil"/>
            </w:tcBorders>
            <w:shd w:val="clear" w:color="auto" w:fill="auto"/>
            <w:noWrap/>
            <w:vAlign w:val="center"/>
            <w:hideMark/>
          </w:tcPr>
          <w:p w14:paraId="2A9BC881"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Phaeobacter</w:t>
            </w:r>
            <w:proofErr w:type="spellEnd"/>
            <w:r w:rsidRPr="00877650">
              <w:rPr>
                <w:rFonts w:ascii="Calibri" w:hAnsi="Calibri" w:cs="Calibri"/>
                <w:color w:val="000000"/>
              </w:rPr>
              <w:t xml:space="preserve"> sp. CECT 5382</w:t>
            </w:r>
          </w:p>
        </w:tc>
        <w:tc>
          <w:tcPr>
            <w:tcW w:w="516" w:type="pct"/>
            <w:tcBorders>
              <w:top w:val="nil"/>
              <w:left w:val="nil"/>
              <w:bottom w:val="nil"/>
              <w:right w:val="nil"/>
            </w:tcBorders>
            <w:shd w:val="clear" w:color="auto" w:fill="auto"/>
            <w:noWrap/>
            <w:vAlign w:val="center"/>
            <w:hideMark/>
          </w:tcPr>
          <w:p w14:paraId="3567C88B" w14:textId="77777777" w:rsidR="00257248" w:rsidRPr="00877650" w:rsidRDefault="00257248" w:rsidP="00323FD6">
            <w:pPr>
              <w:rPr>
                <w:rFonts w:ascii="Calibri" w:hAnsi="Calibri" w:cs="Calibri"/>
                <w:color w:val="000000"/>
              </w:rPr>
            </w:pPr>
            <w:r w:rsidRPr="00877650">
              <w:rPr>
                <w:rFonts w:ascii="Calibri" w:hAnsi="Calibri" w:cs="Calibri"/>
                <w:color w:val="000000"/>
              </w:rPr>
              <w:t>Ga0125396_115</w:t>
            </w:r>
          </w:p>
        </w:tc>
        <w:tc>
          <w:tcPr>
            <w:tcW w:w="311" w:type="pct"/>
            <w:tcBorders>
              <w:top w:val="nil"/>
              <w:left w:val="nil"/>
              <w:bottom w:val="nil"/>
              <w:right w:val="nil"/>
            </w:tcBorders>
            <w:shd w:val="clear" w:color="auto" w:fill="auto"/>
            <w:noWrap/>
            <w:vAlign w:val="center"/>
            <w:hideMark/>
          </w:tcPr>
          <w:p w14:paraId="69854181"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382ED6DE" w14:textId="77777777" w:rsidR="00257248" w:rsidRPr="00877650" w:rsidRDefault="00257248" w:rsidP="00323FD6">
            <w:pPr>
              <w:rPr>
                <w:rFonts w:ascii="Calibri" w:hAnsi="Calibri" w:cs="Calibri"/>
                <w:color w:val="000000"/>
              </w:rPr>
            </w:pPr>
            <w:r w:rsidRPr="00877650">
              <w:rPr>
                <w:rFonts w:ascii="Calibri" w:hAnsi="Calibri" w:cs="Calibri"/>
                <w:color w:val="000000"/>
              </w:rPr>
              <w:t>Hint domain-containing protein</w:t>
            </w:r>
          </w:p>
        </w:tc>
        <w:tc>
          <w:tcPr>
            <w:tcW w:w="552" w:type="pct"/>
            <w:tcBorders>
              <w:top w:val="nil"/>
              <w:left w:val="nil"/>
              <w:bottom w:val="nil"/>
              <w:right w:val="nil"/>
            </w:tcBorders>
            <w:shd w:val="clear" w:color="auto" w:fill="auto"/>
            <w:noWrap/>
            <w:vAlign w:val="center"/>
            <w:hideMark/>
          </w:tcPr>
          <w:p w14:paraId="77F5D6CA" w14:textId="77777777" w:rsidR="00257248" w:rsidRPr="00877650" w:rsidRDefault="00257248" w:rsidP="00323FD6">
            <w:pPr>
              <w:rPr>
                <w:rFonts w:ascii="Calibri" w:hAnsi="Calibri" w:cs="Calibri"/>
                <w:color w:val="000000"/>
              </w:rPr>
            </w:pPr>
            <w:r w:rsidRPr="00877650">
              <w:rPr>
                <w:rFonts w:ascii="Calibri" w:hAnsi="Calibri" w:cs="Calibri"/>
                <w:color w:val="000000"/>
              </w:rPr>
              <w:t> </w:t>
            </w:r>
          </w:p>
        </w:tc>
        <w:tc>
          <w:tcPr>
            <w:tcW w:w="448" w:type="pct"/>
            <w:tcBorders>
              <w:top w:val="nil"/>
              <w:left w:val="nil"/>
              <w:bottom w:val="nil"/>
              <w:right w:val="nil"/>
            </w:tcBorders>
            <w:shd w:val="clear" w:color="auto" w:fill="auto"/>
            <w:noWrap/>
            <w:vAlign w:val="center"/>
            <w:hideMark/>
          </w:tcPr>
          <w:p w14:paraId="2D3E02EA" w14:textId="77777777" w:rsidR="00257248" w:rsidRPr="00877650" w:rsidRDefault="00257248" w:rsidP="00323FD6">
            <w:pPr>
              <w:rPr>
                <w:rFonts w:ascii="Calibri" w:hAnsi="Calibri" w:cs="Calibri"/>
                <w:color w:val="000000"/>
              </w:rPr>
            </w:pPr>
            <w:r w:rsidRPr="00877650">
              <w:rPr>
                <w:rFonts w:ascii="Calibri" w:hAnsi="Calibri" w:cs="Calibri"/>
                <w:color w:val="000000"/>
              </w:rPr>
              <w:t>1028</w:t>
            </w:r>
          </w:p>
        </w:tc>
        <w:tc>
          <w:tcPr>
            <w:tcW w:w="309" w:type="pct"/>
            <w:tcBorders>
              <w:top w:val="nil"/>
              <w:left w:val="nil"/>
              <w:bottom w:val="nil"/>
              <w:right w:val="nil"/>
            </w:tcBorders>
            <w:shd w:val="clear" w:color="auto" w:fill="auto"/>
            <w:noWrap/>
            <w:vAlign w:val="center"/>
            <w:hideMark/>
          </w:tcPr>
          <w:p w14:paraId="3F02847A" w14:textId="77777777" w:rsidR="00257248" w:rsidRPr="00877650" w:rsidRDefault="00257248" w:rsidP="00323FD6">
            <w:pPr>
              <w:rPr>
                <w:rFonts w:ascii="Calibri" w:hAnsi="Calibri" w:cs="Calibri"/>
                <w:color w:val="000000"/>
              </w:rPr>
            </w:pPr>
            <w:r w:rsidRPr="00877650">
              <w:rPr>
                <w:rFonts w:ascii="Calibri" w:hAnsi="Calibri" w:cs="Calibri"/>
                <w:color w:val="000000"/>
              </w:rPr>
              <w:t>760</w:t>
            </w:r>
          </w:p>
        </w:tc>
        <w:tc>
          <w:tcPr>
            <w:tcW w:w="240" w:type="pct"/>
            <w:tcBorders>
              <w:top w:val="nil"/>
              <w:left w:val="nil"/>
              <w:bottom w:val="nil"/>
              <w:right w:val="nil"/>
            </w:tcBorders>
            <w:shd w:val="clear" w:color="auto" w:fill="auto"/>
            <w:noWrap/>
            <w:vAlign w:val="center"/>
            <w:hideMark/>
          </w:tcPr>
          <w:p w14:paraId="5EA1225F" w14:textId="77777777" w:rsidR="00257248" w:rsidRPr="00877650" w:rsidRDefault="00257248" w:rsidP="00323FD6">
            <w:pPr>
              <w:rPr>
                <w:rFonts w:ascii="Calibri" w:hAnsi="Calibri" w:cs="Calibri"/>
                <w:color w:val="000000"/>
              </w:rPr>
            </w:pPr>
            <w:r w:rsidRPr="00877650">
              <w:rPr>
                <w:rFonts w:ascii="Calibri" w:hAnsi="Calibri" w:cs="Calibri"/>
                <w:color w:val="000000"/>
              </w:rPr>
              <w:t>17</w:t>
            </w:r>
          </w:p>
        </w:tc>
        <w:tc>
          <w:tcPr>
            <w:tcW w:w="311" w:type="pct"/>
            <w:tcBorders>
              <w:top w:val="nil"/>
              <w:left w:val="nil"/>
              <w:bottom w:val="nil"/>
              <w:right w:val="nil"/>
            </w:tcBorders>
            <w:shd w:val="clear" w:color="auto" w:fill="auto"/>
            <w:noWrap/>
            <w:vAlign w:val="center"/>
            <w:hideMark/>
          </w:tcPr>
          <w:p w14:paraId="66B07F7C" w14:textId="77777777" w:rsidR="00257248" w:rsidRPr="00877650" w:rsidRDefault="00257248" w:rsidP="00323FD6">
            <w:pPr>
              <w:rPr>
                <w:rFonts w:ascii="Calibri" w:hAnsi="Calibri" w:cs="Calibri"/>
                <w:color w:val="000000"/>
              </w:rPr>
            </w:pPr>
            <w:r w:rsidRPr="00877650">
              <w:rPr>
                <w:rFonts w:ascii="Calibri" w:hAnsi="Calibri" w:cs="Calibri"/>
                <w:color w:val="000000"/>
              </w:rPr>
              <w:t>2</w:t>
            </w:r>
          </w:p>
        </w:tc>
        <w:tc>
          <w:tcPr>
            <w:tcW w:w="311" w:type="pct"/>
            <w:tcBorders>
              <w:top w:val="nil"/>
              <w:left w:val="nil"/>
              <w:bottom w:val="nil"/>
              <w:right w:val="nil"/>
            </w:tcBorders>
            <w:shd w:val="clear" w:color="auto" w:fill="auto"/>
            <w:noWrap/>
            <w:vAlign w:val="center"/>
            <w:hideMark/>
          </w:tcPr>
          <w:p w14:paraId="1C17A43F" w14:textId="77777777" w:rsidR="00257248" w:rsidRPr="00877650" w:rsidRDefault="00257248" w:rsidP="00323FD6">
            <w:pPr>
              <w:rPr>
                <w:rFonts w:ascii="Calibri" w:hAnsi="Calibri" w:cs="Calibri"/>
                <w:color w:val="000000"/>
              </w:rPr>
            </w:pPr>
            <w:r w:rsidRPr="00877650">
              <w:rPr>
                <w:rFonts w:ascii="Calibri" w:hAnsi="Calibri" w:cs="Calibri"/>
                <w:color w:val="000000"/>
              </w:rPr>
              <w:t>3949</w:t>
            </w:r>
          </w:p>
        </w:tc>
        <w:tc>
          <w:tcPr>
            <w:tcW w:w="413" w:type="pct"/>
            <w:tcBorders>
              <w:top w:val="nil"/>
              <w:left w:val="nil"/>
              <w:bottom w:val="nil"/>
              <w:right w:val="single" w:sz="4" w:space="0" w:color="auto"/>
            </w:tcBorders>
            <w:shd w:val="clear" w:color="auto" w:fill="auto"/>
            <w:noWrap/>
            <w:vAlign w:val="center"/>
            <w:hideMark/>
          </w:tcPr>
          <w:p w14:paraId="5204C373"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0.0506%</w:t>
            </w:r>
          </w:p>
        </w:tc>
      </w:tr>
      <w:tr w:rsidR="00257248" w:rsidRPr="00877650" w14:paraId="5A89EAEA" w14:textId="77777777" w:rsidTr="00323FD6">
        <w:trPr>
          <w:trHeight w:val="290"/>
        </w:trPr>
        <w:tc>
          <w:tcPr>
            <w:tcW w:w="1105" w:type="pct"/>
            <w:gridSpan w:val="2"/>
            <w:tcBorders>
              <w:top w:val="nil"/>
              <w:left w:val="single" w:sz="4" w:space="0" w:color="auto"/>
              <w:bottom w:val="single" w:sz="4" w:space="0" w:color="auto"/>
              <w:right w:val="nil"/>
            </w:tcBorders>
            <w:shd w:val="clear" w:color="auto" w:fill="auto"/>
            <w:noWrap/>
            <w:vAlign w:val="center"/>
            <w:hideMark/>
          </w:tcPr>
          <w:p w14:paraId="56BE2EB6" w14:textId="77777777" w:rsidR="00257248" w:rsidRPr="00877650" w:rsidRDefault="00257248" w:rsidP="00323FD6">
            <w:pPr>
              <w:rPr>
                <w:rFonts w:ascii="Calibri" w:hAnsi="Calibri" w:cs="Calibri"/>
                <w:color w:val="F2F2F2"/>
              </w:rPr>
            </w:pPr>
          </w:p>
        </w:tc>
        <w:tc>
          <w:tcPr>
            <w:tcW w:w="516" w:type="pct"/>
            <w:tcBorders>
              <w:top w:val="nil"/>
              <w:left w:val="nil"/>
              <w:bottom w:val="single" w:sz="4" w:space="0" w:color="auto"/>
              <w:right w:val="nil"/>
            </w:tcBorders>
            <w:shd w:val="clear" w:color="auto" w:fill="auto"/>
            <w:noWrap/>
            <w:vAlign w:val="center"/>
            <w:hideMark/>
          </w:tcPr>
          <w:p w14:paraId="5912DB6D" w14:textId="77777777" w:rsidR="00257248" w:rsidRPr="00877650" w:rsidRDefault="00257248" w:rsidP="00323FD6">
            <w:pPr>
              <w:rPr>
                <w:rFonts w:ascii="Calibri" w:hAnsi="Calibri" w:cs="Calibri"/>
                <w:color w:val="000000"/>
              </w:rPr>
            </w:pPr>
            <w:r w:rsidRPr="00877650">
              <w:rPr>
                <w:rFonts w:ascii="Calibri" w:hAnsi="Calibri" w:cs="Calibri"/>
                <w:color w:val="000000"/>
              </w:rPr>
              <w:t>Ga0125396_106</w:t>
            </w:r>
          </w:p>
        </w:tc>
        <w:tc>
          <w:tcPr>
            <w:tcW w:w="311" w:type="pct"/>
            <w:tcBorders>
              <w:top w:val="nil"/>
              <w:left w:val="nil"/>
              <w:bottom w:val="single" w:sz="4" w:space="0" w:color="auto"/>
              <w:right w:val="nil"/>
            </w:tcBorders>
            <w:shd w:val="clear" w:color="auto" w:fill="auto"/>
            <w:noWrap/>
            <w:vAlign w:val="center"/>
            <w:hideMark/>
          </w:tcPr>
          <w:p w14:paraId="4378C03C"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single" w:sz="4" w:space="0" w:color="auto"/>
              <w:right w:val="nil"/>
            </w:tcBorders>
            <w:shd w:val="clear" w:color="auto" w:fill="auto"/>
            <w:noWrap/>
            <w:vAlign w:val="center"/>
            <w:hideMark/>
          </w:tcPr>
          <w:p w14:paraId="0A739D42"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DNA-binding transcriptional regulator, </w:t>
            </w:r>
            <w:proofErr w:type="spellStart"/>
            <w:r w:rsidRPr="00877650">
              <w:rPr>
                <w:rFonts w:ascii="Calibri" w:hAnsi="Calibri" w:cs="Calibri"/>
                <w:color w:val="000000"/>
              </w:rPr>
              <w:t>CsgD</w:t>
            </w:r>
            <w:proofErr w:type="spellEnd"/>
            <w:r w:rsidRPr="00877650">
              <w:rPr>
                <w:rFonts w:ascii="Calibri" w:hAnsi="Calibri" w:cs="Calibri"/>
                <w:color w:val="000000"/>
              </w:rPr>
              <w:t xml:space="preserve"> family</w:t>
            </w:r>
          </w:p>
        </w:tc>
        <w:tc>
          <w:tcPr>
            <w:tcW w:w="552" w:type="pct"/>
            <w:tcBorders>
              <w:top w:val="nil"/>
              <w:left w:val="nil"/>
              <w:bottom w:val="single" w:sz="4" w:space="0" w:color="auto"/>
              <w:right w:val="nil"/>
            </w:tcBorders>
            <w:shd w:val="clear" w:color="auto" w:fill="auto"/>
            <w:noWrap/>
            <w:vAlign w:val="center"/>
            <w:hideMark/>
          </w:tcPr>
          <w:p w14:paraId="1064B031" w14:textId="77777777" w:rsidR="00257248" w:rsidRPr="00877650" w:rsidRDefault="00257248" w:rsidP="00323FD6">
            <w:pPr>
              <w:rPr>
                <w:rFonts w:ascii="Calibri" w:hAnsi="Calibri" w:cs="Calibri"/>
                <w:color w:val="000000"/>
              </w:rPr>
            </w:pPr>
            <w:r w:rsidRPr="00877650">
              <w:rPr>
                <w:rFonts w:ascii="Calibri" w:hAnsi="Calibri" w:cs="Calibri"/>
                <w:color w:val="000000"/>
              </w:rPr>
              <w:t>acyl homoserine lactone synthase</w:t>
            </w:r>
          </w:p>
        </w:tc>
        <w:tc>
          <w:tcPr>
            <w:tcW w:w="448" w:type="pct"/>
            <w:tcBorders>
              <w:top w:val="nil"/>
              <w:left w:val="nil"/>
              <w:bottom w:val="single" w:sz="4" w:space="0" w:color="auto"/>
              <w:right w:val="nil"/>
            </w:tcBorders>
            <w:shd w:val="clear" w:color="auto" w:fill="auto"/>
            <w:noWrap/>
            <w:vAlign w:val="center"/>
            <w:hideMark/>
          </w:tcPr>
          <w:p w14:paraId="01C7F8A8" w14:textId="77777777" w:rsidR="00257248" w:rsidRPr="00877650" w:rsidRDefault="00257248" w:rsidP="00323FD6">
            <w:pPr>
              <w:rPr>
                <w:rFonts w:ascii="Calibri" w:hAnsi="Calibri" w:cs="Calibri"/>
                <w:color w:val="000000"/>
              </w:rPr>
            </w:pPr>
            <w:r w:rsidRPr="00877650">
              <w:rPr>
                <w:rFonts w:ascii="Calibri" w:hAnsi="Calibri" w:cs="Calibri"/>
                <w:color w:val="000000"/>
              </w:rPr>
              <w:t>19</w:t>
            </w:r>
          </w:p>
        </w:tc>
        <w:tc>
          <w:tcPr>
            <w:tcW w:w="309" w:type="pct"/>
            <w:tcBorders>
              <w:top w:val="nil"/>
              <w:left w:val="nil"/>
              <w:bottom w:val="single" w:sz="4" w:space="0" w:color="auto"/>
              <w:right w:val="nil"/>
            </w:tcBorders>
            <w:shd w:val="clear" w:color="auto" w:fill="auto"/>
            <w:noWrap/>
            <w:vAlign w:val="center"/>
            <w:hideMark/>
          </w:tcPr>
          <w:p w14:paraId="6F9B08FD" w14:textId="77777777" w:rsidR="00257248" w:rsidRPr="00877650" w:rsidRDefault="00257248" w:rsidP="00323FD6">
            <w:pPr>
              <w:rPr>
                <w:rFonts w:ascii="Calibri" w:hAnsi="Calibri" w:cs="Calibri"/>
                <w:color w:val="000000"/>
              </w:rPr>
            </w:pPr>
            <w:r w:rsidRPr="00877650">
              <w:rPr>
                <w:rFonts w:ascii="Calibri" w:hAnsi="Calibri" w:cs="Calibri"/>
                <w:color w:val="000000"/>
              </w:rPr>
              <w:t>78</w:t>
            </w:r>
          </w:p>
        </w:tc>
        <w:tc>
          <w:tcPr>
            <w:tcW w:w="240" w:type="pct"/>
            <w:tcBorders>
              <w:top w:val="nil"/>
              <w:left w:val="nil"/>
              <w:bottom w:val="single" w:sz="4" w:space="0" w:color="auto"/>
              <w:right w:val="nil"/>
            </w:tcBorders>
            <w:shd w:val="clear" w:color="auto" w:fill="auto"/>
            <w:noWrap/>
            <w:vAlign w:val="center"/>
            <w:hideMark/>
          </w:tcPr>
          <w:p w14:paraId="29B4C873" w14:textId="77777777" w:rsidR="00257248" w:rsidRPr="00877650" w:rsidRDefault="00257248" w:rsidP="00323FD6">
            <w:pPr>
              <w:rPr>
                <w:rFonts w:ascii="Calibri" w:hAnsi="Calibri" w:cs="Calibri"/>
                <w:color w:val="000000"/>
              </w:rPr>
            </w:pPr>
            <w:r w:rsidRPr="00877650">
              <w:rPr>
                <w:rFonts w:ascii="Calibri" w:hAnsi="Calibri" w:cs="Calibri"/>
                <w:color w:val="000000"/>
              </w:rPr>
              <w:t>16.4</w:t>
            </w:r>
          </w:p>
        </w:tc>
        <w:tc>
          <w:tcPr>
            <w:tcW w:w="1035" w:type="pct"/>
            <w:gridSpan w:val="3"/>
            <w:tcBorders>
              <w:top w:val="nil"/>
              <w:left w:val="nil"/>
              <w:bottom w:val="single" w:sz="4" w:space="0" w:color="auto"/>
              <w:right w:val="single" w:sz="4" w:space="0" w:color="auto"/>
            </w:tcBorders>
            <w:shd w:val="clear" w:color="auto" w:fill="auto"/>
            <w:noWrap/>
            <w:vAlign w:val="center"/>
            <w:hideMark/>
          </w:tcPr>
          <w:p w14:paraId="177ABBF9" w14:textId="77777777" w:rsidR="00257248" w:rsidRPr="00877650" w:rsidRDefault="00257248" w:rsidP="00323FD6">
            <w:pPr>
              <w:rPr>
                <w:rFonts w:ascii="Calibri" w:hAnsi="Calibri" w:cs="Calibri"/>
                <w:color w:val="000000"/>
              </w:rPr>
            </w:pPr>
          </w:p>
        </w:tc>
      </w:tr>
      <w:tr w:rsidR="00257248" w:rsidRPr="00877650" w14:paraId="62A0D0EA" w14:textId="77777777" w:rsidTr="00323FD6">
        <w:trPr>
          <w:trHeight w:val="290"/>
        </w:trPr>
        <w:tc>
          <w:tcPr>
            <w:tcW w:w="516" w:type="pct"/>
            <w:tcBorders>
              <w:top w:val="nil"/>
              <w:left w:val="single" w:sz="4" w:space="0" w:color="auto"/>
              <w:bottom w:val="nil"/>
              <w:right w:val="nil"/>
            </w:tcBorders>
            <w:shd w:val="clear" w:color="auto" w:fill="auto"/>
            <w:noWrap/>
            <w:vAlign w:val="center"/>
            <w:hideMark/>
          </w:tcPr>
          <w:p w14:paraId="7805FA55" w14:textId="77777777" w:rsidR="00257248" w:rsidRPr="00877650" w:rsidRDefault="00257248" w:rsidP="00323FD6">
            <w:pPr>
              <w:rPr>
                <w:rFonts w:ascii="Calibri" w:hAnsi="Calibri" w:cs="Calibri"/>
                <w:color w:val="000000"/>
              </w:rPr>
            </w:pPr>
            <w:r w:rsidRPr="00877650">
              <w:rPr>
                <w:rFonts w:ascii="Calibri" w:hAnsi="Calibri" w:cs="Calibri"/>
                <w:color w:val="000000"/>
              </w:rPr>
              <w:t>2502171179</w:t>
            </w:r>
          </w:p>
        </w:tc>
        <w:tc>
          <w:tcPr>
            <w:tcW w:w="589" w:type="pct"/>
            <w:tcBorders>
              <w:top w:val="nil"/>
              <w:left w:val="nil"/>
              <w:bottom w:val="nil"/>
              <w:right w:val="nil"/>
            </w:tcBorders>
            <w:shd w:val="clear" w:color="auto" w:fill="auto"/>
            <w:noWrap/>
            <w:vAlign w:val="center"/>
            <w:hideMark/>
          </w:tcPr>
          <w:p w14:paraId="18617B3A"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Phaeobacter</w:t>
            </w:r>
            <w:proofErr w:type="spellEnd"/>
            <w:r w:rsidRPr="00877650">
              <w:rPr>
                <w:rFonts w:ascii="Calibri" w:hAnsi="Calibri" w:cs="Calibri"/>
                <w:color w:val="000000"/>
              </w:rPr>
              <w:t xml:space="preserve"> sp. LSS9</w:t>
            </w:r>
          </w:p>
        </w:tc>
        <w:tc>
          <w:tcPr>
            <w:tcW w:w="516" w:type="pct"/>
            <w:tcBorders>
              <w:top w:val="nil"/>
              <w:left w:val="nil"/>
              <w:bottom w:val="nil"/>
              <w:right w:val="nil"/>
            </w:tcBorders>
            <w:shd w:val="clear" w:color="auto" w:fill="auto"/>
            <w:noWrap/>
            <w:vAlign w:val="center"/>
            <w:hideMark/>
          </w:tcPr>
          <w:p w14:paraId="6EC12CB8" w14:textId="77777777" w:rsidR="00257248" w:rsidRPr="00877650" w:rsidRDefault="00257248" w:rsidP="00323FD6">
            <w:pPr>
              <w:rPr>
                <w:rFonts w:ascii="Calibri" w:hAnsi="Calibri" w:cs="Calibri"/>
                <w:color w:val="000000"/>
              </w:rPr>
            </w:pPr>
            <w:r w:rsidRPr="00877650">
              <w:rPr>
                <w:rFonts w:ascii="Calibri" w:hAnsi="Calibri" w:cs="Calibri"/>
                <w:color w:val="000000"/>
              </w:rPr>
              <w:t>PHLS_contig00030</w:t>
            </w:r>
          </w:p>
        </w:tc>
        <w:tc>
          <w:tcPr>
            <w:tcW w:w="311" w:type="pct"/>
            <w:tcBorders>
              <w:top w:val="nil"/>
              <w:left w:val="nil"/>
              <w:bottom w:val="nil"/>
              <w:right w:val="nil"/>
            </w:tcBorders>
            <w:shd w:val="clear" w:color="auto" w:fill="auto"/>
            <w:noWrap/>
            <w:vAlign w:val="center"/>
            <w:hideMark/>
          </w:tcPr>
          <w:p w14:paraId="03DD8815"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64BA3D35"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regulatory protein, </w:t>
            </w:r>
            <w:proofErr w:type="spellStart"/>
            <w:r w:rsidRPr="00877650">
              <w:rPr>
                <w:rFonts w:ascii="Calibri" w:hAnsi="Calibri" w:cs="Calibri"/>
                <w:color w:val="000000"/>
              </w:rPr>
              <w:t>luxR</w:t>
            </w:r>
            <w:proofErr w:type="spellEnd"/>
            <w:r w:rsidRPr="00877650">
              <w:rPr>
                <w:rFonts w:ascii="Calibri" w:hAnsi="Calibri" w:cs="Calibri"/>
                <w:color w:val="000000"/>
              </w:rPr>
              <w:t xml:space="preserve"> family</w:t>
            </w:r>
          </w:p>
        </w:tc>
        <w:tc>
          <w:tcPr>
            <w:tcW w:w="552" w:type="pct"/>
            <w:tcBorders>
              <w:top w:val="nil"/>
              <w:left w:val="nil"/>
              <w:bottom w:val="nil"/>
              <w:right w:val="nil"/>
            </w:tcBorders>
            <w:shd w:val="clear" w:color="auto" w:fill="auto"/>
            <w:noWrap/>
            <w:vAlign w:val="center"/>
            <w:hideMark/>
          </w:tcPr>
          <w:p w14:paraId="57CB0134" w14:textId="77777777" w:rsidR="00257248" w:rsidRPr="00877650" w:rsidRDefault="00257248" w:rsidP="00323FD6">
            <w:pPr>
              <w:rPr>
                <w:rFonts w:ascii="Calibri" w:hAnsi="Calibri" w:cs="Calibri"/>
                <w:color w:val="000000"/>
              </w:rPr>
            </w:pPr>
            <w:r w:rsidRPr="00877650">
              <w:rPr>
                <w:rFonts w:ascii="Calibri" w:hAnsi="Calibri" w:cs="Calibri"/>
                <w:color w:val="000000"/>
              </w:rPr>
              <w:t>N-acyl-L-homoserine lactone synthetase</w:t>
            </w:r>
          </w:p>
        </w:tc>
        <w:tc>
          <w:tcPr>
            <w:tcW w:w="448" w:type="pct"/>
            <w:tcBorders>
              <w:top w:val="nil"/>
              <w:left w:val="nil"/>
              <w:bottom w:val="nil"/>
              <w:right w:val="nil"/>
            </w:tcBorders>
            <w:shd w:val="clear" w:color="auto" w:fill="auto"/>
            <w:noWrap/>
            <w:vAlign w:val="center"/>
            <w:hideMark/>
          </w:tcPr>
          <w:p w14:paraId="21FA17C3" w14:textId="77777777" w:rsidR="00257248" w:rsidRPr="00877650" w:rsidRDefault="00257248" w:rsidP="00323FD6">
            <w:pPr>
              <w:rPr>
                <w:rFonts w:ascii="Calibri" w:hAnsi="Calibri" w:cs="Calibri"/>
                <w:color w:val="000000"/>
              </w:rPr>
            </w:pPr>
            <w:r w:rsidRPr="00877650">
              <w:rPr>
                <w:rFonts w:ascii="Calibri" w:hAnsi="Calibri" w:cs="Calibri"/>
                <w:color w:val="000000"/>
              </w:rPr>
              <w:t>16</w:t>
            </w:r>
          </w:p>
        </w:tc>
        <w:tc>
          <w:tcPr>
            <w:tcW w:w="309" w:type="pct"/>
            <w:tcBorders>
              <w:top w:val="nil"/>
              <w:left w:val="nil"/>
              <w:bottom w:val="nil"/>
              <w:right w:val="nil"/>
            </w:tcBorders>
            <w:shd w:val="clear" w:color="auto" w:fill="auto"/>
            <w:noWrap/>
            <w:vAlign w:val="center"/>
            <w:hideMark/>
          </w:tcPr>
          <w:p w14:paraId="126E4E96" w14:textId="77777777" w:rsidR="00257248" w:rsidRPr="00877650" w:rsidRDefault="00257248" w:rsidP="00323FD6">
            <w:pPr>
              <w:rPr>
                <w:rFonts w:ascii="Calibri" w:hAnsi="Calibri" w:cs="Calibri"/>
                <w:color w:val="000000"/>
              </w:rPr>
            </w:pPr>
            <w:r w:rsidRPr="00877650">
              <w:rPr>
                <w:rFonts w:ascii="Calibri" w:hAnsi="Calibri" w:cs="Calibri"/>
                <w:color w:val="000000"/>
              </w:rPr>
              <w:t>45</w:t>
            </w:r>
          </w:p>
        </w:tc>
        <w:tc>
          <w:tcPr>
            <w:tcW w:w="240" w:type="pct"/>
            <w:tcBorders>
              <w:top w:val="nil"/>
              <w:left w:val="nil"/>
              <w:bottom w:val="nil"/>
              <w:right w:val="nil"/>
            </w:tcBorders>
            <w:shd w:val="clear" w:color="auto" w:fill="auto"/>
            <w:noWrap/>
            <w:vAlign w:val="center"/>
            <w:hideMark/>
          </w:tcPr>
          <w:p w14:paraId="2CC9938E" w14:textId="77777777" w:rsidR="00257248" w:rsidRPr="00877650" w:rsidRDefault="00257248" w:rsidP="00323FD6">
            <w:pPr>
              <w:rPr>
                <w:rFonts w:ascii="Calibri" w:hAnsi="Calibri" w:cs="Calibri"/>
                <w:color w:val="000000"/>
              </w:rPr>
            </w:pPr>
            <w:r w:rsidRPr="00877650">
              <w:rPr>
                <w:rFonts w:ascii="Calibri" w:hAnsi="Calibri" w:cs="Calibri"/>
                <w:color w:val="000000"/>
              </w:rPr>
              <w:t>38.9</w:t>
            </w:r>
          </w:p>
        </w:tc>
        <w:tc>
          <w:tcPr>
            <w:tcW w:w="311" w:type="pct"/>
            <w:tcBorders>
              <w:top w:val="nil"/>
              <w:left w:val="nil"/>
              <w:bottom w:val="nil"/>
              <w:right w:val="nil"/>
            </w:tcBorders>
            <w:shd w:val="clear" w:color="auto" w:fill="auto"/>
            <w:noWrap/>
            <w:vAlign w:val="center"/>
            <w:hideMark/>
          </w:tcPr>
          <w:p w14:paraId="4C2E77DE" w14:textId="77777777" w:rsidR="00257248" w:rsidRPr="00877650" w:rsidRDefault="00257248" w:rsidP="00323FD6">
            <w:pPr>
              <w:rPr>
                <w:rFonts w:ascii="Calibri" w:hAnsi="Calibri" w:cs="Calibri"/>
                <w:color w:val="000000"/>
              </w:rPr>
            </w:pPr>
            <w:r w:rsidRPr="00877650">
              <w:rPr>
                <w:rFonts w:ascii="Calibri" w:hAnsi="Calibri" w:cs="Calibri"/>
                <w:color w:val="000000"/>
              </w:rPr>
              <w:t>2</w:t>
            </w:r>
          </w:p>
        </w:tc>
        <w:tc>
          <w:tcPr>
            <w:tcW w:w="311" w:type="pct"/>
            <w:tcBorders>
              <w:top w:val="nil"/>
              <w:left w:val="nil"/>
              <w:bottom w:val="nil"/>
              <w:right w:val="nil"/>
            </w:tcBorders>
            <w:shd w:val="clear" w:color="auto" w:fill="auto"/>
            <w:noWrap/>
            <w:vAlign w:val="center"/>
            <w:hideMark/>
          </w:tcPr>
          <w:p w14:paraId="2DB94BDA" w14:textId="77777777" w:rsidR="00257248" w:rsidRPr="00877650" w:rsidRDefault="00257248" w:rsidP="00323FD6">
            <w:pPr>
              <w:rPr>
                <w:rFonts w:ascii="Calibri" w:hAnsi="Calibri" w:cs="Calibri"/>
                <w:color w:val="000000"/>
              </w:rPr>
            </w:pPr>
            <w:r w:rsidRPr="00877650">
              <w:rPr>
                <w:rFonts w:ascii="Calibri" w:hAnsi="Calibri" w:cs="Calibri"/>
                <w:color w:val="000000"/>
              </w:rPr>
              <w:t>3170</w:t>
            </w:r>
          </w:p>
        </w:tc>
        <w:tc>
          <w:tcPr>
            <w:tcW w:w="413" w:type="pct"/>
            <w:tcBorders>
              <w:top w:val="nil"/>
              <w:left w:val="nil"/>
              <w:bottom w:val="nil"/>
              <w:right w:val="single" w:sz="4" w:space="0" w:color="auto"/>
            </w:tcBorders>
            <w:shd w:val="clear" w:color="auto" w:fill="auto"/>
            <w:noWrap/>
            <w:vAlign w:val="center"/>
            <w:hideMark/>
          </w:tcPr>
          <w:p w14:paraId="389FB99F"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0.0631%</w:t>
            </w:r>
          </w:p>
        </w:tc>
      </w:tr>
      <w:tr w:rsidR="00257248" w:rsidRPr="00877650" w14:paraId="078A28C5" w14:textId="77777777" w:rsidTr="00323FD6">
        <w:trPr>
          <w:trHeight w:val="290"/>
        </w:trPr>
        <w:tc>
          <w:tcPr>
            <w:tcW w:w="1105" w:type="pct"/>
            <w:gridSpan w:val="2"/>
            <w:tcBorders>
              <w:top w:val="nil"/>
              <w:left w:val="single" w:sz="4" w:space="0" w:color="auto"/>
              <w:bottom w:val="single" w:sz="4" w:space="0" w:color="auto"/>
              <w:right w:val="nil"/>
            </w:tcBorders>
            <w:shd w:val="clear" w:color="auto" w:fill="auto"/>
            <w:noWrap/>
            <w:vAlign w:val="center"/>
            <w:hideMark/>
          </w:tcPr>
          <w:p w14:paraId="4E7B9E23" w14:textId="77777777" w:rsidR="00257248" w:rsidRPr="00877650" w:rsidRDefault="00257248" w:rsidP="00323FD6">
            <w:pPr>
              <w:rPr>
                <w:rFonts w:ascii="Calibri" w:hAnsi="Calibri" w:cs="Calibri"/>
                <w:color w:val="F2F2F2"/>
              </w:rPr>
            </w:pPr>
          </w:p>
        </w:tc>
        <w:tc>
          <w:tcPr>
            <w:tcW w:w="516" w:type="pct"/>
            <w:tcBorders>
              <w:top w:val="nil"/>
              <w:left w:val="nil"/>
              <w:bottom w:val="single" w:sz="4" w:space="0" w:color="auto"/>
              <w:right w:val="nil"/>
            </w:tcBorders>
            <w:shd w:val="clear" w:color="auto" w:fill="auto"/>
            <w:noWrap/>
            <w:vAlign w:val="center"/>
            <w:hideMark/>
          </w:tcPr>
          <w:p w14:paraId="776E8B97" w14:textId="77777777" w:rsidR="00257248" w:rsidRPr="00877650" w:rsidRDefault="00257248" w:rsidP="00323FD6">
            <w:pPr>
              <w:rPr>
                <w:rFonts w:ascii="Calibri" w:hAnsi="Calibri" w:cs="Calibri"/>
                <w:color w:val="000000"/>
              </w:rPr>
            </w:pPr>
            <w:r w:rsidRPr="00877650">
              <w:rPr>
                <w:rFonts w:ascii="Calibri" w:hAnsi="Calibri" w:cs="Calibri"/>
                <w:color w:val="000000"/>
              </w:rPr>
              <w:t>PHLS_contig00030</w:t>
            </w:r>
          </w:p>
        </w:tc>
        <w:tc>
          <w:tcPr>
            <w:tcW w:w="311" w:type="pct"/>
            <w:tcBorders>
              <w:top w:val="nil"/>
              <w:left w:val="nil"/>
              <w:bottom w:val="single" w:sz="4" w:space="0" w:color="auto"/>
              <w:right w:val="nil"/>
            </w:tcBorders>
            <w:shd w:val="clear" w:color="auto" w:fill="auto"/>
            <w:noWrap/>
            <w:vAlign w:val="center"/>
            <w:hideMark/>
          </w:tcPr>
          <w:p w14:paraId="66EE08C1"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single" w:sz="4" w:space="0" w:color="auto"/>
              <w:right w:val="nil"/>
            </w:tcBorders>
            <w:shd w:val="clear" w:color="auto" w:fill="auto"/>
            <w:noWrap/>
            <w:vAlign w:val="center"/>
            <w:hideMark/>
          </w:tcPr>
          <w:p w14:paraId="54D2B957" w14:textId="77777777" w:rsidR="00257248" w:rsidRPr="00877650" w:rsidRDefault="00257248" w:rsidP="00323FD6">
            <w:pPr>
              <w:rPr>
                <w:rFonts w:ascii="Calibri" w:hAnsi="Calibri" w:cs="Calibri"/>
                <w:color w:val="000000"/>
              </w:rPr>
            </w:pPr>
            <w:r w:rsidRPr="00877650">
              <w:rPr>
                <w:rFonts w:ascii="Calibri" w:hAnsi="Calibri" w:cs="Calibri"/>
                <w:color w:val="000000"/>
              </w:rPr>
              <w:t>(R)-</w:t>
            </w:r>
            <w:proofErr w:type="spellStart"/>
            <w:r w:rsidRPr="00877650">
              <w:rPr>
                <w:rFonts w:ascii="Calibri" w:hAnsi="Calibri" w:cs="Calibri"/>
                <w:color w:val="000000"/>
              </w:rPr>
              <w:t>ethylmalonyl</w:t>
            </w:r>
            <w:proofErr w:type="spellEnd"/>
            <w:r w:rsidRPr="00877650">
              <w:rPr>
                <w:rFonts w:ascii="Calibri" w:hAnsi="Calibri" w:cs="Calibri"/>
                <w:color w:val="000000"/>
              </w:rPr>
              <w:t>-CoA mutase</w:t>
            </w:r>
          </w:p>
        </w:tc>
        <w:tc>
          <w:tcPr>
            <w:tcW w:w="552" w:type="pct"/>
            <w:tcBorders>
              <w:top w:val="nil"/>
              <w:left w:val="nil"/>
              <w:bottom w:val="single" w:sz="4" w:space="0" w:color="auto"/>
              <w:right w:val="nil"/>
            </w:tcBorders>
            <w:shd w:val="clear" w:color="auto" w:fill="auto"/>
            <w:noWrap/>
            <w:vAlign w:val="center"/>
            <w:hideMark/>
          </w:tcPr>
          <w:p w14:paraId="331D27A8" w14:textId="77777777" w:rsidR="00257248" w:rsidRPr="00877650" w:rsidRDefault="00257248" w:rsidP="00323FD6">
            <w:pPr>
              <w:rPr>
                <w:rFonts w:ascii="Calibri" w:hAnsi="Calibri" w:cs="Calibri"/>
                <w:color w:val="000000"/>
              </w:rPr>
            </w:pPr>
            <w:r w:rsidRPr="00877650">
              <w:rPr>
                <w:rFonts w:ascii="Calibri" w:hAnsi="Calibri" w:cs="Calibri"/>
                <w:color w:val="000000"/>
              </w:rPr>
              <w:t>conserved hypothetical protein</w:t>
            </w:r>
          </w:p>
        </w:tc>
        <w:tc>
          <w:tcPr>
            <w:tcW w:w="448" w:type="pct"/>
            <w:tcBorders>
              <w:top w:val="nil"/>
              <w:left w:val="nil"/>
              <w:bottom w:val="single" w:sz="4" w:space="0" w:color="auto"/>
              <w:right w:val="nil"/>
            </w:tcBorders>
            <w:shd w:val="clear" w:color="auto" w:fill="auto"/>
            <w:noWrap/>
            <w:vAlign w:val="center"/>
            <w:hideMark/>
          </w:tcPr>
          <w:p w14:paraId="008724D6" w14:textId="77777777" w:rsidR="00257248" w:rsidRPr="00877650" w:rsidRDefault="00257248" w:rsidP="00323FD6">
            <w:pPr>
              <w:rPr>
                <w:rFonts w:ascii="Calibri" w:hAnsi="Calibri" w:cs="Calibri"/>
                <w:color w:val="000000"/>
              </w:rPr>
            </w:pPr>
            <w:r w:rsidRPr="00877650">
              <w:rPr>
                <w:rFonts w:ascii="Calibri" w:hAnsi="Calibri" w:cs="Calibri"/>
                <w:color w:val="000000"/>
              </w:rPr>
              <w:t>5242</w:t>
            </w:r>
          </w:p>
        </w:tc>
        <w:tc>
          <w:tcPr>
            <w:tcW w:w="309" w:type="pct"/>
            <w:tcBorders>
              <w:top w:val="nil"/>
              <w:left w:val="nil"/>
              <w:bottom w:val="single" w:sz="4" w:space="0" w:color="auto"/>
              <w:right w:val="nil"/>
            </w:tcBorders>
            <w:shd w:val="clear" w:color="auto" w:fill="auto"/>
            <w:noWrap/>
            <w:vAlign w:val="center"/>
            <w:hideMark/>
          </w:tcPr>
          <w:p w14:paraId="5B9CE02F" w14:textId="77777777" w:rsidR="00257248" w:rsidRPr="00877650" w:rsidRDefault="00257248" w:rsidP="00323FD6">
            <w:pPr>
              <w:rPr>
                <w:rFonts w:ascii="Calibri" w:hAnsi="Calibri" w:cs="Calibri"/>
                <w:color w:val="000000"/>
              </w:rPr>
            </w:pPr>
            <w:r w:rsidRPr="00877650">
              <w:rPr>
                <w:rFonts w:ascii="Calibri" w:hAnsi="Calibri" w:cs="Calibri"/>
                <w:color w:val="000000"/>
              </w:rPr>
              <w:t>3189</w:t>
            </w:r>
          </w:p>
        </w:tc>
        <w:tc>
          <w:tcPr>
            <w:tcW w:w="240" w:type="pct"/>
            <w:tcBorders>
              <w:top w:val="nil"/>
              <w:left w:val="nil"/>
              <w:bottom w:val="single" w:sz="4" w:space="0" w:color="auto"/>
              <w:right w:val="nil"/>
            </w:tcBorders>
            <w:shd w:val="clear" w:color="auto" w:fill="auto"/>
            <w:noWrap/>
            <w:vAlign w:val="center"/>
            <w:hideMark/>
          </w:tcPr>
          <w:p w14:paraId="2C515EFE" w14:textId="77777777" w:rsidR="00257248" w:rsidRPr="00877650" w:rsidRDefault="00257248" w:rsidP="00323FD6">
            <w:pPr>
              <w:rPr>
                <w:rFonts w:ascii="Calibri" w:hAnsi="Calibri" w:cs="Calibri"/>
                <w:color w:val="000000"/>
              </w:rPr>
            </w:pPr>
            <w:r w:rsidRPr="00877650">
              <w:rPr>
                <w:rFonts w:ascii="Calibri" w:hAnsi="Calibri" w:cs="Calibri"/>
                <w:color w:val="000000"/>
              </w:rPr>
              <w:t>34.8</w:t>
            </w:r>
          </w:p>
        </w:tc>
        <w:tc>
          <w:tcPr>
            <w:tcW w:w="1035" w:type="pct"/>
            <w:gridSpan w:val="3"/>
            <w:tcBorders>
              <w:top w:val="nil"/>
              <w:left w:val="nil"/>
              <w:bottom w:val="single" w:sz="4" w:space="0" w:color="auto"/>
              <w:right w:val="single" w:sz="4" w:space="0" w:color="auto"/>
            </w:tcBorders>
            <w:shd w:val="clear" w:color="auto" w:fill="auto"/>
            <w:noWrap/>
            <w:vAlign w:val="center"/>
            <w:hideMark/>
          </w:tcPr>
          <w:p w14:paraId="48B5F523" w14:textId="77777777" w:rsidR="00257248" w:rsidRPr="00877650" w:rsidRDefault="00257248" w:rsidP="00323FD6">
            <w:pPr>
              <w:rPr>
                <w:rFonts w:ascii="Calibri" w:hAnsi="Calibri" w:cs="Calibri"/>
                <w:color w:val="000000"/>
              </w:rPr>
            </w:pPr>
          </w:p>
        </w:tc>
      </w:tr>
      <w:tr w:rsidR="00257248" w:rsidRPr="00877650" w14:paraId="4305EBBD" w14:textId="77777777" w:rsidTr="00323FD6">
        <w:trPr>
          <w:trHeight w:val="290"/>
        </w:trPr>
        <w:tc>
          <w:tcPr>
            <w:tcW w:w="516" w:type="pct"/>
            <w:tcBorders>
              <w:top w:val="nil"/>
              <w:left w:val="single" w:sz="4" w:space="0" w:color="auto"/>
              <w:bottom w:val="nil"/>
              <w:right w:val="nil"/>
            </w:tcBorders>
            <w:shd w:val="clear" w:color="auto" w:fill="auto"/>
            <w:noWrap/>
            <w:vAlign w:val="center"/>
            <w:hideMark/>
          </w:tcPr>
          <w:p w14:paraId="5A4AB401" w14:textId="77777777" w:rsidR="00257248" w:rsidRPr="00877650" w:rsidRDefault="00257248" w:rsidP="00323FD6">
            <w:pPr>
              <w:rPr>
                <w:rFonts w:ascii="Calibri" w:hAnsi="Calibri" w:cs="Calibri"/>
                <w:color w:val="000000"/>
              </w:rPr>
            </w:pPr>
            <w:r w:rsidRPr="00877650">
              <w:rPr>
                <w:rFonts w:ascii="Calibri" w:hAnsi="Calibri" w:cs="Calibri"/>
                <w:color w:val="000000"/>
              </w:rPr>
              <w:t>2675903626</w:t>
            </w:r>
          </w:p>
        </w:tc>
        <w:tc>
          <w:tcPr>
            <w:tcW w:w="589" w:type="pct"/>
            <w:tcBorders>
              <w:top w:val="nil"/>
              <w:left w:val="nil"/>
              <w:bottom w:val="nil"/>
              <w:right w:val="nil"/>
            </w:tcBorders>
            <w:shd w:val="clear" w:color="auto" w:fill="auto"/>
            <w:noWrap/>
            <w:vAlign w:val="center"/>
            <w:hideMark/>
          </w:tcPr>
          <w:p w14:paraId="7EE86B2B"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Phaeobacter</w:t>
            </w:r>
            <w:proofErr w:type="spellEnd"/>
            <w:r w:rsidRPr="00877650">
              <w:rPr>
                <w:rFonts w:ascii="Calibri" w:hAnsi="Calibri" w:cs="Calibri"/>
                <w:color w:val="000000"/>
              </w:rPr>
              <w:t xml:space="preserve"> sp. S60</w:t>
            </w:r>
          </w:p>
        </w:tc>
        <w:tc>
          <w:tcPr>
            <w:tcW w:w="516" w:type="pct"/>
            <w:tcBorders>
              <w:top w:val="nil"/>
              <w:left w:val="nil"/>
              <w:bottom w:val="nil"/>
              <w:right w:val="nil"/>
            </w:tcBorders>
            <w:shd w:val="clear" w:color="auto" w:fill="auto"/>
            <w:noWrap/>
            <w:vAlign w:val="center"/>
            <w:hideMark/>
          </w:tcPr>
          <w:p w14:paraId="35644489" w14:textId="77777777" w:rsidR="00257248" w:rsidRPr="00877650" w:rsidRDefault="00257248" w:rsidP="00323FD6">
            <w:pPr>
              <w:rPr>
                <w:rFonts w:ascii="Calibri" w:hAnsi="Calibri" w:cs="Calibri"/>
                <w:color w:val="000000"/>
              </w:rPr>
            </w:pPr>
            <w:r w:rsidRPr="00877650">
              <w:rPr>
                <w:rFonts w:ascii="Calibri" w:hAnsi="Calibri" w:cs="Calibri"/>
                <w:color w:val="000000"/>
              </w:rPr>
              <w:t>Ga0124421_112</w:t>
            </w:r>
          </w:p>
        </w:tc>
        <w:tc>
          <w:tcPr>
            <w:tcW w:w="311" w:type="pct"/>
            <w:tcBorders>
              <w:top w:val="nil"/>
              <w:left w:val="nil"/>
              <w:bottom w:val="nil"/>
              <w:right w:val="nil"/>
            </w:tcBorders>
            <w:shd w:val="clear" w:color="auto" w:fill="auto"/>
            <w:noWrap/>
            <w:vAlign w:val="center"/>
            <w:hideMark/>
          </w:tcPr>
          <w:p w14:paraId="62A6159B"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1897D359" w14:textId="77777777" w:rsidR="00257248" w:rsidRPr="00877650" w:rsidRDefault="00257248" w:rsidP="00323FD6">
            <w:pPr>
              <w:rPr>
                <w:rFonts w:ascii="Calibri" w:hAnsi="Calibri" w:cs="Calibri"/>
                <w:color w:val="000000"/>
              </w:rPr>
            </w:pPr>
            <w:r w:rsidRPr="00877650">
              <w:rPr>
                <w:rFonts w:ascii="Calibri" w:hAnsi="Calibri" w:cs="Calibri"/>
                <w:color w:val="000000"/>
              </w:rPr>
              <w:t>acyl homoserine lactone synthase</w:t>
            </w:r>
          </w:p>
        </w:tc>
        <w:tc>
          <w:tcPr>
            <w:tcW w:w="552" w:type="pct"/>
            <w:tcBorders>
              <w:top w:val="nil"/>
              <w:left w:val="nil"/>
              <w:bottom w:val="nil"/>
              <w:right w:val="nil"/>
            </w:tcBorders>
            <w:shd w:val="clear" w:color="auto" w:fill="auto"/>
            <w:noWrap/>
            <w:vAlign w:val="center"/>
            <w:hideMark/>
          </w:tcPr>
          <w:p w14:paraId="1393B05C"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regulatory protein, </w:t>
            </w:r>
            <w:proofErr w:type="spellStart"/>
            <w:r w:rsidRPr="00877650">
              <w:rPr>
                <w:rFonts w:ascii="Calibri" w:hAnsi="Calibri" w:cs="Calibri"/>
                <w:color w:val="000000"/>
              </w:rPr>
              <w:t>luxR</w:t>
            </w:r>
            <w:proofErr w:type="spellEnd"/>
            <w:r w:rsidRPr="00877650">
              <w:rPr>
                <w:rFonts w:ascii="Calibri" w:hAnsi="Calibri" w:cs="Calibri"/>
                <w:color w:val="000000"/>
              </w:rPr>
              <w:t xml:space="preserve"> family</w:t>
            </w:r>
          </w:p>
        </w:tc>
        <w:tc>
          <w:tcPr>
            <w:tcW w:w="448" w:type="pct"/>
            <w:tcBorders>
              <w:top w:val="nil"/>
              <w:left w:val="nil"/>
              <w:bottom w:val="nil"/>
              <w:right w:val="nil"/>
            </w:tcBorders>
            <w:shd w:val="clear" w:color="auto" w:fill="auto"/>
            <w:noWrap/>
            <w:vAlign w:val="center"/>
            <w:hideMark/>
          </w:tcPr>
          <w:p w14:paraId="23E187A6" w14:textId="77777777" w:rsidR="00257248" w:rsidRPr="00877650" w:rsidRDefault="00257248" w:rsidP="00323FD6">
            <w:pPr>
              <w:rPr>
                <w:rFonts w:ascii="Calibri" w:hAnsi="Calibri" w:cs="Calibri"/>
                <w:color w:val="000000"/>
              </w:rPr>
            </w:pPr>
            <w:r w:rsidRPr="00877650">
              <w:rPr>
                <w:rFonts w:ascii="Calibri" w:hAnsi="Calibri" w:cs="Calibri"/>
                <w:color w:val="000000"/>
              </w:rPr>
              <w:t>45</w:t>
            </w:r>
          </w:p>
        </w:tc>
        <w:tc>
          <w:tcPr>
            <w:tcW w:w="309" w:type="pct"/>
            <w:tcBorders>
              <w:top w:val="nil"/>
              <w:left w:val="nil"/>
              <w:bottom w:val="nil"/>
              <w:right w:val="nil"/>
            </w:tcBorders>
            <w:shd w:val="clear" w:color="auto" w:fill="auto"/>
            <w:noWrap/>
            <w:vAlign w:val="center"/>
            <w:hideMark/>
          </w:tcPr>
          <w:p w14:paraId="1E1DB70F" w14:textId="77777777" w:rsidR="00257248" w:rsidRPr="00877650" w:rsidRDefault="00257248" w:rsidP="00323FD6">
            <w:pPr>
              <w:rPr>
                <w:rFonts w:ascii="Calibri" w:hAnsi="Calibri" w:cs="Calibri"/>
                <w:color w:val="000000"/>
              </w:rPr>
            </w:pPr>
            <w:r w:rsidRPr="00877650">
              <w:rPr>
                <w:rFonts w:ascii="Calibri" w:hAnsi="Calibri" w:cs="Calibri"/>
                <w:color w:val="000000"/>
              </w:rPr>
              <w:t>16</w:t>
            </w:r>
          </w:p>
        </w:tc>
        <w:tc>
          <w:tcPr>
            <w:tcW w:w="240" w:type="pct"/>
            <w:tcBorders>
              <w:top w:val="nil"/>
              <w:left w:val="nil"/>
              <w:bottom w:val="nil"/>
              <w:right w:val="nil"/>
            </w:tcBorders>
            <w:shd w:val="clear" w:color="auto" w:fill="auto"/>
            <w:noWrap/>
            <w:vAlign w:val="center"/>
            <w:hideMark/>
          </w:tcPr>
          <w:p w14:paraId="7504866C" w14:textId="77777777" w:rsidR="00257248" w:rsidRPr="00877650" w:rsidRDefault="00257248" w:rsidP="00323FD6">
            <w:pPr>
              <w:rPr>
                <w:rFonts w:ascii="Calibri" w:hAnsi="Calibri" w:cs="Calibri"/>
                <w:color w:val="000000"/>
              </w:rPr>
            </w:pPr>
            <w:r w:rsidRPr="00877650">
              <w:rPr>
                <w:rFonts w:ascii="Calibri" w:hAnsi="Calibri" w:cs="Calibri"/>
                <w:color w:val="000000"/>
              </w:rPr>
              <w:t>38.9</w:t>
            </w:r>
          </w:p>
        </w:tc>
        <w:tc>
          <w:tcPr>
            <w:tcW w:w="311" w:type="pct"/>
            <w:tcBorders>
              <w:top w:val="nil"/>
              <w:left w:val="nil"/>
              <w:bottom w:val="nil"/>
              <w:right w:val="nil"/>
            </w:tcBorders>
            <w:shd w:val="clear" w:color="auto" w:fill="auto"/>
            <w:noWrap/>
            <w:vAlign w:val="center"/>
            <w:hideMark/>
          </w:tcPr>
          <w:p w14:paraId="49A5E47B" w14:textId="77777777" w:rsidR="00257248" w:rsidRPr="00877650" w:rsidRDefault="00257248" w:rsidP="00323FD6">
            <w:pPr>
              <w:rPr>
                <w:rFonts w:ascii="Calibri" w:hAnsi="Calibri" w:cs="Calibri"/>
                <w:color w:val="000000"/>
              </w:rPr>
            </w:pPr>
            <w:r w:rsidRPr="00877650">
              <w:rPr>
                <w:rFonts w:ascii="Calibri" w:hAnsi="Calibri" w:cs="Calibri"/>
                <w:color w:val="000000"/>
              </w:rPr>
              <w:t>3</w:t>
            </w:r>
          </w:p>
        </w:tc>
        <w:tc>
          <w:tcPr>
            <w:tcW w:w="311" w:type="pct"/>
            <w:tcBorders>
              <w:top w:val="nil"/>
              <w:left w:val="nil"/>
              <w:bottom w:val="nil"/>
              <w:right w:val="nil"/>
            </w:tcBorders>
            <w:shd w:val="clear" w:color="auto" w:fill="auto"/>
            <w:noWrap/>
            <w:vAlign w:val="center"/>
            <w:hideMark/>
          </w:tcPr>
          <w:p w14:paraId="7C3B1746" w14:textId="77777777" w:rsidR="00257248" w:rsidRPr="00877650" w:rsidRDefault="00257248" w:rsidP="00323FD6">
            <w:pPr>
              <w:rPr>
                <w:rFonts w:ascii="Calibri" w:hAnsi="Calibri" w:cs="Calibri"/>
                <w:color w:val="000000"/>
              </w:rPr>
            </w:pPr>
            <w:r w:rsidRPr="00877650">
              <w:rPr>
                <w:rFonts w:ascii="Calibri" w:hAnsi="Calibri" w:cs="Calibri"/>
                <w:color w:val="000000"/>
              </w:rPr>
              <w:t>4491</w:t>
            </w:r>
          </w:p>
        </w:tc>
        <w:tc>
          <w:tcPr>
            <w:tcW w:w="413" w:type="pct"/>
            <w:tcBorders>
              <w:top w:val="nil"/>
              <w:left w:val="nil"/>
              <w:bottom w:val="nil"/>
              <w:right w:val="single" w:sz="4" w:space="0" w:color="auto"/>
            </w:tcBorders>
            <w:shd w:val="clear" w:color="auto" w:fill="auto"/>
            <w:noWrap/>
            <w:vAlign w:val="center"/>
            <w:hideMark/>
          </w:tcPr>
          <w:p w14:paraId="01F8DB69"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0.0668%</w:t>
            </w:r>
          </w:p>
        </w:tc>
      </w:tr>
      <w:tr w:rsidR="00257248" w:rsidRPr="00877650" w14:paraId="030D9D71" w14:textId="77777777" w:rsidTr="00323FD6">
        <w:trPr>
          <w:trHeight w:val="290"/>
        </w:trPr>
        <w:tc>
          <w:tcPr>
            <w:tcW w:w="1105" w:type="pct"/>
            <w:gridSpan w:val="2"/>
            <w:vMerge w:val="restart"/>
            <w:tcBorders>
              <w:top w:val="nil"/>
              <w:left w:val="single" w:sz="4" w:space="0" w:color="auto"/>
              <w:right w:val="nil"/>
            </w:tcBorders>
            <w:shd w:val="clear" w:color="auto" w:fill="auto"/>
            <w:noWrap/>
            <w:vAlign w:val="center"/>
            <w:hideMark/>
          </w:tcPr>
          <w:p w14:paraId="55318C06" w14:textId="77777777" w:rsidR="00257248" w:rsidRPr="00877650" w:rsidRDefault="00257248" w:rsidP="00323FD6">
            <w:pPr>
              <w:rPr>
                <w:rFonts w:ascii="Calibri" w:hAnsi="Calibri" w:cs="Calibri"/>
                <w:color w:val="F2F2F2"/>
              </w:rPr>
            </w:pPr>
          </w:p>
        </w:tc>
        <w:tc>
          <w:tcPr>
            <w:tcW w:w="516" w:type="pct"/>
            <w:tcBorders>
              <w:top w:val="nil"/>
              <w:left w:val="nil"/>
              <w:bottom w:val="nil"/>
              <w:right w:val="nil"/>
            </w:tcBorders>
            <w:shd w:val="clear" w:color="auto" w:fill="auto"/>
            <w:noWrap/>
            <w:vAlign w:val="center"/>
            <w:hideMark/>
          </w:tcPr>
          <w:p w14:paraId="68D5B544" w14:textId="77777777" w:rsidR="00257248" w:rsidRPr="00877650" w:rsidRDefault="00257248" w:rsidP="00323FD6">
            <w:pPr>
              <w:rPr>
                <w:rFonts w:ascii="Calibri" w:hAnsi="Calibri" w:cs="Calibri"/>
                <w:color w:val="000000"/>
              </w:rPr>
            </w:pPr>
            <w:r w:rsidRPr="00877650">
              <w:rPr>
                <w:rFonts w:ascii="Calibri" w:hAnsi="Calibri" w:cs="Calibri"/>
                <w:color w:val="000000"/>
              </w:rPr>
              <w:t>Ga0124421_112</w:t>
            </w:r>
          </w:p>
        </w:tc>
        <w:tc>
          <w:tcPr>
            <w:tcW w:w="311" w:type="pct"/>
            <w:tcBorders>
              <w:top w:val="nil"/>
              <w:left w:val="nil"/>
              <w:bottom w:val="nil"/>
              <w:right w:val="nil"/>
            </w:tcBorders>
            <w:shd w:val="clear" w:color="auto" w:fill="auto"/>
            <w:noWrap/>
            <w:vAlign w:val="center"/>
            <w:hideMark/>
          </w:tcPr>
          <w:p w14:paraId="6997F1E7"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052822F5" w14:textId="77777777" w:rsidR="00257248" w:rsidRPr="00877650" w:rsidRDefault="00257248" w:rsidP="00323FD6">
            <w:pPr>
              <w:rPr>
                <w:rFonts w:ascii="Calibri" w:hAnsi="Calibri" w:cs="Calibri"/>
                <w:color w:val="000000"/>
              </w:rPr>
            </w:pPr>
            <w:r w:rsidRPr="00877650">
              <w:rPr>
                <w:rFonts w:ascii="Calibri" w:hAnsi="Calibri" w:cs="Calibri"/>
                <w:color w:val="000000"/>
              </w:rPr>
              <w:t>conserved hypothetical protein</w:t>
            </w:r>
          </w:p>
        </w:tc>
        <w:tc>
          <w:tcPr>
            <w:tcW w:w="552" w:type="pct"/>
            <w:tcBorders>
              <w:top w:val="nil"/>
              <w:left w:val="nil"/>
              <w:bottom w:val="nil"/>
              <w:right w:val="nil"/>
            </w:tcBorders>
            <w:shd w:val="clear" w:color="auto" w:fill="auto"/>
            <w:noWrap/>
            <w:vAlign w:val="center"/>
            <w:hideMark/>
          </w:tcPr>
          <w:p w14:paraId="6FD1C407" w14:textId="77777777" w:rsidR="00257248" w:rsidRPr="00877650" w:rsidRDefault="00257248" w:rsidP="00323FD6">
            <w:pPr>
              <w:rPr>
                <w:rFonts w:ascii="Calibri" w:hAnsi="Calibri" w:cs="Calibri"/>
                <w:color w:val="000000"/>
              </w:rPr>
            </w:pPr>
            <w:r w:rsidRPr="00877650">
              <w:rPr>
                <w:rFonts w:ascii="Calibri" w:hAnsi="Calibri" w:cs="Calibri"/>
                <w:color w:val="000000"/>
              </w:rPr>
              <w:t>hypothetical protein</w:t>
            </w:r>
          </w:p>
        </w:tc>
        <w:tc>
          <w:tcPr>
            <w:tcW w:w="448" w:type="pct"/>
            <w:tcBorders>
              <w:top w:val="nil"/>
              <w:left w:val="nil"/>
              <w:bottom w:val="nil"/>
              <w:right w:val="nil"/>
            </w:tcBorders>
            <w:shd w:val="clear" w:color="auto" w:fill="auto"/>
            <w:noWrap/>
            <w:vAlign w:val="center"/>
            <w:hideMark/>
          </w:tcPr>
          <w:p w14:paraId="5D5A3521" w14:textId="77777777" w:rsidR="00257248" w:rsidRPr="00877650" w:rsidRDefault="00257248" w:rsidP="00323FD6">
            <w:pPr>
              <w:rPr>
                <w:rFonts w:ascii="Calibri" w:hAnsi="Calibri" w:cs="Calibri"/>
                <w:color w:val="000000"/>
              </w:rPr>
            </w:pPr>
            <w:r w:rsidRPr="00877650">
              <w:rPr>
                <w:rFonts w:ascii="Calibri" w:hAnsi="Calibri" w:cs="Calibri"/>
                <w:color w:val="000000"/>
              </w:rPr>
              <w:t>3187</w:t>
            </w:r>
          </w:p>
        </w:tc>
        <w:tc>
          <w:tcPr>
            <w:tcW w:w="309" w:type="pct"/>
            <w:tcBorders>
              <w:top w:val="nil"/>
              <w:left w:val="nil"/>
              <w:bottom w:val="nil"/>
              <w:right w:val="nil"/>
            </w:tcBorders>
            <w:shd w:val="clear" w:color="auto" w:fill="auto"/>
            <w:noWrap/>
            <w:vAlign w:val="center"/>
            <w:hideMark/>
          </w:tcPr>
          <w:p w14:paraId="68B5251A" w14:textId="77777777" w:rsidR="00257248" w:rsidRPr="00877650" w:rsidRDefault="00257248" w:rsidP="00323FD6">
            <w:pPr>
              <w:rPr>
                <w:rFonts w:ascii="Calibri" w:hAnsi="Calibri" w:cs="Calibri"/>
                <w:color w:val="000000"/>
              </w:rPr>
            </w:pPr>
            <w:r w:rsidRPr="00877650">
              <w:rPr>
                <w:rFonts w:ascii="Calibri" w:hAnsi="Calibri" w:cs="Calibri"/>
                <w:color w:val="000000"/>
              </w:rPr>
              <w:t>4007</w:t>
            </w:r>
          </w:p>
        </w:tc>
        <w:tc>
          <w:tcPr>
            <w:tcW w:w="240" w:type="pct"/>
            <w:tcBorders>
              <w:top w:val="nil"/>
              <w:left w:val="nil"/>
              <w:bottom w:val="nil"/>
              <w:right w:val="nil"/>
            </w:tcBorders>
            <w:shd w:val="clear" w:color="auto" w:fill="auto"/>
            <w:noWrap/>
            <w:vAlign w:val="center"/>
            <w:hideMark/>
          </w:tcPr>
          <w:p w14:paraId="085D48CA" w14:textId="77777777" w:rsidR="00257248" w:rsidRPr="00877650" w:rsidRDefault="00257248" w:rsidP="00323FD6">
            <w:pPr>
              <w:rPr>
                <w:rFonts w:ascii="Calibri" w:hAnsi="Calibri" w:cs="Calibri"/>
                <w:color w:val="000000"/>
              </w:rPr>
            </w:pPr>
            <w:r w:rsidRPr="00877650">
              <w:rPr>
                <w:rFonts w:ascii="Calibri" w:hAnsi="Calibri" w:cs="Calibri"/>
                <w:color w:val="000000"/>
              </w:rPr>
              <w:t>34.8</w:t>
            </w:r>
          </w:p>
        </w:tc>
        <w:tc>
          <w:tcPr>
            <w:tcW w:w="1035" w:type="pct"/>
            <w:gridSpan w:val="3"/>
            <w:vMerge w:val="restart"/>
            <w:tcBorders>
              <w:top w:val="nil"/>
              <w:left w:val="nil"/>
              <w:right w:val="single" w:sz="4" w:space="0" w:color="auto"/>
            </w:tcBorders>
            <w:shd w:val="clear" w:color="auto" w:fill="auto"/>
            <w:noWrap/>
            <w:vAlign w:val="center"/>
            <w:hideMark/>
          </w:tcPr>
          <w:p w14:paraId="7DBE27E6" w14:textId="77777777" w:rsidR="00257248" w:rsidRPr="00877650" w:rsidRDefault="00257248" w:rsidP="00323FD6">
            <w:pPr>
              <w:rPr>
                <w:rFonts w:ascii="Calibri" w:hAnsi="Calibri" w:cs="Calibri"/>
                <w:color w:val="000000"/>
              </w:rPr>
            </w:pPr>
          </w:p>
        </w:tc>
      </w:tr>
      <w:tr w:rsidR="00257248" w:rsidRPr="00877650" w14:paraId="0477E284" w14:textId="77777777" w:rsidTr="00323FD6">
        <w:trPr>
          <w:trHeight w:val="290"/>
        </w:trPr>
        <w:tc>
          <w:tcPr>
            <w:tcW w:w="1105" w:type="pct"/>
            <w:gridSpan w:val="2"/>
            <w:vMerge/>
            <w:tcBorders>
              <w:left w:val="single" w:sz="4" w:space="0" w:color="auto"/>
              <w:bottom w:val="nil"/>
              <w:right w:val="nil"/>
            </w:tcBorders>
            <w:shd w:val="clear" w:color="auto" w:fill="auto"/>
            <w:noWrap/>
            <w:vAlign w:val="center"/>
            <w:hideMark/>
          </w:tcPr>
          <w:p w14:paraId="3C5DA755" w14:textId="77777777" w:rsidR="00257248" w:rsidRPr="00877650" w:rsidRDefault="00257248" w:rsidP="00323FD6">
            <w:pPr>
              <w:rPr>
                <w:rFonts w:ascii="Calibri" w:hAnsi="Calibri" w:cs="Calibri"/>
                <w:color w:val="F2F2F2"/>
              </w:rPr>
            </w:pPr>
          </w:p>
        </w:tc>
        <w:tc>
          <w:tcPr>
            <w:tcW w:w="516" w:type="pct"/>
            <w:tcBorders>
              <w:top w:val="nil"/>
              <w:left w:val="nil"/>
              <w:bottom w:val="nil"/>
              <w:right w:val="nil"/>
            </w:tcBorders>
            <w:shd w:val="clear" w:color="auto" w:fill="auto"/>
            <w:noWrap/>
            <w:vAlign w:val="center"/>
            <w:hideMark/>
          </w:tcPr>
          <w:p w14:paraId="6FE932F5" w14:textId="77777777" w:rsidR="00257248" w:rsidRPr="00877650" w:rsidRDefault="00257248" w:rsidP="00323FD6">
            <w:pPr>
              <w:rPr>
                <w:rFonts w:ascii="Calibri" w:hAnsi="Calibri" w:cs="Calibri"/>
                <w:color w:val="000000"/>
              </w:rPr>
            </w:pPr>
            <w:r w:rsidRPr="00877650">
              <w:rPr>
                <w:rFonts w:ascii="Calibri" w:hAnsi="Calibri" w:cs="Calibri"/>
                <w:color w:val="000000"/>
              </w:rPr>
              <w:t>Ga0124421_121</w:t>
            </w:r>
          </w:p>
        </w:tc>
        <w:tc>
          <w:tcPr>
            <w:tcW w:w="311" w:type="pct"/>
            <w:tcBorders>
              <w:top w:val="nil"/>
              <w:left w:val="nil"/>
              <w:bottom w:val="nil"/>
              <w:right w:val="nil"/>
            </w:tcBorders>
            <w:shd w:val="clear" w:color="auto" w:fill="auto"/>
            <w:noWrap/>
            <w:vAlign w:val="center"/>
            <w:hideMark/>
          </w:tcPr>
          <w:p w14:paraId="6054D1FE" w14:textId="77777777" w:rsidR="00257248" w:rsidRPr="00877650" w:rsidRDefault="00257248" w:rsidP="00323FD6">
            <w:pPr>
              <w:rPr>
                <w:rFonts w:ascii="Calibri" w:hAnsi="Calibri" w:cs="Calibri"/>
                <w:color w:val="000000"/>
              </w:rPr>
            </w:pPr>
            <w:r w:rsidRPr="00877650">
              <w:rPr>
                <w:rFonts w:ascii="Calibri" w:hAnsi="Calibri" w:cs="Calibri"/>
                <w:color w:val="000000"/>
              </w:rPr>
              <w:t>+</w:t>
            </w:r>
          </w:p>
        </w:tc>
        <w:tc>
          <w:tcPr>
            <w:tcW w:w="484" w:type="pct"/>
            <w:tcBorders>
              <w:top w:val="nil"/>
              <w:left w:val="nil"/>
              <w:bottom w:val="nil"/>
              <w:right w:val="nil"/>
            </w:tcBorders>
            <w:shd w:val="clear" w:color="auto" w:fill="auto"/>
            <w:noWrap/>
            <w:vAlign w:val="center"/>
            <w:hideMark/>
          </w:tcPr>
          <w:p w14:paraId="3108FA2E"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w:t>
            </w:r>
            <w:proofErr w:type="spellStart"/>
            <w:r w:rsidRPr="00877650">
              <w:rPr>
                <w:rFonts w:ascii="Calibri" w:hAnsi="Calibri" w:cs="Calibri"/>
                <w:color w:val="000000"/>
              </w:rPr>
              <w:t>homogentisate</w:t>
            </w:r>
            <w:proofErr w:type="spellEnd"/>
            <w:r w:rsidRPr="00877650">
              <w:rPr>
                <w:rFonts w:ascii="Calibri" w:hAnsi="Calibri" w:cs="Calibri"/>
                <w:color w:val="000000"/>
              </w:rPr>
              <w:t xml:space="preserve"> 1,2-</w:t>
            </w:r>
            <w:r w:rsidRPr="00877650">
              <w:rPr>
                <w:rFonts w:ascii="Calibri" w:hAnsi="Calibri" w:cs="Calibri"/>
                <w:color w:val="000000"/>
              </w:rPr>
              <w:lastRenderedPageBreak/>
              <w:t>dioxygenase</w:t>
            </w:r>
          </w:p>
        </w:tc>
        <w:tc>
          <w:tcPr>
            <w:tcW w:w="552" w:type="pct"/>
            <w:tcBorders>
              <w:top w:val="nil"/>
              <w:left w:val="nil"/>
              <w:bottom w:val="nil"/>
              <w:right w:val="nil"/>
            </w:tcBorders>
            <w:shd w:val="clear" w:color="auto" w:fill="auto"/>
            <w:noWrap/>
            <w:vAlign w:val="center"/>
            <w:hideMark/>
          </w:tcPr>
          <w:p w14:paraId="407288AF"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lastRenderedPageBreak/>
              <w:t>Glyoxylase</w:t>
            </w:r>
            <w:proofErr w:type="spellEnd"/>
            <w:r w:rsidRPr="00877650">
              <w:rPr>
                <w:rFonts w:ascii="Calibri" w:hAnsi="Calibri" w:cs="Calibri"/>
                <w:color w:val="000000"/>
              </w:rPr>
              <w:t xml:space="preserve">, beta-lactamase </w:t>
            </w:r>
            <w:r w:rsidRPr="00877650">
              <w:rPr>
                <w:rFonts w:ascii="Calibri" w:hAnsi="Calibri" w:cs="Calibri"/>
                <w:color w:val="000000"/>
              </w:rPr>
              <w:lastRenderedPageBreak/>
              <w:t>superfamily II</w:t>
            </w:r>
          </w:p>
        </w:tc>
        <w:tc>
          <w:tcPr>
            <w:tcW w:w="448" w:type="pct"/>
            <w:tcBorders>
              <w:top w:val="nil"/>
              <w:left w:val="nil"/>
              <w:bottom w:val="nil"/>
              <w:right w:val="nil"/>
            </w:tcBorders>
            <w:shd w:val="clear" w:color="auto" w:fill="auto"/>
            <w:noWrap/>
            <w:vAlign w:val="center"/>
            <w:hideMark/>
          </w:tcPr>
          <w:p w14:paraId="04F2707A" w14:textId="77777777" w:rsidR="00257248" w:rsidRPr="00877650" w:rsidRDefault="00257248" w:rsidP="00323FD6">
            <w:pPr>
              <w:rPr>
                <w:rFonts w:ascii="Calibri" w:hAnsi="Calibri" w:cs="Calibri"/>
                <w:color w:val="000000"/>
              </w:rPr>
            </w:pPr>
            <w:r w:rsidRPr="00877650">
              <w:rPr>
                <w:rFonts w:ascii="Calibri" w:hAnsi="Calibri" w:cs="Calibri"/>
                <w:color w:val="000000"/>
              </w:rPr>
              <w:lastRenderedPageBreak/>
              <w:t>80</w:t>
            </w:r>
          </w:p>
        </w:tc>
        <w:tc>
          <w:tcPr>
            <w:tcW w:w="309" w:type="pct"/>
            <w:tcBorders>
              <w:top w:val="nil"/>
              <w:left w:val="nil"/>
              <w:bottom w:val="nil"/>
              <w:right w:val="nil"/>
            </w:tcBorders>
            <w:shd w:val="clear" w:color="auto" w:fill="auto"/>
            <w:noWrap/>
            <w:vAlign w:val="center"/>
            <w:hideMark/>
          </w:tcPr>
          <w:p w14:paraId="63D1B60F" w14:textId="77777777" w:rsidR="00257248" w:rsidRPr="00877650" w:rsidRDefault="00257248" w:rsidP="00323FD6">
            <w:pPr>
              <w:rPr>
                <w:rFonts w:ascii="Calibri" w:hAnsi="Calibri" w:cs="Calibri"/>
                <w:color w:val="000000"/>
              </w:rPr>
            </w:pPr>
            <w:r w:rsidRPr="00877650">
              <w:rPr>
                <w:rFonts w:ascii="Calibri" w:hAnsi="Calibri" w:cs="Calibri"/>
                <w:color w:val="000000"/>
              </w:rPr>
              <w:t>1260</w:t>
            </w:r>
          </w:p>
        </w:tc>
        <w:tc>
          <w:tcPr>
            <w:tcW w:w="240" w:type="pct"/>
            <w:tcBorders>
              <w:top w:val="nil"/>
              <w:left w:val="nil"/>
              <w:bottom w:val="nil"/>
              <w:right w:val="nil"/>
            </w:tcBorders>
            <w:shd w:val="clear" w:color="auto" w:fill="auto"/>
            <w:noWrap/>
            <w:vAlign w:val="center"/>
            <w:hideMark/>
          </w:tcPr>
          <w:p w14:paraId="7F42510F" w14:textId="77777777" w:rsidR="00257248" w:rsidRPr="00877650" w:rsidRDefault="00257248" w:rsidP="00323FD6">
            <w:pPr>
              <w:rPr>
                <w:rFonts w:ascii="Calibri" w:hAnsi="Calibri" w:cs="Calibri"/>
                <w:color w:val="000000"/>
              </w:rPr>
            </w:pPr>
            <w:r w:rsidRPr="00877650">
              <w:rPr>
                <w:rFonts w:ascii="Calibri" w:hAnsi="Calibri" w:cs="Calibri"/>
                <w:color w:val="000000"/>
              </w:rPr>
              <w:t>17.4</w:t>
            </w:r>
          </w:p>
        </w:tc>
        <w:tc>
          <w:tcPr>
            <w:tcW w:w="1035" w:type="pct"/>
            <w:gridSpan w:val="3"/>
            <w:vMerge/>
            <w:tcBorders>
              <w:left w:val="nil"/>
              <w:bottom w:val="nil"/>
              <w:right w:val="single" w:sz="4" w:space="0" w:color="auto"/>
            </w:tcBorders>
            <w:shd w:val="clear" w:color="auto" w:fill="auto"/>
            <w:noWrap/>
            <w:vAlign w:val="center"/>
            <w:hideMark/>
          </w:tcPr>
          <w:p w14:paraId="2E2CB711" w14:textId="77777777" w:rsidR="00257248" w:rsidRPr="00877650" w:rsidRDefault="00257248" w:rsidP="00323FD6">
            <w:pPr>
              <w:rPr>
                <w:rFonts w:ascii="Calibri" w:hAnsi="Calibri" w:cs="Calibri"/>
                <w:color w:val="000000"/>
              </w:rPr>
            </w:pPr>
          </w:p>
        </w:tc>
      </w:tr>
      <w:tr w:rsidR="00257248" w:rsidRPr="00877650" w14:paraId="0E4D9420" w14:textId="77777777" w:rsidTr="00323FD6">
        <w:trPr>
          <w:trHeight w:val="290"/>
        </w:trPr>
        <w:tc>
          <w:tcPr>
            <w:tcW w:w="516" w:type="pct"/>
            <w:tcBorders>
              <w:top w:val="single" w:sz="4" w:space="0" w:color="auto"/>
              <w:left w:val="single" w:sz="4" w:space="0" w:color="auto"/>
              <w:bottom w:val="single" w:sz="4" w:space="0" w:color="auto"/>
              <w:right w:val="nil"/>
            </w:tcBorders>
            <w:shd w:val="clear" w:color="auto" w:fill="auto"/>
            <w:noWrap/>
            <w:vAlign w:val="center"/>
            <w:hideMark/>
          </w:tcPr>
          <w:p w14:paraId="0639A58B" w14:textId="77777777" w:rsidR="00257248" w:rsidRPr="00877650" w:rsidRDefault="00257248" w:rsidP="00323FD6">
            <w:pPr>
              <w:rPr>
                <w:rFonts w:ascii="Calibri" w:hAnsi="Calibri" w:cs="Calibri"/>
                <w:color w:val="000000"/>
              </w:rPr>
            </w:pPr>
            <w:r w:rsidRPr="00877650">
              <w:rPr>
                <w:rFonts w:ascii="Calibri" w:hAnsi="Calibri" w:cs="Calibri"/>
                <w:color w:val="000000"/>
              </w:rPr>
              <w:t>2521172622</w:t>
            </w:r>
          </w:p>
        </w:tc>
        <w:tc>
          <w:tcPr>
            <w:tcW w:w="589" w:type="pct"/>
            <w:tcBorders>
              <w:top w:val="single" w:sz="4" w:space="0" w:color="auto"/>
              <w:left w:val="nil"/>
              <w:bottom w:val="single" w:sz="4" w:space="0" w:color="auto"/>
              <w:right w:val="nil"/>
            </w:tcBorders>
            <w:shd w:val="clear" w:color="auto" w:fill="auto"/>
            <w:noWrap/>
            <w:vAlign w:val="center"/>
            <w:hideMark/>
          </w:tcPr>
          <w:p w14:paraId="6C9072D3" w14:textId="77777777" w:rsidR="00257248" w:rsidRPr="00877650" w:rsidRDefault="00257248" w:rsidP="00323FD6">
            <w:pPr>
              <w:rPr>
                <w:rFonts w:ascii="Calibri" w:hAnsi="Calibri" w:cs="Calibri"/>
                <w:color w:val="000000"/>
              </w:rPr>
            </w:pPr>
            <w:proofErr w:type="spellStart"/>
            <w:r w:rsidRPr="00877650">
              <w:rPr>
                <w:rFonts w:ascii="Calibri" w:hAnsi="Calibri" w:cs="Calibri"/>
                <w:color w:val="000000"/>
              </w:rPr>
              <w:t>Pseudophaeobacter</w:t>
            </w:r>
            <w:proofErr w:type="spellEnd"/>
            <w:r w:rsidRPr="00877650">
              <w:rPr>
                <w:rFonts w:ascii="Calibri" w:hAnsi="Calibri" w:cs="Calibri"/>
                <w:color w:val="000000"/>
              </w:rPr>
              <w:t xml:space="preserve"> arcticus DSM 23566</w:t>
            </w:r>
          </w:p>
        </w:tc>
        <w:tc>
          <w:tcPr>
            <w:tcW w:w="516" w:type="pct"/>
            <w:tcBorders>
              <w:top w:val="single" w:sz="4" w:space="0" w:color="auto"/>
              <w:left w:val="nil"/>
              <w:bottom w:val="single" w:sz="4" w:space="0" w:color="auto"/>
              <w:right w:val="nil"/>
            </w:tcBorders>
            <w:shd w:val="clear" w:color="auto" w:fill="auto"/>
            <w:noWrap/>
            <w:vAlign w:val="center"/>
            <w:hideMark/>
          </w:tcPr>
          <w:p w14:paraId="7C9204BB"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311" w:type="pct"/>
            <w:tcBorders>
              <w:top w:val="single" w:sz="4" w:space="0" w:color="auto"/>
              <w:left w:val="nil"/>
              <w:bottom w:val="single" w:sz="4" w:space="0" w:color="auto"/>
              <w:right w:val="nil"/>
            </w:tcBorders>
            <w:shd w:val="clear" w:color="auto" w:fill="auto"/>
            <w:noWrap/>
            <w:vAlign w:val="center"/>
            <w:hideMark/>
          </w:tcPr>
          <w:p w14:paraId="08CC7259"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484" w:type="pct"/>
            <w:tcBorders>
              <w:top w:val="single" w:sz="4" w:space="0" w:color="auto"/>
              <w:left w:val="nil"/>
              <w:bottom w:val="single" w:sz="4" w:space="0" w:color="auto"/>
              <w:right w:val="nil"/>
            </w:tcBorders>
            <w:shd w:val="clear" w:color="auto" w:fill="auto"/>
            <w:noWrap/>
            <w:vAlign w:val="center"/>
            <w:hideMark/>
          </w:tcPr>
          <w:p w14:paraId="264B6FEA"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552" w:type="pct"/>
            <w:tcBorders>
              <w:top w:val="single" w:sz="4" w:space="0" w:color="auto"/>
              <w:left w:val="nil"/>
              <w:bottom w:val="single" w:sz="4" w:space="0" w:color="auto"/>
              <w:right w:val="nil"/>
            </w:tcBorders>
            <w:shd w:val="clear" w:color="auto" w:fill="auto"/>
            <w:noWrap/>
            <w:vAlign w:val="center"/>
            <w:hideMark/>
          </w:tcPr>
          <w:p w14:paraId="37112499"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448" w:type="pct"/>
            <w:tcBorders>
              <w:top w:val="single" w:sz="4" w:space="0" w:color="auto"/>
              <w:left w:val="nil"/>
              <w:bottom w:val="single" w:sz="4" w:space="0" w:color="auto"/>
              <w:right w:val="nil"/>
            </w:tcBorders>
            <w:shd w:val="clear" w:color="auto" w:fill="auto"/>
            <w:noWrap/>
            <w:vAlign w:val="center"/>
            <w:hideMark/>
          </w:tcPr>
          <w:p w14:paraId="27B5CB17"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309" w:type="pct"/>
            <w:tcBorders>
              <w:top w:val="single" w:sz="4" w:space="0" w:color="auto"/>
              <w:left w:val="nil"/>
              <w:bottom w:val="single" w:sz="4" w:space="0" w:color="auto"/>
              <w:right w:val="nil"/>
            </w:tcBorders>
            <w:shd w:val="clear" w:color="auto" w:fill="auto"/>
            <w:noWrap/>
            <w:vAlign w:val="center"/>
            <w:hideMark/>
          </w:tcPr>
          <w:p w14:paraId="043CEC1A"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240" w:type="pct"/>
            <w:tcBorders>
              <w:top w:val="single" w:sz="4" w:space="0" w:color="auto"/>
              <w:left w:val="nil"/>
              <w:bottom w:val="single" w:sz="4" w:space="0" w:color="auto"/>
              <w:right w:val="nil"/>
            </w:tcBorders>
            <w:shd w:val="clear" w:color="auto" w:fill="auto"/>
            <w:noWrap/>
            <w:vAlign w:val="center"/>
            <w:hideMark/>
          </w:tcPr>
          <w:p w14:paraId="303A6482" w14:textId="77777777" w:rsidR="00257248" w:rsidRPr="00877650" w:rsidRDefault="00257248" w:rsidP="00323FD6">
            <w:pPr>
              <w:rPr>
                <w:rFonts w:ascii="Calibri" w:hAnsi="Calibri" w:cs="Calibri"/>
                <w:color w:val="000000"/>
              </w:rPr>
            </w:pPr>
            <w:r w:rsidRPr="00877650">
              <w:rPr>
                <w:rFonts w:ascii="Calibri" w:hAnsi="Calibri" w:cs="Calibri"/>
                <w:color w:val="000000"/>
              </w:rPr>
              <w:t>NA</w:t>
            </w:r>
          </w:p>
        </w:tc>
        <w:tc>
          <w:tcPr>
            <w:tcW w:w="311" w:type="pct"/>
            <w:tcBorders>
              <w:top w:val="single" w:sz="4" w:space="0" w:color="auto"/>
              <w:left w:val="nil"/>
              <w:bottom w:val="single" w:sz="4" w:space="0" w:color="auto"/>
              <w:right w:val="nil"/>
            </w:tcBorders>
            <w:shd w:val="clear" w:color="auto" w:fill="auto"/>
            <w:noWrap/>
            <w:vAlign w:val="center"/>
            <w:hideMark/>
          </w:tcPr>
          <w:p w14:paraId="4B2E9882" w14:textId="77777777" w:rsidR="00257248" w:rsidRPr="00877650" w:rsidRDefault="00257248" w:rsidP="00323FD6">
            <w:pPr>
              <w:rPr>
                <w:rFonts w:ascii="Calibri" w:hAnsi="Calibri" w:cs="Calibri"/>
                <w:color w:val="000000"/>
              </w:rPr>
            </w:pPr>
            <w:r w:rsidRPr="00877650">
              <w:rPr>
                <w:rFonts w:ascii="Calibri" w:hAnsi="Calibri" w:cs="Calibri"/>
                <w:color w:val="000000"/>
              </w:rPr>
              <w:t>0</w:t>
            </w:r>
          </w:p>
        </w:tc>
        <w:tc>
          <w:tcPr>
            <w:tcW w:w="311" w:type="pct"/>
            <w:tcBorders>
              <w:top w:val="single" w:sz="4" w:space="0" w:color="auto"/>
              <w:left w:val="nil"/>
              <w:bottom w:val="single" w:sz="4" w:space="0" w:color="auto"/>
              <w:right w:val="nil"/>
            </w:tcBorders>
            <w:shd w:val="clear" w:color="auto" w:fill="auto"/>
            <w:noWrap/>
            <w:vAlign w:val="center"/>
            <w:hideMark/>
          </w:tcPr>
          <w:p w14:paraId="559D7F6D" w14:textId="77777777" w:rsidR="00257248" w:rsidRPr="00877650" w:rsidRDefault="00257248" w:rsidP="00323FD6">
            <w:pPr>
              <w:rPr>
                <w:rFonts w:ascii="Calibri" w:hAnsi="Calibri" w:cs="Calibri"/>
                <w:color w:val="000000"/>
              </w:rPr>
            </w:pPr>
            <w:r w:rsidRPr="00877650">
              <w:rPr>
                <w:rFonts w:ascii="Calibri" w:hAnsi="Calibri" w:cs="Calibri"/>
                <w:color w:val="000000"/>
              </w:rPr>
              <w:t>4889</w:t>
            </w:r>
          </w:p>
        </w:tc>
        <w:tc>
          <w:tcPr>
            <w:tcW w:w="413" w:type="pct"/>
            <w:tcBorders>
              <w:top w:val="single" w:sz="4" w:space="0" w:color="auto"/>
              <w:left w:val="nil"/>
              <w:bottom w:val="single" w:sz="4" w:space="0" w:color="auto"/>
              <w:right w:val="single" w:sz="4" w:space="0" w:color="auto"/>
            </w:tcBorders>
            <w:shd w:val="clear" w:color="auto" w:fill="auto"/>
            <w:noWrap/>
            <w:vAlign w:val="center"/>
            <w:hideMark/>
          </w:tcPr>
          <w:p w14:paraId="162E6E63" w14:textId="77777777" w:rsidR="00257248" w:rsidRPr="00877650" w:rsidRDefault="00257248" w:rsidP="00323FD6">
            <w:pPr>
              <w:rPr>
                <w:rFonts w:ascii="Calibri" w:hAnsi="Calibri" w:cs="Calibri"/>
                <w:color w:val="000000"/>
              </w:rPr>
            </w:pPr>
            <w:r w:rsidRPr="00877650">
              <w:rPr>
                <w:rFonts w:ascii="Calibri" w:hAnsi="Calibri" w:cs="Calibri"/>
                <w:color w:val="000000"/>
              </w:rPr>
              <w:t xml:space="preserve"> 0.00%</w:t>
            </w:r>
          </w:p>
        </w:tc>
      </w:tr>
    </w:tbl>
    <w:p w14:paraId="51384007" w14:textId="77777777" w:rsidR="00257248" w:rsidRDefault="00257248" w:rsidP="00257248"/>
    <w:p w14:paraId="75FD336B" w14:textId="77777777" w:rsidR="00257248" w:rsidRDefault="00257248" w:rsidP="00257248">
      <w:pPr>
        <w:spacing w:line="360" w:lineRule="auto"/>
        <w:jc w:val="both"/>
        <w:rPr>
          <w:rFonts w:ascii="Verdana" w:hAnsi="Verdana"/>
          <w:b/>
          <w:bCs/>
        </w:rPr>
        <w:sectPr w:rsidR="00257248" w:rsidSect="00DD42F3">
          <w:footnotePr>
            <w:numFmt w:val="lowerLetter"/>
          </w:footnotePr>
          <w:pgSz w:w="15840" w:h="12240" w:orient="landscape"/>
          <w:pgMar w:top="1440" w:right="1440" w:bottom="1440" w:left="1440" w:header="720" w:footer="720" w:gutter="0"/>
          <w:cols w:space="720"/>
          <w:docGrid w:linePitch="360"/>
        </w:sectPr>
      </w:pPr>
      <w:r w:rsidRPr="00E94C5D">
        <w:rPr>
          <w:rFonts w:ascii="Verdana" w:hAnsi="Verdana"/>
          <w:b/>
          <w:bCs/>
        </w:rPr>
        <w:br w:type="page"/>
      </w:r>
    </w:p>
    <w:p w14:paraId="0DAA78C6" w14:textId="5F0F96D6" w:rsidR="00257248" w:rsidRPr="006159AE" w:rsidRDefault="00257248" w:rsidP="00257248">
      <w:pPr>
        <w:pStyle w:val="Heading2"/>
        <w:rPr>
          <w:rFonts w:ascii="Verdana" w:hAnsi="Verdana"/>
          <w:sz w:val="24"/>
          <w:szCs w:val="24"/>
        </w:rPr>
      </w:pPr>
      <w:r w:rsidRPr="006159AE">
        <w:rPr>
          <w:rFonts w:ascii="Verdana" w:hAnsi="Verdana"/>
          <w:sz w:val="24"/>
          <w:szCs w:val="24"/>
        </w:rPr>
        <w:lastRenderedPageBreak/>
        <w:t xml:space="preserve">Appendix: </w:t>
      </w:r>
      <w:r w:rsidRPr="006159AE">
        <w:rPr>
          <w:rFonts w:ascii="Verdana" w:hAnsi="Verdana"/>
          <w:sz w:val="24"/>
          <w:szCs w:val="24"/>
        </w:rPr>
        <w:t>Figures</w:t>
      </w:r>
    </w:p>
    <w:p w14:paraId="5FE802CB" w14:textId="77777777" w:rsidR="00257248" w:rsidRDefault="00257248" w:rsidP="00257248">
      <w:pPr>
        <w:spacing w:line="360" w:lineRule="auto"/>
        <w:jc w:val="both"/>
        <w:rPr>
          <w:rFonts w:ascii="Verdana" w:hAnsi="Verdana"/>
          <w:b/>
          <w:bCs/>
        </w:rPr>
      </w:pPr>
    </w:p>
    <w:p w14:paraId="62C00ECB" w14:textId="77777777" w:rsidR="00257248" w:rsidRPr="00E94C5D" w:rsidRDefault="00257248" w:rsidP="00257248">
      <w:pPr>
        <w:spacing w:line="360" w:lineRule="auto"/>
        <w:jc w:val="both"/>
        <w:rPr>
          <w:rFonts w:ascii="Verdana" w:hAnsi="Verdana"/>
        </w:rPr>
      </w:pPr>
      <w:r w:rsidRPr="00866B61">
        <w:rPr>
          <w:rFonts w:ascii="Verdana" w:hAnsi="Verdana"/>
          <w:noProof/>
        </w:rPr>
        <mc:AlternateContent>
          <mc:Choice Requires="wps">
            <w:drawing>
              <wp:anchor distT="45720" distB="45720" distL="114300" distR="114300" simplePos="0" relativeHeight="251664384" behindDoc="0" locked="0" layoutInCell="1" allowOverlap="1" wp14:anchorId="09FD8E1B" wp14:editId="5F414AB8">
                <wp:simplePos x="0" y="0"/>
                <wp:positionH relativeFrom="column">
                  <wp:posOffset>0</wp:posOffset>
                </wp:positionH>
                <wp:positionV relativeFrom="paragraph">
                  <wp:posOffset>404495</wp:posOffset>
                </wp:positionV>
                <wp:extent cx="352425" cy="1404620"/>
                <wp:effectExtent l="0" t="0" r="9525"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404620"/>
                        </a:xfrm>
                        <a:prstGeom prst="rect">
                          <a:avLst/>
                        </a:prstGeom>
                        <a:solidFill>
                          <a:srgbClr val="FFFFFF"/>
                        </a:solidFill>
                        <a:ln w="9525">
                          <a:noFill/>
                          <a:miter lim="800000"/>
                          <a:headEnd/>
                          <a:tailEnd/>
                        </a:ln>
                      </wps:spPr>
                      <wps:txbx>
                        <w:txbxContent>
                          <w:p w14:paraId="3DF84C9C" w14:textId="77777777" w:rsidR="00257248" w:rsidRPr="00347DC5" w:rsidRDefault="00257248" w:rsidP="00257248">
                            <w:pPr>
                              <w:rPr>
                                <w:rFonts w:ascii="Verdana" w:hAnsi="Verdana"/>
                                <w:b/>
                                <w:bCs/>
                              </w:rPr>
                            </w:pPr>
                            <w:r w:rsidRPr="00347DC5">
                              <w:rPr>
                                <w:rFonts w:ascii="Verdana" w:hAnsi="Verdana"/>
                                <w:b/>
                                <w:bCs/>
                              </w:rPr>
                              <w:t>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9FD8E1B" id="_x0000_t202" coordsize="21600,21600" o:spt="202" path="m,l,21600r21600,l21600,xe">
                <v:stroke joinstyle="miter"/>
                <v:path gradientshapeok="t" o:connecttype="rect"/>
              </v:shapetype>
              <v:shape id="Text Box 2" o:spid="_x0000_s1027" type="#_x0000_t202" style="position:absolute;left:0;text-align:left;margin-left:0;margin-top:31.85pt;width:27.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" stroked="f">
                <v:textbox style="mso-fit-shape-to-text:t">
                  <w:txbxContent>
                    <w:p w14:paraId="3DF84C9C" w14:textId="77777777" w:rsidR="00257248" w:rsidRPr="00347DC5" w:rsidRDefault="00257248" w:rsidP="00257248">
                      <w:pPr>
                        <w:rPr>
                          <w:rFonts w:ascii="Verdana" w:hAnsi="Verdana"/>
                          <w:b/>
                          <w:bCs/>
                        </w:rPr>
                      </w:pPr>
                      <w:r w:rsidRPr="00347DC5">
                        <w:rPr>
                          <w:rFonts w:ascii="Verdana" w:hAnsi="Verdana"/>
                          <w:b/>
                          <w:bCs/>
                        </w:rPr>
                        <w:t>A</w:t>
                      </w:r>
                    </w:p>
                  </w:txbxContent>
                </v:textbox>
                <w10:wrap type="square"/>
              </v:shape>
            </w:pict>
          </mc:Fallback>
        </mc:AlternateContent>
      </w:r>
      <w:r w:rsidRPr="00866B61">
        <w:rPr>
          <w:rFonts w:ascii="Verdana" w:hAnsi="Verdana"/>
          <w:noProof/>
        </w:rPr>
        <mc:AlternateContent>
          <mc:Choice Requires="wps">
            <w:drawing>
              <wp:anchor distT="45720" distB="45720" distL="114300" distR="114300" simplePos="0" relativeHeight="251665408" behindDoc="0" locked="0" layoutInCell="1" allowOverlap="1" wp14:anchorId="66DC556D" wp14:editId="2DC6159C">
                <wp:simplePos x="0" y="0"/>
                <wp:positionH relativeFrom="column">
                  <wp:posOffset>0</wp:posOffset>
                </wp:positionH>
                <wp:positionV relativeFrom="paragraph">
                  <wp:posOffset>2642870</wp:posOffset>
                </wp:positionV>
                <wp:extent cx="352425" cy="1404620"/>
                <wp:effectExtent l="0" t="0" r="9525" b="0"/>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2425" cy="1404620"/>
                        </a:xfrm>
                        <a:prstGeom prst="rect">
                          <a:avLst/>
                        </a:prstGeom>
                        <a:solidFill>
                          <a:srgbClr val="FFFFFF"/>
                        </a:solidFill>
                        <a:ln w="9525">
                          <a:noFill/>
                          <a:miter lim="800000"/>
                          <a:headEnd/>
                          <a:tailEnd/>
                        </a:ln>
                      </wps:spPr>
                      <wps:txbx>
                        <w:txbxContent>
                          <w:p w14:paraId="799FC280" w14:textId="77777777" w:rsidR="00257248" w:rsidRPr="00347DC5" w:rsidRDefault="00257248" w:rsidP="00257248">
                            <w:pPr>
                              <w:rPr>
                                <w:rFonts w:ascii="Verdana" w:hAnsi="Verdana"/>
                                <w:b/>
                                <w:bCs/>
                              </w:rPr>
                            </w:pPr>
                            <w:r>
                              <w:rPr>
                                <w:rFonts w:ascii="Verdana" w:hAnsi="Verdana"/>
                                <w:b/>
                                <w:bCs/>
                              </w:rPr>
                              <w:t>B</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6DC556D" id="_x0000_s1028" type="#_x0000_t202" style="position:absolute;left:0;text-align:left;margin-left:0;margin-top:208.1pt;width:27.75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" stroked="f">
                <v:textbox style="mso-fit-shape-to-text:t">
                  <w:txbxContent>
                    <w:p w14:paraId="799FC280" w14:textId="77777777" w:rsidR="00257248" w:rsidRPr="00347DC5" w:rsidRDefault="00257248" w:rsidP="00257248">
                      <w:pPr>
                        <w:rPr>
                          <w:rFonts w:ascii="Verdana" w:hAnsi="Verdana"/>
                          <w:b/>
                          <w:bCs/>
                        </w:rPr>
                      </w:pPr>
                      <w:r>
                        <w:rPr>
                          <w:rFonts w:ascii="Verdana" w:hAnsi="Verdana"/>
                          <w:b/>
                          <w:bCs/>
                        </w:rPr>
                        <w:t>B</w:t>
                      </w:r>
                    </w:p>
                  </w:txbxContent>
                </v:textbox>
                <w10:wrap type="square"/>
              </v:shape>
            </w:pict>
          </mc:Fallback>
        </mc:AlternateContent>
      </w:r>
    </w:p>
    <w:p w14:paraId="7D0474E8" w14:textId="77777777" w:rsidR="00257248" w:rsidRPr="00E94C5D" w:rsidRDefault="00257248" w:rsidP="00257248">
      <w:pPr>
        <w:spacing w:line="360" w:lineRule="auto"/>
        <w:jc w:val="both"/>
        <w:rPr>
          <w:rFonts w:ascii="Verdana" w:hAnsi="Verdana"/>
        </w:rPr>
      </w:pPr>
      <w:r w:rsidRPr="00E94C5D">
        <w:rPr>
          <w:rFonts w:ascii="Verdana" w:hAnsi="Verdana"/>
          <w:noProof/>
        </w:rPr>
        <w:drawing>
          <wp:inline distT="0" distB="0" distL="0" distR="0" wp14:anchorId="2337C170" wp14:editId="2D04AF45">
            <wp:extent cx="5943600" cy="147637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1476375"/>
                    </a:xfrm>
                    <a:prstGeom prst="rect">
                      <a:avLst/>
                    </a:prstGeom>
                    <a:noFill/>
                    <a:ln>
                      <a:noFill/>
                    </a:ln>
                  </pic:spPr>
                </pic:pic>
              </a:graphicData>
            </a:graphic>
          </wp:inline>
        </w:drawing>
      </w:r>
    </w:p>
    <w:p w14:paraId="2F05EF74" w14:textId="77777777" w:rsidR="00257248" w:rsidRPr="00E94C5D" w:rsidRDefault="00257248" w:rsidP="00257248">
      <w:pPr>
        <w:spacing w:line="360" w:lineRule="auto"/>
        <w:jc w:val="both"/>
        <w:rPr>
          <w:rFonts w:ascii="Verdana" w:hAnsi="Verdana"/>
          <w:b/>
          <w:bCs/>
        </w:rPr>
      </w:pPr>
    </w:p>
    <w:p w14:paraId="033E153D" w14:textId="77777777" w:rsidR="006159AE" w:rsidRDefault="00257248" w:rsidP="006159AE">
      <w:pPr>
        <w:keepNext/>
        <w:jc w:val="both"/>
      </w:pPr>
      <w:r w:rsidRPr="006159AE">
        <w:rPr>
          <w:rFonts w:ascii="Verdana" w:hAnsi="Verdana"/>
          <w:noProof/>
          <w:sz w:val="20"/>
          <w:szCs w:val="20"/>
        </w:rPr>
        <w:drawing>
          <wp:inline distT="0" distB="0" distL="0" distR="0" wp14:anchorId="27C4ABC8" wp14:editId="3EFED699">
            <wp:extent cx="5943600" cy="1476375"/>
            <wp:effectExtent l="0" t="0" r="0" b="9525"/>
            <wp:docPr id="17" name="Picture 1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ext&#10;&#10;Description automatically generated with medium confidence"/>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43600" cy="1476375"/>
                    </a:xfrm>
                    <a:prstGeom prst="rect">
                      <a:avLst/>
                    </a:prstGeom>
                    <a:noFill/>
                    <a:ln>
                      <a:noFill/>
                    </a:ln>
                  </pic:spPr>
                </pic:pic>
              </a:graphicData>
            </a:graphic>
          </wp:inline>
        </w:drawing>
      </w:r>
    </w:p>
    <w:p w14:paraId="0B2A3D30" w14:textId="10E8A8EC" w:rsidR="006159AE" w:rsidRPr="00822656" w:rsidRDefault="006159AE" w:rsidP="006159AE">
      <w:pPr>
        <w:pStyle w:val="Caption"/>
        <w:jc w:val="both"/>
        <w:rPr>
          <w:rFonts w:ascii="Verdana" w:hAnsi="Verdana"/>
          <w:b w:val="0"/>
          <w:bCs w:val="0"/>
          <w:sz w:val="20"/>
          <w:szCs w:val="20"/>
        </w:rPr>
      </w:pPr>
      <w:r w:rsidRPr="00822656">
        <w:rPr>
          <w:rFonts w:ascii="Verdana" w:hAnsi="Verdana"/>
          <w:sz w:val="20"/>
          <w:szCs w:val="20"/>
        </w:rPr>
        <w:t xml:space="preserve">Figure </w:t>
      </w:r>
      <w:r w:rsidR="00975C53" w:rsidRPr="00822656">
        <w:rPr>
          <w:rFonts w:ascii="Verdana" w:hAnsi="Verdana"/>
          <w:sz w:val="20"/>
          <w:szCs w:val="20"/>
        </w:rPr>
        <w:fldChar w:fldCharType="begin"/>
      </w:r>
      <w:r w:rsidR="00975C53" w:rsidRPr="00822656">
        <w:rPr>
          <w:rFonts w:ascii="Verdana" w:hAnsi="Verdana"/>
          <w:sz w:val="20"/>
          <w:szCs w:val="20"/>
        </w:rPr>
        <w:instrText xml:space="preserve"> STYLEREF 1 \s </w:instrText>
      </w:r>
      <w:r w:rsidR="00975C53" w:rsidRPr="00822656">
        <w:rPr>
          <w:rFonts w:ascii="Verdana" w:hAnsi="Verdana"/>
          <w:sz w:val="20"/>
          <w:szCs w:val="20"/>
        </w:rPr>
        <w:fldChar w:fldCharType="separate"/>
      </w:r>
      <w:r w:rsidR="00975C53" w:rsidRPr="00822656">
        <w:rPr>
          <w:rFonts w:ascii="Verdana" w:hAnsi="Verdana"/>
          <w:noProof/>
          <w:sz w:val="20"/>
          <w:szCs w:val="20"/>
        </w:rPr>
        <w:t>4</w:t>
      </w:r>
      <w:r w:rsidR="00975C53" w:rsidRPr="00822656">
        <w:rPr>
          <w:rFonts w:ascii="Verdana" w:hAnsi="Verdana"/>
          <w:sz w:val="20"/>
          <w:szCs w:val="20"/>
        </w:rPr>
        <w:fldChar w:fldCharType="end"/>
      </w:r>
      <w:r w:rsidR="00975C53" w:rsidRPr="00822656">
        <w:rPr>
          <w:rFonts w:ascii="Verdana" w:hAnsi="Verdana"/>
          <w:sz w:val="20"/>
          <w:szCs w:val="20"/>
        </w:rPr>
        <w:t>.</w:t>
      </w:r>
      <w:r w:rsidR="00975C53" w:rsidRPr="00822656">
        <w:rPr>
          <w:rFonts w:ascii="Verdana" w:hAnsi="Verdana"/>
          <w:sz w:val="20"/>
          <w:szCs w:val="20"/>
        </w:rPr>
        <w:fldChar w:fldCharType="begin"/>
      </w:r>
      <w:r w:rsidR="00975C53" w:rsidRPr="00822656">
        <w:rPr>
          <w:rFonts w:ascii="Verdana" w:hAnsi="Verdana"/>
          <w:sz w:val="20"/>
          <w:szCs w:val="20"/>
        </w:rPr>
        <w:instrText xml:space="preserve"> SEQ Figure \* ARABIC \s 1 </w:instrText>
      </w:r>
      <w:r w:rsidR="00975C53" w:rsidRPr="00822656">
        <w:rPr>
          <w:rFonts w:ascii="Verdana" w:hAnsi="Verdana"/>
          <w:sz w:val="20"/>
          <w:szCs w:val="20"/>
        </w:rPr>
        <w:fldChar w:fldCharType="separate"/>
      </w:r>
      <w:r w:rsidR="00975C53" w:rsidRPr="00822656">
        <w:rPr>
          <w:rFonts w:ascii="Verdana" w:hAnsi="Verdana"/>
          <w:noProof/>
          <w:sz w:val="20"/>
          <w:szCs w:val="20"/>
        </w:rPr>
        <w:t>1</w:t>
      </w:r>
      <w:r w:rsidR="00975C53" w:rsidRPr="00822656">
        <w:rPr>
          <w:rFonts w:ascii="Verdana" w:hAnsi="Verdana"/>
          <w:sz w:val="20"/>
          <w:szCs w:val="20"/>
        </w:rPr>
        <w:fldChar w:fldCharType="end"/>
      </w:r>
      <w:r w:rsidRPr="00822656">
        <w:rPr>
          <w:rFonts w:ascii="Verdana" w:hAnsi="Verdana"/>
          <w:sz w:val="20"/>
          <w:szCs w:val="20"/>
        </w:rPr>
        <w:t xml:space="preserve"> </w:t>
      </w:r>
      <w:proofErr w:type="spellStart"/>
      <w:r w:rsidRPr="00822656">
        <w:rPr>
          <w:rFonts w:ascii="Verdana" w:hAnsi="Verdana"/>
          <w:sz w:val="20"/>
          <w:szCs w:val="20"/>
        </w:rPr>
        <w:t>Roseo</w:t>
      </w:r>
      <w:proofErr w:type="spellEnd"/>
      <w:r w:rsidRPr="00822656">
        <w:rPr>
          <w:rFonts w:ascii="Verdana" w:hAnsi="Verdana"/>
          <w:sz w:val="20"/>
          <w:szCs w:val="20"/>
        </w:rPr>
        <w:t xml:space="preserve"> box sequence logos for motif 1</w:t>
      </w:r>
    </w:p>
    <w:p w14:paraId="11C002B2" w14:textId="76978492" w:rsidR="00257248" w:rsidRPr="00822656" w:rsidRDefault="00975C53" w:rsidP="006159AE">
      <w:pPr>
        <w:jc w:val="both"/>
        <w:rPr>
          <w:rFonts w:ascii="Verdana" w:hAnsi="Verdana"/>
          <w:sz w:val="20"/>
          <w:szCs w:val="20"/>
        </w:rPr>
      </w:pPr>
      <w:proofErr w:type="spellStart"/>
      <w:r w:rsidRPr="00822656">
        <w:rPr>
          <w:rFonts w:ascii="Verdana" w:hAnsi="Verdana"/>
          <w:sz w:val="20"/>
          <w:szCs w:val="20"/>
        </w:rPr>
        <w:t>R</w:t>
      </w:r>
      <w:r w:rsidR="00257248" w:rsidRPr="00822656">
        <w:rPr>
          <w:rFonts w:ascii="Verdana" w:hAnsi="Verdana"/>
          <w:sz w:val="20"/>
          <w:szCs w:val="20"/>
        </w:rPr>
        <w:t>oseo</w:t>
      </w:r>
      <w:proofErr w:type="spellEnd"/>
      <w:r w:rsidR="00257248" w:rsidRPr="00822656">
        <w:rPr>
          <w:rFonts w:ascii="Verdana" w:hAnsi="Verdana"/>
          <w:sz w:val="20"/>
          <w:szCs w:val="20"/>
        </w:rPr>
        <w:t xml:space="preserve"> box sequence logos for motif 1 (A) and motif 2 (B), respectively.  Multilevel consensus sequence based </w:t>
      </w:r>
      <w:proofErr w:type="gramStart"/>
      <w:r w:rsidR="00257248" w:rsidRPr="00822656">
        <w:rPr>
          <w:rFonts w:ascii="Verdana" w:hAnsi="Verdana"/>
          <w:sz w:val="20"/>
          <w:szCs w:val="20"/>
        </w:rPr>
        <w:t>off of</w:t>
      </w:r>
      <w:proofErr w:type="gramEnd"/>
      <w:r w:rsidR="00257248" w:rsidRPr="00822656">
        <w:rPr>
          <w:rFonts w:ascii="Verdana" w:hAnsi="Verdana"/>
          <w:sz w:val="20"/>
          <w:szCs w:val="20"/>
        </w:rPr>
        <w:t xml:space="preserve"> Gapped Local Alignment of Motifs using MEME suite (meme-suite.org). </w:t>
      </w:r>
    </w:p>
    <w:p w14:paraId="0E431BFC" w14:textId="77777777" w:rsidR="00975C53" w:rsidRDefault="00257248" w:rsidP="00975C53">
      <w:pPr>
        <w:keepNext/>
        <w:spacing w:line="360" w:lineRule="auto"/>
        <w:jc w:val="both"/>
      </w:pPr>
      <w:r w:rsidRPr="00E94C5D">
        <w:rPr>
          <w:rFonts w:ascii="Verdana" w:hAnsi="Verdana"/>
          <w:b/>
          <w:bCs/>
          <w:noProof/>
        </w:rPr>
        <w:lastRenderedPageBreak/>
        <w:drawing>
          <wp:inline distT="0" distB="0" distL="0" distR="0" wp14:anchorId="517B753C" wp14:editId="084D6DD8">
            <wp:extent cx="5934075" cy="3343275"/>
            <wp:effectExtent l="0" t="0" r="9525" b="9525"/>
            <wp:docPr id="20" name="Picture 20"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10;&#10;Description automatically generated"/>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4075" cy="3343275"/>
                    </a:xfrm>
                    <a:prstGeom prst="rect">
                      <a:avLst/>
                    </a:prstGeom>
                    <a:noFill/>
                    <a:ln>
                      <a:noFill/>
                    </a:ln>
                  </pic:spPr>
                </pic:pic>
              </a:graphicData>
            </a:graphic>
          </wp:inline>
        </w:drawing>
      </w:r>
    </w:p>
    <w:p w14:paraId="0E341A11" w14:textId="1C8DD49D" w:rsidR="00257248" w:rsidRPr="00822656" w:rsidRDefault="00975C53" w:rsidP="00975C53">
      <w:pPr>
        <w:pStyle w:val="Caption"/>
        <w:jc w:val="both"/>
        <w:rPr>
          <w:rFonts w:ascii="Verdana" w:hAnsi="Verdana"/>
          <w:b w:val="0"/>
          <w:bCs w:val="0"/>
          <w:sz w:val="20"/>
          <w:szCs w:val="20"/>
        </w:rPr>
      </w:pPr>
      <w:r w:rsidRPr="00822656">
        <w:rPr>
          <w:rFonts w:ascii="Verdana" w:hAnsi="Verdana"/>
          <w:sz w:val="20"/>
          <w:szCs w:val="20"/>
        </w:rPr>
        <w:t xml:space="preserve">Figure </w:t>
      </w:r>
      <w:r w:rsidRPr="00822656">
        <w:rPr>
          <w:rFonts w:ascii="Verdana" w:hAnsi="Verdana"/>
          <w:sz w:val="20"/>
          <w:szCs w:val="20"/>
        </w:rPr>
        <w:fldChar w:fldCharType="begin"/>
      </w:r>
      <w:r w:rsidRPr="00822656">
        <w:rPr>
          <w:rFonts w:ascii="Verdana" w:hAnsi="Verdana"/>
          <w:sz w:val="20"/>
          <w:szCs w:val="20"/>
        </w:rPr>
        <w:instrText xml:space="preserve"> STYLEREF 1 \s </w:instrText>
      </w:r>
      <w:r w:rsidRPr="00822656">
        <w:rPr>
          <w:rFonts w:ascii="Verdana" w:hAnsi="Verdana"/>
          <w:sz w:val="20"/>
          <w:szCs w:val="20"/>
        </w:rPr>
        <w:fldChar w:fldCharType="separate"/>
      </w:r>
      <w:r w:rsidRPr="00822656">
        <w:rPr>
          <w:rFonts w:ascii="Verdana" w:hAnsi="Verdana"/>
          <w:noProof/>
          <w:sz w:val="20"/>
          <w:szCs w:val="20"/>
        </w:rPr>
        <w:t>4</w:t>
      </w:r>
      <w:r w:rsidRPr="00822656">
        <w:rPr>
          <w:rFonts w:ascii="Verdana" w:hAnsi="Verdana"/>
          <w:sz w:val="20"/>
          <w:szCs w:val="20"/>
        </w:rPr>
        <w:fldChar w:fldCharType="end"/>
      </w:r>
      <w:r w:rsidRPr="00822656">
        <w:rPr>
          <w:rFonts w:ascii="Verdana" w:hAnsi="Verdana"/>
          <w:sz w:val="20"/>
          <w:szCs w:val="20"/>
        </w:rPr>
        <w:t>.</w:t>
      </w:r>
      <w:r w:rsidRPr="00822656">
        <w:rPr>
          <w:rFonts w:ascii="Verdana" w:hAnsi="Verdana"/>
          <w:sz w:val="20"/>
          <w:szCs w:val="20"/>
        </w:rPr>
        <w:fldChar w:fldCharType="begin"/>
      </w:r>
      <w:r w:rsidRPr="00822656">
        <w:rPr>
          <w:rFonts w:ascii="Verdana" w:hAnsi="Verdana"/>
          <w:sz w:val="20"/>
          <w:szCs w:val="20"/>
        </w:rPr>
        <w:instrText xml:space="preserve"> SEQ Figure \* ARABIC \s 1 </w:instrText>
      </w:r>
      <w:r w:rsidRPr="00822656">
        <w:rPr>
          <w:rFonts w:ascii="Verdana" w:hAnsi="Verdana"/>
          <w:sz w:val="20"/>
          <w:szCs w:val="20"/>
        </w:rPr>
        <w:fldChar w:fldCharType="separate"/>
      </w:r>
      <w:r w:rsidRPr="00822656">
        <w:rPr>
          <w:rFonts w:ascii="Verdana" w:hAnsi="Verdana"/>
          <w:noProof/>
          <w:sz w:val="20"/>
          <w:szCs w:val="20"/>
        </w:rPr>
        <w:t>2</w:t>
      </w:r>
      <w:r w:rsidRPr="00822656">
        <w:rPr>
          <w:rFonts w:ascii="Verdana" w:hAnsi="Verdana"/>
          <w:sz w:val="20"/>
          <w:szCs w:val="20"/>
        </w:rPr>
        <w:fldChar w:fldCharType="end"/>
      </w:r>
      <w:r w:rsidRPr="00822656">
        <w:rPr>
          <w:rFonts w:ascii="Verdana" w:hAnsi="Verdana"/>
          <w:sz w:val="20"/>
          <w:szCs w:val="20"/>
        </w:rPr>
        <w:t xml:space="preserve"> Maximum-</w:t>
      </w:r>
      <w:proofErr w:type="spellStart"/>
      <w:r w:rsidRPr="00822656">
        <w:rPr>
          <w:rFonts w:ascii="Verdana" w:hAnsi="Verdana"/>
          <w:sz w:val="20"/>
          <w:szCs w:val="20"/>
        </w:rPr>
        <w:t>likehood</w:t>
      </w:r>
      <w:proofErr w:type="spellEnd"/>
      <w:r w:rsidRPr="00822656">
        <w:rPr>
          <w:rFonts w:ascii="Verdana" w:hAnsi="Verdana"/>
          <w:sz w:val="20"/>
          <w:szCs w:val="20"/>
        </w:rPr>
        <w:t xml:space="preserve"> phylogenetic tree of </w:t>
      </w:r>
      <w:proofErr w:type="spellStart"/>
      <w:r w:rsidRPr="00822656">
        <w:rPr>
          <w:rFonts w:ascii="Verdana" w:hAnsi="Verdana"/>
          <w:sz w:val="20"/>
          <w:szCs w:val="20"/>
        </w:rPr>
        <w:t>LuxI</w:t>
      </w:r>
      <w:proofErr w:type="spellEnd"/>
      <w:r w:rsidRPr="00822656">
        <w:rPr>
          <w:rFonts w:ascii="Verdana" w:hAnsi="Verdana"/>
          <w:sz w:val="20"/>
          <w:szCs w:val="20"/>
        </w:rPr>
        <w:t xml:space="preserve"> homologs in Roseobacter clade members based off amino acid similarities.</w:t>
      </w:r>
    </w:p>
    <w:p w14:paraId="7FD8C8E0" w14:textId="18784ED8" w:rsidR="00257248" w:rsidRPr="00822656" w:rsidRDefault="00257248" w:rsidP="00257248">
      <w:pPr>
        <w:spacing w:line="360" w:lineRule="auto"/>
        <w:jc w:val="both"/>
        <w:rPr>
          <w:rFonts w:ascii="Verdana" w:hAnsi="Verdana"/>
          <w:sz w:val="20"/>
          <w:szCs w:val="20"/>
        </w:rPr>
      </w:pPr>
      <w:r w:rsidRPr="00822656">
        <w:rPr>
          <w:rFonts w:ascii="Verdana" w:hAnsi="Verdana"/>
          <w:sz w:val="20"/>
          <w:szCs w:val="20"/>
        </w:rPr>
        <w:t xml:space="preserve"> 34 representatives belonging to </w:t>
      </w:r>
      <w:proofErr w:type="spellStart"/>
      <w:r w:rsidRPr="00822656">
        <w:rPr>
          <w:rFonts w:ascii="Verdana" w:hAnsi="Verdana"/>
          <w:i/>
          <w:iCs/>
          <w:sz w:val="20"/>
          <w:szCs w:val="20"/>
        </w:rPr>
        <w:t>Phaeobacter</w:t>
      </w:r>
      <w:r w:rsidRPr="00822656">
        <w:rPr>
          <w:rFonts w:ascii="Verdana" w:hAnsi="Verdana"/>
          <w:sz w:val="20"/>
          <w:szCs w:val="20"/>
        </w:rPr>
        <w:t>-</w:t>
      </w:r>
      <w:r w:rsidRPr="00822656">
        <w:rPr>
          <w:rFonts w:ascii="Verdana" w:hAnsi="Verdana"/>
          <w:i/>
          <w:iCs/>
          <w:sz w:val="20"/>
          <w:szCs w:val="20"/>
        </w:rPr>
        <w:t>Leisingera</w:t>
      </w:r>
      <w:proofErr w:type="spellEnd"/>
      <w:r w:rsidRPr="00822656">
        <w:rPr>
          <w:rFonts w:ascii="Verdana" w:hAnsi="Verdana"/>
          <w:sz w:val="20"/>
          <w:szCs w:val="20"/>
        </w:rPr>
        <w:t xml:space="preserve"> lineage of the Roseobacter clade that share 60% or more aa similarity to PgaI in Y4I are highlighted (black box</w:t>
      </w:r>
      <w:proofErr w:type="gramStart"/>
      <w:r w:rsidRPr="00822656">
        <w:rPr>
          <w:rFonts w:ascii="Verdana" w:hAnsi="Verdana"/>
          <w:sz w:val="20"/>
          <w:szCs w:val="20"/>
        </w:rPr>
        <w:t>)..</w:t>
      </w:r>
      <w:proofErr w:type="gramEnd"/>
      <w:r w:rsidRPr="00822656">
        <w:rPr>
          <w:rFonts w:ascii="Verdana" w:hAnsi="Verdana"/>
          <w:sz w:val="20"/>
          <w:szCs w:val="20"/>
        </w:rPr>
        <w:t xml:space="preserve"> Genome designations are shown. Values at branch nodes represent bootstrapping (&lt;50% from 500 iteration). Substitutions per sequence position can be determined with scale bar. </w:t>
      </w:r>
      <w:proofErr w:type="spellStart"/>
      <w:r w:rsidRPr="00822656">
        <w:rPr>
          <w:rFonts w:ascii="Verdana" w:hAnsi="Verdana"/>
          <w:sz w:val="20"/>
          <w:szCs w:val="20"/>
        </w:rPr>
        <w:t>PhaI</w:t>
      </w:r>
      <w:proofErr w:type="spellEnd"/>
      <w:r w:rsidRPr="00822656">
        <w:rPr>
          <w:rFonts w:ascii="Verdana" w:hAnsi="Verdana"/>
          <w:sz w:val="20"/>
          <w:szCs w:val="20"/>
        </w:rPr>
        <w:t xml:space="preserve"> is included as an outgroup</w:t>
      </w:r>
    </w:p>
    <w:p w14:paraId="0E80A6C4" w14:textId="3A9F3D40" w:rsidR="00E80FF5" w:rsidRPr="00822656" w:rsidRDefault="00257248" w:rsidP="00257248">
      <w:pPr>
        <w:rPr>
          <w:rFonts w:ascii="Verdana" w:hAnsi="Verdana"/>
          <w:sz w:val="20"/>
          <w:szCs w:val="20"/>
        </w:rPr>
        <w:sectPr w:rsidR="00E80FF5" w:rsidRPr="00822656" w:rsidSect="00975C53">
          <w:pgSz w:w="12240" w:h="15840" w:code="1"/>
          <w:pgMar w:top="1440" w:right="1800" w:bottom="1872" w:left="1800" w:header="720" w:footer="1440" w:gutter="0"/>
          <w:cols w:space="720"/>
          <w:noEndnote/>
          <w:docGrid w:linePitch="360"/>
        </w:sectPr>
      </w:pPr>
      <w:r w:rsidRPr="00822656">
        <w:rPr>
          <w:rFonts w:ascii="Verdana" w:hAnsi="Verdana"/>
          <w:b/>
          <w:bCs/>
          <w:sz w:val="20"/>
          <w:szCs w:val="20"/>
        </w:rPr>
        <w:br w:type="page"/>
      </w:r>
    </w:p>
    <w:p w14:paraId="6B832267" w14:textId="6AD2FFD3" w:rsidR="00236E6D" w:rsidRPr="006D1E1B" w:rsidRDefault="00526151" w:rsidP="0097298A">
      <w:pPr>
        <w:pStyle w:val="Heading1"/>
        <w:spacing w:before="240"/>
        <w:rPr>
          <w:rFonts w:ascii="Verdana" w:hAnsi="Verdana" w:cs="Times New Roman"/>
          <w:szCs w:val="28"/>
        </w:rPr>
      </w:pPr>
      <w:r w:rsidRPr="006D1E1B">
        <w:rPr>
          <w:rFonts w:ascii="Verdana" w:hAnsi="Verdana" w:cs="Times New Roman"/>
          <w:szCs w:val="28"/>
        </w:rPr>
        <w:lastRenderedPageBreak/>
        <w:t>CONCLUSION</w:t>
      </w:r>
      <w:bookmarkEnd w:id="64"/>
      <w:bookmarkEnd w:id="67"/>
    </w:p>
    <w:p w14:paraId="20CBC4D4" w14:textId="77777777" w:rsidR="00236E6D" w:rsidRPr="00C51113" w:rsidRDefault="00236E6D" w:rsidP="00677C01">
      <w:pPr>
        <w:spacing w:before="240"/>
        <w:jc w:val="both"/>
        <w:rPr>
          <w:rFonts w:ascii="Verdana" w:hAnsi="Verdana" w:cs="Times New Roman"/>
          <w:sz w:val="18"/>
          <w:szCs w:val="18"/>
        </w:rPr>
      </w:pPr>
    </w:p>
    <w:p w14:paraId="6EACACB9" w14:textId="77777777" w:rsidR="006D1E1B" w:rsidRPr="006D1E1B" w:rsidRDefault="006D1E1B" w:rsidP="006D1E1B">
      <w:pPr>
        <w:spacing w:after="240"/>
        <w:ind w:firstLine="720"/>
        <w:jc w:val="both"/>
        <w:rPr>
          <w:rFonts w:ascii="Verdana" w:hAnsi="Verdana"/>
          <w:sz w:val="20"/>
          <w:szCs w:val="20"/>
        </w:rPr>
      </w:pPr>
      <w:r w:rsidRPr="006D1E1B">
        <w:rPr>
          <w:rFonts w:ascii="Verdana" w:hAnsi="Verdana"/>
          <w:sz w:val="20"/>
          <w:szCs w:val="20"/>
        </w:rPr>
        <w:t xml:space="preserve">Bacterial social behaviors mediated by quorum sensing play an important role in structuring microbial biofilms and may contribute to functions within those biofilms. These functions include but are not limited to production, biofilm formation, and metabolism. To date, only a handful of Roseobacter representatives are being studied regarding QS. Thus, the field lacks a sufficient model organism to characterize QS-mediated social behaviors between microorganisms. Further characterization of how QS regulates social behaviors in a well-studied Roseobacter representative, such as Y4I, will shed light on how bacterial species interact with one another in natural environments. A first step to understanding these interactions is untangling the regulatory network governed by QS in just one organism. Rhodobacterales sp. Strain Y4I has served as an excellent representative to begin this work. One reason, Y4I serves as an </w:t>
      </w:r>
      <w:proofErr w:type="gramStart"/>
      <w:r w:rsidRPr="006D1E1B">
        <w:rPr>
          <w:rFonts w:ascii="Verdana" w:hAnsi="Verdana"/>
          <w:sz w:val="20"/>
          <w:szCs w:val="20"/>
        </w:rPr>
        <w:t>emerging model organisms</w:t>
      </w:r>
      <w:proofErr w:type="gramEnd"/>
      <w:r w:rsidRPr="006D1E1B">
        <w:rPr>
          <w:rFonts w:ascii="Verdana" w:hAnsi="Verdana"/>
          <w:sz w:val="20"/>
          <w:szCs w:val="20"/>
        </w:rPr>
        <w:t xml:space="preserve"> is that is possess two QS systems governing the production of the blue pigmented antimicrobial, indigoidine (Cude 2012). Additionally, we have transposon mutant library of over 6000 Y4I mutants. In some mutants, complementation with exogenous AHLs leads to partially restoration of blue pigmentation, allowing Y4I to serve as its own bioreporter and eliminating the need for further genetic manipulation which has its challenges in a non-model organism. Thus, this type of chemical complementation with AHLS or indigoidine may help identify other QS regulated physiologies in the mutant library</w:t>
      </w:r>
      <w:r w:rsidRPr="006D1E1B">
        <w:rPr>
          <w:rFonts w:ascii="Verdana" w:hAnsi="Verdana"/>
          <w:sz w:val="20"/>
          <w:szCs w:val="20"/>
          <w:highlight w:val="yellow"/>
        </w:rPr>
        <w:t xml:space="preserve">. </w:t>
      </w:r>
      <w:proofErr w:type="gramStart"/>
      <w:r w:rsidRPr="006D1E1B">
        <w:rPr>
          <w:rFonts w:ascii="Verdana" w:hAnsi="Verdana"/>
          <w:sz w:val="20"/>
          <w:szCs w:val="20"/>
          <w:highlight w:val="yellow"/>
        </w:rPr>
        <w:t>Indeed,…</w:t>
      </w:r>
      <w:proofErr w:type="gramEnd"/>
      <w:r w:rsidRPr="006D1E1B">
        <w:rPr>
          <w:rFonts w:ascii="Verdana" w:hAnsi="Verdana"/>
          <w:sz w:val="20"/>
          <w:szCs w:val="20"/>
          <w:highlight w:val="yellow"/>
        </w:rPr>
        <w:t xml:space="preserve">.&gt;find some citation about bioreporters? Or maybe </w:t>
      </w:r>
      <w:proofErr w:type="gramStart"/>
      <w:r w:rsidRPr="006D1E1B">
        <w:rPr>
          <w:rFonts w:ascii="Verdana" w:hAnsi="Verdana"/>
          <w:sz w:val="20"/>
          <w:szCs w:val="20"/>
          <w:highlight w:val="yellow"/>
        </w:rPr>
        <w:t>elude</w:t>
      </w:r>
      <w:proofErr w:type="gramEnd"/>
      <w:r w:rsidRPr="006D1E1B">
        <w:rPr>
          <w:rFonts w:ascii="Verdana" w:hAnsi="Verdana"/>
          <w:sz w:val="20"/>
          <w:szCs w:val="20"/>
          <w:highlight w:val="yellow"/>
        </w:rPr>
        <w:t xml:space="preserve"> to TDA being </w:t>
      </w:r>
      <w:proofErr w:type="spellStart"/>
      <w:r w:rsidRPr="006D1E1B">
        <w:rPr>
          <w:rFonts w:ascii="Verdana" w:hAnsi="Verdana"/>
          <w:sz w:val="20"/>
          <w:szCs w:val="20"/>
          <w:highlight w:val="yellow"/>
        </w:rPr>
        <w:t>self regulated</w:t>
      </w:r>
      <w:proofErr w:type="spellEnd"/>
      <w:r w:rsidRPr="006D1E1B">
        <w:rPr>
          <w:rFonts w:ascii="Verdana" w:hAnsi="Verdana"/>
          <w:sz w:val="20"/>
          <w:szCs w:val="20"/>
          <w:highlight w:val="yellow"/>
        </w:rPr>
        <w:t xml:space="preserve"> &lt;&lt;</w:t>
      </w:r>
      <w:r w:rsidRPr="006D1E1B">
        <w:rPr>
          <w:rFonts w:ascii="Verdana" w:hAnsi="Verdana"/>
          <w:sz w:val="20"/>
          <w:szCs w:val="20"/>
        </w:rPr>
        <w:t xml:space="preserve">Transition into multispecies interactions. </w:t>
      </w:r>
    </w:p>
    <w:p w14:paraId="252D2535" w14:textId="57C52D8F" w:rsidR="006D1E1B" w:rsidRPr="006D1E1B" w:rsidRDefault="006D1E1B" w:rsidP="006D1E1B">
      <w:pPr>
        <w:spacing w:after="240"/>
        <w:ind w:firstLine="720"/>
        <w:jc w:val="both"/>
        <w:rPr>
          <w:rFonts w:ascii="Verdana" w:hAnsi="Verdana"/>
          <w:sz w:val="20"/>
          <w:szCs w:val="20"/>
        </w:rPr>
      </w:pPr>
      <w:r w:rsidRPr="006D1E1B">
        <w:rPr>
          <w:rFonts w:ascii="Verdana" w:hAnsi="Verdana"/>
          <w:sz w:val="20"/>
          <w:szCs w:val="20"/>
        </w:rPr>
        <w:t xml:space="preserve">The role QS plays on influencing biofilm community function is another area that is not well understood within members of the Roseobacter clade. That QS influences the dynamics between community members within a biofilm, suggest at the function of that biofilm also changes in response to QS signals. One way to assess how QS influences the function of the biofilm is to look at the degradation of organic matter in the presence of a biofilm community with QS impaired members. </w:t>
      </w:r>
    </w:p>
    <w:p w14:paraId="2B495B19" w14:textId="4FF91BE0" w:rsidR="00825933" w:rsidRPr="006D1E1B" w:rsidRDefault="006D1E1B" w:rsidP="006D1E1B">
      <w:pPr>
        <w:spacing w:before="240" w:after="240"/>
        <w:ind w:firstLine="720"/>
        <w:jc w:val="both"/>
        <w:rPr>
          <w:rFonts w:ascii="Verdana" w:hAnsi="Verdana" w:cs="Times New Roman"/>
          <w:sz w:val="20"/>
          <w:szCs w:val="20"/>
        </w:rPr>
      </w:pPr>
      <w:r w:rsidRPr="006D1E1B">
        <w:rPr>
          <w:rFonts w:ascii="Verdana" w:hAnsi="Verdana"/>
          <w:sz w:val="20"/>
          <w:szCs w:val="20"/>
        </w:rPr>
        <w:t xml:space="preserve">This dissertation has demonstrated that the genetic regulation of these social behaviors may be widespread in members of the Roseobacter clade. </w:t>
      </w:r>
      <w:r w:rsidR="00236E6D" w:rsidRPr="006D1E1B">
        <w:rPr>
          <w:rFonts w:ascii="Verdana" w:hAnsi="Verdana" w:cs="Times New Roman"/>
          <w:sz w:val="20"/>
          <w:szCs w:val="20"/>
        </w:rPr>
        <w:br w:type="page"/>
      </w:r>
    </w:p>
    <w:p w14:paraId="38388A1A" w14:textId="77777777" w:rsidR="00236E6D" w:rsidRPr="00CD1E49" w:rsidRDefault="00526151" w:rsidP="00CD1E49">
      <w:pPr>
        <w:pStyle w:val="Heading1"/>
        <w:numPr>
          <w:ilvl w:val="0"/>
          <w:numId w:val="0"/>
        </w:numPr>
        <w:spacing w:before="240"/>
        <w:rPr>
          <w:rFonts w:ascii="Verdana" w:hAnsi="Verdana" w:cs="Times New Roman"/>
          <w:szCs w:val="28"/>
        </w:rPr>
      </w:pPr>
      <w:bookmarkStart w:id="70" w:name="_Toc289175845"/>
      <w:bookmarkStart w:id="71" w:name="_Toc83382621"/>
      <w:r w:rsidRPr="00CD1E49">
        <w:rPr>
          <w:rFonts w:ascii="Verdana" w:hAnsi="Verdana" w:cs="Times New Roman"/>
          <w:szCs w:val="28"/>
        </w:rPr>
        <w:lastRenderedPageBreak/>
        <w:t>VITA</w:t>
      </w:r>
      <w:bookmarkEnd w:id="70"/>
      <w:bookmarkEnd w:id="71"/>
    </w:p>
    <w:p w14:paraId="6C16CDE0" w14:textId="77777777" w:rsidR="003D63DF" w:rsidRPr="00C51113" w:rsidRDefault="003D63DF" w:rsidP="00677C01">
      <w:pPr>
        <w:spacing w:before="240"/>
        <w:jc w:val="both"/>
        <w:rPr>
          <w:rFonts w:ascii="Verdana" w:hAnsi="Verdana" w:cs="Times New Roman"/>
          <w:sz w:val="18"/>
          <w:szCs w:val="18"/>
        </w:rPr>
      </w:pPr>
    </w:p>
    <w:p w14:paraId="799F4384" w14:textId="77777777" w:rsidR="00BD3657" w:rsidRPr="00F8165F" w:rsidRDefault="00BD3657" w:rsidP="00677C01">
      <w:pPr>
        <w:spacing w:before="240"/>
        <w:jc w:val="both"/>
        <w:rPr>
          <w:rFonts w:ascii="Verdana" w:hAnsi="Verdana" w:cs="Times New Roman"/>
          <w:sz w:val="20"/>
          <w:szCs w:val="20"/>
        </w:rPr>
      </w:pPr>
      <w:r w:rsidRPr="00F8165F">
        <w:rPr>
          <w:rFonts w:ascii="Verdana" w:hAnsi="Verdana" w:cs="Times New Roman"/>
          <w:sz w:val="20"/>
          <w:szCs w:val="20"/>
        </w:rPr>
        <w:t xml:space="preserve">Once upon a time, a small child named April Christine Armes (Mitchell) was born in the month of February. She lived in the small town of Lanett, Alabama and was raised by a humble carpenter and his wife, </w:t>
      </w:r>
      <w:proofErr w:type="gramStart"/>
      <w:r w:rsidRPr="00F8165F">
        <w:rPr>
          <w:rFonts w:ascii="Verdana" w:hAnsi="Verdana" w:cs="Times New Roman"/>
          <w:sz w:val="20"/>
          <w:szCs w:val="20"/>
        </w:rPr>
        <w:t>Ronald</w:t>
      </w:r>
      <w:proofErr w:type="gramEnd"/>
      <w:r w:rsidRPr="00F8165F">
        <w:rPr>
          <w:rFonts w:ascii="Verdana" w:hAnsi="Verdana" w:cs="Times New Roman"/>
          <w:sz w:val="20"/>
          <w:szCs w:val="20"/>
        </w:rPr>
        <w:t xml:space="preserve"> and Tina Mitchell.  April’s passion for microbiology began before she knew the word microbiology. She pretended to be every type of doctor a five-year old knew about, which admittedly is only a medical doctor and dentist. April didn’t know it at the time, but it was her destiny to become a doctor…just not the type of doctor she thought she’d be. </w:t>
      </w:r>
    </w:p>
    <w:p w14:paraId="6DEE2825" w14:textId="77777777" w:rsidR="00BD3657" w:rsidRPr="00F8165F" w:rsidRDefault="00BD3657" w:rsidP="00677C01">
      <w:pPr>
        <w:spacing w:before="240"/>
        <w:jc w:val="both"/>
        <w:rPr>
          <w:rFonts w:ascii="Verdana" w:hAnsi="Verdana" w:cs="Times New Roman"/>
          <w:sz w:val="20"/>
          <w:szCs w:val="20"/>
        </w:rPr>
      </w:pPr>
      <w:r w:rsidRPr="00F8165F">
        <w:rPr>
          <w:rFonts w:ascii="Verdana" w:hAnsi="Verdana" w:cs="Times New Roman"/>
          <w:sz w:val="20"/>
          <w:szCs w:val="20"/>
        </w:rPr>
        <w:t xml:space="preserve">April’s first major quest in life was to attend the University of Alabama in pursuit of a degree in the healing arts of a medical professional. Upon this path, April was met with many hardships. One of these hardships was the tragic loss of her mother in 2009. After which, April suffered many injuries of the emotional, physical, and academic variety. Little did she know, this was not the path for her destiny. Forging ahead, April encountered a Wicked Advisor who told her she was not capable of earning the degree she sought. Had circumstances not been what they were, April’s determination would have superseded any negative remarks to her academic success. However, fate had other plans. </w:t>
      </w:r>
    </w:p>
    <w:p w14:paraId="648703C2" w14:textId="77777777" w:rsidR="00BD3657" w:rsidRPr="00F8165F" w:rsidRDefault="00BD3657" w:rsidP="00677C01">
      <w:pPr>
        <w:spacing w:before="240"/>
        <w:jc w:val="both"/>
        <w:rPr>
          <w:rFonts w:ascii="Verdana" w:hAnsi="Verdana" w:cs="Times New Roman"/>
          <w:sz w:val="20"/>
          <w:szCs w:val="20"/>
        </w:rPr>
      </w:pPr>
      <w:r w:rsidRPr="00F8165F">
        <w:rPr>
          <w:rFonts w:ascii="Verdana" w:hAnsi="Verdana" w:cs="Times New Roman"/>
          <w:sz w:val="20"/>
          <w:szCs w:val="20"/>
        </w:rPr>
        <w:t xml:space="preserve">After collecting her thoughts and weighing her options, April decided to take her chances with the College of Nursing at The University of Alabama. After all, it’s still </w:t>
      </w:r>
      <w:proofErr w:type="spellStart"/>
      <w:r w:rsidRPr="00F8165F">
        <w:rPr>
          <w:rFonts w:ascii="Verdana" w:hAnsi="Verdana" w:cs="Times New Roman"/>
          <w:sz w:val="20"/>
          <w:szCs w:val="20"/>
        </w:rPr>
        <w:t>apart</w:t>
      </w:r>
      <w:proofErr w:type="spellEnd"/>
      <w:r w:rsidRPr="00F8165F">
        <w:rPr>
          <w:rFonts w:ascii="Verdana" w:hAnsi="Verdana" w:cs="Times New Roman"/>
          <w:sz w:val="20"/>
          <w:szCs w:val="20"/>
        </w:rPr>
        <w:t xml:space="preserve"> of the medical profession she thought. At the College of Nursing, April met her Fairy Godmother. This Fairy Godmother rebuked everything the Wicked Advisor had said and commended April on her determination, maturity, and intelligence? despite the hardships she faced. Elated, April began on a new quest. Little did our heroine know, this still was not the path for her. On this journey, April encountered Microbiology and began to connect the dots to what made her so passionate about pursing a degree in the medical field in the first place. Enchanted with the subject matter, April absorbed every lesson. She even watched microbiology content for fun! Eventually, she stumbled upon the idea that bacteria could talk to one another, but not before another tragedy struck. </w:t>
      </w:r>
    </w:p>
    <w:p w14:paraId="2AA80E1B" w14:textId="77777777" w:rsidR="00BD3657" w:rsidRPr="00F8165F" w:rsidRDefault="00BD3657" w:rsidP="00677C01">
      <w:pPr>
        <w:spacing w:before="240"/>
        <w:jc w:val="both"/>
        <w:rPr>
          <w:rFonts w:ascii="Verdana" w:hAnsi="Verdana" w:cs="Times New Roman"/>
          <w:sz w:val="20"/>
          <w:szCs w:val="20"/>
        </w:rPr>
      </w:pPr>
      <w:r w:rsidRPr="00F8165F">
        <w:rPr>
          <w:rFonts w:ascii="Verdana" w:hAnsi="Verdana" w:cs="Times New Roman"/>
          <w:sz w:val="20"/>
          <w:szCs w:val="20"/>
        </w:rPr>
        <w:t xml:space="preserve">April’s father passed away in 2012. Prior to this, her plan had been to get her nursing degree and move back home to care for her father as he aged. After all, he was a widowed empty nester. The grief of the death of her father hit April differently than it had her mother. This time, April poured herself into her work. At the library with her microbiology tome in hand was the only place April felt safe during that time of her life. Realizing she now had the freedom to choose who she wanted to be and was no longer shackled to the idea of caring for her father, April firmly decided that she would attend graduate school to further pursue her love for microbiology. </w:t>
      </w:r>
    </w:p>
    <w:p w14:paraId="0C31F97A" w14:textId="77777777" w:rsidR="00BD3657" w:rsidRPr="00F8165F" w:rsidRDefault="00BD3657" w:rsidP="00677C01">
      <w:pPr>
        <w:spacing w:before="240"/>
        <w:jc w:val="both"/>
        <w:rPr>
          <w:rFonts w:ascii="Verdana" w:hAnsi="Verdana" w:cs="Times New Roman"/>
          <w:sz w:val="20"/>
          <w:szCs w:val="20"/>
        </w:rPr>
      </w:pPr>
      <w:r w:rsidRPr="00F8165F">
        <w:rPr>
          <w:rFonts w:ascii="Verdana" w:hAnsi="Verdana" w:cs="Times New Roman"/>
          <w:sz w:val="20"/>
          <w:szCs w:val="20"/>
        </w:rPr>
        <w:t xml:space="preserve">Changing course with a year left before her education was complete (this time now as a Bachelor of Science in Biology), our heroine had finally found her path. She knew the best way forward was apprentice herself to a microbe-related laboratory as a science </w:t>
      </w:r>
      <w:proofErr w:type="gramStart"/>
      <w:r w:rsidRPr="00F8165F">
        <w:rPr>
          <w:rFonts w:ascii="Verdana" w:hAnsi="Verdana" w:cs="Times New Roman"/>
          <w:sz w:val="20"/>
          <w:szCs w:val="20"/>
        </w:rPr>
        <w:t>wench</w:t>
      </w:r>
      <w:proofErr w:type="gramEnd"/>
      <w:r w:rsidRPr="00F8165F">
        <w:rPr>
          <w:rFonts w:ascii="Verdana" w:hAnsi="Verdana" w:cs="Times New Roman"/>
          <w:sz w:val="20"/>
          <w:szCs w:val="20"/>
        </w:rPr>
        <w:t xml:space="preserve">. April worked in the </w:t>
      </w:r>
      <w:proofErr w:type="spellStart"/>
      <w:r w:rsidRPr="00F8165F">
        <w:rPr>
          <w:rFonts w:ascii="Verdana" w:hAnsi="Verdana" w:cs="Times New Roman"/>
          <w:sz w:val="20"/>
          <w:szCs w:val="20"/>
        </w:rPr>
        <w:t>PhycoLab</w:t>
      </w:r>
      <w:proofErr w:type="spellEnd"/>
      <w:r w:rsidRPr="00F8165F">
        <w:rPr>
          <w:rFonts w:ascii="Verdana" w:hAnsi="Verdana" w:cs="Times New Roman"/>
          <w:sz w:val="20"/>
          <w:szCs w:val="20"/>
        </w:rPr>
        <w:t xml:space="preserve"> under Dr. Juan Lopez-</w:t>
      </w:r>
      <w:proofErr w:type="spellStart"/>
      <w:r w:rsidRPr="00F8165F">
        <w:rPr>
          <w:rFonts w:ascii="Verdana" w:hAnsi="Verdana" w:cs="Times New Roman"/>
          <w:sz w:val="20"/>
          <w:szCs w:val="20"/>
        </w:rPr>
        <w:t>Bastista</w:t>
      </w:r>
      <w:proofErr w:type="spellEnd"/>
      <w:r w:rsidRPr="00F8165F">
        <w:rPr>
          <w:rFonts w:ascii="Verdana" w:hAnsi="Verdana" w:cs="Times New Roman"/>
          <w:sz w:val="20"/>
          <w:szCs w:val="20"/>
        </w:rPr>
        <w:t xml:space="preserve"> at The University of Alabama. At the start of her apprenticeship, April </w:t>
      </w:r>
      <w:proofErr w:type="gramStart"/>
      <w:r w:rsidRPr="00F8165F">
        <w:rPr>
          <w:rFonts w:ascii="Verdana" w:hAnsi="Verdana" w:cs="Times New Roman"/>
          <w:sz w:val="20"/>
          <w:szCs w:val="20"/>
        </w:rPr>
        <w:t>learn</w:t>
      </w:r>
      <w:proofErr w:type="gramEnd"/>
      <w:r w:rsidRPr="00F8165F">
        <w:rPr>
          <w:rFonts w:ascii="Verdana" w:hAnsi="Verdana" w:cs="Times New Roman"/>
          <w:sz w:val="20"/>
          <w:szCs w:val="20"/>
        </w:rPr>
        <w:t xml:space="preserve"> to extract DNA and perform PCRs on various algal species. Eventually, April was hired to work in the </w:t>
      </w:r>
      <w:proofErr w:type="spellStart"/>
      <w:r w:rsidRPr="00F8165F">
        <w:rPr>
          <w:rFonts w:ascii="Verdana" w:hAnsi="Verdana" w:cs="Times New Roman"/>
          <w:sz w:val="20"/>
          <w:szCs w:val="20"/>
        </w:rPr>
        <w:lastRenderedPageBreak/>
        <w:t>PhycoLab</w:t>
      </w:r>
      <w:proofErr w:type="spellEnd"/>
      <w:r w:rsidRPr="00F8165F">
        <w:rPr>
          <w:rFonts w:ascii="Verdana" w:hAnsi="Verdana" w:cs="Times New Roman"/>
          <w:sz w:val="20"/>
          <w:szCs w:val="20"/>
        </w:rPr>
        <w:t xml:space="preserve"> during the summer and was relieved to quit her retail job in pursuit of science. April’s first major project in the </w:t>
      </w:r>
      <w:proofErr w:type="spellStart"/>
      <w:r w:rsidRPr="00F8165F">
        <w:rPr>
          <w:rFonts w:ascii="Verdana" w:hAnsi="Verdana" w:cs="Times New Roman"/>
          <w:sz w:val="20"/>
          <w:szCs w:val="20"/>
        </w:rPr>
        <w:t>PhycoLab</w:t>
      </w:r>
      <w:proofErr w:type="spellEnd"/>
      <w:r w:rsidRPr="00F8165F">
        <w:rPr>
          <w:rFonts w:ascii="Verdana" w:hAnsi="Verdana" w:cs="Times New Roman"/>
          <w:sz w:val="20"/>
          <w:szCs w:val="20"/>
        </w:rPr>
        <w:t xml:space="preserve"> was optimizing DNA extraction methods for a gelatinous deep-sea algal, </w:t>
      </w:r>
      <w:proofErr w:type="spellStart"/>
      <w:r w:rsidRPr="00F8165F">
        <w:rPr>
          <w:rFonts w:ascii="Verdana" w:hAnsi="Verdana" w:cs="Times New Roman"/>
          <w:i/>
          <w:iCs/>
          <w:sz w:val="20"/>
          <w:szCs w:val="20"/>
        </w:rPr>
        <w:t>Verdigellas</w:t>
      </w:r>
      <w:proofErr w:type="spellEnd"/>
      <w:r w:rsidRPr="00F8165F">
        <w:rPr>
          <w:rFonts w:ascii="Verdana" w:hAnsi="Verdana" w:cs="Times New Roman"/>
          <w:i/>
          <w:iCs/>
          <w:sz w:val="20"/>
          <w:szCs w:val="20"/>
        </w:rPr>
        <w:t xml:space="preserve"> </w:t>
      </w:r>
      <w:proofErr w:type="spellStart"/>
      <w:r w:rsidRPr="00F8165F">
        <w:rPr>
          <w:rFonts w:ascii="Verdana" w:hAnsi="Verdana" w:cs="Times New Roman"/>
          <w:i/>
          <w:iCs/>
          <w:sz w:val="20"/>
          <w:szCs w:val="20"/>
        </w:rPr>
        <w:t>peltata</w:t>
      </w:r>
      <w:proofErr w:type="spellEnd"/>
      <w:r w:rsidRPr="00F8165F">
        <w:rPr>
          <w:rFonts w:ascii="Verdana" w:hAnsi="Verdana" w:cs="Times New Roman"/>
          <w:i/>
          <w:iCs/>
          <w:sz w:val="20"/>
          <w:szCs w:val="20"/>
        </w:rPr>
        <w:t>,</w:t>
      </w:r>
      <w:r w:rsidRPr="00F8165F">
        <w:rPr>
          <w:rFonts w:ascii="Verdana" w:hAnsi="Verdana" w:cs="Times New Roman"/>
          <w:sz w:val="20"/>
          <w:szCs w:val="20"/>
        </w:rPr>
        <w:t xml:space="preserve"> thought to be an evolutionary link between gelatinous matrix derived algal species and flagellated algal species. April explored many different methods to extract DNA, including freezing the algae with liquid nitrogen and manually disrupting its cells, using commercially available kits, and finally using phenol chloroform. Much to her dismay, none of these methods yielded much success when it came to amplifying the Rubisco operon. </w:t>
      </w:r>
      <w:proofErr w:type="gramStart"/>
      <w:r w:rsidRPr="00F8165F">
        <w:rPr>
          <w:rFonts w:ascii="Verdana" w:hAnsi="Verdana" w:cs="Times New Roman"/>
          <w:sz w:val="20"/>
          <w:szCs w:val="20"/>
        </w:rPr>
        <w:t>Needless to say, pulling</w:t>
      </w:r>
      <w:proofErr w:type="gramEnd"/>
      <w:r w:rsidRPr="00F8165F">
        <w:rPr>
          <w:rFonts w:ascii="Verdana" w:hAnsi="Verdana" w:cs="Times New Roman"/>
          <w:sz w:val="20"/>
          <w:szCs w:val="20"/>
        </w:rPr>
        <w:t xml:space="preserve"> a 200 ft deep gelatinous algal species up from the ocean floor without maintaining pressure or proper storage upon surfacing did not give April a prime specimen to work with in the first place. Nonetheless, she persevered. </w:t>
      </w:r>
    </w:p>
    <w:p w14:paraId="743C84B9" w14:textId="77777777" w:rsidR="00BD3657" w:rsidRPr="00F8165F" w:rsidRDefault="00BD3657" w:rsidP="00677C01">
      <w:pPr>
        <w:spacing w:before="240"/>
        <w:jc w:val="both"/>
        <w:rPr>
          <w:rFonts w:ascii="Verdana" w:hAnsi="Verdana" w:cs="Times New Roman"/>
          <w:sz w:val="20"/>
          <w:szCs w:val="20"/>
        </w:rPr>
      </w:pPr>
      <w:r w:rsidRPr="00F8165F">
        <w:rPr>
          <w:rFonts w:ascii="Verdana" w:hAnsi="Verdana" w:cs="Times New Roman"/>
          <w:sz w:val="20"/>
          <w:szCs w:val="20"/>
        </w:rPr>
        <w:t>During her apprenticeship, April attended her first scientific conference where she had the opportunity to meet the founder of chemical communication, Dr. Edward O. Wilson. April presented her research from Dr. Dr. Lopez-</w:t>
      </w:r>
      <w:proofErr w:type="spellStart"/>
      <w:r w:rsidRPr="00F8165F">
        <w:rPr>
          <w:rFonts w:ascii="Verdana" w:hAnsi="Verdana" w:cs="Times New Roman"/>
          <w:sz w:val="20"/>
          <w:szCs w:val="20"/>
        </w:rPr>
        <w:t>Bastista</w:t>
      </w:r>
      <w:proofErr w:type="spellEnd"/>
      <w:r w:rsidRPr="00F8165F">
        <w:rPr>
          <w:rFonts w:ascii="Verdana" w:hAnsi="Verdana" w:cs="Times New Roman"/>
          <w:sz w:val="20"/>
          <w:szCs w:val="20"/>
        </w:rPr>
        <w:t xml:space="preserve"> at another conference later that year. It was at Southeastern Biogeochemistry Symposium in Atlanta, Ga April met students from the Microbiology Department at The University of Tennessee who represented the second largest University in attendance at the first iteration of this amazing symposium. There, April expressed her interest in cell-to-cell communication with one of the students from The University of Tennessee who encourage her to meet with her advisor, Dr. Alison Buchan. </w:t>
      </w:r>
    </w:p>
    <w:p w14:paraId="41E500B0" w14:textId="27CCDF4D" w:rsidR="003D63DF" w:rsidRPr="00F8165F" w:rsidRDefault="003D63DF" w:rsidP="00677C01">
      <w:pPr>
        <w:spacing w:before="240"/>
        <w:jc w:val="both"/>
        <w:rPr>
          <w:rFonts w:ascii="Verdana" w:hAnsi="Verdana" w:cs="Times New Roman"/>
          <w:sz w:val="20"/>
          <w:szCs w:val="20"/>
        </w:rPr>
      </w:pPr>
    </w:p>
    <w:sectPr w:rsidR="003D63DF" w:rsidRPr="00F8165F" w:rsidSect="00E80FF5">
      <w:pgSz w:w="12240" w:h="15840" w:code="1"/>
      <w:pgMar w:top="1440" w:right="1800" w:bottom="1872" w:left="1800" w:header="720" w:footer="1440"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58229D" w14:textId="77777777" w:rsidR="00180EAB" w:rsidRDefault="00180EAB" w:rsidP="005E54E2">
      <w:r>
        <w:separator/>
      </w:r>
    </w:p>
    <w:p w14:paraId="4234ADC3" w14:textId="77777777" w:rsidR="00180EAB" w:rsidRDefault="00180EAB" w:rsidP="005E54E2"/>
    <w:p w14:paraId="79FAEBAD" w14:textId="77777777" w:rsidR="00180EAB" w:rsidRDefault="00180EAB" w:rsidP="005E54E2"/>
    <w:p w14:paraId="2A3043E2" w14:textId="77777777" w:rsidR="00180EAB" w:rsidRDefault="00180EAB" w:rsidP="005E54E2"/>
  </w:endnote>
  <w:endnote w:type="continuationSeparator" w:id="0">
    <w:p w14:paraId="28A385BE" w14:textId="77777777" w:rsidR="00180EAB" w:rsidRDefault="00180EAB" w:rsidP="005E54E2">
      <w:r>
        <w:continuationSeparator/>
      </w:r>
    </w:p>
    <w:p w14:paraId="244E8D89" w14:textId="77777777" w:rsidR="00180EAB" w:rsidRDefault="00180EAB" w:rsidP="005E54E2"/>
    <w:p w14:paraId="74988D7E" w14:textId="77777777" w:rsidR="00180EAB" w:rsidRDefault="00180EAB" w:rsidP="005E54E2"/>
    <w:p w14:paraId="1B791AFA" w14:textId="77777777" w:rsidR="00180EAB" w:rsidRDefault="00180EAB" w:rsidP="005E54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413EB16" w14:textId="77777777" w:rsidR="00387656" w:rsidRDefault="00387656">
    <w:pPr>
      <w:pStyle w:val="Footer"/>
      <w:jc w:val="right"/>
    </w:pPr>
    <w:r>
      <w:fldChar w:fldCharType="begin"/>
    </w:r>
    <w:r>
      <w:instrText xml:space="preserve"> PAGE   \* MERGEFORMAT </w:instrText>
    </w:r>
    <w:r>
      <w:fldChar w:fldCharType="separate"/>
    </w:r>
    <w:r w:rsidR="00D677AA">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8546633"/>
      <w:docPartObj>
        <w:docPartGallery w:val="Page Numbers (Bottom of Page)"/>
        <w:docPartUnique/>
      </w:docPartObj>
    </w:sdtPr>
    <w:sdtEndPr>
      <w:rPr>
        <w:noProof/>
      </w:rPr>
    </w:sdtEndPr>
    <w:sdtContent>
      <w:p w14:paraId="2750090C" w14:textId="46E5DC71" w:rsidR="00A627D2" w:rsidRDefault="00A627D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12190C27" w14:textId="77777777" w:rsidR="0092091F" w:rsidRDefault="0092091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70744777"/>
      <w:docPartObj>
        <w:docPartGallery w:val="Page Numbers (Bottom of Page)"/>
        <w:docPartUnique/>
      </w:docPartObj>
    </w:sdtPr>
    <w:sdtEndPr>
      <w:rPr>
        <w:noProof/>
      </w:rPr>
    </w:sdtEndPr>
    <w:sdtContent>
      <w:p w14:paraId="35E512D7" w14:textId="77777777" w:rsidR="00565E6B" w:rsidRDefault="00565E6B">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01095F4" w14:textId="77777777" w:rsidR="00565E6B" w:rsidRDefault="00565E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DEF853" w14:textId="77777777" w:rsidR="00180EAB" w:rsidRDefault="00180EAB" w:rsidP="005E54E2">
      <w:r>
        <w:separator/>
      </w:r>
    </w:p>
    <w:p w14:paraId="07E97E8B" w14:textId="77777777" w:rsidR="00180EAB" w:rsidRDefault="00180EAB" w:rsidP="005E54E2"/>
    <w:p w14:paraId="23A84DAD" w14:textId="77777777" w:rsidR="00180EAB" w:rsidRDefault="00180EAB" w:rsidP="005E54E2"/>
    <w:p w14:paraId="0AB89BA6" w14:textId="77777777" w:rsidR="00180EAB" w:rsidRDefault="00180EAB" w:rsidP="005E54E2"/>
  </w:footnote>
  <w:footnote w:type="continuationSeparator" w:id="0">
    <w:p w14:paraId="686B08A6" w14:textId="77777777" w:rsidR="00180EAB" w:rsidRDefault="00180EAB" w:rsidP="005E54E2">
      <w:r>
        <w:continuationSeparator/>
      </w:r>
    </w:p>
    <w:p w14:paraId="6D37C881" w14:textId="77777777" w:rsidR="00180EAB" w:rsidRDefault="00180EAB" w:rsidP="005E54E2"/>
    <w:p w14:paraId="1013F4E7" w14:textId="77777777" w:rsidR="00180EAB" w:rsidRDefault="00180EAB" w:rsidP="005E54E2"/>
    <w:p w14:paraId="68A6F518" w14:textId="77777777" w:rsidR="00180EAB" w:rsidRDefault="00180EAB" w:rsidP="005E54E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8"/>
    <w:multiLevelType w:val="singleLevel"/>
    <w:tmpl w:val="5630FF20"/>
    <w:lvl w:ilvl="0">
      <w:start w:val="1"/>
      <w:numFmt w:val="decimal"/>
      <w:lvlText w:val="%1."/>
      <w:lvlJc w:val="left"/>
      <w:pPr>
        <w:tabs>
          <w:tab w:val="num" w:pos="7020"/>
        </w:tabs>
        <w:ind w:left="7020" w:hanging="360"/>
      </w:pPr>
    </w:lvl>
  </w:abstractNum>
  <w:abstractNum w:abstractNumId="1" w15:restartNumberingAfterBreak="0">
    <w:nsid w:val="04F3143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6D71948"/>
    <w:multiLevelType w:val="multilevel"/>
    <w:tmpl w:val="04090029"/>
    <w:numStyleLink w:val="Style2"/>
  </w:abstractNum>
  <w:abstractNum w:abstractNumId="3" w15:restartNumberingAfterBreak="0">
    <w:nsid w:val="08B11E76"/>
    <w:multiLevelType w:val="multilevel"/>
    <w:tmpl w:val="04090029"/>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 w15:restartNumberingAfterBreak="0">
    <w:nsid w:val="0E2A17A6"/>
    <w:multiLevelType w:val="hybridMultilevel"/>
    <w:tmpl w:val="EB469AB8"/>
    <w:lvl w:ilvl="0" w:tplc="E692F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343DE8"/>
    <w:multiLevelType w:val="hybridMultilevel"/>
    <w:tmpl w:val="136C7D6C"/>
    <w:lvl w:ilvl="0" w:tplc="1C6EFF56">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167823F2"/>
    <w:multiLevelType w:val="hybridMultilevel"/>
    <w:tmpl w:val="34888E60"/>
    <w:lvl w:ilvl="0" w:tplc="E692FC6C">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B43310"/>
    <w:multiLevelType w:val="hybridMultilevel"/>
    <w:tmpl w:val="582E7752"/>
    <w:lvl w:ilvl="0" w:tplc="F0F0CDD8">
      <w:start w:val="1"/>
      <w:numFmt w:val="upperRoman"/>
      <w:lvlText w:val="%1."/>
      <w:lvlJc w:val="left"/>
      <w:pPr>
        <w:ind w:left="4500" w:hanging="720"/>
      </w:pPr>
      <w:rPr>
        <w:rFonts w:ascii="Arial" w:hAnsi="Arial" w:cs="Aria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39357E"/>
    <w:multiLevelType w:val="multilevel"/>
    <w:tmpl w:val="778CBC36"/>
    <w:lvl w:ilvl="0">
      <w:start w:val="1"/>
      <w:numFmt w:val="decimal"/>
      <w:pStyle w:val="Heading1"/>
      <w:suff w:val="space"/>
      <w:lvlText w:val="Chapter %1"/>
      <w:lvlJc w:val="left"/>
      <w:pPr>
        <w:ind w:left="0" w:firstLine="0"/>
      </w:pPr>
      <w:rPr>
        <w:rFonts w:ascii="Verdana" w:hAnsi="Verdana"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none"/>
      <w:pStyle w:val="Heading2"/>
      <w:suff w:val="nothing"/>
      <w:lvlText w:val=""/>
      <w:lvlJc w:val="left"/>
      <w:pPr>
        <w:ind w:left="0" w:firstLine="0"/>
      </w:pPr>
      <w:rPr>
        <w:rFonts w:hint="default"/>
      </w:rPr>
    </w:lvl>
    <w:lvl w:ilvl="2">
      <w:start w:val="1"/>
      <w:numFmt w:val="none"/>
      <w:pStyle w:val="Heading3"/>
      <w:suff w:val="nothing"/>
      <w:lvlText w:val=""/>
      <w:lvlJc w:val="left"/>
      <w:pPr>
        <w:ind w:left="0" w:firstLine="0"/>
      </w:pPr>
      <w:rPr>
        <w:rFonts w:hint="default"/>
      </w:rPr>
    </w:lvl>
    <w:lvl w:ilvl="3">
      <w:start w:val="1"/>
      <w:numFmt w:val="none"/>
      <w:pStyle w:val="Heading4"/>
      <w:suff w:val="nothing"/>
      <w:lvlText w:val=""/>
      <w:lvlJc w:val="left"/>
      <w:pPr>
        <w:ind w:left="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9" w15:restartNumberingAfterBreak="0">
    <w:nsid w:val="27564937"/>
    <w:multiLevelType w:val="multilevel"/>
    <w:tmpl w:val="04090029"/>
    <w:styleLink w:val="Style2"/>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0" w15:restartNumberingAfterBreak="0">
    <w:nsid w:val="2F452EFA"/>
    <w:multiLevelType w:val="hybridMultilevel"/>
    <w:tmpl w:val="DBB675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39F5A3B"/>
    <w:multiLevelType w:val="hybridMultilevel"/>
    <w:tmpl w:val="35C8898A"/>
    <w:lvl w:ilvl="0" w:tplc="2AAA022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D856B3"/>
    <w:multiLevelType w:val="hybridMultilevel"/>
    <w:tmpl w:val="600E7842"/>
    <w:lvl w:ilvl="0" w:tplc="E692FC6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D520A67"/>
    <w:multiLevelType w:val="hybridMultilevel"/>
    <w:tmpl w:val="956824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D6D12D8"/>
    <w:multiLevelType w:val="hybridMultilevel"/>
    <w:tmpl w:val="EC0E7084"/>
    <w:lvl w:ilvl="0" w:tplc="A2529E6A">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034221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63CB2EFB"/>
    <w:multiLevelType w:val="hybridMultilevel"/>
    <w:tmpl w:val="32A087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0314939"/>
    <w:multiLevelType w:val="multilevel"/>
    <w:tmpl w:val="04090029"/>
    <w:styleLink w:val="Style3"/>
    <w:lvl w:ilvl="0">
      <w:start w:val="1"/>
      <w:numFmt w:val="upperRoman"/>
      <w:suff w:val="space"/>
      <w:lvlText w:val="Chapter %1"/>
      <w:lvlJc w:val="left"/>
      <w:pPr>
        <w:ind w:left="0" w:firstLine="0"/>
      </w:pPr>
      <w:rPr>
        <w:rFonts w:ascii="Verdana" w:hAnsi="Verdana" w:hint="default"/>
        <w:sz w:val="20"/>
      </w:rPr>
    </w:lvl>
    <w:lvl w:ilvl="1">
      <w:start w:val="1"/>
      <w:numFmt w:val="none"/>
      <w:suff w:val="nothing"/>
      <w:lvlText w:val=""/>
      <w:lvlJc w:val="left"/>
      <w:pPr>
        <w:ind w:left="0" w:firstLine="0"/>
      </w:pPr>
      <w:rPr>
        <w:rFonts w:ascii="Verdana" w:hAnsi="Verdana" w:hint="default"/>
      </w:rPr>
    </w:lvl>
    <w:lvl w:ilvl="2">
      <w:start w:val="1"/>
      <w:numFmt w:val="none"/>
      <w:suff w:val="nothing"/>
      <w:lvlText w:val=""/>
      <w:lvlJc w:val="left"/>
      <w:pPr>
        <w:ind w:left="0" w:firstLine="0"/>
      </w:pPr>
      <w:rPr>
        <w:rFonts w:ascii="Verdana" w:hAnsi="Verdana" w:hint="default"/>
      </w:rPr>
    </w:lvl>
    <w:lvl w:ilvl="3">
      <w:start w:val="1"/>
      <w:numFmt w:val="none"/>
      <w:suff w:val="nothing"/>
      <w:lvlText w:val=""/>
      <w:lvlJc w:val="left"/>
      <w:pPr>
        <w:ind w:left="0" w:firstLine="0"/>
      </w:pPr>
      <w:rPr>
        <w:rFonts w:ascii="Verdana" w:hAnsi="Verdana"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8" w15:restartNumberingAfterBreak="0">
    <w:nsid w:val="7A513981"/>
    <w:multiLevelType w:val="hybridMultilevel"/>
    <w:tmpl w:val="27183F72"/>
    <w:lvl w:ilvl="0" w:tplc="E692FC6C">
      <w:start w:val="1"/>
      <w:numFmt w:val="upperRoman"/>
      <w:lvlText w:val="%1."/>
      <w:lvlJc w:val="left"/>
      <w:pPr>
        <w:ind w:left="1080" w:hanging="72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CB4552B"/>
    <w:multiLevelType w:val="multilevel"/>
    <w:tmpl w:val="04090029"/>
    <w:lvl w:ilvl="0">
      <w:start w:val="1"/>
      <w:numFmt w:val="decimal"/>
      <w:suff w:val="space"/>
      <w:lvlText w:val="Chapter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20" w15:restartNumberingAfterBreak="0">
    <w:nsid w:val="7CCE512F"/>
    <w:multiLevelType w:val="hybridMultilevel"/>
    <w:tmpl w:val="63E0F3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7"/>
  </w:num>
  <w:num w:numId="2">
    <w:abstractNumId w:val="12"/>
  </w:num>
  <w:num w:numId="3">
    <w:abstractNumId w:val="6"/>
  </w:num>
  <w:num w:numId="4">
    <w:abstractNumId w:val="16"/>
  </w:num>
  <w:num w:numId="5">
    <w:abstractNumId w:val="10"/>
  </w:num>
  <w:num w:numId="6">
    <w:abstractNumId w:val="4"/>
  </w:num>
  <w:num w:numId="7">
    <w:abstractNumId w:val="18"/>
  </w:num>
  <w:num w:numId="8">
    <w:abstractNumId w:val="11"/>
  </w:num>
  <w:num w:numId="9">
    <w:abstractNumId w:val="5"/>
  </w:num>
  <w:num w:numId="10">
    <w:abstractNumId w:val="0"/>
  </w:num>
  <w:num w:numId="11">
    <w:abstractNumId w:val="8"/>
  </w:num>
  <w:num w:numId="12">
    <w:abstractNumId w:val="9"/>
  </w:num>
  <w:num w:numId="13">
    <w:abstractNumId w:val="2"/>
  </w:num>
  <w:num w:numId="14">
    <w:abstractNumId w:val="3"/>
  </w:num>
  <w:num w:numId="15">
    <w:abstractNumId w:val="17"/>
  </w:num>
  <w:num w:numId="16">
    <w:abstractNumId w:val="15"/>
  </w:num>
  <w:num w:numId="17">
    <w:abstractNumId w:val="1"/>
  </w:num>
  <w:num w:numId="18">
    <w:abstractNumId w:val="19"/>
  </w:num>
  <w:num w:numId="19">
    <w:abstractNumId w:val="14"/>
  </w:num>
  <w:num w:numId="20">
    <w:abstractNumId w:val="20"/>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drawingGridHorizontalSpacing w:val="18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zc3MjO2sDQyBxLGxko6SsGpxcWZ+XkgBZa1AP1DHVksAAAA"/>
  </w:docVars>
  <w:rsids>
    <w:rsidRoot w:val="00825EBC"/>
    <w:rsid w:val="000033A9"/>
    <w:rsid w:val="00003F6A"/>
    <w:rsid w:val="00014A3E"/>
    <w:rsid w:val="000156E9"/>
    <w:rsid w:val="000166A9"/>
    <w:rsid w:val="0003672C"/>
    <w:rsid w:val="00043901"/>
    <w:rsid w:val="00057004"/>
    <w:rsid w:val="00062215"/>
    <w:rsid w:val="00071FB8"/>
    <w:rsid w:val="00076A95"/>
    <w:rsid w:val="000B5C42"/>
    <w:rsid w:val="000C3F22"/>
    <w:rsid w:val="000D0B9C"/>
    <w:rsid w:val="000D1325"/>
    <w:rsid w:val="000D5EFD"/>
    <w:rsid w:val="000D6168"/>
    <w:rsid w:val="000F7094"/>
    <w:rsid w:val="0010187B"/>
    <w:rsid w:val="0010217F"/>
    <w:rsid w:val="00104CAE"/>
    <w:rsid w:val="00110970"/>
    <w:rsid w:val="00127B30"/>
    <w:rsid w:val="00131105"/>
    <w:rsid w:val="00132A6C"/>
    <w:rsid w:val="00160114"/>
    <w:rsid w:val="00162B10"/>
    <w:rsid w:val="001745B4"/>
    <w:rsid w:val="001763F9"/>
    <w:rsid w:val="00180EAB"/>
    <w:rsid w:val="001854FB"/>
    <w:rsid w:val="001912C8"/>
    <w:rsid w:val="00193642"/>
    <w:rsid w:val="001A2B70"/>
    <w:rsid w:val="001A7D05"/>
    <w:rsid w:val="001B1034"/>
    <w:rsid w:val="001C085D"/>
    <w:rsid w:val="001C39F6"/>
    <w:rsid w:val="001C66FE"/>
    <w:rsid w:val="001D4908"/>
    <w:rsid w:val="001D6904"/>
    <w:rsid w:val="001F43C1"/>
    <w:rsid w:val="001F522F"/>
    <w:rsid w:val="00214D65"/>
    <w:rsid w:val="00215C1D"/>
    <w:rsid w:val="002163D0"/>
    <w:rsid w:val="0022210F"/>
    <w:rsid w:val="0022297D"/>
    <w:rsid w:val="0023362F"/>
    <w:rsid w:val="00236E6D"/>
    <w:rsid w:val="002429E5"/>
    <w:rsid w:val="00246AF3"/>
    <w:rsid w:val="00247EBF"/>
    <w:rsid w:val="00254509"/>
    <w:rsid w:val="00254B47"/>
    <w:rsid w:val="00257248"/>
    <w:rsid w:val="00261B12"/>
    <w:rsid w:val="00264A92"/>
    <w:rsid w:val="00280CEF"/>
    <w:rsid w:val="002820F8"/>
    <w:rsid w:val="0028757A"/>
    <w:rsid w:val="002A12F0"/>
    <w:rsid w:val="002A1A76"/>
    <w:rsid w:val="002A3264"/>
    <w:rsid w:val="002A4AB2"/>
    <w:rsid w:val="002A6060"/>
    <w:rsid w:val="002B003F"/>
    <w:rsid w:val="002B6156"/>
    <w:rsid w:val="002C0C4C"/>
    <w:rsid w:val="002D5A33"/>
    <w:rsid w:val="002E0C33"/>
    <w:rsid w:val="002E20B4"/>
    <w:rsid w:val="002E2492"/>
    <w:rsid w:val="002E5F14"/>
    <w:rsid w:val="002F6C76"/>
    <w:rsid w:val="00304BD0"/>
    <w:rsid w:val="003050D2"/>
    <w:rsid w:val="00307D77"/>
    <w:rsid w:val="00312C24"/>
    <w:rsid w:val="00313E9E"/>
    <w:rsid w:val="003150D5"/>
    <w:rsid w:val="003206F1"/>
    <w:rsid w:val="00320F78"/>
    <w:rsid w:val="00334400"/>
    <w:rsid w:val="003348A6"/>
    <w:rsid w:val="00340595"/>
    <w:rsid w:val="00340B0F"/>
    <w:rsid w:val="0034307A"/>
    <w:rsid w:val="0035768F"/>
    <w:rsid w:val="00360B3C"/>
    <w:rsid w:val="0036251E"/>
    <w:rsid w:val="00366007"/>
    <w:rsid w:val="003800B9"/>
    <w:rsid w:val="0038177C"/>
    <w:rsid w:val="003836EB"/>
    <w:rsid w:val="00384D32"/>
    <w:rsid w:val="00387024"/>
    <w:rsid w:val="00387656"/>
    <w:rsid w:val="003932AA"/>
    <w:rsid w:val="003B0DE0"/>
    <w:rsid w:val="003C070F"/>
    <w:rsid w:val="003C1575"/>
    <w:rsid w:val="003C7CFB"/>
    <w:rsid w:val="003C7FC5"/>
    <w:rsid w:val="003D07F7"/>
    <w:rsid w:val="003D20F0"/>
    <w:rsid w:val="003D2AB1"/>
    <w:rsid w:val="003D5275"/>
    <w:rsid w:val="003D63DF"/>
    <w:rsid w:val="003D737F"/>
    <w:rsid w:val="003F7474"/>
    <w:rsid w:val="00404616"/>
    <w:rsid w:val="00406F6E"/>
    <w:rsid w:val="00407B6A"/>
    <w:rsid w:val="00414400"/>
    <w:rsid w:val="00421631"/>
    <w:rsid w:val="00421CD4"/>
    <w:rsid w:val="00422932"/>
    <w:rsid w:val="00423EA7"/>
    <w:rsid w:val="00427833"/>
    <w:rsid w:val="00431865"/>
    <w:rsid w:val="004335E8"/>
    <w:rsid w:val="00436CCA"/>
    <w:rsid w:val="0044196E"/>
    <w:rsid w:val="00441E99"/>
    <w:rsid w:val="00451577"/>
    <w:rsid w:val="00474210"/>
    <w:rsid w:val="00477C35"/>
    <w:rsid w:val="00480B96"/>
    <w:rsid w:val="0048303E"/>
    <w:rsid w:val="00487874"/>
    <w:rsid w:val="0049004B"/>
    <w:rsid w:val="004920F6"/>
    <w:rsid w:val="00497636"/>
    <w:rsid w:val="004A67E8"/>
    <w:rsid w:val="004B03EC"/>
    <w:rsid w:val="004B489D"/>
    <w:rsid w:val="004C2071"/>
    <w:rsid w:val="004C3D65"/>
    <w:rsid w:val="004D6472"/>
    <w:rsid w:val="004E029C"/>
    <w:rsid w:val="004E2637"/>
    <w:rsid w:val="004F694B"/>
    <w:rsid w:val="005049EE"/>
    <w:rsid w:val="00516656"/>
    <w:rsid w:val="00526151"/>
    <w:rsid w:val="00526CAD"/>
    <w:rsid w:val="0054426C"/>
    <w:rsid w:val="00554C9F"/>
    <w:rsid w:val="00565E6B"/>
    <w:rsid w:val="0057177E"/>
    <w:rsid w:val="00576B5A"/>
    <w:rsid w:val="00577171"/>
    <w:rsid w:val="005804FC"/>
    <w:rsid w:val="00583A04"/>
    <w:rsid w:val="00597AD2"/>
    <w:rsid w:val="00597D3F"/>
    <w:rsid w:val="005B79E9"/>
    <w:rsid w:val="005C268C"/>
    <w:rsid w:val="005E3B94"/>
    <w:rsid w:val="005E4912"/>
    <w:rsid w:val="005E54E2"/>
    <w:rsid w:val="005E6F1F"/>
    <w:rsid w:val="005F0E5A"/>
    <w:rsid w:val="005F44D1"/>
    <w:rsid w:val="005F4A1D"/>
    <w:rsid w:val="00603E87"/>
    <w:rsid w:val="00611B90"/>
    <w:rsid w:val="006159AE"/>
    <w:rsid w:val="00621129"/>
    <w:rsid w:val="00633916"/>
    <w:rsid w:val="00636CF8"/>
    <w:rsid w:val="00641C6B"/>
    <w:rsid w:val="00641D2B"/>
    <w:rsid w:val="006446B7"/>
    <w:rsid w:val="00652687"/>
    <w:rsid w:val="00662D3E"/>
    <w:rsid w:val="00665C7E"/>
    <w:rsid w:val="00672DDD"/>
    <w:rsid w:val="00676C91"/>
    <w:rsid w:val="00676DD0"/>
    <w:rsid w:val="00677C01"/>
    <w:rsid w:val="00690B77"/>
    <w:rsid w:val="00697081"/>
    <w:rsid w:val="006A7B3D"/>
    <w:rsid w:val="006C12D6"/>
    <w:rsid w:val="006C4000"/>
    <w:rsid w:val="006C621F"/>
    <w:rsid w:val="006C651A"/>
    <w:rsid w:val="006D08B1"/>
    <w:rsid w:val="006D1E1B"/>
    <w:rsid w:val="006D5EE8"/>
    <w:rsid w:val="006E30D9"/>
    <w:rsid w:val="006E56E8"/>
    <w:rsid w:val="006E5B01"/>
    <w:rsid w:val="006F5AA4"/>
    <w:rsid w:val="007028E8"/>
    <w:rsid w:val="00711200"/>
    <w:rsid w:val="0072397F"/>
    <w:rsid w:val="00727250"/>
    <w:rsid w:val="00731922"/>
    <w:rsid w:val="00731ACB"/>
    <w:rsid w:val="007368AD"/>
    <w:rsid w:val="0074133D"/>
    <w:rsid w:val="007436FC"/>
    <w:rsid w:val="00745DF6"/>
    <w:rsid w:val="0075196D"/>
    <w:rsid w:val="0075558C"/>
    <w:rsid w:val="00761EFA"/>
    <w:rsid w:val="00764873"/>
    <w:rsid w:val="007778DD"/>
    <w:rsid w:val="00777BAE"/>
    <w:rsid w:val="00781055"/>
    <w:rsid w:val="007818F7"/>
    <w:rsid w:val="00787617"/>
    <w:rsid w:val="00796693"/>
    <w:rsid w:val="007A0F41"/>
    <w:rsid w:val="007C4A80"/>
    <w:rsid w:val="007C7591"/>
    <w:rsid w:val="007D1C7E"/>
    <w:rsid w:val="007D5CD5"/>
    <w:rsid w:val="007F27CA"/>
    <w:rsid w:val="007F6AE9"/>
    <w:rsid w:val="00811F7B"/>
    <w:rsid w:val="00813F00"/>
    <w:rsid w:val="008167F2"/>
    <w:rsid w:val="00822656"/>
    <w:rsid w:val="00825933"/>
    <w:rsid w:val="00825EBC"/>
    <w:rsid w:val="00826D54"/>
    <w:rsid w:val="00827530"/>
    <w:rsid w:val="00834C18"/>
    <w:rsid w:val="00834CBF"/>
    <w:rsid w:val="00836F89"/>
    <w:rsid w:val="00846459"/>
    <w:rsid w:val="00846AB7"/>
    <w:rsid w:val="008473FA"/>
    <w:rsid w:val="008539C0"/>
    <w:rsid w:val="0085757D"/>
    <w:rsid w:val="0086154B"/>
    <w:rsid w:val="00863435"/>
    <w:rsid w:val="00864954"/>
    <w:rsid w:val="00872827"/>
    <w:rsid w:val="0087349A"/>
    <w:rsid w:val="0087532D"/>
    <w:rsid w:val="0087631F"/>
    <w:rsid w:val="008865B6"/>
    <w:rsid w:val="00892728"/>
    <w:rsid w:val="008934AA"/>
    <w:rsid w:val="008949E3"/>
    <w:rsid w:val="00895DF4"/>
    <w:rsid w:val="008A7971"/>
    <w:rsid w:val="008B0A19"/>
    <w:rsid w:val="008B1A4D"/>
    <w:rsid w:val="008C08A7"/>
    <w:rsid w:val="008C4A0A"/>
    <w:rsid w:val="008D0A54"/>
    <w:rsid w:val="008D1960"/>
    <w:rsid w:val="008D589C"/>
    <w:rsid w:val="008E7085"/>
    <w:rsid w:val="008F60C3"/>
    <w:rsid w:val="00904969"/>
    <w:rsid w:val="00905F55"/>
    <w:rsid w:val="00915A21"/>
    <w:rsid w:val="0092091F"/>
    <w:rsid w:val="009254D6"/>
    <w:rsid w:val="0092669B"/>
    <w:rsid w:val="0093163E"/>
    <w:rsid w:val="00936436"/>
    <w:rsid w:val="00937711"/>
    <w:rsid w:val="0093799D"/>
    <w:rsid w:val="00951FEA"/>
    <w:rsid w:val="00960B7E"/>
    <w:rsid w:val="00965D91"/>
    <w:rsid w:val="00966BAC"/>
    <w:rsid w:val="00967D4C"/>
    <w:rsid w:val="0097298A"/>
    <w:rsid w:val="00975C53"/>
    <w:rsid w:val="00975E37"/>
    <w:rsid w:val="009A2ABE"/>
    <w:rsid w:val="009A6A2F"/>
    <w:rsid w:val="009B4C2E"/>
    <w:rsid w:val="009C5D95"/>
    <w:rsid w:val="009C755C"/>
    <w:rsid w:val="009C780F"/>
    <w:rsid w:val="009D1EF3"/>
    <w:rsid w:val="009D794C"/>
    <w:rsid w:val="009E631B"/>
    <w:rsid w:val="009F0096"/>
    <w:rsid w:val="00A00C24"/>
    <w:rsid w:val="00A2332A"/>
    <w:rsid w:val="00A25353"/>
    <w:rsid w:val="00A34F5F"/>
    <w:rsid w:val="00A46A68"/>
    <w:rsid w:val="00A50116"/>
    <w:rsid w:val="00A50EE9"/>
    <w:rsid w:val="00A50F5A"/>
    <w:rsid w:val="00A51355"/>
    <w:rsid w:val="00A60ED5"/>
    <w:rsid w:val="00A627D2"/>
    <w:rsid w:val="00A746DE"/>
    <w:rsid w:val="00A828FB"/>
    <w:rsid w:val="00A847CB"/>
    <w:rsid w:val="00A86F48"/>
    <w:rsid w:val="00AA3E0C"/>
    <w:rsid w:val="00AB0971"/>
    <w:rsid w:val="00AB51A9"/>
    <w:rsid w:val="00AB6429"/>
    <w:rsid w:val="00AC6FC9"/>
    <w:rsid w:val="00AD0A33"/>
    <w:rsid w:val="00AD31BE"/>
    <w:rsid w:val="00AD3906"/>
    <w:rsid w:val="00AE0982"/>
    <w:rsid w:val="00AF19D4"/>
    <w:rsid w:val="00AF4302"/>
    <w:rsid w:val="00B0062E"/>
    <w:rsid w:val="00B030DC"/>
    <w:rsid w:val="00B07524"/>
    <w:rsid w:val="00B07DAD"/>
    <w:rsid w:val="00B113E7"/>
    <w:rsid w:val="00B17869"/>
    <w:rsid w:val="00B35B7C"/>
    <w:rsid w:val="00B36790"/>
    <w:rsid w:val="00B53C15"/>
    <w:rsid w:val="00B67FED"/>
    <w:rsid w:val="00B7746D"/>
    <w:rsid w:val="00B77EC7"/>
    <w:rsid w:val="00B90095"/>
    <w:rsid w:val="00B93903"/>
    <w:rsid w:val="00BA50B3"/>
    <w:rsid w:val="00BC1774"/>
    <w:rsid w:val="00BD2603"/>
    <w:rsid w:val="00BD3522"/>
    <w:rsid w:val="00BD3657"/>
    <w:rsid w:val="00BD43E6"/>
    <w:rsid w:val="00BD4A80"/>
    <w:rsid w:val="00BE1C25"/>
    <w:rsid w:val="00C01047"/>
    <w:rsid w:val="00C0207D"/>
    <w:rsid w:val="00C0799A"/>
    <w:rsid w:val="00C113F8"/>
    <w:rsid w:val="00C11D0D"/>
    <w:rsid w:val="00C26544"/>
    <w:rsid w:val="00C26BEC"/>
    <w:rsid w:val="00C30D60"/>
    <w:rsid w:val="00C509C3"/>
    <w:rsid w:val="00C50A17"/>
    <w:rsid w:val="00C51113"/>
    <w:rsid w:val="00C66CDE"/>
    <w:rsid w:val="00C70EAE"/>
    <w:rsid w:val="00C83B65"/>
    <w:rsid w:val="00CA4B74"/>
    <w:rsid w:val="00CD18BC"/>
    <w:rsid w:val="00CD1E49"/>
    <w:rsid w:val="00CD50B5"/>
    <w:rsid w:val="00CD73A9"/>
    <w:rsid w:val="00CE3A3E"/>
    <w:rsid w:val="00CE44EA"/>
    <w:rsid w:val="00CE4D4B"/>
    <w:rsid w:val="00D008A7"/>
    <w:rsid w:val="00D01F48"/>
    <w:rsid w:val="00D06F12"/>
    <w:rsid w:val="00D20704"/>
    <w:rsid w:val="00D21EF3"/>
    <w:rsid w:val="00D25F0C"/>
    <w:rsid w:val="00D2674C"/>
    <w:rsid w:val="00D41205"/>
    <w:rsid w:val="00D46790"/>
    <w:rsid w:val="00D46E9B"/>
    <w:rsid w:val="00D6504C"/>
    <w:rsid w:val="00D677AA"/>
    <w:rsid w:val="00D73F4D"/>
    <w:rsid w:val="00D82E57"/>
    <w:rsid w:val="00D91C27"/>
    <w:rsid w:val="00D925C7"/>
    <w:rsid w:val="00DA1ED7"/>
    <w:rsid w:val="00DC50EC"/>
    <w:rsid w:val="00DC5925"/>
    <w:rsid w:val="00DC60FA"/>
    <w:rsid w:val="00DD00DE"/>
    <w:rsid w:val="00DE23AF"/>
    <w:rsid w:val="00DF3B9A"/>
    <w:rsid w:val="00DF407F"/>
    <w:rsid w:val="00DF772B"/>
    <w:rsid w:val="00E03B18"/>
    <w:rsid w:val="00E07CC9"/>
    <w:rsid w:val="00E137C3"/>
    <w:rsid w:val="00E17598"/>
    <w:rsid w:val="00E25351"/>
    <w:rsid w:val="00E41BDE"/>
    <w:rsid w:val="00E431A4"/>
    <w:rsid w:val="00E459DC"/>
    <w:rsid w:val="00E45D27"/>
    <w:rsid w:val="00E579B9"/>
    <w:rsid w:val="00E579EE"/>
    <w:rsid w:val="00E617FD"/>
    <w:rsid w:val="00E61BB1"/>
    <w:rsid w:val="00E633BE"/>
    <w:rsid w:val="00E80FF5"/>
    <w:rsid w:val="00E93EA5"/>
    <w:rsid w:val="00EA464C"/>
    <w:rsid w:val="00EA5199"/>
    <w:rsid w:val="00EC0D30"/>
    <w:rsid w:val="00ED7A05"/>
    <w:rsid w:val="00EE0740"/>
    <w:rsid w:val="00EE11BA"/>
    <w:rsid w:val="00EE334C"/>
    <w:rsid w:val="00F02153"/>
    <w:rsid w:val="00F058DF"/>
    <w:rsid w:val="00F063AE"/>
    <w:rsid w:val="00F07758"/>
    <w:rsid w:val="00F07C9F"/>
    <w:rsid w:val="00F11D34"/>
    <w:rsid w:val="00F15675"/>
    <w:rsid w:val="00F21250"/>
    <w:rsid w:val="00F2398D"/>
    <w:rsid w:val="00F26C23"/>
    <w:rsid w:val="00F2758E"/>
    <w:rsid w:val="00F634A3"/>
    <w:rsid w:val="00F70716"/>
    <w:rsid w:val="00F710F9"/>
    <w:rsid w:val="00F71ADC"/>
    <w:rsid w:val="00F7620F"/>
    <w:rsid w:val="00F8165F"/>
    <w:rsid w:val="00F84B5B"/>
    <w:rsid w:val="00F8528E"/>
    <w:rsid w:val="00F87D4F"/>
    <w:rsid w:val="00F87F40"/>
    <w:rsid w:val="00FA0AE4"/>
    <w:rsid w:val="00FA1D69"/>
    <w:rsid w:val="00FA75A5"/>
    <w:rsid w:val="00FB359F"/>
    <w:rsid w:val="00FB4DBA"/>
    <w:rsid w:val="00FB667E"/>
    <w:rsid w:val="00FC5A1B"/>
    <w:rsid w:val="00FC6425"/>
    <w:rsid w:val="00FC71DA"/>
    <w:rsid w:val="00FD0BB1"/>
    <w:rsid w:val="00FE552D"/>
    <w:rsid w:val="00FF1665"/>
    <w:rsid w:val="00FF1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C8EB8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6B5A"/>
    <w:rPr>
      <w:rFonts w:ascii="Arial" w:hAnsi="Arial" w:cs="Arial"/>
      <w:sz w:val="24"/>
      <w:szCs w:val="24"/>
    </w:rPr>
  </w:style>
  <w:style w:type="paragraph" w:styleId="Heading1">
    <w:name w:val="heading 1"/>
    <w:basedOn w:val="Normal"/>
    <w:next w:val="Normal"/>
    <w:link w:val="Heading1Char"/>
    <w:qFormat/>
    <w:rsid w:val="00D41205"/>
    <w:pPr>
      <w:numPr>
        <w:numId w:val="11"/>
      </w:numPr>
      <w:autoSpaceDE w:val="0"/>
      <w:autoSpaceDN w:val="0"/>
      <w:adjustRightInd w:val="0"/>
      <w:jc w:val="center"/>
      <w:outlineLvl w:val="0"/>
    </w:pPr>
    <w:rPr>
      <w:b/>
      <w:bCs/>
      <w:caps/>
      <w:sz w:val="28"/>
    </w:rPr>
  </w:style>
  <w:style w:type="paragraph" w:styleId="Heading2">
    <w:name w:val="heading 2"/>
    <w:basedOn w:val="Normal"/>
    <w:next w:val="Normal"/>
    <w:qFormat/>
    <w:rsid w:val="00665C7E"/>
    <w:pPr>
      <w:keepNext/>
      <w:numPr>
        <w:ilvl w:val="1"/>
        <w:numId w:val="11"/>
      </w:numPr>
      <w:spacing w:before="240" w:after="60"/>
      <w:jc w:val="center"/>
      <w:outlineLvl w:val="1"/>
    </w:pPr>
    <w:rPr>
      <w:b/>
      <w:bCs/>
      <w:iCs/>
      <w:sz w:val="28"/>
      <w:szCs w:val="28"/>
    </w:rPr>
  </w:style>
  <w:style w:type="paragraph" w:styleId="Heading3">
    <w:name w:val="heading 3"/>
    <w:basedOn w:val="Normal"/>
    <w:next w:val="Normal"/>
    <w:link w:val="Heading3Char"/>
    <w:qFormat/>
    <w:rsid w:val="006C12D6"/>
    <w:pPr>
      <w:keepNext/>
      <w:numPr>
        <w:ilvl w:val="2"/>
        <w:numId w:val="11"/>
      </w:numPr>
      <w:spacing w:before="240" w:after="60"/>
      <w:outlineLvl w:val="2"/>
    </w:pPr>
    <w:rPr>
      <w:b/>
      <w:bCs/>
      <w:i/>
      <w:szCs w:val="26"/>
    </w:rPr>
  </w:style>
  <w:style w:type="paragraph" w:styleId="Heading4">
    <w:name w:val="heading 4"/>
    <w:basedOn w:val="Normal"/>
    <w:next w:val="Normal"/>
    <w:link w:val="Heading4Char"/>
    <w:semiHidden/>
    <w:unhideWhenUsed/>
    <w:qFormat/>
    <w:rsid w:val="009C5D95"/>
    <w:pPr>
      <w:keepNext/>
      <w:keepLines/>
      <w:numPr>
        <w:ilvl w:val="3"/>
        <w:numId w:val="11"/>
      </w:numPr>
      <w:spacing w:before="4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semiHidden/>
    <w:unhideWhenUsed/>
    <w:qFormat/>
    <w:rsid w:val="009C5D95"/>
    <w:pPr>
      <w:keepNext/>
      <w:keepLines/>
      <w:numPr>
        <w:ilvl w:val="4"/>
        <w:numId w:val="11"/>
      </w:numPr>
      <w:spacing w:before="4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semiHidden/>
    <w:unhideWhenUsed/>
    <w:qFormat/>
    <w:rsid w:val="009C5D95"/>
    <w:pPr>
      <w:keepNext/>
      <w:keepLines/>
      <w:numPr>
        <w:ilvl w:val="5"/>
        <w:numId w:val="11"/>
      </w:numPr>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semiHidden/>
    <w:unhideWhenUsed/>
    <w:qFormat/>
    <w:rsid w:val="009C5D95"/>
    <w:pPr>
      <w:keepNext/>
      <w:keepLines/>
      <w:numPr>
        <w:ilvl w:val="6"/>
        <w:numId w:val="11"/>
      </w:numPr>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semiHidden/>
    <w:unhideWhenUsed/>
    <w:qFormat/>
    <w:rsid w:val="009C5D95"/>
    <w:pPr>
      <w:keepNext/>
      <w:keepLines/>
      <w:numPr>
        <w:ilvl w:val="7"/>
        <w:numId w:val="11"/>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9C5D95"/>
    <w:pPr>
      <w:keepNext/>
      <w:keepLines/>
      <w:numPr>
        <w:ilvl w:val="8"/>
        <w:numId w:val="1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665C7E"/>
    <w:pPr>
      <w:tabs>
        <w:tab w:val="center" w:pos="4320"/>
        <w:tab w:val="right" w:pos="8640"/>
      </w:tabs>
    </w:pPr>
  </w:style>
  <w:style w:type="paragraph" w:styleId="Header">
    <w:name w:val="header"/>
    <w:basedOn w:val="Normal"/>
    <w:link w:val="HeaderChar"/>
    <w:uiPriority w:val="99"/>
    <w:rsid w:val="00665C7E"/>
    <w:pPr>
      <w:tabs>
        <w:tab w:val="center" w:pos="4320"/>
        <w:tab w:val="right" w:pos="8640"/>
      </w:tabs>
    </w:pPr>
  </w:style>
  <w:style w:type="paragraph" w:customStyle="1" w:styleId="ETDTitle">
    <w:name w:val="ETD Title"/>
    <w:basedOn w:val="Normal"/>
    <w:qFormat/>
    <w:rsid w:val="00334400"/>
    <w:pPr>
      <w:jc w:val="center"/>
    </w:pPr>
    <w:rPr>
      <w:b/>
      <w:lang w:val="en-CA"/>
    </w:rPr>
  </w:style>
  <w:style w:type="character" w:customStyle="1" w:styleId="SYSHYPERTEXT">
    <w:name w:val="SYS_HYPERTEXT"/>
    <w:rsid w:val="00665C7E"/>
    <w:rPr>
      <w:noProof/>
      <w:color w:val="0000FF"/>
      <w:u w:val="single"/>
    </w:rPr>
  </w:style>
  <w:style w:type="character" w:customStyle="1" w:styleId="TitleChar">
    <w:name w:val="Title Char"/>
    <w:link w:val="Title"/>
    <w:rsid w:val="00387656"/>
    <w:rPr>
      <w:rFonts w:ascii="Arial" w:hAnsi="Arial" w:cs="Arial"/>
      <w:b/>
      <w:sz w:val="28"/>
      <w:szCs w:val="24"/>
      <w:lang w:val="en-CA"/>
    </w:rPr>
  </w:style>
  <w:style w:type="character" w:customStyle="1" w:styleId="FooterChar">
    <w:name w:val="Footer Char"/>
    <w:link w:val="Footer"/>
    <w:uiPriority w:val="99"/>
    <w:rsid w:val="00387656"/>
    <w:rPr>
      <w:rFonts w:ascii="Arial" w:hAnsi="Arial" w:cs="Arial"/>
      <w:sz w:val="24"/>
      <w:szCs w:val="24"/>
    </w:rPr>
  </w:style>
  <w:style w:type="paragraph" w:styleId="Title">
    <w:name w:val="Title"/>
    <w:basedOn w:val="ETDTitle"/>
    <w:link w:val="TitleChar"/>
    <w:qFormat/>
    <w:rsid w:val="00387656"/>
    <w:rPr>
      <w:sz w:val="28"/>
    </w:rPr>
  </w:style>
  <w:style w:type="paragraph" w:styleId="TOCHeading">
    <w:name w:val="TOC Heading"/>
    <w:basedOn w:val="Heading1"/>
    <w:next w:val="Normal"/>
    <w:uiPriority w:val="39"/>
    <w:semiHidden/>
    <w:unhideWhenUsed/>
    <w:qFormat/>
    <w:rsid w:val="00387656"/>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Caption">
    <w:name w:val="caption"/>
    <w:basedOn w:val="Normal"/>
    <w:next w:val="Normal"/>
    <w:link w:val="CaptionChar"/>
    <w:uiPriority w:val="35"/>
    <w:qFormat/>
    <w:rsid w:val="004C2071"/>
    <w:pPr>
      <w:keepNext/>
      <w:spacing w:before="120" w:after="120"/>
    </w:pPr>
    <w:rPr>
      <w:b/>
      <w:bCs/>
    </w:rPr>
  </w:style>
  <w:style w:type="paragraph" w:styleId="TableofFigures">
    <w:name w:val="table of figures"/>
    <w:basedOn w:val="Normal"/>
    <w:next w:val="Normal"/>
    <w:uiPriority w:val="99"/>
    <w:rsid w:val="002B003F"/>
    <w:pPr>
      <w:ind w:left="480" w:hanging="480"/>
    </w:pPr>
    <w:rPr>
      <w:rFonts w:ascii="Verdana" w:hAnsi="Verdana"/>
      <w:sz w:val="18"/>
    </w:rPr>
  </w:style>
  <w:style w:type="character" w:styleId="Hyperlink">
    <w:name w:val="Hyperlink"/>
    <w:uiPriority w:val="99"/>
    <w:rsid w:val="00665C7E"/>
    <w:rPr>
      <w:color w:val="0000FF"/>
      <w:u w:val="single"/>
    </w:rPr>
  </w:style>
  <w:style w:type="paragraph" w:styleId="TOC1">
    <w:name w:val="toc 1"/>
    <w:basedOn w:val="Normal"/>
    <w:next w:val="Normal"/>
    <w:autoRedefine/>
    <w:uiPriority w:val="39"/>
    <w:rsid w:val="00665C7E"/>
  </w:style>
  <w:style w:type="paragraph" w:styleId="TOC2">
    <w:name w:val="toc 2"/>
    <w:basedOn w:val="Normal"/>
    <w:next w:val="Normal"/>
    <w:autoRedefine/>
    <w:uiPriority w:val="39"/>
    <w:rsid w:val="00665C7E"/>
    <w:pPr>
      <w:ind w:left="240"/>
    </w:pPr>
  </w:style>
  <w:style w:type="paragraph" w:styleId="TOC3">
    <w:name w:val="toc 3"/>
    <w:basedOn w:val="Normal"/>
    <w:next w:val="Normal"/>
    <w:autoRedefine/>
    <w:uiPriority w:val="39"/>
    <w:rsid w:val="00665C7E"/>
    <w:pPr>
      <w:ind w:left="480"/>
    </w:pPr>
  </w:style>
  <w:style w:type="paragraph" w:styleId="TOC4">
    <w:name w:val="toc 4"/>
    <w:basedOn w:val="Normal"/>
    <w:next w:val="Normal"/>
    <w:autoRedefine/>
    <w:semiHidden/>
    <w:rsid w:val="00665C7E"/>
    <w:pPr>
      <w:ind w:left="720"/>
    </w:pPr>
  </w:style>
  <w:style w:type="paragraph" w:styleId="TOC5">
    <w:name w:val="toc 5"/>
    <w:basedOn w:val="Normal"/>
    <w:next w:val="Normal"/>
    <w:autoRedefine/>
    <w:semiHidden/>
    <w:rsid w:val="00665C7E"/>
    <w:pPr>
      <w:ind w:left="960"/>
    </w:pPr>
  </w:style>
  <w:style w:type="paragraph" w:styleId="TOC6">
    <w:name w:val="toc 6"/>
    <w:basedOn w:val="Normal"/>
    <w:next w:val="Normal"/>
    <w:autoRedefine/>
    <w:semiHidden/>
    <w:rsid w:val="00665C7E"/>
    <w:pPr>
      <w:ind w:left="1200"/>
    </w:pPr>
  </w:style>
  <w:style w:type="paragraph" w:styleId="TOC7">
    <w:name w:val="toc 7"/>
    <w:basedOn w:val="Normal"/>
    <w:next w:val="Normal"/>
    <w:autoRedefine/>
    <w:semiHidden/>
    <w:rsid w:val="00665C7E"/>
    <w:pPr>
      <w:ind w:left="1440"/>
    </w:pPr>
  </w:style>
  <w:style w:type="paragraph" w:styleId="TOC8">
    <w:name w:val="toc 8"/>
    <w:basedOn w:val="Normal"/>
    <w:next w:val="Normal"/>
    <w:autoRedefine/>
    <w:semiHidden/>
    <w:rsid w:val="00665C7E"/>
    <w:pPr>
      <w:ind w:left="1680"/>
    </w:pPr>
  </w:style>
  <w:style w:type="paragraph" w:styleId="TOC9">
    <w:name w:val="toc 9"/>
    <w:basedOn w:val="Normal"/>
    <w:next w:val="Normal"/>
    <w:autoRedefine/>
    <w:semiHidden/>
    <w:rsid w:val="00665C7E"/>
    <w:pPr>
      <w:ind w:left="1920"/>
    </w:pPr>
  </w:style>
  <w:style w:type="character" w:customStyle="1" w:styleId="Heading1Char">
    <w:name w:val="Heading 1 Char"/>
    <w:link w:val="Heading1"/>
    <w:rsid w:val="00D41205"/>
    <w:rPr>
      <w:rFonts w:ascii="Arial" w:hAnsi="Arial"/>
      <w:b/>
      <w:bCs/>
      <w:caps/>
      <w:sz w:val="28"/>
      <w:szCs w:val="24"/>
    </w:rPr>
  </w:style>
  <w:style w:type="character" w:customStyle="1" w:styleId="Heading3Char">
    <w:name w:val="Heading 3 Char"/>
    <w:link w:val="Heading3"/>
    <w:rsid w:val="006C12D6"/>
    <w:rPr>
      <w:rFonts w:ascii="Arial" w:hAnsi="Arial" w:cs="Arial"/>
      <w:b/>
      <w:bCs/>
      <w:i/>
      <w:sz w:val="24"/>
      <w:szCs w:val="26"/>
    </w:rPr>
  </w:style>
  <w:style w:type="table" w:styleId="TableGrid">
    <w:name w:val="Table Grid"/>
    <w:basedOn w:val="TableNormal"/>
    <w:uiPriority w:val="39"/>
    <w:rsid w:val="00975E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834C18"/>
    <w:rPr>
      <w:sz w:val="16"/>
      <w:szCs w:val="16"/>
    </w:rPr>
  </w:style>
  <w:style w:type="paragraph" w:styleId="CommentText">
    <w:name w:val="annotation text"/>
    <w:basedOn w:val="Normal"/>
    <w:link w:val="CommentTextChar"/>
    <w:uiPriority w:val="99"/>
    <w:unhideWhenUsed/>
    <w:rsid w:val="00834C18"/>
    <w:pPr>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834C18"/>
    <w:rPr>
      <w:rFonts w:asciiTheme="minorHAnsi" w:eastAsiaTheme="minorHAnsi" w:hAnsiTheme="minorHAnsi" w:cstheme="minorBidi"/>
    </w:rPr>
  </w:style>
  <w:style w:type="table" w:styleId="GridTable1Light-Accent3">
    <w:name w:val="Grid Table 1 Light Accent 3"/>
    <w:basedOn w:val="TableNormal"/>
    <w:uiPriority w:val="46"/>
    <w:rsid w:val="006446B7"/>
    <w:rPr>
      <w:rFonts w:asciiTheme="minorHAnsi" w:eastAsiaTheme="minorHAnsi" w:hAnsiTheme="minorHAnsi" w:cstheme="minorBidi"/>
      <w:sz w:val="22"/>
      <w:szCs w:val="22"/>
    </w:rPr>
    <w:tblPr>
      <w:tblStyleRowBandSize w:val="1"/>
      <w:tblStyleColBandSize w:val="1"/>
    </w:tblPr>
    <w:tblStylePr w:type="firstRow">
      <w:rPr>
        <w:b/>
        <w:bCs/>
      </w:rPr>
      <w:tblPr/>
      <w:tcPr>
        <w:tcBorders>
          <w:bottom w:val="single" w:sz="12" w:space="0" w:color="C2D69B" w:themeColor="accent3" w:themeTint="99"/>
        </w:tcBorders>
      </w:tcPr>
    </w:tblStylePr>
    <w:tblStylePr w:type="lastRow">
      <w:rPr>
        <w:b/>
        <w:bCs/>
      </w:rPr>
      <w:tblPr/>
      <w:tcPr>
        <w:tcBorders>
          <w:top w:val="double" w:sz="2" w:space="0" w:color="C2D69B" w:themeColor="accent3" w:themeTint="99"/>
        </w:tcBorders>
      </w:tcPr>
    </w:tblStylePr>
    <w:tblStylePr w:type="firstCol">
      <w:rPr>
        <w:b/>
        <w:bCs/>
      </w:rPr>
    </w:tblStylePr>
    <w:tblStylePr w:type="lastCol">
      <w:rPr>
        <w:b/>
        <w:bCs/>
      </w:rPr>
    </w:tblStylePr>
  </w:style>
  <w:style w:type="paragraph" w:styleId="NoSpacing">
    <w:name w:val="No Spacing"/>
    <w:uiPriority w:val="1"/>
    <w:qFormat/>
    <w:rsid w:val="00CE44EA"/>
    <w:rPr>
      <w:rFonts w:asciiTheme="minorHAnsi" w:eastAsiaTheme="minorHAnsi" w:hAnsiTheme="minorHAnsi" w:cstheme="minorBidi"/>
      <w:sz w:val="22"/>
      <w:szCs w:val="22"/>
    </w:rPr>
  </w:style>
  <w:style w:type="paragraph" w:styleId="ListParagraph">
    <w:name w:val="List Paragraph"/>
    <w:basedOn w:val="Normal"/>
    <w:uiPriority w:val="34"/>
    <w:qFormat/>
    <w:rsid w:val="00CE44EA"/>
    <w:pPr>
      <w:ind w:left="720"/>
      <w:contextualSpacing/>
    </w:pPr>
  </w:style>
  <w:style w:type="paragraph" w:styleId="NormalWeb">
    <w:name w:val="Normal (Web)"/>
    <w:basedOn w:val="Normal"/>
    <w:uiPriority w:val="99"/>
    <w:unhideWhenUsed/>
    <w:rsid w:val="009E631B"/>
    <w:pPr>
      <w:spacing w:before="100" w:beforeAutospacing="1" w:after="100" w:afterAutospacing="1"/>
    </w:pPr>
    <w:rPr>
      <w:rFonts w:ascii="Times New Roman" w:hAnsi="Times New Roman" w:cs="Times New Roman"/>
    </w:rPr>
  </w:style>
  <w:style w:type="character" w:customStyle="1" w:styleId="apple-tab-span">
    <w:name w:val="apple-tab-span"/>
    <w:basedOn w:val="DefaultParagraphFont"/>
    <w:rsid w:val="00BD3657"/>
  </w:style>
  <w:style w:type="paragraph" w:customStyle="1" w:styleId="Style1">
    <w:name w:val="Style1"/>
    <w:basedOn w:val="Caption"/>
    <w:link w:val="Style1Char"/>
    <w:autoRedefine/>
    <w:qFormat/>
    <w:rsid w:val="00576B5A"/>
    <w:rPr>
      <w:rFonts w:ascii="Times New Roman" w:hAnsi="Times New Roman" w:cs="Times New Roman"/>
    </w:rPr>
  </w:style>
  <w:style w:type="paragraph" w:styleId="Index1">
    <w:name w:val="index 1"/>
    <w:basedOn w:val="Normal"/>
    <w:next w:val="Normal"/>
    <w:autoRedefine/>
    <w:semiHidden/>
    <w:unhideWhenUsed/>
    <w:rsid w:val="0092091F"/>
    <w:pPr>
      <w:ind w:left="240" w:hanging="240"/>
    </w:pPr>
  </w:style>
  <w:style w:type="character" w:customStyle="1" w:styleId="CaptionChar">
    <w:name w:val="Caption Char"/>
    <w:basedOn w:val="DefaultParagraphFont"/>
    <w:link w:val="Caption"/>
    <w:uiPriority w:val="35"/>
    <w:rsid w:val="00576B5A"/>
    <w:rPr>
      <w:rFonts w:ascii="Arial" w:hAnsi="Arial" w:cs="Arial"/>
      <w:b/>
      <w:bCs/>
      <w:sz w:val="24"/>
      <w:szCs w:val="24"/>
    </w:rPr>
  </w:style>
  <w:style w:type="character" w:customStyle="1" w:styleId="Style1Char">
    <w:name w:val="Style1 Char"/>
    <w:basedOn w:val="CaptionChar"/>
    <w:link w:val="Style1"/>
    <w:rsid w:val="00576B5A"/>
    <w:rPr>
      <w:rFonts w:ascii="Arial" w:hAnsi="Arial" w:cs="Arial"/>
      <w:b/>
      <w:bCs/>
      <w:sz w:val="24"/>
      <w:szCs w:val="24"/>
    </w:rPr>
  </w:style>
  <w:style w:type="character" w:customStyle="1" w:styleId="Heading4Char">
    <w:name w:val="Heading 4 Char"/>
    <w:basedOn w:val="DefaultParagraphFont"/>
    <w:link w:val="Heading4"/>
    <w:semiHidden/>
    <w:rsid w:val="009C5D95"/>
    <w:rPr>
      <w:rFonts w:asciiTheme="majorHAnsi" w:eastAsiaTheme="majorEastAsia" w:hAnsiTheme="majorHAnsi" w:cstheme="majorBidi"/>
      <w:i/>
      <w:iCs/>
      <w:color w:val="365F91" w:themeColor="accent1" w:themeShade="BF"/>
      <w:sz w:val="24"/>
      <w:szCs w:val="24"/>
    </w:rPr>
  </w:style>
  <w:style w:type="character" w:customStyle="1" w:styleId="Heading5Char">
    <w:name w:val="Heading 5 Char"/>
    <w:basedOn w:val="DefaultParagraphFont"/>
    <w:link w:val="Heading5"/>
    <w:semiHidden/>
    <w:rsid w:val="009C5D95"/>
    <w:rPr>
      <w:rFonts w:asciiTheme="majorHAnsi" w:eastAsiaTheme="majorEastAsia" w:hAnsiTheme="majorHAnsi" w:cstheme="majorBidi"/>
      <w:color w:val="365F91" w:themeColor="accent1" w:themeShade="BF"/>
      <w:sz w:val="24"/>
      <w:szCs w:val="24"/>
    </w:rPr>
  </w:style>
  <w:style w:type="character" w:customStyle="1" w:styleId="Heading6Char">
    <w:name w:val="Heading 6 Char"/>
    <w:basedOn w:val="DefaultParagraphFont"/>
    <w:link w:val="Heading6"/>
    <w:semiHidden/>
    <w:rsid w:val="009C5D95"/>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semiHidden/>
    <w:rsid w:val="009C5D95"/>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semiHidden/>
    <w:rsid w:val="009C5D95"/>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9C5D95"/>
    <w:rPr>
      <w:rFonts w:asciiTheme="majorHAnsi" w:eastAsiaTheme="majorEastAsia" w:hAnsiTheme="majorHAnsi" w:cstheme="majorBidi"/>
      <w:i/>
      <w:iCs/>
      <w:color w:val="272727" w:themeColor="text1" w:themeTint="D8"/>
      <w:sz w:val="21"/>
      <w:szCs w:val="21"/>
    </w:rPr>
  </w:style>
  <w:style w:type="numbering" w:customStyle="1" w:styleId="Style2">
    <w:name w:val="Style2"/>
    <w:uiPriority w:val="99"/>
    <w:rsid w:val="009C5D95"/>
    <w:pPr>
      <w:numPr>
        <w:numId w:val="12"/>
      </w:numPr>
    </w:pPr>
  </w:style>
  <w:style w:type="numbering" w:customStyle="1" w:styleId="Style3">
    <w:name w:val="Style3"/>
    <w:uiPriority w:val="99"/>
    <w:rsid w:val="00BA50B3"/>
    <w:pPr>
      <w:numPr>
        <w:numId w:val="15"/>
      </w:numPr>
    </w:pPr>
  </w:style>
  <w:style w:type="paragraph" w:styleId="CommentSubject">
    <w:name w:val="annotation subject"/>
    <w:basedOn w:val="CommentText"/>
    <w:next w:val="CommentText"/>
    <w:link w:val="CommentSubjectChar"/>
    <w:uiPriority w:val="99"/>
    <w:semiHidden/>
    <w:unhideWhenUsed/>
    <w:rsid w:val="000D6168"/>
    <w:rPr>
      <w:b/>
      <w:bCs/>
    </w:rPr>
  </w:style>
  <w:style w:type="character" w:customStyle="1" w:styleId="CommentSubjectChar">
    <w:name w:val="Comment Subject Char"/>
    <w:basedOn w:val="CommentTextChar"/>
    <w:link w:val="CommentSubject"/>
    <w:uiPriority w:val="99"/>
    <w:semiHidden/>
    <w:rsid w:val="000D6168"/>
    <w:rPr>
      <w:rFonts w:asciiTheme="minorHAnsi" w:eastAsiaTheme="minorHAnsi" w:hAnsiTheme="minorHAnsi" w:cstheme="minorBidi"/>
      <w:b/>
      <w:bCs/>
    </w:rPr>
  </w:style>
  <w:style w:type="paragraph" w:styleId="BalloonText">
    <w:name w:val="Balloon Text"/>
    <w:basedOn w:val="Normal"/>
    <w:link w:val="BalloonTextChar"/>
    <w:uiPriority w:val="99"/>
    <w:semiHidden/>
    <w:unhideWhenUsed/>
    <w:rsid w:val="000D6168"/>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0D6168"/>
    <w:rPr>
      <w:rFonts w:ascii="Segoe UI" w:eastAsiaTheme="minorHAnsi" w:hAnsi="Segoe UI" w:cs="Segoe UI"/>
      <w:sz w:val="18"/>
      <w:szCs w:val="18"/>
    </w:rPr>
  </w:style>
  <w:style w:type="character" w:styleId="UnresolvedMention">
    <w:name w:val="Unresolved Mention"/>
    <w:basedOn w:val="DefaultParagraphFont"/>
    <w:uiPriority w:val="99"/>
    <w:semiHidden/>
    <w:unhideWhenUsed/>
    <w:rsid w:val="000D6168"/>
    <w:rPr>
      <w:color w:val="605E5C"/>
      <w:shd w:val="clear" w:color="auto" w:fill="E1DFDD"/>
    </w:rPr>
  </w:style>
  <w:style w:type="character" w:styleId="FollowedHyperlink">
    <w:name w:val="FollowedHyperlink"/>
    <w:basedOn w:val="DefaultParagraphFont"/>
    <w:uiPriority w:val="99"/>
    <w:semiHidden/>
    <w:unhideWhenUsed/>
    <w:rsid w:val="000D6168"/>
    <w:rPr>
      <w:color w:val="954F72"/>
      <w:u w:val="single"/>
    </w:rPr>
  </w:style>
  <w:style w:type="paragraph" w:customStyle="1" w:styleId="msonormal0">
    <w:name w:val="msonormal"/>
    <w:basedOn w:val="Normal"/>
    <w:rsid w:val="000D6168"/>
    <w:pPr>
      <w:spacing w:before="100" w:beforeAutospacing="1" w:after="100" w:afterAutospacing="1"/>
    </w:pPr>
    <w:rPr>
      <w:rFonts w:ascii="Times New Roman" w:hAnsi="Times New Roman" w:cs="Times New Roman"/>
    </w:rPr>
  </w:style>
  <w:style w:type="paragraph" w:customStyle="1" w:styleId="xl63">
    <w:name w:val="xl63"/>
    <w:basedOn w:val="Normal"/>
    <w:rsid w:val="000D6168"/>
    <w:pPr>
      <w:spacing w:before="100" w:beforeAutospacing="1" w:after="100" w:afterAutospacing="1"/>
    </w:pPr>
    <w:rPr>
      <w:rFonts w:ascii="Times New Roman" w:hAnsi="Times New Roman" w:cs="Times New Roman"/>
    </w:rPr>
  </w:style>
  <w:style w:type="character" w:customStyle="1" w:styleId="author">
    <w:name w:val="author"/>
    <w:basedOn w:val="DefaultParagraphFont"/>
    <w:rsid w:val="000D6168"/>
  </w:style>
  <w:style w:type="character" w:customStyle="1" w:styleId="pubyear">
    <w:name w:val="pubyear"/>
    <w:basedOn w:val="DefaultParagraphFont"/>
    <w:rsid w:val="000D6168"/>
  </w:style>
  <w:style w:type="paragraph" w:styleId="Revision">
    <w:name w:val="Revision"/>
    <w:hidden/>
    <w:uiPriority w:val="99"/>
    <w:semiHidden/>
    <w:rsid w:val="000D6168"/>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D6168"/>
    <w:rPr>
      <w:rFonts w:ascii="Arial" w:hAnsi="Arial" w:cs="Arial"/>
      <w:sz w:val="24"/>
      <w:szCs w:val="24"/>
    </w:rPr>
  </w:style>
  <w:style w:type="character" w:customStyle="1" w:styleId="apple-converted-space">
    <w:name w:val="apple-converted-space"/>
    <w:basedOn w:val="DefaultParagraphFont"/>
    <w:rsid w:val="000D6168"/>
  </w:style>
  <w:style w:type="paragraph" w:styleId="FootnoteText">
    <w:name w:val="footnote text"/>
    <w:basedOn w:val="Normal"/>
    <w:link w:val="FootnoteTextChar"/>
    <w:uiPriority w:val="99"/>
    <w:semiHidden/>
    <w:unhideWhenUsed/>
    <w:rsid w:val="000D6168"/>
    <w:rPr>
      <w:rFonts w:asciiTheme="minorHAnsi" w:eastAsia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0D6168"/>
    <w:rPr>
      <w:rFonts w:asciiTheme="minorHAnsi" w:eastAsiaTheme="minorHAnsi" w:hAnsiTheme="minorHAnsi" w:cstheme="minorBidi"/>
    </w:rPr>
  </w:style>
  <w:style w:type="character" w:styleId="FootnoteReference">
    <w:name w:val="footnote reference"/>
    <w:basedOn w:val="DefaultParagraphFont"/>
    <w:uiPriority w:val="99"/>
    <w:semiHidden/>
    <w:unhideWhenUsed/>
    <w:rsid w:val="000D6168"/>
    <w:rPr>
      <w:vertAlign w:val="superscript"/>
    </w:rPr>
  </w:style>
  <w:style w:type="paragraph" w:customStyle="1" w:styleId="xl64">
    <w:name w:val="xl64"/>
    <w:basedOn w:val="Normal"/>
    <w:rsid w:val="000D6168"/>
    <w:pPr>
      <w:spacing w:before="100" w:beforeAutospacing="1" w:after="100" w:afterAutospacing="1"/>
      <w:jc w:val="center"/>
    </w:pPr>
    <w:rPr>
      <w:rFonts w:ascii="Times New Roman" w:hAnsi="Times New Roman" w:cs="Times New Roman"/>
    </w:rPr>
  </w:style>
  <w:style w:type="paragraph" w:customStyle="1" w:styleId="xl65">
    <w:name w:val="xl65"/>
    <w:basedOn w:val="Normal"/>
    <w:rsid w:val="000D6168"/>
    <w:pPr>
      <w:pBdr>
        <w:left w:val="single" w:sz="4" w:space="0" w:color="auto"/>
      </w:pBdr>
      <w:spacing w:before="100" w:beforeAutospacing="1" w:after="100" w:afterAutospacing="1"/>
    </w:pPr>
    <w:rPr>
      <w:rFonts w:ascii="Times New Roman" w:hAnsi="Times New Roman" w:cs="Times New Roman"/>
    </w:rPr>
  </w:style>
  <w:style w:type="paragraph" w:customStyle="1" w:styleId="xl66">
    <w:name w:val="xl66"/>
    <w:basedOn w:val="Normal"/>
    <w:rsid w:val="000D6168"/>
    <w:pPr>
      <w:pBdr>
        <w:left w:val="single" w:sz="4" w:space="0" w:color="auto"/>
        <w:bottom w:val="single" w:sz="4" w:space="0" w:color="auto"/>
      </w:pBdr>
      <w:spacing w:before="100" w:beforeAutospacing="1" w:after="100" w:afterAutospacing="1"/>
    </w:pPr>
    <w:rPr>
      <w:rFonts w:ascii="Times New Roman" w:hAnsi="Times New Roman" w:cs="Times New Roman"/>
    </w:rPr>
  </w:style>
  <w:style w:type="paragraph" w:customStyle="1" w:styleId="xl67">
    <w:name w:val="xl67"/>
    <w:basedOn w:val="Normal"/>
    <w:rsid w:val="000D6168"/>
    <w:pPr>
      <w:pBdr>
        <w:bottom w:val="single" w:sz="4" w:space="0" w:color="auto"/>
      </w:pBdr>
      <w:spacing w:before="100" w:beforeAutospacing="1" w:after="100" w:afterAutospacing="1"/>
    </w:pPr>
    <w:rPr>
      <w:rFonts w:ascii="Times New Roman" w:hAnsi="Times New Roman" w:cs="Times New Roman"/>
    </w:rPr>
  </w:style>
  <w:style w:type="paragraph" w:customStyle="1" w:styleId="xl68">
    <w:name w:val="xl68"/>
    <w:basedOn w:val="Normal"/>
    <w:rsid w:val="000D6168"/>
    <w:pPr>
      <w:pBdr>
        <w:top w:val="single" w:sz="4" w:space="0" w:color="auto"/>
        <w:left w:val="single" w:sz="4" w:space="0" w:color="auto"/>
      </w:pBdr>
      <w:shd w:val="clear" w:color="000000" w:fill="FFC7CE"/>
      <w:spacing w:before="100" w:beforeAutospacing="1" w:after="100" w:afterAutospacing="1"/>
    </w:pPr>
    <w:rPr>
      <w:rFonts w:ascii="Times New Roman" w:hAnsi="Times New Roman" w:cs="Times New Roman"/>
      <w:color w:val="9C0006"/>
    </w:rPr>
  </w:style>
  <w:style w:type="paragraph" w:customStyle="1" w:styleId="xl69">
    <w:name w:val="xl69"/>
    <w:basedOn w:val="Normal"/>
    <w:rsid w:val="000D6168"/>
    <w:pPr>
      <w:pBdr>
        <w:top w:val="single" w:sz="4" w:space="0" w:color="auto"/>
      </w:pBdr>
      <w:shd w:val="clear" w:color="000000" w:fill="FFC7CE"/>
      <w:spacing w:before="100" w:beforeAutospacing="1" w:after="100" w:afterAutospacing="1"/>
    </w:pPr>
    <w:rPr>
      <w:rFonts w:ascii="Times New Roman" w:hAnsi="Times New Roman" w:cs="Times New Roman"/>
      <w:color w:val="9C0006"/>
    </w:rPr>
  </w:style>
  <w:style w:type="paragraph" w:customStyle="1" w:styleId="xl70">
    <w:name w:val="xl70"/>
    <w:basedOn w:val="Normal"/>
    <w:rsid w:val="000D6168"/>
    <w:pPr>
      <w:pBdr>
        <w:left w:val="single" w:sz="4" w:space="0" w:color="auto"/>
      </w:pBdr>
      <w:shd w:val="clear" w:color="000000" w:fill="FFC7CE"/>
      <w:spacing w:before="100" w:beforeAutospacing="1" w:after="100" w:afterAutospacing="1"/>
    </w:pPr>
    <w:rPr>
      <w:rFonts w:ascii="Times New Roman" w:hAnsi="Times New Roman" w:cs="Times New Roman"/>
      <w:color w:val="9C0006"/>
    </w:rPr>
  </w:style>
  <w:style w:type="paragraph" w:customStyle="1" w:styleId="xl71">
    <w:name w:val="xl71"/>
    <w:basedOn w:val="Normal"/>
    <w:rsid w:val="000D6168"/>
    <w:pPr>
      <w:shd w:val="clear" w:color="000000" w:fill="FFC7CE"/>
      <w:spacing w:before="100" w:beforeAutospacing="1" w:after="100" w:afterAutospacing="1"/>
    </w:pPr>
    <w:rPr>
      <w:rFonts w:ascii="Times New Roman" w:hAnsi="Times New Roman" w:cs="Times New Roman"/>
      <w:color w:val="9C0006"/>
    </w:rPr>
  </w:style>
  <w:style w:type="paragraph" w:customStyle="1" w:styleId="xl72">
    <w:name w:val="xl72"/>
    <w:basedOn w:val="Normal"/>
    <w:rsid w:val="000D6168"/>
    <w:pPr>
      <w:pBdr>
        <w:bottom w:val="single" w:sz="4" w:space="0" w:color="auto"/>
      </w:pBdr>
      <w:shd w:val="clear" w:color="000000" w:fill="FFC7CE"/>
      <w:spacing w:before="100" w:beforeAutospacing="1" w:after="100" w:afterAutospacing="1"/>
    </w:pPr>
    <w:rPr>
      <w:rFonts w:ascii="Times New Roman" w:hAnsi="Times New Roman" w:cs="Times New Roman"/>
      <w:color w:val="9C0006"/>
    </w:rPr>
  </w:style>
  <w:style w:type="paragraph" w:customStyle="1" w:styleId="xl73">
    <w:name w:val="xl73"/>
    <w:basedOn w:val="Normal"/>
    <w:rsid w:val="000D6168"/>
    <w:pPr>
      <w:pBdr>
        <w:left w:val="single" w:sz="4" w:space="0" w:color="auto"/>
        <w:bottom w:val="single" w:sz="4" w:space="0" w:color="auto"/>
      </w:pBdr>
      <w:shd w:val="clear" w:color="000000" w:fill="FFC7CE"/>
      <w:spacing w:before="100" w:beforeAutospacing="1" w:after="100" w:afterAutospacing="1"/>
    </w:pPr>
    <w:rPr>
      <w:rFonts w:ascii="Times New Roman" w:hAnsi="Times New Roman" w:cs="Times New Roman"/>
      <w:color w:val="9C000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3938428">
      <w:bodyDiv w:val="1"/>
      <w:marLeft w:val="0"/>
      <w:marRight w:val="0"/>
      <w:marTop w:val="0"/>
      <w:marBottom w:val="0"/>
      <w:divBdr>
        <w:top w:val="none" w:sz="0" w:space="0" w:color="auto"/>
        <w:left w:val="none" w:sz="0" w:space="0" w:color="auto"/>
        <w:bottom w:val="none" w:sz="0" w:space="0" w:color="auto"/>
        <w:right w:val="none" w:sz="0" w:space="0" w:color="auto"/>
      </w:divBdr>
    </w:div>
    <w:div w:id="338504366">
      <w:bodyDiv w:val="1"/>
      <w:marLeft w:val="0"/>
      <w:marRight w:val="0"/>
      <w:marTop w:val="0"/>
      <w:marBottom w:val="0"/>
      <w:divBdr>
        <w:top w:val="none" w:sz="0" w:space="0" w:color="auto"/>
        <w:left w:val="none" w:sz="0" w:space="0" w:color="auto"/>
        <w:bottom w:val="none" w:sz="0" w:space="0" w:color="auto"/>
        <w:right w:val="none" w:sz="0" w:space="0" w:color="auto"/>
      </w:divBdr>
    </w:div>
    <w:div w:id="640498967">
      <w:bodyDiv w:val="1"/>
      <w:marLeft w:val="0"/>
      <w:marRight w:val="0"/>
      <w:marTop w:val="0"/>
      <w:marBottom w:val="0"/>
      <w:divBdr>
        <w:top w:val="none" w:sz="0" w:space="0" w:color="auto"/>
        <w:left w:val="none" w:sz="0" w:space="0" w:color="auto"/>
        <w:bottom w:val="none" w:sz="0" w:space="0" w:color="auto"/>
        <w:right w:val="none" w:sz="0" w:space="0" w:color="auto"/>
      </w:divBdr>
    </w:div>
    <w:div w:id="186262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veutk-my.sharepoint.com/personal/amitch51_vols_utk_edu/Documents/Research/Writings/Dissertation/Armes_DissertationDraft.docx" TargetMode="External"/><Relationship Id="rId13" Type="http://schemas.openxmlformats.org/officeDocument/2006/relationships/image" Target="media/image3.tiff"/><Relationship Id="rId18" Type="http://schemas.openxmlformats.org/officeDocument/2006/relationships/image" Target="media/image7.png"/><Relationship Id="rId26" Type="http://schemas.openxmlformats.org/officeDocument/2006/relationships/image" Target="media/image14.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2.tiff"/><Relationship Id="rId17" Type="http://schemas.openxmlformats.org/officeDocument/2006/relationships/image" Target="media/image6.png"/><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image" Target="media/image9.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tiff"/><Relationship Id="rId24" Type="http://schemas.openxmlformats.org/officeDocument/2006/relationships/image" Target="media/image13.jpg"/><Relationship Id="rId5" Type="http://schemas.openxmlformats.org/officeDocument/2006/relationships/webSettings" Target="webSettings.xml"/><Relationship Id="rId15" Type="http://schemas.openxmlformats.org/officeDocument/2006/relationships/image" Target="media/image5.tiff"/><Relationship Id="rId23" Type="http://schemas.openxmlformats.org/officeDocument/2006/relationships/image" Target="media/image12.png"/><Relationship Id="rId28"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yperlink" Target="https://liveutk-my.sharepoint.com/personal/amitch51_vols_utk_edu/Documents/Research/Writings/Dissertation/Armes_DissertationDraft.docx" TargetMode="External"/><Relationship Id="rId14" Type="http://schemas.openxmlformats.org/officeDocument/2006/relationships/image" Target="media/image4.tiff"/><Relationship Id="rId22" Type="http://schemas.openxmlformats.org/officeDocument/2006/relationships/image" Target="media/image11.png"/><Relationship Id="rId27" Type="http://schemas.openxmlformats.org/officeDocument/2006/relationships/image" Target="media/image15.png"/><Relationship Id="rId30"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pril\OneDrive%20-%20University%20of%20Tennessee\Research\Writings\Dissertation\multipart-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E6285-2B5B-4972-B43A-36703964C3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multipart-te.dotx</Template>
  <TotalTime>0</TotalTime>
  <Pages>112</Pages>
  <Words>59883</Words>
  <Characters>341334</Characters>
  <Application>Microsoft Office Word</Application>
  <DocSecurity>0</DocSecurity>
  <Lines>2844</Lines>
  <Paragraphs>800</Paragraphs>
  <ScaleCrop>false</ScaleCrop>
  <HeadingPairs>
    <vt:vector size="2" baseType="variant">
      <vt:variant>
        <vt:lpstr>Title</vt:lpstr>
      </vt:variant>
      <vt:variant>
        <vt:i4>1</vt:i4>
      </vt:variant>
    </vt:vector>
  </HeadingPairs>
  <TitlesOfParts>
    <vt:vector size="1" baseType="lpstr">
      <vt:lpstr>UTK Multipart Thesis Template</vt:lpstr>
    </vt:vector>
  </TitlesOfParts>
  <LinksUpToDate>false</LinksUpToDate>
  <CharactersWithSpaces>400417</CharactersWithSpaces>
  <SharedDoc>false</SharedDoc>
  <HLinks>
    <vt:vector size="186" baseType="variant">
      <vt:variant>
        <vt:i4>3473510</vt:i4>
      </vt:variant>
      <vt:variant>
        <vt:i4>189</vt:i4>
      </vt:variant>
      <vt:variant>
        <vt:i4>0</vt:i4>
      </vt:variant>
      <vt:variant>
        <vt:i4>5</vt:i4>
      </vt:variant>
      <vt:variant>
        <vt:lpwstr>http://gradschool.utk.edu/ddategraduation.shtml</vt:lpwstr>
      </vt:variant>
      <vt:variant>
        <vt:lpwstr/>
      </vt:variant>
      <vt:variant>
        <vt:i4>1441853</vt:i4>
      </vt:variant>
      <vt:variant>
        <vt:i4>182</vt:i4>
      </vt:variant>
      <vt:variant>
        <vt:i4>0</vt:i4>
      </vt:variant>
      <vt:variant>
        <vt:i4>5</vt:i4>
      </vt:variant>
      <vt:variant>
        <vt:lpwstr/>
      </vt:variant>
      <vt:variant>
        <vt:lpwstr>_Toc414285579</vt:lpwstr>
      </vt:variant>
      <vt:variant>
        <vt:i4>1441853</vt:i4>
      </vt:variant>
      <vt:variant>
        <vt:i4>173</vt:i4>
      </vt:variant>
      <vt:variant>
        <vt:i4>0</vt:i4>
      </vt:variant>
      <vt:variant>
        <vt:i4>5</vt:i4>
      </vt:variant>
      <vt:variant>
        <vt:lpwstr/>
      </vt:variant>
      <vt:variant>
        <vt:lpwstr>_Toc414285578</vt:lpwstr>
      </vt:variant>
      <vt:variant>
        <vt:i4>1441853</vt:i4>
      </vt:variant>
      <vt:variant>
        <vt:i4>167</vt:i4>
      </vt:variant>
      <vt:variant>
        <vt:i4>0</vt:i4>
      </vt:variant>
      <vt:variant>
        <vt:i4>5</vt:i4>
      </vt:variant>
      <vt:variant>
        <vt:lpwstr/>
      </vt:variant>
      <vt:variant>
        <vt:lpwstr>_Toc414285577</vt:lpwstr>
      </vt:variant>
      <vt:variant>
        <vt:i4>1441853</vt:i4>
      </vt:variant>
      <vt:variant>
        <vt:i4>158</vt:i4>
      </vt:variant>
      <vt:variant>
        <vt:i4>0</vt:i4>
      </vt:variant>
      <vt:variant>
        <vt:i4>5</vt:i4>
      </vt:variant>
      <vt:variant>
        <vt:lpwstr/>
      </vt:variant>
      <vt:variant>
        <vt:lpwstr>_Toc414285576</vt:lpwstr>
      </vt:variant>
      <vt:variant>
        <vt:i4>1441853</vt:i4>
      </vt:variant>
      <vt:variant>
        <vt:i4>152</vt:i4>
      </vt:variant>
      <vt:variant>
        <vt:i4>0</vt:i4>
      </vt:variant>
      <vt:variant>
        <vt:i4>5</vt:i4>
      </vt:variant>
      <vt:variant>
        <vt:lpwstr/>
      </vt:variant>
      <vt:variant>
        <vt:lpwstr>_Toc414285575</vt:lpwstr>
      </vt:variant>
      <vt:variant>
        <vt:i4>1441853</vt:i4>
      </vt:variant>
      <vt:variant>
        <vt:i4>146</vt:i4>
      </vt:variant>
      <vt:variant>
        <vt:i4>0</vt:i4>
      </vt:variant>
      <vt:variant>
        <vt:i4>5</vt:i4>
      </vt:variant>
      <vt:variant>
        <vt:lpwstr/>
      </vt:variant>
      <vt:variant>
        <vt:lpwstr>_Toc414285574</vt:lpwstr>
      </vt:variant>
      <vt:variant>
        <vt:i4>1441853</vt:i4>
      </vt:variant>
      <vt:variant>
        <vt:i4>140</vt:i4>
      </vt:variant>
      <vt:variant>
        <vt:i4>0</vt:i4>
      </vt:variant>
      <vt:variant>
        <vt:i4>5</vt:i4>
      </vt:variant>
      <vt:variant>
        <vt:lpwstr/>
      </vt:variant>
      <vt:variant>
        <vt:lpwstr>_Toc414285573</vt:lpwstr>
      </vt:variant>
      <vt:variant>
        <vt:i4>1441853</vt:i4>
      </vt:variant>
      <vt:variant>
        <vt:i4>134</vt:i4>
      </vt:variant>
      <vt:variant>
        <vt:i4>0</vt:i4>
      </vt:variant>
      <vt:variant>
        <vt:i4>5</vt:i4>
      </vt:variant>
      <vt:variant>
        <vt:lpwstr/>
      </vt:variant>
      <vt:variant>
        <vt:lpwstr>_Toc414285572</vt:lpwstr>
      </vt:variant>
      <vt:variant>
        <vt:i4>1441853</vt:i4>
      </vt:variant>
      <vt:variant>
        <vt:i4>128</vt:i4>
      </vt:variant>
      <vt:variant>
        <vt:i4>0</vt:i4>
      </vt:variant>
      <vt:variant>
        <vt:i4>5</vt:i4>
      </vt:variant>
      <vt:variant>
        <vt:lpwstr/>
      </vt:variant>
      <vt:variant>
        <vt:lpwstr>_Toc414285571</vt:lpwstr>
      </vt:variant>
      <vt:variant>
        <vt:i4>1441853</vt:i4>
      </vt:variant>
      <vt:variant>
        <vt:i4>122</vt:i4>
      </vt:variant>
      <vt:variant>
        <vt:i4>0</vt:i4>
      </vt:variant>
      <vt:variant>
        <vt:i4>5</vt:i4>
      </vt:variant>
      <vt:variant>
        <vt:lpwstr/>
      </vt:variant>
      <vt:variant>
        <vt:lpwstr>_Toc414285570</vt:lpwstr>
      </vt:variant>
      <vt:variant>
        <vt:i4>1507389</vt:i4>
      </vt:variant>
      <vt:variant>
        <vt:i4>116</vt:i4>
      </vt:variant>
      <vt:variant>
        <vt:i4>0</vt:i4>
      </vt:variant>
      <vt:variant>
        <vt:i4>5</vt:i4>
      </vt:variant>
      <vt:variant>
        <vt:lpwstr/>
      </vt:variant>
      <vt:variant>
        <vt:lpwstr>_Toc414285569</vt:lpwstr>
      </vt:variant>
      <vt:variant>
        <vt:i4>1507389</vt:i4>
      </vt:variant>
      <vt:variant>
        <vt:i4>110</vt:i4>
      </vt:variant>
      <vt:variant>
        <vt:i4>0</vt:i4>
      </vt:variant>
      <vt:variant>
        <vt:i4>5</vt:i4>
      </vt:variant>
      <vt:variant>
        <vt:lpwstr/>
      </vt:variant>
      <vt:variant>
        <vt:lpwstr>_Toc414285568</vt:lpwstr>
      </vt:variant>
      <vt:variant>
        <vt:i4>1507389</vt:i4>
      </vt:variant>
      <vt:variant>
        <vt:i4>104</vt:i4>
      </vt:variant>
      <vt:variant>
        <vt:i4>0</vt:i4>
      </vt:variant>
      <vt:variant>
        <vt:i4>5</vt:i4>
      </vt:variant>
      <vt:variant>
        <vt:lpwstr/>
      </vt:variant>
      <vt:variant>
        <vt:lpwstr>_Toc414285567</vt:lpwstr>
      </vt:variant>
      <vt:variant>
        <vt:i4>1507389</vt:i4>
      </vt:variant>
      <vt:variant>
        <vt:i4>98</vt:i4>
      </vt:variant>
      <vt:variant>
        <vt:i4>0</vt:i4>
      </vt:variant>
      <vt:variant>
        <vt:i4>5</vt:i4>
      </vt:variant>
      <vt:variant>
        <vt:lpwstr/>
      </vt:variant>
      <vt:variant>
        <vt:lpwstr>_Toc414285566</vt:lpwstr>
      </vt:variant>
      <vt:variant>
        <vt:i4>1507389</vt:i4>
      </vt:variant>
      <vt:variant>
        <vt:i4>92</vt:i4>
      </vt:variant>
      <vt:variant>
        <vt:i4>0</vt:i4>
      </vt:variant>
      <vt:variant>
        <vt:i4>5</vt:i4>
      </vt:variant>
      <vt:variant>
        <vt:lpwstr/>
      </vt:variant>
      <vt:variant>
        <vt:lpwstr>_Toc414285565</vt:lpwstr>
      </vt:variant>
      <vt:variant>
        <vt:i4>1507389</vt:i4>
      </vt:variant>
      <vt:variant>
        <vt:i4>86</vt:i4>
      </vt:variant>
      <vt:variant>
        <vt:i4>0</vt:i4>
      </vt:variant>
      <vt:variant>
        <vt:i4>5</vt:i4>
      </vt:variant>
      <vt:variant>
        <vt:lpwstr/>
      </vt:variant>
      <vt:variant>
        <vt:lpwstr>_Toc414285564</vt:lpwstr>
      </vt:variant>
      <vt:variant>
        <vt:i4>1507389</vt:i4>
      </vt:variant>
      <vt:variant>
        <vt:i4>80</vt:i4>
      </vt:variant>
      <vt:variant>
        <vt:i4>0</vt:i4>
      </vt:variant>
      <vt:variant>
        <vt:i4>5</vt:i4>
      </vt:variant>
      <vt:variant>
        <vt:lpwstr/>
      </vt:variant>
      <vt:variant>
        <vt:lpwstr>_Toc414285563</vt:lpwstr>
      </vt:variant>
      <vt:variant>
        <vt:i4>1507389</vt:i4>
      </vt:variant>
      <vt:variant>
        <vt:i4>74</vt:i4>
      </vt:variant>
      <vt:variant>
        <vt:i4>0</vt:i4>
      </vt:variant>
      <vt:variant>
        <vt:i4>5</vt:i4>
      </vt:variant>
      <vt:variant>
        <vt:lpwstr/>
      </vt:variant>
      <vt:variant>
        <vt:lpwstr>_Toc414285562</vt:lpwstr>
      </vt:variant>
      <vt:variant>
        <vt:i4>1507389</vt:i4>
      </vt:variant>
      <vt:variant>
        <vt:i4>68</vt:i4>
      </vt:variant>
      <vt:variant>
        <vt:i4>0</vt:i4>
      </vt:variant>
      <vt:variant>
        <vt:i4>5</vt:i4>
      </vt:variant>
      <vt:variant>
        <vt:lpwstr/>
      </vt:variant>
      <vt:variant>
        <vt:lpwstr>_Toc414285561</vt:lpwstr>
      </vt:variant>
      <vt:variant>
        <vt:i4>1507389</vt:i4>
      </vt:variant>
      <vt:variant>
        <vt:i4>62</vt:i4>
      </vt:variant>
      <vt:variant>
        <vt:i4>0</vt:i4>
      </vt:variant>
      <vt:variant>
        <vt:i4>5</vt:i4>
      </vt:variant>
      <vt:variant>
        <vt:lpwstr/>
      </vt:variant>
      <vt:variant>
        <vt:lpwstr>_Toc414285560</vt:lpwstr>
      </vt:variant>
      <vt:variant>
        <vt:i4>1310781</vt:i4>
      </vt:variant>
      <vt:variant>
        <vt:i4>56</vt:i4>
      </vt:variant>
      <vt:variant>
        <vt:i4>0</vt:i4>
      </vt:variant>
      <vt:variant>
        <vt:i4>5</vt:i4>
      </vt:variant>
      <vt:variant>
        <vt:lpwstr/>
      </vt:variant>
      <vt:variant>
        <vt:lpwstr>_Toc414285559</vt:lpwstr>
      </vt:variant>
      <vt:variant>
        <vt:i4>1310781</vt:i4>
      </vt:variant>
      <vt:variant>
        <vt:i4>50</vt:i4>
      </vt:variant>
      <vt:variant>
        <vt:i4>0</vt:i4>
      </vt:variant>
      <vt:variant>
        <vt:i4>5</vt:i4>
      </vt:variant>
      <vt:variant>
        <vt:lpwstr/>
      </vt:variant>
      <vt:variant>
        <vt:lpwstr>_Toc414285558</vt:lpwstr>
      </vt:variant>
      <vt:variant>
        <vt:i4>1310781</vt:i4>
      </vt:variant>
      <vt:variant>
        <vt:i4>44</vt:i4>
      </vt:variant>
      <vt:variant>
        <vt:i4>0</vt:i4>
      </vt:variant>
      <vt:variant>
        <vt:i4>5</vt:i4>
      </vt:variant>
      <vt:variant>
        <vt:lpwstr/>
      </vt:variant>
      <vt:variant>
        <vt:lpwstr>_Toc414285557</vt:lpwstr>
      </vt:variant>
      <vt:variant>
        <vt:i4>1310781</vt:i4>
      </vt:variant>
      <vt:variant>
        <vt:i4>38</vt:i4>
      </vt:variant>
      <vt:variant>
        <vt:i4>0</vt:i4>
      </vt:variant>
      <vt:variant>
        <vt:i4>5</vt:i4>
      </vt:variant>
      <vt:variant>
        <vt:lpwstr/>
      </vt:variant>
      <vt:variant>
        <vt:lpwstr>_Toc414285556</vt:lpwstr>
      </vt:variant>
      <vt:variant>
        <vt:i4>1310781</vt:i4>
      </vt:variant>
      <vt:variant>
        <vt:i4>32</vt:i4>
      </vt:variant>
      <vt:variant>
        <vt:i4>0</vt:i4>
      </vt:variant>
      <vt:variant>
        <vt:i4>5</vt:i4>
      </vt:variant>
      <vt:variant>
        <vt:lpwstr/>
      </vt:variant>
      <vt:variant>
        <vt:lpwstr>_Toc414285555</vt:lpwstr>
      </vt:variant>
      <vt:variant>
        <vt:i4>1310781</vt:i4>
      </vt:variant>
      <vt:variant>
        <vt:i4>26</vt:i4>
      </vt:variant>
      <vt:variant>
        <vt:i4>0</vt:i4>
      </vt:variant>
      <vt:variant>
        <vt:i4>5</vt:i4>
      </vt:variant>
      <vt:variant>
        <vt:lpwstr/>
      </vt:variant>
      <vt:variant>
        <vt:lpwstr>_Toc414285554</vt:lpwstr>
      </vt:variant>
      <vt:variant>
        <vt:i4>1310781</vt:i4>
      </vt:variant>
      <vt:variant>
        <vt:i4>20</vt:i4>
      </vt:variant>
      <vt:variant>
        <vt:i4>0</vt:i4>
      </vt:variant>
      <vt:variant>
        <vt:i4>5</vt:i4>
      </vt:variant>
      <vt:variant>
        <vt:lpwstr/>
      </vt:variant>
      <vt:variant>
        <vt:lpwstr>_Toc414285553</vt:lpwstr>
      </vt:variant>
      <vt:variant>
        <vt:i4>1310781</vt:i4>
      </vt:variant>
      <vt:variant>
        <vt:i4>14</vt:i4>
      </vt:variant>
      <vt:variant>
        <vt:i4>0</vt:i4>
      </vt:variant>
      <vt:variant>
        <vt:i4>5</vt:i4>
      </vt:variant>
      <vt:variant>
        <vt:lpwstr/>
      </vt:variant>
      <vt:variant>
        <vt:lpwstr>_Toc414285552</vt:lpwstr>
      </vt:variant>
      <vt:variant>
        <vt:i4>1310781</vt:i4>
      </vt:variant>
      <vt:variant>
        <vt:i4>8</vt:i4>
      </vt:variant>
      <vt:variant>
        <vt:i4>0</vt:i4>
      </vt:variant>
      <vt:variant>
        <vt:i4>5</vt:i4>
      </vt:variant>
      <vt:variant>
        <vt:lpwstr/>
      </vt:variant>
      <vt:variant>
        <vt:lpwstr>_Toc414285551</vt:lpwstr>
      </vt:variant>
      <vt:variant>
        <vt:i4>1310781</vt:i4>
      </vt:variant>
      <vt:variant>
        <vt:i4>2</vt:i4>
      </vt:variant>
      <vt:variant>
        <vt:i4>0</vt:i4>
      </vt:variant>
      <vt:variant>
        <vt:i4>5</vt:i4>
      </vt:variant>
      <vt:variant>
        <vt:lpwstr/>
      </vt:variant>
      <vt:variant>
        <vt:lpwstr>_Toc414285550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UTK Multipart Thesis Template</dc:title>
  <dc:creator/>
  <cp:lastModifiedBy/>
  <cp:revision>1</cp:revision>
  <dcterms:created xsi:type="dcterms:W3CDTF">2021-09-23T14:08:00Z</dcterms:created>
  <dcterms:modified xsi:type="dcterms:W3CDTF">2021-09-24T19:14:00Z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6th edition</vt:lpwstr>
  </property>
  <property fmtid="{D5CDD505-2E9C-101B-9397-08002B2CF9AE}" pid="6" name="Mendeley Recent Style Id 2_1">
    <vt:lpwstr>http://www.zotero.org/styles/american-society-for-microbiology</vt:lpwstr>
  </property>
  <property fmtid="{D5CDD505-2E9C-101B-9397-08002B2CF9AE}" pid="7" name="Mendeley Recent Style Name 2_1">
    <vt:lpwstr>American Society for Microbiology</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http://www.zotero.org/styles/frontiers-in-microbiology</vt:lpwstr>
  </property>
  <property fmtid="{D5CDD505-2E9C-101B-9397-08002B2CF9AE}" pid="15" name="Mendeley Recent Style Name 6_1">
    <vt:lpwstr>Frontiers in Microbiology</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http://www.zotero.org/styles/modern-humanities-research-association</vt:lpwstr>
  </property>
  <property fmtid="{D5CDD505-2E9C-101B-9397-08002B2CF9AE}" pid="19" name="Mendeley Recent Style Name 8_1">
    <vt:lpwstr>Modern Humanities Research Association 3rd edition (note with bibliography)</vt:lpwstr>
  </property>
  <property fmtid="{D5CDD505-2E9C-101B-9397-08002B2CF9AE}" pid="20" name="Mendeley Recent Style Id 9_1">
    <vt:lpwstr>http://www.zotero.org/styles/modern-language-association</vt:lpwstr>
  </property>
  <property fmtid="{D5CDD505-2E9C-101B-9397-08002B2CF9AE}" pid="21" name="Mendeley Recent Style Name 9_1">
    <vt:lpwstr>Modern Language Association 8th edition</vt:lpwstr>
  </property>
  <property fmtid="{D5CDD505-2E9C-101B-9397-08002B2CF9AE}" pid="22" name="Mendeley Document_1">
    <vt:lpwstr>True</vt:lpwstr>
  </property>
  <property fmtid="{D5CDD505-2E9C-101B-9397-08002B2CF9AE}" pid="23" name="Mendeley Unique User Id_1">
    <vt:lpwstr>cecfcf3c-2bd5-3301-b3e4-18dbcecb9e3c</vt:lpwstr>
  </property>
  <property fmtid="{D5CDD505-2E9C-101B-9397-08002B2CF9AE}" pid="24" name="Mendeley Citation Style_1">
    <vt:lpwstr>http://www.zotero.org/styles/american-society-for-microbiology</vt:lpwstr>
  </property>
</Properties>
</file>